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B1D" w:rsidRPr="00335206" w:rsidRDefault="002A5B1D" w:rsidP="002A5B1D">
      <w:pPr>
        <w:keepNext/>
        <w:keepLines/>
        <w:spacing w:before="480" w:after="0" w:line="256" w:lineRule="auto"/>
        <w:jc w:val="center"/>
        <w:outlineLvl w:val="0"/>
        <w:rPr>
          <w:rFonts w:ascii="Cambria" w:eastAsia="Arial Black" w:hAnsi="Cambria" w:cs="Times New Roman"/>
          <w:b/>
          <w:bCs/>
          <w:sz w:val="28"/>
          <w:szCs w:val="28"/>
        </w:rPr>
      </w:pPr>
      <w:r w:rsidRPr="00335206">
        <w:rPr>
          <w:rFonts w:ascii="Cambria" w:eastAsia="Arial Black" w:hAnsi="Cambria" w:cs="Times New Roman"/>
          <w:b/>
          <w:bCs/>
          <w:sz w:val="28"/>
          <w:szCs w:val="28"/>
        </w:rPr>
        <w:t>COUNTY GOVERNMENT OF BUNGOMA</w:t>
      </w:r>
    </w:p>
    <w:p w:rsidR="002A5B1D" w:rsidRPr="00335206" w:rsidRDefault="002A5B1D" w:rsidP="002A5B1D">
      <w:pPr>
        <w:spacing w:after="0" w:line="240" w:lineRule="auto"/>
        <w:jc w:val="center"/>
        <w:rPr>
          <w:rFonts w:ascii="Times New Roman" w:eastAsia="Times New Roman" w:hAnsi="Times New Roman" w:cs="Times New Roman"/>
          <w:b/>
          <w:sz w:val="24"/>
          <w:szCs w:val="24"/>
        </w:rPr>
      </w:pPr>
      <w:r w:rsidRPr="00335206">
        <w:rPr>
          <w:rFonts w:ascii="Calibri" w:eastAsia="Times New Roman" w:hAnsi="Calibri" w:cs="Times New Roman"/>
          <w:sz w:val="24"/>
          <w:szCs w:val="24"/>
        </w:rPr>
        <w:object w:dxaOrig="1200" w:dyaOrig="1020">
          <v:rect id="_x0000_i1025" style="width:60pt;height:51pt" o:ole="" o:preferrelative="t" stroked="f">
            <v:imagedata r:id="rId4" o:title=""/>
          </v:rect>
          <o:OLEObject Type="Embed" ProgID="StaticMetafile" ShapeID="_x0000_i1025" DrawAspect="Content" ObjectID="_1780992478" r:id="rId5"/>
        </w:object>
      </w:r>
    </w:p>
    <w:p w:rsidR="002A5B1D" w:rsidRPr="00335206" w:rsidRDefault="002A5B1D" w:rsidP="002A5B1D">
      <w:pPr>
        <w:spacing w:after="0" w:line="240" w:lineRule="auto"/>
        <w:jc w:val="center"/>
        <w:rPr>
          <w:rFonts w:ascii="Times New Roman" w:eastAsia="Times New Roman" w:hAnsi="Times New Roman" w:cs="Times New Roman"/>
          <w:b/>
          <w:color w:val="000000"/>
        </w:rPr>
      </w:pPr>
      <w:r w:rsidRPr="00335206">
        <w:rPr>
          <w:rFonts w:ascii="Times New Roman" w:eastAsia="Times New Roman" w:hAnsi="Times New Roman" w:cs="Times New Roman"/>
          <w:b/>
          <w:color w:val="000000"/>
        </w:rPr>
        <w:t>DEPARTMENT OF ENVIRONMENT, WATER, NATURAL RESOURCES TOURISM AND CLIMATE CHANGE.</w:t>
      </w:r>
    </w:p>
    <w:p w:rsidR="002A5B1D" w:rsidRPr="00335206" w:rsidRDefault="002A5B1D" w:rsidP="002A5B1D">
      <w:pPr>
        <w:spacing w:after="0" w:line="256" w:lineRule="auto"/>
        <w:jc w:val="center"/>
        <w:rPr>
          <w:rFonts w:ascii="Times New Roman" w:eastAsia="Times New Roman" w:hAnsi="Times New Roman" w:cs="Times New Roman"/>
          <w:b/>
          <w:color w:val="000000"/>
          <w:sz w:val="24"/>
          <w:szCs w:val="24"/>
        </w:rPr>
      </w:pPr>
      <w:r w:rsidRPr="00335206">
        <w:rPr>
          <w:rFonts w:ascii="Times New Roman" w:eastAsia="Times New Roman" w:hAnsi="Times New Roman" w:cs="Times New Roman"/>
          <w:b/>
          <w:color w:val="000000"/>
          <w:sz w:val="24"/>
          <w:szCs w:val="24"/>
        </w:rPr>
        <w:t>OFFICE OF THE CHIEF OFFICER- TOURISM ENVIRONMENT AND CLIMATE CHANGE.</w:t>
      </w:r>
    </w:p>
    <w:p w:rsidR="002A5B1D" w:rsidRPr="00335206" w:rsidRDefault="002A5B1D" w:rsidP="002A5B1D">
      <w:pPr>
        <w:spacing w:after="0" w:line="240" w:lineRule="auto"/>
        <w:rPr>
          <w:rFonts w:ascii="Maiandra GD" w:eastAsia="Times New Roman" w:hAnsi="Maiandra GD" w:cs="Times New Roman"/>
          <w:b/>
          <w:lang w:val="en-GB" w:eastAsia="en-GB"/>
        </w:rPr>
      </w:pPr>
      <w:r w:rsidRPr="00335206">
        <w:rPr>
          <w:rFonts w:ascii="Maiandra GD" w:eastAsia="Times New Roman" w:hAnsi="Maiandra GD" w:cs="Times New Roman"/>
          <w:noProof/>
        </w:rPr>
        <mc:AlternateContent>
          <mc:Choice Requires="wps">
            <w:drawing>
              <wp:anchor distT="0" distB="0" distL="114300" distR="114300" simplePos="0" relativeHeight="251659264" behindDoc="0" locked="0" layoutInCell="1" allowOverlap="1" wp14:anchorId="45BF3D70" wp14:editId="54A4BFD6">
                <wp:simplePos x="0" y="0"/>
                <wp:positionH relativeFrom="column">
                  <wp:posOffset>-9525</wp:posOffset>
                </wp:positionH>
                <wp:positionV relativeFrom="paragraph">
                  <wp:posOffset>39370</wp:posOffset>
                </wp:positionV>
                <wp:extent cx="5972175" cy="635"/>
                <wp:effectExtent l="0" t="19050" r="9525" b="18415"/>
                <wp:wrapNone/>
                <wp:docPr id="1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E051F" id="_x0000_t32" coordsize="21600,21600" o:spt="32" o:oned="t" path="m,l21600,21600e" filled="f">
                <v:path arrowok="t" fillok="f" o:connecttype="none"/>
                <o:lock v:ext="edit" shapetype="t"/>
              </v:shapetype>
              <v:shape id="AutoShape 2" o:spid="_x0000_s1026" type="#_x0000_t32" style="position:absolute;margin-left:-.75pt;margin-top:3.1pt;width:470.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FyIQIAAEA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" strokeweight="2.25pt"/>
            </w:pict>
          </mc:Fallback>
        </mc:AlternateContent>
      </w:r>
    </w:p>
    <w:tbl>
      <w:tblPr>
        <w:tblStyle w:val="TableGrid"/>
        <w:tblW w:w="9450" w:type="dxa"/>
        <w:tblInd w:w="-5" w:type="dxa"/>
        <w:tblLook w:val="04A0" w:firstRow="1" w:lastRow="0" w:firstColumn="1" w:lastColumn="0" w:noHBand="0" w:noVBand="1"/>
      </w:tblPr>
      <w:tblGrid>
        <w:gridCol w:w="729"/>
        <w:gridCol w:w="3854"/>
        <w:gridCol w:w="1818"/>
        <w:gridCol w:w="1623"/>
        <w:gridCol w:w="1426"/>
      </w:tblGrid>
      <w:tr w:rsidR="002A5B1D" w:rsidRPr="00111045" w:rsidTr="00010183">
        <w:tc>
          <w:tcPr>
            <w:tcW w:w="730" w:type="dxa"/>
          </w:tcPr>
          <w:p w:rsidR="002A5B1D" w:rsidRDefault="002A5B1D" w:rsidP="00010183">
            <w:pPr>
              <w:rPr>
                <w:rFonts w:ascii="Times New Roman" w:hAnsi="Times New Roman" w:cs="Times New Roman"/>
                <w:b/>
                <w:bCs/>
              </w:rPr>
            </w:pPr>
          </w:p>
          <w:p w:rsidR="002A5B1D" w:rsidRDefault="002A5B1D" w:rsidP="00010183">
            <w:pPr>
              <w:rPr>
                <w:rFonts w:ascii="Times New Roman" w:hAnsi="Times New Roman" w:cs="Times New Roman"/>
                <w:b/>
                <w:bCs/>
              </w:rPr>
            </w:pPr>
          </w:p>
          <w:p w:rsidR="002A5B1D" w:rsidRPr="00111045" w:rsidRDefault="002A5B1D" w:rsidP="00010183">
            <w:pPr>
              <w:rPr>
                <w:rFonts w:ascii="Times New Roman" w:hAnsi="Times New Roman" w:cs="Times New Roman"/>
                <w:b/>
                <w:bCs/>
              </w:rPr>
            </w:pPr>
          </w:p>
        </w:tc>
        <w:tc>
          <w:tcPr>
            <w:tcW w:w="3860" w:type="dxa"/>
          </w:tcPr>
          <w:p w:rsidR="002A5B1D" w:rsidRPr="00111045" w:rsidRDefault="002A5B1D" w:rsidP="00010183">
            <w:pPr>
              <w:spacing w:after="160" w:line="259" w:lineRule="auto"/>
              <w:rPr>
                <w:rFonts w:ascii="Times New Roman" w:hAnsi="Times New Roman" w:cs="Times New Roman"/>
                <w:b/>
                <w:bCs/>
              </w:rPr>
            </w:pPr>
            <w:r w:rsidRPr="00111045">
              <w:rPr>
                <w:rFonts w:ascii="Times New Roman" w:hAnsi="Times New Roman" w:cs="Times New Roman"/>
                <w:b/>
                <w:bCs/>
              </w:rPr>
              <w:t xml:space="preserve">PROJECT NAME </w:t>
            </w:r>
          </w:p>
        </w:tc>
        <w:tc>
          <w:tcPr>
            <w:tcW w:w="1810" w:type="dxa"/>
          </w:tcPr>
          <w:p w:rsidR="002A5B1D" w:rsidRPr="00111045" w:rsidRDefault="002A5B1D" w:rsidP="00010183">
            <w:pPr>
              <w:spacing w:after="160" w:line="259" w:lineRule="auto"/>
              <w:rPr>
                <w:rFonts w:ascii="Times New Roman" w:hAnsi="Times New Roman" w:cs="Times New Roman"/>
                <w:b/>
                <w:bCs/>
              </w:rPr>
            </w:pPr>
            <w:r w:rsidRPr="00111045">
              <w:rPr>
                <w:rFonts w:ascii="Times New Roman" w:hAnsi="Times New Roman" w:cs="Times New Roman"/>
                <w:b/>
                <w:bCs/>
              </w:rPr>
              <w:t>NEGOTIATION NO</w:t>
            </w:r>
          </w:p>
        </w:tc>
        <w:tc>
          <w:tcPr>
            <w:tcW w:w="1623" w:type="dxa"/>
          </w:tcPr>
          <w:p w:rsidR="002A5B1D" w:rsidRPr="00111045" w:rsidRDefault="002A5B1D" w:rsidP="00010183">
            <w:pPr>
              <w:spacing w:after="160" w:line="259" w:lineRule="auto"/>
              <w:rPr>
                <w:rFonts w:ascii="Times New Roman" w:hAnsi="Times New Roman" w:cs="Times New Roman"/>
                <w:b/>
                <w:bCs/>
              </w:rPr>
            </w:pPr>
            <w:r w:rsidRPr="00111045">
              <w:rPr>
                <w:rFonts w:ascii="Times New Roman" w:hAnsi="Times New Roman" w:cs="Times New Roman"/>
                <w:b/>
                <w:bCs/>
              </w:rPr>
              <w:t>ELIGIBILITY</w:t>
            </w:r>
          </w:p>
        </w:tc>
        <w:tc>
          <w:tcPr>
            <w:tcW w:w="1427" w:type="dxa"/>
          </w:tcPr>
          <w:p w:rsidR="002A5B1D" w:rsidRPr="00111045" w:rsidRDefault="002A5B1D" w:rsidP="00010183">
            <w:pPr>
              <w:rPr>
                <w:rFonts w:ascii="Times New Roman" w:hAnsi="Times New Roman" w:cs="Times New Roman"/>
                <w:b/>
                <w:bCs/>
              </w:rPr>
            </w:pPr>
            <w:r w:rsidRPr="00111045">
              <w:rPr>
                <w:rFonts w:ascii="Times New Roman" w:hAnsi="Times New Roman" w:cs="Times New Roman"/>
                <w:b/>
                <w:bCs/>
              </w:rPr>
              <w:t xml:space="preserve">Bid Amount </w:t>
            </w:r>
          </w:p>
        </w:tc>
      </w:tr>
      <w:tr w:rsidR="002A5B1D" w:rsidRPr="00C513FC" w:rsidTr="00010183">
        <w:trPr>
          <w:trHeight w:val="1070"/>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Bunjosi</w:t>
            </w:r>
            <w:proofErr w:type="spellEnd"/>
            <w:r w:rsidRPr="00C513FC">
              <w:rPr>
                <w:rFonts w:ascii="Times New Roman" w:hAnsi="Times New Roman" w:cs="Times New Roman"/>
              </w:rPr>
              <w:t xml:space="preserve"> Primary and </w:t>
            </w:r>
            <w:proofErr w:type="spellStart"/>
            <w:r w:rsidRPr="00C513FC">
              <w:rPr>
                <w:rFonts w:ascii="Times New Roman" w:hAnsi="Times New Roman" w:cs="Times New Roman"/>
              </w:rPr>
              <w:t>Kakimanyi</w:t>
            </w:r>
            <w:proofErr w:type="spellEnd"/>
            <w:r w:rsidRPr="00C513FC">
              <w:rPr>
                <w:rFonts w:ascii="Times New Roman" w:hAnsi="Times New Roman" w:cs="Times New Roman"/>
              </w:rPr>
              <w:t xml:space="preserve"> Dispensary Boreholes Borehole in </w:t>
            </w:r>
            <w:proofErr w:type="spellStart"/>
            <w:r w:rsidRPr="00C513FC">
              <w:rPr>
                <w:rFonts w:ascii="Times New Roman" w:hAnsi="Times New Roman" w:cs="Times New Roman"/>
              </w:rPr>
              <w:t>Misikhu</w:t>
            </w:r>
            <w:proofErr w:type="spellEnd"/>
            <w:r w:rsidRPr="00C513FC">
              <w:rPr>
                <w:rFonts w:ascii="Times New Roman" w:hAnsi="Times New Roman" w:cs="Times New Roman"/>
              </w:rPr>
              <w:t>/</w:t>
            </w:r>
            <w:proofErr w:type="spellStart"/>
            <w:r w:rsidRPr="00C513FC">
              <w:rPr>
                <w:rFonts w:ascii="Times New Roman" w:hAnsi="Times New Roman" w:cs="Times New Roman"/>
              </w:rPr>
              <w:t>Sitikho</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1592745-2024/2025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140,000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2</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Sirandafu</w:t>
            </w:r>
            <w:proofErr w:type="spellEnd"/>
            <w:r w:rsidRPr="00C513FC">
              <w:rPr>
                <w:rFonts w:ascii="Times New Roman" w:hAnsi="Times New Roman" w:cs="Times New Roman"/>
              </w:rPr>
              <w:t xml:space="preserve"> Spring in </w:t>
            </w:r>
            <w:proofErr w:type="spellStart"/>
            <w:r w:rsidRPr="00C513FC">
              <w:rPr>
                <w:rFonts w:ascii="Times New Roman" w:hAnsi="Times New Roman" w:cs="Times New Roman"/>
              </w:rPr>
              <w:t>Bokoli</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1592747-2024/2025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3</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Ambich</w:t>
            </w:r>
            <w:proofErr w:type="spellEnd"/>
            <w:r w:rsidRPr="00C513FC">
              <w:rPr>
                <w:rFonts w:ascii="Times New Roman" w:hAnsi="Times New Roman" w:cs="Times New Roman"/>
              </w:rPr>
              <w:t xml:space="preserve"> Market Borehole in </w:t>
            </w:r>
            <w:proofErr w:type="spellStart"/>
            <w:r w:rsidRPr="00C513FC">
              <w:rPr>
                <w:rFonts w:ascii="Times New Roman" w:hAnsi="Times New Roman" w:cs="Times New Roman"/>
              </w:rPr>
              <w:t>Tongaren</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eastAsia="Calibri" w:hAnsi="Times New Roman" w:cs="Times New Roman"/>
              </w:rPr>
            </w:pPr>
            <w:r w:rsidRPr="00C513FC">
              <w:rPr>
                <w:rFonts w:ascii="Times New Roman" w:eastAsia="Calibri" w:hAnsi="Times New Roman" w:cs="Times New Roman"/>
              </w:rPr>
              <w:t>1608752-</w:t>
            </w:r>
          </w:p>
          <w:p w:rsidR="002A5B1D" w:rsidRPr="00C513FC" w:rsidRDefault="002A5B1D" w:rsidP="00010183">
            <w:pPr>
              <w:spacing w:after="160" w:line="259" w:lineRule="auto"/>
              <w:rPr>
                <w:rFonts w:ascii="Times New Roman" w:hAnsi="Times New Roman" w:cs="Times New Roman"/>
              </w:rPr>
            </w:pPr>
            <w:r w:rsidRPr="00C513FC">
              <w:rPr>
                <w:rFonts w:ascii="Times New Roman" w:eastAsia="Calibri" w:hAnsi="Times New Roman" w:cs="Times New Roman"/>
              </w:rPr>
              <w:t>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rPr>
          <w:trHeight w:val="917"/>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4</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Mashinani</w:t>
            </w:r>
            <w:proofErr w:type="spellEnd"/>
            <w:r w:rsidRPr="00C513FC">
              <w:rPr>
                <w:rFonts w:ascii="Times New Roman" w:hAnsi="Times New Roman" w:cs="Times New Roman"/>
              </w:rPr>
              <w:t xml:space="preserve"> primary and </w:t>
            </w:r>
            <w:proofErr w:type="spellStart"/>
            <w:r w:rsidRPr="00C513FC">
              <w:rPr>
                <w:rFonts w:ascii="Times New Roman" w:hAnsi="Times New Roman" w:cs="Times New Roman"/>
              </w:rPr>
              <w:t>Namarambi</w:t>
            </w:r>
            <w:proofErr w:type="spellEnd"/>
            <w:r w:rsidRPr="00C513FC">
              <w:rPr>
                <w:rFonts w:ascii="Times New Roman" w:hAnsi="Times New Roman" w:cs="Times New Roman"/>
              </w:rPr>
              <w:t xml:space="preserve"> dispensary Boreholes in </w:t>
            </w:r>
            <w:proofErr w:type="spellStart"/>
            <w:r w:rsidRPr="00C513FC">
              <w:rPr>
                <w:rFonts w:ascii="Times New Roman" w:hAnsi="Times New Roman" w:cs="Times New Roman"/>
              </w:rPr>
              <w:t>Soysambu</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Mitua</w:t>
            </w:r>
            <w:proofErr w:type="spellEnd"/>
            <w:r w:rsidRPr="00C513FC">
              <w:rPr>
                <w:rFonts w:ascii="Times New Roman" w:hAnsi="Times New Roman" w:cs="Times New Roman"/>
              </w:rPr>
              <w:t>/</w:t>
            </w:r>
            <w:proofErr w:type="spellStart"/>
            <w:r w:rsidRPr="00C513FC">
              <w:rPr>
                <w:rFonts w:ascii="Times New Roman" w:hAnsi="Times New Roman" w:cs="Times New Roman"/>
              </w:rPr>
              <w:t>Ndivisi</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1592753-2024/2025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rPr>
          <w:trHeight w:val="737"/>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5</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Protection and upgrading of </w:t>
            </w:r>
            <w:proofErr w:type="spellStart"/>
            <w:r w:rsidRPr="00C513FC">
              <w:rPr>
                <w:rFonts w:ascii="Times New Roman" w:hAnsi="Times New Roman" w:cs="Times New Roman"/>
              </w:rPr>
              <w:t>Kikechi</w:t>
            </w:r>
            <w:proofErr w:type="spellEnd"/>
            <w:r w:rsidRPr="00C513FC">
              <w:rPr>
                <w:rFonts w:ascii="Times New Roman" w:hAnsi="Times New Roman" w:cs="Times New Roman"/>
              </w:rPr>
              <w:t xml:space="preserve"> spring in </w:t>
            </w:r>
            <w:proofErr w:type="spellStart"/>
            <w:r w:rsidRPr="00C513FC">
              <w:rPr>
                <w:rFonts w:ascii="Times New Roman" w:hAnsi="Times New Roman" w:cs="Times New Roman"/>
              </w:rPr>
              <w:t>Mbakalo</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1592754-2024/2025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140,000</w:t>
            </w:r>
          </w:p>
        </w:tc>
      </w:tr>
      <w:tr w:rsidR="002A5B1D" w:rsidRPr="00C513FC" w:rsidTr="00010183">
        <w:trPr>
          <w:trHeight w:val="879"/>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6</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Kamukuywa</w:t>
            </w:r>
            <w:proofErr w:type="spellEnd"/>
            <w:r w:rsidRPr="00C513FC">
              <w:rPr>
                <w:rFonts w:ascii="Times New Roman" w:hAnsi="Times New Roman" w:cs="Times New Roman"/>
              </w:rPr>
              <w:t xml:space="preserve"> Primary and </w:t>
            </w:r>
            <w:proofErr w:type="spellStart"/>
            <w:r w:rsidRPr="00C513FC">
              <w:rPr>
                <w:rFonts w:ascii="Times New Roman" w:hAnsi="Times New Roman" w:cs="Times New Roman"/>
              </w:rPr>
              <w:t>Kitayi</w:t>
            </w:r>
            <w:proofErr w:type="spellEnd"/>
            <w:r w:rsidRPr="00C513FC">
              <w:rPr>
                <w:rFonts w:ascii="Times New Roman" w:hAnsi="Times New Roman" w:cs="Times New Roman"/>
              </w:rPr>
              <w:t xml:space="preserve"> Primary Boreholes in </w:t>
            </w:r>
            <w:proofErr w:type="spellStart"/>
            <w:r w:rsidRPr="00C513FC">
              <w:rPr>
                <w:rFonts w:ascii="Times New Roman" w:hAnsi="Times New Roman" w:cs="Times New Roman"/>
              </w:rPr>
              <w:t>Kamukuywa</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Kibingei</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1592755-2024/2025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rPr>
          <w:trHeight w:val="1172"/>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7</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Kotiem</w:t>
            </w:r>
            <w:proofErr w:type="spellEnd"/>
            <w:r w:rsidRPr="00C513FC">
              <w:rPr>
                <w:rFonts w:ascii="Times New Roman" w:hAnsi="Times New Roman" w:cs="Times New Roman"/>
              </w:rPr>
              <w:t xml:space="preserve"> Spring in Elgon Ward and Extension of </w:t>
            </w:r>
            <w:proofErr w:type="spellStart"/>
            <w:r w:rsidRPr="00C513FC">
              <w:rPr>
                <w:rFonts w:ascii="Times New Roman" w:hAnsi="Times New Roman" w:cs="Times New Roman"/>
              </w:rPr>
              <w:t>Kamneru</w:t>
            </w:r>
            <w:proofErr w:type="spellEnd"/>
            <w:r w:rsidRPr="00C513FC">
              <w:rPr>
                <w:rFonts w:ascii="Times New Roman" w:hAnsi="Times New Roman" w:cs="Times New Roman"/>
              </w:rPr>
              <w:t xml:space="preserve"> water project in </w:t>
            </w:r>
            <w:proofErr w:type="spellStart"/>
            <w:r w:rsidRPr="00C513FC">
              <w:rPr>
                <w:rFonts w:ascii="Times New Roman" w:hAnsi="Times New Roman" w:cs="Times New Roman"/>
              </w:rPr>
              <w:t>Kapkatenyi</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1592757-2024/2025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160,000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8</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Kopsiro</w:t>
            </w:r>
            <w:proofErr w:type="spellEnd"/>
            <w:r w:rsidRPr="00C513FC">
              <w:rPr>
                <w:rFonts w:ascii="Times New Roman" w:hAnsi="Times New Roman" w:cs="Times New Roman"/>
              </w:rPr>
              <w:t xml:space="preserve"> Spring in </w:t>
            </w:r>
            <w:proofErr w:type="spellStart"/>
            <w:r w:rsidRPr="00C513FC">
              <w:rPr>
                <w:rFonts w:ascii="Times New Roman" w:hAnsi="Times New Roman" w:cs="Times New Roman"/>
              </w:rPr>
              <w:t>Chepyuk</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1592758-2024/2025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rPr>
          <w:trHeight w:val="638"/>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9</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Dorof</w:t>
            </w:r>
            <w:proofErr w:type="spellEnd"/>
            <w:r w:rsidRPr="00C513FC">
              <w:rPr>
                <w:rFonts w:ascii="Times New Roman" w:hAnsi="Times New Roman" w:cs="Times New Roman"/>
              </w:rPr>
              <w:t xml:space="preserve"> Borehole in East </w:t>
            </w:r>
            <w:proofErr w:type="spellStart"/>
            <w:r w:rsidRPr="00C513FC">
              <w:rPr>
                <w:rFonts w:ascii="Times New Roman" w:hAnsi="Times New Roman" w:cs="Times New Roman"/>
              </w:rPr>
              <w:t>Sangalo</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1592760</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100,000</w:t>
            </w:r>
          </w:p>
        </w:tc>
      </w:tr>
      <w:tr w:rsidR="002A5B1D" w:rsidRPr="00C513FC" w:rsidTr="00010183">
        <w:trPr>
          <w:trHeight w:val="422"/>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lastRenderedPageBreak/>
              <w:t>10</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Extension of </w:t>
            </w:r>
            <w:proofErr w:type="spellStart"/>
            <w:r w:rsidRPr="00C513FC">
              <w:rPr>
                <w:rFonts w:ascii="Times New Roman" w:hAnsi="Times New Roman" w:cs="Times New Roman"/>
              </w:rPr>
              <w:t>Nandolia</w:t>
            </w:r>
            <w:proofErr w:type="spellEnd"/>
            <w:r w:rsidRPr="00C513FC">
              <w:rPr>
                <w:rFonts w:ascii="Times New Roman" w:hAnsi="Times New Roman" w:cs="Times New Roman"/>
              </w:rPr>
              <w:t xml:space="preserve"> and </w:t>
            </w:r>
            <w:proofErr w:type="spellStart"/>
            <w:r w:rsidRPr="00C513FC">
              <w:rPr>
                <w:rFonts w:ascii="Times New Roman" w:hAnsi="Times New Roman" w:cs="Times New Roman"/>
              </w:rPr>
              <w:t>Khaoya</w:t>
            </w:r>
            <w:proofErr w:type="spellEnd"/>
            <w:r w:rsidRPr="00C513FC">
              <w:rPr>
                <w:rFonts w:ascii="Times New Roman" w:hAnsi="Times New Roman" w:cs="Times New Roman"/>
              </w:rPr>
              <w:t xml:space="preserve"> Water Projects in </w:t>
            </w:r>
            <w:proofErr w:type="spellStart"/>
            <w:r w:rsidRPr="00C513FC">
              <w:rPr>
                <w:rFonts w:ascii="Times New Roman" w:hAnsi="Times New Roman" w:cs="Times New Roman"/>
              </w:rPr>
              <w:t>Bukembe</w:t>
            </w:r>
            <w:proofErr w:type="spellEnd"/>
            <w:r w:rsidRPr="00C513FC">
              <w:rPr>
                <w:rFonts w:ascii="Times New Roman" w:hAnsi="Times New Roman" w:cs="Times New Roman"/>
              </w:rPr>
              <w:t xml:space="preserve"> East/west wards</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1592762-2024/2025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140,000</w:t>
            </w:r>
          </w:p>
        </w:tc>
      </w:tr>
      <w:tr w:rsidR="002A5B1D" w:rsidRPr="00C513FC" w:rsidTr="00010183">
        <w:trPr>
          <w:trHeight w:val="980"/>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11</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Tuuti-Marakaru</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Siritanyi</w:t>
            </w:r>
            <w:proofErr w:type="spellEnd"/>
            <w:r w:rsidRPr="00C513FC">
              <w:rPr>
                <w:rFonts w:ascii="Times New Roman" w:hAnsi="Times New Roman" w:cs="Times New Roman"/>
              </w:rPr>
              <w:t xml:space="preserve"> boreholes and pipeline extension in </w:t>
            </w:r>
            <w:proofErr w:type="spellStart"/>
            <w:r w:rsidRPr="00C513FC">
              <w:rPr>
                <w:rFonts w:ascii="Times New Roman" w:hAnsi="Times New Roman" w:cs="Times New Roman"/>
              </w:rPr>
              <w:t>Tuuti</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Marakaru</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Musikoma</w:t>
            </w:r>
            <w:proofErr w:type="spellEnd"/>
            <w:r w:rsidRPr="00C513FC">
              <w:rPr>
                <w:rFonts w:ascii="Times New Roman" w:hAnsi="Times New Roman" w:cs="Times New Roman"/>
              </w:rPr>
              <w:t xml:space="preserve"> and </w:t>
            </w:r>
            <w:proofErr w:type="spellStart"/>
            <w:r w:rsidRPr="00C513FC">
              <w:rPr>
                <w:rFonts w:ascii="Times New Roman" w:hAnsi="Times New Roman" w:cs="Times New Roman"/>
              </w:rPr>
              <w:t>Khalaba</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1592764-2024/2025</w:t>
            </w:r>
          </w:p>
          <w:p w:rsidR="002A5B1D" w:rsidRPr="00C513FC" w:rsidRDefault="002A5B1D" w:rsidP="00010183">
            <w:pPr>
              <w:spacing w:after="160" w:line="259" w:lineRule="auto"/>
              <w:rPr>
                <w:rFonts w:ascii="Times New Roman" w:hAnsi="Times New Roman" w:cs="Times New Roman"/>
              </w:rPr>
            </w:pP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210,000</w:t>
            </w:r>
          </w:p>
        </w:tc>
      </w:tr>
      <w:tr w:rsidR="002A5B1D" w:rsidRPr="00C513FC" w:rsidTr="00010183">
        <w:trPr>
          <w:trHeight w:val="1322"/>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12</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Chenjeni</w:t>
            </w:r>
            <w:proofErr w:type="spellEnd"/>
            <w:r w:rsidRPr="00C513FC">
              <w:rPr>
                <w:rFonts w:ascii="Times New Roman" w:hAnsi="Times New Roman" w:cs="Times New Roman"/>
              </w:rPr>
              <w:t xml:space="preserve"> Primary and </w:t>
            </w:r>
            <w:proofErr w:type="spellStart"/>
            <w:r w:rsidRPr="00C513FC">
              <w:rPr>
                <w:rFonts w:ascii="Times New Roman" w:hAnsi="Times New Roman" w:cs="Times New Roman"/>
              </w:rPr>
              <w:t>Tabani</w:t>
            </w:r>
            <w:proofErr w:type="spellEnd"/>
            <w:r w:rsidRPr="00C513FC">
              <w:rPr>
                <w:rFonts w:ascii="Times New Roman" w:hAnsi="Times New Roman" w:cs="Times New Roman"/>
              </w:rPr>
              <w:t xml:space="preserve"> Boreholes in </w:t>
            </w:r>
            <w:proofErr w:type="spellStart"/>
            <w:r w:rsidRPr="00C513FC">
              <w:rPr>
                <w:rFonts w:ascii="Times New Roman" w:hAnsi="Times New Roman" w:cs="Times New Roman"/>
              </w:rPr>
              <w:t>Mukuyuni</w:t>
            </w:r>
            <w:proofErr w:type="spellEnd"/>
            <w:r w:rsidRPr="00C513FC">
              <w:rPr>
                <w:rFonts w:ascii="Times New Roman" w:hAnsi="Times New Roman" w:cs="Times New Roman"/>
              </w:rPr>
              <w:t>/</w:t>
            </w:r>
            <w:proofErr w:type="spellStart"/>
            <w:r w:rsidRPr="00C513FC">
              <w:rPr>
                <w:rFonts w:ascii="Times New Roman" w:hAnsi="Times New Roman" w:cs="Times New Roman"/>
              </w:rPr>
              <w:t>Chwele</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Kabuchai</w:t>
            </w:r>
            <w:proofErr w:type="spellEnd"/>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1592765-2024/2025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rPr>
          <w:trHeight w:val="879"/>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13</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Kolani</w:t>
            </w:r>
            <w:proofErr w:type="spellEnd"/>
            <w:r w:rsidRPr="00C513FC">
              <w:rPr>
                <w:rFonts w:ascii="Times New Roman" w:hAnsi="Times New Roman" w:cs="Times New Roman"/>
              </w:rPr>
              <w:t xml:space="preserve"> and </w:t>
            </w:r>
            <w:proofErr w:type="spellStart"/>
            <w:r w:rsidRPr="00C513FC">
              <w:rPr>
                <w:rFonts w:ascii="Times New Roman" w:hAnsi="Times New Roman" w:cs="Times New Roman"/>
              </w:rPr>
              <w:t>Sibanga</w:t>
            </w:r>
            <w:proofErr w:type="spellEnd"/>
            <w:r w:rsidRPr="00C513FC">
              <w:rPr>
                <w:rFonts w:ascii="Times New Roman" w:hAnsi="Times New Roman" w:cs="Times New Roman"/>
              </w:rPr>
              <w:t xml:space="preserve"> Boreholes in </w:t>
            </w:r>
            <w:proofErr w:type="spellStart"/>
            <w:r w:rsidRPr="00C513FC">
              <w:rPr>
                <w:rFonts w:ascii="Times New Roman" w:hAnsi="Times New Roman" w:cs="Times New Roman"/>
              </w:rPr>
              <w:t>Namwela</w:t>
            </w:r>
            <w:proofErr w:type="spellEnd"/>
            <w:r w:rsidRPr="00C513FC">
              <w:rPr>
                <w:rFonts w:ascii="Times New Roman" w:hAnsi="Times New Roman" w:cs="Times New Roman"/>
              </w:rPr>
              <w:t>/</w:t>
            </w:r>
            <w:proofErr w:type="spellStart"/>
            <w:r w:rsidRPr="00C513FC">
              <w:rPr>
                <w:rFonts w:ascii="Times New Roman" w:hAnsi="Times New Roman" w:cs="Times New Roman"/>
              </w:rPr>
              <w:t>Malakisi</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1592766-2024/2025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rPr>
          <w:trHeight w:val="773"/>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14</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Mwiyenga</w:t>
            </w:r>
            <w:proofErr w:type="spellEnd"/>
            <w:r w:rsidRPr="00C513FC">
              <w:rPr>
                <w:rFonts w:ascii="Times New Roman" w:hAnsi="Times New Roman" w:cs="Times New Roman"/>
              </w:rPr>
              <w:t xml:space="preserve"> Primary and </w:t>
            </w:r>
            <w:proofErr w:type="spellStart"/>
            <w:r w:rsidRPr="00C513FC">
              <w:rPr>
                <w:rFonts w:ascii="Times New Roman" w:hAnsi="Times New Roman" w:cs="Times New Roman"/>
              </w:rPr>
              <w:t>Matokho</w:t>
            </w:r>
            <w:proofErr w:type="spellEnd"/>
            <w:r w:rsidRPr="00C513FC">
              <w:rPr>
                <w:rFonts w:ascii="Times New Roman" w:hAnsi="Times New Roman" w:cs="Times New Roman"/>
              </w:rPr>
              <w:t xml:space="preserve"> Boreholes in </w:t>
            </w:r>
            <w:proofErr w:type="spellStart"/>
            <w:r w:rsidRPr="00C513FC">
              <w:rPr>
                <w:rFonts w:ascii="Times New Roman" w:hAnsi="Times New Roman" w:cs="Times New Roman"/>
              </w:rPr>
              <w:t>Kimaeti</w:t>
            </w:r>
            <w:proofErr w:type="spellEnd"/>
            <w:r w:rsidRPr="00C513FC">
              <w:rPr>
                <w:rFonts w:ascii="Times New Roman" w:hAnsi="Times New Roman" w:cs="Times New Roman"/>
              </w:rPr>
              <w:t>/</w:t>
            </w:r>
            <w:proofErr w:type="spellStart"/>
            <w:r w:rsidRPr="00C513FC">
              <w:rPr>
                <w:rFonts w:ascii="Times New Roman" w:hAnsi="Times New Roman" w:cs="Times New Roman"/>
              </w:rPr>
              <w:t>Bumula</w:t>
            </w:r>
            <w:proofErr w:type="spellEnd"/>
            <w:r w:rsidRPr="00C513FC">
              <w:rPr>
                <w:rFonts w:ascii="Times New Roman" w:hAnsi="Times New Roman" w:cs="Times New Roman"/>
              </w:rPr>
              <w:t xml:space="preserve"> wards</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1592769-2024/2025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120,000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15</w:t>
            </w:r>
          </w:p>
        </w:tc>
        <w:tc>
          <w:tcPr>
            <w:tcW w:w="3860" w:type="dxa"/>
          </w:tcPr>
          <w:p w:rsidR="002A5B1D" w:rsidRPr="00C513FC" w:rsidRDefault="002A5B1D" w:rsidP="00010183">
            <w:pPr>
              <w:spacing w:after="160" w:line="259" w:lineRule="auto"/>
              <w:rPr>
                <w:rFonts w:ascii="Times New Roman" w:hAnsi="Times New Roman" w:cs="Times New Roman"/>
              </w:rPr>
            </w:pPr>
            <w:proofErr w:type="spellStart"/>
            <w:r w:rsidRPr="00C513FC">
              <w:rPr>
                <w:rFonts w:ascii="Times New Roman" w:hAnsi="Times New Roman" w:cs="Times New Roman"/>
              </w:rPr>
              <w:t>Solarization</w:t>
            </w:r>
            <w:proofErr w:type="spellEnd"/>
            <w:r w:rsidRPr="00C513FC">
              <w:rPr>
                <w:rFonts w:ascii="Times New Roman" w:hAnsi="Times New Roman" w:cs="Times New Roman"/>
              </w:rPr>
              <w:t xml:space="preserve"> and Extension of </w:t>
            </w:r>
            <w:proofErr w:type="spellStart"/>
            <w:r w:rsidRPr="00C513FC">
              <w:rPr>
                <w:rFonts w:ascii="Times New Roman" w:hAnsi="Times New Roman" w:cs="Times New Roman"/>
              </w:rPr>
              <w:t>Namuninge</w:t>
            </w:r>
            <w:proofErr w:type="spellEnd"/>
            <w:r w:rsidRPr="00C513FC">
              <w:rPr>
                <w:rFonts w:ascii="Times New Roman" w:hAnsi="Times New Roman" w:cs="Times New Roman"/>
              </w:rPr>
              <w:t xml:space="preserve"> Dam water Project</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1592770-2024/2025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100,000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16</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Wamunyiri</w:t>
            </w:r>
            <w:proofErr w:type="spellEnd"/>
            <w:r w:rsidRPr="00C513FC">
              <w:rPr>
                <w:rFonts w:ascii="Times New Roman" w:hAnsi="Times New Roman" w:cs="Times New Roman"/>
              </w:rPr>
              <w:t xml:space="preserve"> Borehole in </w:t>
            </w:r>
            <w:proofErr w:type="spellStart"/>
            <w:r w:rsidRPr="00C513FC">
              <w:rPr>
                <w:rFonts w:ascii="Times New Roman" w:hAnsi="Times New Roman" w:cs="Times New Roman"/>
              </w:rPr>
              <w:t>Kabula</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1592773-2024/2025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100,000</w:t>
            </w:r>
          </w:p>
        </w:tc>
      </w:tr>
      <w:tr w:rsidR="002A5B1D" w:rsidRPr="00C513FC" w:rsidTr="00010183">
        <w:trPr>
          <w:trHeight w:val="596"/>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17</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Khatete</w:t>
            </w:r>
            <w:proofErr w:type="spellEnd"/>
            <w:r w:rsidRPr="00C513FC">
              <w:rPr>
                <w:rFonts w:ascii="Times New Roman" w:hAnsi="Times New Roman" w:cs="Times New Roman"/>
              </w:rPr>
              <w:t xml:space="preserve"> spring in </w:t>
            </w:r>
            <w:proofErr w:type="spellStart"/>
            <w:r w:rsidRPr="00C513FC">
              <w:rPr>
                <w:rFonts w:ascii="Times New Roman" w:hAnsi="Times New Roman" w:cs="Times New Roman"/>
              </w:rPr>
              <w:t>Luuya</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Bwake</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1592774-2024/2025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100,000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18</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Upgrading Of </w:t>
            </w:r>
            <w:proofErr w:type="spellStart"/>
            <w:r w:rsidRPr="00C513FC">
              <w:rPr>
                <w:rFonts w:ascii="Times New Roman" w:hAnsi="Times New Roman" w:cs="Times New Roman"/>
              </w:rPr>
              <w:t>Bituyu</w:t>
            </w:r>
            <w:proofErr w:type="spellEnd"/>
            <w:r w:rsidRPr="00C513FC">
              <w:rPr>
                <w:rFonts w:ascii="Times New Roman" w:hAnsi="Times New Roman" w:cs="Times New Roman"/>
              </w:rPr>
              <w:t xml:space="preserve"> Primary And St. Peters Sec Boreholes In </w:t>
            </w:r>
            <w:proofErr w:type="spellStart"/>
            <w:r w:rsidRPr="00C513FC">
              <w:rPr>
                <w:rFonts w:ascii="Times New Roman" w:hAnsi="Times New Roman" w:cs="Times New Roman"/>
              </w:rPr>
              <w:t>Kimilili</w:t>
            </w:r>
            <w:proofErr w:type="spellEnd"/>
            <w:r w:rsidRPr="00C513FC">
              <w:rPr>
                <w:rFonts w:ascii="Times New Roman" w:hAnsi="Times New Roman" w:cs="Times New Roman"/>
              </w:rPr>
              <w:t xml:space="preserve">/ </w:t>
            </w:r>
            <w:proofErr w:type="spellStart"/>
            <w:r w:rsidRPr="00C513FC">
              <w:rPr>
                <w:rFonts w:ascii="Times New Roman" w:hAnsi="Times New Roman" w:cs="Times New Roman"/>
              </w:rPr>
              <w:t>Ndalu</w:t>
            </w:r>
            <w:proofErr w:type="spellEnd"/>
            <w:r w:rsidRPr="00C513FC">
              <w:rPr>
                <w:rFonts w:ascii="Times New Roman" w:hAnsi="Times New Roman" w:cs="Times New Roman"/>
              </w:rPr>
              <w:t xml:space="preserve"> ward</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1592005-2024/2025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130,000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19</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 xml:space="preserve">Rehabilitation of </w:t>
            </w:r>
            <w:proofErr w:type="spellStart"/>
            <w:r w:rsidRPr="00C513FC">
              <w:rPr>
                <w:rFonts w:ascii="Times New Roman" w:hAnsi="Times New Roman" w:cs="Times New Roman"/>
              </w:rPr>
              <w:t>Sitabicha</w:t>
            </w:r>
            <w:proofErr w:type="spellEnd"/>
            <w:r w:rsidRPr="00C513FC">
              <w:rPr>
                <w:rFonts w:ascii="Times New Roman" w:hAnsi="Times New Roman" w:cs="Times New Roman"/>
              </w:rPr>
              <w:t xml:space="preserve"> multi-purpose Dam </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1592777-2024/2025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1,150,000</w:t>
            </w:r>
          </w:p>
        </w:tc>
      </w:tr>
      <w:tr w:rsidR="002A5B1D" w:rsidRPr="00C513FC" w:rsidTr="00010183">
        <w:trPr>
          <w:trHeight w:val="215"/>
        </w:trPr>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20</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Purchase of motor vehicle</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1592792-2024/2025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200000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21</w:t>
            </w:r>
          </w:p>
        </w:tc>
        <w:tc>
          <w:tcPr>
            <w:tcW w:w="386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Provision of consultancy services for environment and social impact assessment for FLLOCA funded project</w:t>
            </w:r>
          </w:p>
        </w:tc>
        <w:tc>
          <w:tcPr>
            <w:tcW w:w="1810"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1592794-2024/2025</w:t>
            </w:r>
          </w:p>
        </w:tc>
        <w:tc>
          <w:tcPr>
            <w:tcW w:w="1623" w:type="dxa"/>
          </w:tcPr>
          <w:p w:rsidR="002A5B1D" w:rsidRPr="00C513FC" w:rsidRDefault="002A5B1D" w:rsidP="00010183">
            <w:pPr>
              <w:spacing w:after="160" w:line="259" w:lineRule="auto"/>
              <w:rPr>
                <w:rFonts w:ascii="Times New Roman" w:hAnsi="Times New Roman" w:cs="Times New Roman"/>
              </w:rPr>
            </w:pPr>
            <w:r w:rsidRPr="00C513FC">
              <w:rPr>
                <w:rFonts w:ascii="Times New Roman" w:hAnsi="Times New Roman" w:cs="Times New Roman"/>
              </w:rPr>
              <w:t>CITIZEN</w:t>
            </w:r>
          </w:p>
          <w:p w:rsidR="002A5B1D" w:rsidRPr="00C513FC" w:rsidRDefault="002A5B1D" w:rsidP="00010183">
            <w:pPr>
              <w:spacing w:after="160" w:line="259" w:lineRule="auto"/>
              <w:rPr>
                <w:rFonts w:ascii="Times New Roman" w:hAnsi="Times New Roman" w:cs="Times New Roman"/>
              </w:rPr>
            </w:pP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90,000</w:t>
            </w:r>
          </w:p>
        </w:tc>
      </w:tr>
      <w:tr w:rsidR="002A5B1D" w:rsidRPr="00C513FC" w:rsidTr="00010183">
        <w:tc>
          <w:tcPr>
            <w:tcW w:w="730" w:type="dxa"/>
          </w:tcPr>
          <w:p w:rsidR="002A5B1D" w:rsidRPr="00C513FC" w:rsidRDefault="002A5B1D" w:rsidP="00010183">
            <w:pPr>
              <w:rPr>
                <w:rFonts w:ascii="Times New Roman" w:hAnsi="Times New Roman" w:cs="Times New Roman"/>
              </w:rPr>
            </w:pPr>
            <w:r>
              <w:rPr>
                <w:rFonts w:ascii="Times New Roman" w:hAnsi="Times New Roman" w:cs="Times New Roman"/>
              </w:rPr>
              <w:t>22</w:t>
            </w:r>
          </w:p>
        </w:tc>
        <w:tc>
          <w:tcPr>
            <w:tcW w:w="3860"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Tree planting and beautification in Bungoma municipality</w:t>
            </w:r>
          </w:p>
        </w:tc>
        <w:tc>
          <w:tcPr>
            <w:tcW w:w="1810"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1592781-2024/2025</w:t>
            </w:r>
          </w:p>
        </w:tc>
        <w:tc>
          <w:tcPr>
            <w:tcW w:w="1623"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WOMEN</w:t>
            </w:r>
          </w:p>
        </w:tc>
        <w:tc>
          <w:tcPr>
            <w:tcW w:w="1427" w:type="dxa"/>
          </w:tcPr>
          <w:p w:rsidR="002A5B1D" w:rsidRPr="00C513FC" w:rsidRDefault="002A5B1D" w:rsidP="00010183">
            <w:pPr>
              <w:rPr>
                <w:rFonts w:ascii="Times New Roman" w:hAnsi="Times New Roman" w:cs="Times New Roman"/>
              </w:rPr>
            </w:pPr>
            <w:r w:rsidRPr="00C513FC">
              <w:rPr>
                <w:rFonts w:ascii="Times New Roman" w:hAnsi="Times New Roman" w:cs="Times New Roman"/>
              </w:rPr>
              <w:t>NA</w:t>
            </w:r>
          </w:p>
        </w:tc>
      </w:tr>
    </w:tbl>
    <w:p w:rsidR="002A5B1D" w:rsidRPr="00111045" w:rsidRDefault="002A5B1D" w:rsidP="002A5B1D">
      <w:pPr>
        <w:rPr>
          <w:rFonts w:ascii="Times New Roman" w:hAnsi="Times New Roman" w:cs="Times New Roman"/>
        </w:rPr>
      </w:pPr>
      <w:r w:rsidRPr="00472ABA">
        <w:rPr>
          <w:rFonts w:ascii="Times New Roman" w:hAnsi="Times New Roman" w:cs="Times New Roman"/>
        </w:rPr>
        <w:t xml:space="preserve">The County Government of Bungoma through the department of Tourism, Environment, Water Natural Resources and Climate Change under </w:t>
      </w:r>
      <w:proofErr w:type="spellStart"/>
      <w:r w:rsidRPr="00472ABA">
        <w:rPr>
          <w:rFonts w:ascii="Times New Roman" w:hAnsi="Times New Roman" w:cs="Times New Roman"/>
        </w:rPr>
        <w:t>FLLoCA</w:t>
      </w:r>
      <w:proofErr w:type="spellEnd"/>
      <w:r w:rsidRPr="00472ABA">
        <w:rPr>
          <w:rFonts w:ascii="Times New Roman" w:hAnsi="Times New Roman" w:cs="Times New Roman"/>
        </w:rPr>
        <w:t xml:space="preserve"> Program Wishes to invite tenders electronically by </w:t>
      </w:r>
      <w:proofErr w:type="spellStart"/>
      <w:r w:rsidRPr="00472ABA">
        <w:rPr>
          <w:rFonts w:ascii="Times New Roman" w:hAnsi="Times New Roman" w:cs="Times New Roman"/>
        </w:rPr>
        <w:t>IfMIS</w:t>
      </w:r>
      <w:proofErr w:type="spellEnd"/>
      <w:r w:rsidRPr="00472ABA">
        <w:rPr>
          <w:rFonts w:ascii="Times New Roman" w:hAnsi="Times New Roman" w:cs="Times New Roman"/>
        </w:rPr>
        <w:t xml:space="preserve"> Tendering will be conducted under Open Tender method using a standard tender document. Tendering is open to </w:t>
      </w:r>
      <w:r w:rsidRPr="00472ABA">
        <w:rPr>
          <w:rFonts w:ascii="Times New Roman" w:hAnsi="Times New Roman" w:cs="Times New Roman"/>
          <w:u w:val="single"/>
        </w:rPr>
        <w:t>all qualiﬁed and interested Tenderers</w:t>
      </w:r>
      <w:r w:rsidRPr="00472ABA">
        <w:rPr>
          <w:rFonts w:ascii="Times New Roman" w:hAnsi="Times New Roman" w:cs="Times New Roman"/>
        </w:rPr>
        <w:t xml:space="preserve">. Qualiﬁed and interested tenderers may obtain further information and inspect the Tender Documents at Supply Chain Management Office located behind H.E </w:t>
      </w:r>
      <w:r w:rsidRPr="00472ABA">
        <w:rPr>
          <w:rFonts w:ascii="Times New Roman" w:hAnsi="Times New Roman" w:cs="Times New Roman"/>
        </w:rPr>
        <w:lastRenderedPageBreak/>
        <w:t xml:space="preserve">the </w:t>
      </w:r>
      <w:proofErr w:type="gramStart"/>
      <w:r w:rsidRPr="00472ABA">
        <w:rPr>
          <w:rFonts w:ascii="Times New Roman" w:hAnsi="Times New Roman" w:cs="Times New Roman"/>
        </w:rPr>
        <w:t>Governor ‘s</w:t>
      </w:r>
      <w:proofErr w:type="gramEnd"/>
      <w:r w:rsidRPr="00472ABA">
        <w:rPr>
          <w:rFonts w:ascii="Times New Roman" w:hAnsi="Times New Roman" w:cs="Times New Roman"/>
        </w:rPr>
        <w:t xml:space="preserve"> office County Government of Bungoma for assistance during official working hours. (Monday-Friday 8:00am-5:00Pm). Interested eligible candidates may download a complete set of tender document with evaluation criteria from the County Government of Bungoma website </w:t>
      </w:r>
      <w:hyperlink r:id="rId6" w:history="1">
        <w:r w:rsidRPr="00472ABA">
          <w:rPr>
            <w:rStyle w:val="Hyperlink"/>
            <w:rFonts w:ascii="Times New Roman" w:hAnsi="Times New Roman" w:cs="Times New Roman"/>
          </w:rPr>
          <w:t>www.bungoma.go.ke</w:t>
        </w:r>
      </w:hyperlink>
      <w:r w:rsidRPr="00472ABA">
        <w:rPr>
          <w:rFonts w:ascii="Times New Roman" w:hAnsi="Times New Roman" w:cs="Times New Roman"/>
        </w:rPr>
        <w:t xml:space="preserve"> and/or  Public Procurement Information Portal: </w:t>
      </w:r>
      <w:hyperlink r:id="rId7" w:history="1">
        <w:r w:rsidRPr="00472ABA">
          <w:rPr>
            <w:rStyle w:val="Hyperlink"/>
            <w:rFonts w:ascii="Times New Roman" w:hAnsi="Times New Roman" w:cs="Times New Roman"/>
          </w:rPr>
          <w:t>www.tenders.go.ke</w:t>
        </w:r>
      </w:hyperlink>
      <w:r w:rsidRPr="00472ABA">
        <w:rPr>
          <w:rFonts w:ascii="Times New Roman" w:hAnsi="Times New Roman" w:cs="Times New Roman"/>
        </w:rPr>
        <w:t xml:space="preserve">  using the unique IFMIS negotiation number indicated in the tender </w:t>
      </w:r>
      <w:proofErr w:type="spellStart"/>
      <w:r w:rsidRPr="00472ABA">
        <w:rPr>
          <w:rFonts w:ascii="Times New Roman" w:hAnsi="Times New Roman" w:cs="Times New Roman"/>
        </w:rPr>
        <w:t>advertComplete</w:t>
      </w:r>
      <w:proofErr w:type="spellEnd"/>
      <w:r w:rsidRPr="00472ABA">
        <w:rPr>
          <w:rFonts w:ascii="Times New Roman" w:hAnsi="Times New Roman" w:cs="Times New Roman"/>
        </w:rPr>
        <w:t xml:space="preserve"> tender document must be submitted through the IFMIS SUPPLIER PORTAL </w:t>
      </w:r>
      <w:hyperlink r:id="rId8" w:history="1">
        <w:r w:rsidRPr="00472ABA">
          <w:rPr>
            <w:rStyle w:val="Hyperlink"/>
            <w:rFonts w:ascii="Times New Roman" w:hAnsi="Times New Roman" w:cs="Times New Roman"/>
          </w:rPr>
          <w:t>www.supplier.treasury.go.ke</w:t>
        </w:r>
      </w:hyperlink>
      <w:r w:rsidRPr="00472ABA">
        <w:rPr>
          <w:rFonts w:ascii="Times New Roman" w:hAnsi="Times New Roman" w:cs="Times New Roman"/>
        </w:rPr>
        <w:t xml:space="preserve"> as per the requirement contained in the tender document so as to be received on or before </w:t>
      </w:r>
      <w:r w:rsidRPr="00472ABA">
        <w:rPr>
          <w:rFonts w:ascii="Times New Roman" w:hAnsi="Times New Roman" w:cs="Times New Roman"/>
          <w:b/>
        </w:rPr>
        <w:t>THURSDAY 11</w:t>
      </w:r>
      <w:r w:rsidRPr="00472ABA">
        <w:rPr>
          <w:rFonts w:ascii="Times New Roman" w:hAnsi="Times New Roman" w:cs="Times New Roman"/>
          <w:b/>
          <w:vertAlign w:val="superscript"/>
        </w:rPr>
        <w:t>TH</w:t>
      </w:r>
      <w:r w:rsidRPr="00472ABA">
        <w:rPr>
          <w:rFonts w:ascii="Times New Roman" w:hAnsi="Times New Roman" w:cs="Times New Roman"/>
          <w:b/>
        </w:rPr>
        <w:t xml:space="preserve">  JULY  2024 At 11.00a.m Local </w:t>
      </w:r>
      <w:proofErr w:type="spellStart"/>
      <w:r w:rsidRPr="00472ABA">
        <w:rPr>
          <w:rFonts w:ascii="Times New Roman" w:hAnsi="Times New Roman" w:cs="Times New Roman"/>
          <w:b/>
        </w:rPr>
        <w:t>Time</w:t>
      </w:r>
      <w:r w:rsidRPr="00472ABA">
        <w:rPr>
          <w:rFonts w:ascii="Times New Roman" w:hAnsi="Times New Roman" w:cs="Times New Roman"/>
        </w:rPr>
        <w:t>Tenders</w:t>
      </w:r>
      <w:proofErr w:type="spellEnd"/>
      <w:r w:rsidRPr="00472ABA">
        <w:rPr>
          <w:rFonts w:ascii="Times New Roman" w:hAnsi="Times New Roman" w:cs="Times New Roman"/>
        </w:rPr>
        <w:t xml:space="preserve"> will be opened immediately after the deadline date and time speciﬁed above or any deadline date and time speciﬁed later. Tenders will be publicly opened in the presence of the Tenderers' designated representatives who choose to attend at the address below. Bidders who may experience challenges in accessing and uploading their tenders in the IMIS tender portal should contact the IFMIS Helpdesk (email http/</w:t>
      </w:r>
      <w:proofErr w:type="spellStart"/>
      <w:r w:rsidRPr="00472ABA">
        <w:rPr>
          <w:rFonts w:ascii="Times New Roman" w:hAnsi="Times New Roman" w:cs="Times New Roman"/>
        </w:rPr>
        <w:t>ifmis</w:t>
      </w:r>
      <w:proofErr w:type="spellEnd"/>
      <w:r w:rsidRPr="00472ABA">
        <w:rPr>
          <w:rFonts w:ascii="Times New Roman" w:hAnsi="Times New Roman" w:cs="Times New Roman"/>
        </w:rPr>
        <w:t xml:space="preserve"> go.ke. Tel</w:t>
      </w:r>
      <w:proofErr w:type="gramStart"/>
      <w:r w:rsidRPr="00472ABA">
        <w:rPr>
          <w:rFonts w:ascii="Times New Roman" w:hAnsi="Times New Roman" w:cs="Times New Roman"/>
        </w:rPr>
        <w:t>:0800721477</w:t>
      </w:r>
      <w:proofErr w:type="gramEnd"/>
      <w:r w:rsidRPr="00472ABA">
        <w:rPr>
          <w:rFonts w:ascii="Times New Roman" w:hAnsi="Times New Roman" w:cs="Times New Roman"/>
        </w:rPr>
        <w:t>/0204801801) at treasury or contact Supply Chain Management Office</w:t>
      </w:r>
    </w:p>
    <w:p w:rsidR="003D7827" w:rsidRDefault="003D7827">
      <w:bookmarkStart w:id="0" w:name="_GoBack"/>
      <w:bookmarkEnd w:id="0"/>
    </w:p>
    <w:sectPr w:rsidR="003D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4A"/>
    <w:rsid w:val="001A661D"/>
    <w:rsid w:val="002A5B1D"/>
    <w:rsid w:val="003D7827"/>
    <w:rsid w:val="005F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287A"/>
  <w15:chartTrackingRefBased/>
  <w15:docId w15:val="{385E3A0D-A60A-4D7B-9B91-AA6C3F3C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5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plier.treasury.go.ke" TargetMode="External"/><Relationship Id="rId3" Type="http://schemas.openxmlformats.org/officeDocument/2006/relationships/webSettings" Target="webSettings.xml"/><Relationship Id="rId7" Type="http://schemas.openxmlformats.org/officeDocument/2006/relationships/hyperlink" Target="http://www.tenders.go.k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ngoma.go.ke"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2024-06-27T08:22:00Z</dcterms:created>
  <dcterms:modified xsi:type="dcterms:W3CDTF">2024-06-27T08:22:00Z</dcterms:modified>
</cp:coreProperties>
</file>