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C4AF9" w14:textId="77777777" w:rsidR="00BB77C0" w:rsidRDefault="00370BAA">
      <w:pPr>
        <w:pStyle w:val="BodyText"/>
        <w:ind w:left="3735"/>
        <w:rPr>
          <w:sz w:val="20"/>
        </w:rPr>
      </w:pPr>
      <w:r>
        <w:rPr>
          <w:noProof/>
          <w:sz w:val="20"/>
        </w:rPr>
        <w:drawing>
          <wp:inline distT="0" distB="0" distL="0" distR="0" wp14:anchorId="680BEE2D" wp14:editId="2CBD1AB4">
            <wp:extent cx="1897521" cy="1416557"/>
            <wp:effectExtent l="0" t="0" r="0" b="0"/>
            <wp:docPr id="1" name="Image 1" descr="CROP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ROP "/>
                    <pic:cNvPicPr/>
                  </pic:nvPicPr>
                  <pic:blipFill>
                    <a:blip r:embed="rId5" cstate="print"/>
                    <a:stretch>
                      <a:fillRect/>
                    </a:stretch>
                  </pic:blipFill>
                  <pic:spPr>
                    <a:xfrm>
                      <a:off x="0" y="0"/>
                      <a:ext cx="1897521" cy="1416557"/>
                    </a:xfrm>
                    <a:prstGeom prst="rect">
                      <a:avLst/>
                    </a:prstGeom>
                  </pic:spPr>
                </pic:pic>
              </a:graphicData>
            </a:graphic>
          </wp:inline>
        </w:drawing>
      </w:r>
    </w:p>
    <w:p w14:paraId="7BC50BFE" w14:textId="77777777" w:rsidR="00BB77C0" w:rsidRDefault="00370BAA">
      <w:pPr>
        <w:pStyle w:val="Heading4"/>
        <w:ind w:left="1508" w:right="768" w:firstLine="1042"/>
      </w:pPr>
      <w:r>
        <w:t xml:space="preserve">COUNTY GOVERNMENT OF BUNGOMA </w:t>
      </w:r>
      <w:r>
        <w:rPr>
          <w:spacing w:val="-2"/>
        </w:rPr>
        <w:t>MINISTRY</w:t>
      </w:r>
      <w:r>
        <w:rPr>
          <w:spacing w:val="-16"/>
        </w:rPr>
        <w:t xml:space="preserve"> </w:t>
      </w:r>
      <w:r>
        <w:rPr>
          <w:spacing w:val="-2"/>
        </w:rPr>
        <w:t>OF</w:t>
      </w:r>
      <w:r>
        <w:rPr>
          <w:spacing w:val="-15"/>
        </w:rPr>
        <w:t xml:space="preserve"> </w:t>
      </w:r>
      <w:r>
        <w:rPr>
          <w:spacing w:val="-2"/>
        </w:rPr>
        <w:t>AGRICULTURE,</w:t>
      </w:r>
      <w:r>
        <w:rPr>
          <w:spacing w:val="-16"/>
        </w:rPr>
        <w:t xml:space="preserve"> </w:t>
      </w:r>
      <w:r>
        <w:rPr>
          <w:spacing w:val="-2"/>
        </w:rPr>
        <w:t>LIVESTOCK,</w:t>
      </w:r>
      <w:r>
        <w:rPr>
          <w:spacing w:val="-15"/>
        </w:rPr>
        <w:t xml:space="preserve"> </w:t>
      </w:r>
      <w:r>
        <w:rPr>
          <w:spacing w:val="-2"/>
        </w:rPr>
        <w:t>FISHERIES,</w:t>
      </w:r>
    </w:p>
    <w:p w14:paraId="516A11CC" w14:textId="77777777" w:rsidR="00BB77C0" w:rsidRDefault="00370BAA">
      <w:pPr>
        <w:spacing w:line="321" w:lineRule="exact"/>
        <w:ind w:left="2886"/>
        <w:rPr>
          <w:b/>
          <w:sz w:val="28"/>
        </w:rPr>
      </w:pPr>
      <w:r>
        <w:rPr>
          <w:b/>
          <w:noProof/>
          <w:sz w:val="28"/>
        </w:rPr>
        <mc:AlternateContent>
          <mc:Choice Requires="wps">
            <w:drawing>
              <wp:anchor distT="0" distB="0" distL="0" distR="0" simplePos="0" relativeHeight="483997696" behindDoc="1" locked="0" layoutInCell="1" allowOverlap="1" wp14:anchorId="6DB62382" wp14:editId="7F7D344C">
                <wp:simplePos x="0" y="0"/>
                <wp:positionH relativeFrom="page">
                  <wp:posOffset>831469</wp:posOffset>
                </wp:positionH>
                <wp:positionV relativeFrom="paragraph">
                  <wp:posOffset>322233</wp:posOffset>
                </wp:positionV>
                <wp:extent cx="6144260" cy="388239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44260" cy="3882390"/>
                        </a:xfrm>
                        <a:custGeom>
                          <a:avLst/>
                          <a:gdLst/>
                          <a:ahLst/>
                          <a:cxnLst/>
                          <a:rect l="l" t="t" r="r" b="b"/>
                          <a:pathLst>
                            <a:path w="6144260" h="3882390">
                              <a:moveTo>
                                <a:pt x="6137656" y="0"/>
                              </a:moveTo>
                              <a:lnTo>
                                <a:pt x="6146" y="0"/>
                              </a:lnTo>
                              <a:lnTo>
                                <a:pt x="0" y="6096"/>
                              </a:lnTo>
                              <a:lnTo>
                                <a:pt x="0" y="3875786"/>
                              </a:lnTo>
                              <a:lnTo>
                                <a:pt x="6146" y="3881881"/>
                              </a:lnTo>
                              <a:lnTo>
                                <a:pt x="6137656" y="3881881"/>
                              </a:lnTo>
                              <a:lnTo>
                                <a:pt x="6143752" y="3875786"/>
                              </a:lnTo>
                              <a:lnTo>
                                <a:pt x="6143752" y="3872738"/>
                              </a:lnTo>
                              <a:lnTo>
                                <a:pt x="11188" y="3872738"/>
                              </a:lnTo>
                              <a:lnTo>
                                <a:pt x="9143" y="3870705"/>
                              </a:lnTo>
                              <a:lnTo>
                                <a:pt x="9143" y="11175"/>
                              </a:lnTo>
                              <a:lnTo>
                                <a:pt x="11188" y="9144"/>
                              </a:lnTo>
                              <a:lnTo>
                                <a:pt x="6143752" y="9144"/>
                              </a:lnTo>
                              <a:lnTo>
                                <a:pt x="6143752" y="6096"/>
                              </a:lnTo>
                              <a:lnTo>
                                <a:pt x="6137656" y="0"/>
                              </a:lnTo>
                              <a:close/>
                            </a:path>
                            <a:path w="6144260" h="3882390">
                              <a:moveTo>
                                <a:pt x="6143752" y="9144"/>
                              </a:moveTo>
                              <a:lnTo>
                                <a:pt x="6132576" y="9144"/>
                              </a:lnTo>
                              <a:lnTo>
                                <a:pt x="6134608" y="11175"/>
                              </a:lnTo>
                              <a:lnTo>
                                <a:pt x="6134608" y="3870705"/>
                              </a:lnTo>
                              <a:lnTo>
                                <a:pt x="6132576" y="3872738"/>
                              </a:lnTo>
                              <a:lnTo>
                                <a:pt x="6143752" y="3872738"/>
                              </a:lnTo>
                              <a:lnTo>
                                <a:pt x="6143752" y="9144"/>
                              </a:lnTo>
                              <a:close/>
                            </a:path>
                            <a:path w="6144260" h="3882390">
                              <a:moveTo>
                                <a:pt x="6125463" y="18287"/>
                              </a:moveTo>
                              <a:lnTo>
                                <a:pt x="18287" y="18287"/>
                              </a:lnTo>
                              <a:lnTo>
                                <a:pt x="18287" y="3863593"/>
                              </a:lnTo>
                              <a:lnTo>
                                <a:pt x="6125463" y="3863593"/>
                              </a:lnTo>
                              <a:lnTo>
                                <a:pt x="6125463" y="3854450"/>
                              </a:lnTo>
                              <a:lnTo>
                                <a:pt x="27431" y="3854450"/>
                              </a:lnTo>
                              <a:lnTo>
                                <a:pt x="27431" y="27431"/>
                              </a:lnTo>
                              <a:lnTo>
                                <a:pt x="6125463" y="27431"/>
                              </a:lnTo>
                              <a:lnTo>
                                <a:pt x="6125463" y="18287"/>
                              </a:lnTo>
                              <a:close/>
                            </a:path>
                            <a:path w="6144260" h="3882390">
                              <a:moveTo>
                                <a:pt x="6125463" y="27431"/>
                              </a:moveTo>
                              <a:lnTo>
                                <a:pt x="6116320" y="27431"/>
                              </a:lnTo>
                              <a:lnTo>
                                <a:pt x="6116320" y="3854450"/>
                              </a:lnTo>
                              <a:lnTo>
                                <a:pt x="6125463" y="3854450"/>
                              </a:lnTo>
                              <a:lnTo>
                                <a:pt x="6125463" y="27431"/>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0A0BA5" id="Graphic 2" o:spid="_x0000_s1026" style="position:absolute;margin-left:65.45pt;margin-top:25.35pt;width:483.8pt;height:305.7pt;z-index:-19318784;visibility:visible;mso-wrap-style:square;mso-wrap-distance-left:0;mso-wrap-distance-top:0;mso-wrap-distance-right:0;mso-wrap-distance-bottom:0;mso-position-horizontal:absolute;mso-position-horizontal-relative:page;mso-position-vertical:absolute;mso-position-vertical-relative:text;v-text-anchor:top" coordsize="6144260,3882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" path="m6137656,l6146,,,6096,,3875786r6146,6095l6137656,3881881r6096,-6095l6143752,3872738r-6132564,l9143,3870705r,-3859530l11188,9144r6132564,l6143752,6096,6137656,xem6143752,9144r-11176,l6134608,11175r,3859530l6132576,3872738r11176,l6143752,9144xem6125463,18287r-6107176,l18287,3863593r6107176,l6125463,3854450r-6098032,l27431,27431r6098032,l6125463,18287xem6125463,27431r-9143,l6116320,3854450r9143,l6125463,27431xe" fillcolor="black" stroked="f">
                <v:path arrowok="t"/>
                <w10:wrap anchorx="page"/>
              </v:shape>
            </w:pict>
          </mc:Fallback>
        </mc:AlternateContent>
      </w:r>
      <w:r>
        <w:rPr>
          <w:b/>
          <w:spacing w:val="-6"/>
          <w:sz w:val="28"/>
        </w:rPr>
        <w:t>IRRIGATION</w:t>
      </w:r>
      <w:r>
        <w:rPr>
          <w:b/>
          <w:spacing w:val="-8"/>
          <w:sz w:val="28"/>
        </w:rPr>
        <w:t xml:space="preserve"> </w:t>
      </w:r>
      <w:r>
        <w:rPr>
          <w:b/>
          <w:spacing w:val="-6"/>
          <w:sz w:val="28"/>
        </w:rPr>
        <w:t>AND</w:t>
      </w:r>
      <w:r>
        <w:rPr>
          <w:b/>
          <w:spacing w:val="3"/>
          <w:sz w:val="28"/>
        </w:rPr>
        <w:t xml:space="preserve"> </w:t>
      </w:r>
      <w:r>
        <w:rPr>
          <w:b/>
          <w:spacing w:val="-6"/>
          <w:sz w:val="28"/>
        </w:rPr>
        <w:t>COOPERATIVES</w:t>
      </w:r>
    </w:p>
    <w:p w14:paraId="6D39A921" w14:textId="77777777" w:rsidR="00BB77C0" w:rsidRDefault="00BB77C0">
      <w:pPr>
        <w:pStyle w:val="BodyText"/>
        <w:spacing w:before="181"/>
        <w:rPr>
          <w:b/>
          <w:sz w:val="28"/>
        </w:rPr>
      </w:pPr>
    </w:p>
    <w:p w14:paraId="581A5803" w14:textId="77777777" w:rsidR="00BB77C0" w:rsidRDefault="00370BAA">
      <w:pPr>
        <w:ind w:right="205"/>
        <w:jc w:val="center"/>
        <w:rPr>
          <w:rFonts w:ascii="Cambria"/>
          <w:b/>
          <w:sz w:val="44"/>
        </w:rPr>
      </w:pPr>
      <w:r>
        <w:rPr>
          <w:rFonts w:ascii="Cambria"/>
          <w:b/>
          <w:w w:val="115"/>
          <w:sz w:val="44"/>
        </w:rPr>
        <w:t>SPECIFICATIONS</w:t>
      </w:r>
      <w:r>
        <w:rPr>
          <w:rFonts w:ascii="Cambria"/>
          <w:b/>
          <w:spacing w:val="-15"/>
          <w:w w:val="115"/>
          <w:sz w:val="44"/>
        </w:rPr>
        <w:t xml:space="preserve"> </w:t>
      </w:r>
      <w:r>
        <w:rPr>
          <w:rFonts w:ascii="Cambria"/>
          <w:b/>
          <w:w w:val="115"/>
          <w:sz w:val="44"/>
        </w:rPr>
        <w:t>AND</w:t>
      </w:r>
      <w:r>
        <w:rPr>
          <w:rFonts w:ascii="Cambria"/>
          <w:b/>
          <w:spacing w:val="-20"/>
          <w:w w:val="115"/>
          <w:sz w:val="44"/>
        </w:rPr>
        <w:t xml:space="preserve"> </w:t>
      </w:r>
      <w:r>
        <w:rPr>
          <w:rFonts w:ascii="Cambria"/>
          <w:b/>
          <w:w w:val="115"/>
          <w:sz w:val="44"/>
        </w:rPr>
        <w:t>BILLS</w:t>
      </w:r>
      <w:r>
        <w:rPr>
          <w:rFonts w:ascii="Cambria"/>
          <w:b/>
          <w:spacing w:val="-15"/>
          <w:w w:val="115"/>
          <w:sz w:val="44"/>
        </w:rPr>
        <w:t xml:space="preserve"> </w:t>
      </w:r>
      <w:r>
        <w:rPr>
          <w:rFonts w:ascii="Cambria"/>
          <w:b/>
          <w:w w:val="115"/>
          <w:sz w:val="44"/>
        </w:rPr>
        <w:t xml:space="preserve">OF </w:t>
      </w:r>
      <w:r>
        <w:rPr>
          <w:rFonts w:ascii="Cambria"/>
          <w:b/>
          <w:spacing w:val="-2"/>
          <w:w w:val="115"/>
          <w:sz w:val="44"/>
        </w:rPr>
        <w:t>QUANTITIES</w:t>
      </w:r>
    </w:p>
    <w:p w14:paraId="05AF6334" w14:textId="77777777" w:rsidR="00BB77C0" w:rsidRDefault="00370BAA">
      <w:pPr>
        <w:pStyle w:val="Heading3"/>
        <w:spacing w:before="297"/>
        <w:ind w:left="12"/>
      </w:pPr>
      <w:r>
        <w:rPr>
          <w:spacing w:val="-5"/>
          <w:w w:val="120"/>
        </w:rPr>
        <w:t>FOR</w:t>
      </w:r>
    </w:p>
    <w:p w14:paraId="347D7BE3" w14:textId="77777777" w:rsidR="00BB77C0" w:rsidRDefault="00370BAA">
      <w:pPr>
        <w:pStyle w:val="Heading3"/>
        <w:spacing w:before="273"/>
        <w:ind w:left="10"/>
      </w:pPr>
      <w:r>
        <w:rPr>
          <w:w w:val="115"/>
        </w:rPr>
        <w:t>PROPOSED</w:t>
      </w:r>
      <w:r>
        <w:rPr>
          <w:spacing w:val="-2"/>
          <w:w w:val="115"/>
        </w:rPr>
        <w:t xml:space="preserve"> </w:t>
      </w:r>
      <w:r>
        <w:rPr>
          <w:w w:val="115"/>
        </w:rPr>
        <w:t>SUPPLY</w:t>
      </w:r>
      <w:r>
        <w:rPr>
          <w:spacing w:val="-2"/>
          <w:w w:val="115"/>
        </w:rPr>
        <w:t xml:space="preserve"> </w:t>
      </w:r>
      <w:r>
        <w:rPr>
          <w:w w:val="115"/>
        </w:rPr>
        <w:t>AND</w:t>
      </w:r>
      <w:r>
        <w:rPr>
          <w:spacing w:val="-2"/>
          <w:w w:val="115"/>
        </w:rPr>
        <w:t xml:space="preserve"> INSTALLATION</w:t>
      </w:r>
    </w:p>
    <w:p w14:paraId="4D067D92" w14:textId="77777777" w:rsidR="00BB77C0" w:rsidRDefault="00BB77C0">
      <w:pPr>
        <w:pStyle w:val="BodyText"/>
        <w:spacing w:before="142"/>
        <w:rPr>
          <w:rFonts w:ascii="Cambria"/>
          <w:b/>
          <w:sz w:val="32"/>
        </w:rPr>
      </w:pPr>
    </w:p>
    <w:p w14:paraId="0D0C162B" w14:textId="77777777" w:rsidR="00BB77C0" w:rsidRDefault="00370BAA">
      <w:pPr>
        <w:pStyle w:val="Heading3"/>
        <w:spacing w:before="1"/>
      </w:pPr>
      <w:r>
        <w:rPr>
          <w:spacing w:val="-5"/>
          <w:w w:val="120"/>
        </w:rPr>
        <w:t>OF</w:t>
      </w:r>
    </w:p>
    <w:p w14:paraId="23BB3814" w14:textId="77777777" w:rsidR="00BB77C0" w:rsidRDefault="00370BAA">
      <w:pPr>
        <w:pStyle w:val="Heading3"/>
        <w:spacing w:before="4"/>
      </w:pPr>
      <w:r>
        <w:rPr>
          <w:w w:val="115"/>
        </w:rPr>
        <w:t>A</w:t>
      </w:r>
      <w:r>
        <w:rPr>
          <w:spacing w:val="22"/>
          <w:w w:val="115"/>
        </w:rPr>
        <w:t xml:space="preserve"> </w:t>
      </w:r>
      <w:r>
        <w:rPr>
          <w:w w:val="115"/>
        </w:rPr>
        <w:t>4</w:t>
      </w:r>
      <w:r>
        <w:rPr>
          <w:spacing w:val="20"/>
          <w:w w:val="115"/>
        </w:rPr>
        <w:t xml:space="preserve"> </w:t>
      </w:r>
      <w:r>
        <w:rPr>
          <w:w w:val="115"/>
        </w:rPr>
        <w:t>DISC</w:t>
      </w:r>
      <w:r>
        <w:rPr>
          <w:spacing w:val="23"/>
          <w:w w:val="115"/>
        </w:rPr>
        <w:t xml:space="preserve"> </w:t>
      </w:r>
      <w:r>
        <w:rPr>
          <w:w w:val="115"/>
        </w:rPr>
        <w:t>COFFE</w:t>
      </w:r>
      <w:r>
        <w:rPr>
          <w:spacing w:val="21"/>
          <w:w w:val="115"/>
        </w:rPr>
        <w:t xml:space="preserve"> </w:t>
      </w:r>
      <w:r>
        <w:rPr>
          <w:w w:val="115"/>
        </w:rPr>
        <w:t>PULPING</w:t>
      </w:r>
      <w:r>
        <w:rPr>
          <w:spacing w:val="24"/>
          <w:w w:val="115"/>
        </w:rPr>
        <w:t xml:space="preserve"> </w:t>
      </w:r>
      <w:r>
        <w:rPr>
          <w:spacing w:val="-2"/>
          <w:w w:val="115"/>
        </w:rPr>
        <w:t>MACHINE</w:t>
      </w:r>
    </w:p>
    <w:p w14:paraId="6063238A" w14:textId="77777777" w:rsidR="00BB77C0" w:rsidRDefault="00BB77C0">
      <w:pPr>
        <w:pStyle w:val="BodyText"/>
        <w:spacing w:before="142"/>
        <w:rPr>
          <w:rFonts w:ascii="Cambria"/>
          <w:b/>
          <w:sz w:val="32"/>
        </w:rPr>
      </w:pPr>
    </w:p>
    <w:p w14:paraId="565761E3" w14:textId="77777777" w:rsidR="00BB77C0" w:rsidRDefault="00370BAA">
      <w:pPr>
        <w:pStyle w:val="Heading3"/>
        <w:spacing w:line="242" w:lineRule="auto"/>
        <w:ind w:left="3146" w:right="2773" w:firstLine="1435"/>
        <w:jc w:val="left"/>
      </w:pPr>
      <w:r>
        <w:rPr>
          <w:spacing w:val="-6"/>
          <w:w w:val="110"/>
        </w:rPr>
        <w:t xml:space="preserve">IN </w:t>
      </w:r>
      <w:r>
        <w:rPr>
          <w:w w:val="110"/>
        </w:rPr>
        <w:t>KAPKATENY</w:t>
      </w:r>
      <w:r>
        <w:rPr>
          <w:spacing w:val="61"/>
          <w:w w:val="110"/>
        </w:rPr>
        <w:t xml:space="preserve"> </w:t>
      </w:r>
      <w:r>
        <w:rPr>
          <w:spacing w:val="-4"/>
          <w:w w:val="110"/>
        </w:rPr>
        <w:t>WARD</w:t>
      </w:r>
    </w:p>
    <w:p w14:paraId="71532BDC" w14:textId="77777777" w:rsidR="00BB77C0" w:rsidRDefault="00BB77C0">
      <w:pPr>
        <w:pStyle w:val="BodyText"/>
        <w:spacing w:before="111"/>
        <w:rPr>
          <w:rFonts w:ascii="Cambria"/>
          <w:b/>
          <w:sz w:val="32"/>
        </w:rPr>
      </w:pPr>
    </w:p>
    <w:p w14:paraId="1EC6946E" w14:textId="77777777" w:rsidR="00BB77C0" w:rsidRDefault="00370BAA">
      <w:pPr>
        <w:pStyle w:val="Heading3"/>
      </w:pPr>
      <w:r>
        <w:rPr>
          <w:w w:val="110"/>
        </w:rPr>
        <w:t>BUNGOMA</w:t>
      </w:r>
      <w:r>
        <w:rPr>
          <w:spacing w:val="42"/>
          <w:w w:val="115"/>
        </w:rPr>
        <w:t xml:space="preserve"> </w:t>
      </w:r>
      <w:r>
        <w:rPr>
          <w:spacing w:val="-2"/>
          <w:w w:val="115"/>
        </w:rPr>
        <w:t>COUNTY</w:t>
      </w:r>
    </w:p>
    <w:p w14:paraId="4338FD07" w14:textId="77777777" w:rsidR="00BB77C0" w:rsidRDefault="00BB77C0">
      <w:pPr>
        <w:pStyle w:val="BodyText"/>
        <w:rPr>
          <w:rFonts w:ascii="Cambria"/>
          <w:b/>
          <w:sz w:val="32"/>
        </w:rPr>
      </w:pPr>
    </w:p>
    <w:p w14:paraId="7C4FD0CD" w14:textId="77777777" w:rsidR="00BB77C0" w:rsidRDefault="00BB77C0">
      <w:pPr>
        <w:pStyle w:val="BodyText"/>
        <w:spacing w:before="337"/>
        <w:rPr>
          <w:rFonts w:ascii="Cambria"/>
          <w:b/>
          <w:sz w:val="32"/>
        </w:rPr>
      </w:pPr>
    </w:p>
    <w:p w14:paraId="1D0A51D2" w14:textId="77777777" w:rsidR="00BB77C0" w:rsidRDefault="005C3190" w:rsidP="005C3190">
      <w:pPr>
        <w:pStyle w:val="Heading3"/>
        <w:spacing w:before="1" w:line="389" w:lineRule="exact"/>
        <w:ind w:left="0" w:right="0" w:firstLine="720"/>
        <w:jc w:val="left"/>
        <w:rPr>
          <w:rFonts w:ascii="Tahoma" w:hAnsi="Tahoma"/>
        </w:rPr>
      </w:pPr>
      <w:r>
        <w:rPr>
          <w:rFonts w:ascii="Times New Roman" w:hAnsi="Times New Roman"/>
        </w:rPr>
        <w:t xml:space="preserve">NEGOTIATION </w:t>
      </w:r>
      <w:r w:rsidR="00370BAA">
        <w:rPr>
          <w:rFonts w:ascii="Times New Roman" w:hAnsi="Times New Roman"/>
        </w:rPr>
        <w:t>NO.…</w:t>
      </w:r>
      <w:r w:rsidR="00370BAA">
        <w:rPr>
          <w:rFonts w:ascii="Times New Roman" w:hAnsi="Times New Roman"/>
          <w:spacing w:val="-1"/>
        </w:rPr>
        <w:t xml:space="preserve"> </w:t>
      </w:r>
      <w:r w:rsidR="00370BAA">
        <w:rPr>
          <w:rFonts w:ascii="Tahoma" w:hAnsi="Tahoma"/>
          <w:color w:val="3B3B3B"/>
        </w:rPr>
        <w:t>2106328-</w:t>
      </w:r>
      <w:r w:rsidR="00D76550">
        <w:rPr>
          <w:rFonts w:ascii="Tahoma" w:hAnsi="Tahoma"/>
          <w:color w:val="3B3B3B"/>
        </w:rPr>
        <w:t>2-</w:t>
      </w:r>
      <w:r w:rsidR="00370BAA">
        <w:rPr>
          <w:rFonts w:ascii="Tahoma" w:hAnsi="Tahoma"/>
          <w:color w:val="3B3B3B"/>
          <w:spacing w:val="-2"/>
        </w:rPr>
        <w:t>2025/2026</w:t>
      </w:r>
    </w:p>
    <w:p w14:paraId="2FF196D1" w14:textId="77777777" w:rsidR="005C3190" w:rsidRDefault="005C3190" w:rsidP="005C3190">
      <w:pPr>
        <w:tabs>
          <w:tab w:val="left" w:pos="6732"/>
        </w:tabs>
        <w:spacing w:line="228" w:lineRule="exact"/>
        <w:rPr>
          <w:b/>
          <w:spacing w:val="-2"/>
          <w:sz w:val="20"/>
          <w:u w:val="single"/>
        </w:rPr>
      </w:pPr>
    </w:p>
    <w:p w14:paraId="6233AC3C" w14:textId="77777777" w:rsidR="005C3190" w:rsidRDefault="005C3190" w:rsidP="005C3190">
      <w:pPr>
        <w:tabs>
          <w:tab w:val="left" w:pos="6732"/>
        </w:tabs>
        <w:spacing w:line="228" w:lineRule="exact"/>
        <w:rPr>
          <w:b/>
          <w:spacing w:val="-2"/>
          <w:sz w:val="28"/>
          <w:szCs w:val="28"/>
          <w:u w:val="single"/>
        </w:rPr>
      </w:pPr>
    </w:p>
    <w:p w14:paraId="7363719B" w14:textId="09FB88C0" w:rsidR="00BB77C0" w:rsidRPr="005C3190" w:rsidRDefault="005C3190" w:rsidP="005C3190">
      <w:pPr>
        <w:tabs>
          <w:tab w:val="left" w:pos="6732"/>
        </w:tabs>
        <w:spacing w:line="228" w:lineRule="exact"/>
        <w:rPr>
          <w:b/>
          <w:sz w:val="28"/>
          <w:szCs w:val="28"/>
        </w:rPr>
        <w:sectPr w:rsidR="00BB77C0" w:rsidRPr="005C3190">
          <w:type w:val="continuous"/>
          <w:pgSz w:w="12240" w:h="15840"/>
          <w:pgMar w:top="180" w:right="1080" w:bottom="280" w:left="1440" w:header="720" w:footer="720" w:gutter="0"/>
          <w:cols w:space="720"/>
        </w:sectPr>
      </w:pPr>
      <w:r w:rsidRPr="005C3190">
        <w:rPr>
          <w:b/>
          <w:spacing w:val="-2"/>
          <w:sz w:val="28"/>
          <w:szCs w:val="28"/>
          <w:u w:val="single"/>
        </w:rPr>
        <w:t xml:space="preserve">SUBMISSION DEADLINE: </w:t>
      </w:r>
      <w:r w:rsidR="001150D4">
        <w:rPr>
          <w:b/>
          <w:spacing w:val="-2"/>
          <w:sz w:val="28"/>
          <w:szCs w:val="28"/>
          <w:u w:val="single"/>
        </w:rPr>
        <w:t>Wednesday</w:t>
      </w:r>
      <w:r w:rsidR="000C5CA9">
        <w:rPr>
          <w:b/>
          <w:spacing w:val="-2"/>
          <w:sz w:val="28"/>
          <w:szCs w:val="28"/>
          <w:u w:val="single"/>
        </w:rPr>
        <w:t xml:space="preserve"> </w:t>
      </w:r>
      <w:r w:rsidR="001150D4">
        <w:rPr>
          <w:b/>
          <w:spacing w:val="-2"/>
          <w:sz w:val="28"/>
          <w:szCs w:val="28"/>
          <w:u w:val="single"/>
        </w:rPr>
        <w:t>8</w:t>
      </w:r>
      <w:r w:rsidR="000C5CA9" w:rsidRPr="000C5CA9">
        <w:rPr>
          <w:b/>
          <w:spacing w:val="-2"/>
          <w:sz w:val="28"/>
          <w:szCs w:val="28"/>
          <w:u w:val="single"/>
          <w:vertAlign w:val="superscript"/>
        </w:rPr>
        <w:t>TH</w:t>
      </w:r>
      <w:r w:rsidR="000C5CA9">
        <w:rPr>
          <w:b/>
          <w:spacing w:val="-2"/>
          <w:sz w:val="28"/>
          <w:szCs w:val="28"/>
          <w:u w:val="single"/>
        </w:rPr>
        <w:t xml:space="preserve"> APRIL, 2026 AT 11:3</w:t>
      </w:r>
      <w:r w:rsidRPr="005C3190">
        <w:rPr>
          <w:b/>
          <w:spacing w:val="-2"/>
          <w:sz w:val="28"/>
          <w:szCs w:val="28"/>
          <w:u w:val="single"/>
        </w:rPr>
        <w:t>0AM</w:t>
      </w:r>
      <w:r w:rsidR="00370BAA" w:rsidRPr="005C3190">
        <w:rPr>
          <w:sz w:val="28"/>
          <w:szCs w:val="28"/>
        </w:rPr>
        <w:tab/>
      </w:r>
    </w:p>
    <w:p w14:paraId="490A3228" w14:textId="77777777" w:rsidR="00BB77C0" w:rsidRDefault="00BB77C0">
      <w:pPr>
        <w:pStyle w:val="BodyText"/>
        <w:rPr>
          <w:b/>
          <w:sz w:val="32"/>
        </w:rPr>
      </w:pPr>
    </w:p>
    <w:p w14:paraId="27330345" w14:textId="77777777" w:rsidR="00BB77C0" w:rsidRDefault="00BB77C0">
      <w:pPr>
        <w:pStyle w:val="BodyText"/>
        <w:spacing w:before="70"/>
        <w:rPr>
          <w:b/>
          <w:sz w:val="32"/>
        </w:rPr>
      </w:pPr>
    </w:p>
    <w:p w14:paraId="6B1146A1" w14:textId="77777777" w:rsidR="00BB77C0" w:rsidRDefault="00370BAA">
      <w:pPr>
        <w:ind w:left="360"/>
        <w:rPr>
          <w:rFonts w:ascii="Calibri Light"/>
          <w:sz w:val="32"/>
        </w:rPr>
      </w:pPr>
      <w:r>
        <w:rPr>
          <w:rFonts w:ascii="Calibri Light"/>
          <w:color w:val="2C74B5"/>
          <w:sz w:val="32"/>
        </w:rPr>
        <w:t>Table</w:t>
      </w:r>
      <w:r>
        <w:rPr>
          <w:rFonts w:ascii="Calibri Light"/>
          <w:color w:val="2C74B5"/>
          <w:spacing w:val="-5"/>
          <w:sz w:val="32"/>
        </w:rPr>
        <w:t xml:space="preserve"> </w:t>
      </w:r>
      <w:r>
        <w:rPr>
          <w:rFonts w:ascii="Calibri Light"/>
          <w:color w:val="2C74B5"/>
          <w:sz w:val="32"/>
        </w:rPr>
        <w:t>of</w:t>
      </w:r>
      <w:r>
        <w:rPr>
          <w:rFonts w:ascii="Calibri Light"/>
          <w:color w:val="2C74B5"/>
          <w:spacing w:val="-15"/>
          <w:sz w:val="32"/>
        </w:rPr>
        <w:t xml:space="preserve"> </w:t>
      </w:r>
      <w:r>
        <w:rPr>
          <w:rFonts w:ascii="Calibri Light"/>
          <w:color w:val="2C74B5"/>
          <w:spacing w:val="-2"/>
          <w:sz w:val="32"/>
        </w:rPr>
        <w:t>Contents</w:t>
      </w:r>
    </w:p>
    <w:p w14:paraId="10CF8328" w14:textId="77777777" w:rsidR="00BB77C0" w:rsidRDefault="00BB77C0">
      <w:pPr>
        <w:rPr>
          <w:rFonts w:ascii="Calibri Light"/>
          <w:sz w:val="32"/>
        </w:rPr>
        <w:sectPr w:rsidR="00BB77C0">
          <w:pgSz w:w="11930" w:h="16870"/>
          <w:pgMar w:top="1940" w:right="1080" w:bottom="1702" w:left="720" w:header="720" w:footer="720" w:gutter="0"/>
          <w:cols w:space="720"/>
        </w:sectPr>
      </w:pPr>
    </w:p>
    <w:sdt>
      <w:sdtPr>
        <w:id w:val="-957017197"/>
        <w:docPartObj>
          <w:docPartGallery w:val="Table of Contents"/>
          <w:docPartUnique/>
        </w:docPartObj>
      </w:sdtPr>
      <w:sdtContent>
        <w:p w14:paraId="03E741F8" w14:textId="77777777" w:rsidR="00BB77C0" w:rsidRDefault="00370BAA">
          <w:pPr>
            <w:pStyle w:val="TOC1"/>
            <w:tabs>
              <w:tab w:val="right" w:leader="dot" w:pos="9725"/>
            </w:tabs>
            <w:spacing w:before="36"/>
            <w:rPr>
              <w:rFonts w:ascii="Calibri"/>
            </w:rPr>
          </w:pPr>
          <w:hyperlink w:anchor="_bookmark0" w:history="1">
            <w:r>
              <w:rPr>
                <w:spacing w:val="-2"/>
              </w:rPr>
              <w:t>INVITATION</w:t>
            </w:r>
            <w:r>
              <w:rPr>
                <w:spacing w:val="1"/>
              </w:rPr>
              <w:t xml:space="preserve"> </w:t>
            </w:r>
            <w:r>
              <w:rPr>
                <w:spacing w:val="-2"/>
              </w:rPr>
              <w:t>TO</w:t>
            </w:r>
            <w:r>
              <w:rPr>
                <w:spacing w:val="-5"/>
              </w:rPr>
              <w:t xml:space="preserve"> </w:t>
            </w:r>
            <w:r>
              <w:rPr>
                <w:spacing w:val="-2"/>
              </w:rPr>
              <w:t>TENDER</w:t>
            </w:r>
            <w:r>
              <w:tab/>
            </w:r>
            <w:r>
              <w:rPr>
                <w:rFonts w:ascii="Calibri"/>
                <w:spacing w:val="-10"/>
              </w:rPr>
              <w:t>6</w:t>
            </w:r>
          </w:hyperlink>
        </w:p>
        <w:p w14:paraId="59DA6F8E" w14:textId="77777777" w:rsidR="00BB77C0" w:rsidRDefault="00370BAA">
          <w:pPr>
            <w:pStyle w:val="TOC1"/>
            <w:tabs>
              <w:tab w:val="right" w:leader="dot" w:pos="9714"/>
            </w:tabs>
            <w:spacing w:before="178"/>
            <w:rPr>
              <w:rFonts w:ascii="Calibri" w:hAnsi="Calibri"/>
            </w:rPr>
          </w:pPr>
          <w:hyperlink w:anchor="_bookmark1" w:history="1">
            <w:r>
              <w:t>PART</w:t>
            </w:r>
            <w:r>
              <w:rPr>
                <w:spacing w:val="-6"/>
              </w:rPr>
              <w:t xml:space="preserve"> </w:t>
            </w:r>
            <w:r>
              <w:t>1</w:t>
            </w:r>
            <w:r>
              <w:rPr>
                <w:spacing w:val="-5"/>
              </w:rPr>
              <w:t xml:space="preserve"> </w:t>
            </w:r>
            <w:r>
              <w:t>–</w:t>
            </w:r>
            <w:r>
              <w:rPr>
                <w:spacing w:val="-13"/>
              </w:rPr>
              <w:t xml:space="preserve"> </w:t>
            </w:r>
            <w:r>
              <w:t>TENDERING</w:t>
            </w:r>
            <w:r>
              <w:rPr>
                <w:spacing w:val="-9"/>
              </w:rPr>
              <w:t xml:space="preserve"> </w:t>
            </w:r>
            <w:r>
              <w:rPr>
                <w:spacing w:val="-2"/>
              </w:rPr>
              <w:t>PROCEDURES</w:t>
            </w:r>
            <w:r>
              <w:tab/>
            </w:r>
            <w:r>
              <w:rPr>
                <w:rFonts w:ascii="Calibri" w:hAnsi="Calibri"/>
                <w:spacing w:val="-5"/>
              </w:rPr>
              <w:t>12</w:t>
            </w:r>
          </w:hyperlink>
        </w:p>
        <w:p w14:paraId="2BF677B9" w14:textId="77777777" w:rsidR="00BB77C0" w:rsidRDefault="00370BAA">
          <w:pPr>
            <w:pStyle w:val="TOC3"/>
            <w:tabs>
              <w:tab w:val="right" w:leader="dot" w:pos="9714"/>
            </w:tabs>
            <w:rPr>
              <w:rFonts w:ascii="Calibri"/>
            </w:rPr>
          </w:pPr>
          <w:hyperlink w:anchor="_bookmark2" w:history="1">
            <w:r>
              <w:t>SECTION</w:t>
            </w:r>
            <w:r>
              <w:rPr>
                <w:spacing w:val="-9"/>
              </w:rPr>
              <w:t xml:space="preserve"> </w:t>
            </w:r>
            <w:r>
              <w:t>I</w:t>
            </w:r>
            <w:r>
              <w:rPr>
                <w:spacing w:val="-7"/>
              </w:rPr>
              <w:t xml:space="preserve"> </w:t>
            </w:r>
            <w:r>
              <w:t>-</w:t>
            </w:r>
            <w:r>
              <w:rPr>
                <w:spacing w:val="-12"/>
              </w:rPr>
              <w:t xml:space="preserve"> </w:t>
            </w:r>
            <w:r>
              <w:t>INSTRUCTIONS</w:t>
            </w:r>
            <w:r>
              <w:rPr>
                <w:spacing w:val="-7"/>
              </w:rPr>
              <w:t xml:space="preserve"> </w:t>
            </w:r>
            <w:r>
              <w:t>TO</w:t>
            </w:r>
            <w:r>
              <w:rPr>
                <w:spacing w:val="-13"/>
              </w:rPr>
              <w:t xml:space="preserve"> </w:t>
            </w:r>
            <w:r>
              <w:rPr>
                <w:spacing w:val="-2"/>
              </w:rPr>
              <w:t>TENDERERS</w:t>
            </w:r>
            <w:r>
              <w:tab/>
            </w:r>
            <w:r>
              <w:rPr>
                <w:rFonts w:ascii="Calibri"/>
                <w:spacing w:val="-5"/>
              </w:rPr>
              <w:t>13</w:t>
            </w:r>
          </w:hyperlink>
        </w:p>
        <w:p w14:paraId="295BC595" w14:textId="77777777" w:rsidR="00BB77C0" w:rsidRDefault="00370BAA">
          <w:pPr>
            <w:pStyle w:val="TOC2"/>
            <w:numPr>
              <w:ilvl w:val="0"/>
              <w:numId w:val="119"/>
            </w:numPr>
            <w:tabs>
              <w:tab w:val="left" w:pos="1017"/>
              <w:tab w:val="right" w:leader="dot" w:pos="9714"/>
            </w:tabs>
            <w:ind w:left="1017" w:hanging="436"/>
            <w:jc w:val="left"/>
            <w:rPr>
              <w:rFonts w:ascii="Calibri"/>
            </w:rPr>
          </w:pPr>
          <w:hyperlink w:anchor="_bookmark3" w:history="1">
            <w:r>
              <w:rPr>
                <w:spacing w:val="-2"/>
              </w:rPr>
              <w:t>GENERALPROVISIONS</w:t>
            </w:r>
            <w:r>
              <w:tab/>
            </w:r>
            <w:r>
              <w:rPr>
                <w:rFonts w:ascii="Calibri"/>
                <w:spacing w:val="-5"/>
              </w:rPr>
              <w:t>13</w:t>
            </w:r>
          </w:hyperlink>
        </w:p>
        <w:p w14:paraId="40B7A2A5" w14:textId="77777777" w:rsidR="00BB77C0" w:rsidRDefault="00370BAA">
          <w:pPr>
            <w:pStyle w:val="TOC2"/>
            <w:numPr>
              <w:ilvl w:val="0"/>
              <w:numId w:val="118"/>
            </w:numPr>
            <w:tabs>
              <w:tab w:val="left" w:pos="1239"/>
              <w:tab w:val="right" w:leader="dot" w:pos="9714"/>
            </w:tabs>
            <w:spacing w:before="182"/>
            <w:ind w:hanging="658"/>
            <w:rPr>
              <w:rFonts w:ascii="Calibri"/>
            </w:rPr>
          </w:pPr>
          <w:hyperlink w:anchor="_bookmark4" w:history="1">
            <w:r>
              <w:t>Scope</w:t>
            </w:r>
            <w:r>
              <w:rPr>
                <w:spacing w:val="-8"/>
              </w:rPr>
              <w:t xml:space="preserve"> </w:t>
            </w:r>
            <w:r>
              <w:t>of</w:t>
            </w:r>
            <w:r>
              <w:rPr>
                <w:spacing w:val="-2"/>
              </w:rPr>
              <w:t xml:space="preserve"> Tender</w:t>
            </w:r>
            <w:r>
              <w:tab/>
            </w:r>
            <w:r>
              <w:rPr>
                <w:rFonts w:ascii="Calibri"/>
                <w:spacing w:val="-5"/>
              </w:rPr>
              <w:t>13</w:t>
            </w:r>
          </w:hyperlink>
        </w:p>
        <w:p w14:paraId="5FE772A6" w14:textId="77777777" w:rsidR="00BB77C0" w:rsidRDefault="00370BAA">
          <w:pPr>
            <w:pStyle w:val="TOC2"/>
            <w:numPr>
              <w:ilvl w:val="0"/>
              <w:numId w:val="118"/>
            </w:numPr>
            <w:tabs>
              <w:tab w:val="left" w:pos="1239"/>
              <w:tab w:val="right" w:leader="dot" w:pos="9714"/>
            </w:tabs>
            <w:spacing w:before="179"/>
            <w:ind w:hanging="658"/>
            <w:rPr>
              <w:rFonts w:ascii="Calibri"/>
            </w:rPr>
          </w:pPr>
          <w:hyperlink w:anchor="_bookmark5" w:history="1">
            <w:r>
              <w:t>Fraud</w:t>
            </w:r>
            <w:r>
              <w:rPr>
                <w:spacing w:val="-8"/>
              </w:rPr>
              <w:t xml:space="preserve"> </w:t>
            </w:r>
            <w:r>
              <w:t>and</w:t>
            </w:r>
            <w:r>
              <w:rPr>
                <w:spacing w:val="-3"/>
              </w:rPr>
              <w:t xml:space="preserve"> </w:t>
            </w:r>
            <w:r>
              <w:rPr>
                <w:spacing w:val="-2"/>
              </w:rPr>
              <w:t>Corruption</w:t>
            </w:r>
            <w:r>
              <w:tab/>
            </w:r>
            <w:r>
              <w:rPr>
                <w:rFonts w:ascii="Calibri"/>
                <w:spacing w:val="-5"/>
              </w:rPr>
              <w:t>13</w:t>
            </w:r>
          </w:hyperlink>
        </w:p>
        <w:p w14:paraId="4D263AEC" w14:textId="77777777" w:rsidR="00BB77C0" w:rsidRDefault="00370BAA">
          <w:pPr>
            <w:pStyle w:val="TOC2"/>
            <w:numPr>
              <w:ilvl w:val="0"/>
              <w:numId w:val="118"/>
            </w:numPr>
            <w:tabs>
              <w:tab w:val="left" w:pos="1239"/>
              <w:tab w:val="right" w:leader="dot" w:pos="9714"/>
            </w:tabs>
            <w:spacing w:before="183"/>
            <w:ind w:hanging="658"/>
            <w:rPr>
              <w:rFonts w:ascii="Calibri"/>
            </w:rPr>
          </w:pPr>
          <w:hyperlink w:anchor="_bookmark6" w:history="1">
            <w:r>
              <w:rPr>
                <w:spacing w:val="-2"/>
              </w:rPr>
              <w:t>Eligible</w:t>
            </w:r>
            <w:r>
              <w:rPr>
                <w:spacing w:val="2"/>
              </w:rPr>
              <w:t xml:space="preserve"> </w:t>
            </w:r>
            <w:r>
              <w:rPr>
                <w:spacing w:val="-2"/>
              </w:rPr>
              <w:t>Tenderers</w:t>
            </w:r>
            <w:r>
              <w:tab/>
            </w:r>
            <w:r>
              <w:rPr>
                <w:rFonts w:ascii="Calibri"/>
                <w:spacing w:val="-5"/>
              </w:rPr>
              <w:t>13</w:t>
            </w:r>
          </w:hyperlink>
        </w:p>
        <w:p w14:paraId="4EAF49CC" w14:textId="77777777" w:rsidR="00BB77C0" w:rsidRDefault="00370BAA">
          <w:pPr>
            <w:pStyle w:val="TOC2"/>
            <w:numPr>
              <w:ilvl w:val="0"/>
              <w:numId w:val="118"/>
            </w:numPr>
            <w:tabs>
              <w:tab w:val="left" w:pos="1239"/>
              <w:tab w:val="right" w:leader="dot" w:pos="9714"/>
            </w:tabs>
            <w:spacing w:before="182"/>
            <w:ind w:hanging="658"/>
            <w:rPr>
              <w:rFonts w:ascii="Calibri"/>
            </w:rPr>
          </w:pPr>
          <w:hyperlink w:anchor="_bookmark7" w:history="1">
            <w:r>
              <w:t>Eligible</w:t>
            </w:r>
            <w:r>
              <w:rPr>
                <w:spacing w:val="-14"/>
              </w:rPr>
              <w:t xml:space="preserve"> </w:t>
            </w:r>
            <w:r>
              <w:t>Goods,</w:t>
            </w:r>
            <w:r>
              <w:rPr>
                <w:spacing w:val="-6"/>
              </w:rPr>
              <w:t xml:space="preserve"> </w:t>
            </w:r>
            <w:r>
              <w:t>Equipment,</w:t>
            </w:r>
            <w:r>
              <w:rPr>
                <w:spacing w:val="-5"/>
              </w:rPr>
              <w:t xml:space="preserve"> </w:t>
            </w:r>
            <w:r>
              <w:t>and</w:t>
            </w:r>
            <w:r>
              <w:rPr>
                <w:spacing w:val="-12"/>
              </w:rPr>
              <w:t xml:space="preserve"> </w:t>
            </w:r>
            <w:r>
              <w:rPr>
                <w:spacing w:val="-2"/>
              </w:rPr>
              <w:t>Services</w:t>
            </w:r>
            <w:r>
              <w:tab/>
            </w:r>
            <w:r>
              <w:rPr>
                <w:rFonts w:ascii="Calibri"/>
                <w:spacing w:val="-5"/>
              </w:rPr>
              <w:t>16</w:t>
            </w:r>
          </w:hyperlink>
        </w:p>
        <w:p w14:paraId="35AEFDB0" w14:textId="77777777" w:rsidR="00BB77C0" w:rsidRDefault="00370BAA">
          <w:pPr>
            <w:pStyle w:val="TOC2"/>
            <w:numPr>
              <w:ilvl w:val="0"/>
              <w:numId w:val="118"/>
            </w:numPr>
            <w:tabs>
              <w:tab w:val="left" w:pos="1239"/>
              <w:tab w:val="right" w:leader="dot" w:pos="9714"/>
            </w:tabs>
            <w:ind w:hanging="658"/>
            <w:rPr>
              <w:rFonts w:ascii="Calibri"/>
            </w:rPr>
          </w:pPr>
          <w:hyperlink w:anchor="_bookmark8" w:history="1">
            <w:r>
              <w:rPr>
                <w:spacing w:val="-5"/>
              </w:rPr>
              <w:t>Tenderer's</w:t>
            </w:r>
            <w:r>
              <w:t xml:space="preserve"> </w:t>
            </w:r>
            <w:r>
              <w:rPr>
                <w:spacing w:val="-2"/>
              </w:rPr>
              <w:t>Responsibilities</w:t>
            </w:r>
            <w:r>
              <w:tab/>
            </w:r>
            <w:r>
              <w:rPr>
                <w:rFonts w:ascii="Calibri"/>
                <w:spacing w:val="-5"/>
              </w:rPr>
              <w:t>17</w:t>
            </w:r>
          </w:hyperlink>
        </w:p>
        <w:p w14:paraId="154715F7" w14:textId="77777777" w:rsidR="00BB77C0" w:rsidRDefault="00370BAA">
          <w:pPr>
            <w:pStyle w:val="TOC1"/>
            <w:numPr>
              <w:ilvl w:val="0"/>
              <w:numId w:val="119"/>
            </w:numPr>
            <w:tabs>
              <w:tab w:val="left" w:pos="797"/>
              <w:tab w:val="right" w:leader="dot" w:pos="9714"/>
            </w:tabs>
            <w:spacing w:before="188"/>
            <w:ind w:left="797"/>
            <w:jc w:val="left"/>
            <w:rPr>
              <w:rFonts w:ascii="Calibri"/>
            </w:rPr>
          </w:pPr>
          <w:hyperlink w:anchor="_bookmark9" w:history="1">
            <w:r>
              <w:t>CONTENTS</w:t>
            </w:r>
            <w:r>
              <w:rPr>
                <w:spacing w:val="-12"/>
              </w:rPr>
              <w:t xml:space="preserve"> </w:t>
            </w:r>
            <w:r>
              <w:t>OF</w:t>
            </w:r>
            <w:r>
              <w:rPr>
                <w:spacing w:val="-14"/>
              </w:rPr>
              <w:t xml:space="preserve"> </w:t>
            </w:r>
            <w:r>
              <w:t>TENDER</w:t>
            </w:r>
            <w:r>
              <w:rPr>
                <w:spacing w:val="-6"/>
              </w:rPr>
              <w:t xml:space="preserve"> </w:t>
            </w:r>
            <w:r>
              <w:rPr>
                <w:spacing w:val="-2"/>
              </w:rPr>
              <w:t>DOCUMENTS</w:t>
            </w:r>
            <w:r>
              <w:tab/>
            </w:r>
            <w:r>
              <w:rPr>
                <w:rFonts w:ascii="Calibri"/>
                <w:spacing w:val="-5"/>
              </w:rPr>
              <w:t>17</w:t>
            </w:r>
          </w:hyperlink>
        </w:p>
        <w:p w14:paraId="63227414" w14:textId="77777777" w:rsidR="00BB77C0" w:rsidRDefault="00370BAA">
          <w:pPr>
            <w:pStyle w:val="TOC2"/>
            <w:numPr>
              <w:ilvl w:val="0"/>
              <w:numId w:val="118"/>
            </w:numPr>
            <w:tabs>
              <w:tab w:val="left" w:pos="1239"/>
              <w:tab w:val="right" w:leader="dot" w:pos="9714"/>
            </w:tabs>
            <w:ind w:hanging="658"/>
            <w:rPr>
              <w:rFonts w:ascii="Calibri"/>
            </w:rPr>
          </w:pPr>
          <w:hyperlink w:anchor="_bookmark10" w:history="1">
            <w:r>
              <w:rPr>
                <w:spacing w:val="-2"/>
              </w:rPr>
              <w:t>Sections</w:t>
            </w:r>
            <w:r>
              <w:rPr>
                <w:spacing w:val="-4"/>
              </w:rPr>
              <w:t xml:space="preserve"> </w:t>
            </w:r>
            <w:r>
              <w:rPr>
                <w:spacing w:val="-2"/>
              </w:rPr>
              <w:t>of</w:t>
            </w:r>
            <w:r>
              <w:rPr>
                <w:spacing w:val="-11"/>
              </w:rPr>
              <w:t xml:space="preserve"> </w:t>
            </w:r>
            <w:r>
              <w:rPr>
                <w:spacing w:val="-2"/>
              </w:rPr>
              <w:t>Tender</w:t>
            </w:r>
            <w:r>
              <w:rPr>
                <w:spacing w:val="-5"/>
              </w:rPr>
              <w:t xml:space="preserve"> </w:t>
            </w:r>
            <w:r>
              <w:rPr>
                <w:spacing w:val="-2"/>
              </w:rPr>
              <w:t>Document</w:t>
            </w:r>
            <w:r>
              <w:tab/>
            </w:r>
            <w:r>
              <w:rPr>
                <w:rFonts w:ascii="Calibri"/>
                <w:spacing w:val="-5"/>
              </w:rPr>
              <w:t>17</w:t>
            </w:r>
          </w:hyperlink>
        </w:p>
        <w:p w14:paraId="3BCC0AD1" w14:textId="77777777" w:rsidR="00BB77C0" w:rsidRDefault="00370BAA">
          <w:pPr>
            <w:pStyle w:val="TOC2"/>
            <w:numPr>
              <w:ilvl w:val="0"/>
              <w:numId w:val="118"/>
            </w:numPr>
            <w:tabs>
              <w:tab w:val="left" w:pos="1239"/>
              <w:tab w:val="right" w:leader="dot" w:pos="9714"/>
            </w:tabs>
            <w:spacing w:before="182"/>
            <w:ind w:hanging="658"/>
            <w:rPr>
              <w:rFonts w:ascii="Calibri"/>
            </w:rPr>
          </w:pPr>
          <w:hyperlink w:anchor="_bookmark11" w:history="1">
            <w:r>
              <w:t>Site</w:t>
            </w:r>
            <w:r>
              <w:rPr>
                <w:spacing w:val="-4"/>
              </w:rPr>
              <w:t xml:space="preserve"> </w:t>
            </w:r>
            <w:r>
              <w:rPr>
                <w:spacing w:val="-2"/>
              </w:rPr>
              <w:t>Visit</w:t>
            </w:r>
            <w:r>
              <w:tab/>
            </w:r>
            <w:r>
              <w:rPr>
                <w:rFonts w:ascii="Calibri"/>
                <w:spacing w:val="-5"/>
              </w:rPr>
              <w:t>18</w:t>
            </w:r>
          </w:hyperlink>
        </w:p>
        <w:p w14:paraId="1DC7CED1" w14:textId="77777777" w:rsidR="00BB77C0" w:rsidRDefault="00370BAA">
          <w:pPr>
            <w:pStyle w:val="TOC2"/>
            <w:numPr>
              <w:ilvl w:val="0"/>
              <w:numId w:val="117"/>
            </w:numPr>
            <w:tabs>
              <w:tab w:val="left" w:pos="1239"/>
              <w:tab w:val="right" w:leader="dot" w:pos="9714"/>
            </w:tabs>
            <w:ind w:hanging="658"/>
            <w:rPr>
              <w:rFonts w:ascii="Calibri"/>
            </w:rPr>
          </w:pPr>
          <w:hyperlink w:anchor="_bookmark12" w:history="1">
            <w:r>
              <w:rPr>
                <w:spacing w:val="-2"/>
              </w:rPr>
              <w:t>Clarifications</w:t>
            </w:r>
            <w:r>
              <w:tab/>
            </w:r>
            <w:r>
              <w:rPr>
                <w:rFonts w:ascii="Calibri"/>
                <w:spacing w:val="-5"/>
              </w:rPr>
              <w:t>19</w:t>
            </w:r>
          </w:hyperlink>
        </w:p>
        <w:p w14:paraId="1555E811" w14:textId="77777777" w:rsidR="00BB77C0" w:rsidRDefault="00370BAA">
          <w:pPr>
            <w:pStyle w:val="TOC2"/>
            <w:numPr>
              <w:ilvl w:val="0"/>
              <w:numId w:val="117"/>
            </w:numPr>
            <w:tabs>
              <w:tab w:val="left" w:pos="1239"/>
              <w:tab w:val="right" w:leader="dot" w:pos="9714"/>
            </w:tabs>
            <w:spacing w:before="183"/>
            <w:ind w:hanging="658"/>
            <w:rPr>
              <w:rFonts w:ascii="Calibri"/>
            </w:rPr>
          </w:pPr>
          <w:hyperlink w:anchor="_bookmark13" w:history="1">
            <w:r>
              <w:rPr>
                <w:spacing w:val="-2"/>
              </w:rPr>
              <w:t>Amendment of</w:t>
            </w:r>
            <w:r>
              <w:rPr>
                <w:spacing w:val="-5"/>
              </w:rPr>
              <w:t xml:space="preserve"> </w:t>
            </w:r>
            <w:r>
              <w:rPr>
                <w:spacing w:val="-2"/>
              </w:rPr>
              <w:t>Tender</w:t>
            </w:r>
            <w:r>
              <w:rPr>
                <w:spacing w:val="-8"/>
              </w:rPr>
              <w:t xml:space="preserve"> </w:t>
            </w:r>
            <w:r>
              <w:rPr>
                <w:spacing w:val="-2"/>
              </w:rPr>
              <w:t>Documents</w:t>
            </w:r>
            <w:r>
              <w:tab/>
            </w:r>
            <w:r>
              <w:rPr>
                <w:rFonts w:ascii="Calibri"/>
                <w:spacing w:val="-5"/>
              </w:rPr>
              <w:t>19</w:t>
            </w:r>
          </w:hyperlink>
        </w:p>
        <w:p w14:paraId="1BB49A3C" w14:textId="77777777" w:rsidR="00BB77C0" w:rsidRDefault="00370BAA">
          <w:pPr>
            <w:pStyle w:val="TOC1"/>
            <w:numPr>
              <w:ilvl w:val="0"/>
              <w:numId w:val="119"/>
            </w:numPr>
            <w:tabs>
              <w:tab w:val="left" w:pos="613"/>
              <w:tab w:val="right" w:leader="dot" w:pos="9714"/>
            </w:tabs>
            <w:ind w:left="613" w:hanging="253"/>
            <w:jc w:val="left"/>
            <w:rPr>
              <w:rFonts w:ascii="Calibri"/>
            </w:rPr>
          </w:pPr>
          <w:hyperlink w:anchor="_bookmark14" w:history="1">
            <w:r>
              <w:rPr>
                <w:spacing w:val="-2"/>
              </w:rPr>
              <w:t>PREPARATION</w:t>
            </w:r>
            <w:r>
              <w:t xml:space="preserve"> </w:t>
            </w:r>
            <w:r>
              <w:rPr>
                <w:spacing w:val="-2"/>
              </w:rPr>
              <w:t>OF TENDERS</w:t>
            </w:r>
            <w:r>
              <w:tab/>
            </w:r>
            <w:r>
              <w:rPr>
                <w:rFonts w:ascii="Calibri"/>
                <w:spacing w:val="-5"/>
              </w:rPr>
              <w:t>19</w:t>
            </w:r>
          </w:hyperlink>
        </w:p>
        <w:p w14:paraId="7A8DC344" w14:textId="77777777" w:rsidR="00BB77C0" w:rsidRDefault="00370BAA">
          <w:pPr>
            <w:pStyle w:val="TOC2"/>
            <w:numPr>
              <w:ilvl w:val="0"/>
              <w:numId w:val="117"/>
            </w:numPr>
            <w:tabs>
              <w:tab w:val="left" w:pos="1239"/>
              <w:tab w:val="right" w:leader="dot" w:pos="9714"/>
            </w:tabs>
            <w:ind w:hanging="658"/>
            <w:rPr>
              <w:rFonts w:ascii="Calibri"/>
            </w:rPr>
          </w:pPr>
          <w:hyperlink w:anchor="_bookmark15" w:history="1">
            <w:r>
              <w:t>Cost</w:t>
            </w:r>
            <w:r>
              <w:rPr>
                <w:spacing w:val="-1"/>
              </w:rPr>
              <w:t xml:space="preserve"> </w:t>
            </w:r>
            <w:r>
              <w:t>of</w:t>
            </w:r>
            <w:r>
              <w:rPr>
                <w:spacing w:val="-8"/>
              </w:rPr>
              <w:t xml:space="preserve"> </w:t>
            </w:r>
            <w:r>
              <w:rPr>
                <w:spacing w:val="-2"/>
              </w:rPr>
              <w:t>Tendering</w:t>
            </w:r>
            <w:r>
              <w:tab/>
            </w:r>
            <w:r>
              <w:rPr>
                <w:rFonts w:ascii="Calibri"/>
                <w:spacing w:val="-5"/>
              </w:rPr>
              <w:t>19</w:t>
            </w:r>
          </w:hyperlink>
        </w:p>
        <w:p w14:paraId="2B88EEE2" w14:textId="77777777" w:rsidR="00BB77C0" w:rsidRDefault="00370BAA">
          <w:pPr>
            <w:pStyle w:val="TOC2"/>
            <w:numPr>
              <w:ilvl w:val="0"/>
              <w:numId w:val="117"/>
            </w:numPr>
            <w:tabs>
              <w:tab w:val="left" w:pos="1239"/>
              <w:tab w:val="right" w:leader="dot" w:pos="9714"/>
            </w:tabs>
            <w:spacing w:before="188"/>
            <w:ind w:hanging="663"/>
            <w:rPr>
              <w:rFonts w:ascii="Calibri"/>
            </w:rPr>
          </w:pPr>
          <w:hyperlink w:anchor="_bookmark16" w:history="1">
            <w:r>
              <w:t>Language</w:t>
            </w:r>
            <w:r>
              <w:rPr>
                <w:spacing w:val="-8"/>
              </w:rPr>
              <w:t xml:space="preserve"> </w:t>
            </w:r>
            <w:r>
              <w:t>of</w:t>
            </w:r>
            <w:r>
              <w:rPr>
                <w:spacing w:val="-7"/>
              </w:rPr>
              <w:t xml:space="preserve"> </w:t>
            </w:r>
            <w:r>
              <w:rPr>
                <w:spacing w:val="-2"/>
              </w:rPr>
              <w:t>Tender</w:t>
            </w:r>
            <w:r>
              <w:tab/>
            </w:r>
            <w:r>
              <w:rPr>
                <w:rFonts w:ascii="Calibri"/>
                <w:spacing w:val="-5"/>
              </w:rPr>
              <w:t>19</w:t>
            </w:r>
          </w:hyperlink>
        </w:p>
        <w:p w14:paraId="3F410C39" w14:textId="77777777" w:rsidR="00BB77C0" w:rsidRDefault="00370BAA">
          <w:pPr>
            <w:pStyle w:val="TOC2"/>
            <w:numPr>
              <w:ilvl w:val="0"/>
              <w:numId w:val="117"/>
            </w:numPr>
            <w:tabs>
              <w:tab w:val="left" w:pos="1239"/>
              <w:tab w:val="right" w:leader="dot" w:pos="9714"/>
            </w:tabs>
            <w:ind w:hanging="663"/>
            <w:rPr>
              <w:rFonts w:ascii="Calibri"/>
            </w:rPr>
          </w:pPr>
          <w:hyperlink w:anchor="_bookmark17" w:history="1">
            <w:r>
              <w:t>Documents</w:t>
            </w:r>
            <w:r>
              <w:rPr>
                <w:spacing w:val="-10"/>
              </w:rPr>
              <w:t xml:space="preserve"> </w:t>
            </w:r>
            <w:r>
              <w:t>Comprising</w:t>
            </w:r>
            <w:r>
              <w:rPr>
                <w:spacing w:val="-13"/>
              </w:rPr>
              <w:t xml:space="preserve"> </w:t>
            </w:r>
            <w:r>
              <w:t>the</w:t>
            </w:r>
            <w:r>
              <w:rPr>
                <w:spacing w:val="-13"/>
              </w:rPr>
              <w:t xml:space="preserve"> </w:t>
            </w:r>
            <w:r>
              <w:rPr>
                <w:spacing w:val="-2"/>
              </w:rPr>
              <w:t>Tender</w:t>
            </w:r>
            <w:r>
              <w:tab/>
            </w:r>
            <w:r>
              <w:rPr>
                <w:rFonts w:ascii="Calibri"/>
                <w:spacing w:val="-5"/>
              </w:rPr>
              <w:t>20</w:t>
            </w:r>
          </w:hyperlink>
        </w:p>
        <w:p w14:paraId="3D7EC26B" w14:textId="77777777" w:rsidR="00BB77C0" w:rsidRDefault="00370BAA">
          <w:pPr>
            <w:pStyle w:val="TOC2"/>
            <w:numPr>
              <w:ilvl w:val="0"/>
              <w:numId w:val="117"/>
            </w:numPr>
            <w:tabs>
              <w:tab w:val="left" w:pos="1239"/>
              <w:tab w:val="right" w:leader="dot" w:pos="9714"/>
            </w:tabs>
            <w:spacing w:before="182"/>
            <w:ind w:hanging="663"/>
            <w:rPr>
              <w:rFonts w:ascii="Calibri"/>
            </w:rPr>
          </w:pPr>
          <w:hyperlink w:anchor="_bookmark18" w:history="1">
            <w:r>
              <w:t>Form</w:t>
            </w:r>
            <w:r>
              <w:rPr>
                <w:spacing w:val="-14"/>
              </w:rPr>
              <w:t xml:space="preserve"> </w:t>
            </w:r>
            <w:r>
              <w:t>of</w:t>
            </w:r>
            <w:r>
              <w:rPr>
                <w:spacing w:val="-9"/>
              </w:rPr>
              <w:t xml:space="preserve"> </w:t>
            </w:r>
            <w:r>
              <w:t>Tender</w:t>
            </w:r>
            <w:r>
              <w:rPr>
                <w:spacing w:val="-12"/>
              </w:rPr>
              <w:t xml:space="preserve"> </w:t>
            </w:r>
            <w:r>
              <w:t>and</w:t>
            </w:r>
            <w:r>
              <w:rPr>
                <w:spacing w:val="-10"/>
              </w:rPr>
              <w:t xml:space="preserve"> </w:t>
            </w:r>
            <w:r>
              <w:rPr>
                <w:spacing w:val="-2"/>
              </w:rPr>
              <w:t>Schedules</w:t>
            </w:r>
            <w:r>
              <w:tab/>
            </w:r>
            <w:r>
              <w:rPr>
                <w:rFonts w:ascii="Calibri"/>
                <w:spacing w:val="-5"/>
              </w:rPr>
              <w:t>20</w:t>
            </w:r>
          </w:hyperlink>
        </w:p>
        <w:p w14:paraId="42F5694C" w14:textId="77777777" w:rsidR="00BB77C0" w:rsidRDefault="00370BAA">
          <w:pPr>
            <w:pStyle w:val="TOC2"/>
            <w:numPr>
              <w:ilvl w:val="0"/>
              <w:numId w:val="117"/>
            </w:numPr>
            <w:tabs>
              <w:tab w:val="left" w:pos="1239"/>
              <w:tab w:val="right" w:leader="dot" w:pos="9714"/>
            </w:tabs>
            <w:spacing w:before="183"/>
            <w:ind w:hanging="663"/>
            <w:rPr>
              <w:rFonts w:ascii="Calibri"/>
            </w:rPr>
          </w:pPr>
          <w:hyperlink w:anchor="_bookmark19" w:history="1">
            <w:r>
              <w:rPr>
                <w:spacing w:val="-2"/>
              </w:rPr>
              <w:t>Alternative</w:t>
            </w:r>
            <w:r>
              <w:rPr>
                <w:spacing w:val="6"/>
              </w:rPr>
              <w:t xml:space="preserve"> </w:t>
            </w:r>
            <w:r>
              <w:rPr>
                <w:spacing w:val="-2"/>
              </w:rPr>
              <w:t>Tenders</w:t>
            </w:r>
            <w:r>
              <w:tab/>
            </w:r>
            <w:r>
              <w:rPr>
                <w:rFonts w:ascii="Calibri"/>
                <w:spacing w:val="-5"/>
              </w:rPr>
              <w:t>20</w:t>
            </w:r>
          </w:hyperlink>
        </w:p>
        <w:p w14:paraId="5BD56E10" w14:textId="77777777" w:rsidR="00BB77C0" w:rsidRDefault="00370BAA">
          <w:pPr>
            <w:pStyle w:val="TOC2"/>
            <w:numPr>
              <w:ilvl w:val="0"/>
              <w:numId w:val="117"/>
            </w:numPr>
            <w:tabs>
              <w:tab w:val="left" w:pos="1239"/>
              <w:tab w:val="right" w:leader="dot" w:pos="9714"/>
            </w:tabs>
            <w:ind w:hanging="663"/>
            <w:rPr>
              <w:rFonts w:ascii="Calibri"/>
            </w:rPr>
          </w:pPr>
          <w:hyperlink w:anchor="_bookmark20" w:history="1">
            <w:r>
              <w:rPr>
                <w:spacing w:val="-2"/>
              </w:rPr>
              <w:t>Tender</w:t>
            </w:r>
            <w:r>
              <w:rPr>
                <w:spacing w:val="-5"/>
              </w:rPr>
              <w:t xml:space="preserve"> </w:t>
            </w:r>
            <w:r>
              <w:rPr>
                <w:spacing w:val="-2"/>
              </w:rPr>
              <w:t>Prices</w:t>
            </w:r>
            <w:r>
              <w:rPr>
                <w:spacing w:val="-7"/>
              </w:rPr>
              <w:t xml:space="preserve"> </w:t>
            </w:r>
            <w:r>
              <w:rPr>
                <w:spacing w:val="-2"/>
              </w:rPr>
              <w:t>and</w:t>
            </w:r>
            <w:r>
              <w:rPr>
                <w:spacing w:val="-8"/>
              </w:rPr>
              <w:t xml:space="preserve"> </w:t>
            </w:r>
            <w:r>
              <w:rPr>
                <w:spacing w:val="-2"/>
              </w:rPr>
              <w:t>Discounts</w:t>
            </w:r>
            <w:r>
              <w:tab/>
            </w:r>
            <w:r>
              <w:rPr>
                <w:rFonts w:ascii="Calibri"/>
                <w:spacing w:val="-5"/>
              </w:rPr>
              <w:t>21</w:t>
            </w:r>
          </w:hyperlink>
        </w:p>
        <w:p w14:paraId="25EC3368" w14:textId="77777777" w:rsidR="00BB77C0" w:rsidRDefault="00370BAA">
          <w:pPr>
            <w:pStyle w:val="TOC2"/>
            <w:numPr>
              <w:ilvl w:val="0"/>
              <w:numId w:val="117"/>
            </w:numPr>
            <w:tabs>
              <w:tab w:val="left" w:pos="1239"/>
              <w:tab w:val="right" w:leader="dot" w:pos="9714"/>
            </w:tabs>
            <w:spacing w:before="183"/>
            <w:ind w:hanging="663"/>
            <w:rPr>
              <w:rFonts w:ascii="Calibri"/>
            </w:rPr>
          </w:pPr>
          <w:hyperlink w:anchor="_bookmark21" w:history="1">
            <w:r>
              <w:rPr>
                <w:spacing w:val="-2"/>
              </w:rPr>
              <w:t>Currencies</w:t>
            </w:r>
            <w:r>
              <w:rPr>
                <w:spacing w:val="-1"/>
              </w:rPr>
              <w:t xml:space="preserve"> </w:t>
            </w:r>
            <w:r>
              <w:rPr>
                <w:spacing w:val="-2"/>
              </w:rPr>
              <w:t>of</w:t>
            </w:r>
            <w:r>
              <w:rPr>
                <w:spacing w:val="-5"/>
              </w:rPr>
              <w:t xml:space="preserve"> </w:t>
            </w:r>
            <w:r>
              <w:rPr>
                <w:spacing w:val="-2"/>
              </w:rPr>
              <w:t>Tender</w:t>
            </w:r>
            <w:r>
              <w:rPr>
                <w:spacing w:val="-4"/>
              </w:rPr>
              <w:t xml:space="preserve"> </w:t>
            </w:r>
            <w:r>
              <w:rPr>
                <w:spacing w:val="-2"/>
              </w:rPr>
              <w:t>and</w:t>
            </w:r>
            <w:r>
              <w:rPr>
                <w:spacing w:val="-7"/>
              </w:rPr>
              <w:t xml:space="preserve"> </w:t>
            </w:r>
            <w:r>
              <w:rPr>
                <w:spacing w:val="-2"/>
              </w:rPr>
              <w:t>Payment</w:t>
            </w:r>
            <w:r>
              <w:tab/>
            </w:r>
            <w:r>
              <w:rPr>
                <w:rFonts w:ascii="Calibri"/>
                <w:spacing w:val="-5"/>
              </w:rPr>
              <w:t>22</w:t>
            </w:r>
          </w:hyperlink>
        </w:p>
        <w:p w14:paraId="717CDD38" w14:textId="77777777" w:rsidR="00BB77C0" w:rsidRDefault="00370BAA">
          <w:pPr>
            <w:pStyle w:val="TOC2"/>
            <w:numPr>
              <w:ilvl w:val="0"/>
              <w:numId w:val="117"/>
            </w:numPr>
            <w:tabs>
              <w:tab w:val="left" w:pos="1239"/>
              <w:tab w:val="right" w:leader="dot" w:pos="9714"/>
            </w:tabs>
            <w:ind w:hanging="663"/>
            <w:rPr>
              <w:rFonts w:ascii="Calibri"/>
            </w:rPr>
          </w:pPr>
          <w:hyperlink w:anchor="_bookmark22" w:history="1">
            <w:r>
              <w:rPr>
                <w:spacing w:val="-2"/>
              </w:rPr>
              <w:t>Documents</w:t>
            </w:r>
            <w:r>
              <w:t xml:space="preserve"> </w:t>
            </w:r>
            <w:r>
              <w:rPr>
                <w:spacing w:val="-2"/>
              </w:rPr>
              <w:t>Comprising</w:t>
            </w:r>
            <w:r>
              <w:rPr>
                <w:spacing w:val="-1"/>
              </w:rPr>
              <w:t xml:space="preserve"> </w:t>
            </w:r>
            <w:r>
              <w:rPr>
                <w:spacing w:val="-2"/>
              </w:rPr>
              <w:t>the</w:t>
            </w:r>
            <w:r>
              <w:rPr>
                <w:spacing w:val="-9"/>
              </w:rPr>
              <w:t xml:space="preserve"> </w:t>
            </w:r>
            <w:r>
              <w:rPr>
                <w:spacing w:val="-2"/>
              </w:rPr>
              <w:t>Technical</w:t>
            </w:r>
            <w:r>
              <w:rPr>
                <w:spacing w:val="-4"/>
              </w:rPr>
              <w:t xml:space="preserve"> </w:t>
            </w:r>
            <w:r>
              <w:rPr>
                <w:spacing w:val="-2"/>
              </w:rPr>
              <w:t>Proposal</w:t>
            </w:r>
            <w:r>
              <w:tab/>
            </w:r>
            <w:r>
              <w:rPr>
                <w:rFonts w:ascii="Calibri"/>
                <w:spacing w:val="-5"/>
              </w:rPr>
              <w:t>22</w:t>
            </w:r>
          </w:hyperlink>
        </w:p>
        <w:p w14:paraId="5E3F8F46" w14:textId="77777777" w:rsidR="00BB77C0" w:rsidRDefault="00370BAA">
          <w:pPr>
            <w:pStyle w:val="TOC2"/>
            <w:numPr>
              <w:ilvl w:val="0"/>
              <w:numId w:val="117"/>
            </w:numPr>
            <w:tabs>
              <w:tab w:val="left" w:pos="1239"/>
              <w:tab w:val="right" w:leader="dot" w:pos="9714"/>
            </w:tabs>
            <w:spacing w:before="188"/>
            <w:ind w:hanging="663"/>
            <w:rPr>
              <w:rFonts w:ascii="Calibri"/>
            </w:rPr>
          </w:pPr>
          <w:hyperlink w:anchor="_bookmark23" w:history="1">
            <w:r>
              <w:t>Documents</w:t>
            </w:r>
            <w:r>
              <w:rPr>
                <w:spacing w:val="-16"/>
              </w:rPr>
              <w:t xml:space="preserve"> </w:t>
            </w:r>
            <w:r>
              <w:t>Establishing</w:t>
            </w:r>
            <w:r>
              <w:rPr>
                <w:spacing w:val="-14"/>
              </w:rPr>
              <w:t xml:space="preserve"> </w:t>
            </w:r>
            <w:r>
              <w:t>the</w:t>
            </w:r>
            <w:r>
              <w:rPr>
                <w:spacing w:val="-14"/>
              </w:rPr>
              <w:t xml:space="preserve"> </w:t>
            </w:r>
            <w:r>
              <w:t>Eligibility</w:t>
            </w:r>
            <w:r>
              <w:rPr>
                <w:spacing w:val="-12"/>
              </w:rPr>
              <w:t xml:space="preserve"> </w:t>
            </w:r>
            <w:r>
              <w:t>and</w:t>
            </w:r>
            <w:r>
              <w:rPr>
                <w:spacing w:val="-12"/>
              </w:rPr>
              <w:t xml:space="preserve"> </w:t>
            </w:r>
            <w:r>
              <w:t>Qualifications</w:t>
            </w:r>
            <w:r>
              <w:rPr>
                <w:spacing w:val="-7"/>
              </w:rPr>
              <w:t xml:space="preserve"> </w:t>
            </w:r>
            <w:r>
              <w:t>of</w:t>
            </w:r>
            <w:r>
              <w:rPr>
                <w:spacing w:val="-9"/>
              </w:rPr>
              <w:t xml:space="preserve"> </w:t>
            </w:r>
            <w:r>
              <w:t>the</w:t>
            </w:r>
            <w:r>
              <w:rPr>
                <w:spacing w:val="-14"/>
              </w:rPr>
              <w:t xml:space="preserve"> </w:t>
            </w:r>
            <w:r>
              <w:rPr>
                <w:spacing w:val="-2"/>
              </w:rPr>
              <w:t>Tenderer</w:t>
            </w:r>
            <w:r>
              <w:tab/>
            </w:r>
            <w:r>
              <w:rPr>
                <w:rFonts w:ascii="Calibri"/>
                <w:spacing w:val="-5"/>
              </w:rPr>
              <w:t>22</w:t>
            </w:r>
          </w:hyperlink>
        </w:p>
        <w:p w14:paraId="476859DB" w14:textId="77777777" w:rsidR="00BB77C0" w:rsidRDefault="00370BAA">
          <w:pPr>
            <w:pStyle w:val="TOC2"/>
            <w:numPr>
              <w:ilvl w:val="0"/>
              <w:numId w:val="117"/>
            </w:numPr>
            <w:tabs>
              <w:tab w:val="left" w:pos="1239"/>
              <w:tab w:val="right" w:leader="dot" w:pos="9714"/>
            </w:tabs>
            <w:ind w:hanging="663"/>
            <w:rPr>
              <w:rFonts w:ascii="Calibri"/>
            </w:rPr>
          </w:pPr>
          <w:hyperlink w:anchor="_bookmark24" w:history="1">
            <w:r>
              <w:t>Period</w:t>
            </w:r>
            <w:r>
              <w:rPr>
                <w:spacing w:val="-14"/>
              </w:rPr>
              <w:t xml:space="preserve"> </w:t>
            </w:r>
            <w:r>
              <w:t>of</w:t>
            </w:r>
            <w:r>
              <w:rPr>
                <w:spacing w:val="-14"/>
              </w:rPr>
              <w:t xml:space="preserve"> </w:t>
            </w:r>
            <w:r>
              <w:t>Validity</w:t>
            </w:r>
            <w:r>
              <w:rPr>
                <w:spacing w:val="-14"/>
              </w:rPr>
              <w:t xml:space="preserve"> </w:t>
            </w:r>
            <w:r>
              <w:t>of</w:t>
            </w:r>
            <w:r>
              <w:rPr>
                <w:spacing w:val="-10"/>
              </w:rPr>
              <w:t xml:space="preserve"> </w:t>
            </w:r>
            <w:r>
              <w:rPr>
                <w:spacing w:val="-2"/>
              </w:rPr>
              <w:t>Tenders</w:t>
            </w:r>
            <w:r>
              <w:tab/>
            </w:r>
            <w:r>
              <w:rPr>
                <w:rFonts w:ascii="Calibri"/>
                <w:spacing w:val="-5"/>
              </w:rPr>
              <w:t>24</w:t>
            </w:r>
          </w:hyperlink>
        </w:p>
        <w:p w14:paraId="094BEFD8" w14:textId="77777777" w:rsidR="00BB77C0" w:rsidRDefault="00370BAA">
          <w:pPr>
            <w:pStyle w:val="TOC2"/>
            <w:numPr>
              <w:ilvl w:val="0"/>
              <w:numId w:val="117"/>
            </w:numPr>
            <w:tabs>
              <w:tab w:val="left" w:pos="1239"/>
              <w:tab w:val="right" w:leader="dot" w:pos="9714"/>
            </w:tabs>
            <w:spacing w:before="182"/>
            <w:ind w:hanging="663"/>
            <w:rPr>
              <w:rFonts w:ascii="Calibri"/>
            </w:rPr>
          </w:pPr>
          <w:hyperlink w:anchor="_bookmark25" w:history="1">
            <w:r>
              <w:t>Tender</w:t>
            </w:r>
            <w:r>
              <w:rPr>
                <w:spacing w:val="-12"/>
              </w:rPr>
              <w:t xml:space="preserve"> </w:t>
            </w:r>
            <w:r>
              <w:rPr>
                <w:spacing w:val="-2"/>
              </w:rPr>
              <w:t>Security</w:t>
            </w:r>
            <w:r>
              <w:tab/>
            </w:r>
            <w:r>
              <w:rPr>
                <w:rFonts w:ascii="Calibri"/>
                <w:spacing w:val="-5"/>
              </w:rPr>
              <w:t>24</w:t>
            </w:r>
          </w:hyperlink>
        </w:p>
        <w:p w14:paraId="413CD74F" w14:textId="77777777" w:rsidR="00BB77C0" w:rsidRDefault="00370BAA">
          <w:pPr>
            <w:pStyle w:val="TOC2"/>
            <w:numPr>
              <w:ilvl w:val="0"/>
              <w:numId w:val="117"/>
            </w:numPr>
            <w:tabs>
              <w:tab w:val="left" w:pos="1239"/>
              <w:tab w:val="right" w:leader="dot" w:pos="9714"/>
            </w:tabs>
            <w:spacing w:after="20"/>
            <w:ind w:hanging="658"/>
            <w:rPr>
              <w:rFonts w:ascii="Calibri"/>
            </w:rPr>
          </w:pPr>
          <w:hyperlink w:anchor="_bookmark26" w:history="1">
            <w:r>
              <w:t>Format</w:t>
            </w:r>
            <w:r>
              <w:rPr>
                <w:spacing w:val="-6"/>
              </w:rPr>
              <w:t xml:space="preserve"> </w:t>
            </w:r>
            <w:r>
              <w:t>and</w:t>
            </w:r>
            <w:r>
              <w:rPr>
                <w:spacing w:val="-7"/>
              </w:rPr>
              <w:t xml:space="preserve"> </w:t>
            </w:r>
            <w:r>
              <w:t>Signing</w:t>
            </w:r>
            <w:r>
              <w:rPr>
                <w:spacing w:val="-7"/>
              </w:rPr>
              <w:t xml:space="preserve"> </w:t>
            </w:r>
            <w:r>
              <w:t>of</w:t>
            </w:r>
            <w:r>
              <w:rPr>
                <w:spacing w:val="-8"/>
              </w:rPr>
              <w:t xml:space="preserve"> </w:t>
            </w:r>
            <w:r>
              <w:rPr>
                <w:spacing w:val="-2"/>
              </w:rPr>
              <w:t>Tender</w:t>
            </w:r>
            <w:r>
              <w:tab/>
            </w:r>
            <w:r>
              <w:rPr>
                <w:rFonts w:ascii="Calibri"/>
                <w:spacing w:val="-5"/>
              </w:rPr>
              <w:t>25</w:t>
            </w:r>
          </w:hyperlink>
        </w:p>
        <w:p w14:paraId="561CC11F" w14:textId="77777777" w:rsidR="00BB77C0" w:rsidRDefault="00370BAA">
          <w:pPr>
            <w:pStyle w:val="TOC1"/>
            <w:numPr>
              <w:ilvl w:val="0"/>
              <w:numId w:val="119"/>
            </w:numPr>
            <w:tabs>
              <w:tab w:val="left" w:pos="627"/>
              <w:tab w:val="right" w:leader="dot" w:pos="9714"/>
            </w:tabs>
            <w:spacing w:before="74"/>
            <w:ind w:left="627" w:hanging="267"/>
            <w:jc w:val="left"/>
            <w:rPr>
              <w:rFonts w:ascii="Calibri"/>
            </w:rPr>
          </w:pPr>
          <w:hyperlink w:anchor="_bookmark27" w:history="1">
            <w:r>
              <w:t>SUBMISSION</w:t>
            </w:r>
            <w:r>
              <w:rPr>
                <w:spacing w:val="-13"/>
              </w:rPr>
              <w:t xml:space="preserve"> </w:t>
            </w:r>
            <w:r>
              <w:t>AND</w:t>
            </w:r>
            <w:r>
              <w:rPr>
                <w:spacing w:val="-11"/>
              </w:rPr>
              <w:t xml:space="preserve"> </w:t>
            </w:r>
            <w:r>
              <w:t>OPENING</w:t>
            </w:r>
            <w:r>
              <w:rPr>
                <w:spacing w:val="-11"/>
              </w:rPr>
              <w:t xml:space="preserve"> </w:t>
            </w:r>
            <w:r>
              <w:t>OF</w:t>
            </w:r>
            <w:r>
              <w:rPr>
                <w:spacing w:val="-13"/>
              </w:rPr>
              <w:t xml:space="preserve"> </w:t>
            </w:r>
            <w:r>
              <w:rPr>
                <w:spacing w:val="-2"/>
              </w:rPr>
              <w:t>TENDERS</w:t>
            </w:r>
            <w:r>
              <w:tab/>
            </w:r>
            <w:r>
              <w:rPr>
                <w:rFonts w:ascii="Calibri"/>
                <w:spacing w:val="-5"/>
              </w:rPr>
              <w:t>26</w:t>
            </w:r>
          </w:hyperlink>
        </w:p>
        <w:p w14:paraId="2829B0C8" w14:textId="77777777" w:rsidR="00BB77C0" w:rsidRDefault="00370BAA">
          <w:pPr>
            <w:pStyle w:val="TOC2"/>
            <w:numPr>
              <w:ilvl w:val="0"/>
              <w:numId w:val="117"/>
            </w:numPr>
            <w:tabs>
              <w:tab w:val="left" w:pos="1239"/>
              <w:tab w:val="right" w:leader="dot" w:pos="9714"/>
            </w:tabs>
            <w:ind w:hanging="658"/>
            <w:rPr>
              <w:rFonts w:ascii="Calibri"/>
            </w:rPr>
          </w:pPr>
          <w:hyperlink w:anchor="_bookmark28" w:history="1">
            <w:r>
              <w:t>Sealing</w:t>
            </w:r>
            <w:r>
              <w:rPr>
                <w:spacing w:val="-9"/>
              </w:rPr>
              <w:t xml:space="preserve"> </w:t>
            </w:r>
            <w:r>
              <w:t>and</w:t>
            </w:r>
            <w:r>
              <w:rPr>
                <w:spacing w:val="-8"/>
              </w:rPr>
              <w:t xml:space="preserve"> </w:t>
            </w:r>
            <w:r>
              <w:t>Marking</w:t>
            </w:r>
            <w:r>
              <w:rPr>
                <w:spacing w:val="-9"/>
              </w:rPr>
              <w:t xml:space="preserve"> </w:t>
            </w:r>
            <w:r>
              <w:t xml:space="preserve">of </w:t>
            </w:r>
            <w:r>
              <w:rPr>
                <w:spacing w:val="-2"/>
              </w:rPr>
              <w:t>Tenders</w:t>
            </w:r>
            <w:r>
              <w:tab/>
            </w:r>
            <w:r>
              <w:rPr>
                <w:rFonts w:ascii="Calibri"/>
                <w:spacing w:val="-5"/>
              </w:rPr>
              <w:t>26</w:t>
            </w:r>
          </w:hyperlink>
        </w:p>
        <w:p w14:paraId="626FBF6C" w14:textId="77777777" w:rsidR="00BB77C0" w:rsidRDefault="00370BAA">
          <w:pPr>
            <w:pStyle w:val="TOC2"/>
            <w:numPr>
              <w:ilvl w:val="0"/>
              <w:numId w:val="117"/>
            </w:numPr>
            <w:tabs>
              <w:tab w:val="left" w:pos="1239"/>
              <w:tab w:val="right" w:leader="dot" w:pos="9714"/>
            </w:tabs>
            <w:spacing w:before="188"/>
            <w:ind w:hanging="658"/>
            <w:rPr>
              <w:rFonts w:ascii="Calibri"/>
            </w:rPr>
          </w:pPr>
          <w:hyperlink w:anchor="_bookmark29" w:history="1">
            <w:r>
              <w:t>Deadline</w:t>
            </w:r>
            <w:r>
              <w:rPr>
                <w:spacing w:val="-14"/>
              </w:rPr>
              <w:t xml:space="preserve"> </w:t>
            </w:r>
            <w:r>
              <w:t>for</w:t>
            </w:r>
            <w:r>
              <w:rPr>
                <w:spacing w:val="-3"/>
              </w:rPr>
              <w:t xml:space="preserve"> </w:t>
            </w:r>
            <w:r>
              <w:t>Submission</w:t>
            </w:r>
            <w:r>
              <w:rPr>
                <w:spacing w:val="-8"/>
              </w:rPr>
              <w:t xml:space="preserve"> </w:t>
            </w:r>
            <w:r>
              <w:t>of</w:t>
            </w:r>
            <w:r>
              <w:rPr>
                <w:spacing w:val="-10"/>
              </w:rPr>
              <w:t xml:space="preserve"> </w:t>
            </w:r>
            <w:r>
              <w:rPr>
                <w:spacing w:val="-2"/>
              </w:rPr>
              <w:t>Tenders</w:t>
            </w:r>
            <w:r>
              <w:tab/>
            </w:r>
            <w:r>
              <w:rPr>
                <w:rFonts w:ascii="Calibri"/>
                <w:spacing w:val="-5"/>
              </w:rPr>
              <w:t>27</w:t>
            </w:r>
          </w:hyperlink>
        </w:p>
        <w:p w14:paraId="740F791C" w14:textId="77777777" w:rsidR="00BB77C0" w:rsidRDefault="00370BAA">
          <w:pPr>
            <w:pStyle w:val="TOC2"/>
            <w:numPr>
              <w:ilvl w:val="0"/>
              <w:numId w:val="117"/>
            </w:numPr>
            <w:tabs>
              <w:tab w:val="left" w:pos="1239"/>
              <w:tab w:val="right" w:leader="dot" w:pos="9714"/>
            </w:tabs>
            <w:ind w:hanging="658"/>
            <w:rPr>
              <w:rFonts w:ascii="Calibri"/>
            </w:rPr>
          </w:pPr>
          <w:hyperlink w:anchor="_bookmark30" w:history="1">
            <w:r>
              <w:t>Late</w:t>
            </w:r>
            <w:r>
              <w:rPr>
                <w:spacing w:val="-10"/>
              </w:rPr>
              <w:t xml:space="preserve"> </w:t>
            </w:r>
            <w:r>
              <w:rPr>
                <w:spacing w:val="-2"/>
              </w:rPr>
              <w:t>Tenders</w:t>
            </w:r>
            <w:r>
              <w:tab/>
            </w:r>
            <w:r>
              <w:rPr>
                <w:rFonts w:ascii="Calibri"/>
                <w:spacing w:val="-5"/>
              </w:rPr>
              <w:t>27</w:t>
            </w:r>
          </w:hyperlink>
        </w:p>
        <w:p w14:paraId="10A61013" w14:textId="77777777" w:rsidR="00BB77C0" w:rsidRDefault="00370BAA">
          <w:pPr>
            <w:pStyle w:val="TOC2"/>
            <w:numPr>
              <w:ilvl w:val="0"/>
              <w:numId w:val="117"/>
            </w:numPr>
            <w:tabs>
              <w:tab w:val="left" w:pos="1239"/>
              <w:tab w:val="right" w:leader="dot" w:pos="9714"/>
            </w:tabs>
            <w:spacing w:before="183"/>
            <w:ind w:hanging="658"/>
            <w:rPr>
              <w:rFonts w:ascii="Calibri"/>
            </w:rPr>
          </w:pPr>
          <w:hyperlink w:anchor="_bookmark31" w:history="1">
            <w:r>
              <w:rPr>
                <w:spacing w:val="-2"/>
              </w:rPr>
              <w:t>Withdrawal,</w:t>
            </w:r>
            <w:r>
              <w:rPr>
                <w:spacing w:val="5"/>
              </w:rPr>
              <w:t xml:space="preserve"> </w:t>
            </w:r>
            <w:r>
              <w:rPr>
                <w:spacing w:val="-2"/>
              </w:rPr>
              <w:t>Substitution,</w:t>
            </w:r>
            <w:r>
              <w:rPr>
                <w:spacing w:val="5"/>
              </w:rPr>
              <w:t xml:space="preserve"> </w:t>
            </w:r>
            <w:r>
              <w:rPr>
                <w:spacing w:val="-2"/>
              </w:rPr>
              <w:t>and</w:t>
            </w:r>
            <w:r>
              <w:rPr>
                <w:spacing w:val="2"/>
              </w:rPr>
              <w:t xml:space="preserve"> </w:t>
            </w:r>
            <w:r>
              <w:rPr>
                <w:spacing w:val="-2"/>
              </w:rPr>
              <w:t>Modification</w:t>
            </w:r>
            <w:r>
              <w:rPr>
                <w:spacing w:val="1"/>
              </w:rPr>
              <w:t xml:space="preserve"> </w:t>
            </w:r>
            <w:r>
              <w:rPr>
                <w:spacing w:val="-2"/>
              </w:rPr>
              <w:t>of</w:t>
            </w:r>
            <w:r>
              <w:t xml:space="preserve"> </w:t>
            </w:r>
            <w:r>
              <w:rPr>
                <w:spacing w:val="-2"/>
              </w:rPr>
              <w:t>Tenders</w:t>
            </w:r>
            <w:r>
              <w:tab/>
            </w:r>
            <w:r>
              <w:rPr>
                <w:rFonts w:ascii="Calibri"/>
                <w:spacing w:val="-5"/>
              </w:rPr>
              <w:t>27</w:t>
            </w:r>
          </w:hyperlink>
        </w:p>
        <w:p w14:paraId="4DC367C4" w14:textId="77777777" w:rsidR="00BB77C0" w:rsidRDefault="00370BAA">
          <w:pPr>
            <w:pStyle w:val="TOC2"/>
            <w:numPr>
              <w:ilvl w:val="0"/>
              <w:numId w:val="117"/>
            </w:numPr>
            <w:tabs>
              <w:tab w:val="left" w:pos="1239"/>
              <w:tab w:val="right" w:leader="dot" w:pos="9714"/>
            </w:tabs>
            <w:spacing w:before="182"/>
            <w:ind w:hanging="658"/>
            <w:rPr>
              <w:rFonts w:ascii="Calibri"/>
            </w:rPr>
          </w:pPr>
          <w:hyperlink w:anchor="_bookmark32" w:history="1">
            <w:r>
              <w:t>Tender</w:t>
            </w:r>
            <w:r>
              <w:rPr>
                <w:spacing w:val="-10"/>
              </w:rPr>
              <w:t xml:space="preserve"> </w:t>
            </w:r>
            <w:r>
              <w:rPr>
                <w:spacing w:val="-2"/>
              </w:rPr>
              <w:t>Opening</w:t>
            </w:r>
            <w:r>
              <w:tab/>
            </w:r>
            <w:r>
              <w:rPr>
                <w:rFonts w:ascii="Calibri"/>
                <w:spacing w:val="-5"/>
              </w:rPr>
              <w:t>28</w:t>
            </w:r>
          </w:hyperlink>
        </w:p>
        <w:p w14:paraId="5C70B340" w14:textId="77777777" w:rsidR="00BB77C0" w:rsidRDefault="00370BAA">
          <w:pPr>
            <w:pStyle w:val="TOC1"/>
            <w:numPr>
              <w:ilvl w:val="0"/>
              <w:numId w:val="119"/>
            </w:numPr>
            <w:tabs>
              <w:tab w:val="left" w:pos="604"/>
              <w:tab w:val="right" w:leader="dot" w:pos="9714"/>
            </w:tabs>
            <w:ind w:left="604" w:hanging="244"/>
            <w:jc w:val="left"/>
            <w:rPr>
              <w:rFonts w:ascii="Calibri"/>
            </w:rPr>
          </w:pPr>
          <w:hyperlink w:anchor="_bookmark33" w:history="1">
            <w:r>
              <w:t>Evaluation</w:t>
            </w:r>
            <w:r>
              <w:rPr>
                <w:spacing w:val="-10"/>
              </w:rPr>
              <w:t xml:space="preserve"> </w:t>
            </w:r>
            <w:r>
              <w:t>and</w:t>
            </w:r>
            <w:r>
              <w:rPr>
                <w:spacing w:val="-11"/>
              </w:rPr>
              <w:t xml:space="preserve"> </w:t>
            </w:r>
            <w:r>
              <w:t>Comparison</w:t>
            </w:r>
            <w:r>
              <w:rPr>
                <w:spacing w:val="-5"/>
              </w:rPr>
              <w:t xml:space="preserve"> </w:t>
            </w:r>
            <w:r>
              <w:t>of</w:t>
            </w:r>
            <w:r>
              <w:rPr>
                <w:spacing w:val="-3"/>
              </w:rPr>
              <w:t xml:space="preserve"> </w:t>
            </w:r>
            <w:r>
              <w:rPr>
                <w:spacing w:val="-2"/>
              </w:rPr>
              <w:t>Tenders</w:t>
            </w:r>
            <w:r>
              <w:tab/>
            </w:r>
            <w:r>
              <w:rPr>
                <w:rFonts w:ascii="Calibri"/>
                <w:spacing w:val="-5"/>
              </w:rPr>
              <w:t>29</w:t>
            </w:r>
          </w:hyperlink>
        </w:p>
        <w:p w14:paraId="6A99916A" w14:textId="77777777" w:rsidR="00BB77C0" w:rsidRDefault="00370BAA">
          <w:pPr>
            <w:pStyle w:val="TOC2"/>
            <w:numPr>
              <w:ilvl w:val="0"/>
              <w:numId w:val="117"/>
            </w:numPr>
            <w:tabs>
              <w:tab w:val="left" w:pos="1239"/>
              <w:tab w:val="right" w:leader="dot" w:pos="9714"/>
            </w:tabs>
            <w:ind w:hanging="658"/>
            <w:rPr>
              <w:rFonts w:ascii="Calibri"/>
            </w:rPr>
          </w:pPr>
          <w:hyperlink w:anchor="_bookmark34" w:history="1">
            <w:r>
              <w:rPr>
                <w:spacing w:val="-2"/>
              </w:rPr>
              <w:t>Confidentiality</w:t>
            </w:r>
            <w:r>
              <w:tab/>
            </w:r>
            <w:r>
              <w:rPr>
                <w:rFonts w:ascii="Calibri"/>
                <w:spacing w:val="-5"/>
              </w:rPr>
              <w:t>29</w:t>
            </w:r>
          </w:hyperlink>
        </w:p>
        <w:p w14:paraId="206C7051" w14:textId="77777777" w:rsidR="00BB77C0" w:rsidRDefault="00370BAA">
          <w:pPr>
            <w:pStyle w:val="TOC2"/>
            <w:numPr>
              <w:ilvl w:val="0"/>
              <w:numId w:val="117"/>
            </w:numPr>
            <w:tabs>
              <w:tab w:val="left" w:pos="1239"/>
              <w:tab w:val="right" w:leader="dot" w:pos="9714"/>
            </w:tabs>
            <w:ind w:hanging="658"/>
            <w:rPr>
              <w:rFonts w:ascii="Calibri"/>
            </w:rPr>
          </w:pPr>
          <w:hyperlink w:anchor="_bookmark35" w:history="1">
            <w:r>
              <w:rPr>
                <w:spacing w:val="-2"/>
              </w:rPr>
              <w:t>Clarification</w:t>
            </w:r>
            <w:r>
              <w:rPr>
                <w:spacing w:val="-3"/>
              </w:rPr>
              <w:t xml:space="preserve"> </w:t>
            </w:r>
            <w:r>
              <w:rPr>
                <w:spacing w:val="-2"/>
              </w:rPr>
              <w:t>of</w:t>
            </w:r>
            <w:r>
              <w:t xml:space="preserve"> </w:t>
            </w:r>
            <w:r>
              <w:rPr>
                <w:spacing w:val="-2"/>
              </w:rPr>
              <w:t>Tenders</w:t>
            </w:r>
            <w:r>
              <w:tab/>
            </w:r>
            <w:r>
              <w:rPr>
                <w:rFonts w:ascii="Calibri"/>
                <w:spacing w:val="-5"/>
              </w:rPr>
              <w:t>29</w:t>
            </w:r>
          </w:hyperlink>
        </w:p>
        <w:p w14:paraId="7B1DA0F9" w14:textId="77777777" w:rsidR="00BB77C0" w:rsidRDefault="00370BAA">
          <w:pPr>
            <w:pStyle w:val="TOC2"/>
            <w:numPr>
              <w:ilvl w:val="0"/>
              <w:numId w:val="117"/>
            </w:numPr>
            <w:tabs>
              <w:tab w:val="left" w:pos="1239"/>
              <w:tab w:val="right" w:leader="dot" w:pos="9714"/>
            </w:tabs>
            <w:spacing w:before="188"/>
            <w:ind w:hanging="658"/>
            <w:rPr>
              <w:rFonts w:ascii="Calibri"/>
            </w:rPr>
          </w:pPr>
          <w:hyperlink w:anchor="_bookmark36" w:history="1">
            <w:r>
              <w:t>Deviations,</w:t>
            </w:r>
            <w:r>
              <w:rPr>
                <w:spacing w:val="-13"/>
              </w:rPr>
              <w:t xml:space="preserve"> </w:t>
            </w:r>
            <w:r>
              <w:t>Reservations,</w:t>
            </w:r>
            <w:r>
              <w:rPr>
                <w:spacing w:val="-10"/>
              </w:rPr>
              <w:t xml:space="preserve"> </w:t>
            </w:r>
            <w:r>
              <w:t>and</w:t>
            </w:r>
            <w:r>
              <w:rPr>
                <w:spacing w:val="-13"/>
              </w:rPr>
              <w:t xml:space="preserve"> </w:t>
            </w:r>
            <w:r>
              <w:rPr>
                <w:spacing w:val="-2"/>
              </w:rPr>
              <w:t>Omissions</w:t>
            </w:r>
            <w:r>
              <w:tab/>
            </w:r>
            <w:r>
              <w:rPr>
                <w:rFonts w:ascii="Calibri"/>
                <w:spacing w:val="-5"/>
              </w:rPr>
              <w:t>29</w:t>
            </w:r>
          </w:hyperlink>
        </w:p>
        <w:p w14:paraId="3AB57096" w14:textId="77777777" w:rsidR="00BB77C0" w:rsidRDefault="00370BAA">
          <w:pPr>
            <w:pStyle w:val="TOC2"/>
            <w:numPr>
              <w:ilvl w:val="0"/>
              <w:numId w:val="117"/>
            </w:numPr>
            <w:tabs>
              <w:tab w:val="left" w:pos="1239"/>
              <w:tab w:val="right" w:leader="dot" w:pos="9714"/>
            </w:tabs>
            <w:ind w:hanging="658"/>
            <w:rPr>
              <w:rFonts w:ascii="Calibri"/>
            </w:rPr>
          </w:pPr>
          <w:hyperlink w:anchor="_bookmark37" w:history="1">
            <w:r>
              <w:t>Determination</w:t>
            </w:r>
            <w:r>
              <w:rPr>
                <w:spacing w:val="-14"/>
              </w:rPr>
              <w:t xml:space="preserve"> </w:t>
            </w:r>
            <w:r>
              <w:t>of</w:t>
            </w:r>
            <w:r>
              <w:rPr>
                <w:spacing w:val="-7"/>
              </w:rPr>
              <w:t xml:space="preserve"> </w:t>
            </w:r>
            <w:r>
              <w:rPr>
                <w:spacing w:val="-2"/>
              </w:rPr>
              <w:t>Responsiveness</w:t>
            </w:r>
            <w:r>
              <w:tab/>
            </w:r>
            <w:r>
              <w:rPr>
                <w:rFonts w:ascii="Calibri"/>
                <w:spacing w:val="-5"/>
              </w:rPr>
              <w:t>29</w:t>
            </w:r>
          </w:hyperlink>
        </w:p>
        <w:p w14:paraId="5DACF558" w14:textId="77777777" w:rsidR="00BB77C0" w:rsidRDefault="00370BAA">
          <w:pPr>
            <w:pStyle w:val="TOC2"/>
            <w:numPr>
              <w:ilvl w:val="0"/>
              <w:numId w:val="117"/>
            </w:numPr>
            <w:tabs>
              <w:tab w:val="left" w:pos="1239"/>
              <w:tab w:val="right" w:leader="dot" w:pos="9714"/>
            </w:tabs>
            <w:spacing w:before="183"/>
            <w:ind w:hanging="658"/>
            <w:rPr>
              <w:rFonts w:ascii="Calibri"/>
            </w:rPr>
          </w:pPr>
          <w:hyperlink w:anchor="_bookmark38" w:history="1">
            <w:r>
              <w:rPr>
                <w:spacing w:val="-2"/>
              </w:rPr>
              <w:t>Non-material</w:t>
            </w:r>
            <w:r>
              <w:rPr>
                <w:spacing w:val="1"/>
              </w:rPr>
              <w:t xml:space="preserve"> </w:t>
            </w:r>
            <w:r>
              <w:rPr>
                <w:spacing w:val="-2"/>
              </w:rPr>
              <w:t>Non-conformities</w:t>
            </w:r>
            <w:r>
              <w:tab/>
            </w:r>
            <w:r>
              <w:rPr>
                <w:rFonts w:ascii="Calibri"/>
                <w:spacing w:val="-5"/>
              </w:rPr>
              <w:t>30</w:t>
            </w:r>
          </w:hyperlink>
        </w:p>
        <w:p w14:paraId="4F4D1C6A" w14:textId="77777777" w:rsidR="00BB77C0" w:rsidRDefault="00370BAA">
          <w:pPr>
            <w:pStyle w:val="TOC2"/>
            <w:numPr>
              <w:ilvl w:val="0"/>
              <w:numId w:val="117"/>
            </w:numPr>
            <w:tabs>
              <w:tab w:val="left" w:pos="1239"/>
              <w:tab w:val="right" w:leader="dot" w:pos="9714"/>
            </w:tabs>
            <w:spacing w:before="182"/>
            <w:ind w:hanging="658"/>
            <w:rPr>
              <w:rFonts w:ascii="Calibri"/>
            </w:rPr>
          </w:pPr>
          <w:hyperlink w:anchor="_bookmark39" w:history="1">
            <w:r>
              <w:t>Arithmetical</w:t>
            </w:r>
            <w:r>
              <w:rPr>
                <w:spacing w:val="-13"/>
              </w:rPr>
              <w:t xml:space="preserve"> </w:t>
            </w:r>
            <w:r>
              <w:rPr>
                <w:spacing w:val="-2"/>
              </w:rPr>
              <w:t>Errors</w:t>
            </w:r>
            <w:r>
              <w:tab/>
            </w:r>
            <w:r>
              <w:rPr>
                <w:rFonts w:ascii="Calibri"/>
                <w:spacing w:val="-5"/>
              </w:rPr>
              <w:t>30</w:t>
            </w:r>
          </w:hyperlink>
        </w:p>
        <w:p w14:paraId="5C47FA7A" w14:textId="77777777" w:rsidR="00BB77C0" w:rsidRDefault="00370BAA">
          <w:pPr>
            <w:pStyle w:val="TOC2"/>
            <w:numPr>
              <w:ilvl w:val="0"/>
              <w:numId w:val="117"/>
            </w:numPr>
            <w:tabs>
              <w:tab w:val="left" w:pos="1239"/>
              <w:tab w:val="right" w:leader="dot" w:pos="9714"/>
            </w:tabs>
            <w:spacing w:before="179"/>
            <w:ind w:hanging="658"/>
            <w:rPr>
              <w:rFonts w:ascii="Calibri"/>
            </w:rPr>
          </w:pPr>
          <w:hyperlink w:anchor="_bookmark40" w:history="1">
            <w:r>
              <w:t>Currency</w:t>
            </w:r>
            <w:r>
              <w:rPr>
                <w:spacing w:val="-10"/>
              </w:rPr>
              <w:t xml:space="preserve"> </w:t>
            </w:r>
            <w:r>
              <w:rPr>
                <w:spacing w:val="-2"/>
              </w:rPr>
              <w:t>Provisions</w:t>
            </w:r>
            <w:r>
              <w:tab/>
            </w:r>
            <w:r>
              <w:rPr>
                <w:rFonts w:ascii="Calibri"/>
                <w:spacing w:val="-5"/>
              </w:rPr>
              <w:t>31</w:t>
            </w:r>
          </w:hyperlink>
        </w:p>
        <w:p w14:paraId="506110B5" w14:textId="77777777" w:rsidR="00BB77C0" w:rsidRDefault="00370BAA">
          <w:pPr>
            <w:pStyle w:val="TOC2"/>
            <w:numPr>
              <w:ilvl w:val="0"/>
              <w:numId w:val="117"/>
            </w:numPr>
            <w:tabs>
              <w:tab w:val="left" w:pos="1239"/>
              <w:tab w:val="right" w:leader="dot" w:pos="9714"/>
            </w:tabs>
            <w:spacing w:before="182"/>
            <w:ind w:hanging="658"/>
            <w:rPr>
              <w:rFonts w:ascii="Calibri"/>
            </w:rPr>
          </w:pPr>
          <w:hyperlink w:anchor="_bookmark41" w:history="1">
            <w:r>
              <w:t>Margin</w:t>
            </w:r>
            <w:r>
              <w:rPr>
                <w:spacing w:val="-9"/>
              </w:rPr>
              <w:t xml:space="preserve"> </w:t>
            </w:r>
            <w:r>
              <w:t>of</w:t>
            </w:r>
            <w:r>
              <w:rPr>
                <w:spacing w:val="-6"/>
              </w:rPr>
              <w:t xml:space="preserve"> </w:t>
            </w:r>
            <w:r>
              <w:t>Preference</w:t>
            </w:r>
            <w:r>
              <w:rPr>
                <w:spacing w:val="-10"/>
              </w:rPr>
              <w:t xml:space="preserve"> </w:t>
            </w:r>
            <w:r>
              <w:t>and</w:t>
            </w:r>
            <w:r>
              <w:rPr>
                <w:spacing w:val="-8"/>
              </w:rPr>
              <w:t xml:space="preserve"> </w:t>
            </w:r>
            <w:r>
              <w:rPr>
                <w:spacing w:val="-2"/>
              </w:rPr>
              <w:t>Reservations</w:t>
            </w:r>
            <w:r>
              <w:tab/>
            </w:r>
            <w:r>
              <w:rPr>
                <w:rFonts w:ascii="Calibri"/>
                <w:spacing w:val="-5"/>
              </w:rPr>
              <w:t>31</w:t>
            </w:r>
          </w:hyperlink>
        </w:p>
        <w:p w14:paraId="36CAC94B" w14:textId="77777777" w:rsidR="00BB77C0" w:rsidRDefault="00370BAA">
          <w:pPr>
            <w:pStyle w:val="TOC2"/>
            <w:numPr>
              <w:ilvl w:val="0"/>
              <w:numId w:val="117"/>
            </w:numPr>
            <w:tabs>
              <w:tab w:val="left" w:pos="1239"/>
              <w:tab w:val="right" w:leader="dot" w:pos="9714"/>
            </w:tabs>
            <w:ind w:hanging="658"/>
            <w:rPr>
              <w:rFonts w:ascii="Calibri"/>
            </w:rPr>
          </w:pPr>
          <w:hyperlink w:anchor="_bookmark42" w:history="1">
            <w:r>
              <w:t>Nominated</w:t>
            </w:r>
            <w:r>
              <w:rPr>
                <w:spacing w:val="-13"/>
              </w:rPr>
              <w:t xml:space="preserve"> </w:t>
            </w:r>
            <w:r>
              <w:rPr>
                <w:spacing w:val="-2"/>
              </w:rPr>
              <w:t>Subcontractors</w:t>
            </w:r>
            <w:r>
              <w:tab/>
            </w:r>
            <w:r>
              <w:rPr>
                <w:rFonts w:ascii="Calibri"/>
                <w:spacing w:val="-5"/>
              </w:rPr>
              <w:t>31</w:t>
            </w:r>
          </w:hyperlink>
        </w:p>
        <w:p w14:paraId="1C991E69" w14:textId="77777777" w:rsidR="00BB77C0" w:rsidRDefault="00370BAA">
          <w:pPr>
            <w:pStyle w:val="TOC2"/>
            <w:numPr>
              <w:ilvl w:val="0"/>
              <w:numId w:val="117"/>
            </w:numPr>
            <w:tabs>
              <w:tab w:val="left" w:pos="1239"/>
              <w:tab w:val="right" w:leader="dot" w:pos="9714"/>
            </w:tabs>
            <w:spacing w:before="188"/>
            <w:ind w:hanging="658"/>
            <w:rPr>
              <w:rFonts w:ascii="Calibri"/>
            </w:rPr>
          </w:pPr>
          <w:hyperlink w:anchor="_bookmark43" w:history="1">
            <w:r>
              <w:t>Evaluation</w:t>
            </w:r>
            <w:r>
              <w:rPr>
                <w:spacing w:val="-13"/>
              </w:rPr>
              <w:t xml:space="preserve"> </w:t>
            </w:r>
            <w:r>
              <w:t>of</w:t>
            </w:r>
            <w:r>
              <w:rPr>
                <w:spacing w:val="-4"/>
              </w:rPr>
              <w:t xml:space="preserve"> </w:t>
            </w:r>
            <w:r>
              <w:rPr>
                <w:spacing w:val="-2"/>
              </w:rPr>
              <w:t>Tenders</w:t>
            </w:r>
            <w:r>
              <w:tab/>
            </w:r>
            <w:r>
              <w:rPr>
                <w:rFonts w:ascii="Calibri"/>
                <w:spacing w:val="-5"/>
              </w:rPr>
              <w:t>31</w:t>
            </w:r>
          </w:hyperlink>
        </w:p>
        <w:p w14:paraId="393065A8" w14:textId="77777777" w:rsidR="00BB77C0" w:rsidRDefault="00370BAA">
          <w:pPr>
            <w:pStyle w:val="TOC2"/>
            <w:numPr>
              <w:ilvl w:val="0"/>
              <w:numId w:val="117"/>
            </w:numPr>
            <w:tabs>
              <w:tab w:val="left" w:pos="1239"/>
              <w:tab w:val="right" w:leader="dot" w:pos="9714"/>
            </w:tabs>
            <w:ind w:hanging="658"/>
            <w:rPr>
              <w:rFonts w:ascii="Calibri"/>
            </w:rPr>
          </w:pPr>
          <w:hyperlink w:anchor="_bookmark44" w:history="1">
            <w:r>
              <w:t>Comparison</w:t>
            </w:r>
            <w:r>
              <w:rPr>
                <w:spacing w:val="-8"/>
              </w:rPr>
              <w:t xml:space="preserve"> </w:t>
            </w:r>
            <w:r>
              <w:t>of</w:t>
            </w:r>
            <w:r>
              <w:rPr>
                <w:spacing w:val="-9"/>
              </w:rPr>
              <w:t xml:space="preserve"> </w:t>
            </w:r>
            <w:r>
              <w:rPr>
                <w:spacing w:val="-2"/>
              </w:rPr>
              <w:t>Tenders</w:t>
            </w:r>
            <w:r>
              <w:tab/>
            </w:r>
            <w:r>
              <w:rPr>
                <w:rFonts w:ascii="Calibri"/>
                <w:spacing w:val="-5"/>
              </w:rPr>
              <w:t>32</w:t>
            </w:r>
          </w:hyperlink>
        </w:p>
        <w:p w14:paraId="10B8AAC3" w14:textId="77777777" w:rsidR="00BB77C0" w:rsidRDefault="00370BAA">
          <w:pPr>
            <w:pStyle w:val="TOC2"/>
            <w:numPr>
              <w:ilvl w:val="0"/>
              <w:numId w:val="117"/>
            </w:numPr>
            <w:tabs>
              <w:tab w:val="left" w:pos="1239"/>
              <w:tab w:val="right" w:leader="dot" w:pos="9714"/>
            </w:tabs>
            <w:spacing w:before="182"/>
            <w:ind w:hanging="658"/>
            <w:rPr>
              <w:rFonts w:ascii="Calibri"/>
            </w:rPr>
          </w:pPr>
          <w:hyperlink w:anchor="_bookmark45" w:history="1">
            <w:r>
              <w:t>Abnormally</w:t>
            </w:r>
            <w:r>
              <w:rPr>
                <w:spacing w:val="-11"/>
              </w:rPr>
              <w:t xml:space="preserve"> </w:t>
            </w:r>
            <w:r>
              <w:t>Low</w:t>
            </w:r>
            <w:r>
              <w:rPr>
                <w:spacing w:val="-11"/>
              </w:rPr>
              <w:t xml:space="preserve"> </w:t>
            </w:r>
            <w:r>
              <w:rPr>
                <w:spacing w:val="-2"/>
              </w:rPr>
              <w:t>Tenders</w:t>
            </w:r>
            <w:r>
              <w:tab/>
            </w:r>
            <w:r>
              <w:rPr>
                <w:rFonts w:ascii="Calibri"/>
                <w:spacing w:val="-5"/>
              </w:rPr>
              <w:t>32</w:t>
            </w:r>
          </w:hyperlink>
        </w:p>
        <w:p w14:paraId="177BAE52" w14:textId="77777777" w:rsidR="00BB77C0" w:rsidRDefault="00370BAA">
          <w:pPr>
            <w:pStyle w:val="TOC2"/>
            <w:numPr>
              <w:ilvl w:val="0"/>
              <w:numId w:val="116"/>
            </w:numPr>
            <w:tabs>
              <w:tab w:val="left" w:pos="1239"/>
              <w:tab w:val="right" w:leader="dot" w:pos="9714"/>
            </w:tabs>
            <w:spacing w:before="183"/>
            <w:ind w:hanging="658"/>
            <w:rPr>
              <w:rFonts w:ascii="Calibri"/>
            </w:rPr>
          </w:pPr>
          <w:hyperlink w:anchor="_bookmark46" w:history="1">
            <w:r>
              <w:rPr>
                <w:spacing w:val="-2"/>
              </w:rPr>
              <w:t>Qualifications</w:t>
            </w:r>
            <w:r>
              <w:rPr>
                <w:spacing w:val="6"/>
              </w:rPr>
              <w:t xml:space="preserve"> </w:t>
            </w:r>
            <w:r>
              <w:rPr>
                <w:spacing w:val="-2"/>
              </w:rPr>
              <w:t>of</w:t>
            </w:r>
            <w:r>
              <w:rPr>
                <w:spacing w:val="-3"/>
              </w:rPr>
              <w:t xml:space="preserve"> </w:t>
            </w:r>
            <w:r>
              <w:rPr>
                <w:spacing w:val="-2"/>
              </w:rPr>
              <w:t>the</w:t>
            </w:r>
            <w:r>
              <w:rPr>
                <w:spacing w:val="-8"/>
              </w:rPr>
              <w:t xml:space="preserve"> </w:t>
            </w:r>
            <w:r>
              <w:rPr>
                <w:spacing w:val="-2"/>
              </w:rPr>
              <w:t>Tenderer</w:t>
            </w:r>
            <w:r>
              <w:tab/>
            </w:r>
            <w:r>
              <w:rPr>
                <w:rFonts w:ascii="Calibri"/>
                <w:spacing w:val="-5"/>
              </w:rPr>
              <w:t>34</w:t>
            </w:r>
          </w:hyperlink>
        </w:p>
        <w:p w14:paraId="7EDB2B18" w14:textId="77777777" w:rsidR="00BB77C0" w:rsidRDefault="00370BAA">
          <w:pPr>
            <w:pStyle w:val="TOC2"/>
            <w:numPr>
              <w:ilvl w:val="0"/>
              <w:numId w:val="116"/>
            </w:numPr>
            <w:tabs>
              <w:tab w:val="left" w:pos="1239"/>
              <w:tab w:val="right" w:leader="dot" w:pos="9714"/>
            </w:tabs>
            <w:spacing w:before="179"/>
            <w:ind w:hanging="658"/>
            <w:rPr>
              <w:rFonts w:ascii="Calibri"/>
            </w:rPr>
          </w:pPr>
          <w:hyperlink w:anchor="_bookmark47" w:history="1">
            <w:r>
              <w:t>Best</w:t>
            </w:r>
            <w:r>
              <w:rPr>
                <w:spacing w:val="-9"/>
              </w:rPr>
              <w:t xml:space="preserve"> </w:t>
            </w:r>
            <w:r>
              <w:t>Evaluated</w:t>
            </w:r>
            <w:r>
              <w:rPr>
                <w:spacing w:val="-13"/>
              </w:rPr>
              <w:t xml:space="preserve"> </w:t>
            </w:r>
            <w:r>
              <w:rPr>
                <w:spacing w:val="-2"/>
              </w:rPr>
              <w:t>Tender</w:t>
            </w:r>
            <w:r>
              <w:tab/>
            </w:r>
            <w:r>
              <w:rPr>
                <w:rFonts w:ascii="Calibri"/>
                <w:spacing w:val="-5"/>
              </w:rPr>
              <w:t>34</w:t>
            </w:r>
          </w:hyperlink>
        </w:p>
        <w:p w14:paraId="39113779" w14:textId="77777777" w:rsidR="00BB77C0" w:rsidRDefault="00370BAA">
          <w:pPr>
            <w:pStyle w:val="TOC2"/>
            <w:numPr>
              <w:ilvl w:val="0"/>
              <w:numId w:val="116"/>
            </w:numPr>
            <w:tabs>
              <w:tab w:val="left" w:pos="1239"/>
              <w:tab w:val="right" w:leader="dot" w:pos="9714"/>
            </w:tabs>
            <w:spacing w:before="182"/>
            <w:ind w:hanging="663"/>
            <w:rPr>
              <w:rFonts w:ascii="Calibri"/>
            </w:rPr>
          </w:pPr>
          <w:hyperlink w:anchor="_bookmark48" w:history="1">
            <w:r>
              <w:t>Procuring</w:t>
            </w:r>
            <w:r>
              <w:rPr>
                <w:spacing w:val="-18"/>
              </w:rPr>
              <w:t xml:space="preserve"> </w:t>
            </w:r>
            <w:r>
              <w:t>Entity's</w:t>
            </w:r>
            <w:r>
              <w:rPr>
                <w:spacing w:val="-10"/>
              </w:rPr>
              <w:t xml:space="preserve"> </w:t>
            </w:r>
            <w:r>
              <w:t>Right</w:t>
            </w:r>
            <w:r>
              <w:rPr>
                <w:spacing w:val="-7"/>
              </w:rPr>
              <w:t xml:space="preserve"> </w:t>
            </w:r>
            <w:r>
              <w:t>to</w:t>
            </w:r>
            <w:r>
              <w:rPr>
                <w:spacing w:val="-11"/>
              </w:rPr>
              <w:t xml:space="preserve"> </w:t>
            </w:r>
            <w:r>
              <w:t>Accept</w:t>
            </w:r>
            <w:r>
              <w:rPr>
                <w:spacing w:val="-6"/>
              </w:rPr>
              <w:t xml:space="preserve"> </w:t>
            </w:r>
            <w:r>
              <w:t>Any</w:t>
            </w:r>
            <w:r>
              <w:rPr>
                <w:spacing w:val="-12"/>
              </w:rPr>
              <w:t xml:space="preserve"> </w:t>
            </w:r>
            <w:r>
              <w:t>Tender,</w:t>
            </w:r>
            <w:r>
              <w:rPr>
                <w:spacing w:val="-13"/>
              </w:rPr>
              <w:t xml:space="preserve"> </w:t>
            </w:r>
            <w:r>
              <w:t>and</w:t>
            </w:r>
            <w:r>
              <w:rPr>
                <w:spacing w:val="-12"/>
              </w:rPr>
              <w:t xml:space="preserve"> </w:t>
            </w:r>
            <w:r>
              <w:t>to</w:t>
            </w:r>
            <w:r>
              <w:rPr>
                <w:spacing w:val="-11"/>
              </w:rPr>
              <w:t xml:space="preserve"> </w:t>
            </w:r>
            <w:r>
              <w:t>Reject</w:t>
            </w:r>
            <w:r>
              <w:rPr>
                <w:spacing w:val="-2"/>
              </w:rPr>
              <w:t xml:space="preserve"> </w:t>
            </w:r>
            <w:r>
              <w:t>Any</w:t>
            </w:r>
            <w:r>
              <w:rPr>
                <w:spacing w:val="-12"/>
              </w:rPr>
              <w:t xml:space="preserve"> </w:t>
            </w:r>
            <w:r>
              <w:t>or</w:t>
            </w:r>
            <w:r>
              <w:rPr>
                <w:spacing w:val="1"/>
              </w:rPr>
              <w:t xml:space="preserve"> </w:t>
            </w:r>
            <w:r>
              <w:t>All</w:t>
            </w:r>
            <w:r>
              <w:rPr>
                <w:spacing w:val="-7"/>
              </w:rPr>
              <w:t xml:space="preserve"> </w:t>
            </w:r>
            <w:r>
              <w:rPr>
                <w:spacing w:val="-2"/>
              </w:rPr>
              <w:t>Tenders</w:t>
            </w:r>
            <w:r>
              <w:tab/>
            </w:r>
            <w:r>
              <w:rPr>
                <w:rFonts w:ascii="Calibri"/>
                <w:spacing w:val="-5"/>
              </w:rPr>
              <w:t>34</w:t>
            </w:r>
          </w:hyperlink>
        </w:p>
        <w:p w14:paraId="6489EB41" w14:textId="77777777" w:rsidR="00BB77C0" w:rsidRDefault="00370BAA">
          <w:pPr>
            <w:pStyle w:val="TOC1"/>
            <w:numPr>
              <w:ilvl w:val="0"/>
              <w:numId w:val="119"/>
            </w:numPr>
            <w:tabs>
              <w:tab w:val="left" w:pos="589"/>
              <w:tab w:val="right" w:leader="dot" w:pos="9714"/>
            </w:tabs>
            <w:ind w:left="589" w:hanging="234"/>
            <w:jc w:val="left"/>
            <w:rPr>
              <w:rFonts w:ascii="Calibri"/>
            </w:rPr>
          </w:pPr>
          <w:hyperlink w:anchor="_bookmark49" w:history="1">
            <w:r>
              <w:t>AWARD</w:t>
            </w:r>
            <w:r>
              <w:rPr>
                <w:spacing w:val="-9"/>
              </w:rPr>
              <w:t xml:space="preserve"> </w:t>
            </w:r>
            <w:r>
              <w:t>OF</w:t>
            </w:r>
            <w:r>
              <w:rPr>
                <w:spacing w:val="-6"/>
              </w:rPr>
              <w:t xml:space="preserve"> </w:t>
            </w:r>
            <w:r>
              <w:rPr>
                <w:spacing w:val="-2"/>
              </w:rPr>
              <w:t>CONTRACT</w:t>
            </w:r>
            <w:r>
              <w:tab/>
            </w:r>
            <w:r>
              <w:rPr>
                <w:rFonts w:ascii="Calibri"/>
                <w:spacing w:val="-5"/>
              </w:rPr>
              <w:t>34</w:t>
            </w:r>
          </w:hyperlink>
        </w:p>
        <w:p w14:paraId="1A1315B3" w14:textId="77777777" w:rsidR="00BB77C0" w:rsidRDefault="00370BAA">
          <w:pPr>
            <w:pStyle w:val="TOC2"/>
            <w:numPr>
              <w:ilvl w:val="0"/>
              <w:numId w:val="116"/>
            </w:numPr>
            <w:tabs>
              <w:tab w:val="left" w:pos="1239"/>
              <w:tab w:val="right" w:leader="dot" w:pos="9714"/>
            </w:tabs>
            <w:spacing w:before="182"/>
            <w:ind w:hanging="663"/>
            <w:rPr>
              <w:rFonts w:ascii="Calibri"/>
            </w:rPr>
          </w:pPr>
          <w:hyperlink w:anchor="_bookmark50" w:history="1">
            <w:r>
              <w:t>Award</w:t>
            </w:r>
            <w:r>
              <w:rPr>
                <w:spacing w:val="-10"/>
              </w:rPr>
              <w:t xml:space="preserve"> </w:t>
            </w:r>
            <w:r>
              <w:rPr>
                <w:spacing w:val="-2"/>
              </w:rPr>
              <w:t>Criteria</w:t>
            </w:r>
            <w:r>
              <w:tab/>
            </w:r>
            <w:r>
              <w:rPr>
                <w:rFonts w:ascii="Calibri"/>
                <w:spacing w:val="-5"/>
              </w:rPr>
              <w:t>34</w:t>
            </w:r>
          </w:hyperlink>
        </w:p>
        <w:p w14:paraId="69343BE2" w14:textId="77777777" w:rsidR="00BB77C0" w:rsidRDefault="00370BAA">
          <w:pPr>
            <w:pStyle w:val="TOC2"/>
            <w:numPr>
              <w:ilvl w:val="0"/>
              <w:numId w:val="116"/>
            </w:numPr>
            <w:tabs>
              <w:tab w:val="left" w:pos="1239"/>
              <w:tab w:val="right" w:leader="dot" w:pos="9714"/>
            </w:tabs>
            <w:spacing w:before="179"/>
            <w:ind w:hanging="663"/>
            <w:rPr>
              <w:rFonts w:ascii="Calibri"/>
            </w:rPr>
          </w:pPr>
          <w:hyperlink w:anchor="_bookmark51" w:history="1">
            <w:r>
              <w:t>Notice</w:t>
            </w:r>
            <w:r>
              <w:rPr>
                <w:spacing w:val="-8"/>
              </w:rPr>
              <w:t xml:space="preserve"> </w:t>
            </w:r>
            <w:r>
              <w:t>of</w:t>
            </w:r>
            <w:r>
              <w:rPr>
                <w:spacing w:val="-4"/>
              </w:rPr>
              <w:t xml:space="preserve"> </w:t>
            </w:r>
            <w:r>
              <w:t>Intention</w:t>
            </w:r>
            <w:r>
              <w:rPr>
                <w:spacing w:val="-10"/>
              </w:rPr>
              <w:t xml:space="preserve"> </w:t>
            </w:r>
            <w:r>
              <w:t>to</w:t>
            </w:r>
            <w:r>
              <w:rPr>
                <w:spacing w:val="-7"/>
              </w:rPr>
              <w:t xml:space="preserve"> </w:t>
            </w:r>
            <w:r>
              <w:t>enter</w:t>
            </w:r>
            <w:r>
              <w:rPr>
                <w:spacing w:val="2"/>
              </w:rPr>
              <w:t xml:space="preserve"> </w:t>
            </w:r>
            <w:r>
              <w:t>into</w:t>
            </w:r>
            <w:r>
              <w:rPr>
                <w:spacing w:val="-10"/>
              </w:rPr>
              <w:t xml:space="preserve"> </w:t>
            </w:r>
            <w:r>
              <w:t>a</w:t>
            </w:r>
            <w:r>
              <w:rPr>
                <w:spacing w:val="-4"/>
              </w:rPr>
              <w:t xml:space="preserve"> </w:t>
            </w:r>
            <w:r>
              <w:rPr>
                <w:spacing w:val="-2"/>
              </w:rPr>
              <w:t>Contract</w:t>
            </w:r>
            <w:r>
              <w:tab/>
            </w:r>
            <w:r>
              <w:rPr>
                <w:rFonts w:ascii="Calibri"/>
                <w:spacing w:val="-5"/>
              </w:rPr>
              <w:t>34</w:t>
            </w:r>
          </w:hyperlink>
        </w:p>
        <w:p w14:paraId="13EA2E5D" w14:textId="77777777" w:rsidR="00BB77C0" w:rsidRDefault="00370BAA">
          <w:pPr>
            <w:pStyle w:val="TOC2"/>
            <w:numPr>
              <w:ilvl w:val="0"/>
              <w:numId w:val="116"/>
            </w:numPr>
            <w:tabs>
              <w:tab w:val="left" w:pos="1239"/>
              <w:tab w:val="right" w:leader="dot" w:pos="9714"/>
            </w:tabs>
            <w:spacing w:before="182"/>
            <w:ind w:hanging="663"/>
            <w:rPr>
              <w:rFonts w:ascii="Calibri"/>
            </w:rPr>
          </w:pPr>
          <w:hyperlink w:anchor="_bookmark52" w:history="1">
            <w:r>
              <w:t>Stand</w:t>
            </w:r>
            <w:r>
              <w:rPr>
                <w:spacing w:val="-12"/>
              </w:rPr>
              <w:t xml:space="preserve"> </w:t>
            </w:r>
            <w:r>
              <w:t>still</w:t>
            </w:r>
            <w:r>
              <w:rPr>
                <w:spacing w:val="-5"/>
              </w:rPr>
              <w:t xml:space="preserve"> </w:t>
            </w:r>
            <w:r>
              <w:rPr>
                <w:spacing w:val="-2"/>
              </w:rPr>
              <w:t>Period</w:t>
            </w:r>
            <w:r>
              <w:tab/>
            </w:r>
            <w:r>
              <w:rPr>
                <w:rFonts w:ascii="Calibri"/>
                <w:spacing w:val="-5"/>
              </w:rPr>
              <w:t>35</w:t>
            </w:r>
          </w:hyperlink>
        </w:p>
        <w:p w14:paraId="1A01506C" w14:textId="77777777" w:rsidR="00BB77C0" w:rsidRDefault="00370BAA">
          <w:pPr>
            <w:pStyle w:val="TOC2"/>
            <w:numPr>
              <w:ilvl w:val="0"/>
              <w:numId w:val="116"/>
            </w:numPr>
            <w:tabs>
              <w:tab w:val="left" w:pos="1239"/>
              <w:tab w:val="right" w:leader="dot" w:pos="9714"/>
            </w:tabs>
            <w:spacing w:before="183"/>
            <w:ind w:hanging="663"/>
            <w:rPr>
              <w:rFonts w:ascii="Calibri"/>
            </w:rPr>
          </w:pPr>
          <w:hyperlink w:anchor="_bookmark53" w:history="1">
            <w:r>
              <w:t>Debriefing</w:t>
            </w:r>
            <w:r>
              <w:rPr>
                <w:spacing w:val="-10"/>
              </w:rPr>
              <w:t xml:space="preserve"> </w:t>
            </w:r>
            <w:r>
              <w:t>by</w:t>
            </w:r>
            <w:r>
              <w:rPr>
                <w:spacing w:val="-10"/>
              </w:rPr>
              <w:t xml:space="preserve"> </w:t>
            </w:r>
            <w:r>
              <w:t>the</w:t>
            </w:r>
            <w:r>
              <w:rPr>
                <w:spacing w:val="-11"/>
              </w:rPr>
              <w:t xml:space="preserve"> </w:t>
            </w:r>
            <w:r>
              <w:t>Procuring</w:t>
            </w:r>
            <w:r>
              <w:rPr>
                <w:spacing w:val="-4"/>
              </w:rPr>
              <w:t xml:space="preserve"> </w:t>
            </w:r>
            <w:r>
              <w:rPr>
                <w:spacing w:val="-2"/>
              </w:rPr>
              <w:t>Entity</w:t>
            </w:r>
            <w:r>
              <w:tab/>
            </w:r>
            <w:r>
              <w:rPr>
                <w:rFonts w:ascii="Calibri"/>
                <w:spacing w:val="-5"/>
              </w:rPr>
              <w:t>35</w:t>
            </w:r>
          </w:hyperlink>
        </w:p>
        <w:p w14:paraId="3F770046" w14:textId="77777777" w:rsidR="00BB77C0" w:rsidRDefault="00370BAA">
          <w:pPr>
            <w:pStyle w:val="TOC2"/>
            <w:numPr>
              <w:ilvl w:val="0"/>
              <w:numId w:val="116"/>
            </w:numPr>
            <w:tabs>
              <w:tab w:val="left" w:pos="1239"/>
              <w:tab w:val="right" w:leader="dot" w:pos="9714"/>
            </w:tabs>
            <w:ind w:hanging="658"/>
            <w:rPr>
              <w:rFonts w:ascii="Calibri"/>
            </w:rPr>
          </w:pPr>
          <w:hyperlink w:anchor="_bookmark54" w:history="1">
            <w:r>
              <w:t>Letter</w:t>
            </w:r>
            <w:r>
              <w:rPr>
                <w:spacing w:val="-2"/>
              </w:rPr>
              <w:t xml:space="preserve"> </w:t>
            </w:r>
            <w:r>
              <w:t>of</w:t>
            </w:r>
            <w:r>
              <w:rPr>
                <w:spacing w:val="-6"/>
              </w:rPr>
              <w:t xml:space="preserve"> </w:t>
            </w:r>
            <w:r>
              <w:rPr>
                <w:spacing w:val="-2"/>
              </w:rPr>
              <w:t>Award</w:t>
            </w:r>
            <w:r>
              <w:tab/>
            </w:r>
            <w:r>
              <w:rPr>
                <w:rFonts w:ascii="Calibri"/>
                <w:spacing w:val="-5"/>
              </w:rPr>
              <w:t>35</w:t>
            </w:r>
          </w:hyperlink>
        </w:p>
        <w:p w14:paraId="53524A61" w14:textId="77777777" w:rsidR="00BB77C0" w:rsidRDefault="00370BAA">
          <w:pPr>
            <w:pStyle w:val="TOC2"/>
            <w:numPr>
              <w:ilvl w:val="0"/>
              <w:numId w:val="116"/>
            </w:numPr>
            <w:tabs>
              <w:tab w:val="left" w:pos="1239"/>
              <w:tab w:val="right" w:leader="dot" w:pos="9714"/>
            </w:tabs>
            <w:spacing w:before="183"/>
            <w:ind w:hanging="658"/>
            <w:rPr>
              <w:rFonts w:ascii="Calibri"/>
            </w:rPr>
          </w:pPr>
          <w:hyperlink w:anchor="_bookmark55" w:history="1">
            <w:r>
              <w:t>Signing</w:t>
            </w:r>
            <w:r>
              <w:rPr>
                <w:spacing w:val="-6"/>
              </w:rPr>
              <w:t xml:space="preserve"> </w:t>
            </w:r>
            <w:r>
              <w:t>of</w:t>
            </w:r>
            <w:r>
              <w:rPr>
                <w:spacing w:val="-3"/>
              </w:rPr>
              <w:t xml:space="preserve"> </w:t>
            </w:r>
            <w:r>
              <w:rPr>
                <w:spacing w:val="-2"/>
              </w:rPr>
              <w:t>Contract</w:t>
            </w:r>
            <w:r>
              <w:tab/>
            </w:r>
            <w:r>
              <w:rPr>
                <w:rFonts w:ascii="Calibri"/>
                <w:spacing w:val="-5"/>
              </w:rPr>
              <w:t>35</w:t>
            </w:r>
          </w:hyperlink>
        </w:p>
        <w:p w14:paraId="16FC59FC" w14:textId="77777777" w:rsidR="00BB77C0" w:rsidRDefault="00370BAA">
          <w:pPr>
            <w:pStyle w:val="TOC2"/>
            <w:numPr>
              <w:ilvl w:val="0"/>
              <w:numId w:val="116"/>
            </w:numPr>
            <w:tabs>
              <w:tab w:val="left" w:pos="1239"/>
              <w:tab w:val="right" w:leader="dot" w:pos="9714"/>
            </w:tabs>
            <w:spacing w:before="183"/>
            <w:ind w:hanging="658"/>
            <w:rPr>
              <w:rFonts w:ascii="Calibri"/>
            </w:rPr>
          </w:pPr>
          <w:hyperlink w:anchor="_bookmark56" w:history="1">
            <w:r>
              <w:t>Appointment</w:t>
            </w:r>
            <w:r>
              <w:rPr>
                <w:spacing w:val="-6"/>
              </w:rPr>
              <w:t xml:space="preserve"> </w:t>
            </w:r>
            <w:r>
              <w:t>of</w:t>
            </w:r>
            <w:r>
              <w:rPr>
                <w:spacing w:val="-11"/>
              </w:rPr>
              <w:t xml:space="preserve"> </w:t>
            </w:r>
            <w:r>
              <w:rPr>
                <w:spacing w:val="-2"/>
              </w:rPr>
              <w:t>Adjudicator</w:t>
            </w:r>
            <w:r>
              <w:tab/>
            </w:r>
            <w:r>
              <w:rPr>
                <w:rFonts w:ascii="Calibri"/>
                <w:spacing w:val="-5"/>
              </w:rPr>
              <w:t>35</w:t>
            </w:r>
          </w:hyperlink>
        </w:p>
        <w:p w14:paraId="6A14DDDA" w14:textId="77777777" w:rsidR="00BB77C0" w:rsidRDefault="00370BAA">
          <w:pPr>
            <w:pStyle w:val="TOC2"/>
            <w:numPr>
              <w:ilvl w:val="0"/>
              <w:numId w:val="116"/>
            </w:numPr>
            <w:tabs>
              <w:tab w:val="left" w:pos="1239"/>
              <w:tab w:val="right" w:leader="dot" w:pos="9714"/>
            </w:tabs>
            <w:spacing w:before="182" w:after="20"/>
            <w:ind w:hanging="658"/>
            <w:rPr>
              <w:rFonts w:ascii="Calibri"/>
            </w:rPr>
          </w:pPr>
          <w:hyperlink w:anchor="_bookmark57" w:history="1">
            <w:r>
              <w:rPr>
                <w:spacing w:val="-2"/>
              </w:rPr>
              <w:t>Performance</w:t>
            </w:r>
            <w:r>
              <w:rPr>
                <w:spacing w:val="6"/>
              </w:rPr>
              <w:t xml:space="preserve"> </w:t>
            </w:r>
            <w:r>
              <w:rPr>
                <w:spacing w:val="-2"/>
              </w:rPr>
              <w:t>Security</w:t>
            </w:r>
            <w:r>
              <w:tab/>
            </w:r>
            <w:r>
              <w:rPr>
                <w:rFonts w:ascii="Calibri"/>
                <w:spacing w:val="-5"/>
              </w:rPr>
              <w:t>36</w:t>
            </w:r>
          </w:hyperlink>
        </w:p>
        <w:p w14:paraId="3D8FF513" w14:textId="77777777" w:rsidR="00BB77C0" w:rsidRDefault="00370BAA">
          <w:pPr>
            <w:pStyle w:val="TOC2"/>
            <w:numPr>
              <w:ilvl w:val="0"/>
              <w:numId w:val="116"/>
            </w:numPr>
            <w:tabs>
              <w:tab w:val="left" w:pos="1239"/>
              <w:tab w:val="right" w:leader="dot" w:pos="9714"/>
            </w:tabs>
            <w:spacing w:before="74"/>
            <w:ind w:hanging="658"/>
            <w:rPr>
              <w:rFonts w:ascii="Calibri"/>
            </w:rPr>
          </w:pPr>
          <w:hyperlink w:anchor="_bookmark58" w:history="1">
            <w:r>
              <w:t>Publication</w:t>
            </w:r>
            <w:r>
              <w:rPr>
                <w:spacing w:val="-13"/>
              </w:rPr>
              <w:t xml:space="preserve"> </w:t>
            </w:r>
            <w:r>
              <w:t>of</w:t>
            </w:r>
            <w:r>
              <w:rPr>
                <w:spacing w:val="-10"/>
              </w:rPr>
              <w:t xml:space="preserve"> </w:t>
            </w:r>
            <w:r>
              <w:t>Procurement</w:t>
            </w:r>
            <w:r>
              <w:rPr>
                <w:spacing w:val="-7"/>
              </w:rPr>
              <w:t xml:space="preserve"> </w:t>
            </w:r>
            <w:r>
              <w:rPr>
                <w:spacing w:val="-2"/>
              </w:rPr>
              <w:t>Contract</w:t>
            </w:r>
            <w:r>
              <w:tab/>
            </w:r>
            <w:r>
              <w:rPr>
                <w:rFonts w:ascii="Calibri"/>
                <w:spacing w:val="-5"/>
              </w:rPr>
              <w:t>36</w:t>
            </w:r>
          </w:hyperlink>
        </w:p>
        <w:p w14:paraId="56B99D90" w14:textId="77777777" w:rsidR="00BB77C0" w:rsidRDefault="00370BAA">
          <w:pPr>
            <w:pStyle w:val="TOC2"/>
            <w:numPr>
              <w:ilvl w:val="0"/>
              <w:numId w:val="116"/>
            </w:numPr>
            <w:tabs>
              <w:tab w:val="left" w:pos="1239"/>
              <w:tab w:val="right" w:leader="dot" w:pos="9714"/>
            </w:tabs>
            <w:ind w:hanging="658"/>
            <w:rPr>
              <w:rFonts w:ascii="Calibri"/>
            </w:rPr>
          </w:pPr>
          <w:hyperlink w:anchor="_bookmark59" w:history="1">
            <w:r>
              <w:t>Procurement</w:t>
            </w:r>
            <w:r>
              <w:rPr>
                <w:spacing w:val="-13"/>
              </w:rPr>
              <w:t xml:space="preserve"> </w:t>
            </w:r>
            <w:r>
              <w:t>Related</w:t>
            </w:r>
            <w:r>
              <w:rPr>
                <w:spacing w:val="-13"/>
              </w:rPr>
              <w:t xml:space="preserve"> </w:t>
            </w:r>
            <w:r>
              <w:rPr>
                <w:spacing w:val="-2"/>
              </w:rPr>
              <w:t>Complaint</w:t>
            </w:r>
            <w:r>
              <w:tab/>
            </w:r>
            <w:r>
              <w:rPr>
                <w:rFonts w:ascii="Calibri"/>
                <w:spacing w:val="-5"/>
              </w:rPr>
              <w:t>36</w:t>
            </w:r>
          </w:hyperlink>
        </w:p>
        <w:p w14:paraId="29DE77FA" w14:textId="77777777" w:rsidR="00BB77C0" w:rsidRDefault="00370BAA">
          <w:pPr>
            <w:pStyle w:val="TOC1"/>
            <w:tabs>
              <w:tab w:val="right" w:leader="dot" w:pos="9714"/>
            </w:tabs>
            <w:spacing w:before="188"/>
            <w:rPr>
              <w:rFonts w:ascii="Calibri"/>
            </w:rPr>
          </w:pPr>
          <w:hyperlink w:anchor="_bookmark60" w:history="1">
            <w:r>
              <w:t>SECTION</w:t>
            </w:r>
            <w:r>
              <w:rPr>
                <w:spacing w:val="-10"/>
              </w:rPr>
              <w:t xml:space="preserve"> </w:t>
            </w:r>
            <w:r>
              <w:t>III</w:t>
            </w:r>
            <w:r>
              <w:rPr>
                <w:spacing w:val="-8"/>
              </w:rPr>
              <w:t xml:space="preserve"> </w:t>
            </w:r>
            <w:r>
              <w:t>-</w:t>
            </w:r>
            <w:r>
              <w:rPr>
                <w:spacing w:val="-14"/>
              </w:rPr>
              <w:t xml:space="preserve"> </w:t>
            </w:r>
            <w:r>
              <w:t>TENDER</w:t>
            </w:r>
            <w:r>
              <w:rPr>
                <w:spacing w:val="-4"/>
              </w:rPr>
              <w:t xml:space="preserve"> </w:t>
            </w:r>
            <w:r>
              <w:t>DATA</w:t>
            </w:r>
            <w:r>
              <w:rPr>
                <w:spacing w:val="-12"/>
              </w:rPr>
              <w:t xml:space="preserve"> </w:t>
            </w:r>
            <w:r>
              <w:t>SHEET</w:t>
            </w:r>
            <w:r>
              <w:rPr>
                <w:spacing w:val="-5"/>
              </w:rPr>
              <w:t xml:space="preserve"> </w:t>
            </w:r>
            <w:r>
              <w:rPr>
                <w:spacing w:val="-4"/>
              </w:rPr>
              <w:t>(TDS)</w:t>
            </w:r>
            <w:r>
              <w:tab/>
            </w:r>
            <w:r>
              <w:rPr>
                <w:rFonts w:ascii="Calibri"/>
                <w:spacing w:val="-5"/>
              </w:rPr>
              <w:t>37</w:t>
            </w:r>
          </w:hyperlink>
        </w:p>
      </w:sdtContent>
    </w:sdt>
    <w:p w14:paraId="56AD836B" w14:textId="77777777" w:rsidR="00BB77C0" w:rsidRDefault="00BB77C0">
      <w:pPr>
        <w:pStyle w:val="TOC1"/>
        <w:rPr>
          <w:rFonts w:ascii="Calibri"/>
        </w:rPr>
        <w:sectPr w:rsidR="00BB77C0">
          <w:type w:val="continuous"/>
          <w:pgSz w:w="11930" w:h="16870"/>
          <w:pgMar w:top="1303" w:right="1080" w:bottom="1702" w:left="720" w:header="720" w:footer="720" w:gutter="0"/>
          <w:cols w:space="720"/>
        </w:sectPr>
      </w:pPr>
    </w:p>
    <w:p w14:paraId="5997724A" w14:textId="77777777" w:rsidR="00BB77C0" w:rsidRDefault="00370BAA">
      <w:pPr>
        <w:pStyle w:val="ListParagraph"/>
        <w:numPr>
          <w:ilvl w:val="0"/>
          <w:numId w:val="115"/>
        </w:numPr>
        <w:tabs>
          <w:tab w:val="left" w:pos="1239"/>
          <w:tab w:val="left" w:leader="dot" w:pos="7025"/>
        </w:tabs>
        <w:spacing w:before="178"/>
        <w:ind w:hanging="442"/>
        <w:jc w:val="left"/>
      </w:pPr>
      <w:r>
        <w:t>FORM</w:t>
      </w:r>
      <w:r>
        <w:rPr>
          <w:spacing w:val="-10"/>
        </w:rPr>
        <w:t xml:space="preserve"> </w:t>
      </w:r>
      <w:r>
        <w:t>EQU:</w:t>
      </w:r>
      <w:r>
        <w:rPr>
          <w:spacing w:val="-10"/>
        </w:rPr>
        <w:t xml:space="preserve"> </w:t>
      </w:r>
      <w:r>
        <w:rPr>
          <w:spacing w:val="-2"/>
        </w:rPr>
        <w:t>EQUIPMENT</w:t>
      </w:r>
      <w:r>
        <w:tab/>
      </w:r>
      <w:r>
        <w:rPr>
          <w:rFonts w:ascii="Calibri"/>
          <w:b/>
        </w:rPr>
        <w:t>Error!</w:t>
      </w:r>
      <w:r>
        <w:rPr>
          <w:rFonts w:ascii="Calibri"/>
          <w:b/>
          <w:spacing w:val="-15"/>
        </w:rPr>
        <w:t xml:space="preserve"> </w:t>
      </w:r>
      <w:r>
        <w:rPr>
          <w:rFonts w:ascii="Calibri"/>
          <w:b/>
        </w:rPr>
        <w:t>Bookmark</w:t>
      </w:r>
      <w:r>
        <w:rPr>
          <w:rFonts w:ascii="Calibri"/>
          <w:b/>
          <w:spacing w:val="-12"/>
        </w:rPr>
        <w:t xml:space="preserve"> </w:t>
      </w:r>
      <w:r>
        <w:rPr>
          <w:rFonts w:ascii="Calibri"/>
          <w:b/>
        </w:rPr>
        <w:t>not</w:t>
      </w:r>
      <w:r>
        <w:rPr>
          <w:rFonts w:ascii="Calibri"/>
          <w:b/>
          <w:spacing w:val="-11"/>
        </w:rPr>
        <w:t xml:space="preserve"> </w:t>
      </w:r>
      <w:r>
        <w:rPr>
          <w:rFonts w:ascii="Calibri"/>
          <w:b/>
          <w:spacing w:val="-2"/>
        </w:rPr>
        <w:t>defined.</w:t>
      </w:r>
    </w:p>
    <w:p w14:paraId="22087998" w14:textId="77777777" w:rsidR="00BB77C0" w:rsidRDefault="00370BAA">
      <w:pPr>
        <w:pStyle w:val="BodyText"/>
        <w:tabs>
          <w:tab w:val="left" w:leader="dot" w:pos="7832"/>
        </w:tabs>
        <w:spacing w:before="177" w:line="264" w:lineRule="auto"/>
        <w:ind w:left="797" w:right="298"/>
        <w:rPr>
          <w:rFonts w:ascii="Calibri"/>
          <w:b/>
        </w:rPr>
      </w:pPr>
      <w:r>
        <w:t>SELF</w:t>
      </w:r>
      <w:r>
        <w:rPr>
          <w:spacing w:val="-13"/>
        </w:rPr>
        <w:t xml:space="preserve"> </w:t>
      </w:r>
      <w:r>
        <w:t>DECLARATION</w:t>
      </w:r>
      <w:r>
        <w:rPr>
          <w:spacing w:val="-10"/>
        </w:rPr>
        <w:t xml:space="preserve"> </w:t>
      </w:r>
      <w:r>
        <w:t>THAT</w:t>
      </w:r>
      <w:r>
        <w:rPr>
          <w:spacing w:val="-14"/>
        </w:rPr>
        <w:t xml:space="preserve"> </w:t>
      </w:r>
      <w:r>
        <w:t>THE</w:t>
      </w:r>
      <w:r>
        <w:rPr>
          <w:spacing w:val="-14"/>
        </w:rPr>
        <w:t xml:space="preserve"> </w:t>
      </w:r>
      <w:r>
        <w:t>PERSON/TENDERER</w:t>
      </w:r>
      <w:r>
        <w:rPr>
          <w:spacing w:val="-7"/>
        </w:rPr>
        <w:t xml:space="preserve"> </w:t>
      </w:r>
      <w:r>
        <w:t>IS</w:t>
      </w:r>
      <w:r>
        <w:rPr>
          <w:spacing w:val="-9"/>
        </w:rPr>
        <w:t xml:space="preserve"> </w:t>
      </w:r>
      <w:r>
        <w:t>NOT</w:t>
      </w:r>
      <w:r>
        <w:rPr>
          <w:spacing w:val="-2"/>
        </w:rPr>
        <w:t xml:space="preserve"> </w:t>
      </w:r>
      <w:r>
        <w:t>DEBARRED</w:t>
      </w:r>
      <w:r>
        <w:rPr>
          <w:spacing w:val="-7"/>
        </w:rPr>
        <w:t xml:space="preserve"> </w:t>
      </w:r>
      <w:r>
        <w:t>IN</w:t>
      </w:r>
      <w:r>
        <w:rPr>
          <w:spacing w:val="-14"/>
        </w:rPr>
        <w:t xml:space="preserve"> </w:t>
      </w:r>
      <w:r>
        <w:t>THE</w:t>
      </w:r>
      <w:r>
        <w:rPr>
          <w:spacing w:val="-11"/>
        </w:rPr>
        <w:t xml:space="preserve"> </w:t>
      </w:r>
      <w:r>
        <w:t>MATTER OF THE PUBLIC PROCUREMENT AND ASSET DISPOSAL ACT 2015</w:t>
      </w:r>
      <w:r>
        <w:tab/>
      </w:r>
      <w:r>
        <w:rPr>
          <w:rFonts w:ascii="Calibri"/>
          <w:b/>
        </w:rPr>
        <w:t>Error! Bookmark not</w:t>
      </w:r>
    </w:p>
    <w:p w14:paraId="3A2D8799" w14:textId="77777777" w:rsidR="00BB77C0" w:rsidRDefault="00370BAA">
      <w:pPr>
        <w:spacing w:line="262" w:lineRule="exact"/>
        <w:ind w:left="797"/>
        <w:rPr>
          <w:rFonts w:ascii="Calibri"/>
          <w:b/>
        </w:rPr>
      </w:pPr>
      <w:r>
        <w:rPr>
          <w:rFonts w:ascii="Calibri"/>
          <w:b/>
          <w:spacing w:val="-2"/>
        </w:rPr>
        <w:t>defined.</w:t>
      </w:r>
    </w:p>
    <w:p w14:paraId="7FB7C814" w14:textId="77777777" w:rsidR="00BB77C0" w:rsidRDefault="00370BAA">
      <w:pPr>
        <w:spacing w:before="183"/>
        <w:ind w:left="797"/>
        <w:rPr>
          <w:rFonts w:ascii="Calibri"/>
          <w:b/>
        </w:rPr>
      </w:pPr>
      <w:r>
        <w:t>FORM</w:t>
      </w:r>
      <w:r>
        <w:rPr>
          <w:spacing w:val="-16"/>
        </w:rPr>
        <w:t xml:space="preserve"> </w:t>
      </w:r>
      <w:r>
        <w:t>OF</w:t>
      </w:r>
      <w:r>
        <w:rPr>
          <w:spacing w:val="-14"/>
        </w:rPr>
        <w:t xml:space="preserve"> </w:t>
      </w:r>
      <w:r>
        <w:t>TENDER</w:t>
      </w:r>
      <w:r>
        <w:rPr>
          <w:spacing w:val="-14"/>
        </w:rPr>
        <w:t xml:space="preserve"> </w:t>
      </w:r>
      <w:r>
        <w:t>SECURITY</w:t>
      </w:r>
      <w:r>
        <w:rPr>
          <w:spacing w:val="-13"/>
        </w:rPr>
        <w:t xml:space="preserve"> </w:t>
      </w:r>
      <w:r>
        <w:t>-</w:t>
      </w:r>
      <w:r>
        <w:rPr>
          <w:spacing w:val="-13"/>
        </w:rPr>
        <w:t xml:space="preserve"> </w:t>
      </w:r>
      <w:r>
        <w:t>DEMAND</w:t>
      </w:r>
      <w:r>
        <w:rPr>
          <w:spacing w:val="-9"/>
        </w:rPr>
        <w:t xml:space="preserve"> </w:t>
      </w:r>
      <w:r>
        <w:t>BANK</w:t>
      </w:r>
      <w:r>
        <w:rPr>
          <w:spacing w:val="-11"/>
        </w:rPr>
        <w:t xml:space="preserve"> </w:t>
      </w:r>
      <w:r>
        <w:t>GUARANTEE</w:t>
      </w:r>
      <w:r>
        <w:rPr>
          <w:rFonts w:ascii="Calibri"/>
          <w:b/>
        </w:rPr>
        <w:t>Error!</w:t>
      </w:r>
      <w:r>
        <w:rPr>
          <w:rFonts w:ascii="Calibri"/>
          <w:b/>
          <w:spacing w:val="-11"/>
        </w:rPr>
        <w:t xml:space="preserve"> </w:t>
      </w:r>
      <w:r>
        <w:rPr>
          <w:rFonts w:ascii="Calibri"/>
          <w:b/>
        </w:rPr>
        <w:t>Bookmark</w:t>
      </w:r>
      <w:r>
        <w:rPr>
          <w:rFonts w:ascii="Calibri"/>
          <w:b/>
          <w:spacing w:val="-12"/>
        </w:rPr>
        <w:t xml:space="preserve"> </w:t>
      </w:r>
      <w:r>
        <w:rPr>
          <w:rFonts w:ascii="Calibri"/>
          <w:b/>
        </w:rPr>
        <w:t>not</w:t>
      </w:r>
      <w:r>
        <w:rPr>
          <w:rFonts w:ascii="Calibri"/>
          <w:b/>
          <w:spacing w:val="-12"/>
        </w:rPr>
        <w:t xml:space="preserve"> </w:t>
      </w:r>
      <w:r>
        <w:rPr>
          <w:rFonts w:ascii="Calibri"/>
          <w:b/>
          <w:spacing w:val="-2"/>
        </w:rPr>
        <w:t>defined.</w:t>
      </w:r>
    </w:p>
    <w:p w14:paraId="48839CC1" w14:textId="77777777" w:rsidR="00BB77C0" w:rsidRDefault="00370BAA">
      <w:pPr>
        <w:tabs>
          <w:tab w:val="left" w:pos="1680"/>
          <w:tab w:val="left" w:leader="dot" w:pos="7025"/>
        </w:tabs>
        <w:spacing w:before="178"/>
        <w:ind w:left="797"/>
        <w:rPr>
          <w:rFonts w:ascii="Calibri"/>
          <w:b/>
        </w:rPr>
      </w:pPr>
      <w:r>
        <w:rPr>
          <w:spacing w:val="-4"/>
        </w:rPr>
        <w:t>1003</w:t>
      </w:r>
      <w:r>
        <w:tab/>
        <w:t>Excavation</w:t>
      </w:r>
      <w:r>
        <w:rPr>
          <w:spacing w:val="-9"/>
        </w:rPr>
        <w:t xml:space="preserve"> </w:t>
      </w:r>
      <w:r>
        <w:t>of</w:t>
      </w:r>
      <w:r>
        <w:rPr>
          <w:spacing w:val="-5"/>
        </w:rPr>
        <w:t xml:space="preserve"> </w:t>
      </w:r>
      <w:r>
        <w:rPr>
          <w:spacing w:val="-2"/>
        </w:rPr>
        <w:t>Gravel</w:t>
      </w:r>
      <w:r>
        <w:tab/>
      </w:r>
      <w:r>
        <w:rPr>
          <w:rFonts w:ascii="Calibri"/>
          <w:b/>
        </w:rPr>
        <w:t>Error!</w:t>
      </w:r>
      <w:r>
        <w:rPr>
          <w:rFonts w:ascii="Calibri"/>
          <w:b/>
          <w:spacing w:val="-15"/>
        </w:rPr>
        <w:t xml:space="preserve"> </w:t>
      </w:r>
      <w:r>
        <w:rPr>
          <w:rFonts w:ascii="Calibri"/>
          <w:b/>
        </w:rPr>
        <w:t>Bookmark</w:t>
      </w:r>
      <w:r>
        <w:rPr>
          <w:rFonts w:ascii="Calibri"/>
          <w:b/>
          <w:spacing w:val="-12"/>
        </w:rPr>
        <w:t xml:space="preserve"> </w:t>
      </w:r>
      <w:r>
        <w:rPr>
          <w:rFonts w:ascii="Calibri"/>
          <w:b/>
        </w:rPr>
        <w:t>not</w:t>
      </w:r>
      <w:r>
        <w:rPr>
          <w:rFonts w:ascii="Calibri"/>
          <w:b/>
          <w:spacing w:val="-11"/>
        </w:rPr>
        <w:t xml:space="preserve"> </w:t>
      </w:r>
      <w:r>
        <w:rPr>
          <w:rFonts w:ascii="Calibri"/>
          <w:b/>
          <w:spacing w:val="-2"/>
        </w:rPr>
        <w:t>defined.</w:t>
      </w:r>
    </w:p>
    <w:p w14:paraId="7C216AC1" w14:textId="77777777" w:rsidR="00BB77C0" w:rsidRDefault="00370BAA">
      <w:pPr>
        <w:tabs>
          <w:tab w:val="left" w:pos="1680"/>
          <w:tab w:val="left" w:leader="dot" w:pos="7025"/>
        </w:tabs>
        <w:spacing w:before="178"/>
        <w:ind w:left="797"/>
        <w:rPr>
          <w:rFonts w:ascii="Calibri"/>
          <w:b/>
        </w:rPr>
      </w:pPr>
      <w:r>
        <w:rPr>
          <w:spacing w:val="-4"/>
        </w:rPr>
        <w:t>1006</w:t>
      </w:r>
      <w:r>
        <w:tab/>
      </w:r>
      <w:r>
        <w:rPr>
          <w:spacing w:val="-2"/>
        </w:rPr>
        <w:t>Carriageway</w:t>
      </w:r>
      <w:r>
        <w:rPr>
          <w:spacing w:val="7"/>
        </w:rPr>
        <w:t xml:space="preserve"> </w:t>
      </w:r>
      <w:r>
        <w:rPr>
          <w:spacing w:val="-2"/>
        </w:rPr>
        <w:t>Grading</w:t>
      </w:r>
      <w:r>
        <w:tab/>
      </w:r>
      <w:r>
        <w:rPr>
          <w:rFonts w:ascii="Calibri"/>
          <w:b/>
        </w:rPr>
        <w:t>Error!</w:t>
      </w:r>
      <w:r>
        <w:rPr>
          <w:rFonts w:ascii="Calibri"/>
          <w:b/>
          <w:spacing w:val="-15"/>
        </w:rPr>
        <w:t xml:space="preserve"> </w:t>
      </w:r>
      <w:r>
        <w:rPr>
          <w:rFonts w:ascii="Calibri"/>
          <w:b/>
        </w:rPr>
        <w:t>Bookmark</w:t>
      </w:r>
      <w:r>
        <w:rPr>
          <w:rFonts w:ascii="Calibri"/>
          <w:b/>
          <w:spacing w:val="-12"/>
        </w:rPr>
        <w:t xml:space="preserve"> </w:t>
      </w:r>
      <w:r>
        <w:rPr>
          <w:rFonts w:ascii="Calibri"/>
          <w:b/>
        </w:rPr>
        <w:t>not</w:t>
      </w:r>
      <w:r>
        <w:rPr>
          <w:rFonts w:ascii="Calibri"/>
          <w:b/>
          <w:spacing w:val="-11"/>
        </w:rPr>
        <w:t xml:space="preserve"> </w:t>
      </w:r>
      <w:r>
        <w:rPr>
          <w:rFonts w:ascii="Calibri"/>
          <w:b/>
          <w:spacing w:val="-2"/>
        </w:rPr>
        <w:t>defined.</w:t>
      </w:r>
    </w:p>
    <w:p w14:paraId="29097BBB" w14:textId="77777777" w:rsidR="00BB77C0" w:rsidRDefault="00370BAA">
      <w:pPr>
        <w:tabs>
          <w:tab w:val="left" w:pos="1680"/>
          <w:tab w:val="left" w:leader="dot" w:pos="7025"/>
        </w:tabs>
        <w:spacing w:before="188"/>
        <w:ind w:left="797"/>
        <w:rPr>
          <w:rFonts w:ascii="Calibri"/>
          <w:b/>
        </w:rPr>
      </w:pPr>
      <w:r>
        <w:rPr>
          <w:spacing w:val="-4"/>
        </w:rPr>
        <w:t>1007</w:t>
      </w:r>
      <w:r>
        <w:tab/>
        <w:t>Restoration</w:t>
      </w:r>
      <w:r>
        <w:rPr>
          <w:spacing w:val="-11"/>
        </w:rPr>
        <w:t xml:space="preserve"> </w:t>
      </w:r>
      <w:r>
        <w:t>of</w:t>
      </w:r>
      <w:r>
        <w:rPr>
          <w:spacing w:val="-4"/>
        </w:rPr>
        <w:t xml:space="preserve"> </w:t>
      </w:r>
      <w:r>
        <w:t>Quarries</w:t>
      </w:r>
      <w:r>
        <w:rPr>
          <w:spacing w:val="-2"/>
        </w:rPr>
        <w:t xml:space="preserve"> </w:t>
      </w:r>
      <w:r>
        <w:t>and</w:t>
      </w:r>
      <w:r>
        <w:rPr>
          <w:spacing w:val="-11"/>
        </w:rPr>
        <w:t xml:space="preserve"> </w:t>
      </w:r>
      <w:r>
        <w:t>Borrow</w:t>
      </w:r>
      <w:r>
        <w:rPr>
          <w:spacing w:val="-12"/>
        </w:rPr>
        <w:t xml:space="preserve"> </w:t>
      </w:r>
      <w:r>
        <w:rPr>
          <w:spacing w:val="-4"/>
        </w:rPr>
        <w:t>pits</w:t>
      </w:r>
      <w:r>
        <w:tab/>
      </w:r>
      <w:r>
        <w:rPr>
          <w:rFonts w:ascii="Calibri"/>
          <w:b/>
        </w:rPr>
        <w:t>Error!</w:t>
      </w:r>
      <w:r>
        <w:rPr>
          <w:rFonts w:ascii="Calibri"/>
          <w:b/>
          <w:spacing w:val="-15"/>
        </w:rPr>
        <w:t xml:space="preserve"> </w:t>
      </w:r>
      <w:r>
        <w:rPr>
          <w:rFonts w:ascii="Calibri"/>
          <w:b/>
        </w:rPr>
        <w:t>Bookmark</w:t>
      </w:r>
      <w:r>
        <w:rPr>
          <w:rFonts w:ascii="Calibri"/>
          <w:b/>
          <w:spacing w:val="-12"/>
        </w:rPr>
        <w:t xml:space="preserve"> </w:t>
      </w:r>
      <w:r>
        <w:rPr>
          <w:rFonts w:ascii="Calibri"/>
          <w:b/>
        </w:rPr>
        <w:t>not</w:t>
      </w:r>
      <w:r>
        <w:rPr>
          <w:rFonts w:ascii="Calibri"/>
          <w:b/>
          <w:spacing w:val="-11"/>
        </w:rPr>
        <w:t xml:space="preserve"> </w:t>
      </w:r>
      <w:r>
        <w:rPr>
          <w:rFonts w:ascii="Calibri"/>
          <w:b/>
          <w:spacing w:val="-2"/>
        </w:rPr>
        <w:t>defined.</w:t>
      </w:r>
    </w:p>
    <w:p w14:paraId="6BDC7419" w14:textId="77777777" w:rsidR="00BB77C0" w:rsidRDefault="00370BAA">
      <w:pPr>
        <w:tabs>
          <w:tab w:val="left" w:pos="1733"/>
          <w:tab w:val="left" w:leader="dot" w:pos="7025"/>
        </w:tabs>
        <w:spacing w:before="178"/>
        <w:ind w:left="797"/>
        <w:rPr>
          <w:rFonts w:ascii="Calibri"/>
          <w:b/>
        </w:rPr>
      </w:pPr>
      <w:r>
        <w:rPr>
          <w:spacing w:val="-4"/>
        </w:rPr>
        <w:t>1703</w:t>
      </w:r>
      <w:r>
        <w:tab/>
        <w:t>MATERIALS</w:t>
      </w:r>
      <w:r>
        <w:rPr>
          <w:spacing w:val="-4"/>
        </w:rPr>
        <w:t xml:space="preserve"> </w:t>
      </w:r>
      <w:r>
        <w:t>FOR</w:t>
      </w:r>
      <w:r>
        <w:rPr>
          <w:spacing w:val="60"/>
          <w:w w:val="150"/>
        </w:rPr>
        <w:t xml:space="preserve"> </w:t>
      </w:r>
      <w:r>
        <w:rPr>
          <w:spacing w:val="-2"/>
        </w:rPr>
        <w:t>CONCRETE</w:t>
      </w:r>
      <w:r>
        <w:tab/>
      </w:r>
      <w:r>
        <w:rPr>
          <w:rFonts w:ascii="Calibri"/>
          <w:b/>
        </w:rPr>
        <w:t>Error!</w:t>
      </w:r>
      <w:r>
        <w:rPr>
          <w:rFonts w:ascii="Calibri"/>
          <w:b/>
          <w:spacing w:val="-15"/>
        </w:rPr>
        <w:t xml:space="preserve"> </w:t>
      </w:r>
      <w:r>
        <w:rPr>
          <w:rFonts w:ascii="Calibri"/>
          <w:b/>
        </w:rPr>
        <w:t>Bookmark</w:t>
      </w:r>
      <w:r>
        <w:rPr>
          <w:rFonts w:ascii="Calibri"/>
          <w:b/>
          <w:spacing w:val="-12"/>
        </w:rPr>
        <w:t xml:space="preserve"> </w:t>
      </w:r>
      <w:r>
        <w:rPr>
          <w:rFonts w:ascii="Calibri"/>
          <w:b/>
        </w:rPr>
        <w:t>not</w:t>
      </w:r>
      <w:r>
        <w:rPr>
          <w:rFonts w:ascii="Calibri"/>
          <w:b/>
          <w:spacing w:val="-11"/>
        </w:rPr>
        <w:t xml:space="preserve"> </w:t>
      </w:r>
      <w:r>
        <w:rPr>
          <w:rFonts w:ascii="Calibri"/>
          <w:b/>
          <w:spacing w:val="-2"/>
        </w:rPr>
        <w:t>defined.</w:t>
      </w:r>
    </w:p>
    <w:p w14:paraId="035EC1A5" w14:textId="77777777" w:rsidR="00BB77C0" w:rsidRDefault="00370BAA">
      <w:pPr>
        <w:tabs>
          <w:tab w:val="left" w:pos="1901"/>
          <w:tab w:val="left" w:leader="dot" w:pos="7025"/>
        </w:tabs>
        <w:spacing w:before="177" w:line="264" w:lineRule="auto"/>
        <w:ind w:left="797" w:right="114"/>
        <w:rPr>
          <w:rFonts w:ascii="Calibri"/>
          <w:b/>
        </w:rPr>
      </w:pPr>
      <w:r>
        <w:rPr>
          <w:spacing w:val="-2"/>
        </w:rPr>
        <w:t>1703(A)</w:t>
      </w:r>
      <w:r>
        <w:tab/>
        <w:t>LEVELLING</w:t>
      </w:r>
      <w:r>
        <w:rPr>
          <w:spacing w:val="-7"/>
        </w:rPr>
        <w:t xml:space="preserve"> </w:t>
      </w:r>
      <w:r>
        <w:t>CONCRETE</w:t>
      </w:r>
      <w:r>
        <w:rPr>
          <w:spacing w:val="-6"/>
        </w:rPr>
        <w:t xml:space="preserve"> </w:t>
      </w:r>
      <w:r>
        <w:t>(CLASS</w:t>
      </w:r>
      <w:r>
        <w:rPr>
          <w:spacing w:val="-5"/>
        </w:rPr>
        <w:t xml:space="preserve"> </w:t>
      </w:r>
      <w:r>
        <w:t>15/20)</w:t>
      </w:r>
      <w:r>
        <w:rPr>
          <w:spacing w:val="-8"/>
        </w:rPr>
        <w:t xml:space="preserve"> </w:t>
      </w:r>
      <w:r>
        <w:t>FOR</w:t>
      </w:r>
      <w:r>
        <w:rPr>
          <w:spacing w:val="-9"/>
        </w:rPr>
        <w:t xml:space="preserve"> </w:t>
      </w:r>
      <w:r>
        <w:t>BOTTOM</w:t>
      </w:r>
      <w:r>
        <w:rPr>
          <w:spacing w:val="-10"/>
        </w:rPr>
        <w:t xml:space="preserve"> </w:t>
      </w:r>
      <w:r>
        <w:t>SLAB</w:t>
      </w:r>
      <w:r>
        <w:rPr>
          <w:spacing w:val="-10"/>
        </w:rPr>
        <w:t xml:space="preserve"> </w:t>
      </w:r>
      <w:r>
        <w:t>INCLUSIVE</w:t>
      </w:r>
      <w:r>
        <w:rPr>
          <w:spacing w:val="-2"/>
        </w:rPr>
        <w:t xml:space="preserve"> </w:t>
      </w:r>
      <w:r>
        <w:t>OF</w:t>
      </w:r>
      <w:r>
        <w:rPr>
          <w:spacing w:val="-6"/>
        </w:rPr>
        <w:t xml:space="preserve"> </w:t>
      </w:r>
      <w:r>
        <w:t>COST OF FORM WORKS</w:t>
      </w:r>
      <w:r>
        <w:tab/>
      </w:r>
      <w:r>
        <w:rPr>
          <w:rFonts w:ascii="Calibri"/>
          <w:b/>
        </w:rPr>
        <w:t>Error! Bookmark not defined.</w:t>
      </w:r>
    </w:p>
    <w:p w14:paraId="65379368" w14:textId="77777777" w:rsidR="00BB77C0" w:rsidRDefault="00370BAA">
      <w:pPr>
        <w:tabs>
          <w:tab w:val="left" w:pos="1901"/>
          <w:tab w:val="left" w:leader="dot" w:pos="7025"/>
        </w:tabs>
        <w:spacing w:before="157"/>
        <w:ind w:left="797"/>
        <w:rPr>
          <w:rFonts w:ascii="Calibri"/>
          <w:b/>
        </w:rPr>
      </w:pPr>
      <w:r>
        <w:t>1703</w:t>
      </w:r>
      <w:r>
        <w:rPr>
          <w:spacing w:val="3"/>
        </w:rPr>
        <w:t xml:space="preserve"> </w:t>
      </w:r>
      <w:r>
        <w:rPr>
          <w:spacing w:val="-5"/>
        </w:rPr>
        <w:t>(C)</w:t>
      </w:r>
      <w:r>
        <w:tab/>
        <w:t>FORMWORK</w:t>
      </w:r>
      <w:r>
        <w:rPr>
          <w:spacing w:val="-14"/>
        </w:rPr>
        <w:t xml:space="preserve"> </w:t>
      </w:r>
      <w:r>
        <w:t>FOR</w:t>
      </w:r>
      <w:r>
        <w:rPr>
          <w:spacing w:val="-11"/>
        </w:rPr>
        <w:t xml:space="preserve"> </w:t>
      </w:r>
      <w:r>
        <w:t>CULVERT</w:t>
      </w:r>
      <w:r>
        <w:rPr>
          <w:spacing w:val="-5"/>
        </w:rPr>
        <w:t xml:space="preserve"> </w:t>
      </w:r>
      <w:r>
        <w:rPr>
          <w:spacing w:val="-4"/>
        </w:rPr>
        <w:t>WALLS</w:t>
      </w:r>
      <w:r>
        <w:tab/>
      </w:r>
      <w:r>
        <w:rPr>
          <w:rFonts w:ascii="Calibri"/>
          <w:b/>
        </w:rPr>
        <w:t>Error!</w:t>
      </w:r>
      <w:r>
        <w:rPr>
          <w:rFonts w:ascii="Calibri"/>
          <w:b/>
          <w:spacing w:val="-15"/>
        </w:rPr>
        <w:t xml:space="preserve"> </w:t>
      </w:r>
      <w:r>
        <w:rPr>
          <w:rFonts w:ascii="Calibri"/>
          <w:b/>
        </w:rPr>
        <w:t>Bookmark</w:t>
      </w:r>
      <w:r>
        <w:rPr>
          <w:rFonts w:ascii="Calibri"/>
          <w:b/>
          <w:spacing w:val="-12"/>
        </w:rPr>
        <w:t xml:space="preserve"> </w:t>
      </w:r>
      <w:r>
        <w:rPr>
          <w:rFonts w:ascii="Calibri"/>
          <w:b/>
        </w:rPr>
        <w:t>not</w:t>
      </w:r>
      <w:r>
        <w:rPr>
          <w:rFonts w:ascii="Calibri"/>
          <w:b/>
          <w:spacing w:val="-11"/>
        </w:rPr>
        <w:t xml:space="preserve"> </w:t>
      </w:r>
      <w:r>
        <w:rPr>
          <w:rFonts w:ascii="Calibri"/>
          <w:b/>
          <w:spacing w:val="-2"/>
        </w:rPr>
        <w:t>defined.</w:t>
      </w:r>
    </w:p>
    <w:p w14:paraId="201EED07" w14:textId="77777777" w:rsidR="00BB77C0" w:rsidRDefault="00370BAA">
      <w:pPr>
        <w:tabs>
          <w:tab w:val="left" w:pos="1901"/>
          <w:tab w:val="left" w:leader="dot" w:pos="7025"/>
        </w:tabs>
        <w:spacing w:before="178"/>
        <w:ind w:left="797"/>
        <w:rPr>
          <w:rFonts w:ascii="Calibri"/>
          <w:b/>
        </w:rPr>
      </w:pPr>
      <w:r>
        <w:rPr>
          <w:spacing w:val="-2"/>
        </w:rPr>
        <w:t>1703(D)</w:t>
      </w:r>
      <w:r>
        <w:tab/>
        <w:t>CONCRETE</w:t>
      </w:r>
      <w:r>
        <w:rPr>
          <w:spacing w:val="-13"/>
        </w:rPr>
        <w:t xml:space="preserve"> </w:t>
      </w:r>
      <w:r>
        <w:t>WORKS</w:t>
      </w:r>
      <w:r>
        <w:rPr>
          <w:spacing w:val="-12"/>
        </w:rPr>
        <w:t xml:space="preserve"> </w:t>
      </w:r>
      <w:r>
        <w:t>(CLASS</w:t>
      </w:r>
      <w:r>
        <w:rPr>
          <w:spacing w:val="-11"/>
        </w:rPr>
        <w:t xml:space="preserve"> </w:t>
      </w:r>
      <w:r>
        <w:rPr>
          <w:spacing w:val="-2"/>
        </w:rPr>
        <w:t>20/20)</w:t>
      </w:r>
      <w:r>
        <w:tab/>
      </w:r>
      <w:r>
        <w:rPr>
          <w:rFonts w:ascii="Calibri"/>
          <w:b/>
        </w:rPr>
        <w:t>Error!</w:t>
      </w:r>
      <w:r>
        <w:rPr>
          <w:rFonts w:ascii="Calibri"/>
          <w:b/>
          <w:spacing w:val="-15"/>
        </w:rPr>
        <w:t xml:space="preserve"> </w:t>
      </w:r>
      <w:r>
        <w:rPr>
          <w:rFonts w:ascii="Calibri"/>
          <w:b/>
        </w:rPr>
        <w:t>Bookmark</w:t>
      </w:r>
      <w:r>
        <w:rPr>
          <w:rFonts w:ascii="Calibri"/>
          <w:b/>
          <w:spacing w:val="-12"/>
        </w:rPr>
        <w:t xml:space="preserve"> </w:t>
      </w:r>
      <w:r>
        <w:rPr>
          <w:rFonts w:ascii="Calibri"/>
          <w:b/>
        </w:rPr>
        <w:t>not</w:t>
      </w:r>
      <w:r>
        <w:rPr>
          <w:rFonts w:ascii="Calibri"/>
          <w:b/>
          <w:spacing w:val="-11"/>
        </w:rPr>
        <w:t xml:space="preserve"> </w:t>
      </w:r>
      <w:r>
        <w:rPr>
          <w:rFonts w:ascii="Calibri"/>
          <w:b/>
          <w:spacing w:val="-2"/>
        </w:rPr>
        <w:t>defined.</w:t>
      </w:r>
    </w:p>
    <w:p w14:paraId="5D77DCC3" w14:textId="77777777" w:rsidR="00BB77C0" w:rsidRDefault="00370BAA">
      <w:pPr>
        <w:tabs>
          <w:tab w:val="left" w:pos="1680"/>
          <w:tab w:val="left" w:leader="dot" w:pos="7025"/>
        </w:tabs>
        <w:spacing w:before="183"/>
        <w:ind w:left="797"/>
        <w:rPr>
          <w:rFonts w:ascii="Calibri"/>
          <w:b/>
        </w:rPr>
      </w:pPr>
      <w:r>
        <w:rPr>
          <w:spacing w:val="-4"/>
        </w:rPr>
        <w:t>2001</w:t>
      </w:r>
      <w:r>
        <w:tab/>
        <w:t>ROAD</w:t>
      </w:r>
      <w:r>
        <w:rPr>
          <w:spacing w:val="-14"/>
        </w:rPr>
        <w:t xml:space="preserve"> </w:t>
      </w:r>
      <w:r>
        <w:t>RESERVE</w:t>
      </w:r>
      <w:r>
        <w:rPr>
          <w:spacing w:val="-14"/>
        </w:rPr>
        <w:t xml:space="preserve"> </w:t>
      </w:r>
      <w:r>
        <w:t>BOUNDARY</w:t>
      </w:r>
      <w:r>
        <w:rPr>
          <w:spacing w:val="-13"/>
        </w:rPr>
        <w:t xml:space="preserve"> </w:t>
      </w:r>
      <w:r>
        <w:rPr>
          <w:spacing w:val="-4"/>
        </w:rPr>
        <w:t>POSTS</w:t>
      </w:r>
      <w:r>
        <w:tab/>
      </w:r>
      <w:r>
        <w:rPr>
          <w:rFonts w:ascii="Calibri"/>
          <w:b/>
        </w:rPr>
        <w:t>Error!</w:t>
      </w:r>
      <w:r>
        <w:rPr>
          <w:rFonts w:ascii="Calibri"/>
          <w:b/>
          <w:spacing w:val="-15"/>
        </w:rPr>
        <w:t xml:space="preserve"> </w:t>
      </w:r>
      <w:r>
        <w:rPr>
          <w:rFonts w:ascii="Calibri"/>
          <w:b/>
        </w:rPr>
        <w:t>Bookmark</w:t>
      </w:r>
      <w:r>
        <w:rPr>
          <w:rFonts w:ascii="Calibri"/>
          <w:b/>
          <w:spacing w:val="-12"/>
        </w:rPr>
        <w:t xml:space="preserve"> </w:t>
      </w:r>
      <w:r>
        <w:rPr>
          <w:rFonts w:ascii="Calibri"/>
          <w:b/>
        </w:rPr>
        <w:t>not</w:t>
      </w:r>
      <w:r>
        <w:rPr>
          <w:rFonts w:ascii="Calibri"/>
          <w:b/>
          <w:spacing w:val="-11"/>
        </w:rPr>
        <w:t xml:space="preserve"> </w:t>
      </w:r>
      <w:r>
        <w:rPr>
          <w:rFonts w:ascii="Calibri"/>
          <w:b/>
          <w:spacing w:val="-2"/>
        </w:rPr>
        <w:t>defined.</w:t>
      </w:r>
    </w:p>
    <w:p w14:paraId="5A5D2005" w14:textId="77777777" w:rsidR="00BB77C0" w:rsidRDefault="00370BAA">
      <w:pPr>
        <w:tabs>
          <w:tab w:val="left" w:pos="1680"/>
          <w:tab w:val="left" w:leader="dot" w:pos="7025"/>
        </w:tabs>
        <w:spacing w:before="177"/>
        <w:ind w:left="797"/>
        <w:rPr>
          <w:rFonts w:ascii="Calibri"/>
          <w:b/>
        </w:rPr>
      </w:pPr>
      <w:r>
        <w:rPr>
          <w:spacing w:val="-4"/>
        </w:rPr>
        <w:t>2003</w:t>
      </w:r>
      <w:r>
        <w:tab/>
        <w:t>EDGE</w:t>
      </w:r>
      <w:r>
        <w:rPr>
          <w:spacing w:val="-9"/>
        </w:rPr>
        <w:t xml:space="preserve"> </w:t>
      </w:r>
      <w:r>
        <w:t>MARKER</w:t>
      </w:r>
      <w:r>
        <w:rPr>
          <w:spacing w:val="-11"/>
        </w:rPr>
        <w:t xml:space="preserve"> </w:t>
      </w:r>
      <w:r>
        <w:rPr>
          <w:spacing w:val="-4"/>
        </w:rPr>
        <w:t>POST</w:t>
      </w:r>
      <w:r>
        <w:tab/>
      </w:r>
      <w:r>
        <w:rPr>
          <w:rFonts w:ascii="Calibri"/>
          <w:b/>
        </w:rPr>
        <w:t>Error!</w:t>
      </w:r>
      <w:r>
        <w:rPr>
          <w:rFonts w:ascii="Calibri"/>
          <w:b/>
          <w:spacing w:val="-15"/>
        </w:rPr>
        <w:t xml:space="preserve"> </w:t>
      </w:r>
      <w:r>
        <w:rPr>
          <w:rFonts w:ascii="Calibri"/>
          <w:b/>
        </w:rPr>
        <w:t>Bookmark</w:t>
      </w:r>
      <w:r>
        <w:rPr>
          <w:rFonts w:ascii="Calibri"/>
          <w:b/>
          <w:spacing w:val="-12"/>
        </w:rPr>
        <w:t xml:space="preserve"> </w:t>
      </w:r>
      <w:r>
        <w:rPr>
          <w:rFonts w:ascii="Calibri"/>
          <w:b/>
        </w:rPr>
        <w:t>not</w:t>
      </w:r>
      <w:r>
        <w:rPr>
          <w:rFonts w:ascii="Calibri"/>
          <w:b/>
          <w:spacing w:val="-11"/>
        </w:rPr>
        <w:t xml:space="preserve"> </w:t>
      </w:r>
      <w:r>
        <w:rPr>
          <w:rFonts w:ascii="Calibri"/>
          <w:b/>
          <w:spacing w:val="-2"/>
        </w:rPr>
        <w:t>defined.</w:t>
      </w:r>
    </w:p>
    <w:p w14:paraId="41A25155" w14:textId="77777777" w:rsidR="00BB77C0" w:rsidRDefault="00370BAA">
      <w:pPr>
        <w:tabs>
          <w:tab w:val="left" w:leader="dot" w:pos="7025"/>
        </w:tabs>
        <w:spacing w:before="188"/>
        <w:ind w:left="797"/>
        <w:rPr>
          <w:rFonts w:ascii="Calibri"/>
          <w:b/>
        </w:rPr>
      </w:pPr>
      <w:r>
        <w:t>2004B</w:t>
      </w:r>
      <w:r>
        <w:rPr>
          <w:spacing w:val="-10"/>
        </w:rPr>
        <w:t xml:space="preserve"> </w:t>
      </w:r>
      <w:r>
        <w:t>EXISTING</w:t>
      </w:r>
      <w:r>
        <w:rPr>
          <w:spacing w:val="-8"/>
        </w:rPr>
        <w:t xml:space="preserve"> </w:t>
      </w:r>
      <w:r>
        <w:t>ROAD</w:t>
      </w:r>
      <w:r>
        <w:rPr>
          <w:spacing w:val="-9"/>
        </w:rPr>
        <w:t xml:space="preserve"> </w:t>
      </w:r>
      <w:r>
        <w:rPr>
          <w:spacing w:val="-4"/>
        </w:rPr>
        <w:t>SIGNS</w:t>
      </w:r>
      <w:r>
        <w:tab/>
      </w:r>
      <w:r>
        <w:rPr>
          <w:rFonts w:ascii="Calibri"/>
          <w:b/>
        </w:rPr>
        <w:t>Error!</w:t>
      </w:r>
      <w:r>
        <w:rPr>
          <w:rFonts w:ascii="Calibri"/>
          <w:b/>
          <w:spacing w:val="-15"/>
        </w:rPr>
        <w:t xml:space="preserve"> </w:t>
      </w:r>
      <w:r>
        <w:rPr>
          <w:rFonts w:ascii="Calibri"/>
          <w:b/>
        </w:rPr>
        <w:t>Bookmark</w:t>
      </w:r>
      <w:r>
        <w:rPr>
          <w:rFonts w:ascii="Calibri"/>
          <w:b/>
          <w:spacing w:val="-12"/>
        </w:rPr>
        <w:t xml:space="preserve"> </w:t>
      </w:r>
      <w:r>
        <w:rPr>
          <w:rFonts w:ascii="Calibri"/>
          <w:b/>
        </w:rPr>
        <w:t>not</w:t>
      </w:r>
      <w:r>
        <w:rPr>
          <w:rFonts w:ascii="Calibri"/>
          <w:b/>
          <w:spacing w:val="-11"/>
        </w:rPr>
        <w:t xml:space="preserve"> </w:t>
      </w:r>
      <w:r>
        <w:rPr>
          <w:rFonts w:ascii="Calibri"/>
          <w:b/>
          <w:spacing w:val="-2"/>
        </w:rPr>
        <w:t>defined.</w:t>
      </w:r>
    </w:p>
    <w:p w14:paraId="0B170AD7" w14:textId="77777777" w:rsidR="00BB77C0" w:rsidRDefault="00370BAA">
      <w:pPr>
        <w:tabs>
          <w:tab w:val="left" w:pos="1680"/>
          <w:tab w:val="left" w:leader="dot" w:pos="7025"/>
        </w:tabs>
        <w:spacing w:before="178"/>
        <w:ind w:left="797"/>
        <w:rPr>
          <w:rFonts w:ascii="Calibri"/>
          <w:b/>
        </w:rPr>
      </w:pPr>
      <w:r>
        <w:rPr>
          <w:spacing w:val="-4"/>
        </w:rPr>
        <w:t>2005</w:t>
      </w:r>
      <w:r>
        <w:tab/>
        <w:t>ROAD</w:t>
      </w:r>
      <w:r>
        <w:rPr>
          <w:spacing w:val="-10"/>
        </w:rPr>
        <w:t xml:space="preserve"> </w:t>
      </w:r>
      <w:r>
        <w:rPr>
          <w:spacing w:val="-2"/>
        </w:rPr>
        <w:t>MARKING</w:t>
      </w:r>
      <w:r>
        <w:tab/>
      </w:r>
      <w:r>
        <w:rPr>
          <w:rFonts w:ascii="Calibri"/>
          <w:b/>
        </w:rPr>
        <w:t>Error!</w:t>
      </w:r>
      <w:r>
        <w:rPr>
          <w:rFonts w:ascii="Calibri"/>
          <w:b/>
          <w:spacing w:val="-15"/>
        </w:rPr>
        <w:t xml:space="preserve"> </w:t>
      </w:r>
      <w:r>
        <w:rPr>
          <w:rFonts w:ascii="Calibri"/>
          <w:b/>
        </w:rPr>
        <w:t>Bookmark</w:t>
      </w:r>
      <w:r>
        <w:rPr>
          <w:rFonts w:ascii="Calibri"/>
          <w:b/>
          <w:spacing w:val="-12"/>
        </w:rPr>
        <w:t xml:space="preserve"> </w:t>
      </w:r>
      <w:r>
        <w:rPr>
          <w:rFonts w:ascii="Calibri"/>
          <w:b/>
        </w:rPr>
        <w:t>not</w:t>
      </w:r>
      <w:r>
        <w:rPr>
          <w:rFonts w:ascii="Calibri"/>
          <w:b/>
          <w:spacing w:val="-11"/>
        </w:rPr>
        <w:t xml:space="preserve"> </w:t>
      </w:r>
      <w:r>
        <w:rPr>
          <w:rFonts w:ascii="Calibri"/>
          <w:b/>
          <w:spacing w:val="-2"/>
        </w:rPr>
        <w:t>defined.</w:t>
      </w:r>
    </w:p>
    <w:p w14:paraId="0E078F3C" w14:textId="77777777" w:rsidR="00BB77C0" w:rsidRDefault="00370BAA">
      <w:pPr>
        <w:spacing w:before="178"/>
        <w:ind w:left="797"/>
        <w:rPr>
          <w:rFonts w:ascii="Calibri" w:hAnsi="Calibri"/>
          <w:b/>
        </w:rPr>
      </w:pPr>
      <w:r>
        <w:t>2005A</w:t>
      </w:r>
      <w:r>
        <w:rPr>
          <w:spacing w:val="-16"/>
        </w:rPr>
        <w:t xml:space="preserve"> </w:t>
      </w:r>
      <w:r>
        <w:t>RAISED</w:t>
      </w:r>
      <w:r>
        <w:rPr>
          <w:spacing w:val="-14"/>
        </w:rPr>
        <w:t xml:space="preserve"> </w:t>
      </w:r>
      <w:r>
        <w:t>PAVEMENT</w:t>
      </w:r>
      <w:r>
        <w:rPr>
          <w:spacing w:val="-13"/>
        </w:rPr>
        <w:t xml:space="preserve"> </w:t>
      </w:r>
      <w:r>
        <w:t>MARKERS</w:t>
      </w:r>
      <w:r>
        <w:rPr>
          <w:spacing w:val="-12"/>
        </w:rPr>
        <w:t xml:space="preserve"> </w:t>
      </w:r>
      <w:r>
        <w:t>–</w:t>
      </w:r>
      <w:r>
        <w:rPr>
          <w:spacing w:val="-13"/>
        </w:rPr>
        <w:t xml:space="preserve"> </w:t>
      </w:r>
      <w:r>
        <w:t>ROAD</w:t>
      </w:r>
      <w:r>
        <w:rPr>
          <w:spacing w:val="-11"/>
        </w:rPr>
        <w:t xml:space="preserve"> </w:t>
      </w:r>
      <w:r>
        <w:t>STUDS</w:t>
      </w:r>
      <w:r>
        <w:rPr>
          <w:spacing w:val="-7"/>
        </w:rPr>
        <w:t xml:space="preserve"> </w:t>
      </w:r>
      <w:r>
        <w:t>MATERIAL</w:t>
      </w:r>
      <w:r>
        <w:rPr>
          <w:rFonts w:ascii="Calibri" w:hAnsi="Calibri"/>
          <w:b/>
        </w:rPr>
        <w:t>Error!</w:t>
      </w:r>
      <w:r>
        <w:rPr>
          <w:rFonts w:ascii="Calibri" w:hAnsi="Calibri"/>
          <w:b/>
          <w:spacing w:val="-12"/>
        </w:rPr>
        <w:t xml:space="preserve"> </w:t>
      </w:r>
      <w:r>
        <w:rPr>
          <w:rFonts w:ascii="Calibri" w:hAnsi="Calibri"/>
          <w:b/>
        </w:rPr>
        <w:t>Bookmark</w:t>
      </w:r>
      <w:r>
        <w:rPr>
          <w:rFonts w:ascii="Calibri" w:hAnsi="Calibri"/>
          <w:b/>
          <w:spacing w:val="-13"/>
        </w:rPr>
        <w:t xml:space="preserve"> </w:t>
      </w:r>
      <w:r>
        <w:rPr>
          <w:rFonts w:ascii="Calibri" w:hAnsi="Calibri"/>
          <w:b/>
        </w:rPr>
        <w:t>not</w:t>
      </w:r>
      <w:r>
        <w:rPr>
          <w:rFonts w:ascii="Calibri" w:hAnsi="Calibri"/>
          <w:b/>
          <w:spacing w:val="-11"/>
        </w:rPr>
        <w:t xml:space="preserve"> </w:t>
      </w:r>
      <w:r>
        <w:rPr>
          <w:rFonts w:ascii="Calibri" w:hAnsi="Calibri"/>
          <w:b/>
          <w:spacing w:val="-2"/>
        </w:rPr>
        <w:t>defined.</w:t>
      </w:r>
    </w:p>
    <w:p w14:paraId="530E9BF4" w14:textId="77777777" w:rsidR="00BB77C0" w:rsidRDefault="00370BAA">
      <w:pPr>
        <w:tabs>
          <w:tab w:val="left" w:leader="dot" w:pos="7025"/>
        </w:tabs>
        <w:spacing w:before="188"/>
        <w:ind w:left="797"/>
        <w:rPr>
          <w:rFonts w:ascii="Calibri"/>
          <w:b/>
        </w:rPr>
      </w:pPr>
      <w:r>
        <w:rPr>
          <w:spacing w:val="-2"/>
        </w:rPr>
        <w:t>REQUIREMENTS</w:t>
      </w:r>
      <w:r>
        <w:tab/>
      </w:r>
      <w:r>
        <w:rPr>
          <w:rFonts w:ascii="Calibri"/>
          <w:b/>
        </w:rPr>
        <w:t>Error!</w:t>
      </w:r>
      <w:r>
        <w:rPr>
          <w:rFonts w:ascii="Calibri"/>
          <w:b/>
          <w:spacing w:val="-15"/>
        </w:rPr>
        <w:t xml:space="preserve"> </w:t>
      </w:r>
      <w:r>
        <w:rPr>
          <w:rFonts w:ascii="Calibri"/>
          <w:b/>
        </w:rPr>
        <w:t>Bookmark</w:t>
      </w:r>
      <w:r>
        <w:rPr>
          <w:rFonts w:ascii="Calibri"/>
          <w:b/>
          <w:spacing w:val="-12"/>
        </w:rPr>
        <w:t xml:space="preserve"> </w:t>
      </w:r>
      <w:r>
        <w:rPr>
          <w:rFonts w:ascii="Calibri"/>
          <w:b/>
        </w:rPr>
        <w:t>not</w:t>
      </w:r>
      <w:r>
        <w:rPr>
          <w:rFonts w:ascii="Calibri"/>
          <w:b/>
          <w:spacing w:val="-11"/>
        </w:rPr>
        <w:t xml:space="preserve"> </w:t>
      </w:r>
      <w:r>
        <w:rPr>
          <w:rFonts w:ascii="Calibri"/>
          <w:b/>
          <w:spacing w:val="-2"/>
        </w:rPr>
        <w:t>defined.</w:t>
      </w:r>
    </w:p>
    <w:p w14:paraId="7281D174" w14:textId="77777777" w:rsidR="00BB77C0" w:rsidRDefault="00370BAA">
      <w:pPr>
        <w:tabs>
          <w:tab w:val="left" w:leader="dot" w:pos="7025"/>
        </w:tabs>
        <w:spacing w:before="178"/>
        <w:ind w:left="797"/>
        <w:rPr>
          <w:rFonts w:ascii="Calibri"/>
          <w:b/>
        </w:rPr>
      </w:pPr>
      <w:r>
        <w:rPr>
          <w:spacing w:val="-2"/>
        </w:rPr>
        <w:t>ADHESIVES</w:t>
      </w:r>
      <w:r>
        <w:tab/>
      </w:r>
      <w:r>
        <w:rPr>
          <w:rFonts w:ascii="Calibri"/>
          <w:b/>
        </w:rPr>
        <w:t>Error!</w:t>
      </w:r>
      <w:r>
        <w:rPr>
          <w:rFonts w:ascii="Calibri"/>
          <w:b/>
          <w:spacing w:val="-15"/>
        </w:rPr>
        <w:t xml:space="preserve"> </w:t>
      </w:r>
      <w:r>
        <w:rPr>
          <w:rFonts w:ascii="Calibri"/>
          <w:b/>
        </w:rPr>
        <w:t>Bookmark</w:t>
      </w:r>
      <w:r>
        <w:rPr>
          <w:rFonts w:ascii="Calibri"/>
          <w:b/>
          <w:spacing w:val="-12"/>
        </w:rPr>
        <w:t xml:space="preserve"> </w:t>
      </w:r>
      <w:r>
        <w:rPr>
          <w:rFonts w:ascii="Calibri"/>
          <w:b/>
        </w:rPr>
        <w:t>not</w:t>
      </w:r>
      <w:r>
        <w:rPr>
          <w:rFonts w:ascii="Calibri"/>
          <w:b/>
          <w:spacing w:val="-11"/>
        </w:rPr>
        <w:t xml:space="preserve"> </w:t>
      </w:r>
      <w:r>
        <w:rPr>
          <w:rFonts w:ascii="Calibri"/>
          <w:b/>
          <w:spacing w:val="-2"/>
        </w:rPr>
        <w:t>defined.</w:t>
      </w:r>
    </w:p>
    <w:p w14:paraId="794D4BF8" w14:textId="77777777" w:rsidR="00BB77C0" w:rsidRDefault="00370BAA">
      <w:pPr>
        <w:tabs>
          <w:tab w:val="left" w:leader="dot" w:pos="7025"/>
        </w:tabs>
        <w:spacing w:before="182"/>
        <w:ind w:left="797"/>
        <w:rPr>
          <w:rFonts w:ascii="Calibri"/>
          <w:b/>
        </w:rPr>
      </w:pPr>
      <w:r>
        <w:rPr>
          <w:spacing w:val="-2"/>
        </w:rPr>
        <w:t>APPLICATION</w:t>
      </w:r>
      <w:r>
        <w:rPr>
          <w:spacing w:val="5"/>
        </w:rPr>
        <w:t xml:space="preserve"> </w:t>
      </w:r>
      <w:r>
        <w:rPr>
          <w:spacing w:val="-2"/>
        </w:rPr>
        <w:t>INSTRUCTION</w:t>
      </w:r>
      <w:r>
        <w:tab/>
      </w:r>
      <w:r>
        <w:rPr>
          <w:rFonts w:ascii="Calibri"/>
          <w:b/>
        </w:rPr>
        <w:t>Error!</w:t>
      </w:r>
      <w:r>
        <w:rPr>
          <w:rFonts w:ascii="Calibri"/>
          <w:b/>
          <w:spacing w:val="-15"/>
        </w:rPr>
        <w:t xml:space="preserve"> </w:t>
      </w:r>
      <w:r>
        <w:rPr>
          <w:rFonts w:ascii="Calibri"/>
          <w:b/>
        </w:rPr>
        <w:t>Bookmark</w:t>
      </w:r>
      <w:r>
        <w:rPr>
          <w:rFonts w:ascii="Calibri"/>
          <w:b/>
          <w:spacing w:val="-12"/>
        </w:rPr>
        <w:t xml:space="preserve"> </w:t>
      </w:r>
      <w:r>
        <w:rPr>
          <w:rFonts w:ascii="Calibri"/>
          <w:b/>
        </w:rPr>
        <w:t>not</w:t>
      </w:r>
      <w:r>
        <w:rPr>
          <w:rFonts w:ascii="Calibri"/>
          <w:b/>
          <w:spacing w:val="-11"/>
        </w:rPr>
        <w:t xml:space="preserve"> </w:t>
      </w:r>
      <w:r>
        <w:rPr>
          <w:rFonts w:ascii="Calibri"/>
          <w:b/>
          <w:spacing w:val="-2"/>
        </w:rPr>
        <w:t>defined.</w:t>
      </w:r>
    </w:p>
    <w:p w14:paraId="25685A9D" w14:textId="77777777" w:rsidR="00BB77C0" w:rsidRDefault="00370BAA">
      <w:pPr>
        <w:tabs>
          <w:tab w:val="left" w:pos="1680"/>
          <w:tab w:val="left" w:leader="dot" w:pos="7025"/>
        </w:tabs>
        <w:spacing w:before="178"/>
        <w:ind w:left="797"/>
        <w:rPr>
          <w:rFonts w:ascii="Calibri"/>
          <w:b/>
        </w:rPr>
      </w:pPr>
      <w:r>
        <w:rPr>
          <w:spacing w:val="-4"/>
        </w:rPr>
        <w:t>2006</w:t>
      </w:r>
      <w:r>
        <w:tab/>
      </w:r>
      <w:r>
        <w:rPr>
          <w:spacing w:val="-2"/>
        </w:rPr>
        <w:t>GUARDRAILS</w:t>
      </w:r>
      <w:r>
        <w:tab/>
      </w:r>
      <w:r>
        <w:rPr>
          <w:rFonts w:ascii="Calibri"/>
          <w:b/>
        </w:rPr>
        <w:t>Error!</w:t>
      </w:r>
      <w:r>
        <w:rPr>
          <w:rFonts w:ascii="Calibri"/>
          <w:b/>
          <w:spacing w:val="-15"/>
        </w:rPr>
        <w:t xml:space="preserve"> </w:t>
      </w:r>
      <w:r>
        <w:rPr>
          <w:rFonts w:ascii="Calibri"/>
          <w:b/>
        </w:rPr>
        <w:t>Bookmark</w:t>
      </w:r>
      <w:r>
        <w:rPr>
          <w:rFonts w:ascii="Calibri"/>
          <w:b/>
          <w:spacing w:val="-12"/>
        </w:rPr>
        <w:t xml:space="preserve"> </w:t>
      </w:r>
      <w:r>
        <w:rPr>
          <w:rFonts w:ascii="Calibri"/>
          <w:b/>
        </w:rPr>
        <w:t>not</w:t>
      </w:r>
      <w:r>
        <w:rPr>
          <w:rFonts w:ascii="Calibri"/>
          <w:b/>
          <w:spacing w:val="-11"/>
        </w:rPr>
        <w:t xml:space="preserve"> </w:t>
      </w:r>
      <w:r>
        <w:rPr>
          <w:rFonts w:ascii="Calibri"/>
          <w:b/>
          <w:spacing w:val="-2"/>
        </w:rPr>
        <w:t>defined.</w:t>
      </w:r>
    </w:p>
    <w:p w14:paraId="2F68F3B5" w14:textId="77777777" w:rsidR="00BB77C0" w:rsidRDefault="00370BAA">
      <w:pPr>
        <w:tabs>
          <w:tab w:val="left" w:pos="1680"/>
          <w:tab w:val="left" w:leader="dot" w:pos="7025"/>
        </w:tabs>
        <w:spacing w:before="188"/>
        <w:ind w:left="797"/>
        <w:rPr>
          <w:rFonts w:ascii="Calibri"/>
          <w:b/>
        </w:rPr>
      </w:pPr>
      <w:r>
        <w:rPr>
          <w:spacing w:val="-4"/>
        </w:rPr>
        <w:t>2007</w:t>
      </w:r>
      <w:r>
        <w:tab/>
      </w:r>
      <w:r>
        <w:rPr>
          <w:spacing w:val="-2"/>
        </w:rPr>
        <w:t>KERBS</w:t>
      </w:r>
      <w:r>
        <w:tab/>
      </w:r>
      <w:r>
        <w:rPr>
          <w:rFonts w:ascii="Calibri"/>
          <w:b/>
        </w:rPr>
        <w:t>Error!</w:t>
      </w:r>
      <w:r>
        <w:rPr>
          <w:rFonts w:ascii="Calibri"/>
          <w:b/>
          <w:spacing w:val="-15"/>
        </w:rPr>
        <w:t xml:space="preserve"> </w:t>
      </w:r>
      <w:r>
        <w:rPr>
          <w:rFonts w:ascii="Calibri"/>
          <w:b/>
        </w:rPr>
        <w:t>Bookmark</w:t>
      </w:r>
      <w:r>
        <w:rPr>
          <w:rFonts w:ascii="Calibri"/>
          <w:b/>
          <w:spacing w:val="-12"/>
        </w:rPr>
        <w:t xml:space="preserve"> </w:t>
      </w:r>
      <w:r>
        <w:rPr>
          <w:rFonts w:ascii="Calibri"/>
          <w:b/>
        </w:rPr>
        <w:t>not</w:t>
      </w:r>
      <w:r>
        <w:rPr>
          <w:rFonts w:ascii="Calibri"/>
          <w:b/>
          <w:spacing w:val="-11"/>
        </w:rPr>
        <w:t xml:space="preserve"> </w:t>
      </w:r>
      <w:r>
        <w:rPr>
          <w:rFonts w:ascii="Calibri"/>
          <w:b/>
          <w:spacing w:val="-2"/>
        </w:rPr>
        <w:t>defined.</w:t>
      </w:r>
    </w:p>
    <w:p w14:paraId="685A22D8" w14:textId="77777777" w:rsidR="00BB77C0" w:rsidRDefault="00370BAA">
      <w:pPr>
        <w:tabs>
          <w:tab w:val="left" w:pos="1680"/>
          <w:tab w:val="left" w:leader="dot" w:pos="7025"/>
        </w:tabs>
        <w:spacing w:before="178"/>
        <w:ind w:left="797"/>
        <w:rPr>
          <w:rFonts w:ascii="Calibri"/>
          <w:b/>
        </w:rPr>
      </w:pPr>
      <w:r>
        <w:rPr>
          <w:spacing w:val="-4"/>
        </w:rPr>
        <w:t>2008</w:t>
      </w:r>
      <w:r>
        <w:tab/>
        <w:t>EDGE</w:t>
      </w:r>
      <w:r>
        <w:rPr>
          <w:spacing w:val="-9"/>
        </w:rPr>
        <w:t xml:space="preserve"> </w:t>
      </w:r>
      <w:r>
        <w:t>MARKER</w:t>
      </w:r>
      <w:r>
        <w:rPr>
          <w:spacing w:val="-11"/>
        </w:rPr>
        <w:t xml:space="preserve"> </w:t>
      </w:r>
      <w:r>
        <w:rPr>
          <w:spacing w:val="-4"/>
        </w:rPr>
        <w:t>POSTS</w:t>
      </w:r>
      <w:r>
        <w:tab/>
      </w:r>
      <w:r>
        <w:rPr>
          <w:rFonts w:ascii="Calibri"/>
          <w:b/>
        </w:rPr>
        <w:t>Error!</w:t>
      </w:r>
      <w:r>
        <w:rPr>
          <w:rFonts w:ascii="Calibri"/>
          <w:b/>
          <w:spacing w:val="-15"/>
        </w:rPr>
        <w:t xml:space="preserve"> </w:t>
      </w:r>
      <w:r>
        <w:rPr>
          <w:rFonts w:ascii="Calibri"/>
          <w:b/>
        </w:rPr>
        <w:t>Bookmark</w:t>
      </w:r>
      <w:r>
        <w:rPr>
          <w:rFonts w:ascii="Calibri"/>
          <w:b/>
          <w:spacing w:val="-12"/>
        </w:rPr>
        <w:t xml:space="preserve"> </w:t>
      </w:r>
      <w:r>
        <w:rPr>
          <w:rFonts w:ascii="Calibri"/>
          <w:b/>
        </w:rPr>
        <w:t>not</w:t>
      </w:r>
      <w:r>
        <w:rPr>
          <w:rFonts w:ascii="Calibri"/>
          <w:b/>
          <w:spacing w:val="-11"/>
        </w:rPr>
        <w:t xml:space="preserve"> </w:t>
      </w:r>
      <w:r>
        <w:rPr>
          <w:rFonts w:ascii="Calibri"/>
          <w:b/>
          <w:spacing w:val="-2"/>
        </w:rPr>
        <w:t>defined.</w:t>
      </w:r>
    </w:p>
    <w:p w14:paraId="64F7AC3B" w14:textId="77777777" w:rsidR="00BB77C0" w:rsidRDefault="00370BAA">
      <w:pPr>
        <w:tabs>
          <w:tab w:val="left" w:pos="1680"/>
          <w:tab w:val="left" w:leader="dot" w:pos="7025"/>
        </w:tabs>
        <w:spacing w:before="178"/>
        <w:ind w:left="797"/>
        <w:rPr>
          <w:rFonts w:ascii="Calibri"/>
          <w:b/>
        </w:rPr>
      </w:pPr>
      <w:r>
        <w:rPr>
          <w:spacing w:val="-4"/>
        </w:rPr>
        <w:t>2010</w:t>
      </w:r>
      <w:r>
        <w:tab/>
      </w:r>
      <w:r>
        <w:rPr>
          <w:spacing w:val="-2"/>
        </w:rPr>
        <w:t>BOLLARDS</w:t>
      </w:r>
      <w:r>
        <w:tab/>
      </w:r>
      <w:r>
        <w:rPr>
          <w:rFonts w:ascii="Calibri"/>
          <w:b/>
        </w:rPr>
        <w:t>Error!</w:t>
      </w:r>
      <w:r>
        <w:rPr>
          <w:rFonts w:ascii="Calibri"/>
          <w:b/>
          <w:spacing w:val="-15"/>
        </w:rPr>
        <w:t xml:space="preserve"> </w:t>
      </w:r>
      <w:r>
        <w:rPr>
          <w:rFonts w:ascii="Calibri"/>
          <w:b/>
        </w:rPr>
        <w:t>Bookmark</w:t>
      </w:r>
      <w:r>
        <w:rPr>
          <w:rFonts w:ascii="Calibri"/>
          <w:b/>
          <w:spacing w:val="-12"/>
        </w:rPr>
        <w:t xml:space="preserve"> </w:t>
      </w:r>
      <w:r>
        <w:rPr>
          <w:rFonts w:ascii="Calibri"/>
          <w:b/>
        </w:rPr>
        <w:t>not</w:t>
      </w:r>
      <w:r>
        <w:rPr>
          <w:rFonts w:ascii="Calibri"/>
          <w:b/>
          <w:spacing w:val="-11"/>
        </w:rPr>
        <w:t xml:space="preserve"> </w:t>
      </w:r>
      <w:r>
        <w:rPr>
          <w:rFonts w:ascii="Calibri"/>
          <w:b/>
          <w:spacing w:val="-2"/>
        </w:rPr>
        <w:t>defined.</w:t>
      </w:r>
    </w:p>
    <w:p w14:paraId="0C9745A1" w14:textId="77777777" w:rsidR="00BB77C0" w:rsidRDefault="00370BAA">
      <w:pPr>
        <w:tabs>
          <w:tab w:val="left" w:pos="1680"/>
          <w:tab w:val="left" w:leader="dot" w:pos="7025"/>
        </w:tabs>
        <w:spacing w:before="187"/>
        <w:ind w:left="797"/>
        <w:rPr>
          <w:rFonts w:ascii="Calibri"/>
          <w:b/>
        </w:rPr>
      </w:pPr>
      <w:r>
        <w:rPr>
          <w:spacing w:val="-4"/>
        </w:rPr>
        <w:t>2011</w:t>
      </w:r>
      <w:r>
        <w:tab/>
      </w:r>
      <w:r>
        <w:rPr>
          <w:spacing w:val="-2"/>
        </w:rPr>
        <w:t>MEASUREMENT</w:t>
      </w:r>
      <w:r>
        <w:rPr>
          <w:spacing w:val="1"/>
        </w:rPr>
        <w:t xml:space="preserve"> </w:t>
      </w:r>
      <w:r>
        <w:rPr>
          <w:spacing w:val="-2"/>
        </w:rPr>
        <w:t>AND</w:t>
      </w:r>
      <w:r>
        <w:rPr>
          <w:spacing w:val="-4"/>
        </w:rPr>
        <w:t xml:space="preserve"> </w:t>
      </w:r>
      <w:r>
        <w:rPr>
          <w:spacing w:val="-2"/>
        </w:rPr>
        <w:t>PAYMENT</w:t>
      </w:r>
      <w:r>
        <w:tab/>
      </w:r>
      <w:r>
        <w:rPr>
          <w:rFonts w:ascii="Calibri"/>
          <w:b/>
        </w:rPr>
        <w:t>Error!</w:t>
      </w:r>
      <w:r>
        <w:rPr>
          <w:rFonts w:ascii="Calibri"/>
          <w:b/>
          <w:spacing w:val="-15"/>
        </w:rPr>
        <w:t xml:space="preserve"> </w:t>
      </w:r>
      <w:r>
        <w:rPr>
          <w:rFonts w:ascii="Calibri"/>
          <w:b/>
        </w:rPr>
        <w:t>Bookmark</w:t>
      </w:r>
      <w:r>
        <w:rPr>
          <w:rFonts w:ascii="Calibri"/>
          <w:b/>
          <w:spacing w:val="-12"/>
        </w:rPr>
        <w:t xml:space="preserve"> </w:t>
      </w:r>
      <w:r>
        <w:rPr>
          <w:rFonts w:ascii="Calibri"/>
          <w:b/>
        </w:rPr>
        <w:t>not</w:t>
      </w:r>
      <w:r>
        <w:rPr>
          <w:rFonts w:ascii="Calibri"/>
          <w:b/>
          <w:spacing w:val="-11"/>
        </w:rPr>
        <w:t xml:space="preserve"> </w:t>
      </w:r>
      <w:r>
        <w:rPr>
          <w:rFonts w:ascii="Calibri"/>
          <w:b/>
          <w:spacing w:val="-2"/>
        </w:rPr>
        <w:t>defined.</w:t>
      </w:r>
    </w:p>
    <w:p w14:paraId="2256DE13" w14:textId="77777777" w:rsidR="00BB77C0" w:rsidRDefault="00370BAA">
      <w:pPr>
        <w:tabs>
          <w:tab w:val="left" w:leader="dot" w:pos="7025"/>
        </w:tabs>
        <w:spacing w:before="179"/>
        <w:ind w:left="797"/>
        <w:rPr>
          <w:rFonts w:ascii="Calibri"/>
          <w:b/>
        </w:rPr>
      </w:pPr>
      <w:r>
        <w:t>2202</w:t>
      </w:r>
      <w:r>
        <w:rPr>
          <w:spacing w:val="61"/>
          <w:w w:val="150"/>
        </w:rPr>
        <w:t xml:space="preserve"> </w:t>
      </w:r>
      <w:r>
        <w:t>MEASUREMENTS</w:t>
      </w:r>
      <w:r>
        <w:rPr>
          <w:spacing w:val="-9"/>
        </w:rPr>
        <w:t xml:space="preserve"> </w:t>
      </w:r>
      <w:r>
        <w:t>AND</w:t>
      </w:r>
      <w:r>
        <w:rPr>
          <w:spacing w:val="-6"/>
        </w:rPr>
        <w:t xml:space="preserve"> </w:t>
      </w:r>
      <w:r>
        <w:rPr>
          <w:spacing w:val="-2"/>
        </w:rPr>
        <w:t>PAYMENT</w:t>
      </w:r>
      <w:r>
        <w:tab/>
      </w:r>
      <w:r>
        <w:rPr>
          <w:rFonts w:ascii="Calibri"/>
          <w:b/>
        </w:rPr>
        <w:t>Error!</w:t>
      </w:r>
      <w:r>
        <w:rPr>
          <w:rFonts w:ascii="Calibri"/>
          <w:b/>
          <w:spacing w:val="-15"/>
        </w:rPr>
        <w:t xml:space="preserve"> </w:t>
      </w:r>
      <w:r>
        <w:rPr>
          <w:rFonts w:ascii="Calibri"/>
          <w:b/>
        </w:rPr>
        <w:t>Bookmark</w:t>
      </w:r>
      <w:r>
        <w:rPr>
          <w:rFonts w:ascii="Calibri"/>
          <w:b/>
          <w:spacing w:val="-12"/>
        </w:rPr>
        <w:t xml:space="preserve"> </w:t>
      </w:r>
      <w:r>
        <w:rPr>
          <w:rFonts w:ascii="Calibri"/>
          <w:b/>
        </w:rPr>
        <w:t>not</w:t>
      </w:r>
      <w:r>
        <w:rPr>
          <w:rFonts w:ascii="Calibri"/>
          <w:b/>
          <w:spacing w:val="-11"/>
        </w:rPr>
        <w:t xml:space="preserve"> </w:t>
      </w:r>
      <w:r>
        <w:rPr>
          <w:rFonts w:ascii="Calibri"/>
          <w:b/>
          <w:spacing w:val="-2"/>
        </w:rPr>
        <w:t>defined.</w:t>
      </w:r>
    </w:p>
    <w:p w14:paraId="7992354C" w14:textId="77777777" w:rsidR="00BB77C0" w:rsidRDefault="00370BAA">
      <w:pPr>
        <w:tabs>
          <w:tab w:val="left" w:leader="dot" w:pos="7025"/>
        </w:tabs>
        <w:spacing w:before="182"/>
        <w:ind w:left="797"/>
        <w:rPr>
          <w:rFonts w:ascii="Calibri"/>
          <w:b/>
        </w:rPr>
      </w:pPr>
      <w:r>
        <w:t>SECTION</w:t>
      </w:r>
      <w:r>
        <w:rPr>
          <w:spacing w:val="-14"/>
        </w:rPr>
        <w:t xml:space="preserve"> </w:t>
      </w:r>
      <w:r>
        <w:t>23:</w:t>
      </w:r>
      <w:r>
        <w:rPr>
          <w:spacing w:val="-13"/>
        </w:rPr>
        <w:t xml:space="preserve"> </w:t>
      </w:r>
      <w:r>
        <w:t>CONCRETE</w:t>
      </w:r>
      <w:r>
        <w:rPr>
          <w:spacing w:val="-14"/>
        </w:rPr>
        <w:t xml:space="preserve"> </w:t>
      </w:r>
      <w:r>
        <w:t>PAVING</w:t>
      </w:r>
      <w:r>
        <w:rPr>
          <w:spacing w:val="-10"/>
        </w:rPr>
        <w:t xml:space="preserve"> </w:t>
      </w:r>
      <w:r>
        <w:rPr>
          <w:spacing w:val="-2"/>
        </w:rPr>
        <w:t>BLOCKS</w:t>
      </w:r>
      <w:r>
        <w:tab/>
      </w:r>
      <w:r>
        <w:rPr>
          <w:rFonts w:ascii="Calibri"/>
          <w:b/>
        </w:rPr>
        <w:t>Error!</w:t>
      </w:r>
      <w:r>
        <w:rPr>
          <w:rFonts w:ascii="Calibri"/>
          <w:b/>
          <w:spacing w:val="-15"/>
        </w:rPr>
        <w:t xml:space="preserve"> </w:t>
      </w:r>
      <w:r>
        <w:rPr>
          <w:rFonts w:ascii="Calibri"/>
          <w:b/>
        </w:rPr>
        <w:t>Bookmark</w:t>
      </w:r>
      <w:r>
        <w:rPr>
          <w:rFonts w:ascii="Calibri"/>
          <w:b/>
          <w:spacing w:val="-12"/>
        </w:rPr>
        <w:t xml:space="preserve"> </w:t>
      </w:r>
      <w:r>
        <w:rPr>
          <w:rFonts w:ascii="Calibri"/>
          <w:b/>
        </w:rPr>
        <w:t>not</w:t>
      </w:r>
      <w:r>
        <w:rPr>
          <w:rFonts w:ascii="Calibri"/>
          <w:b/>
          <w:spacing w:val="-11"/>
        </w:rPr>
        <w:t xml:space="preserve"> </w:t>
      </w:r>
      <w:r>
        <w:rPr>
          <w:rFonts w:ascii="Calibri"/>
          <w:b/>
          <w:spacing w:val="-2"/>
        </w:rPr>
        <w:t>defined.</w:t>
      </w:r>
    </w:p>
    <w:p w14:paraId="79139FDD" w14:textId="77777777" w:rsidR="00BB77C0" w:rsidRDefault="00370BAA">
      <w:pPr>
        <w:tabs>
          <w:tab w:val="left" w:leader="dot" w:pos="7025"/>
        </w:tabs>
        <w:spacing w:before="178"/>
        <w:ind w:left="797"/>
        <w:rPr>
          <w:rFonts w:ascii="Calibri"/>
          <w:b/>
        </w:rPr>
      </w:pPr>
      <w:r>
        <w:t>c.</w:t>
      </w:r>
      <w:r>
        <w:rPr>
          <w:spacing w:val="-6"/>
        </w:rPr>
        <w:t xml:space="preserve"> </w:t>
      </w:r>
      <w:r>
        <w:t>Measurement</w:t>
      </w:r>
      <w:r>
        <w:rPr>
          <w:spacing w:val="-6"/>
        </w:rPr>
        <w:t xml:space="preserve"> </w:t>
      </w:r>
      <w:r>
        <w:t>and</w:t>
      </w:r>
      <w:r>
        <w:rPr>
          <w:spacing w:val="-7"/>
        </w:rPr>
        <w:t xml:space="preserve"> </w:t>
      </w:r>
      <w:r>
        <w:rPr>
          <w:spacing w:val="-2"/>
        </w:rPr>
        <w:t>Payment</w:t>
      </w:r>
      <w:r>
        <w:tab/>
      </w:r>
      <w:r>
        <w:rPr>
          <w:rFonts w:ascii="Calibri"/>
          <w:b/>
        </w:rPr>
        <w:t>Error!</w:t>
      </w:r>
      <w:r>
        <w:rPr>
          <w:rFonts w:ascii="Calibri"/>
          <w:b/>
          <w:spacing w:val="-15"/>
        </w:rPr>
        <w:t xml:space="preserve"> </w:t>
      </w:r>
      <w:r>
        <w:rPr>
          <w:rFonts w:ascii="Calibri"/>
          <w:b/>
        </w:rPr>
        <w:t>Bookmark</w:t>
      </w:r>
      <w:r>
        <w:rPr>
          <w:rFonts w:ascii="Calibri"/>
          <w:b/>
          <w:spacing w:val="-12"/>
        </w:rPr>
        <w:t xml:space="preserve"> </w:t>
      </w:r>
      <w:r>
        <w:rPr>
          <w:rFonts w:ascii="Calibri"/>
          <w:b/>
        </w:rPr>
        <w:t>not</w:t>
      </w:r>
      <w:r>
        <w:rPr>
          <w:rFonts w:ascii="Calibri"/>
          <w:b/>
          <w:spacing w:val="-11"/>
        </w:rPr>
        <w:t xml:space="preserve"> </w:t>
      </w:r>
      <w:r>
        <w:rPr>
          <w:rFonts w:ascii="Calibri"/>
          <w:b/>
          <w:spacing w:val="-2"/>
        </w:rPr>
        <w:t>defined.</w:t>
      </w:r>
    </w:p>
    <w:p w14:paraId="00E8D9D9" w14:textId="77777777" w:rsidR="00BB77C0" w:rsidRDefault="00BB77C0">
      <w:pPr>
        <w:rPr>
          <w:rFonts w:ascii="Calibri"/>
          <w:b/>
        </w:rPr>
        <w:sectPr w:rsidR="00BB77C0">
          <w:type w:val="continuous"/>
          <w:pgSz w:w="11930" w:h="16870"/>
          <w:pgMar w:top="1300" w:right="1080" w:bottom="280" w:left="720" w:header="720" w:footer="720" w:gutter="0"/>
          <w:cols w:space="720"/>
        </w:sectPr>
      </w:pPr>
    </w:p>
    <w:p w14:paraId="7FFA1758" w14:textId="77777777" w:rsidR="00BB77C0" w:rsidRDefault="00BB77C0">
      <w:pPr>
        <w:pStyle w:val="BodyText"/>
        <w:rPr>
          <w:rFonts w:ascii="Calibri"/>
          <w:b/>
          <w:sz w:val="32"/>
        </w:rPr>
      </w:pPr>
    </w:p>
    <w:p w14:paraId="385E900B" w14:textId="77777777" w:rsidR="00BB77C0" w:rsidRDefault="00BB77C0">
      <w:pPr>
        <w:pStyle w:val="BodyText"/>
        <w:rPr>
          <w:rFonts w:ascii="Calibri"/>
          <w:b/>
          <w:sz w:val="32"/>
        </w:rPr>
      </w:pPr>
    </w:p>
    <w:p w14:paraId="1EC8CBCB" w14:textId="77777777" w:rsidR="00BB77C0" w:rsidRDefault="00BB77C0">
      <w:pPr>
        <w:pStyle w:val="BodyText"/>
        <w:spacing w:before="221"/>
        <w:rPr>
          <w:rFonts w:ascii="Calibri"/>
          <w:b/>
          <w:sz w:val="32"/>
        </w:rPr>
      </w:pPr>
    </w:p>
    <w:p w14:paraId="183EDD66" w14:textId="77777777" w:rsidR="00BB77C0" w:rsidRDefault="00370BAA">
      <w:pPr>
        <w:pStyle w:val="Heading3"/>
        <w:ind w:left="360" w:right="0"/>
        <w:jc w:val="left"/>
        <w:rPr>
          <w:rFonts w:ascii="Times New Roman"/>
        </w:rPr>
      </w:pPr>
      <w:bookmarkStart w:id="0" w:name="INVITATION_TO_TENDER"/>
      <w:bookmarkStart w:id="1" w:name="_bookmark0"/>
      <w:bookmarkEnd w:id="0"/>
      <w:bookmarkEnd w:id="1"/>
      <w:r>
        <w:rPr>
          <w:rFonts w:ascii="Times New Roman"/>
          <w:spacing w:val="-6"/>
          <w:u w:val="single"/>
        </w:rPr>
        <w:t>INVITATION</w:t>
      </w:r>
      <w:r>
        <w:rPr>
          <w:rFonts w:ascii="Times New Roman"/>
          <w:spacing w:val="-24"/>
          <w:u w:val="single"/>
        </w:rPr>
        <w:t xml:space="preserve"> </w:t>
      </w:r>
      <w:r>
        <w:rPr>
          <w:rFonts w:ascii="Times New Roman"/>
          <w:spacing w:val="-6"/>
          <w:u w:val="single"/>
        </w:rPr>
        <w:t>TO</w:t>
      </w:r>
      <w:r>
        <w:rPr>
          <w:rFonts w:ascii="Times New Roman"/>
          <w:spacing w:val="-15"/>
          <w:u w:val="single"/>
        </w:rPr>
        <w:t xml:space="preserve"> </w:t>
      </w:r>
      <w:r>
        <w:rPr>
          <w:rFonts w:ascii="Times New Roman"/>
          <w:spacing w:val="-6"/>
          <w:u w:val="single"/>
        </w:rPr>
        <w:t>TENDER</w:t>
      </w:r>
    </w:p>
    <w:p w14:paraId="3EC063CD" w14:textId="77777777" w:rsidR="00BB77C0" w:rsidRDefault="00BB77C0">
      <w:pPr>
        <w:pStyle w:val="BodyText"/>
        <w:rPr>
          <w:b/>
          <w:sz w:val="24"/>
        </w:rPr>
      </w:pPr>
    </w:p>
    <w:p w14:paraId="75C18FD4" w14:textId="77777777" w:rsidR="00BB77C0" w:rsidRDefault="00BB77C0">
      <w:pPr>
        <w:pStyle w:val="BodyText"/>
        <w:rPr>
          <w:b/>
          <w:sz w:val="24"/>
        </w:rPr>
      </w:pPr>
    </w:p>
    <w:p w14:paraId="1DB7A87C" w14:textId="77777777" w:rsidR="00BB77C0" w:rsidRDefault="00370BAA">
      <w:pPr>
        <w:tabs>
          <w:tab w:val="left" w:pos="3241"/>
        </w:tabs>
        <w:spacing w:line="259" w:lineRule="auto"/>
        <w:ind w:left="3241" w:right="109" w:hanging="2881"/>
        <w:rPr>
          <w:b/>
          <w:sz w:val="24"/>
        </w:rPr>
      </w:pPr>
      <w:r>
        <w:rPr>
          <w:b/>
          <w:sz w:val="24"/>
        </w:rPr>
        <w:t>PROCURING ENTITY:</w:t>
      </w:r>
      <w:r>
        <w:rPr>
          <w:b/>
          <w:sz w:val="24"/>
        </w:rPr>
        <w:tab/>
        <w:t>COUNTY</w:t>
      </w:r>
      <w:r>
        <w:rPr>
          <w:b/>
          <w:spacing w:val="-10"/>
          <w:sz w:val="24"/>
        </w:rPr>
        <w:t xml:space="preserve"> </w:t>
      </w:r>
      <w:r>
        <w:rPr>
          <w:b/>
          <w:sz w:val="24"/>
        </w:rPr>
        <w:t>GOVERNMENT</w:t>
      </w:r>
      <w:r>
        <w:rPr>
          <w:b/>
          <w:spacing w:val="-11"/>
          <w:sz w:val="24"/>
        </w:rPr>
        <w:t xml:space="preserve"> </w:t>
      </w:r>
      <w:r>
        <w:rPr>
          <w:b/>
          <w:sz w:val="24"/>
        </w:rPr>
        <w:t>OF</w:t>
      </w:r>
      <w:r>
        <w:rPr>
          <w:b/>
          <w:spacing w:val="-12"/>
          <w:sz w:val="24"/>
        </w:rPr>
        <w:t xml:space="preserve"> </w:t>
      </w:r>
      <w:r>
        <w:rPr>
          <w:b/>
          <w:sz w:val="24"/>
        </w:rPr>
        <w:t>BUNGOMA,</w:t>
      </w:r>
      <w:r>
        <w:rPr>
          <w:b/>
          <w:spacing w:val="-7"/>
          <w:sz w:val="24"/>
        </w:rPr>
        <w:t xml:space="preserve"> </w:t>
      </w:r>
      <w:r>
        <w:rPr>
          <w:b/>
          <w:sz w:val="24"/>
        </w:rPr>
        <w:t>P.O</w:t>
      </w:r>
      <w:r>
        <w:rPr>
          <w:b/>
          <w:spacing w:val="-13"/>
          <w:sz w:val="24"/>
        </w:rPr>
        <w:t xml:space="preserve"> </w:t>
      </w:r>
      <w:r>
        <w:rPr>
          <w:b/>
          <w:sz w:val="24"/>
        </w:rPr>
        <w:t>BOX</w:t>
      </w:r>
      <w:r>
        <w:rPr>
          <w:b/>
          <w:spacing w:val="-10"/>
          <w:sz w:val="24"/>
        </w:rPr>
        <w:t xml:space="preserve"> </w:t>
      </w:r>
      <w:r>
        <w:rPr>
          <w:b/>
          <w:sz w:val="24"/>
        </w:rPr>
        <w:t xml:space="preserve">437-50200 </w:t>
      </w:r>
      <w:r>
        <w:rPr>
          <w:b/>
          <w:spacing w:val="-2"/>
          <w:sz w:val="24"/>
        </w:rPr>
        <w:t>BUNGOMA.</w:t>
      </w:r>
    </w:p>
    <w:p w14:paraId="29C76940" w14:textId="77777777" w:rsidR="00BB77C0" w:rsidRDefault="00370BAA">
      <w:pPr>
        <w:tabs>
          <w:tab w:val="left" w:pos="3241"/>
          <w:tab w:val="left" w:pos="4412"/>
          <w:tab w:val="left" w:pos="5175"/>
          <w:tab w:val="left" w:pos="7257"/>
          <w:tab w:val="left" w:pos="7833"/>
        </w:tabs>
        <w:spacing w:before="158"/>
        <w:ind w:left="360"/>
        <w:rPr>
          <w:b/>
          <w:sz w:val="24"/>
        </w:rPr>
      </w:pPr>
      <w:r>
        <w:rPr>
          <w:b/>
          <w:sz w:val="24"/>
        </w:rPr>
        <w:t>TENDER</w:t>
      </w:r>
      <w:r>
        <w:rPr>
          <w:b/>
          <w:spacing w:val="-12"/>
          <w:sz w:val="24"/>
        </w:rPr>
        <w:t xml:space="preserve"> </w:t>
      </w:r>
      <w:r>
        <w:rPr>
          <w:b/>
          <w:spacing w:val="-4"/>
          <w:sz w:val="24"/>
        </w:rPr>
        <w:t>NAME:</w:t>
      </w:r>
      <w:r>
        <w:rPr>
          <w:b/>
          <w:sz w:val="24"/>
        </w:rPr>
        <w:tab/>
      </w:r>
      <w:r>
        <w:rPr>
          <w:b/>
          <w:spacing w:val="-2"/>
          <w:sz w:val="24"/>
        </w:rPr>
        <w:t>SUPPLY</w:t>
      </w:r>
      <w:r>
        <w:rPr>
          <w:b/>
          <w:sz w:val="24"/>
        </w:rPr>
        <w:tab/>
      </w:r>
      <w:r>
        <w:rPr>
          <w:b/>
          <w:spacing w:val="-5"/>
          <w:sz w:val="24"/>
        </w:rPr>
        <w:t>AND</w:t>
      </w:r>
      <w:r>
        <w:rPr>
          <w:b/>
          <w:sz w:val="24"/>
        </w:rPr>
        <w:tab/>
      </w:r>
      <w:r>
        <w:rPr>
          <w:b/>
          <w:spacing w:val="-2"/>
          <w:sz w:val="24"/>
        </w:rPr>
        <w:t>INSTALLATION</w:t>
      </w:r>
      <w:r>
        <w:rPr>
          <w:b/>
          <w:sz w:val="24"/>
        </w:rPr>
        <w:tab/>
      </w:r>
      <w:r>
        <w:rPr>
          <w:b/>
          <w:spacing w:val="-5"/>
          <w:sz w:val="24"/>
        </w:rPr>
        <w:t>OF</w:t>
      </w:r>
      <w:r>
        <w:rPr>
          <w:b/>
          <w:sz w:val="24"/>
        </w:rPr>
        <w:tab/>
      </w:r>
      <w:r>
        <w:rPr>
          <w:b/>
          <w:spacing w:val="-10"/>
          <w:sz w:val="24"/>
        </w:rPr>
        <w:t>A</w:t>
      </w:r>
    </w:p>
    <w:p w14:paraId="621D8BAC" w14:textId="77777777" w:rsidR="00BB77C0" w:rsidRDefault="00370BAA">
      <w:pPr>
        <w:tabs>
          <w:tab w:val="left" w:pos="6751"/>
        </w:tabs>
        <w:spacing w:before="17" w:line="264" w:lineRule="auto"/>
        <w:ind w:left="3241" w:right="2143"/>
        <w:rPr>
          <w:b/>
          <w:sz w:val="24"/>
        </w:rPr>
      </w:pPr>
      <w:r>
        <w:rPr>
          <w:b/>
          <w:w w:val="120"/>
          <w:sz w:val="24"/>
        </w:rPr>
        <w:t>COFFEE</w:t>
      </w:r>
      <w:r>
        <w:rPr>
          <w:b/>
          <w:spacing w:val="80"/>
          <w:w w:val="125"/>
          <w:sz w:val="24"/>
        </w:rPr>
        <w:t xml:space="preserve"> </w:t>
      </w:r>
      <w:r>
        <w:rPr>
          <w:b/>
          <w:w w:val="125"/>
          <w:sz w:val="24"/>
        </w:rPr>
        <w:t>P U L P I N G</w:t>
      </w:r>
      <w:r>
        <w:rPr>
          <w:b/>
          <w:sz w:val="24"/>
        </w:rPr>
        <w:tab/>
      </w:r>
      <w:r>
        <w:rPr>
          <w:b/>
          <w:spacing w:val="-4"/>
          <w:sz w:val="24"/>
        </w:rPr>
        <w:t xml:space="preserve">MACHINE, </w:t>
      </w:r>
      <w:r>
        <w:rPr>
          <w:b/>
          <w:sz w:val="24"/>
        </w:rPr>
        <w:t>NEGOTIATION NO. 2106328</w:t>
      </w:r>
      <w:r w:rsidR="00D76550">
        <w:rPr>
          <w:b/>
          <w:sz w:val="24"/>
        </w:rPr>
        <w:t>-2</w:t>
      </w:r>
      <w:r>
        <w:rPr>
          <w:b/>
          <w:sz w:val="24"/>
        </w:rPr>
        <w:t>-2025/2026</w:t>
      </w:r>
    </w:p>
    <w:p w14:paraId="22843401" w14:textId="77777777" w:rsidR="00BB77C0" w:rsidRDefault="00370BAA">
      <w:pPr>
        <w:pStyle w:val="ListParagraph"/>
        <w:numPr>
          <w:ilvl w:val="0"/>
          <w:numId w:val="114"/>
        </w:numPr>
        <w:tabs>
          <w:tab w:val="left" w:pos="1080"/>
        </w:tabs>
        <w:spacing w:before="233" w:line="360" w:lineRule="auto"/>
        <w:ind w:right="371"/>
        <w:jc w:val="left"/>
        <w:rPr>
          <w:sz w:val="24"/>
        </w:rPr>
      </w:pPr>
      <w:r>
        <w:rPr>
          <w:sz w:val="24"/>
        </w:rPr>
        <w:t>The</w:t>
      </w:r>
      <w:r>
        <w:rPr>
          <w:spacing w:val="-1"/>
          <w:sz w:val="24"/>
        </w:rPr>
        <w:t xml:space="preserve"> </w:t>
      </w:r>
      <w:r>
        <w:rPr>
          <w:sz w:val="24"/>
        </w:rPr>
        <w:t>County</w:t>
      </w:r>
      <w:r>
        <w:rPr>
          <w:spacing w:val="-10"/>
          <w:sz w:val="24"/>
        </w:rPr>
        <w:t xml:space="preserve"> </w:t>
      </w:r>
      <w:r>
        <w:rPr>
          <w:sz w:val="24"/>
        </w:rPr>
        <w:t>Government of</w:t>
      </w:r>
      <w:r>
        <w:rPr>
          <w:spacing w:val="-8"/>
          <w:sz w:val="24"/>
        </w:rPr>
        <w:t xml:space="preserve"> </w:t>
      </w:r>
      <w:r>
        <w:rPr>
          <w:sz w:val="24"/>
        </w:rPr>
        <w:t>Bungoma</w:t>
      </w:r>
      <w:r>
        <w:rPr>
          <w:spacing w:val="-1"/>
          <w:sz w:val="24"/>
        </w:rPr>
        <w:t xml:space="preserve"> </w:t>
      </w:r>
      <w:r>
        <w:rPr>
          <w:sz w:val="24"/>
        </w:rPr>
        <w:t>through</w:t>
      </w:r>
      <w:r>
        <w:rPr>
          <w:spacing w:val="-5"/>
          <w:sz w:val="24"/>
        </w:rPr>
        <w:t xml:space="preserve"> </w:t>
      </w:r>
      <w:r>
        <w:rPr>
          <w:sz w:val="24"/>
        </w:rPr>
        <w:t>Department of</w:t>
      </w:r>
      <w:r>
        <w:rPr>
          <w:spacing w:val="-8"/>
          <w:sz w:val="24"/>
        </w:rPr>
        <w:t xml:space="preserve"> </w:t>
      </w:r>
      <w:r>
        <w:rPr>
          <w:sz w:val="24"/>
        </w:rPr>
        <w:t>Co-operatives</w:t>
      </w:r>
      <w:r>
        <w:rPr>
          <w:spacing w:val="-2"/>
          <w:sz w:val="24"/>
        </w:rPr>
        <w:t xml:space="preserve"> </w:t>
      </w:r>
      <w:r>
        <w:rPr>
          <w:sz w:val="24"/>
        </w:rPr>
        <w:t>Development Wishes</w:t>
      </w:r>
      <w:r>
        <w:rPr>
          <w:spacing w:val="-10"/>
          <w:sz w:val="24"/>
        </w:rPr>
        <w:t xml:space="preserve"> </w:t>
      </w:r>
      <w:r>
        <w:rPr>
          <w:sz w:val="24"/>
        </w:rPr>
        <w:t>to</w:t>
      </w:r>
      <w:r>
        <w:rPr>
          <w:spacing w:val="-8"/>
          <w:sz w:val="24"/>
        </w:rPr>
        <w:t xml:space="preserve"> </w:t>
      </w:r>
      <w:r>
        <w:rPr>
          <w:sz w:val="24"/>
        </w:rPr>
        <w:t>invites</w:t>
      </w:r>
      <w:r>
        <w:rPr>
          <w:spacing w:val="-9"/>
          <w:sz w:val="24"/>
        </w:rPr>
        <w:t xml:space="preserve"> </w:t>
      </w:r>
      <w:r>
        <w:rPr>
          <w:sz w:val="24"/>
        </w:rPr>
        <w:t>sealed</w:t>
      </w:r>
      <w:r>
        <w:rPr>
          <w:spacing w:val="-11"/>
          <w:sz w:val="24"/>
        </w:rPr>
        <w:t xml:space="preserve"> </w:t>
      </w:r>
      <w:r>
        <w:rPr>
          <w:sz w:val="24"/>
        </w:rPr>
        <w:t>tenders</w:t>
      </w:r>
      <w:r>
        <w:rPr>
          <w:spacing w:val="-9"/>
          <w:sz w:val="24"/>
        </w:rPr>
        <w:t xml:space="preserve"> </w:t>
      </w:r>
      <w:r>
        <w:rPr>
          <w:sz w:val="24"/>
        </w:rPr>
        <w:t>for</w:t>
      </w:r>
      <w:r>
        <w:rPr>
          <w:spacing w:val="-10"/>
          <w:sz w:val="24"/>
        </w:rPr>
        <w:t xml:space="preserve"> </w:t>
      </w:r>
      <w:r>
        <w:rPr>
          <w:sz w:val="24"/>
        </w:rPr>
        <w:t>the</w:t>
      </w:r>
      <w:r>
        <w:rPr>
          <w:spacing w:val="-12"/>
          <w:sz w:val="24"/>
        </w:rPr>
        <w:t xml:space="preserve"> </w:t>
      </w:r>
      <w:r>
        <w:rPr>
          <w:sz w:val="24"/>
        </w:rPr>
        <w:t>Supply</w:t>
      </w:r>
      <w:r>
        <w:rPr>
          <w:spacing w:val="-15"/>
          <w:sz w:val="24"/>
        </w:rPr>
        <w:t xml:space="preserve"> </w:t>
      </w:r>
      <w:r>
        <w:rPr>
          <w:sz w:val="24"/>
        </w:rPr>
        <w:t>and</w:t>
      </w:r>
      <w:r>
        <w:rPr>
          <w:spacing w:val="-7"/>
          <w:sz w:val="24"/>
        </w:rPr>
        <w:t xml:space="preserve"> </w:t>
      </w:r>
      <w:r>
        <w:rPr>
          <w:sz w:val="24"/>
        </w:rPr>
        <w:t>Installation</w:t>
      </w:r>
      <w:r>
        <w:rPr>
          <w:spacing w:val="-15"/>
          <w:sz w:val="24"/>
        </w:rPr>
        <w:t xml:space="preserve"> </w:t>
      </w:r>
      <w:r>
        <w:rPr>
          <w:sz w:val="24"/>
        </w:rPr>
        <w:t>of</w:t>
      </w:r>
      <w:r>
        <w:rPr>
          <w:spacing w:val="26"/>
          <w:sz w:val="24"/>
        </w:rPr>
        <w:t xml:space="preserve"> </w:t>
      </w:r>
      <w:r>
        <w:rPr>
          <w:sz w:val="24"/>
        </w:rPr>
        <w:t>coffee</w:t>
      </w:r>
      <w:r>
        <w:rPr>
          <w:spacing w:val="-12"/>
          <w:sz w:val="24"/>
        </w:rPr>
        <w:t xml:space="preserve"> </w:t>
      </w:r>
      <w:r>
        <w:rPr>
          <w:sz w:val="24"/>
        </w:rPr>
        <w:t>Pulping</w:t>
      </w:r>
      <w:r>
        <w:rPr>
          <w:spacing w:val="-7"/>
          <w:sz w:val="24"/>
        </w:rPr>
        <w:t xml:space="preserve"> </w:t>
      </w:r>
      <w:r>
        <w:rPr>
          <w:sz w:val="24"/>
        </w:rPr>
        <w:t>Machine.</w:t>
      </w:r>
    </w:p>
    <w:p w14:paraId="44CBE121" w14:textId="77777777" w:rsidR="00BB77C0" w:rsidRDefault="00370BAA">
      <w:pPr>
        <w:pStyle w:val="ListParagraph"/>
        <w:numPr>
          <w:ilvl w:val="0"/>
          <w:numId w:val="114"/>
        </w:numPr>
        <w:tabs>
          <w:tab w:val="left" w:pos="1080"/>
        </w:tabs>
        <w:spacing w:before="248" w:line="360" w:lineRule="auto"/>
        <w:ind w:right="264"/>
        <w:jc w:val="left"/>
        <w:rPr>
          <w:sz w:val="24"/>
        </w:rPr>
      </w:pPr>
      <w:r>
        <w:rPr>
          <w:color w:val="211F1F"/>
          <w:sz w:val="24"/>
        </w:rPr>
        <w:t>Tendering</w:t>
      </w:r>
      <w:r>
        <w:rPr>
          <w:color w:val="211F1F"/>
          <w:spacing w:val="-7"/>
          <w:sz w:val="24"/>
        </w:rPr>
        <w:t xml:space="preserve"> </w:t>
      </w:r>
      <w:r>
        <w:rPr>
          <w:color w:val="211F1F"/>
          <w:sz w:val="24"/>
        </w:rPr>
        <w:t>will</w:t>
      </w:r>
      <w:r>
        <w:rPr>
          <w:color w:val="211F1F"/>
          <w:spacing w:val="-6"/>
          <w:sz w:val="24"/>
        </w:rPr>
        <w:t xml:space="preserve"> </w:t>
      </w:r>
      <w:r>
        <w:rPr>
          <w:color w:val="211F1F"/>
          <w:sz w:val="24"/>
        </w:rPr>
        <w:t>be</w:t>
      </w:r>
      <w:r>
        <w:rPr>
          <w:color w:val="211F1F"/>
          <w:spacing w:val="-9"/>
          <w:sz w:val="24"/>
        </w:rPr>
        <w:t xml:space="preserve"> </w:t>
      </w:r>
      <w:r>
        <w:rPr>
          <w:color w:val="211F1F"/>
          <w:sz w:val="24"/>
        </w:rPr>
        <w:t>conducted</w:t>
      </w:r>
      <w:r>
        <w:rPr>
          <w:color w:val="211F1F"/>
          <w:spacing w:val="-7"/>
          <w:sz w:val="24"/>
        </w:rPr>
        <w:t xml:space="preserve"> </w:t>
      </w:r>
      <w:r>
        <w:rPr>
          <w:color w:val="211F1F"/>
          <w:sz w:val="24"/>
        </w:rPr>
        <w:t>under</w:t>
      </w:r>
      <w:r>
        <w:rPr>
          <w:color w:val="211F1F"/>
          <w:spacing w:val="-6"/>
          <w:sz w:val="24"/>
        </w:rPr>
        <w:t xml:space="preserve"> </w:t>
      </w:r>
      <w:r>
        <w:rPr>
          <w:color w:val="211F1F"/>
          <w:sz w:val="24"/>
        </w:rPr>
        <w:t>Open</w:t>
      </w:r>
      <w:r>
        <w:rPr>
          <w:color w:val="211F1F"/>
          <w:spacing w:val="-12"/>
          <w:sz w:val="24"/>
        </w:rPr>
        <w:t xml:space="preserve"> </w:t>
      </w:r>
      <w:r>
        <w:rPr>
          <w:color w:val="211F1F"/>
          <w:sz w:val="24"/>
        </w:rPr>
        <w:t>National</w:t>
      </w:r>
      <w:r>
        <w:rPr>
          <w:color w:val="211F1F"/>
          <w:spacing w:val="-6"/>
          <w:sz w:val="24"/>
        </w:rPr>
        <w:t xml:space="preserve"> </w:t>
      </w:r>
      <w:r>
        <w:rPr>
          <w:color w:val="211F1F"/>
          <w:sz w:val="24"/>
        </w:rPr>
        <w:t>competitive</w:t>
      </w:r>
      <w:r>
        <w:rPr>
          <w:color w:val="211F1F"/>
          <w:spacing w:val="-2"/>
          <w:sz w:val="24"/>
        </w:rPr>
        <w:t xml:space="preserve"> </w:t>
      </w:r>
      <w:r>
        <w:rPr>
          <w:color w:val="211F1F"/>
          <w:sz w:val="24"/>
        </w:rPr>
        <w:t>method</w:t>
      </w:r>
      <w:r>
        <w:rPr>
          <w:color w:val="211F1F"/>
          <w:spacing w:val="-7"/>
          <w:sz w:val="24"/>
        </w:rPr>
        <w:t xml:space="preserve"> </w:t>
      </w:r>
      <w:r>
        <w:rPr>
          <w:color w:val="211F1F"/>
          <w:sz w:val="24"/>
        </w:rPr>
        <w:t>using</w:t>
      </w:r>
      <w:r>
        <w:rPr>
          <w:color w:val="211F1F"/>
          <w:spacing w:val="-7"/>
          <w:sz w:val="24"/>
        </w:rPr>
        <w:t xml:space="preserve"> </w:t>
      </w:r>
      <w:r>
        <w:rPr>
          <w:color w:val="211F1F"/>
          <w:sz w:val="24"/>
        </w:rPr>
        <w:t>a</w:t>
      </w:r>
      <w:r>
        <w:rPr>
          <w:color w:val="211F1F"/>
          <w:spacing w:val="-9"/>
          <w:sz w:val="24"/>
        </w:rPr>
        <w:t xml:space="preserve"> </w:t>
      </w:r>
      <w:r>
        <w:rPr>
          <w:color w:val="211F1F"/>
          <w:sz w:val="24"/>
        </w:rPr>
        <w:t xml:space="preserve">standardized tender document. Tendering is open to </w:t>
      </w:r>
      <w:r>
        <w:rPr>
          <w:color w:val="211F1F"/>
          <w:sz w:val="24"/>
          <w:u w:val="single" w:color="211F1F"/>
        </w:rPr>
        <w:t>all qualified and interested Tenderers</w:t>
      </w:r>
      <w:r>
        <w:rPr>
          <w:color w:val="211F1F"/>
          <w:sz w:val="24"/>
        </w:rPr>
        <w:t>.</w:t>
      </w:r>
    </w:p>
    <w:p w14:paraId="5C8895DD" w14:textId="77777777" w:rsidR="00BB77C0" w:rsidRDefault="00370BAA">
      <w:pPr>
        <w:pStyle w:val="ListParagraph"/>
        <w:numPr>
          <w:ilvl w:val="0"/>
          <w:numId w:val="114"/>
        </w:numPr>
        <w:tabs>
          <w:tab w:val="left" w:pos="1080"/>
        </w:tabs>
        <w:spacing w:before="247" w:line="360" w:lineRule="auto"/>
        <w:ind w:right="377"/>
        <w:jc w:val="left"/>
        <w:rPr>
          <w:sz w:val="24"/>
        </w:rPr>
      </w:pPr>
      <w:r>
        <w:rPr>
          <w:color w:val="211F1F"/>
          <w:sz w:val="24"/>
        </w:rPr>
        <w:t>Qualified and interested tenderers may</w:t>
      </w:r>
      <w:r>
        <w:rPr>
          <w:color w:val="211F1F"/>
          <w:spacing w:val="-1"/>
          <w:sz w:val="24"/>
        </w:rPr>
        <w:t xml:space="preserve"> </w:t>
      </w:r>
      <w:r>
        <w:rPr>
          <w:color w:val="211F1F"/>
          <w:sz w:val="24"/>
        </w:rPr>
        <w:t>obtain further information and inspect the Tender Documents</w:t>
      </w:r>
      <w:r>
        <w:rPr>
          <w:color w:val="211F1F"/>
          <w:spacing w:val="-10"/>
          <w:sz w:val="24"/>
        </w:rPr>
        <w:t xml:space="preserve"> </w:t>
      </w:r>
      <w:r>
        <w:rPr>
          <w:color w:val="211F1F"/>
          <w:sz w:val="24"/>
        </w:rPr>
        <w:t>at</w:t>
      </w:r>
      <w:r>
        <w:rPr>
          <w:color w:val="211F1F"/>
          <w:spacing w:val="-8"/>
          <w:sz w:val="24"/>
        </w:rPr>
        <w:t xml:space="preserve"> </w:t>
      </w:r>
      <w:r>
        <w:rPr>
          <w:sz w:val="24"/>
        </w:rPr>
        <w:t>Supply</w:t>
      </w:r>
      <w:r>
        <w:rPr>
          <w:spacing w:val="-13"/>
          <w:sz w:val="24"/>
        </w:rPr>
        <w:t xml:space="preserve"> </w:t>
      </w:r>
      <w:r>
        <w:rPr>
          <w:sz w:val="24"/>
        </w:rPr>
        <w:t>Chain</w:t>
      </w:r>
      <w:r>
        <w:rPr>
          <w:spacing w:val="-8"/>
          <w:sz w:val="24"/>
        </w:rPr>
        <w:t xml:space="preserve"> </w:t>
      </w:r>
      <w:r>
        <w:rPr>
          <w:sz w:val="24"/>
        </w:rPr>
        <w:t>Management</w:t>
      </w:r>
      <w:r>
        <w:rPr>
          <w:spacing w:val="-3"/>
          <w:sz w:val="24"/>
        </w:rPr>
        <w:t xml:space="preserve"> </w:t>
      </w:r>
      <w:r>
        <w:rPr>
          <w:sz w:val="24"/>
        </w:rPr>
        <w:t>Office</w:t>
      </w:r>
      <w:r>
        <w:rPr>
          <w:spacing w:val="-5"/>
          <w:sz w:val="24"/>
        </w:rPr>
        <w:t xml:space="preserve"> </w:t>
      </w:r>
      <w:r>
        <w:rPr>
          <w:sz w:val="24"/>
        </w:rPr>
        <w:t>located</w:t>
      </w:r>
      <w:r>
        <w:rPr>
          <w:spacing w:val="-8"/>
          <w:sz w:val="24"/>
        </w:rPr>
        <w:t xml:space="preserve"> </w:t>
      </w:r>
      <w:r>
        <w:rPr>
          <w:sz w:val="24"/>
        </w:rPr>
        <w:t>behind</w:t>
      </w:r>
      <w:r>
        <w:rPr>
          <w:spacing w:val="-8"/>
          <w:sz w:val="24"/>
        </w:rPr>
        <w:t xml:space="preserve"> </w:t>
      </w:r>
      <w:r>
        <w:rPr>
          <w:sz w:val="24"/>
        </w:rPr>
        <w:t>H.E</w:t>
      </w:r>
      <w:r>
        <w:rPr>
          <w:spacing w:val="-6"/>
          <w:sz w:val="24"/>
        </w:rPr>
        <w:t xml:space="preserve"> </w:t>
      </w:r>
      <w:r>
        <w:rPr>
          <w:sz w:val="24"/>
        </w:rPr>
        <w:t>the</w:t>
      </w:r>
      <w:r>
        <w:rPr>
          <w:spacing w:val="-10"/>
          <w:sz w:val="24"/>
        </w:rPr>
        <w:t xml:space="preserve"> </w:t>
      </w:r>
      <w:r>
        <w:rPr>
          <w:sz w:val="24"/>
        </w:rPr>
        <w:t>Governor‘s</w:t>
      </w:r>
      <w:r>
        <w:rPr>
          <w:spacing w:val="-10"/>
          <w:sz w:val="24"/>
        </w:rPr>
        <w:t xml:space="preserve"> </w:t>
      </w:r>
      <w:r>
        <w:rPr>
          <w:sz w:val="24"/>
        </w:rPr>
        <w:t>office County</w:t>
      </w:r>
      <w:r>
        <w:rPr>
          <w:spacing w:val="-2"/>
          <w:sz w:val="24"/>
        </w:rPr>
        <w:t xml:space="preserve"> </w:t>
      </w:r>
      <w:r>
        <w:rPr>
          <w:sz w:val="24"/>
        </w:rPr>
        <w:t xml:space="preserve">Government of Bungoma for assistance during official working hours. (Monday- </w:t>
      </w:r>
      <w:r>
        <w:rPr>
          <w:spacing w:val="-2"/>
          <w:sz w:val="24"/>
        </w:rPr>
        <w:t>Friday8:00am-5:00Pm).</w:t>
      </w:r>
    </w:p>
    <w:p w14:paraId="7EEA282E" w14:textId="77777777" w:rsidR="00BB77C0" w:rsidRDefault="00370BAA">
      <w:pPr>
        <w:pStyle w:val="ListParagraph"/>
        <w:numPr>
          <w:ilvl w:val="0"/>
          <w:numId w:val="114"/>
        </w:numPr>
        <w:tabs>
          <w:tab w:val="left" w:pos="1080"/>
        </w:tabs>
        <w:spacing w:before="245" w:line="360" w:lineRule="auto"/>
        <w:ind w:right="230"/>
        <w:jc w:val="left"/>
        <w:rPr>
          <w:sz w:val="24"/>
        </w:rPr>
      </w:pPr>
      <w:r>
        <w:rPr>
          <w:sz w:val="24"/>
        </w:rPr>
        <w:t>Interested eligible candidates may download a complete set of tender document with evaluation</w:t>
      </w:r>
      <w:r>
        <w:rPr>
          <w:spacing w:val="-7"/>
          <w:sz w:val="24"/>
        </w:rPr>
        <w:t xml:space="preserve"> </w:t>
      </w:r>
      <w:r>
        <w:rPr>
          <w:sz w:val="24"/>
        </w:rPr>
        <w:t>criteria from</w:t>
      </w:r>
      <w:r>
        <w:rPr>
          <w:spacing w:val="-11"/>
          <w:sz w:val="24"/>
        </w:rPr>
        <w:t xml:space="preserve"> </w:t>
      </w:r>
      <w:r>
        <w:rPr>
          <w:sz w:val="24"/>
        </w:rPr>
        <w:t>the</w:t>
      </w:r>
      <w:r>
        <w:rPr>
          <w:spacing w:val="-4"/>
          <w:sz w:val="24"/>
        </w:rPr>
        <w:t xml:space="preserve"> </w:t>
      </w:r>
      <w:r>
        <w:rPr>
          <w:sz w:val="24"/>
        </w:rPr>
        <w:t>County</w:t>
      </w:r>
      <w:r>
        <w:rPr>
          <w:spacing w:val="-12"/>
          <w:sz w:val="24"/>
        </w:rPr>
        <w:t xml:space="preserve"> </w:t>
      </w:r>
      <w:r>
        <w:rPr>
          <w:sz w:val="24"/>
        </w:rPr>
        <w:t>Government of</w:t>
      </w:r>
      <w:r>
        <w:rPr>
          <w:spacing w:val="-6"/>
          <w:sz w:val="24"/>
        </w:rPr>
        <w:t xml:space="preserve"> </w:t>
      </w:r>
      <w:r>
        <w:rPr>
          <w:sz w:val="24"/>
        </w:rPr>
        <w:t>Bungoma</w:t>
      </w:r>
      <w:r>
        <w:rPr>
          <w:spacing w:val="-4"/>
          <w:sz w:val="24"/>
        </w:rPr>
        <w:t xml:space="preserve"> </w:t>
      </w:r>
      <w:r>
        <w:rPr>
          <w:sz w:val="24"/>
        </w:rPr>
        <w:t xml:space="preserve">website </w:t>
      </w:r>
      <w:hyperlink r:id="rId6">
        <w:r>
          <w:rPr>
            <w:color w:val="0461C1"/>
            <w:sz w:val="24"/>
            <w:u w:val="single" w:color="0461C1"/>
          </w:rPr>
          <w:t>www.bungoma.go.ke</w:t>
        </w:r>
      </w:hyperlink>
      <w:r>
        <w:rPr>
          <w:color w:val="0461C1"/>
          <w:sz w:val="24"/>
        </w:rPr>
        <w:t xml:space="preserve"> </w:t>
      </w:r>
      <w:r>
        <w:rPr>
          <w:sz w:val="24"/>
        </w:rPr>
        <w:t>and/or</w:t>
      </w:r>
      <w:r>
        <w:rPr>
          <w:spacing w:val="38"/>
          <w:sz w:val="24"/>
        </w:rPr>
        <w:t xml:space="preserve"> </w:t>
      </w:r>
      <w:r>
        <w:rPr>
          <w:sz w:val="24"/>
        </w:rPr>
        <w:t>Public</w:t>
      </w:r>
      <w:r>
        <w:rPr>
          <w:spacing w:val="-6"/>
          <w:sz w:val="24"/>
        </w:rPr>
        <w:t xml:space="preserve"> </w:t>
      </w:r>
      <w:r>
        <w:rPr>
          <w:sz w:val="24"/>
        </w:rPr>
        <w:t>Procurement Information</w:t>
      </w:r>
      <w:r>
        <w:rPr>
          <w:spacing w:val="-9"/>
          <w:sz w:val="24"/>
        </w:rPr>
        <w:t xml:space="preserve"> </w:t>
      </w:r>
      <w:r>
        <w:rPr>
          <w:sz w:val="24"/>
        </w:rPr>
        <w:t>portal:</w:t>
      </w:r>
      <w:r>
        <w:rPr>
          <w:spacing w:val="-5"/>
          <w:sz w:val="24"/>
        </w:rPr>
        <w:t xml:space="preserve"> </w:t>
      </w:r>
      <w:hyperlink r:id="rId7">
        <w:r>
          <w:rPr>
            <w:color w:val="0461C1"/>
            <w:sz w:val="24"/>
            <w:u w:val="single" w:color="0461C1"/>
          </w:rPr>
          <w:t>www.tenders.go.ke</w:t>
        </w:r>
      </w:hyperlink>
      <w:r>
        <w:rPr>
          <w:color w:val="0461C1"/>
          <w:spacing w:val="38"/>
          <w:sz w:val="24"/>
        </w:rPr>
        <w:t xml:space="preserve"> </w:t>
      </w:r>
      <w:r>
        <w:rPr>
          <w:sz w:val="24"/>
        </w:rPr>
        <w:t>using</w:t>
      </w:r>
      <w:r>
        <w:rPr>
          <w:spacing w:val="-6"/>
          <w:sz w:val="24"/>
        </w:rPr>
        <w:t xml:space="preserve"> </w:t>
      </w:r>
      <w:hyperlink r:id="rId8">
        <w:r>
          <w:rPr>
            <w:sz w:val="24"/>
          </w:rPr>
          <w:t>the</w:t>
        </w:r>
        <w:r>
          <w:rPr>
            <w:spacing w:val="-6"/>
            <w:sz w:val="24"/>
          </w:rPr>
          <w:t xml:space="preserve"> </w:t>
        </w:r>
        <w:r>
          <w:rPr>
            <w:sz w:val="24"/>
          </w:rPr>
          <w:t>unique</w:t>
        </w:r>
        <w:r>
          <w:rPr>
            <w:spacing w:val="-2"/>
            <w:sz w:val="24"/>
          </w:rPr>
          <w:t xml:space="preserve"> </w:t>
        </w:r>
        <w:r>
          <w:rPr>
            <w:sz w:val="24"/>
          </w:rPr>
          <w:t>IFMIS</w:t>
        </w:r>
      </w:hyperlink>
      <w:r>
        <w:rPr>
          <w:sz w:val="24"/>
        </w:rPr>
        <w:t xml:space="preserve"> negotiation number indicated in the tender advert</w:t>
      </w:r>
    </w:p>
    <w:p w14:paraId="7814784D" w14:textId="0AD46307" w:rsidR="00BB77C0" w:rsidRDefault="00370BAA">
      <w:pPr>
        <w:pStyle w:val="ListParagraph"/>
        <w:numPr>
          <w:ilvl w:val="0"/>
          <w:numId w:val="114"/>
        </w:numPr>
        <w:tabs>
          <w:tab w:val="left" w:pos="1078"/>
          <w:tab w:val="left" w:pos="1080"/>
        </w:tabs>
        <w:spacing w:before="15" w:line="362" w:lineRule="auto"/>
        <w:ind w:right="308"/>
        <w:jc w:val="both"/>
        <w:rPr>
          <w:sz w:val="24"/>
        </w:rPr>
      </w:pPr>
      <w:r>
        <w:rPr>
          <w:sz w:val="24"/>
        </w:rPr>
        <w:t xml:space="preserve">Complete tender document must be submitted through the IMIS SUPPLIER PORTAL </w:t>
      </w:r>
      <w:hyperlink r:id="rId9">
        <w:r>
          <w:rPr>
            <w:color w:val="0461C1"/>
            <w:sz w:val="24"/>
            <w:u w:val="single" w:color="0461C1"/>
          </w:rPr>
          <w:t>www.supplier.treasury.go.ke</w:t>
        </w:r>
      </w:hyperlink>
      <w:r>
        <w:rPr>
          <w:color w:val="0461C1"/>
          <w:spacing w:val="-7"/>
          <w:sz w:val="24"/>
        </w:rPr>
        <w:t xml:space="preserve"> </w:t>
      </w:r>
      <w:r>
        <w:rPr>
          <w:sz w:val="24"/>
        </w:rPr>
        <w:t>as</w:t>
      </w:r>
      <w:r>
        <w:rPr>
          <w:spacing w:val="-7"/>
          <w:sz w:val="24"/>
        </w:rPr>
        <w:t xml:space="preserve"> </w:t>
      </w:r>
      <w:r>
        <w:rPr>
          <w:sz w:val="24"/>
        </w:rPr>
        <w:t>per</w:t>
      </w:r>
      <w:r>
        <w:rPr>
          <w:spacing w:val="-12"/>
          <w:sz w:val="24"/>
        </w:rPr>
        <w:t xml:space="preserve"> </w:t>
      </w:r>
      <w:r>
        <w:rPr>
          <w:sz w:val="24"/>
        </w:rPr>
        <w:t>the</w:t>
      </w:r>
      <w:r>
        <w:rPr>
          <w:spacing w:val="-5"/>
          <w:sz w:val="24"/>
        </w:rPr>
        <w:t xml:space="preserve"> </w:t>
      </w:r>
      <w:r>
        <w:rPr>
          <w:sz w:val="24"/>
        </w:rPr>
        <w:t>requirement</w:t>
      </w:r>
      <w:r>
        <w:rPr>
          <w:spacing w:val="-3"/>
          <w:sz w:val="24"/>
        </w:rPr>
        <w:t xml:space="preserve"> </w:t>
      </w:r>
      <w:r>
        <w:rPr>
          <w:sz w:val="24"/>
        </w:rPr>
        <w:t>contained</w:t>
      </w:r>
      <w:r>
        <w:rPr>
          <w:spacing w:val="-4"/>
          <w:sz w:val="24"/>
        </w:rPr>
        <w:t xml:space="preserve"> </w:t>
      </w:r>
      <w:r>
        <w:rPr>
          <w:sz w:val="24"/>
        </w:rPr>
        <w:t>in</w:t>
      </w:r>
      <w:r>
        <w:rPr>
          <w:spacing w:val="-8"/>
          <w:sz w:val="24"/>
        </w:rPr>
        <w:t xml:space="preserve"> </w:t>
      </w:r>
      <w:r>
        <w:rPr>
          <w:sz w:val="24"/>
        </w:rPr>
        <w:t>the</w:t>
      </w:r>
      <w:r>
        <w:rPr>
          <w:spacing w:val="-10"/>
          <w:sz w:val="24"/>
        </w:rPr>
        <w:t xml:space="preserve"> </w:t>
      </w:r>
      <w:r>
        <w:rPr>
          <w:sz w:val="24"/>
        </w:rPr>
        <w:t>tender</w:t>
      </w:r>
      <w:r>
        <w:rPr>
          <w:spacing w:val="-3"/>
          <w:sz w:val="24"/>
        </w:rPr>
        <w:t xml:space="preserve"> </w:t>
      </w:r>
      <w:r>
        <w:rPr>
          <w:sz w:val="24"/>
        </w:rPr>
        <w:t>document</w:t>
      </w:r>
      <w:r>
        <w:rPr>
          <w:spacing w:val="-4"/>
          <w:sz w:val="24"/>
        </w:rPr>
        <w:t xml:space="preserve"> </w:t>
      </w:r>
      <w:r>
        <w:rPr>
          <w:sz w:val="24"/>
        </w:rPr>
        <w:t>so</w:t>
      </w:r>
      <w:r>
        <w:rPr>
          <w:spacing w:val="-5"/>
          <w:sz w:val="24"/>
        </w:rPr>
        <w:t xml:space="preserve"> </w:t>
      </w:r>
      <w:r>
        <w:rPr>
          <w:sz w:val="24"/>
        </w:rPr>
        <w:t xml:space="preserve">as </w:t>
      </w:r>
      <w:hyperlink r:id="rId10">
        <w:r>
          <w:rPr>
            <w:sz w:val="24"/>
          </w:rPr>
          <w:t>to be received on or before</w:t>
        </w:r>
      </w:hyperlink>
      <w:r>
        <w:rPr>
          <w:sz w:val="24"/>
        </w:rPr>
        <w:t xml:space="preserve"> </w:t>
      </w:r>
      <w:r w:rsidR="000C5CA9">
        <w:rPr>
          <w:b/>
          <w:sz w:val="24"/>
        </w:rPr>
        <w:t xml:space="preserve">TUESDAY </w:t>
      </w:r>
      <w:r w:rsidR="00194956">
        <w:rPr>
          <w:b/>
          <w:sz w:val="24"/>
        </w:rPr>
        <w:t>8</w:t>
      </w:r>
      <w:r w:rsidR="000C5CA9" w:rsidRPr="000C5CA9">
        <w:rPr>
          <w:b/>
          <w:sz w:val="24"/>
          <w:vertAlign w:val="superscript"/>
        </w:rPr>
        <w:t>TH</w:t>
      </w:r>
      <w:r w:rsidR="000C5CA9">
        <w:rPr>
          <w:b/>
          <w:sz w:val="24"/>
        </w:rPr>
        <w:t xml:space="preserve"> APRIL 2026 at 11.3</w:t>
      </w:r>
      <w:r>
        <w:rPr>
          <w:b/>
          <w:sz w:val="24"/>
        </w:rPr>
        <w:t>0 A.M</w:t>
      </w:r>
    </w:p>
    <w:p w14:paraId="44580B19" w14:textId="77777777" w:rsidR="00BB77C0" w:rsidRDefault="00370BAA">
      <w:pPr>
        <w:pStyle w:val="ListParagraph"/>
        <w:numPr>
          <w:ilvl w:val="0"/>
          <w:numId w:val="114"/>
        </w:numPr>
        <w:tabs>
          <w:tab w:val="left" w:pos="1078"/>
          <w:tab w:val="left" w:pos="1080"/>
        </w:tabs>
        <w:spacing w:before="104" w:line="360" w:lineRule="auto"/>
        <w:ind w:right="253"/>
        <w:jc w:val="both"/>
        <w:rPr>
          <w:sz w:val="24"/>
        </w:rPr>
      </w:pPr>
      <w:r>
        <w:rPr>
          <w:color w:val="211F1F"/>
          <w:sz w:val="24"/>
        </w:rPr>
        <w:t>Tenders</w:t>
      </w:r>
      <w:r>
        <w:rPr>
          <w:color w:val="211F1F"/>
          <w:spacing w:val="-8"/>
          <w:sz w:val="24"/>
        </w:rPr>
        <w:t xml:space="preserve"> </w:t>
      </w:r>
      <w:r>
        <w:rPr>
          <w:color w:val="211F1F"/>
          <w:sz w:val="24"/>
        </w:rPr>
        <w:t>will</w:t>
      </w:r>
      <w:r>
        <w:rPr>
          <w:color w:val="211F1F"/>
          <w:spacing w:val="-5"/>
          <w:sz w:val="24"/>
        </w:rPr>
        <w:t xml:space="preserve"> </w:t>
      </w:r>
      <w:r>
        <w:rPr>
          <w:color w:val="211F1F"/>
          <w:sz w:val="24"/>
        </w:rPr>
        <w:t>be</w:t>
      </w:r>
      <w:r>
        <w:rPr>
          <w:color w:val="211F1F"/>
          <w:spacing w:val="-3"/>
          <w:sz w:val="24"/>
        </w:rPr>
        <w:t xml:space="preserve"> </w:t>
      </w:r>
      <w:r>
        <w:rPr>
          <w:color w:val="211F1F"/>
          <w:sz w:val="24"/>
        </w:rPr>
        <w:t>opened immediately</w:t>
      </w:r>
      <w:r>
        <w:rPr>
          <w:color w:val="211F1F"/>
          <w:spacing w:val="-10"/>
          <w:sz w:val="24"/>
        </w:rPr>
        <w:t xml:space="preserve"> </w:t>
      </w:r>
      <w:r>
        <w:rPr>
          <w:color w:val="211F1F"/>
          <w:sz w:val="24"/>
        </w:rPr>
        <w:t>after</w:t>
      </w:r>
      <w:r>
        <w:rPr>
          <w:color w:val="211F1F"/>
          <w:spacing w:val="-4"/>
          <w:sz w:val="24"/>
        </w:rPr>
        <w:t xml:space="preserve"> </w:t>
      </w:r>
      <w:r>
        <w:rPr>
          <w:color w:val="211F1F"/>
          <w:sz w:val="24"/>
        </w:rPr>
        <w:t>the</w:t>
      </w:r>
      <w:r>
        <w:rPr>
          <w:color w:val="211F1F"/>
          <w:spacing w:val="-3"/>
          <w:sz w:val="24"/>
        </w:rPr>
        <w:t xml:space="preserve"> </w:t>
      </w:r>
      <w:r>
        <w:rPr>
          <w:color w:val="211F1F"/>
          <w:sz w:val="24"/>
        </w:rPr>
        <w:t>deadline</w:t>
      </w:r>
      <w:r>
        <w:rPr>
          <w:color w:val="211F1F"/>
          <w:spacing w:val="-3"/>
          <w:sz w:val="24"/>
        </w:rPr>
        <w:t xml:space="preserve"> </w:t>
      </w:r>
      <w:r>
        <w:rPr>
          <w:color w:val="211F1F"/>
          <w:sz w:val="24"/>
        </w:rPr>
        <w:t>date</w:t>
      </w:r>
      <w:r>
        <w:rPr>
          <w:color w:val="211F1F"/>
          <w:spacing w:val="-3"/>
          <w:sz w:val="24"/>
        </w:rPr>
        <w:t xml:space="preserve"> </w:t>
      </w:r>
      <w:r>
        <w:rPr>
          <w:color w:val="211F1F"/>
          <w:sz w:val="24"/>
        </w:rPr>
        <w:t>and</w:t>
      </w:r>
      <w:r>
        <w:rPr>
          <w:color w:val="211F1F"/>
          <w:spacing w:val="-6"/>
          <w:sz w:val="24"/>
        </w:rPr>
        <w:t xml:space="preserve"> </w:t>
      </w:r>
      <w:r>
        <w:rPr>
          <w:color w:val="211F1F"/>
          <w:sz w:val="24"/>
        </w:rPr>
        <w:t>time</w:t>
      </w:r>
      <w:r>
        <w:rPr>
          <w:color w:val="211F1F"/>
          <w:spacing w:val="-3"/>
          <w:sz w:val="24"/>
        </w:rPr>
        <w:t xml:space="preserve"> </w:t>
      </w:r>
      <w:r>
        <w:rPr>
          <w:color w:val="211F1F"/>
          <w:sz w:val="24"/>
        </w:rPr>
        <w:t>specified</w:t>
      </w:r>
      <w:r>
        <w:rPr>
          <w:color w:val="211F1F"/>
          <w:spacing w:val="-2"/>
          <w:sz w:val="24"/>
        </w:rPr>
        <w:t xml:space="preserve"> </w:t>
      </w:r>
      <w:r>
        <w:rPr>
          <w:color w:val="211F1F"/>
          <w:sz w:val="24"/>
        </w:rPr>
        <w:t>above</w:t>
      </w:r>
      <w:r>
        <w:rPr>
          <w:color w:val="211F1F"/>
          <w:spacing w:val="-3"/>
          <w:sz w:val="24"/>
        </w:rPr>
        <w:t xml:space="preserve"> </w:t>
      </w:r>
      <w:r>
        <w:rPr>
          <w:color w:val="211F1F"/>
          <w:sz w:val="24"/>
        </w:rPr>
        <w:t>or</w:t>
      </w:r>
      <w:r>
        <w:rPr>
          <w:color w:val="211F1F"/>
          <w:spacing w:val="-5"/>
          <w:sz w:val="24"/>
        </w:rPr>
        <w:t xml:space="preserve"> </w:t>
      </w:r>
      <w:r>
        <w:rPr>
          <w:color w:val="211F1F"/>
          <w:sz w:val="24"/>
        </w:rPr>
        <w:t>any deadline</w:t>
      </w:r>
      <w:r>
        <w:rPr>
          <w:color w:val="211F1F"/>
          <w:spacing w:val="-9"/>
          <w:sz w:val="24"/>
        </w:rPr>
        <w:t xml:space="preserve"> </w:t>
      </w:r>
      <w:r>
        <w:rPr>
          <w:color w:val="211F1F"/>
          <w:sz w:val="24"/>
        </w:rPr>
        <w:t>date</w:t>
      </w:r>
      <w:r>
        <w:rPr>
          <w:color w:val="211F1F"/>
          <w:spacing w:val="-7"/>
          <w:sz w:val="24"/>
        </w:rPr>
        <w:t xml:space="preserve"> </w:t>
      </w:r>
      <w:r>
        <w:rPr>
          <w:color w:val="211F1F"/>
          <w:sz w:val="24"/>
        </w:rPr>
        <w:t>and</w:t>
      </w:r>
      <w:r>
        <w:rPr>
          <w:color w:val="211F1F"/>
          <w:spacing w:val="-7"/>
          <w:sz w:val="24"/>
        </w:rPr>
        <w:t xml:space="preserve"> </w:t>
      </w:r>
      <w:r>
        <w:rPr>
          <w:color w:val="211F1F"/>
          <w:sz w:val="24"/>
        </w:rPr>
        <w:t>time</w:t>
      </w:r>
      <w:r>
        <w:rPr>
          <w:color w:val="211F1F"/>
          <w:spacing w:val="-7"/>
          <w:sz w:val="24"/>
        </w:rPr>
        <w:t xml:space="preserve"> </w:t>
      </w:r>
      <w:r>
        <w:rPr>
          <w:color w:val="211F1F"/>
          <w:sz w:val="24"/>
        </w:rPr>
        <w:t>specified</w:t>
      </w:r>
      <w:r>
        <w:rPr>
          <w:color w:val="211F1F"/>
          <w:spacing w:val="-1"/>
          <w:sz w:val="24"/>
        </w:rPr>
        <w:t xml:space="preserve"> </w:t>
      </w:r>
      <w:r>
        <w:rPr>
          <w:color w:val="211F1F"/>
          <w:sz w:val="24"/>
        </w:rPr>
        <w:t>later.</w:t>
      </w:r>
      <w:r>
        <w:rPr>
          <w:color w:val="211F1F"/>
          <w:spacing w:val="-12"/>
          <w:sz w:val="24"/>
        </w:rPr>
        <w:t xml:space="preserve"> </w:t>
      </w:r>
      <w:r>
        <w:rPr>
          <w:color w:val="211F1F"/>
          <w:sz w:val="24"/>
        </w:rPr>
        <w:t>Tenders</w:t>
      </w:r>
      <w:r>
        <w:rPr>
          <w:color w:val="211F1F"/>
          <w:spacing w:val="-12"/>
          <w:sz w:val="24"/>
        </w:rPr>
        <w:t xml:space="preserve"> </w:t>
      </w:r>
      <w:r>
        <w:rPr>
          <w:color w:val="211F1F"/>
          <w:sz w:val="24"/>
        </w:rPr>
        <w:t>will</w:t>
      </w:r>
      <w:r>
        <w:rPr>
          <w:color w:val="211F1F"/>
          <w:spacing w:val="-14"/>
          <w:sz w:val="24"/>
        </w:rPr>
        <w:t xml:space="preserve"> </w:t>
      </w:r>
      <w:r>
        <w:rPr>
          <w:color w:val="211F1F"/>
          <w:sz w:val="24"/>
        </w:rPr>
        <w:t>be</w:t>
      </w:r>
      <w:r>
        <w:rPr>
          <w:color w:val="211F1F"/>
          <w:spacing w:val="-12"/>
          <w:sz w:val="24"/>
        </w:rPr>
        <w:t xml:space="preserve"> </w:t>
      </w:r>
      <w:r>
        <w:rPr>
          <w:color w:val="211F1F"/>
          <w:sz w:val="24"/>
        </w:rPr>
        <w:t>publicly</w:t>
      </w:r>
      <w:r>
        <w:rPr>
          <w:color w:val="211F1F"/>
          <w:spacing w:val="-14"/>
          <w:sz w:val="24"/>
        </w:rPr>
        <w:t xml:space="preserve"> </w:t>
      </w:r>
      <w:r>
        <w:rPr>
          <w:color w:val="211F1F"/>
          <w:sz w:val="24"/>
        </w:rPr>
        <w:t>opened</w:t>
      </w:r>
      <w:r>
        <w:rPr>
          <w:color w:val="211F1F"/>
          <w:spacing w:val="-6"/>
          <w:sz w:val="24"/>
        </w:rPr>
        <w:t xml:space="preserve"> </w:t>
      </w:r>
      <w:r>
        <w:rPr>
          <w:color w:val="211F1F"/>
          <w:sz w:val="24"/>
        </w:rPr>
        <w:t>in</w:t>
      </w:r>
      <w:r>
        <w:rPr>
          <w:color w:val="211F1F"/>
          <w:spacing w:val="-15"/>
          <w:sz w:val="24"/>
        </w:rPr>
        <w:t xml:space="preserve"> </w:t>
      </w:r>
      <w:r>
        <w:rPr>
          <w:color w:val="211F1F"/>
          <w:sz w:val="24"/>
        </w:rPr>
        <w:t>the</w:t>
      </w:r>
      <w:r>
        <w:rPr>
          <w:color w:val="211F1F"/>
          <w:spacing w:val="-11"/>
          <w:sz w:val="24"/>
        </w:rPr>
        <w:t xml:space="preserve"> </w:t>
      </w:r>
      <w:r>
        <w:rPr>
          <w:color w:val="211F1F"/>
          <w:sz w:val="24"/>
        </w:rPr>
        <w:t>presence</w:t>
      </w:r>
      <w:r>
        <w:rPr>
          <w:color w:val="211F1F"/>
          <w:spacing w:val="-11"/>
          <w:sz w:val="24"/>
        </w:rPr>
        <w:t xml:space="preserve"> </w:t>
      </w:r>
      <w:r>
        <w:rPr>
          <w:color w:val="211F1F"/>
          <w:sz w:val="24"/>
        </w:rPr>
        <w:t>of</w:t>
      </w:r>
      <w:r>
        <w:rPr>
          <w:color w:val="211F1F"/>
          <w:spacing w:val="-15"/>
          <w:sz w:val="24"/>
        </w:rPr>
        <w:t xml:space="preserve"> </w:t>
      </w:r>
      <w:r>
        <w:rPr>
          <w:color w:val="211F1F"/>
          <w:sz w:val="24"/>
        </w:rPr>
        <w:t>the Tenderers' designated representatives who choose to attend at the address below.</w:t>
      </w:r>
    </w:p>
    <w:p w14:paraId="00AE91EE" w14:textId="77777777" w:rsidR="00BB77C0" w:rsidRDefault="00370BAA">
      <w:pPr>
        <w:pStyle w:val="ListParagraph"/>
        <w:numPr>
          <w:ilvl w:val="0"/>
          <w:numId w:val="114"/>
        </w:numPr>
        <w:tabs>
          <w:tab w:val="left" w:pos="1080"/>
        </w:tabs>
        <w:spacing w:before="242"/>
        <w:ind w:hanging="360"/>
        <w:jc w:val="left"/>
        <w:rPr>
          <w:sz w:val="24"/>
        </w:rPr>
      </w:pPr>
      <w:r>
        <w:rPr>
          <w:sz w:val="24"/>
        </w:rPr>
        <w:t>Bidders</w:t>
      </w:r>
      <w:r>
        <w:rPr>
          <w:spacing w:val="17"/>
          <w:sz w:val="24"/>
        </w:rPr>
        <w:t xml:space="preserve"> </w:t>
      </w:r>
      <w:r>
        <w:rPr>
          <w:sz w:val="24"/>
        </w:rPr>
        <w:t>who</w:t>
      </w:r>
      <w:r>
        <w:rPr>
          <w:spacing w:val="31"/>
          <w:sz w:val="24"/>
        </w:rPr>
        <w:t xml:space="preserve"> </w:t>
      </w:r>
      <w:r>
        <w:rPr>
          <w:sz w:val="24"/>
        </w:rPr>
        <w:t>may</w:t>
      </w:r>
      <w:r>
        <w:rPr>
          <w:spacing w:val="21"/>
          <w:sz w:val="24"/>
        </w:rPr>
        <w:t xml:space="preserve"> </w:t>
      </w:r>
      <w:r>
        <w:rPr>
          <w:sz w:val="24"/>
        </w:rPr>
        <w:t>experience</w:t>
      </w:r>
      <w:r>
        <w:rPr>
          <w:spacing w:val="26"/>
          <w:sz w:val="24"/>
        </w:rPr>
        <w:t xml:space="preserve"> </w:t>
      </w:r>
      <w:r>
        <w:rPr>
          <w:sz w:val="24"/>
        </w:rPr>
        <w:t>challenges</w:t>
      </w:r>
      <w:r>
        <w:rPr>
          <w:spacing w:val="29"/>
          <w:sz w:val="24"/>
        </w:rPr>
        <w:t xml:space="preserve"> </w:t>
      </w:r>
      <w:r>
        <w:rPr>
          <w:sz w:val="24"/>
        </w:rPr>
        <w:t>in</w:t>
      </w:r>
      <w:r>
        <w:rPr>
          <w:spacing w:val="17"/>
          <w:sz w:val="24"/>
        </w:rPr>
        <w:t xml:space="preserve"> </w:t>
      </w:r>
      <w:r>
        <w:rPr>
          <w:sz w:val="24"/>
        </w:rPr>
        <w:t>accessing</w:t>
      </w:r>
      <w:r>
        <w:rPr>
          <w:spacing w:val="22"/>
          <w:sz w:val="24"/>
        </w:rPr>
        <w:t xml:space="preserve"> </w:t>
      </w:r>
      <w:r>
        <w:rPr>
          <w:sz w:val="24"/>
        </w:rPr>
        <w:t>and</w:t>
      </w:r>
      <w:r>
        <w:rPr>
          <w:spacing w:val="22"/>
          <w:sz w:val="24"/>
        </w:rPr>
        <w:t xml:space="preserve"> </w:t>
      </w:r>
      <w:r>
        <w:rPr>
          <w:sz w:val="24"/>
        </w:rPr>
        <w:t>uploading</w:t>
      </w:r>
      <w:r>
        <w:rPr>
          <w:spacing w:val="27"/>
          <w:sz w:val="24"/>
        </w:rPr>
        <w:t xml:space="preserve"> </w:t>
      </w:r>
      <w:r>
        <w:rPr>
          <w:sz w:val="24"/>
        </w:rPr>
        <w:t>their</w:t>
      </w:r>
      <w:r>
        <w:rPr>
          <w:spacing w:val="28"/>
          <w:sz w:val="24"/>
        </w:rPr>
        <w:t xml:space="preserve"> </w:t>
      </w:r>
      <w:r>
        <w:rPr>
          <w:sz w:val="24"/>
        </w:rPr>
        <w:t>tenders</w:t>
      </w:r>
      <w:r>
        <w:rPr>
          <w:spacing w:val="24"/>
          <w:sz w:val="24"/>
        </w:rPr>
        <w:t xml:space="preserve"> </w:t>
      </w:r>
      <w:r>
        <w:rPr>
          <w:sz w:val="24"/>
        </w:rPr>
        <w:t>in</w:t>
      </w:r>
      <w:r>
        <w:rPr>
          <w:spacing w:val="22"/>
          <w:sz w:val="24"/>
        </w:rPr>
        <w:t xml:space="preserve"> </w:t>
      </w:r>
      <w:r>
        <w:rPr>
          <w:spacing w:val="-5"/>
          <w:sz w:val="24"/>
        </w:rPr>
        <w:t>the</w:t>
      </w:r>
    </w:p>
    <w:p w14:paraId="442114C1" w14:textId="77777777" w:rsidR="00BB77C0" w:rsidRDefault="00BB77C0">
      <w:pPr>
        <w:pStyle w:val="ListParagraph"/>
        <w:rPr>
          <w:sz w:val="24"/>
        </w:rPr>
        <w:sectPr w:rsidR="00BB77C0">
          <w:pgSz w:w="11930" w:h="16870"/>
          <w:pgMar w:top="1940" w:right="1080" w:bottom="280" w:left="720" w:header="720" w:footer="720" w:gutter="0"/>
          <w:cols w:space="720"/>
        </w:sectPr>
      </w:pPr>
    </w:p>
    <w:p w14:paraId="4425F9EB" w14:textId="77777777" w:rsidR="00BB77C0" w:rsidRDefault="00370BAA">
      <w:pPr>
        <w:spacing w:before="75" w:line="362" w:lineRule="auto"/>
        <w:ind w:left="1080"/>
        <w:rPr>
          <w:sz w:val="24"/>
        </w:rPr>
      </w:pPr>
      <w:r>
        <w:rPr>
          <w:sz w:val="24"/>
        </w:rPr>
        <w:lastRenderedPageBreak/>
        <w:t>IMIS</w:t>
      </w:r>
      <w:r>
        <w:rPr>
          <w:spacing w:val="80"/>
          <w:sz w:val="24"/>
        </w:rPr>
        <w:t xml:space="preserve"> </w:t>
      </w:r>
      <w:r>
        <w:rPr>
          <w:sz w:val="24"/>
        </w:rPr>
        <w:t>tender</w:t>
      </w:r>
      <w:r>
        <w:rPr>
          <w:spacing w:val="80"/>
          <w:sz w:val="24"/>
        </w:rPr>
        <w:t xml:space="preserve"> </w:t>
      </w:r>
      <w:r>
        <w:rPr>
          <w:sz w:val="24"/>
        </w:rPr>
        <w:t>portal</w:t>
      </w:r>
      <w:r>
        <w:rPr>
          <w:spacing w:val="80"/>
          <w:sz w:val="24"/>
        </w:rPr>
        <w:t xml:space="preserve"> </w:t>
      </w:r>
      <w:r>
        <w:rPr>
          <w:sz w:val="24"/>
        </w:rPr>
        <w:t>should</w:t>
      </w:r>
      <w:r>
        <w:rPr>
          <w:spacing w:val="80"/>
          <w:sz w:val="24"/>
        </w:rPr>
        <w:t xml:space="preserve"> </w:t>
      </w:r>
      <w:r>
        <w:rPr>
          <w:sz w:val="24"/>
        </w:rPr>
        <w:t>contact</w:t>
      </w:r>
      <w:r>
        <w:rPr>
          <w:spacing w:val="80"/>
          <w:sz w:val="24"/>
        </w:rPr>
        <w:t xml:space="preserve"> </w:t>
      </w:r>
      <w:r>
        <w:rPr>
          <w:sz w:val="24"/>
        </w:rPr>
        <w:t>the</w:t>
      </w:r>
      <w:r>
        <w:rPr>
          <w:spacing w:val="80"/>
          <w:sz w:val="24"/>
        </w:rPr>
        <w:t xml:space="preserve"> </w:t>
      </w:r>
      <w:r>
        <w:rPr>
          <w:sz w:val="24"/>
        </w:rPr>
        <w:t>IFMIS</w:t>
      </w:r>
      <w:r>
        <w:rPr>
          <w:spacing w:val="80"/>
          <w:sz w:val="24"/>
        </w:rPr>
        <w:t xml:space="preserve"> </w:t>
      </w:r>
      <w:r>
        <w:rPr>
          <w:sz w:val="24"/>
        </w:rPr>
        <w:t>Helpdesk</w:t>
      </w:r>
      <w:r>
        <w:rPr>
          <w:spacing w:val="80"/>
          <w:sz w:val="24"/>
        </w:rPr>
        <w:t xml:space="preserve"> </w:t>
      </w:r>
      <w:r>
        <w:rPr>
          <w:sz w:val="24"/>
        </w:rPr>
        <w:t>(email</w:t>
      </w:r>
      <w:r>
        <w:rPr>
          <w:spacing w:val="80"/>
          <w:sz w:val="24"/>
        </w:rPr>
        <w:t xml:space="preserve"> </w:t>
      </w:r>
      <w:r>
        <w:rPr>
          <w:sz w:val="24"/>
        </w:rPr>
        <w:t>http/ifmis</w:t>
      </w:r>
      <w:r>
        <w:rPr>
          <w:spacing w:val="80"/>
          <w:sz w:val="24"/>
        </w:rPr>
        <w:t xml:space="preserve"> </w:t>
      </w:r>
      <w:r>
        <w:rPr>
          <w:sz w:val="24"/>
        </w:rPr>
        <w:t>go.ke.</w:t>
      </w:r>
      <w:r>
        <w:rPr>
          <w:spacing w:val="80"/>
          <w:sz w:val="24"/>
        </w:rPr>
        <w:t xml:space="preserve"> </w:t>
      </w:r>
      <w:r>
        <w:rPr>
          <w:sz w:val="24"/>
        </w:rPr>
        <w:t>Tel:0800721477/0204801801) at treasury or contact Supply Chain Management Office</w:t>
      </w:r>
    </w:p>
    <w:p w14:paraId="7FF18E73" w14:textId="77777777" w:rsidR="00BB77C0" w:rsidRDefault="00BB77C0">
      <w:pPr>
        <w:pStyle w:val="BodyText"/>
        <w:rPr>
          <w:sz w:val="24"/>
        </w:rPr>
      </w:pPr>
    </w:p>
    <w:p w14:paraId="70F2C90F" w14:textId="77777777" w:rsidR="00BB77C0" w:rsidRDefault="00BB77C0">
      <w:pPr>
        <w:pStyle w:val="BodyText"/>
        <w:rPr>
          <w:sz w:val="24"/>
        </w:rPr>
      </w:pPr>
    </w:p>
    <w:p w14:paraId="2D184B3F" w14:textId="77777777" w:rsidR="00BB77C0" w:rsidRDefault="00BB77C0">
      <w:pPr>
        <w:pStyle w:val="BodyText"/>
        <w:rPr>
          <w:sz w:val="24"/>
        </w:rPr>
      </w:pPr>
    </w:p>
    <w:p w14:paraId="180B8109" w14:textId="77777777" w:rsidR="00BB77C0" w:rsidRDefault="00BB77C0">
      <w:pPr>
        <w:pStyle w:val="BodyText"/>
        <w:rPr>
          <w:sz w:val="24"/>
        </w:rPr>
      </w:pPr>
    </w:p>
    <w:p w14:paraId="0C62053F" w14:textId="77777777" w:rsidR="00BB77C0" w:rsidRDefault="00BB77C0">
      <w:pPr>
        <w:pStyle w:val="BodyText"/>
        <w:rPr>
          <w:sz w:val="24"/>
        </w:rPr>
      </w:pPr>
    </w:p>
    <w:p w14:paraId="27700699" w14:textId="77777777" w:rsidR="00BB77C0" w:rsidRDefault="00BB77C0">
      <w:pPr>
        <w:pStyle w:val="BodyText"/>
        <w:rPr>
          <w:sz w:val="24"/>
        </w:rPr>
      </w:pPr>
    </w:p>
    <w:p w14:paraId="0FB9E4B7" w14:textId="77777777" w:rsidR="00BB77C0" w:rsidRDefault="00BB77C0">
      <w:pPr>
        <w:pStyle w:val="BodyText"/>
        <w:rPr>
          <w:sz w:val="24"/>
        </w:rPr>
      </w:pPr>
    </w:p>
    <w:p w14:paraId="6987FEBE" w14:textId="77777777" w:rsidR="00BB77C0" w:rsidRDefault="00BB77C0">
      <w:pPr>
        <w:pStyle w:val="BodyText"/>
        <w:rPr>
          <w:sz w:val="24"/>
        </w:rPr>
      </w:pPr>
    </w:p>
    <w:p w14:paraId="2144BD0E" w14:textId="77777777" w:rsidR="00BB77C0" w:rsidRDefault="00BB77C0">
      <w:pPr>
        <w:pStyle w:val="BodyText"/>
        <w:spacing w:before="63"/>
        <w:rPr>
          <w:sz w:val="24"/>
        </w:rPr>
      </w:pPr>
    </w:p>
    <w:p w14:paraId="6515897E" w14:textId="77777777" w:rsidR="00BB77C0" w:rsidRDefault="00370BAA">
      <w:pPr>
        <w:ind w:left="360"/>
        <w:rPr>
          <w:b/>
          <w:sz w:val="24"/>
        </w:rPr>
      </w:pPr>
      <w:r>
        <w:rPr>
          <w:b/>
          <w:sz w:val="24"/>
          <w:u w:val="single"/>
        </w:rPr>
        <w:t>Mandatory</w:t>
      </w:r>
      <w:r>
        <w:rPr>
          <w:b/>
          <w:spacing w:val="-8"/>
          <w:sz w:val="24"/>
          <w:u w:val="single"/>
        </w:rPr>
        <w:t xml:space="preserve"> </w:t>
      </w:r>
      <w:r>
        <w:rPr>
          <w:b/>
          <w:spacing w:val="-2"/>
          <w:sz w:val="24"/>
          <w:u w:val="single"/>
        </w:rPr>
        <w:t>requirements</w:t>
      </w:r>
    </w:p>
    <w:p w14:paraId="06488496" w14:textId="77777777" w:rsidR="00BB77C0" w:rsidRDefault="00BB77C0">
      <w:pPr>
        <w:pStyle w:val="BodyText"/>
        <w:rPr>
          <w:b/>
          <w:sz w:val="24"/>
        </w:rPr>
      </w:pPr>
    </w:p>
    <w:p w14:paraId="271331DB" w14:textId="77777777" w:rsidR="00BB77C0" w:rsidRDefault="00BB77C0">
      <w:pPr>
        <w:pStyle w:val="BodyText"/>
        <w:spacing w:before="32"/>
        <w:rPr>
          <w:b/>
          <w:sz w:val="24"/>
        </w:rPr>
      </w:pPr>
    </w:p>
    <w:p w14:paraId="266C5D5A" w14:textId="77777777" w:rsidR="00BB77C0" w:rsidRDefault="00370BAA">
      <w:pPr>
        <w:tabs>
          <w:tab w:val="left" w:pos="1440"/>
        </w:tabs>
        <w:ind w:left="720"/>
        <w:rPr>
          <w:sz w:val="24"/>
        </w:rPr>
      </w:pPr>
      <w:r>
        <w:rPr>
          <w:spacing w:val="-5"/>
          <w:sz w:val="24"/>
        </w:rPr>
        <w:t>NO</w:t>
      </w:r>
      <w:r>
        <w:rPr>
          <w:sz w:val="24"/>
        </w:rPr>
        <w:tab/>
      </w:r>
      <w:r>
        <w:rPr>
          <w:spacing w:val="-2"/>
          <w:sz w:val="24"/>
        </w:rPr>
        <w:t>Description</w:t>
      </w:r>
    </w:p>
    <w:p w14:paraId="2646016A" w14:textId="77777777" w:rsidR="00BB77C0" w:rsidRDefault="00370BAA">
      <w:pPr>
        <w:pStyle w:val="ListParagraph"/>
        <w:numPr>
          <w:ilvl w:val="0"/>
          <w:numId w:val="113"/>
        </w:numPr>
        <w:tabs>
          <w:tab w:val="left" w:pos="1440"/>
        </w:tabs>
        <w:spacing w:before="12"/>
        <w:ind w:left="1440" w:hanging="720"/>
        <w:rPr>
          <w:sz w:val="24"/>
        </w:rPr>
      </w:pPr>
      <w:r>
        <w:rPr>
          <w:sz w:val="24"/>
        </w:rPr>
        <w:t>Certified</w:t>
      </w:r>
      <w:r>
        <w:rPr>
          <w:spacing w:val="-2"/>
          <w:sz w:val="24"/>
        </w:rPr>
        <w:t xml:space="preserve"> </w:t>
      </w:r>
      <w:r>
        <w:rPr>
          <w:sz w:val="24"/>
        </w:rPr>
        <w:t>copy</w:t>
      </w:r>
      <w:r>
        <w:rPr>
          <w:spacing w:val="-9"/>
          <w:sz w:val="24"/>
        </w:rPr>
        <w:t xml:space="preserve"> </w:t>
      </w:r>
      <w:r>
        <w:rPr>
          <w:sz w:val="24"/>
        </w:rPr>
        <w:t>of</w:t>
      </w:r>
      <w:r>
        <w:rPr>
          <w:spacing w:val="-7"/>
          <w:sz w:val="24"/>
        </w:rPr>
        <w:t xml:space="preserve"> </w:t>
      </w:r>
      <w:r>
        <w:rPr>
          <w:sz w:val="24"/>
        </w:rPr>
        <w:t>company</w:t>
      </w:r>
      <w:r>
        <w:rPr>
          <w:spacing w:val="-4"/>
          <w:sz w:val="24"/>
        </w:rPr>
        <w:t xml:space="preserve"> </w:t>
      </w:r>
      <w:r>
        <w:rPr>
          <w:sz w:val="24"/>
        </w:rPr>
        <w:t>certificate</w:t>
      </w:r>
      <w:r>
        <w:rPr>
          <w:spacing w:val="-1"/>
          <w:sz w:val="24"/>
        </w:rPr>
        <w:t xml:space="preserve"> </w:t>
      </w:r>
      <w:r>
        <w:rPr>
          <w:sz w:val="24"/>
        </w:rPr>
        <w:t>of</w:t>
      </w:r>
      <w:r>
        <w:rPr>
          <w:spacing w:val="-2"/>
          <w:sz w:val="24"/>
        </w:rPr>
        <w:t xml:space="preserve"> </w:t>
      </w:r>
      <w:r>
        <w:rPr>
          <w:sz w:val="24"/>
        </w:rPr>
        <w:t>incorporation/certificate of</w:t>
      </w:r>
      <w:r>
        <w:rPr>
          <w:spacing w:val="3"/>
          <w:sz w:val="24"/>
        </w:rPr>
        <w:t xml:space="preserve"> </w:t>
      </w:r>
      <w:r>
        <w:rPr>
          <w:spacing w:val="-2"/>
          <w:sz w:val="24"/>
        </w:rPr>
        <w:t>registration</w:t>
      </w:r>
    </w:p>
    <w:p w14:paraId="66B1106E" w14:textId="77777777" w:rsidR="00BB77C0" w:rsidRDefault="00370BAA">
      <w:pPr>
        <w:pStyle w:val="ListParagraph"/>
        <w:numPr>
          <w:ilvl w:val="0"/>
          <w:numId w:val="113"/>
        </w:numPr>
        <w:tabs>
          <w:tab w:val="left" w:pos="1498"/>
        </w:tabs>
        <w:spacing w:before="12"/>
        <w:ind w:left="1498" w:hanging="778"/>
        <w:rPr>
          <w:sz w:val="24"/>
        </w:rPr>
      </w:pPr>
      <w:r>
        <w:rPr>
          <w:sz w:val="24"/>
        </w:rPr>
        <w:t>Attach</w:t>
      </w:r>
      <w:r>
        <w:rPr>
          <w:spacing w:val="-7"/>
          <w:sz w:val="24"/>
        </w:rPr>
        <w:t xml:space="preserve"> </w:t>
      </w:r>
      <w:r>
        <w:rPr>
          <w:sz w:val="24"/>
        </w:rPr>
        <w:t>certified copy</w:t>
      </w:r>
      <w:r>
        <w:rPr>
          <w:spacing w:val="-11"/>
          <w:sz w:val="24"/>
        </w:rPr>
        <w:t xml:space="preserve"> </w:t>
      </w:r>
      <w:r>
        <w:rPr>
          <w:sz w:val="24"/>
        </w:rPr>
        <w:t>of</w:t>
      </w:r>
      <w:r>
        <w:rPr>
          <w:spacing w:val="-6"/>
          <w:sz w:val="24"/>
        </w:rPr>
        <w:t xml:space="preserve"> </w:t>
      </w:r>
      <w:r>
        <w:rPr>
          <w:sz w:val="24"/>
        </w:rPr>
        <w:t>CR12</w:t>
      </w:r>
      <w:r>
        <w:rPr>
          <w:spacing w:val="3"/>
          <w:sz w:val="24"/>
        </w:rPr>
        <w:t xml:space="preserve"> </w:t>
      </w:r>
      <w:r>
        <w:rPr>
          <w:sz w:val="24"/>
        </w:rPr>
        <w:t>for limited</w:t>
      </w:r>
      <w:r>
        <w:rPr>
          <w:spacing w:val="1"/>
          <w:sz w:val="24"/>
        </w:rPr>
        <w:t xml:space="preserve"> </w:t>
      </w:r>
      <w:r>
        <w:rPr>
          <w:sz w:val="24"/>
        </w:rPr>
        <w:t>companies</w:t>
      </w:r>
      <w:r>
        <w:rPr>
          <w:spacing w:val="-3"/>
          <w:sz w:val="24"/>
        </w:rPr>
        <w:t xml:space="preserve"> </w:t>
      </w:r>
      <w:r>
        <w:rPr>
          <w:sz w:val="24"/>
        </w:rPr>
        <w:t>(should</w:t>
      </w:r>
      <w:r>
        <w:rPr>
          <w:spacing w:val="-1"/>
          <w:sz w:val="24"/>
        </w:rPr>
        <w:t xml:space="preserve"> </w:t>
      </w:r>
      <w:r>
        <w:rPr>
          <w:sz w:val="24"/>
        </w:rPr>
        <w:t>be within</w:t>
      </w:r>
      <w:r>
        <w:rPr>
          <w:spacing w:val="-4"/>
          <w:sz w:val="24"/>
        </w:rPr>
        <w:t xml:space="preserve"> </w:t>
      </w:r>
      <w:r>
        <w:rPr>
          <w:sz w:val="24"/>
        </w:rPr>
        <w:t>(12)</w:t>
      </w:r>
      <w:r>
        <w:rPr>
          <w:spacing w:val="1"/>
          <w:sz w:val="24"/>
        </w:rPr>
        <w:t xml:space="preserve"> </w:t>
      </w:r>
      <w:r>
        <w:rPr>
          <w:spacing w:val="-2"/>
          <w:sz w:val="24"/>
        </w:rPr>
        <w:t>months</w:t>
      </w:r>
    </w:p>
    <w:p w14:paraId="31D02C65" w14:textId="77777777" w:rsidR="00BB77C0" w:rsidRDefault="00BB77C0">
      <w:pPr>
        <w:pStyle w:val="BodyText"/>
        <w:spacing w:before="19"/>
        <w:rPr>
          <w:sz w:val="24"/>
        </w:rPr>
      </w:pPr>
    </w:p>
    <w:p w14:paraId="1A43EFC4" w14:textId="77777777" w:rsidR="00BB77C0" w:rsidRDefault="00370BAA">
      <w:pPr>
        <w:pStyle w:val="ListParagraph"/>
        <w:numPr>
          <w:ilvl w:val="0"/>
          <w:numId w:val="113"/>
        </w:numPr>
        <w:tabs>
          <w:tab w:val="left" w:pos="1440"/>
        </w:tabs>
        <w:ind w:left="1440" w:hanging="720"/>
        <w:rPr>
          <w:sz w:val="24"/>
        </w:rPr>
      </w:pPr>
      <w:r>
        <w:rPr>
          <w:sz w:val="24"/>
        </w:rPr>
        <w:t>Attach</w:t>
      </w:r>
      <w:r>
        <w:rPr>
          <w:spacing w:val="-8"/>
          <w:sz w:val="24"/>
        </w:rPr>
        <w:t xml:space="preserve"> </w:t>
      </w:r>
      <w:r>
        <w:rPr>
          <w:sz w:val="24"/>
        </w:rPr>
        <w:t>certified copies</w:t>
      </w:r>
      <w:r>
        <w:rPr>
          <w:spacing w:val="-8"/>
          <w:sz w:val="24"/>
        </w:rPr>
        <w:t xml:space="preserve"> </w:t>
      </w:r>
      <w:r>
        <w:rPr>
          <w:sz w:val="24"/>
        </w:rPr>
        <w:t>of</w:t>
      </w:r>
      <w:r>
        <w:rPr>
          <w:spacing w:val="-9"/>
          <w:sz w:val="24"/>
        </w:rPr>
        <w:t xml:space="preserve"> </w:t>
      </w:r>
      <w:r>
        <w:rPr>
          <w:sz w:val="24"/>
        </w:rPr>
        <w:t>IDs/passport for Directors</w:t>
      </w:r>
      <w:r>
        <w:rPr>
          <w:spacing w:val="-2"/>
          <w:sz w:val="24"/>
        </w:rPr>
        <w:t xml:space="preserve"> </w:t>
      </w:r>
      <w:r>
        <w:rPr>
          <w:sz w:val="24"/>
        </w:rPr>
        <w:t>as</w:t>
      </w:r>
      <w:r>
        <w:rPr>
          <w:spacing w:val="-8"/>
          <w:sz w:val="24"/>
        </w:rPr>
        <w:t xml:space="preserve"> </w:t>
      </w:r>
      <w:r>
        <w:rPr>
          <w:sz w:val="24"/>
        </w:rPr>
        <w:t>per attached</w:t>
      </w:r>
      <w:r>
        <w:rPr>
          <w:spacing w:val="-1"/>
          <w:sz w:val="24"/>
        </w:rPr>
        <w:t xml:space="preserve"> </w:t>
      </w:r>
      <w:r>
        <w:rPr>
          <w:spacing w:val="-2"/>
          <w:sz w:val="24"/>
        </w:rPr>
        <w:t>CR12.</w:t>
      </w:r>
    </w:p>
    <w:p w14:paraId="3B51FA36" w14:textId="77777777" w:rsidR="00BB77C0" w:rsidRDefault="00370BAA">
      <w:pPr>
        <w:pStyle w:val="ListParagraph"/>
        <w:numPr>
          <w:ilvl w:val="0"/>
          <w:numId w:val="115"/>
        </w:numPr>
        <w:tabs>
          <w:tab w:val="left" w:pos="1440"/>
        </w:tabs>
        <w:spacing w:before="18" w:line="249" w:lineRule="auto"/>
        <w:ind w:left="720" w:right="622" w:firstLine="0"/>
        <w:jc w:val="left"/>
        <w:rPr>
          <w:sz w:val="24"/>
        </w:rPr>
      </w:pPr>
      <w:r>
        <w:rPr>
          <w:sz w:val="24"/>
        </w:rPr>
        <w:t>Attach</w:t>
      </w:r>
      <w:r>
        <w:rPr>
          <w:spacing w:val="-9"/>
          <w:sz w:val="24"/>
        </w:rPr>
        <w:t xml:space="preserve"> </w:t>
      </w:r>
      <w:r>
        <w:rPr>
          <w:sz w:val="24"/>
        </w:rPr>
        <w:t>certified</w:t>
      </w:r>
      <w:r>
        <w:rPr>
          <w:spacing w:val="-4"/>
          <w:sz w:val="24"/>
        </w:rPr>
        <w:t xml:space="preserve"> </w:t>
      </w:r>
      <w:r>
        <w:rPr>
          <w:sz w:val="24"/>
        </w:rPr>
        <w:t>Copy</w:t>
      </w:r>
      <w:r>
        <w:rPr>
          <w:spacing w:val="-13"/>
          <w:sz w:val="24"/>
        </w:rPr>
        <w:t xml:space="preserve"> </w:t>
      </w:r>
      <w:r>
        <w:rPr>
          <w:sz w:val="24"/>
        </w:rPr>
        <w:t>of</w:t>
      </w:r>
      <w:r>
        <w:rPr>
          <w:spacing w:val="-13"/>
          <w:sz w:val="24"/>
        </w:rPr>
        <w:t xml:space="preserve"> </w:t>
      </w:r>
      <w:r>
        <w:rPr>
          <w:sz w:val="24"/>
        </w:rPr>
        <w:t>Valid</w:t>
      </w:r>
      <w:r>
        <w:rPr>
          <w:spacing w:val="-4"/>
          <w:sz w:val="24"/>
        </w:rPr>
        <w:t xml:space="preserve"> </w:t>
      </w:r>
      <w:r>
        <w:rPr>
          <w:sz w:val="24"/>
        </w:rPr>
        <w:t>Tax</w:t>
      </w:r>
      <w:r>
        <w:rPr>
          <w:spacing w:val="-9"/>
          <w:sz w:val="24"/>
        </w:rPr>
        <w:t xml:space="preserve"> </w:t>
      </w:r>
      <w:r>
        <w:rPr>
          <w:sz w:val="24"/>
        </w:rPr>
        <w:t>compliance</w:t>
      </w:r>
      <w:r>
        <w:rPr>
          <w:spacing w:val="-4"/>
          <w:sz w:val="24"/>
        </w:rPr>
        <w:t xml:space="preserve"> </w:t>
      </w:r>
      <w:r>
        <w:rPr>
          <w:sz w:val="24"/>
        </w:rPr>
        <w:t>certificate</w:t>
      </w:r>
      <w:r>
        <w:rPr>
          <w:spacing w:val="-1"/>
          <w:sz w:val="24"/>
        </w:rPr>
        <w:t xml:space="preserve"> </w:t>
      </w:r>
      <w:r>
        <w:rPr>
          <w:sz w:val="24"/>
        </w:rPr>
        <w:t>issued</w:t>
      </w:r>
      <w:r>
        <w:rPr>
          <w:spacing w:val="-4"/>
          <w:sz w:val="24"/>
        </w:rPr>
        <w:t xml:space="preserve"> </w:t>
      </w:r>
      <w:r>
        <w:rPr>
          <w:sz w:val="24"/>
        </w:rPr>
        <w:t>by</w:t>
      </w:r>
      <w:r>
        <w:rPr>
          <w:spacing w:val="-5"/>
          <w:sz w:val="24"/>
        </w:rPr>
        <w:t xml:space="preserve"> </w:t>
      </w:r>
      <w:r>
        <w:rPr>
          <w:sz w:val="24"/>
        </w:rPr>
        <w:t>Kenya</w:t>
      </w:r>
      <w:r>
        <w:rPr>
          <w:spacing w:val="-5"/>
          <w:sz w:val="24"/>
        </w:rPr>
        <w:t xml:space="preserve"> </w:t>
      </w:r>
      <w:r>
        <w:rPr>
          <w:sz w:val="24"/>
        </w:rPr>
        <w:t xml:space="preserve">Revenue </w:t>
      </w:r>
      <w:r>
        <w:rPr>
          <w:spacing w:val="-2"/>
          <w:sz w:val="24"/>
        </w:rPr>
        <w:t>Authority.</w:t>
      </w:r>
    </w:p>
    <w:p w14:paraId="52F8B272" w14:textId="77777777" w:rsidR="00BB77C0" w:rsidRDefault="00370BAA">
      <w:pPr>
        <w:pStyle w:val="ListParagraph"/>
        <w:numPr>
          <w:ilvl w:val="0"/>
          <w:numId w:val="112"/>
        </w:numPr>
        <w:tabs>
          <w:tab w:val="left" w:pos="1440"/>
        </w:tabs>
        <w:spacing w:before="2"/>
        <w:ind w:left="1440" w:hanging="720"/>
        <w:rPr>
          <w:sz w:val="24"/>
        </w:rPr>
      </w:pPr>
      <w:r>
        <w:rPr>
          <w:sz w:val="24"/>
        </w:rPr>
        <w:t>Attach</w:t>
      </w:r>
      <w:r>
        <w:rPr>
          <w:spacing w:val="-8"/>
          <w:sz w:val="24"/>
        </w:rPr>
        <w:t xml:space="preserve"> </w:t>
      </w:r>
      <w:r>
        <w:rPr>
          <w:sz w:val="24"/>
        </w:rPr>
        <w:t>certified</w:t>
      </w:r>
      <w:r>
        <w:rPr>
          <w:spacing w:val="3"/>
          <w:sz w:val="24"/>
        </w:rPr>
        <w:t xml:space="preserve"> </w:t>
      </w:r>
      <w:r>
        <w:rPr>
          <w:sz w:val="24"/>
        </w:rPr>
        <w:t>Copy</w:t>
      </w:r>
      <w:r>
        <w:rPr>
          <w:spacing w:val="-7"/>
          <w:sz w:val="24"/>
        </w:rPr>
        <w:t xml:space="preserve"> </w:t>
      </w:r>
      <w:r>
        <w:rPr>
          <w:sz w:val="24"/>
        </w:rPr>
        <w:t>of</w:t>
      </w:r>
      <w:r>
        <w:rPr>
          <w:spacing w:val="-2"/>
          <w:sz w:val="24"/>
        </w:rPr>
        <w:t xml:space="preserve"> </w:t>
      </w:r>
      <w:r>
        <w:rPr>
          <w:sz w:val="24"/>
        </w:rPr>
        <w:t>KRA</w:t>
      </w:r>
      <w:r>
        <w:rPr>
          <w:spacing w:val="-3"/>
          <w:sz w:val="24"/>
        </w:rPr>
        <w:t xml:space="preserve"> </w:t>
      </w:r>
      <w:r>
        <w:rPr>
          <w:sz w:val="24"/>
        </w:rPr>
        <w:t>PIN</w:t>
      </w:r>
      <w:r>
        <w:rPr>
          <w:spacing w:val="2"/>
          <w:sz w:val="24"/>
        </w:rPr>
        <w:t xml:space="preserve"> </w:t>
      </w:r>
      <w:r>
        <w:rPr>
          <w:spacing w:val="-2"/>
          <w:sz w:val="24"/>
        </w:rPr>
        <w:t>certificate</w:t>
      </w:r>
    </w:p>
    <w:p w14:paraId="29E2AE89" w14:textId="77777777" w:rsidR="00BB77C0" w:rsidRDefault="00370BAA">
      <w:pPr>
        <w:pStyle w:val="ListParagraph"/>
        <w:numPr>
          <w:ilvl w:val="0"/>
          <w:numId w:val="112"/>
        </w:numPr>
        <w:tabs>
          <w:tab w:val="left" w:pos="1440"/>
        </w:tabs>
        <w:spacing w:before="12" w:line="249" w:lineRule="auto"/>
        <w:ind w:left="720" w:right="706" w:firstLine="0"/>
        <w:rPr>
          <w:sz w:val="24"/>
        </w:rPr>
      </w:pPr>
      <w:r>
        <w:rPr>
          <w:sz w:val="24"/>
        </w:rPr>
        <w:t>Attach</w:t>
      </w:r>
      <w:r>
        <w:rPr>
          <w:spacing w:val="-9"/>
          <w:sz w:val="24"/>
        </w:rPr>
        <w:t xml:space="preserve"> </w:t>
      </w:r>
      <w:r>
        <w:rPr>
          <w:sz w:val="24"/>
        </w:rPr>
        <w:t>Certified</w:t>
      </w:r>
      <w:r>
        <w:rPr>
          <w:spacing w:val="-4"/>
          <w:sz w:val="24"/>
        </w:rPr>
        <w:t xml:space="preserve"> </w:t>
      </w:r>
      <w:r>
        <w:rPr>
          <w:sz w:val="24"/>
        </w:rPr>
        <w:t>copy</w:t>
      </w:r>
      <w:r>
        <w:rPr>
          <w:spacing w:val="-13"/>
          <w:sz w:val="24"/>
        </w:rPr>
        <w:t xml:space="preserve"> </w:t>
      </w:r>
      <w:r>
        <w:rPr>
          <w:sz w:val="24"/>
        </w:rPr>
        <w:t>of</w:t>
      </w:r>
      <w:r>
        <w:rPr>
          <w:spacing w:val="-13"/>
          <w:sz w:val="24"/>
        </w:rPr>
        <w:t xml:space="preserve"> </w:t>
      </w:r>
      <w:r>
        <w:rPr>
          <w:sz w:val="24"/>
        </w:rPr>
        <w:t>Valid</w:t>
      </w:r>
      <w:r>
        <w:rPr>
          <w:spacing w:val="-4"/>
          <w:sz w:val="24"/>
        </w:rPr>
        <w:t xml:space="preserve"> </w:t>
      </w:r>
      <w:r>
        <w:rPr>
          <w:sz w:val="24"/>
        </w:rPr>
        <w:t>Single business</w:t>
      </w:r>
      <w:r>
        <w:rPr>
          <w:spacing w:val="-6"/>
          <w:sz w:val="24"/>
        </w:rPr>
        <w:t xml:space="preserve"> </w:t>
      </w:r>
      <w:r>
        <w:rPr>
          <w:sz w:val="24"/>
        </w:rPr>
        <w:t>permit from</w:t>
      </w:r>
      <w:r>
        <w:rPr>
          <w:spacing w:val="-13"/>
          <w:sz w:val="24"/>
        </w:rPr>
        <w:t xml:space="preserve"> </w:t>
      </w:r>
      <w:r>
        <w:rPr>
          <w:sz w:val="24"/>
        </w:rPr>
        <w:t>any</w:t>
      </w:r>
      <w:r>
        <w:rPr>
          <w:spacing w:val="-9"/>
          <w:sz w:val="24"/>
        </w:rPr>
        <w:t xml:space="preserve"> </w:t>
      </w:r>
      <w:r>
        <w:rPr>
          <w:sz w:val="24"/>
        </w:rPr>
        <w:t>county</w:t>
      </w:r>
      <w:r>
        <w:rPr>
          <w:spacing w:val="-14"/>
          <w:sz w:val="24"/>
        </w:rPr>
        <w:t xml:space="preserve"> </w:t>
      </w:r>
      <w:r>
        <w:rPr>
          <w:sz w:val="24"/>
        </w:rPr>
        <w:t xml:space="preserve">government </w:t>
      </w:r>
      <w:r>
        <w:rPr>
          <w:spacing w:val="-2"/>
          <w:sz w:val="24"/>
        </w:rPr>
        <w:t>authority</w:t>
      </w:r>
    </w:p>
    <w:p w14:paraId="784E7F8E" w14:textId="77777777" w:rsidR="00BB77C0" w:rsidRDefault="00370BAA">
      <w:pPr>
        <w:pStyle w:val="ListParagraph"/>
        <w:numPr>
          <w:ilvl w:val="0"/>
          <w:numId w:val="112"/>
        </w:numPr>
        <w:tabs>
          <w:tab w:val="left" w:pos="1440"/>
        </w:tabs>
        <w:spacing w:line="273" w:lineRule="exact"/>
        <w:ind w:left="1440" w:hanging="720"/>
        <w:rPr>
          <w:sz w:val="24"/>
        </w:rPr>
      </w:pPr>
      <w:r>
        <w:rPr>
          <w:sz w:val="24"/>
        </w:rPr>
        <w:t>Dully</w:t>
      </w:r>
      <w:r>
        <w:rPr>
          <w:spacing w:val="-8"/>
          <w:sz w:val="24"/>
        </w:rPr>
        <w:t xml:space="preserve"> </w:t>
      </w:r>
      <w:r>
        <w:rPr>
          <w:sz w:val="24"/>
        </w:rPr>
        <w:t>filled, signed</w:t>
      </w:r>
      <w:r>
        <w:rPr>
          <w:spacing w:val="-1"/>
          <w:sz w:val="24"/>
        </w:rPr>
        <w:t xml:space="preserve"> </w:t>
      </w:r>
      <w:r>
        <w:rPr>
          <w:sz w:val="24"/>
        </w:rPr>
        <w:t>and</w:t>
      </w:r>
      <w:r>
        <w:rPr>
          <w:spacing w:val="-1"/>
          <w:sz w:val="24"/>
        </w:rPr>
        <w:t xml:space="preserve"> </w:t>
      </w:r>
      <w:r>
        <w:rPr>
          <w:sz w:val="24"/>
        </w:rPr>
        <w:t>stamped</w:t>
      </w:r>
      <w:r>
        <w:rPr>
          <w:spacing w:val="-1"/>
          <w:sz w:val="24"/>
        </w:rPr>
        <w:t xml:space="preserve"> </w:t>
      </w:r>
      <w:r>
        <w:rPr>
          <w:sz w:val="24"/>
        </w:rPr>
        <w:t>Form</w:t>
      </w:r>
      <w:r>
        <w:rPr>
          <w:spacing w:val="-10"/>
          <w:sz w:val="24"/>
        </w:rPr>
        <w:t xml:space="preserve"> </w:t>
      </w:r>
      <w:r>
        <w:rPr>
          <w:sz w:val="24"/>
        </w:rPr>
        <w:t>of</w:t>
      </w:r>
      <w:r>
        <w:rPr>
          <w:spacing w:val="-9"/>
          <w:sz w:val="24"/>
        </w:rPr>
        <w:t xml:space="preserve"> </w:t>
      </w:r>
      <w:r>
        <w:rPr>
          <w:sz w:val="24"/>
        </w:rPr>
        <w:t>Tender</w:t>
      </w:r>
      <w:r>
        <w:rPr>
          <w:spacing w:val="5"/>
          <w:sz w:val="24"/>
        </w:rPr>
        <w:t xml:space="preserve"> </w:t>
      </w:r>
      <w:r>
        <w:rPr>
          <w:sz w:val="24"/>
        </w:rPr>
        <w:t>in</w:t>
      </w:r>
      <w:r>
        <w:rPr>
          <w:spacing w:val="-6"/>
          <w:sz w:val="24"/>
        </w:rPr>
        <w:t xml:space="preserve"> </w:t>
      </w:r>
      <w:r>
        <w:rPr>
          <w:sz w:val="24"/>
        </w:rPr>
        <w:t>the</w:t>
      </w:r>
      <w:r>
        <w:rPr>
          <w:spacing w:val="2"/>
          <w:sz w:val="24"/>
        </w:rPr>
        <w:t xml:space="preserve"> </w:t>
      </w:r>
      <w:r>
        <w:rPr>
          <w:sz w:val="24"/>
        </w:rPr>
        <w:t>format</w:t>
      </w:r>
      <w:r>
        <w:rPr>
          <w:spacing w:val="14"/>
          <w:sz w:val="24"/>
        </w:rPr>
        <w:t xml:space="preserve"> </w:t>
      </w:r>
      <w:r>
        <w:rPr>
          <w:spacing w:val="-2"/>
          <w:sz w:val="24"/>
        </w:rPr>
        <w:t>prescribed.</w:t>
      </w:r>
    </w:p>
    <w:p w14:paraId="768056DB" w14:textId="77777777" w:rsidR="00BB77C0" w:rsidRDefault="00370BAA">
      <w:pPr>
        <w:pStyle w:val="ListParagraph"/>
        <w:numPr>
          <w:ilvl w:val="0"/>
          <w:numId w:val="112"/>
        </w:numPr>
        <w:tabs>
          <w:tab w:val="left" w:pos="1441"/>
        </w:tabs>
        <w:spacing w:before="12" w:line="254" w:lineRule="auto"/>
        <w:ind w:right="3845"/>
        <w:rPr>
          <w:sz w:val="24"/>
        </w:rPr>
      </w:pPr>
      <w:r>
        <w:rPr>
          <w:sz w:val="24"/>
        </w:rPr>
        <w:t>All</w:t>
      </w:r>
      <w:r>
        <w:rPr>
          <w:spacing w:val="-14"/>
          <w:sz w:val="24"/>
        </w:rPr>
        <w:t xml:space="preserve"> </w:t>
      </w:r>
      <w:r>
        <w:rPr>
          <w:sz w:val="24"/>
        </w:rPr>
        <w:t>pages</w:t>
      </w:r>
      <w:r>
        <w:rPr>
          <w:spacing w:val="-12"/>
          <w:sz w:val="24"/>
        </w:rPr>
        <w:t xml:space="preserve"> </w:t>
      </w:r>
      <w:r>
        <w:rPr>
          <w:sz w:val="24"/>
        </w:rPr>
        <w:t>MUST</w:t>
      </w:r>
      <w:r>
        <w:rPr>
          <w:spacing w:val="-7"/>
          <w:sz w:val="24"/>
        </w:rPr>
        <w:t xml:space="preserve"> </w:t>
      </w:r>
      <w:r>
        <w:rPr>
          <w:sz w:val="24"/>
        </w:rPr>
        <w:t>be</w:t>
      </w:r>
      <w:r>
        <w:rPr>
          <w:spacing w:val="-11"/>
          <w:sz w:val="24"/>
        </w:rPr>
        <w:t xml:space="preserve"> </w:t>
      </w:r>
      <w:r>
        <w:rPr>
          <w:sz w:val="24"/>
        </w:rPr>
        <w:t>stamped</w:t>
      </w:r>
      <w:r>
        <w:rPr>
          <w:spacing w:val="-9"/>
          <w:sz w:val="24"/>
        </w:rPr>
        <w:t xml:space="preserve"> </w:t>
      </w:r>
      <w:r>
        <w:rPr>
          <w:sz w:val="24"/>
        </w:rPr>
        <w:t>and</w:t>
      </w:r>
      <w:r>
        <w:rPr>
          <w:spacing w:val="-10"/>
          <w:sz w:val="24"/>
        </w:rPr>
        <w:t xml:space="preserve"> </w:t>
      </w:r>
      <w:r>
        <w:rPr>
          <w:sz w:val="24"/>
        </w:rPr>
        <w:t>serialized/</w:t>
      </w:r>
      <w:r>
        <w:rPr>
          <w:spacing w:val="-8"/>
          <w:sz w:val="24"/>
        </w:rPr>
        <w:t xml:space="preserve"> </w:t>
      </w:r>
      <w:r>
        <w:rPr>
          <w:sz w:val="24"/>
        </w:rPr>
        <w:t xml:space="preserve">paged </w:t>
      </w:r>
      <w:r>
        <w:rPr>
          <w:spacing w:val="-2"/>
          <w:sz w:val="24"/>
        </w:rPr>
        <w:t>REMARKS</w:t>
      </w:r>
    </w:p>
    <w:p w14:paraId="3490FB88" w14:textId="77777777" w:rsidR="00BB77C0" w:rsidRDefault="00370BAA">
      <w:pPr>
        <w:pStyle w:val="Heading5"/>
        <w:spacing w:line="272" w:lineRule="exact"/>
        <w:ind w:left="720"/>
      </w:pPr>
      <w:bookmarkStart w:id="2" w:name="NB:"/>
      <w:bookmarkEnd w:id="2"/>
      <w:r>
        <w:rPr>
          <w:spacing w:val="-5"/>
        </w:rPr>
        <w:t>NB:</w:t>
      </w:r>
    </w:p>
    <w:p w14:paraId="390E6081" w14:textId="77777777" w:rsidR="00BB77C0" w:rsidRDefault="00370BAA">
      <w:pPr>
        <w:tabs>
          <w:tab w:val="left" w:leader="dot" w:pos="5291"/>
        </w:tabs>
        <w:spacing w:before="7"/>
        <w:ind w:left="720"/>
        <w:rPr>
          <w:sz w:val="24"/>
        </w:rPr>
      </w:pPr>
      <w:r>
        <w:rPr>
          <w:spacing w:val="-10"/>
          <w:sz w:val="24"/>
        </w:rPr>
        <w:t>√</w:t>
      </w:r>
      <w:r>
        <w:rPr>
          <w:sz w:val="24"/>
        </w:rPr>
        <w:tab/>
      </w:r>
      <w:r>
        <w:rPr>
          <w:spacing w:val="-2"/>
          <w:sz w:val="24"/>
        </w:rPr>
        <w:t>Responsive</w:t>
      </w:r>
    </w:p>
    <w:p w14:paraId="7799155E" w14:textId="77777777" w:rsidR="00BB77C0" w:rsidRDefault="00370BAA">
      <w:pPr>
        <w:tabs>
          <w:tab w:val="left" w:leader="dot" w:pos="5335"/>
        </w:tabs>
        <w:spacing w:before="12"/>
        <w:ind w:left="720"/>
        <w:rPr>
          <w:sz w:val="24"/>
        </w:rPr>
      </w:pPr>
      <w:r>
        <w:rPr>
          <w:spacing w:val="-10"/>
          <w:sz w:val="24"/>
        </w:rPr>
        <w:t>X</w:t>
      </w:r>
      <w:r>
        <w:rPr>
          <w:sz w:val="24"/>
        </w:rPr>
        <w:tab/>
        <w:t>Non-</w:t>
      </w:r>
      <w:r>
        <w:rPr>
          <w:spacing w:val="-2"/>
          <w:sz w:val="24"/>
        </w:rPr>
        <w:t>Responsive</w:t>
      </w:r>
    </w:p>
    <w:p w14:paraId="46D5B58D" w14:textId="77777777" w:rsidR="00BB77C0" w:rsidRDefault="00370BAA">
      <w:pPr>
        <w:spacing w:before="85" w:line="360" w:lineRule="auto"/>
        <w:ind w:left="360"/>
        <w:rPr>
          <w:sz w:val="24"/>
        </w:rPr>
      </w:pPr>
      <w:r>
        <w:rPr>
          <w:b/>
          <w:sz w:val="24"/>
        </w:rPr>
        <w:t>MANUAL</w:t>
      </w:r>
      <w:r>
        <w:rPr>
          <w:b/>
          <w:spacing w:val="-8"/>
          <w:sz w:val="24"/>
        </w:rPr>
        <w:t xml:space="preserve"> </w:t>
      </w:r>
      <w:r>
        <w:rPr>
          <w:b/>
          <w:sz w:val="24"/>
        </w:rPr>
        <w:t>SUBMISSIONS</w:t>
      </w:r>
      <w:r>
        <w:rPr>
          <w:b/>
          <w:spacing w:val="-5"/>
          <w:sz w:val="24"/>
        </w:rPr>
        <w:t xml:space="preserve"> </w:t>
      </w:r>
      <w:r>
        <w:rPr>
          <w:sz w:val="24"/>
        </w:rPr>
        <w:t>will</w:t>
      </w:r>
      <w:r>
        <w:rPr>
          <w:spacing w:val="-5"/>
          <w:sz w:val="24"/>
        </w:rPr>
        <w:t xml:space="preserve"> </w:t>
      </w:r>
      <w:r>
        <w:rPr>
          <w:sz w:val="24"/>
        </w:rPr>
        <w:t>not</w:t>
      </w:r>
      <w:r>
        <w:rPr>
          <w:spacing w:val="-1"/>
          <w:sz w:val="24"/>
        </w:rPr>
        <w:t xml:space="preserve"> </w:t>
      </w:r>
      <w:r>
        <w:rPr>
          <w:sz w:val="24"/>
        </w:rPr>
        <w:t>be</w:t>
      </w:r>
      <w:r>
        <w:rPr>
          <w:spacing w:val="-8"/>
          <w:sz w:val="24"/>
        </w:rPr>
        <w:t xml:space="preserve"> </w:t>
      </w:r>
      <w:r>
        <w:rPr>
          <w:sz w:val="24"/>
        </w:rPr>
        <w:t>accepted.</w:t>
      </w:r>
      <w:r>
        <w:rPr>
          <w:spacing w:val="-8"/>
          <w:sz w:val="24"/>
        </w:rPr>
        <w:t xml:space="preserve"> </w:t>
      </w:r>
      <w:r>
        <w:rPr>
          <w:sz w:val="24"/>
        </w:rPr>
        <w:t>All</w:t>
      </w:r>
      <w:r>
        <w:rPr>
          <w:spacing w:val="-11"/>
          <w:sz w:val="24"/>
        </w:rPr>
        <w:t xml:space="preserve"> </w:t>
      </w:r>
      <w:r>
        <w:rPr>
          <w:sz w:val="24"/>
        </w:rPr>
        <w:t>tenders</w:t>
      </w:r>
      <w:r>
        <w:rPr>
          <w:spacing w:val="-3"/>
          <w:sz w:val="24"/>
        </w:rPr>
        <w:t xml:space="preserve"> </w:t>
      </w:r>
      <w:r>
        <w:rPr>
          <w:sz w:val="24"/>
        </w:rPr>
        <w:t>must</w:t>
      </w:r>
      <w:r>
        <w:rPr>
          <w:spacing w:val="-2"/>
          <w:sz w:val="24"/>
        </w:rPr>
        <w:t xml:space="preserve"> </w:t>
      </w:r>
      <w:r>
        <w:rPr>
          <w:sz w:val="24"/>
        </w:rPr>
        <w:t>be</w:t>
      </w:r>
      <w:r>
        <w:rPr>
          <w:spacing w:val="-7"/>
          <w:sz w:val="24"/>
        </w:rPr>
        <w:t xml:space="preserve"> </w:t>
      </w:r>
      <w:r>
        <w:rPr>
          <w:sz w:val="24"/>
        </w:rPr>
        <w:t>submitted</w:t>
      </w:r>
      <w:r>
        <w:rPr>
          <w:spacing w:val="-6"/>
          <w:sz w:val="24"/>
        </w:rPr>
        <w:t xml:space="preserve"> </w:t>
      </w:r>
      <w:r>
        <w:rPr>
          <w:sz w:val="24"/>
        </w:rPr>
        <w:t>through</w:t>
      </w:r>
      <w:r>
        <w:rPr>
          <w:spacing w:val="-14"/>
          <w:sz w:val="24"/>
        </w:rPr>
        <w:t xml:space="preserve"> </w:t>
      </w:r>
      <w:r>
        <w:rPr>
          <w:sz w:val="24"/>
        </w:rPr>
        <w:t>the</w:t>
      </w:r>
      <w:r>
        <w:rPr>
          <w:spacing w:val="-8"/>
          <w:sz w:val="24"/>
        </w:rPr>
        <w:t xml:space="preserve"> </w:t>
      </w:r>
      <w:r>
        <w:rPr>
          <w:sz w:val="24"/>
        </w:rPr>
        <w:t xml:space="preserve">IFMIS </w:t>
      </w:r>
      <w:r>
        <w:rPr>
          <w:spacing w:val="-2"/>
          <w:sz w:val="24"/>
        </w:rPr>
        <w:t>platform.</w:t>
      </w:r>
    </w:p>
    <w:p w14:paraId="0FA2CC8D" w14:textId="77777777" w:rsidR="00BB77C0" w:rsidRDefault="00370BAA">
      <w:pPr>
        <w:pStyle w:val="BodyText"/>
        <w:rPr>
          <w:sz w:val="16"/>
        </w:rPr>
      </w:pPr>
      <w:r>
        <w:rPr>
          <w:noProof/>
          <w:sz w:val="16"/>
        </w:rPr>
        <w:drawing>
          <wp:anchor distT="0" distB="0" distL="0" distR="0" simplePos="0" relativeHeight="487588352" behindDoc="1" locked="0" layoutInCell="1" allowOverlap="1" wp14:anchorId="014C5467" wp14:editId="684EB295">
            <wp:simplePos x="0" y="0"/>
            <wp:positionH relativeFrom="page">
              <wp:posOffset>830580</wp:posOffset>
            </wp:positionH>
            <wp:positionV relativeFrom="paragraph">
              <wp:posOffset>132335</wp:posOffset>
            </wp:positionV>
            <wp:extent cx="1698436" cy="557784"/>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1" cstate="print"/>
                    <a:stretch>
                      <a:fillRect/>
                    </a:stretch>
                  </pic:blipFill>
                  <pic:spPr>
                    <a:xfrm>
                      <a:off x="0" y="0"/>
                      <a:ext cx="1698436" cy="557784"/>
                    </a:xfrm>
                    <a:prstGeom prst="rect">
                      <a:avLst/>
                    </a:prstGeom>
                  </pic:spPr>
                </pic:pic>
              </a:graphicData>
            </a:graphic>
          </wp:anchor>
        </w:drawing>
      </w:r>
    </w:p>
    <w:p w14:paraId="738DE708" w14:textId="77777777" w:rsidR="00BB77C0" w:rsidRDefault="00BB77C0">
      <w:pPr>
        <w:pStyle w:val="BodyText"/>
        <w:spacing w:before="217"/>
        <w:rPr>
          <w:sz w:val="24"/>
        </w:rPr>
      </w:pPr>
    </w:p>
    <w:p w14:paraId="25E50562" w14:textId="77777777" w:rsidR="00BB77C0" w:rsidRDefault="00370BAA">
      <w:pPr>
        <w:pStyle w:val="Heading5"/>
        <w:spacing w:line="216" w:lineRule="auto"/>
        <w:ind w:left="360" w:right="6610"/>
      </w:pPr>
      <w:bookmarkStart w:id="3" w:name="TIMOTHY_WANJALA_CHIEF_OFFICER"/>
      <w:bookmarkEnd w:id="3"/>
      <w:r>
        <w:rPr>
          <w:color w:val="211F1F"/>
          <w:spacing w:val="-2"/>
        </w:rPr>
        <w:t>TIMOTHY</w:t>
      </w:r>
      <w:r>
        <w:rPr>
          <w:color w:val="211F1F"/>
          <w:spacing w:val="-13"/>
        </w:rPr>
        <w:t xml:space="preserve"> </w:t>
      </w:r>
      <w:r>
        <w:rPr>
          <w:color w:val="211F1F"/>
          <w:spacing w:val="-2"/>
        </w:rPr>
        <w:t xml:space="preserve">WANJALA </w:t>
      </w:r>
      <w:r>
        <w:t>CHIEF OFFICER</w:t>
      </w:r>
    </w:p>
    <w:p w14:paraId="5E0C5498" w14:textId="77777777" w:rsidR="00BB77C0" w:rsidRDefault="00370BAA">
      <w:pPr>
        <w:spacing w:line="261" w:lineRule="exact"/>
        <w:ind w:left="360"/>
        <w:rPr>
          <w:b/>
          <w:sz w:val="24"/>
        </w:rPr>
      </w:pPr>
      <w:r>
        <w:rPr>
          <w:b/>
          <w:sz w:val="24"/>
          <w:u w:val="single"/>
        </w:rPr>
        <w:t>DEPARTMENT</w:t>
      </w:r>
      <w:r>
        <w:rPr>
          <w:b/>
          <w:spacing w:val="-12"/>
          <w:sz w:val="24"/>
          <w:u w:val="single"/>
        </w:rPr>
        <w:t xml:space="preserve"> </w:t>
      </w:r>
      <w:r>
        <w:rPr>
          <w:b/>
          <w:sz w:val="24"/>
          <w:u w:val="single"/>
        </w:rPr>
        <w:t>OF</w:t>
      </w:r>
      <w:r>
        <w:rPr>
          <w:b/>
          <w:spacing w:val="-11"/>
          <w:sz w:val="24"/>
          <w:u w:val="single"/>
        </w:rPr>
        <w:t xml:space="preserve"> </w:t>
      </w:r>
      <w:r>
        <w:rPr>
          <w:b/>
          <w:sz w:val="24"/>
          <w:u w:val="single"/>
        </w:rPr>
        <w:t>CO-OPERATIVES</w:t>
      </w:r>
      <w:r>
        <w:rPr>
          <w:b/>
          <w:spacing w:val="-7"/>
          <w:sz w:val="24"/>
          <w:u w:val="single"/>
        </w:rPr>
        <w:t xml:space="preserve"> </w:t>
      </w:r>
      <w:r>
        <w:rPr>
          <w:b/>
          <w:spacing w:val="-2"/>
          <w:sz w:val="24"/>
          <w:u w:val="single"/>
        </w:rPr>
        <w:t>DEVELOPMENT.</w:t>
      </w:r>
    </w:p>
    <w:p w14:paraId="1A163CD0" w14:textId="77777777" w:rsidR="00BB77C0" w:rsidRDefault="00BB77C0">
      <w:pPr>
        <w:spacing w:line="261" w:lineRule="exact"/>
        <w:rPr>
          <w:b/>
          <w:sz w:val="24"/>
        </w:rPr>
        <w:sectPr w:rsidR="00BB77C0">
          <w:pgSz w:w="11930" w:h="16870"/>
          <w:pgMar w:top="1340" w:right="1080" w:bottom="280" w:left="720" w:header="720" w:footer="720" w:gutter="0"/>
          <w:cols w:space="720"/>
        </w:sectPr>
      </w:pPr>
    </w:p>
    <w:p w14:paraId="6227B91F" w14:textId="77777777" w:rsidR="00BB77C0" w:rsidRDefault="00370BAA">
      <w:pPr>
        <w:spacing w:before="27"/>
        <w:ind w:left="1820"/>
        <w:rPr>
          <w:rFonts w:ascii="Calibri"/>
          <w:b/>
          <w:sz w:val="26"/>
        </w:rPr>
      </w:pPr>
      <w:r>
        <w:rPr>
          <w:rFonts w:ascii="Calibri"/>
          <w:b/>
          <w:spacing w:val="-2"/>
          <w:sz w:val="26"/>
        </w:rPr>
        <w:lastRenderedPageBreak/>
        <w:t>TECHNICAL</w:t>
      </w:r>
      <w:r>
        <w:rPr>
          <w:rFonts w:ascii="Calibri"/>
          <w:b/>
          <w:spacing w:val="-7"/>
          <w:sz w:val="26"/>
        </w:rPr>
        <w:t xml:space="preserve"> </w:t>
      </w:r>
      <w:r>
        <w:rPr>
          <w:rFonts w:ascii="Calibri"/>
          <w:b/>
          <w:spacing w:val="-2"/>
          <w:sz w:val="26"/>
        </w:rPr>
        <w:t>EVALUATION</w:t>
      </w:r>
    </w:p>
    <w:p w14:paraId="28F5D7FE" w14:textId="77777777" w:rsidR="00BB77C0" w:rsidRDefault="00BB77C0">
      <w:pPr>
        <w:pStyle w:val="BodyText"/>
        <w:spacing w:before="6"/>
        <w:rPr>
          <w:rFonts w:ascii="Calibri"/>
          <w:b/>
          <w:sz w:val="15"/>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5"/>
        <w:gridCol w:w="7788"/>
        <w:gridCol w:w="1983"/>
      </w:tblGrid>
      <w:tr w:rsidR="00BB77C0" w14:paraId="5395C7AC" w14:textId="77777777">
        <w:trPr>
          <w:trHeight w:val="316"/>
        </w:trPr>
        <w:tc>
          <w:tcPr>
            <w:tcW w:w="715" w:type="dxa"/>
          </w:tcPr>
          <w:p w14:paraId="7A6BFD2B" w14:textId="77777777" w:rsidR="00BB77C0" w:rsidRDefault="00370BAA">
            <w:pPr>
              <w:pStyle w:val="TableParagraph"/>
              <w:spacing w:line="296" w:lineRule="exact"/>
              <w:ind w:left="110"/>
              <w:rPr>
                <w:rFonts w:ascii="Calibri"/>
                <w:b/>
                <w:sz w:val="26"/>
              </w:rPr>
            </w:pPr>
            <w:r>
              <w:rPr>
                <w:rFonts w:ascii="Calibri"/>
                <w:b/>
                <w:spacing w:val="-5"/>
                <w:sz w:val="26"/>
              </w:rPr>
              <w:t>NO</w:t>
            </w:r>
          </w:p>
        </w:tc>
        <w:tc>
          <w:tcPr>
            <w:tcW w:w="7788" w:type="dxa"/>
          </w:tcPr>
          <w:p w14:paraId="1BDC48EB" w14:textId="77777777" w:rsidR="00BB77C0" w:rsidRDefault="00370BAA">
            <w:pPr>
              <w:pStyle w:val="TableParagraph"/>
              <w:spacing w:line="296" w:lineRule="exact"/>
              <w:ind w:left="110"/>
              <w:rPr>
                <w:rFonts w:ascii="Calibri"/>
                <w:b/>
                <w:sz w:val="26"/>
              </w:rPr>
            </w:pPr>
            <w:r>
              <w:rPr>
                <w:rFonts w:ascii="Calibri"/>
                <w:b/>
                <w:spacing w:val="-2"/>
                <w:sz w:val="26"/>
              </w:rPr>
              <w:t>DESCRIPTION</w:t>
            </w:r>
          </w:p>
        </w:tc>
        <w:tc>
          <w:tcPr>
            <w:tcW w:w="1983" w:type="dxa"/>
          </w:tcPr>
          <w:p w14:paraId="6CE6213B" w14:textId="77777777" w:rsidR="00BB77C0" w:rsidRDefault="00370BAA">
            <w:pPr>
              <w:pStyle w:val="TableParagraph"/>
              <w:spacing w:line="296" w:lineRule="exact"/>
              <w:ind w:left="110"/>
              <w:rPr>
                <w:rFonts w:ascii="Calibri"/>
                <w:b/>
                <w:sz w:val="26"/>
              </w:rPr>
            </w:pPr>
            <w:r>
              <w:rPr>
                <w:rFonts w:ascii="Calibri"/>
                <w:b/>
                <w:sz w:val="26"/>
              </w:rPr>
              <w:t>MAX</w:t>
            </w:r>
            <w:r>
              <w:rPr>
                <w:rFonts w:ascii="Calibri"/>
                <w:b/>
                <w:spacing w:val="-12"/>
                <w:sz w:val="26"/>
              </w:rPr>
              <w:t xml:space="preserve"> </w:t>
            </w:r>
            <w:r>
              <w:rPr>
                <w:rFonts w:ascii="Calibri"/>
                <w:b/>
                <w:spacing w:val="-2"/>
                <w:sz w:val="26"/>
              </w:rPr>
              <w:t>POINTS</w:t>
            </w:r>
          </w:p>
        </w:tc>
      </w:tr>
      <w:tr w:rsidR="00BB77C0" w14:paraId="5129FBD4" w14:textId="77777777">
        <w:trPr>
          <w:trHeight w:val="633"/>
        </w:trPr>
        <w:tc>
          <w:tcPr>
            <w:tcW w:w="715" w:type="dxa"/>
          </w:tcPr>
          <w:p w14:paraId="3419F969" w14:textId="77777777" w:rsidR="00BB77C0" w:rsidRDefault="00370BAA">
            <w:pPr>
              <w:pStyle w:val="TableParagraph"/>
              <w:spacing w:before="6"/>
              <w:ind w:left="110"/>
              <w:rPr>
                <w:rFonts w:ascii="Calibri"/>
                <w:sz w:val="26"/>
              </w:rPr>
            </w:pPr>
            <w:r>
              <w:rPr>
                <w:rFonts w:ascii="Calibri"/>
                <w:spacing w:val="-10"/>
                <w:sz w:val="26"/>
              </w:rPr>
              <w:t>1</w:t>
            </w:r>
          </w:p>
        </w:tc>
        <w:tc>
          <w:tcPr>
            <w:tcW w:w="7788" w:type="dxa"/>
          </w:tcPr>
          <w:p w14:paraId="63820882" w14:textId="77777777" w:rsidR="00BB77C0" w:rsidRDefault="00370BAA">
            <w:pPr>
              <w:pStyle w:val="TableParagraph"/>
              <w:spacing w:before="6" w:line="310" w:lineRule="exact"/>
              <w:ind w:left="110"/>
              <w:rPr>
                <w:rFonts w:ascii="Calibri"/>
                <w:sz w:val="26"/>
              </w:rPr>
            </w:pPr>
            <w:r>
              <w:rPr>
                <w:rFonts w:ascii="Calibri"/>
                <w:b/>
                <w:spacing w:val="-2"/>
                <w:sz w:val="26"/>
              </w:rPr>
              <w:t>Key</w:t>
            </w:r>
            <w:r>
              <w:rPr>
                <w:rFonts w:ascii="Calibri"/>
                <w:b/>
                <w:spacing w:val="-3"/>
                <w:sz w:val="26"/>
              </w:rPr>
              <w:t xml:space="preserve"> </w:t>
            </w:r>
            <w:r>
              <w:rPr>
                <w:rFonts w:ascii="Calibri"/>
                <w:b/>
                <w:spacing w:val="-2"/>
                <w:sz w:val="26"/>
              </w:rPr>
              <w:t>Personnel</w:t>
            </w:r>
            <w:r>
              <w:rPr>
                <w:rFonts w:ascii="Calibri"/>
                <w:b/>
                <w:spacing w:val="-6"/>
                <w:sz w:val="26"/>
              </w:rPr>
              <w:t xml:space="preserve"> </w:t>
            </w:r>
            <w:r>
              <w:rPr>
                <w:rFonts w:ascii="Calibri"/>
                <w:b/>
                <w:spacing w:val="-2"/>
                <w:sz w:val="26"/>
              </w:rPr>
              <w:t>{attach</w:t>
            </w:r>
            <w:r>
              <w:rPr>
                <w:rFonts w:ascii="Calibri"/>
                <w:b/>
                <w:spacing w:val="-3"/>
                <w:sz w:val="26"/>
              </w:rPr>
              <w:t xml:space="preserve"> </w:t>
            </w:r>
            <w:r>
              <w:rPr>
                <w:rFonts w:ascii="Calibri"/>
                <w:b/>
                <w:spacing w:val="-2"/>
                <w:sz w:val="26"/>
              </w:rPr>
              <w:t>evidence</w:t>
            </w:r>
            <w:r>
              <w:rPr>
                <w:rFonts w:ascii="Calibri"/>
                <w:spacing w:val="-2"/>
                <w:sz w:val="26"/>
              </w:rPr>
              <w:t>}</w:t>
            </w:r>
          </w:p>
          <w:p w14:paraId="0E8D5B7D" w14:textId="77777777" w:rsidR="00BB77C0" w:rsidRDefault="00370BAA">
            <w:pPr>
              <w:pStyle w:val="TableParagraph"/>
              <w:spacing w:line="297" w:lineRule="exact"/>
              <w:ind w:left="110"/>
              <w:rPr>
                <w:rFonts w:ascii="Calibri"/>
                <w:sz w:val="26"/>
              </w:rPr>
            </w:pPr>
            <w:r>
              <w:rPr>
                <w:rFonts w:ascii="Calibri"/>
                <w:sz w:val="26"/>
              </w:rPr>
              <w:t>At</w:t>
            </w:r>
            <w:r>
              <w:rPr>
                <w:rFonts w:ascii="Calibri"/>
                <w:spacing w:val="-15"/>
                <w:sz w:val="26"/>
              </w:rPr>
              <w:t xml:space="preserve"> </w:t>
            </w:r>
            <w:r>
              <w:rPr>
                <w:rFonts w:ascii="Calibri"/>
                <w:sz w:val="26"/>
              </w:rPr>
              <w:t>least</w:t>
            </w:r>
            <w:r>
              <w:rPr>
                <w:rFonts w:ascii="Calibri"/>
                <w:spacing w:val="-14"/>
                <w:sz w:val="26"/>
              </w:rPr>
              <w:t xml:space="preserve"> </w:t>
            </w:r>
            <w:r>
              <w:rPr>
                <w:rFonts w:ascii="Calibri"/>
                <w:sz w:val="26"/>
              </w:rPr>
              <w:t>2</w:t>
            </w:r>
            <w:r>
              <w:rPr>
                <w:rFonts w:ascii="Calibri"/>
                <w:spacing w:val="-9"/>
                <w:sz w:val="26"/>
              </w:rPr>
              <w:t xml:space="preserve"> </w:t>
            </w:r>
            <w:r>
              <w:rPr>
                <w:rFonts w:ascii="Calibri"/>
                <w:sz w:val="26"/>
              </w:rPr>
              <w:t>no.</w:t>
            </w:r>
            <w:r>
              <w:rPr>
                <w:rFonts w:ascii="Calibri"/>
                <w:spacing w:val="-11"/>
                <w:sz w:val="26"/>
              </w:rPr>
              <w:t xml:space="preserve"> </w:t>
            </w:r>
            <w:r>
              <w:rPr>
                <w:rFonts w:ascii="Calibri"/>
                <w:sz w:val="26"/>
              </w:rPr>
              <w:t>Degree/</w:t>
            </w:r>
            <w:r>
              <w:rPr>
                <w:rFonts w:ascii="Calibri"/>
                <w:spacing w:val="-10"/>
                <w:sz w:val="26"/>
              </w:rPr>
              <w:t xml:space="preserve"> </w:t>
            </w:r>
            <w:r>
              <w:rPr>
                <w:rFonts w:ascii="Calibri"/>
                <w:sz w:val="26"/>
              </w:rPr>
              <w:t>Diploma</w:t>
            </w:r>
            <w:r>
              <w:rPr>
                <w:rFonts w:ascii="Calibri"/>
                <w:spacing w:val="-12"/>
                <w:sz w:val="26"/>
              </w:rPr>
              <w:t xml:space="preserve"> </w:t>
            </w:r>
            <w:r>
              <w:rPr>
                <w:rFonts w:ascii="Calibri"/>
                <w:sz w:val="26"/>
              </w:rPr>
              <w:t>holder</w:t>
            </w:r>
            <w:r>
              <w:rPr>
                <w:rFonts w:ascii="Calibri"/>
                <w:spacing w:val="-5"/>
                <w:sz w:val="26"/>
              </w:rPr>
              <w:t xml:space="preserve"> </w:t>
            </w:r>
            <w:r>
              <w:rPr>
                <w:rFonts w:ascii="Calibri"/>
                <w:sz w:val="26"/>
              </w:rPr>
              <w:t>of</w:t>
            </w:r>
            <w:r>
              <w:rPr>
                <w:rFonts w:ascii="Calibri"/>
                <w:spacing w:val="-14"/>
                <w:sz w:val="26"/>
              </w:rPr>
              <w:t xml:space="preserve"> </w:t>
            </w:r>
            <w:r>
              <w:rPr>
                <w:rFonts w:ascii="Calibri"/>
                <w:sz w:val="26"/>
              </w:rPr>
              <w:t>key</w:t>
            </w:r>
            <w:r>
              <w:rPr>
                <w:rFonts w:ascii="Calibri"/>
                <w:spacing w:val="-9"/>
                <w:sz w:val="26"/>
              </w:rPr>
              <w:t xml:space="preserve"> </w:t>
            </w:r>
            <w:r>
              <w:rPr>
                <w:rFonts w:ascii="Calibri"/>
                <w:sz w:val="26"/>
              </w:rPr>
              <w:t>personnel</w:t>
            </w:r>
            <w:r>
              <w:rPr>
                <w:rFonts w:ascii="Calibri"/>
                <w:spacing w:val="-13"/>
                <w:sz w:val="26"/>
              </w:rPr>
              <w:t xml:space="preserve"> </w:t>
            </w:r>
            <w:r>
              <w:rPr>
                <w:rFonts w:ascii="Calibri"/>
                <w:sz w:val="26"/>
              </w:rPr>
              <w:t>{5</w:t>
            </w:r>
            <w:r>
              <w:rPr>
                <w:rFonts w:ascii="Calibri"/>
                <w:spacing w:val="-13"/>
                <w:sz w:val="26"/>
              </w:rPr>
              <w:t xml:space="preserve"> </w:t>
            </w:r>
            <w:r>
              <w:rPr>
                <w:rFonts w:ascii="Calibri"/>
                <w:sz w:val="26"/>
              </w:rPr>
              <w:t>marks</w:t>
            </w:r>
            <w:r>
              <w:rPr>
                <w:rFonts w:ascii="Calibri"/>
                <w:spacing w:val="-13"/>
                <w:sz w:val="26"/>
              </w:rPr>
              <w:t xml:space="preserve"> </w:t>
            </w:r>
            <w:r>
              <w:rPr>
                <w:rFonts w:ascii="Calibri"/>
                <w:spacing w:val="-2"/>
                <w:sz w:val="26"/>
              </w:rPr>
              <w:t>each}</w:t>
            </w:r>
          </w:p>
        </w:tc>
        <w:tc>
          <w:tcPr>
            <w:tcW w:w="1983" w:type="dxa"/>
          </w:tcPr>
          <w:p w14:paraId="5FFB9257" w14:textId="77777777" w:rsidR="00BB77C0" w:rsidRDefault="00370BAA">
            <w:pPr>
              <w:pStyle w:val="TableParagraph"/>
              <w:spacing w:before="6"/>
              <w:ind w:left="292"/>
              <w:rPr>
                <w:rFonts w:ascii="Calibri"/>
                <w:b/>
                <w:sz w:val="26"/>
              </w:rPr>
            </w:pPr>
            <w:r>
              <w:rPr>
                <w:rFonts w:ascii="Calibri"/>
                <w:b/>
                <w:sz w:val="26"/>
              </w:rPr>
              <w:t>14</w:t>
            </w:r>
            <w:r>
              <w:rPr>
                <w:rFonts w:ascii="Calibri"/>
                <w:b/>
                <w:spacing w:val="-13"/>
                <w:sz w:val="26"/>
              </w:rPr>
              <w:t xml:space="preserve"> </w:t>
            </w:r>
            <w:r>
              <w:rPr>
                <w:rFonts w:ascii="Calibri"/>
                <w:b/>
                <w:spacing w:val="-2"/>
                <w:sz w:val="26"/>
              </w:rPr>
              <w:t>marks</w:t>
            </w:r>
          </w:p>
        </w:tc>
      </w:tr>
      <w:tr w:rsidR="00BB77C0" w14:paraId="6DBAAD94" w14:textId="77777777">
        <w:trPr>
          <w:trHeight w:val="1267"/>
        </w:trPr>
        <w:tc>
          <w:tcPr>
            <w:tcW w:w="715" w:type="dxa"/>
          </w:tcPr>
          <w:p w14:paraId="52AEE741" w14:textId="77777777" w:rsidR="00BB77C0" w:rsidRDefault="00370BAA">
            <w:pPr>
              <w:pStyle w:val="TableParagraph"/>
              <w:spacing w:before="6"/>
              <w:ind w:left="110"/>
              <w:rPr>
                <w:rFonts w:ascii="Calibri"/>
                <w:sz w:val="26"/>
              </w:rPr>
            </w:pPr>
            <w:r>
              <w:rPr>
                <w:rFonts w:ascii="Calibri"/>
                <w:spacing w:val="-10"/>
                <w:sz w:val="26"/>
              </w:rPr>
              <w:t>2</w:t>
            </w:r>
          </w:p>
        </w:tc>
        <w:tc>
          <w:tcPr>
            <w:tcW w:w="7788" w:type="dxa"/>
          </w:tcPr>
          <w:p w14:paraId="1AEA9064" w14:textId="77777777" w:rsidR="00BB77C0" w:rsidRDefault="00370BAA">
            <w:pPr>
              <w:pStyle w:val="TableParagraph"/>
              <w:spacing w:before="6" w:line="312" w:lineRule="exact"/>
              <w:ind w:left="167"/>
              <w:rPr>
                <w:rFonts w:ascii="Calibri"/>
                <w:b/>
                <w:sz w:val="26"/>
              </w:rPr>
            </w:pPr>
            <w:r>
              <w:rPr>
                <w:rFonts w:ascii="Calibri"/>
                <w:b/>
                <w:spacing w:val="-2"/>
                <w:sz w:val="26"/>
              </w:rPr>
              <w:t>Experience</w:t>
            </w:r>
          </w:p>
          <w:p w14:paraId="33B215C2" w14:textId="77777777" w:rsidR="00BB77C0" w:rsidRDefault="00370BAA">
            <w:pPr>
              <w:pStyle w:val="TableParagraph"/>
              <w:ind w:left="110" w:right="6"/>
              <w:rPr>
                <w:rFonts w:ascii="Calibri"/>
                <w:sz w:val="26"/>
              </w:rPr>
            </w:pPr>
            <w:r>
              <w:rPr>
                <w:rFonts w:ascii="Calibri"/>
                <w:sz w:val="26"/>
              </w:rPr>
              <w:t>a.</w:t>
            </w:r>
            <w:r>
              <w:rPr>
                <w:rFonts w:ascii="Calibri"/>
                <w:spacing w:val="-8"/>
                <w:sz w:val="26"/>
              </w:rPr>
              <w:t xml:space="preserve"> </w:t>
            </w:r>
            <w:r>
              <w:rPr>
                <w:rFonts w:ascii="Calibri"/>
                <w:sz w:val="26"/>
              </w:rPr>
              <w:t>Proof</w:t>
            </w:r>
            <w:r>
              <w:rPr>
                <w:rFonts w:ascii="Calibri"/>
                <w:spacing w:val="-7"/>
                <w:sz w:val="26"/>
              </w:rPr>
              <w:t xml:space="preserve"> </w:t>
            </w:r>
            <w:r>
              <w:rPr>
                <w:rFonts w:ascii="Calibri"/>
                <w:sz w:val="26"/>
              </w:rPr>
              <w:t>of</w:t>
            </w:r>
            <w:r>
              <w:rPr>
                <w:rFonts w:ascii="Calibri"/>
                <w:spacing w:val="-8"/>
                <w:sz w:val="26"/>
              </w:rPr>
              <w:t xml:space="preserve"> </w:t>
            </w:r>
            <w:r>
              <w:rPr>
                <w:rFonts w:ascii="Calibri"/>
                <w:sz w:val="26"/>
              </w:rPr>
              <w:t>supply</w:t>
            </w:r>
            <w:r>
              <w:rPr>
                <w:rFonts w:ascii="Calibri"/>
                <w:spacing w:val="-3"/>
                <w:sz w:val="26"/>
              </w:rPr>
              <w:t xml:space="preserve"> </w:t>
            </w:r>
            <w:r>
              <w:rPr>
                <w:rFonts w:ascii="Calibri"/>
                <w:sz w:val="26"/>
              </w:rPr>
              <w:t>of</w:t>
            </w:r>
            <w:r>
              <w:rPr>
                <w:rFonts w:ascii="Calibri"/>
                <w:spacing w:val="-8"/>
                <w:sz w:val="26"/>
              </w:rPr>
              <w:t xml:space="preserve"> </w:t>
            </w:r>
            <w:r>
              <w:rPr>
                <w:rFonts w:ascii="Calibri"/>
                <w:sz w:val="26"/>
              </w:rPr>
              <w:t>items</w:t>
            </w:r>
            <w:r>
              <w:rPr>
                <w:rFonts w:ascii="Calibri"/>
                <w:spacing w:val="-7"/>
                <w:sz w:val="26"/>
              </w:rPr>
              <w:t xml:space="preserve"> </w:t>
            </w:r>
            <w:r>
              <w:rPr>
                <w:rFonts w:ascii="Calibri"/>
                <w:sz w:val="26"/>
              </w:rPr>
              <w:t>of</w:t>
            </w:r>
            <w:r>
              <w:rPr>
                <w:rFonts w:ascii="Calibri"/>
                <w:spacing w:val="-8"/>
                <w:sz w:val="26"/>
              </w:rPr>
              <w:t xml:space="preserve"> </w:t>
            </w:r>
            <w:r>
              <w:rPr>
                <w:rFonts w:ascii="Calibri"/>
                <w:sz w:val="26"/>
              </w:rPr>
              <w:t>similar</w:t>
            </w:r>
            <w:r>
              <w:rPr>
                <w:rFonts w:ascii="Calibri"/>
                <w:spacing w:val="-4"/>
                <w:sz w:val="26"/>
              </w:rPr>
              <w:t xml:space="preserve"> </w:t>
            </w:r>
            <w:r>
              <w:rPr>
                <w:rFonts w:ascii="Calibri"/>
                <w:sz w:val="26"/>
              </w:rPr>
              <w:t>nature</w:t>
            </w:r>
            <w:r>
              <w:rPr>
                <w:rFonts w:ascii="Calibri"/>
                <w:spacing w:val="-5"/>
                <w:sz w:val="26"/>
              </w:rPr>
              <w:t xml:space="preserve"> </w:t>
            </w:r>
            <w:r>
              <w:rPr>
                <w:rFonts w:ascii="Calibri"/>
                <w:sz w:val="26"/>
              </w:rPr>
              <w:t>{attach</w:t>
            </w:r>
            <w:r>
              <w:rPr>
                <w:rFonts w:ascii="Calibri"/>
                <w:spacing w:val="-7"/>
                <w:sz w:val="26"/>
              </w:rPr>
              <w:t xml:space="preserve"> </w:t>
            </w:r>
            <w:r>
              <w:rPr>
                <w:rFonts w:ascii="Calibri"/>
                <w:sz w:val="26"/>
              </w:rPr>
              <w:t>4</w:t>
            </w:r>
            <w:r>
              <w:rPr>
                <w:rFonts w:ascii="Calibri"/>
                <w:spacing w:val="-7"/>
                <w:sz w:val="26"/>
              </w:rPr>
              <w:t xml:space="preserve"> </w:t>
            </w:r>
            <w:r>
              <w:rPr>
                <w:rFonts w:ascii="Calibri"/>
                <w:sz w:val="26"/>
              </w:rPr>
              <w:t>(LPOS}</w:t>
            </w:r>
            <w:r>
              <w:rPr>
                <w:rFonts w:ascii="Calibri"/>
                <w:spacing w:val="-10"/>
                <w:sz w:val="26"/>
              </w:rPr>
              <w:t xml:space="preserve"> </w:t>
            </w:r>
            <w:r>
              <w:rPr>
                <w:rFonts w:ascii="Calibri"/>
                <w:sz w:val="26"/>
              </w:rPr>
              <w:t>Each</w:t>
            </w:r>
            <w:r>
              <w:rPr>
                <w:rFonts w:ascii="Calibri"/>
                <w:spacing w:val="-7"/>
                <w:sz w:val="26"/>
              </w:rPr>
              <w:t xml:space="preserve"> </w:t>
            </w:r>
            <w:r>
              <w:rPr>
                <w:rFonts w:ascii="Calibri"/>
                <w:sz w:val="26"/>
              </w:rPr>
              <w:t xml:space="preserve">5 </w:t>
            </w:r>
            <w:r>
              <w:rPr>
                <w:rFonts w:ascii="Calibri"/>
                <w:spacing w:val="-2"/>
                <w:sz w:val="26"/>
              </w:rPr>
              <w:t>marks.</w:t>
            </w:r>
          </w:p>
        </w:tc>
        <w:tc>
          <w:tcPr>
            <w:tcW w:w="1983" w:type="dxa"/>
          </w:tcPr>
          <w:p w14:paraId="51F98D9D" w14:textId="77777777" w:rsidR="00BB77C0" w:rsidRDefault="00370BAA">
            <w:pPr>
              <w:pStyle w:val="TableParagraph"/>
              <w:spacing w:before="6"/>
              <w:ind w:left="292"/>
              <w:rPr>
                <w:rFonts w:ascii="Calibri"/>
                <w:b/>
                <w:sz w:val="26"/>
              </w:rPr>
            </w:pPr>
            <w:r>
              <w:rPr>
                <w:rFonts w:ascii="Calibri"/>
                <w:b/>
                <w:sz w:val="26"/>
              </w:rPr>
              <w:t>20</w:t>
            </w:r>
            <w:r>
              <w:rPr>
                <w:rFonts w:ascii="Calibri"/>
                <w:b/>
                <w:spacing w:val="-13"/>
                <w:sz w:val="26"/>
              </w:rPr>
              <w:t xml:space="preserve"> </w:t>
            </w:r>
            <w:r>
              <w:rPr>
                <w:rFonts w:ascii="Calibri"/>
                <w:b/>
                <w:spacing w:val="-2"/>
                <w:sz w:val="26"/>
              </w:rPr>
              <w:t>marks</w:t>
            </w:r>
          </w:p>
        </w:tc>
      </w:tr>
      <w:tr w:rsidR="00BB77C0" w14:paraId="3318BA83" w14:textId="77777777">
        <w:trPr>
          <w:trHeight w:val="637"/>
        </w:trPr>
        <w:tc>
          <w:tcPr>
            <w:tcW w:w="715" w:type="dxa"/>
          </w:tcPr>
          <w:p w14:paraId="2DA1F609" w14:textId="77777777" w:rsidR="00BB77C0" w:rsidRDefault="00370BAA">
            <w:pPr>
              <w:pStyle w:val="TableParagraph"/>
              <w:spacing w:before="6"/>
              <w:ind w:left="110"/>
              <w:rPr>
                <w:rFonts w:ascii="Calibri"/>
                <w:sz w:val="26"/>
              </w:rPr>
            </w:pPr>
            <w:r>
              <w:rPr>
                <w:rFonts w:ascii="Calibri"/>
                <w:spacing w:val="-10"/>
                <w:sz w:val="26"/>
              </w:rPr>
              <w:t>3</w:t>
            </w:r>
          </w:p>
        </w:tc>
        <w:tc>
          <w:tcPr>
            <w:tcW w:w="7788" w:type="dxa"/>
          </w:tcPr>
          <w:p w14:paraId="39688712" w14:textId="77777777" w:rsidR="00BB77C0" w:rsidRDefault="00370BAA">
            <w:pPr>
              <w:pStyle w:val="TableParagraph"/>
              <w:spacing w:before="12" w:line="302" w:lineRule="exact"/>
              <w:ind w:left="110"/>
              <w:rPr>
                <w:rFonts w:ascii="Calibri"/>
                <w:sz w:val="26"/>
              </w:rPr>
            </w:pPr>
            <w:r>
              <w:rPr>
                <w:rFonts w:ascii="Calibri"/>
                <w:sz w:val="26"/>
              </w:rPr>
              <w:t>Dully</w:t>
            </w:r>
            <w:r>
              <w:rPr>
                <w:rFonts w:ascii="Calibri"/>
                <w:spacing w:val="-15"/>
                <w:sz w:val="26"/>
              </w:rPr>
              <w:t xml:space="preserve"> </w:t>
            </w:r>
            <w:r>
              <w:rPr>
                <w:rFonts w:ascii="Calibri"/>
                <w:sz w:val="26"/>
              </w:rPr>
              <w:t>filled,</w:t>
            </w:r>
            <w:r>
              <w:rPr>
                <w:rFonts w:ascii="Calibri"/>
                <w:spacing w:val="-15"/>
                <w:sz w:val="26"/>
              </w:rPr>
              <w:t xml:space="preserve"> </w:t>
            </w:r>
            <w:r>
              <w:rPr>
                <w:rFonts w:ascii="Calibri"/>
                <w:sz w:val="26"/>
              </w:rPr>
              <w:t>signed</w:t>
            </w:r>
            <w:r>
              <w:rPr>
                <w:rFonts w:ascii="Calibri"/>
                <w:spacing w:val="-15"/>
                <w:sz w:val="26"/>
              </w:rPr>
              <w:t xml:space="preserve"> </w:t>
            </w:r>
            <w:r>
              <w:rPr>
                <w:rFonts w:ascii="Calibri"/>
                <w:sz w:val="26"/>
              </w:rPr>
              <w:t>and</w:t>
            </w:r>
            <w:r>
              <w:rPr>
                <w:rFonts w:ascii="Calibri"/>
                <w:spacing w:val="-14"/>
                <w:sz w:val="26"/>
              </w:rPr>
              <w:t xml:space="preserve"> </w:t>
            </w:r>
            <w:r>
              <w:rPr>
                <w:rFonts w:ascii="Calibri"/>
                <w:sz w:val="26"/>
              </w:rPr>
              <w:t>stamped</w:t>
            </w:r>
            <w:r>
              <w:rPr>
                <w:rFonts w:ascii="Calibri"/>
                <w:spacing w:val="-15"/>
                <w:sz w:val="26"/>
              </w:rPr>
              <w:t xml:space="preserve"> </w:t>
            </w:r>
            <w:r>
              <w:rPr>
                <w:rFonts w:ascii="Calibri"/>
                <w:sz w:val="26"/>
              </w:rPr>
              <w:t>Confidential</w:t>
            </w:r>
            <w:r>
              <w:rPr>
                <w:rFonts w:ascii="Calibri"/>
                <w:spacing w:val="-15"/>
                <w:sz w:val="26"/>
              </w:rPr>
              <w:t xml:space="preserve"> </w:t>
            </w:r>
            <w:r>
              <w:rPr>
                <w:rFonts w:ascii="Calibri"/>
                <w:sz w:val="26"/>
              </w:rPr>
              <w:t>Business</w:t>
            </w:r>
            <w:r>
              <w:rPr>
                <w:rFonts w:ascii="Calibri"/>
                <w:spacing w:val="-14"/>
                <w:sz w:val="26"/>
              </w:rPr>
              <w:t xml:space="preserve"> </w:t>
            </w:r>
            <w:r>
              <w:rPr>
                <w:rFonts w:ascii="Calibri"/>
                <w:sz w:val="26"/>
              </w:rPr>
              <w:t>Questionnaire</w:t>
            </w:r>
            <w:r>
              <w:rPr>
                <w:rFonts w:ascii="Calibri"/>
                <w:spacing w:val="-15"/>
                <w:sz w:val="26"/>
              </w:rPr>
              <w:t xml:space="preserve"> </w:t>
            </w:r>
            <w:r>
              <w:rPr>
                <w:rFonts w:ascii="Calibri"/>
                <w:sz w:val="26"/>
              </w:rPr>
              <w:t>in the format prescribed</w:t>
            </w:r>
          </w:p>
        </w:tc>
        <w:tc>
          <w:tcPr>
            <w:tcW w:w="1983" w:type="dxa"/>
          </w:tcPr>
          <w:p w14:paraId="7A12822C" w14:textId="77777777" w:rsidR="00BB77C0" w:rsidRDefault="00370BAA">
            <w:pPr>
              <w:pStyle w:val="TableParagraph"/>
              <w:spacing w:before="6"/>
              <w:ind w:left="431"/>
              <w:rPr>
                <w:rFonts w:ascii="Calibri"/>
                <w:b/>
                <w:sz w:val="26"/>
              </w:rPr>
            </w:pPr>
            <w:r>
              <w:rPr>
                <w:rFonts w:ascii="Calibri"/>
                <w:b/>
                <w:sz w:val="26"/>
              </w:rPr>
              <w:t>18</w:t>
            </w:r>
            <w:r>
              <w:rPr>
                <w:rFonts w:ascii="Calibri"/>
                <w:b/>
                <w:spacing w:val="-8"/>
                <w:sz w:val="26"/>
              </w:rPr>
              <w:t xml:space="preserve"> </w:t>
            </w:r>
            <w:r>
              <w:rPr>
                <w:rFonts w:ascii="Calibri"/>
                <w:b/>
                <w:spacing w:val="-2"/>
                <w:sz w:val="26"/>
              </w:rPr>
              <w:t>marks</w:t>
            </w:r>
          </w:p>
        </w:tc>
      </w:tr>
      <w:tr w:rsidR="00BB77C0" w14:paraId="06EBAF7D" w14:textId="77777777">
        <w:trPr>
          <w:trHeight w:val="633"/>
        </w:trPr>
        <w:tc>
          <w:tcPr>
            <w:tcW w:w="715" w:type="dxa"/>
          </w:tcPr>
          <w:p w14:paraId="56B7F60D" w14:textId="77777777" w:rsidR="00BB77C0" w:rsidRDefault="00370BAA">
            <w:pPr>
              <w:pStyle w:val="TableParagraph"/>
              <w:spacing w:before="6"/>
              <w:ind w:left="110"/>
              <w:rPr>
                <w:rFonts w:ascii="Calibri"/>
                <w:sz w:val="26"/>
              </w:rPr>
            </w:pPr>
            <w:r>
              <w:rPr>
                <w:rFonts w:ascii="Calibri"/>
                <w:spacing w:val="-10"/>
                <w:sz w:val="26"/>
              </w:rPr>
              <w:t>4</w:t>
            </w:r>
          </w:p>
        </w:tc>
        <w:tc>
          <w:tcPr>
            <w:tcW w:w="7788" w:type="dxa"/>
          </w:tcPr>
          <w:p w14:paraId="6A672EFB" w14:textId="77777777" w:rsidR="00BB77C0" w:rsidRDefault="00370BAA">
            <w:pPr>
              <w:pStyle w:val="TableParagraph"/>
              <w:spacing w:before="10" w:line="302" w:lineRule="exact"/>
              <w:ind w:left="110"/>
              <w:rPr>
                <w:rFonts w:ascii="Calibri"/>
                <w:sz w:val="26"/>
              </w:rPr>
            </w:pPr>
            <w:r>
              <w:rPr>
                <w:rFonts w:ascii="Calibri"/>
                <w:sz w:val="26"/>
              </w:rPr>
              <w:t>Duly</w:t>
            </w:r>
            <w:r>
              <w:rPr>
                <w:rFonts w:ascii="Calibri"/>
                <w:spacing w:val="-15"/>
                <w:sz w:val="26"/>
              </w:rPr>
              <w:t xml:space="preserve"> </w:t>
            </w:r>
            <w:r>
              <w:rPr>
                <w:rFonts w:ascii="Calibri"/>
                <w:sz w:val="26"/>
              </w:rPr>
              <w:t>filled,</w:t>
            </w:r>
            <w:r>
              <w:rPr>
                <w:rFonts w:ascii="Calibri"/>
                <w:spacing w:val="-15"/>
                <w:sz w:val="26"/>
              </w:rPr>
              <w:t xml:space="preserve"> </w:t>
            </w:r>
            <w:r>
              <w:rPr>
                <w:rFonts w:ascii="Calibri"/>
                <w:sz w:val="26"/>
              </w:rPr>
              <w:t>signed</w:t>
            </w:r>
            <w:r>
              <w:rPr>
                <w:rFonts w:ascii="Calibri"/>
                <w:spacing w:val="-15"/>
                <w:sz w:val="26"/>
              </w:rPr>
              <w:t xml:space="preserve"> </w:t>
            </w:r>
            <w:r>
              <w:rPr>
                <w:rFonts w:ascii="Calibri"/>
                <w:sz w:val="26"/>
              </w:rPr>
              <w:t>and</w:t>
            </w:r>
            <w:r>
              <w:rPr>
                <w:rFonts w:ascii="Calibri"/>
                <w:spacing w:val="-14"/>
                <w:sz w:val="26"/>
              </w:rPr>
              <w:t xml:space="preserve"> </w:t>
            </w:r>
            <w:r>
              <w:rPr>
                <w:rFonts w:ascii="Calibri"/>
                <w:sz w:val="26"/>
              </w:rPr>
              <w:t>stamped</w:t>
            </w:r>
            <w:r>
              <w:rPr>
                <w:rFonts w:ascii="Calibri"/>
                <w:spacing w:val="-15"/>
                <w:sz w:val="26"/>
              </w:rPr>
              <w:t xml:space="preserve"> </w:t>
            </w:r>
            <w:r>
              <w:rPr>
                <w:rFonts w:ascii="Calibri"/>
                <w:sz w:val="26"/>
              </w:rPr>
              <w:t>Self-Declaration</w:t>
            </w:r>
            <w:r>
              <w:rPr>
                <w:rFonts w:ascii="Calibri"/>
                <w:spacing w:val="-15"/>
                <w:sz w:val="26"/>
              </w:rPr>
              <w:t xml:space="preserve"> </w:t>
            </w:r>
            <w:r>
              <w:rPr>
                <w:rFonts w:ascii="Calibri"/>
                <w:sz w:val="26"/>
              </w:rPr>
              <w:t>Form</w:t>
            </w:r>
            <w:r>
              <w:rPr>
                <w:rFonts w:ascii="Calibri"/>
                <w:spacing w:val="-14"/>
                <w:sz w:val="26"/>
              </w:rPr>
              <w:t xml:space="preserve"> </w:t>
            </w:r>
            <w:r>
              <w:rPr>
                <w:rFonts w:ascii="Calibri"/>
                <w:sz w:val="26"/>
              </w:rPr>
              <w:t>SD1</w:t>
            </w:r>
            <w:r>
              <w:rPr>
                <w:rFonts w:ascii="Calibri"/>
                <w:spacing w:val="-15"/>
                <w:sz w:val="26"/>
              </w:rPr>
              <w:t xml:space="preserve"> </w:t>
            </w:r>
            <w:r>
              <w:rPr>
                <w:rFonts w:ascii="Calibri"/>
                <w:sz w:val="26"/>
              </w:rPr>
              <w:t>(Public Procurement and Disposal Act Non Debarment Form 12.</w:t>
            </w:r>
          </w:p>
        </w:tc>
        <w:tc>
          <w:tcPr>
            <w:tcW w:w="1983" w:type="dxa"/>
          </w:tcPr>
          <w:p w14:paraId="1382405B" w14:textId="77777777" w:rsidR="00BB77C0" w:rsidRDefault="00370BAA">
            <w:pPr>
              <w:pStyle w:val="TableParagraph"/>
              <w:spacing w:before="6"/>
              <w:ind w:left="110"/>
              <w:rPr>
                <w:rFonts w:ascii="Calibri"/>
                <w:b/>
                <w:sz w:val="26"/>
              </w:rPr>
            </w:pPr>
            <w:r>
              <w:rPr>
                <w:rFonts w:ascii="Calibri"/>
                <w:b/>
                <w:sz w:val="26"/>
              </w:rPr>
              <w:t>9</w:t>
            </w:r>
            <w:r>
              <w:rPr>
                <w:rFonts w:ascii="Calibri"/>
                <w:b/>
                <w:spacing w:val="-10"/>
                <w:sz w:val="26"/>
              </w:rPr>
              <w:t xml:space="preserve"> </w:t>
            </w:r>
            <w:r>
              <w:rPr>
                <w:rFonts w:ascii="Calibri"/>
                <w:b/>
                <w:spacing w:val="-2"/>
                <w:sz w:val="26"/>
              </w:rPr>
              <w:t>marks</w:t>
            </w:r>
          </w:p>
        </w:tc>
      </w:tr>
      <w:tr w:rsidR="00BB77C0" w14:paraId="1D13796C" w14:textId="77777777">
        <w:trPr>
          <w:trHeight w:val="633"/>
        </w:trPr>
        <w:tc>
          <w:tcPr>
            <w:tcW w:w="715" w:type="dxa"/>
          </w:tcPr>
          <w:p w14:paraId="1AB80C61" w14:textId="77777777" w:rsidR="00BB77C0" w:rsidRDefault="00370BAA">
            <w:pPr>
              <w:pStyle w:val="TableParagraph"/>
              <w:spacing w:before="6"/>
              <w:ind w:left="110"/>
              <w:rPr>
                <w:rFonts w:ascii="Calibri"/>
                <w:sz w:val="26"/>
              </w:rPr>
            </w:pPr>
            <w:r>
              <w:rPr>
                <w:rFonts w:ascii="Calibri"/>
                <w:spacing w:val="-10"/>
                <w:sz w:val="26"/>
              </w:rPr>
              <w:t>5</w:t>
            </w:r>
          </w:p>
        </w:tc>
        <w:tc>
          <w:tcPr>
            <w:tcW w:w="7788" w:type="dxa"/>
          </w:tcPr>
          <w:p w14:paraId="21BFA109" w14:textId="77777777" w:rsidR="00BB77C0" w:rsidRDefault="00370BAA">
            <w:pPr>
              <w:pStyle w:val="TableParagraph"/>
              <w:spacing w:before="9" w:line="302" w:lineRule="exact"/>
              <w:ind w:left="110"/>
              <w:rPr>
                <w:rFonts w:ascii="Calibri"/>
                <w:sz w:val="26"/>
              </w:rPr>
            </w:pPr>
            <w:r>
              <w:rPr>
                <w:rFonts w:ascii="Calibri"/>
                <w:sz w:val="26"/>
              </w:rPr>
              <w:t>Duly</w:t>
            </w:r>
            <w:r>
              <w:rPr>
                <w:rFonts w:ascii="Calibri"/>
                <w:spacing w:val="-15"/>
                <w:sz w:val="26"/>
              </w:rPr>
              <w:t xml:space="preserve"> </w:t>
            </w:r>
            <w:r>
              <w:rPr>
                <w:rFonts w:ascii="Calibri"/>
                <w:sz w:val="26"/>
              </w:rPr>
              <w:t>filled,</w:t>
            </w:r>
            <w:r>
              <w:rPr>
                <w:rFonts w:ascii="Calibri"/>
                <w:spacing w:val="-15"/>
                <w:sz w:val="26"/>
              </w:rPr>
              <w:t xml:space="preserve"> </w:t>
            </w:r>
            <w:r>
              <w:rPr>
                <w:rFonts w:ascii="Calibri"/>
                <w:sz w:val="26"/>
              </w:rPr>
              <w:t>signed</w:t>
            </w:r>
            <w:r>
              <w:rPr>
                <w:rFonts w:ascii="Calibri"/>
                <w:spacing w:val="-15"/>
                <w:sz w:val="26"/>
              </w:rPr>
              <w:t xml:space="preserve"> </w:t>
            </w:r>
            <w:r>
              <w:rPr>
                <w:rFonts w:ascii="Calibri"/>
                <w:sz w:val="26"/>
              </w:rPr>
              <w:t>and</w:t>
            </w:r>
            <w:r>
              <w:rPr>
                <w:rFonts w:ascii="Calibri"/>
                <w:spacing w:val="-14"/>
                <w:sz w:val="26"/>
              </w:rPr>
              <w:t xml:space="preserve"> </w:t>
            </w:r>
            <w:r>
              <w:rPr>
                <w:rFonts w:ascii="Calibri"/>
                <w:sz w:val="26"/>
              </w:rPr>
              <w:t>stamped</w:t>
            </w:r>
            <w:r>
              <w:rPr>
                <w:rFonts w:ascii="Calibri"/>
                <w:spacing w:val="-15"/>
                <w:sz w:val="26"/>
              </w:rPr>
              <w:t xml:space="preserve"> </w:t>
            </w:r>
            <w:r>
              <w:rPr>
                <w:rFonts w:ascii="Calibri"/>
                <w:sz w:val="26"/>
              </w:rPr>
              <w:t>Self-</w:t>
            </w:r>
            <w:r>
              <w:rPr>
                <w:rFonts w:ascii="Calibri"/>
                <w:spacing w:val="-15"/>
                <w:sz w:val="26"/>
              </w:rPr>
              <w:t xml:space="preserve"> </w:t>
            </w:r>
            <w:r>
              <w:rPr>
                <w:rFonts w:ascii="Calibri"/>
                <w:sz w:val="26"/>
              </w:rPr>
              <w:t>Declaration</w:t>
            </w:r>
            <w:r>
              <w:rPr>
                <w:rFonts w:ascii="Calibri"/>
                <w:spacing w:val="-14"/>
                <w:sz w:val="26"/>
              </w:rPr>
              <w:t xml:space="preserve"> </w:t>
            </w:r>
            <w:r>
              <w:rPr>
                <w:rFonts w:ascii="Calibri"/>
                <w:sz w:val="26"/>
              </w:rPr>
              <w:t>Form</w:t>
            </w:r>
            <w:r>
              <w:rPr>
                <w:rFonts w:ascii="Calibri"/>
                <w:spacing w:val="-15"/>
                <w:sz w:val="26"/>
              </w:rPr>
              <w:t xml:space="preserve"> </w:t>
            </w:r>
            <w:r>
              <w:rPr>
                <w:rFonts w:ascii="Calibri"/>
                <w:sz w:val="26"/>
              </w:rPr>
              <w:t>SD2(Anti- corruption</w:t>
            </w:r>
            <w:r>
              <w:rPr>
                <w:rFonts w:ascii="Calibri"/>
                <w:spacing w:val="-16"/>
                <w:sz w:val="26"/>
              </w:rPr>
              <w:t xml:space="preserve"> </w:t>
            </w:r>
            <w:r>
              <w:rPr>
                <w:rFonts w:ascii="Calibri"/>
                <w:sz w:val="26"/>
              </w:rPr>
              <w:t>pledge</w:t>
            </w:r>
          </w:p>
        </w:tc>
        <w:tc>
          <w:tcPr>
            <w:tcW w:w="1983" w:type="dxa"/>
          </w:tcPr>
          <w:p w14:paraId="4F9187CC" w14:textId="77777777" w:rsidR="00BB77C0" w:rsidRDefault="00370BAA">
            <w:pPr>
              <w:pStyle w:val="TableParagraph"/>
              <w:spacing w:before="6"/>
              <w:ind w:left="172"/>
              <w:rPr>
                <w:rFonts w:ascii="Calibri"/>
                <w:b/>
                <w:sz w:val="26"/>
              </w:rPr>
            </w:pPr>
            <w:r>
              <w:rPr>
                <w:rFonts w:ascii="Calibri"/>
                <w:b/>
                <w:sz w:val="26"/>
              </w:rPr>
              <w:t>9</w:t>
            </w:r>
            <w:r>
              <w:rPr>
                <w:rFonts w:ascii="Calibri"/>
                <w:b/>
                <w:spacing w:val="-5"/>
                <w:sz w:val="26"/>
              </w:rPr>
              <w:t xml:space="preserve"> </w:t>
            </w:r>
            <w:r>
              <w:rPr>
                <w:rFonts w:ascii="Calibri"/>
                <w:b/>
                <w:spacing w:val="-2"/>
                <w:sz w:val="26"/>
              </w:rPr>
              <w:t>marks</w:t>
            </w:r>
          </w:p>
        </w:tc>
      </w:tr>
      <w:tr w:rsidR="00BB77C0" w14:paraId="4FC336F3" w14:textId="77777777">
        <w:trPr>
          <w:trHeight w:val="1272"/>
        </w:trPr>
        <w:tc>
          <w:tcPr>
            <w:tcW w:w="715" w:type="dxa"/>
          </w:tcPr>
          <w:p w14:paraId="0F25F5AF" w14:textId="77777777" w:rsidR="00BB77C0" w:rsidRDefault="00370BAA">
            <w:pPr>
              <w:pStyle w:val="TableParagraph"/>
              <w:spacing w:before="6"/>
              <w:ind w:left="110"/>
              <w:rPr>
                <w:rFonts w:ascii="Calibri"/>
                <w:sz w:val="26"/>
              </w:rPr>
            </w:pPr>
            <w:r>
              <w:rPr>
                <w:rFonts w:ascii="Calibri"/>
                <w:spacing w:val="-10"/>
                <w:sz w:val="26"/>
              </w:rPr>
              <w:t>6</w:t>
            </w:r>
          </w:p>
        </w:tc>
        <w:tc>
          <w:tcPr>
            <w:tcW w:w="7788" w:type="dxa"/>
          </w:tcPr>
          <w:p w14:paraId="3E4EFF0F" w14:textId="77777777" w:rsidR="00BB77C0" w:rsidRDefault="00370BAA">
            <w:pPr>
              <w:pStyle w:val="TableParagraph"/>
              <w:spacing w:before="6"/>
              <w:ind w:left="110"/>
              <w:rPr>
                <w:rFonts w:ascii="Calibri"/>
                <w:b/>
                <w:sz w:val="26"/>
              </w:rPr>
            </w:pPr>
            <w:r>
              <w:rPr>
                <w:rFonts w:ascii="Calibri"/>
                <w:b/>
                <w:spacing w:val="-2"/>
                <w:sz w:val="26"/>
              </w:rPr>
              <w:t>Financial</w:t>
            </w:r>
            <w:r>
              <w:rPr>
                <w:rFonts w:ascii="Calibri"/>
                <w:b/>
                <w:spacing w:val="-5"/>
                <w:sz w:val="26"/>
              </w:rPr>
              <w:t xml:space="preserve"> </w:t>
            </w:r>
            <w:r>
              <w:rPr>
                <w:rFonts w:ascii="Calibri"/>
                <w:b/>
                <w:spacing w:val="-2"/>
                <w:sz w:val="26"/>
              </w:rPr>
              <w:t>capability</w:t>
            </w:r>
          </w:p>
          <w:p w14:paraId="779BBD09" w14:textId="77777777" w:rsidR="00BB77C0" w:rsidRDefault="00370BAA">
            <w:pPr>
              <w:pStyle w:val="TableParagraph"/>
              <w:numPr>
                <w:ilvl w:val="0"/>
                <w:numId w:val="111"/>
              </w:numPr>
              <w:tabs>
                <w:tab w:val="left" w:pos="829"/>
              </w:tabs>
              <w:ind w:left="829" w:hanging="354"/>
              <w:rPr>
                <w:rFonts w:ascii="Calibri"/>
                <w:sz w:val="26"/>
              </w:rPr>
            </w:pPr>
            <w:r>
              <w:rPr>
                <w:rFonts w:ascii="Calibri"/>
                <w:spacing w:val="-2"/>
                <w:sz w:val="26"/>
              </w:rPr>
              <w:t>Reference</w:t>
            </w:r>
            <w:r>
              <w:rPr>
                <w:rFonts w:ascii="Calibri"/>
                <w:spacing w:val="-4"/>
                <w:sz w:val="26"/>
              </w:rPr>
              <w:t xml:space="preserve"> </w:t>
            </w:r>
            <w:r>
              <w:rPr>
                <w:rFonts w:ascii="Calibri"/>
                <w:spacing w:val="-2"/>
                <w:sz w:val="26"/>
              </w:rPr>
              <w:t>letter</w:t>
            </w:r>
            <w:r>
              <w:rPr>
                <w:rFonts w:ascii="Calibri"/>
                <w:spacing w:val="-4"/>
                <w:sz w:val="26"/>
              </w:rPr>
              <w:t xml:space="preserve"> </w:t>
            </w:r>
            <w:r>
              <w:rPr>
                <w:rFonts w:ascii="Calibri"/>
                <w:spacing w:val="-2"/>
                <w:sz w:val="26"/>
              </w:rPr>
              <w:t>from</w:t>
            </w:r>
            <w:r>
              <w:rPr>
                <w:rFonts w:ascii="Calibri"/>
                <w:spacing w:val="-6"/>
                <w:sz w:val="26"/>
              </w:rPr>
              <w:t xml:space="preserve"> </w:t>
            </w:r>
            <w:r>
              <w:rPr>
                <w:rFonts w:ascii="Calibri"/>
                <w:spacing w:val="-2"/>
                <w:sz w:val="26"/>
              </w:rPr>
              <w:t>the</w:t>
            </w:r>
            <w:r>
              <w:rPr>
                <w:rFonts w:ascii="Calibri"/>
                <w:spacing w:val="-10"/>
                <w:sz w:val="26"/>
              </w:rPr>
              <w:t xml:space="preserve"> </w:t>
            </w:r>
            <w:r>
              <w:rPr>
                <w:rFonts w:ascii="Calibri"/>
                <w:spacing w:val="-4"/>
                <w:sz w:val="26"/>
              </w:rPr>
              <w:t>bank.</w:t>
            </w:r>
          </w:p>
          <w:p w14:paraId="2CAFF343" w14:textId="77777777" w:rsidR="00BB77C0" w:rsidRDefault="00370BAA">
            <w:pPr>
              <w:pStyle w:val="TableParagraph"/>
              <w:numPr>
                <w:ilvl w:val="0"/>
                <w:numId w:val="111"/>
              </w:numPr>
              <w:tabs>
                <w:tab w:val="left" w:pos="829"/>
              </w:tabs>
              <w:spacing w:before="302" w:line="309" w:lineRule="exact"/>
              <w:ind w:left="829" w:hanging="354"/>
              <w:rPr>
                <w:rFonts w:ascii="Calibri"/>
                <w:sz w:val="26"/>
              </w:rPr>
            </w:pPr>
            <w:r>
              <w:rPr>
                <w:rFonts w:ascii="Calibri"/>
                <w:sz w:val="26"/>
              </w:rPr>
              <w:t>Bank</w:t>
            </w:r>
            <w:r>
              <w:rPr>
                <w:rFonts w:ascii="Calibri"/>
                <w:spacing w:val="-15"/>
                <w:sz w:val="26"/>
              </w:rPr>
              <w:t xml:space="preserve"> </w:t>
            </w:r>
            <w:r>
              <w:rPr>
                <w:rFonts w:ascii="Calibri"/>
                <w:sz w:val="26"/>
              </w:rPr>
              <w:t>statements</w:t>
            </w:r>
            <w:r>
              <w:rPr>
                <w:rFonts w:ascii="Calibri"/>
                <w:spacing w:val="-11"/>
                <w:sz w:val="26"/>
              </w:rPr>
              <w:t xml:space="preserve"> </w:t>
            </w:r>
            <w:r>
              <w:rPr>
                <w:rFonts w:ascii="Calibri"/>
                <w:sz w:val="26"/>
              </w:rPr>
              <w:t>for</w:t>
            </w:r>
            <w:r>
              <w:rPr>
                <w:rFonts w:ascii="Calibri"/>
                <w:spacing w:val="-8"/>
                <w:sz w:val="26"/>
              </w:rPr>
              <w:t xml:space="preserve"> </w:t>
            </w:r>
            <w:r>
              <w:rPr>
                <w:rFonts w:ascii="Calibri"/>
                <w:sz w:val="26"/>
              </w:rPr>
              <w:t>the</w:t>
            </w:r>
            <w:r>
              <w:rPr>
                <w:rFonts w:ascii="Calibri"/>
                <w:spacing w:val="-13"/>
                <w:sz w:val="26"/>
              </w:rPr>
              <w:t xml:space="preserve"> </w:t>
            </w:r>
            <w:r>
              <w:rPr>
                <w:rFonts w:ascii="Calibri"/>
                <w:sz w:val="26"/>
              </w:rPr>
              <w:t>past</w:t>
            </w:r>
            <w:r>
              <w:rPr>
                <w:rFonts w:ascii="Calibri"/>
                <w:spacing w:val="-13"/>
                <w:sz w:val="26"/>
              </w:rPr>
              <w:t xml:space="preserve"> </w:t>
            </w:r>
            <w:r>
              <w:rPr>
                <w:rFonts w:ascii="Calibri"/>
                <w:sz w:val="26"/>
              </w:rPr>
              <w:t>6</w:t>
            </w:r>
            <w:r>
              <w:rPr>
                <w:rFonts w:ascii="Calibri"/>
                <w:spacing w:val="-15"/>
                <w:sz w:val="26"/>
              </w:rPr>
              <w:t xml:space="preserve"> </w:t>
            </w:r>
            <w:r>
              <w:rPr>
                <w:rFonts w:ascii="Calibri"/>
                <w:spacing w:val="-2"/>
                <w:sz w:val="26"/>
              </w:rPr>
              <w:t>months</w:t>
            </w:r>
          </w:p>
        </w:tc>
        <w:tc>
          <w:tcPr>
            <w:tcW w:w="1983" w:type="dxa"/>
          </w:tcPr>
          <w:p w14:paraId="751427E1" w14:textId="77777777" w:rsidR="00BB77C0" w:rsidRDefault="00370BAA">
            <w:pPr>
              <w:pStyle w:val="TableParagraph"/>
              <w:spacing w:before="314"/>
              <w:ind w:left="110"/>
              <w:rPr>
                <w:rFonts w:ascii="Calibri"/>
                <w:b/>
                <w:sz w:val="26"/>
              </w:rPr>
            </w:pPr>
            <w:r>
              <w:rPr>
                <w:rFonts w:ascii="Calibri"/>
                <w:b/>
                <w:sz w:val="26"/>
              </w:rPr>
              <w:t>15</w:t>
            </w:r>
            <w:r>
              <w:rPr>
                <w:rFonts w:ascii="Calibri"/>
                <w:b/>
                <w:spacing w:val="-13"/>
                <w:sz w:val="26"/>
              </w:rPr>
              <w:t xml:space="preserve"> </w:t>
            </w:r>
            <w:r>
              <w:rPr>
                <w:rFonts w:ascii="Calibri"/>
                <w:b/>
                <w:spacing w:val="-2"/>
                <w:sz w:val="26"/>
              </w:rPr>
              <w:t>marks</w:t>
            </w:r>
          </w:p>
          <w:p w14:paraId="214ADB13" w14:textId="77777777" w:rsidR="00BB77C0" w:rsidRDefault="00370BAA">
            <w:pPr>
              <w:pStyle w:val="TableParagraph"/>
              <w:spacing w:before="311" w:line="309" w:lineRule="exact"/>
              <w:ind w:left="110"/>
              <w:rPr>
                <w:rFonts w:ascii="Calibri"/>
                <w:b/>
                <w:sz w:val="26"/>
              </w:rPr>
            </w:pPr>
            <w:r>
              <w:rPr>
                <w:rFonts w:ascii="Calibri"/>
                <w:b/>
                <w:sz w:val="26"/>
              </w:rPr>
              <w:t>15</w:t>
            </w:r>
            <w:r>
              <w:rPr>
                <w:rFonts w:ascii="Calibri"/>
                <w:b/>
                <w:spacing w:val="-13"/>
                <w:sz w:val="26"/>
              </w:rPr>
              <w:t xml:space="preserve"> </w:t>
            </w:r>
            <w:r>
              <w:rPr>
                <w:rFonts w:ascii="Calibri"/>
                <w:b/>
                <w:spacing w:val="-2"/>
                <w:sz w:val="26"/>
              </w:rPr>
              <w:t>marks.</w:t>
            </w:r>
          </w:p>
        </w:tc>
      </w:tr>
      <w:tr w:rsidR="00BB77C0" w14:paraId="7A7747AD" w14:textId="77777777">
        <w:trPr>
          <w:trHeight w:val="316"/>
        </w:trPr>
        <w:tc>
          <w:tcPr>
            <w:tcW w:w="715" w:type="dxa"/>
          </w:tcPr>
          <w:p w14:paraId="0F1FFA52" w14:textId="77777777" w:rsidR="00BB77C0" w:rsidRDefault="00BB77C0">
            <w:pPr>
              <w:pStyle w:val="TableParagraph"/>
              <w:rPr>
                <w:sz w:val="24"/>
              </w:rPr>
            </w:pPr>
          </w:p>
        </w:tc>
        <w:tc>
          <w:tcPr>
            <w:tcW w:w="7788" w:type="dxa"/>
          </w:tcPr>
          <w:p w14:paraId="58D2E0CC" w14:textId="77777777" w:rsidR="00BB77C0" w:rsidRDefault="00370BAA">
            <w:pPr>
              <w:pStyle w:val="TableParagraph"/>
              <w:spacing w:line="297" w:lineRule="exact"/>
              <w:ind w:left="110"/>
              <w:rPr>
                <w:rFonts w:ascii="Calibri"/>
                <w:b/>
                <w:sz w:val="26"/>
              </w:rPr>
            </w:pPr>
            <w:r>
              <w:rPr>
                <w:rFonts w:ascii="Calibri"/>
                <w:b/>
                <w:sz w:val="26"/>
              </w:rPr>
              <w:t>Total</w:t>
            </w:r>
            <w:r>
              <w:rPr>
                <w:rFonts w:ascii="Calibri"/>
                <w:b/>
                <w:spacing w:val="-15"/>
                <w:sz w:val="26"/>
              </w:rPr>
              <w:t xml:space="preserve"> </w:t>
            </w:r>
            <w:r>
              <w:rPr>
                <w:rFonts w:ascii="Calibri"/>
                <w:b/>
                <w:spacing w:val="-2"/>
                <w:sz w:val="26"/>
              </w:rPr>
              <w:t>marks</w:t>
            </w:r>
          </w:p>
        </w:tc>
        <w:tc>
          <w:tcPr>
            <w:tcW w:w="1983" w:type="dxa"/>
          </w:tcPr>
          <w:p w14:paraId="2D06D71D" w14:textId="77777777" w:rsidR="00BB77C0" w:rsidRDefault="00370BAA">
            <w:pPr>
              <w:pStyle w:val="TableParagraph"/>
              <w:spacing w:line="297" w:lineRule="exact"/>
              <w:ind w:left="14"/>
              <w:jc w:val="center"/>
              <w:rPr>
                <w:rFonts w:ascii="Calibri"/>
                <w:b/>
                <w:sz w:val="26"/>
              </w:rPr>
            </w:pPr>
            <w:r>
              <w:rPr>
                <w:rFonts w:ascii="Calibri"/>
                <w:b/>
                <w:spacing w:val="-5"/>
                <w:sz w:val="26"/>
              </w:rPr>
              <w:t>100</w:t>
            </w:r>
          </w:p>
        </w:tc>
      </w:tr>
    </w:tbl>
    <w:p w14:paraId="4D05B760" w14:textId="77777777" w:rsidR="00BB77C0" w:rsidRDefault="00370BAA">
      <w:pPr>
        <w:spacing w:before="1"/>
        <w:rPr>
          <w:rFonts w:ascii="Calibri"/>
          <w:b/>
          <w:sz w:val="26"/>
        </w:rPr>
      </w:pPr>
      <w:r>
        <w:rPr>
          <w:rFonts w:ascii="Calibri"/>
          <w:b/>
          <w:spacing w:val="-5"/>
          <w:sz w:val="26"/>
        </w:rPr>
        <w:t>NB:</w:t>
      </w:r>
    </w:p>
    <w:p w14:paraId="6F58BDB5" w14:textId="77777777" w:rsidR="00BB77C0" w:rsidRDefault="00370BAA">
      <w:pPr>
        <w:spacing w:before="186"/>
        <w:rPr>
          <w:rFonts w:ascii="Calibri"/>
          <w:b/>
          <w:sz w:val="26"/>
        </w:rPr>
      </w:pPr>
      <w:r>
        <w:rPr>
          <w:rFonts w:ascii="Calibri"/>
          <w:b/>
          <w:sz w:val="26"/>
        </w:rPr>
        <w:t>Any</w:t>
      </w:r>
      <w:r>
        <w:rPr>
          <w:rFonts w:ascii="Calibri"/>
          <w:b/>
          <w:spacing w:val="-14"/>
          <w:sz w:val="26"/>
        </w:rPr>
        <w:t xml:space="preserve"> </w:t>
      </w:r>
      <w:r>
        <w:rPr>
          <w:rFonts w:ascii="Calibri"/>
          <w:b/>
          <w:sz w:val="26"/>
        </w:rPr>
        <w:t>bidder</w:t>
      </w:r>
      <w:r>
        <w:rPr>
          <w:rFonts w:ascii="Calibri"/>
          <w:b/>
          <w:spacing w:val="-14"/>
          <w:sz w:val="26"/>
        </w:rPr>
        <w:t xml:space="preserve"> </w:t>
      </w:r>
      <w:r>
        <w:rPr>
          <w:rFonts w:ascii="Calibri"/>
          <w:b/>
          <w:sz w:val="26"/>
        </w:rPr>
        <w:t>who</w:t>
      </w:r>
      <w:r>
        <w:rPr>
          <w:rFonts w:ascii="Calibri"/>
          <w:b/>
          <w:spacing w:val="-13"/>
          <w:sz w:val="26"/>
        </w:rPr>
        <w:t xml:space="preserve"> </w:t>
      </w:r>
      <w:r>
        <w:rPr>
          <w:rFonts w:ascii="Calibri"/>
          <w:b/>
          <w:sz w:val="26"/>
        </w:rPr>
        <w:t>scores</w:t>
      </w:r>
      <w:r>
        <w:rPr>
          <w:rFonts w:ascii="Calibri"/>
          <w:b/>
          <w:spacing w:val="-10"/>
          <w:sz w:val="26"/>
        </w:rPr>
        <w:t xml:space="preserve"> </w:t>
      </w:r>
      <w:r>
        <w:rPr>
          <w:rFonts w:ascii="Calibri"/>
          <w:b/>
          <w:sz w:val="26"/>
        </w:rPr>
        <w:t>70</w:t>
      </w:r>
      <w:r>
        <w:rPr>
          <w:rFonts w:ascii="Calibri"/>
          <w:b/>
          <w:spacing w:val="-14"/>
          <w:sz w:val="26"/>
        </w:rPr>
        <w:t xml:space="preserve"> </w:t>
      </w:r>
      <w:r>
        <w:rPr>
          <w:rFonts w:ascii="Calibri"/>
          <w:b/>
          <w:sz w:val="26"/>
        </w:rPr>
        <w:t>points</w:t>
      </w:r>
      <w:r>
        <w:rPr>
          <w:rFonts w:ascii="Calibri"/>
          <w:b/>
          <w:spacing w:val="-10"/>
          <w:sz w:val="26"/>
        </w:rPr>
        <w:t xml:space="preserve"> </w:t>
      </w:r>
      <w:r>
        <w:rPr>
          <w:rFonts w:ascii="Calibri"/>
          <w:b/>
          <w:sz w:val="26"/>
        </w:rPr>
        <w:t>and</w:t>
      </w:r>
      <w:r>
        <w:rPr>
          <w:rFonts w:ascii="Calibri"/>
          <w:b/>
          <w:spacing w:val="-12"/>
          <w:sz w:val="26"/>
        </w:rPr>
        <w:t xml:space="preserve"> </w:t>
      </w:r>
      <w:r>
        <w:rPr>
          <w:rFonts w:ascii="Calibri"/>
          <w:b/>
          <w:sz w:val="26"/>
        </w:rPr>
        <w:t>above</w:t>
      </w:r>
      <w:r>
        <w:rPr>
          <w:rFonts w:ascii="Calibri"/>
          <w:b/>
          <w:spacing w:val="-12"/>
          <w:sz w:val="26"/>
        </w:rPr>
        <w:t xml:space="preserve"> </w:t>
      </w:r>
      <w:r>
        <w:rPr>
          <w:rFonts w:ascii="Calibri"/>
          <w:b/>
          <w:sz w:val="26"/>
        </w:rPr>
        <w:t>shall</w:t>
      </w:r>
      <w:r>
        <w:rPr>
          <w:rFonts w:ascii="Calibri"/>
          <w:b/>
          <w:spacing w:val="-13"/>
          <w:sz w:val="26"/>
        </w:rPr>
        <w:t xml:space="preserve"> </w:t>
      </w:r>
      <w:r>
        <w:rPr>
          <w:rFonts w:ascii="Calibri"/>
          <w:b/>
          <w:sz w:val="26"/>
        </w:rPr>
        <w:t>be</w:t>
      </w:r>
      <w:r>
        <w:rPr>
          <w:rFonts w:ascii="Calibri"/>
          <w:b/>
          <w:spacing w:val="-13"/>
          <w:sz w:val="26"/>
        </w:rPr>
        <w:t xml:space="preserve"> </w:t>
      </w:r>
      <w:r>
        <w:rPr>
          <w:rFonts w:ascii="Calibri"/>
          <w:b/>
          <w:sz w:val="26"/>
        </w:rPr>
        <w:t>considered</w:t>
      </w:r>
      <w:r>
        <w:rPr>
          <w:rFonts w:ascii="Calibri"/>
          <w:b/>
          <w:spacing w:val="-12"/>
          <w:sz w:val="26"/>
        </w:rPr>
        <w:t xml:space="preserve"> </w:t>
      </w:r>
      <w:r>
        <w:rPr>
          <w:rFonts w:ascii="Calibri"/>
          <w:b/>
          <w:sz w:val="26"/>
        </w:rPr>
        <w:t>for</w:t>
      </w:r>
      <w:r>
        <w:rPr>
          <w:rFonts w:ascii="Calibri"/>
          <w:b/>
          <w:spacing w:val="-13"/>
          <w:sz w:val="26"/>
        </w:rPr>
        <w:t xml:space="preserve"> </w:t>
      </w:r>
      <w:r>
        <w:rPr>
          <w:rFonts w:ascii="Calibri"/>
          <w:b/>
          <w:sz w:val="26"/>
        </w:rPr>
        <w:t>further</w:t>
      </w:r>
      <w:r>
        <w:rPr>
          <w:rFonts w:ascii="Calibri"/>
          <w:b/>
          <w:spacing w:val="-13"/>
          <w:sz w:val="26"/>
        </w:rPr>
        <w:t xml:space="preserve"> </w:t>
      </w:r>
      <w:r>
        <w:rPr>
          <w:rFonts w:ascii="Calibri"/>
          <w:b/>
          <w:spacing w:val="-2"/>
          <w:sz w:val="26"/>
        </w:rPr>
        <w:t>evaluation.</w:t>
      </w:r>
    </w:p>
    <w:p w14:paraId="3A72AECF" w14:textId="77777777" w:rsidR="00BB77C0" w:rsidRDefault="00BB77C0">
      <w:pPr>
        <w:rPr>
          <w:rFonts w:ascii="Calibri"/>
          <w:b/>
          <w:sz w:val="26"/>
        </w:rPr>
        <w:sectPr w:rsidR="00BB77C0">
          <w:pgSz w:w="16840" w:h="11910" w:orient="landscape"/>
          <w:pgMar w:top="240" w:right="2520" w:bottom="280" w:left="1440" w:header="720" w:footer="720" w:gutter="0"/>
          <w:cols w:space="720"/>
        </w:sectPr>
      </w:pPr>
    </w:p>
    <w:p w14:paraId="5CA8FDF5" w14:textId="77777777" w:rsidR="00BB77C0" w:rsidRDefault="00BB77C0">
      <w:pPr>
        <w:pStyle w:val="BodyText"/>
        <w:rPr>
          <w:rFonts w:ascii="Calibri"/>
          <w:b/>
          <w:sz w:val="40"/>
        </w:rPr>
      </w:pPr>
    </w:p>
    <w:p w14:paraId="5A239A23" w14:textId="77777777" w:rsidR="00BB77C0" w:rsidRDefault="00BB77C0">
      <w:pPr>
        <w:pStyle w:val="BodyText"/>
        <w:rPr>
          <w:rFonts w:ascii="Calibri"/>
          <w:b/>
          <w:sz w:val="40"/>
        </w:rPr>
      </w:pPr>
    </w:p>
    <w:p w14:paraId="22DD0D67" w14:textId="77777777" w:rsidR="00BB77C0" w:rsidRDefault="00BB77C0">
      <w:pPr>
        <w:pStyle w:val="BodyText"/>
        <w:rPr>
          <w:rFonts w:ascii="Calibri"/>
          <w:b/>
          <w:sz w:val="40"/>
        </w:rPr>
      </w:pPr>
    </w:p>
    <w:p w14:paraId="1557F659" w14:textId="77777777" w:rsidR="00BB77C0" w:rsidRDefault="00BB77C0">
      <w:pPr>
        <w:pStyle w:val="BodyText"/>
        <w:rPr>
          <w:rFonts w:ascii="Calibri"/>
          <w:b/>
          <w:sz w:val="40"/>
        </w:rPr>
      </w:pPr>
    </w:p>
    <w:p w14:paraId="6A926435" w14:textId="77777777" w:rsidR="00BB77C0" w:rsidRDefault="00BB77C0">
      <w:pPr>
        <w:pStyle w:val="BodyText"/>
        <w:rPr>
          <w:rFonts w:ascii="Calibri"/>
          <w:b/>
          <w:sz w:val="40"/>
        </w:rPr>
      </w:pPr>
    </w:p>
    <w:p w14:paraId="0D1B4815" w14:textId="77777777" w:rsidR="00BB77C0" w:rsidRDefault="00BB77C0">
      <w:pPr>
        <w:pStyle w:val="BodyText"/>
        <w:rPr>
          <w:rFonts w:ascii="Calibri"/>
          <w:b/>
          <w:sz w:val="40"/>
        </w:rPr>
      </w:pPr>
    </w:p>
    <w:p w14:paraId="6AA906A6" w14:textId="77777777" w:rsidR="00BB77C0" w:rsidRDefault="00BB77C0">
      <w:pPr>
        <w:pStyle w:val="BodyText"/>
        <w:rPr>
          <w:rFonts w:ascii="Calibri"/>
          <w:b/>
          <w:sz w:val="40"/>
        </w:rPr>
      </w:pPr>
    </w:p>
    <w:p w14:paraId="7170F0E8" w14:textId="77777777" w:rsidR="00BB77C0" w:rsidRDefault="00BB77C0">
      <w:pPr>
        <w:pStyle w:val="BodyText"/>
        <w:rPr>
          <w:rFonts w:ascii="Calibri"/>
          <w:b/>
          <w:sz w:val="40"/>
        </w:rPr>
      </w:pPr>
    </w:p>
    <w:p w14:paraId="14D6F5FC" w14:textId="77777777" w:rsidR="00BB77C0" w:rsidRDefault="00BB77C0">
      <w:pPr>
        <w:pStyle w:val="BodyText"/>
        <w:rPr>
          <w:rFonts w:ascii="Calibri"/>
          <w:b/>
          <w:sz w:val="40"/>
        </w:rPr>
      </w:pPr>
    </w:p>
    <w:p w14:paraId="15A78836" w14:textId="77777777" w:rsidR="00BB77C0" w:rsidRDefault="00BB77C0">
      <w:pPr>
        <w:pStyle w:val="BodyText"/>
        <w:rPr>
          <w:rFonts w:ascii="Calibri"/>
          <w:b/>
          <w:sz w:val="40"/>
        </w:rPr>
      </w:pPr>
    </w:p>
    <w:p w14:paraId="572133EB" w14:textId="77777777" w:rsidR="00BB77C0" w:rsidRDefault="00BB77C0">
      <w:pPr>
        <w:pStyle w:val="BodyText"/>
        <w:rPr>
          <w:rFonts w:ascii="Calibri"/>
          <w:b/>
          <w:sz w:val="40"/>
        </w:rPr>
      </w:pPr>
    </w:p>
    <w:p w14:paraId="2FD18FF8" w14:textId="77777777" w:rsidR="00BB77C0" w:rsidRDefault="00BB77C0">
      <w:pPr>
        <w:pStyle w:val="BodyText"/>
        <w:rPr>
          <w:rFonts w:ascii="Calibri"/>
          <w:b/>
          <w:sz w:val="40"/>
        </w:rPr>
      </w:pPr>
    </w:p>
    <w:p w14:paraId="158CEF85" w14:textId="77777777" w:rsidR="00BB77C0" w:rsidRDefault="00BB77C0">
      <w:pPr>
        <w:pStyle w:val="BodyText"/>
        <w:rPr>
          <w:rFonts w:ascii="Calibri"/>
          <w:b/>
          <w:sz w:val="40"/>
        </w:rPr>
      </w:pPr>
    </w:p>
    <w:p w14:paraId="5ACD6D4C" w14:textId="77777777" w:rsidR="00BB77C0" w:rsidRDefault="00BB77C0">
      <w:pPr>
        <w:pStyle w:val="BodyText"/>
        <w:spacing w:before="14"/>
        <w:rPr>
          <w:rFonts w:ascii="Calibri"/>
          <w:b/>
          <w:sz w:val="40"/>
        </w:rPr>
      </w:pPr>
    </w:p>
    <w:p w14:paraId="15E6EE5A" w14:textId="77777777" w:rsidR="00BB77C0" w:rsidRDefault="00370BAA">
      <w:pPr>
        <w:pStyle w:val="Heading2"/>
      </w:pPr>
      <w:bookmarkStart w:id="4" w:name="PART_1_–_TENDERING_PROCEDURES"/>
      <w:bookmarkStart w:id="5" w:name="_bookmark1"/>
      <w:bookmarkEnd w:id="4"/>
      <w:bookmarkEnd w:id="5"/>
      <w:r>
        <w:rPr>
          <w:spacing w:val="-2"/>
        </w:rPr>
        <w:t>PART</w:t>
      </w:r>
      <w:r>
        <w:rPr>
          <w:spacing w:val="-24"/>
        </w:rPr>
        <w:t xml:space="preserve"> </w:t>
      </w:r>
      <w:r>
        <w:rPr>
          <w:spacing w:val="-2"/>
        </w:rPr>
        <w:t>1</w:t>
      </w:r>
      <w:r>
        <w:rPr>
          <w:spacing w:val="-16"/>
        </w:rPr>
        <w:t xml:space="preserve"> </w:t>
      </w:r>
      <w:r>
        <w:rPr>
          <w:spacing w:val="-2"/>
        </w:rPr>
        <w:t>–</w:t>
      </w:r>
      <w:r>
        <w:rPr>
          <w:spacing w:val="-18"/>
        </w:rPr>
        <w:t xml:space="preserve"> </w:t>
      </w:r>
      <w:r>
        <w:rPr>
          <w:spacing w:val="-2"/>
        </w:rPr>
        <w:t>TENDERING</w:t>
      </w:r>
      <w:r>
        <w:rPr>
          <w:spacing w:val="-13"/>
        </w:rPr>
        <w:t xml:space="preserve"> </w:t>
      </w:r>
      <w:r>
        <w:rPr>
          <w:spacing w:val="-2"/>
        </w:rPr>
        <w:t>PROCEDURES</w:t>
      </w:r>
    </w:p>
    <w:p w14:paraId="5752C231" w14:textId="77777777" w:rsidR="00BB77C0" w:rsidRDefault="00BB77C0">
      <w:pPr>
        <w:pStyle w:val="Heading2"/>
        <w:sectPr w:rsidR="00BB77C0">
          <w:pgSz w:w="11930" w:h="16870"/>
          <w:pgMar w:top="1940" w:right="1080" w:bottom="280" w:left="1080" w:header="720" w:footer="720" w:gutter="0"/>
          <w:cols w:space="720"/>
        </w:sectPr>
      </w:pPr>
    </w:p>
    <w:p w14:paraId="1CF0C74A" w14:textId="77777777" w:rsidR="00BB77C0" w:rsidRDefault="00370BAA">
      <w:pPr>
        <w:pStyle w:val="Heading4"/>
        <w:spacing w:before="71"/>
      </w:pPr>
      <w:bookmarkStart w:id="6" w:name="SECTION_I_-_INSTRUCTIONS_TO_TENDERERS"/>
      <w:bookmarkStart w:id="7" w:name="_bookmark2"/>
      <w:bookmarkEnd w:id="6"/>
      <w:bookmarkEnd w:id="7"/>
      <w:r>
        <w:lastRenderedPageBreak/>
        <w:t>SECTION</w:t>
      </w:r>
      <w:r>
        <w:rPr>
          <w:spacing w:val="-10"/>
        </w:rPr>
        <w:t xml:space="preserve"> </w:t>
      </w:r>
      <w:r>
        <w:t>I</w:t>
      </w:r>
      <w:r>
        <w:rPr>
          <w:spacing w:val="-8"/>
        </w:rPr>
        <w:t xml:space="preserve"> </w:t>
      </w:r>
      <w:r>
        <w:t>-</w:t>
      </w:r>
      <w:r>
        <w:rPr>
          <w:spacing w:val="-12"/>
        </w:rPr>
        <w:t xml:space="preserve"> </w:t>
      </w:r>
      <w:r>
        <w:t>INSTRUCTIONS</w:t>
      </w:r>
      <w:r>
        <w:rPr>
          <w:spacing w:val="-10"/>
        </w:rPr>
        <w:t xml:space="preserve"> </w:t>
      </w:r>
      <w:r>
        <w:t>TO</w:t>
      </w:r>
      <w:r>
        <w:rPr>
          <w:spacing w:val="-10"/>
        </w:rPr>
        <w:t xml:space="preserve"> </w:t>
      </w:r>
      <w:r>
        <w:rPr>
          <w:spacing w:val="-2"/>
        </w:rPr>
        <w:t>TENDERERS</w:t>
      </w:r>
    </w:p>
    <w:p w14:paraId="5C1A3487" w14:textId="77777777" w:rsidR="00BB77C0" w:rsidRDefault="00BB77C0">
      <w:pPr>
        <w:pStyle w:val="BodyText"/>
        <w:spacing w:before="215"/>
        <w:rPr>
          <w:b/>
          <w:sz w:val="28"/>
        </w:rPr>
      </w:pPr>
    </w:p>
    <w:p w14:paraId="745E064B" w14:textId="77777777" w:rsidR="00BB77C0" w:rsidRDefault="00370BAA">
      <w:pPr>
        <w:pStyle w:val="Heading5"/>
        <w:numPr>
          <w:ilvl w:val="0"/>
          <w:numId w:val="110"/>
        </w:numPr>
        <w:tabs>
          <w:tab w:val="left" w:pos="1080"/>
        </w:tabs>
        <w:ind w:left="1080" w:hanging="720"/>
        <w:jc w:val="left"/>
        <w:rPr>
          <w:b w:val="0"/>
        </w:rPr>
      </w:pPr>
      <w:bookmarkStart w:id="8" w:name="A._GENERALPROVISIONS"/>
      <w:bookmarkStart w:id="9" w:name="_bookmark3"/>
      <w:bookmarkEnd w:id="8"/>
      <w:bookmarkEnd w:id="9"/>
      <w:r>
        <w:rPr>
          <w:spacing w:val="-2"/>
        </w:rPr>
        <w:t>GENERALPROVISIONS</w:t>
      </w:r>
    </w:p>
    <w:p w14:paraId="562450A0" w14:textId="77777777" w:rsidR="00BB77C0" w:rsidRDefault="00370BAA">
      <w:pPr>
        <w:pStyle w:val="Heading6"/>
        <w:numPr>
          <w:ilvl w:val="0"/>
          <w:numId w:val="109"/>
        </w:numPr>
        <w:tabs>
          <w:tab w:val="left" w:pos="720"/>
        </w:tabs>
        <w:spacing w:before="262"/>
        <w:ind w:hanging="720"/>
      </w:pPr>
      <w:bookmarkStart w:id="10" w:name="1.0_Scope_of_Tender"/>
      <w:bookmarkStart w:id="11" w:name="_bookmark4"/>
      <w:bookmarkEnd w:id="10"/>
      <w:bookmarkEnd w:id="11"/>
      <w:r>
        <w:t>Scope of</w:t>
      </w:r>
      <w:r>
        <w:rPr>
          <w:spacing w:val="-1"/>
        </w:rPr>
        <w:t xml:space="preserve"> </w:t>
      </w:r>
      <w:r>
        <w:rPr>
          <w:spacing w:val="-2"/>
        </w:rPr>
        <w:t>Tender</w:t>
      </w:r>
    </w:p>
    <w:p w14:paraId="4A35DAD3" w14:textId="77777777" w:rsidR="00BB77C0" w:rsidRDefault="00370BAA">
      <w:pPr>
        <w:spacing w:before="74" w:line="259" w:lineRule="auto"/>
        <w:ind w:left="720" w:right="79"/>
        <w:rPr>
          <w:b/>
          <w:sz w:val="24"/>
        </w:rPr>
      </w:pPr>
      <w:r>
        <w:rPr>
          <w:color w:val="211F1F"/>
          <w:sz w:val="24"/>
        </w:rPr>
        <w:t>The</w:t>
      </w:r>
      <w:r>
        <w:rPr>
          <w:color w:val="211F1F"/>
          <w:spacing w:val="-7"/>
          <w:sz w:val="24"/>
        </w:rPr>
        <w:t xml:space="preserve"> </w:t>
      </w:r>
      <w:r>
        <w:rPr>
          <w:color w:val="211F1F"/>
          <w:sz w:val="24"/>
        </w:rPr>
        <w:t>Procuring</w:t>
      </w:r>
      <w:r>
        <w:rPr>
          <w:color w:val="211F1F"/>
          <w:spacing w:val="-2"/>
          <w:sz w:val="24"/>
        </w:rPr>
        <w:t xml:space="preserve"> </w:t>
      </w:r>
      <w:r>
        <w:rPr>
          <w:color w:val="211F1F"/>
          <w:sz w:val="24"/>
        </w:rPr>
        <w:t>Entity</w:t>
      </w:r>
      <w:r>
        <w:rPr>
          <w:color w:val="211F1F"/>
          <w:spacing w:val="-11"/>
          <w:sz w:val="24"/>
        </w:rPr>
        <w:t xml:space="preserve"> </w:t>
      </w:r>
      <w:r>
        <w:rPr>
          <w:color w:val="211F1F"/>
          <w:sz w:val="24"/>
        </w:rPr>
        <w:t>as</w:t>
      </w:r>
      <w:r>
        <w:rPr>
          <w:color w:val="211F1F"/>
          <w:spacing w:val="-4"/>
          <w:sz w:val="24"/>
        </w:rPr>
        <w:t xml:space="preserve"> </w:t>
      </w:r>
      <w:r>
        <w:rPr>
          <w:color w:val="211F1F"/>
          <w:sz w:val="24"/>
        </w:rPr>
        <w:t>defined in</w:t>
      </w:r>
      <w:r>
        <w:rPr>
          <w:color w:val="211F1F"/>
          <w:spacing w:val="-7"/>
          <w:sz w:val="24"/>
        </w:rPr>
        <w:t xml:space="preserve"> </w:t>
      </w:r>
      <w:r>
        <w:rPr>
          <w:color w:val="211F1F"/>
          <w:sz w:val="24"/>
        </w:rPr>
        <w:t>the</w:t>
      </w:r>
      <w:r>
        <w:rPr>
          <w:color w:val="211F1F"/>
          <w:spacing w:val="-7"/>
          <w:sz w:val="24"/>
        </w:rPr>
        <w:t xml:space="preserve"> </w:t>
      </w:r>
      <w:r>
        <w:rPr>
          <w:color w:val="211F1F"/>
          <w:sz w:val="24"/>
        </w:rPr>
        <w:t>Appendix</w:t>
      </w:r>
      <w:r>
        <w:rPr>
          <w:color w:val="211F1F"/>
          <w:spacing w:val="-6"/>
          <w:sz w:val="24"/>
        </w:rPr>
        <w:t xml:space="preserve"> </w:t>
      </w:r>
      <w:r>
        <w:rPr>
          <w:color w:val="211F1F"/>
          <w:sz w:val="24"/>
        </w:rPr>
        <w:t>to</w:t>
      </w:r>
      <w:r>
        <w:rPr>
          <w:color w:val="211F1F"/>
          <w:spacing w:val="-2"/>
          <w:sz w:val="24"/>
        </w:rPr>
        <w:t xml:space="preserve"> </w:t>
      </w:r>
      <w:r>
        <w:rPr>
          <w:color w:val="211F1F"/>
          <w:sz w:val="24"/>
        </w:rPr>
        <w:t>Conditions</w:t>
      </w:r>
      <w:r>
        <w:rPr>
          <w:color w:val="211F1F"/>
          <w:spacing w:val="-3"/>
          <w:sz w:val="24"/>
        </w:rPr>
        <w:t xml:space="preserve"> </w:t>
      </w:r>
      <w:r>
        <w:rPr>
          <w:color w:val="211F1F"/>
          <w:sz w:val="24"/>
        </w:rPr>
        <w:t>of</w:t>
      </w:r>
      <w:r>
        <w:rPr>
          <w:color w:val="211F1F"/>
          <w:spacing w:val="-15"/>
          <w:sz w:val="24"/>
        </w:rPr>
        <w:t xml:space="preserve"> </w:t>
      </w:r>
      <w:r>
        <w:rPr>
          <w:color w:val="211F1F"/>
          <w:sz w:val="24"/>
        </w:rPr>
        <w:t>Contract</w:t>
      </w:r>
      <w:r>
        <w:rPr>
          <w:color w:val="211F1F"/>
          <w:spacing w:val="-2"/>
          <w:sz w:val="24"/>
        </w:rPr>
        <w:t xml:space="preserve"> </w:t>
      </w:r>
      <w:r>
        <w:rPr>
          <w:color w:val="211F1F"/>
          <w:sz w:val="24"/>
        </w:rPr>
        <w:t>invites</w:t>
      </w:r>
      <w:r>
        <w:rPr>
          <w:color w:val="211F1F"/>
          <w:spacing w:val="-3"/>
          <w:sz w:val="24"/>
        </w:rPr>
        <w:t xml:space="preserve"> </w:t>
      </w:r>
      <w:r>
        <w:rPr>
          <w:color w:val="211F1F"/>
          <w:sz w:val="24"/>
        </w:rPr>
        <w:t>tenders</w:t>
      </w:r>
      <w:r>
        <w:rPr>
          <w:color w:val="211F1F"/>
          <w:spacing w:val="-3"/>
          <w:sz w:val="24"/>
        </w:rPr>
        <w:t xml:space="preserve"> </w:t>
      </w:r>
      <w:r>
        <w:rPr>
          <w:color w:val="211F1F"/>
          <w:sz w:val="24"/>
        </w:rPr>
        <w:t>for Works Contract as described in</w:t>
      </w:r>
      <w:r>
        <w:rPr>
          <w:color w:val="211F1F"/>
          <w:spacing w:val="-2"/>
          <w:sz w:val="24"/>
        </w:rPr>
        <w:t xml:space="preserve"> </w:t>
      </w:r>
      <w:r>
        <w:rPr>
          <w:color w:val="211F1F"/>
          <w:sz w:val="24"/>
        </w:rPr>
        <w:t xml:space="preserve">the tender documents. The name, identification, and number of lots (contracts) of this Tender Document are </w:t>
      </w:r>
      <w:r>
        <w:rPr>
          <w:b/>
          <w:color w:val="211F1F"/>
          <w:sz w:val="24"/>
        </w:rPr>
        <w:t>specified in the TDS.</w:t>
      </w:r>
    </w:p>
    <w:p w14:paraId="0F189C2F" w14:textId="77777777" w:rsidR="00BB77C0" w:rsidRDefault="00370BAA">
      <w:pPr>
        <w:pStyle w:val="Heading6"/>
        <w:numPr>
          <w:ilvl w:val="0"/>
          <w:numId w:val="109"/>
        </w:numPr>
        <w:tabs>
          <w:tab w:val="left" w:pos="720"/>
        </w:tabs>
        <w:spacing w:before="244"/>
        <w:ind w:hanging="720"/>
      </w:pPr>
      <w:bookmarkStart w:id="12" w:name="2.0_Fraud_and_Corruption"/>
      <w:bookmarkStart w:id="13" w:name="_bookmark5"/>
      <w:bookmarkEnd w:id="12"/>
      <w:bookmarkEnd w:id="13"/>
      <w:r>
        <w:t>Fraud and</w:t>
      </w:r>
      <w:r>
        <w:rPr>
          <w:spacing w:val="-4"/>
        </w:rPr>
        <w:t xml:space="preserve"> </w:t>
      </w:r>
      <w:r>
        <w:rPr>
          <w:spacing w:val="-2"/>
        </w:rPr>
        <w:t>Corruption</w:t>
      </w:r>
    </w:p>
    <w:p w14:paraId="3E2C6E26" w14:textId="77777777" w:rsidR="00BB77C0" w:rsidRDefault="00370BAA">
      <w:pPr>
        <w:pStyle w:val="ListParagraph"/>
        <w:numPr>
          <w:ilvl w:val="1"/>
          <w:numId w:val="109"/>
        </w:numPr>
        <w:tabs>
          <w:tab w:val="left" w:pos="1441"/>
        </w:tabs>
        <w:spacing w:before="79" w:line="259" w:lineRule="auto"/>
        <w:ind w:right="88"/>
        <w:jc w:val="left"/>
        <w:rPr>
          <w:sz w:val="24"/>
        </w:rPr>
      </w:pPr>
      <w:r>
        <w:rPr>
          <w:color w:val="211F1F"/>
          <w:sz w:val="24"/>
        </w:rPr>
        <w:t>The Procuring Entity requires compliance with the provisions of the Public Procurement and Asset Disposal</w:t>
      </w:r>
      <w:r>
        <w:rPr>
          <w:color w:val="211F1F"/>
          <w:spacing w:val="-3"/>
          <w:sz w:val="24"/>
        </w:rPr>
        <w:t xml:space="preserve"> </w:t>
      </w:r>
      <w:r>
        <w:rPr>
          <w:color w:val="211F1F"/>
          <w:sz w:val="24"/>
        </w:rPr>
        <w:t>Act, 2015, Section</w:t>
      </w:r>
      <w:r>
        <w:rPr>
          <w:color w:val="211F1F"/>
          <w:spacing w:val="-3"/>
          <w:sz w:val="24"/>
        </w:rPr>
        <w:t xml:space="preserve"> </w:t>
      </w:r>
      <w:r>
        <w:rPr>
          <w:color w:val="211F1F"/>
          <w:sz w:val="24"/>
        </w:rPr>
        <w:t>62 “Declaration not</w:t>
      </w:r>
      <w:r>
        <w:rPr>
          <w:color w:val="211F1F"/>
          <w:spacing w:val="-2"/>
          <w:sz w:val="24"/>
        </w:rPr>
        <w:t xml:space="preserve"> </w:t>
      </w:r>
      <w:r>
        <w:rPr>
          <w:color w:val="211F1F"/>
          <w:sz w:val="24"/>
        </w:rPr>
        <w:t>to engage in corruption”. The tender submitted by a person shall include a declaration that the person</w:t>
      </w:r>
      <w:r>
        <w:rPr>
          <w:color w:val="211F1F"/>
          <w:spacing w:val="-6"/>
          <w:sz w:val="24"/>
        </w:rPr>
        <w:t xml:space="preserve"> </w:t>
      </w:r>
      <w:r>
        <w:rPr>
          <w:color w:val="211F1F"/>
          <w:sz w:val="24"/>
        </w:rPr>
        <w:t>shall</w:t>
      </w:r>
      <w:r>
        <w:rPr>
          <w:color w:val="211F1F"/>
          <w:spacing w:val="-6"/>
          <w:sz w:val="24"/>
        </w:rPr>
        <w:t xml:space="preserve"> </w:t>
      </w:r>
      <w:r>
        <w:rPr>
          <w:color w:val="211F1F"/>
          <w:sz w:val="24"/>
        </w:rPr>
        <w:t>not</w:t>
      </w:r>
      <w:r>
        <w:rPr>
          <w:color w:val="211F1F"/>
          <w:spacing w:val="-1"/>
          <w:sz w:val="24"/>
        </w:rPr>
        <w:t xml:space="preserve"> </w:t>
      </w:r>
      <w:r>
        <w:rPr>
          <w:color w:val="211F1F"/>
          <w:sz w:val="24"/>
        </w:rPr>
        <w:t>engage</w:t>
      </w:r>
      <w:r>
        <w:rPr>
          <w:color w:val="211F1F"/>
          <w:spacing w:val="-2"/>
          <w:sz w:val="24"/>
        </w:rPr>
        <w:t xml:space="preserve"> </w:t>
      </w:r>
      <w:r>
        <w:rPr>
          <w:color w:val="211F1F"/>
          <w:sz w:val="24"/>
        </w:rPr>
        <w:t>in</w:t>
      </w:r>
      <w:r>
        <w:rPr>
          <w:color w:val="211F1F"/>
          <w:spacing w:val="-7"/>
          <w:sz w:val="24"/>
        </w:rPr>
        <w:t xml:space="preserve"> </w:t>
      </w:r>
      <w:r>
        <w:rPr>
          <w:color w:val="211F1F"/>
          <w:sz w:val="24"/>
        </w:rPr>
        <w:t>any</w:t>
      </w:r>
      <w:r>
        <w:rPr>
          <w:color w:val="211F1F"/>
          <w:spacing w:val="-6"/>
          <w:sz w:val="24"/>
        </w:rPr>
        <w:t xml:space="preserve"> </w:t>
      </w:r>
      <w:r>
        <w:rPr>
          <w:color w:val="211F1F"/>
          <w:sz w:val="24"/>
        </w:rPr>
        <w:t>corrupt</w:t>
      </w:r>
      <w:r>
        <w:rPr>
          <w:color w:val="211F1F"/>
          <w:spacing w:val="-6"/>
          <w:sz w:val="24"/>
        </w:rPr>
        <w:t xml:space="preserve"> </w:t>
      </w:r>
      <w:r>
        <w:rPr>
          <w:color w:val="211F1F"/>
          <w:sz w:val="24"/>
        </w:rPr>
        <w:t>or</w:t>
      </w:r>
      <w:r>
        <w:rPr>
          <w:color w:val="211F1F"/>
          <w:spacing w:val="-10"/>
          <w:sz w:val="24"/>
        </w:rPr>
        <w:t xml:space="preserve"> </w:t>
      </w:r>
      <w:r>
        <w:rPr>
          <w:color w:val="211F1F"/>
          <w:sz w:val="24"/>
        </w:rPr>
        <w:t>fraudulent</w:t>
      </w:r>
      <w:r>
        <w:rPr>
          <w:color w:val="211F1F"/>
          <w:spacing w:val="-1"/>
          <w:sz w:val="24"/>
        </w:rPr>
        <w:t xml:space="preserve"> </w:t>
      </w:r>
      <w:r>
        <w:rPr>
          <w:color w:val="211F1F"/>
          <w:sz w:val="24"/>
        </w:rPr>
        <w:t>practice</w:t>
      </w:r>
      <w:r>
        <w:rPr>
          <w:color w:val="211F1F"/>
          <w:spacing w:val="-2"/>
          <w:sz w:val="24"/>
        </w:rPr>
        <w:t xml:space="preserve"> </w:t>
      </w:r>
      <w:r>
        <w:rPr>
          <w:color w:val="211F1F"/>
          <w:sz w:val="24"/>
        </w:rPr>
        <w:t>and</w:t>
      </w:r>
      <w:r>
        <w:rPr>
          <w:color w:val="211F1F"/>
          <w:spacing w:val="-2"/>
          <w:sz w:val="24"/>
        </w:rPr>
        <w:t xml:space="preserve"> </w:t>
      </w:r>
      <w:r>
        <w:rPr>
          <w:color w:val="211F1F"/>
          <w:sz w:val="24"/>
        </w:rPr>
        <w:t>a</w:t>
      </w:r>
      <w:r>
        <w:rPr>
          <w:color w:val="211F1F"/>
          <w:spacing w:val="-8"/>
          <w:sz w:val="24"/>
        </w:rPr>
        <w:t xml:space="preserve"> </w:t>
      </w:r>
      <w:r>
        <w:rPr>
          <w:color w:val="211F1F"/>
          <w:sz w:val="24"/>
        </w:rPr>
        <w:t>declaration</w:t>
      </w:r>
      <w:r>
        <w:rPr>
          <w:color w:val="211F1F"/>
          <w:spacing w:val="-5"/>
          <w:sz w:val="24"/>
        </w:rPr>
        <w:t xml:space="preserve"> </w:t>
      </w:r>
      <w:r>
        <w:rPr>
          <w:color w:val="211F1F"/>
          <w:sz w:val="24"/>
        </w:rPr>
        <w:t>that</w:t>
      </w:r>
      <w:r>
        <w:rPr>
          <w:color w:val="211F1F"/>
          <w:spacing w:val="-5"/>
          <w:sz w:val="24"/>
        </w:rPr>
        <w:t xml:space="preserve"> </w:t>
      </w:r>
      <w:r>
        <w:rPr>
          <w:color w:val="211F1F"/>
          <w:sz w:val="24"/>
        </w:rPr>
        <w:t>the person or his or her sub-contractors are not debarred from participating in public procurement proceedings.</w:t>
      </w:r>
    </w:p>
    <w:p w14:paraId="498A6EB0" w14:textId="77777777" w:rsidR="00BB77C0" w:rsidRDefault="00370BAA">
      <w:pPr>
        <w:pStyle w:val="ListParagraph"/>
        <w:numPr>
          <w:ilvl w:val="1"/>
          <w:numId w:val="109"/>
        </w:numPr>
        <w:tabs>
          <w:tab w:val="left" w:pos="1441"/>
        </w:tabs>
        <w:spacing w:before="157" w:line="259" w:lineRule="auto"/>
        <w:ind w:right="162"/>
        <w:jc w:val="left"/>
        <w:rPr>
          <w:sz w:val="24"/>
        </w:rPr>
      </w:pPr>
      <w:r>
        <w:rPr>
          <w:color w:val="211F1F"/>
          <w:sz w:val="24"/>
        </w:rPr>
        <w:t>The</w:t>
      </w:r>
      <w:r>
        <w:rPr>
          <w:color w:val="211F1F"/>
          <w:spacing w:val="-7"/>
          <w:sz w:val="24"/>
        </w:rPr>
        <w:t xml:space="preserve"> </w:t>
      </w:r>
      <w:r>
        <w:rPr>
          <w:color w:val="211F1F"/>
          <w:sz w:val="24"/>
        </w:rPr>
        <w:t>Procuring</w:t>
      </w:r>
      <w:r>
        <w:rPr>
          <w:color w:val="211F1F"/>
          <w:spacing w:val="-4"/>
          <w:sz w:val="24"/>
        </w:rPr>
        <w:t xml:space="preserve"> </w:t>
      </w:r>
      <w:r>
        <w:rPr>
          <w:color w:val="211F1F"/>
          <w:sz w:val="24"/>
        </w:rPr>
        <w:t>Entity</w:t>
      </w:r>
      <w:r>
        <w:rPr>
          <w:color w:val="211F1F"/>
          <w:spacing w:val="-14"/>
          <w:sz w:val="24"/>
        </w:rPr>
        <w:t xml:space="preserve"> </w:t>
      </w:r>
      <w:r>
        <w:rPr>
          <w:color w:val="211F1F"/>
          <w:sz w:val="24"/>
        </w:rPr>
        <w:t>requires</w:t>
      </w:r>
      <w:r>
        <w:rPr>
          <w:color w:val="211F1F"/>
          <w:spacing w:val="-7"/>
          <w:sz w:val="24"/>
        </w:rPr>
        <w:t xml:space="preserve"> </w:t>
      </w:r>
      <w:r>
        <w:rPr>
          <w:color w:val="211F1F"/>
          <w:sz w:val="24"/>
        </w:rPr>
        <w:t>compliance</w:t>
      </w:r>
      <w:r>
        <w:rPr>
          <w:color w:val="211F1F"/>
          <w:spacing w:val="-2"/>
          <w:sz w:val="24"/>
        </w:rPr>
        <w:t xml:space="preserve"> </w:t>
      </w:r>
      <w:r>
        <w:rPr>
          <w:color w:val="211F1F"/>
          <w:sz w:val="24"/>
        </w:rPr>
        <w:t>with</w:t>
      </w:r>
      <w:r>
        <w:rPr>
          <w:color w:val="211F1F"/>
          <w:spacing w:val="-10"/>
          <w:sz w:val="24"/>
        </w:rPr>
        <w:t xml:space="preserve"> </w:t>
      </w:r>
      <w:r>
        <w:rPr>
          <w:color w:val="211F1F"/>
          <w:sz w:val="24"/>
        </w:rPr>
        <w:t>the</w:t>
      </w:r>
      <w:r>
        <w:rPr>
          <w:color w:val="211F1F"/>
          <w:spacing w:val="-7"/>
          <w:sz w:val="24"/>
        </w:rPr>
        <w:t xml:space="preserve"> </w:t>
      </w:r>
      <w:r>
        <w:rPr>
          <w:color w:val="211F1F"/>
          <w:sz w:val="24"/>
        </w:rPr>
        <w:t>provisions</w:t>
      </w:r>
      <w:r>
        <w:rPr>
          <w:color w:val="211F1F"/>
          <w:spacing w:val="-6"/>
          <w:sz w:val="24"/>
        </w:rPr>
        <w:t xml:space="preserve"> </w:t>
      </w:r>
      <w:r>
        <w:rPr>
          <w:color w:val="211F1F"/>
          <w:sz w:val="24"/>
        </w:rPr>
        <w:t>of</w:t>
      </w:r>
      <w:r>
        <w:rPr>
          <w:color w:val="211F1F"/>
          <w:spacing w:val="-14"/>
          <w:sz w:val="24"/>
        </w:rPr>
        <w:t xml:space="preserve"> </w:t>
      </w:r>
      <w:r>
        <w:rPr>
          <w:color w:val="211F1F"/>
          <w:sz w:val="24"/>
        </w:rPr>
        <w:t>the</w:t>
      </w:r>
      <w:r>
        <w:rPr>
          <w:color w:val="211F1F"/>
          <w:spacing w:val="-6"/>
          <w:sz w:val="24"/>
        </w:rPr>
        <w:t xml:space="preserve"> </w:t>
      </w:r>
      <w:r>
        <w:rPr>
          <w:color w:val="211F1F"/>
          <w:sz w:val="24"/>
        </w:rPr>
        <w:t>Competition</w:t>
      </w:r>
      <w:r>
        <w:rPr>
          <w:color w:val="211F1F"/>
          <w:spacing w:val="-4"/>
          <w:sz w:val="24"/>
        </w:rPr>
        <w:t xml:space="preserve"> </w:t>
      </w:r>
      <w:r>
        <w:rPr>
          <w:color w:val="211F1F"/>
          <w:sz w:val="24"/>
        </w:rPr>
        <w:t xml:space="preserve">Act 2010, regarding </w:t>
      </w:r>
      <w:r>
        <w:rPr>
          <w:color w:val="211F1F"/>
          <w:sz w:val="24"/>
          <w:u w:val="single" w:color="211F1F"/>
        </w:rPr>
        <w:t xml:space="preserve">collusive practices </w:t>
      </w:r>
      <w:r>
        <w:rPr>
          <w:color w:val="211F1F"/>
          <w:sz w:val="24"/>
        </w:rPr>
        <w:t>in contracting. Any tenderer found to have engaged in</w:t>
      </w:r>
      <w:r>
        <w:rPr>
          <w:color w:val="211F1F"/>
          <w:spacing w:val="-8"/>
          <w:sz w:val="24"/>
        </w:rPr>
        <w:t xml:space="preserve"> </w:t>
      </w:r>
      <w:r>
        <w:rPr>
          <w:color w:val="211F1F"/>
          <w:sz w:val="24"/>
        </w:rPr>
        <w:t>collusive</w:t>
      </w:r>
      <w:r>
        <w:rPr>
          <w:color w:val="211F1F"/>
          <w:spacing w:val="-4"/>
          <w:sz w:val="24"/>
        </w:rPr>
        <w:t xml:space="preserve"> </w:t>
      </w:r>
      <w:r>
        <w:rPr>
          <w:color w:val="211F1F"/>
          <w:sz w:val="24"/>
        </w:rPr>
        <w:t>conduct shall</w:t>
      </w:r>
      <w:r>
        <w:rPr>
          <w:color w:val="211F1F"/>
          <w:spacing w:val="-7"/>
          <w:sz w:val="24"/>
        </w:rPr>
        <w:t xml:space="preserve"> </w:t>
      </w:r>
      <w:r>
        <w:rPr>
          <w:color w:val="211F1F"/>
          <w:sz w:val="24"/>
        </w:rPr>
        <w:t>be</w:t>
      </w:r>
      <w:r>
        <w:rPr>
          <w:color w:val="211F1F"/>
          <w:spacing w:val="-4"/>
          <w:sz w:val="24"/>
        </w:rPr>
        <w:t xml:space="preserve"> </w:t>
      </w:r>
      <w:r>
        <w:rPr>
          <w:color w:val="211F1F"/>
          <w:sz w:val="24"/>
        </w:rPr>
        <w:t>disqualified</w:t>
      </w:r>
      <w:r>
        <w:rPr>
          <w:color w:val="211F1F"/>
          <w:spacing w:val="-3"/>
          <w:sz w:val="24"/>
        </w:rPr>
        <w:t xml:space="preserve"> </w:t>
      </w:r>
      <w:r>
        <w:rPr>
          <w:color w:val="211F1F"/>
          <w:sz w:val="24"/>
        </w:rPr>
        <w:t>and</w:t>
      </w:r>
      <w:r>
        <w:rPr>
          <w:color w:val="211F1F"/>
          <w:spacing w:val="-3"/>
          <w:sz w:val="24"/>
        </w:rPr>
        <w:t xml:space="preserve"> </w:t>
      </w:r>
      <w:r>
        <w:rPr>
          <w:color w:val="211F1F"/>
          <w:sz w:val="24"/>
        </w:rPr>
        <w:t>criminal</w:t>
      </w:r>
      <w:r>
        <w:rPr>
          <w:color w:val="211F1F"/>
          <w:spacing w:val="-8"/>
          <w:sz w:val="24"/>
        </w:rPr>
        <w:t xml:space="preserve"> </w:t>
      </w:r>
      <w:r>
        <w:rPr>
          <w:color w:val="211F1F"/>
          <w:sz w:val="24"/>
        </w:rPr>
        <w:t>and/or</w:t>
      </w:r>
      <w:r>
        <w:rPr>
          <w:color w:val="211F1F"/>
          <w:spacing w:val="-2"/>
          <w:sz w:val="24"/>
        </w:rPr>
        <w:t xml:space="preserve"> </w:t>
      </w:r>
      <w:r>
        <w:rPr>
          <w:color w:val="211F1F"/>
          <w:sz w:val="24"/>
        </w:rPr>
        <w:t>civil</w:t>
      </w:r>
      <w:r>
        <w:rPr>
          <w:color w:val="211F1F"/>
          <w:spacing w:val="-7"/>
          <w:sz w:val="24"/>
        </w:rPr>
        <w:t xml:space="preserve"> </w:t>
      </w:r>
      <w:r>
        <w:rPr>
          <w:color w:val="211F1F"/>
          <w:sz w:val="24"/>
        </w:rPr>
        <w:t>sanctions may be imposed. To this effect, Tenders shall be required to complete and sign the “Certificate of Independent Tender Determination” annexed to the Form of Tender.</w:t>
      </w:r>
    </w:p>
    <w:p w14:paraId="5EC52955" w14:textId="77777777" w:rsidR="00BB77C0" w:rsidRDefault="00370BAA">
      <w:pPr>
        <w:pStyle w:val="ListParagraph"/>
        <w:numPr>
          <w:ilvl w:val="1"/>
          <w:numId w:val="109"/>
        </w:numPr>
        <w:tabs>
          <w:tab w:val="left" w:pos="1441"/>
        </w:tabs>
        <w:spacing w:before="157" w:line="259" w:lineRule="auto"/>
        <w:ind w:right="237" w:hanging="658"/>
        <w:jc w:val="left"/>
        <w:rPr>
          <w:sz w:val="24"/>
        </w:rPr>
      </w:pPr>
      <w:r>
        <w:rPr>
          <w:color w:val="211F1F"/>
          <w:sz w:val="24"/>
        </w:rPr>
        <w:t>Tenderers shall permit and shall cause their agents (where declared or not), subcontractors, sub</w:t>
      </w:r>
      <w:r>
        <w:rPr>
          <w:color w:val="211F1F"/>
          <w:spacing w:val="-2"/>
          <w:sz w:val="24"/>
        </w:rPr>
        <w:t xml:space="preserve"> </w:t>
      </w:r>
      <w:r>
        <w:rPr>
          <w:color w:val="211F1F"/>
          <w:sz w:val="24"/>
        </w:rPr>
        <w:t>consultants, service providers, suppliers, and their personnel, to permit the Procuring Entity to inspect all accounts, records and other documents relating</w:t>
      </w:r>
      <w:r>
        <w:rPr>
          <w:color w:val="211F1F"/>
          <w:spacing w:val="-7"/>
          <w:sz w:val="24"/>
        </w:rPr>
        <w:t xml:space="preserve"> </w:t>
      </w:r>
      <w:r>
        <w:rPr>
          <w:color w:val="211F1F"/>
          <w:sz w:val="24"/>
        </w:rPr>
        <w:t>to</w:t>
      </w:r>
      <w:r>
        <w:rPr>
          <w:color w:val="211F1F"/>
          <w:spacing w:val="-3"/>
          <w:sz w:val="24"/>
        </w:rPr>
        <w:t xml:space="preserve"> </w:t>
      </w:r>
      <w:r>
        <w:rPr>
          <w:color w:val="211F1F"/>
          <w:sz w:val="24"/>
        </w:rPr>
        <w:t>any</w:t>
      </w:r>
      <w:r>
        <w:rPr>
          <w:color w:val="211F1F"/>
          <w:spacing w:val="-13"/>
          <w:sz w:val="24"/>
        </w:rPr>
        <w:t xml:space="preserve"> </w:t>
      </w:r>
      <w:r>
        <w:rPr>
          <w:color w:val="211F1F"/>
          <w:sz w:val="24"/>
        </w:rPr>
        <w:t>initial</w:t>
      </w:r>
      <w:r>
        <w:rPr>
          <w:color w:val="211F1F"/>
          <w:spacing w:val="-11"/>
          <w:sz w:val="24"/>
        </w:rPr>
        <w:t xml:space="preserve"> </w:t>
      </w:r>
      <w:r>
        <w:rPr>
          <w:color w:val="211F1F"/>
          <w:sz w:val="24"/>
        </w:rPr>
        <w:t>selection</w:t>
      </w:r>
      <w:r>
        <w:rPr>
          <w:color w:val="211F1F"/>
          <w:spacing w:val="-11"/>
          <w:sz w:val="24"/>
        </w:rPr>
        <w:t xml:space="preserve"> </w:t>
      </w:r>
      <w:r>
        <w:rPr>
          <w:color w:val="211F1F"/>
          <w:sz w:val="24"/>
        </w:rPr>
        <w:t>process,</w:t>
      </w:r>
      <w:r>
        <w:rPr>
          <w:color w:val="211F1F"/>
          <w:spacing w:val="-5"/>
          <w:sz w:val="24"/>
        </w:rPr>
        <w:t xml:space="preserve"> </w:t>
      </w:r>
      <w:r>
        <w:rPr>
          <w:color w:val="211F1F"/>
          <w:sz w:val="24"/>
        </w:rPr>
        <w:t>pre-qualification</w:t>
      </w:r>
      <w:r>
        <w:rPr>
          <w:color w:val="211F1F"/>
          <w:spacing w:val="-11"/>
          <w:sz w:val="24"/>
        </w:rPr>
        <w:t xml:space="preserve"> </w:t>
      </w:r>
      <w:r>
        <w:rPr>
          <w:color w:val="211F1F"/>
          <w:sz w:val="24"/>
        </w:rPr>
        <w:t>process,</w:t>
      </w:r>
      <w:r>
        <w:rPr>
          <w:color w:val="211F1F"/>
          <w:spacing w:val="-5"/>
          <w:sz w:val="24"/>
        </w:rPr>
        <w:t xml:space="preserve"> </w:t>
      </w:r>
      <w:r>
        <w:rPr>
          <w:color w:val="211F1F"/>
          <w:sz w:val="24"/>
        </w:rPr>
        <w:t>tender</w:t>
      </w:r>
      <w:r>
        <w:rPr>
          <w:color w:val="211F1F"/>
          <w:spacing w:val="-5"/>
          <w:sz w:val="24"/>
        </w:rPr>
        <w:t xml:space="preserve"> </w:t>
      </w:r>
      <w:r>
        <w:rPr>
          <w:color w:val="211F1F"/>
          <w:sz w:val="24"/>
        </w:rPr>
        <w:t>submission, proposal submission, and contract performance (in the case of award), and to have them audited by auditors appointed by the Procuring Entity.</w:t>
      </w:r>
    </w:p>
    <w:p w14:paraId="4CCF8216" w14:textId="77777777" w:rsidR="00BB77C0" w:rsidRDefault="00370BAA">
      <w:pPr>
        <w:pStyle w:val="ListParagraph"/>
        <w:numPr>
          <w:ilvl w:val="1"/>
          <w:numId w:val="109"/>
        </w:numPr>
        <w:tabs>
          <w:tab w:val="left" w:pos="1441"/>
        </w:tabs>
        <w:spacing w:before="161" w:line="259" w:lineRule="auto"/>
        <w:ind w:right="90"/>
        <w:jc w:val="left"/>
        <w:rPr>
          <w:sz w:val="24"/>
        </w:rPr>
      </w:pPr>
      <w:r>
        <w:rPr>
          <w:color w:val="211F1F"/>
          <w:sz w:val="24"/>
        </w:rPr>
        <w:t>Unfair Competitive Advantage -Fairness and transparency in the tender process require that the firms or their Affiliates competing for a specific assignment do not derive a competitive advantage from having provided consulting services related to this tender. To that end, the Procuring Entity</w:t>
      </w:r>
      <w:r>
        <w:rPr>
          <w:color w:val="211F1F"/>
          <w:spacing w:val="-1"/>
          <w:sz w:val="24"/>
        </w:rPr>
        <w:t xml:space="preserve"> </w:t>
      </w:r>
      <w:r>
        <w:rPr>
          <w:color w:val="211F1F"/>
          <w:sz w:val="24"/>
        </w:rPr>
        <w:t xml:space="preserve">shall indicate in the </w:t>
      </w:r>
      <w:r>
        <w:rPr>
          <w:b/>
          <w:color w:val="211F1F"/>
          <w:sz w:val="24"/>
        </w:rPr>
        <w:t xml:space="preserve">Data Sheet </w:t>
      </w:r>
      <w:r>
        <w:rPr>
          <w:color w:val="211F1F"/>
          <w:sz w:val="24"/>
        </w:rPr>
        <w:t>and make</w:t>
      </w:r>
      <w:r>
        <w:rPr>
          <w:color w:val="211F1F"/>
          <w:spacing w:val="-3"/>
          <w:sz w:val="24"/>
        </w:rPr>
        <w:t xml:space="preserve"> </w:t>
      </w:r>
      <w:r>
        <w:rPr>
          <w:color w:val="211F1F"/>
          <w:sz w:val="24"/>
        </w:rPr>
        <w:t>available</w:t>
      </w:r>
      <w:r>
        <w:rPr>
          <w:color w:val="211F1F"/>
          <w:spacing w:val="-3"/>
          <w:sz w:val="24"/>
        </w:rPr>
        <w:t xml:space="preserve"> </w:t>
      </w:r>
      <w:r>
        <w:rPr>
          <w:color w:val="211F1F"/>
          <w:sz w:val="24"/>
        </w:rPr>
        <w:t>to</w:t>
      </w:r>
      <w:r>
        <w:rPr>
          <w:color w:val="211F1F"/>
          <w:spacing w:val="-2"/>
          <w:sz w:val="24"/>
        </w:rPr>
        <w:t xml:space="preserve"> </w:t>
      </w:r>
      <w:r>
        <w:rPr>
          <w:color w:val="211F1F"/>
          <w:sz w:val="24"/>
        </w:rPr>
        <w:t>all</w:t>
      </w:r>
      <w:r>
        <w:rPr>
          <w:color w:val="211F1F"/>
          <w:spacing w:val="-7"/>
          <w:sz w:val="24"/>
        </w:rPr>
        <w:t xml:space="preserve"> </w:t>
      </w:r>
      <w:r>
        <w:rPr>
          <w:color w:val="211F1F"/>
          <w:sz w:val="24"/>
        </w:rPr>
        <w:t>the firms</w:t>
      </w:r>
      <w:r>
        <w:rPr>
          <w:color w:val="211F1F"/>
          <w:spacing w:val="-4"/>
          <w:sz w:val="24"/>
        </w:rPr>
        <w:t xml:space="preserve"> </w:t>
      </w:r>
      <w:r>
        <w:rPr>
          <w:color w:val="211F1F"/>
          <w:sz w:val="24"/>
        </w:rPr>
        <w:t>together</w:t>
      </w:r>
      <w:r>
        <w:rPr>
          <w:color w:val="211F1F"/>
          <w:spacing w:val="-1"/>
          <w:sz w:val="24"/>
        </w:rPr>
        <w:t xml:space="preserve"> </w:t>
      </w:r>
      <w:r>
        <w:rPr>
          <w:color w:val="211F1F"/>
          <w:sz w:val="24"/>
        </w:rPr>
        <w:t>with</w:t>
      </w:r>
      <w:r>
        <w:rPr>
          <w:color w:val="211F1F"/>
          <w:spacing w:val="-7"/>
          <w:sz w:val="24"/>
        </w:rPr>
        <w:t xml:space="preserve"> </w:t>
      </w:r>
      <w:r>
        <w:rPr>
          <w:color w:val="211F1F"/>
          <w:sz w:val="24"/>
        </w:rPr>
        <w:t>this</w:t>
      </w:r>
      <w:r>
        <w:rPr>
          <w:color w:val="211F1F"/>
          <w:spacing w:val="-4"/>
          <w:sz w:val="24"/>
        </w:rPr>
        <w:t xml:space="preserve"> </w:t>
      </w:r>
      <w:r>
        <w:rPr>
          <w:color w:val="211F1F"/>
          <w:sz w:val="24"/>
        </w:rPr>
        <w:t>tender</w:t>
      </w:r>
      <w:r>
        <w:rPr>
          <w:color w:val="211F1F"/>
          <w:spacing w:val="-1"/>
          <w:sz w:val="24"/>
        </w:rPr>
        <w:t xml:space="preserve"> </w:t>
      </w:r>
      <w:r>
        <w:rPr>
          <w:color w:val="211F1F"/>
          <w:sz w:val="24"/>
        </w:rPr>
        <w:t>document all</w:t>
      </w:r>
      <w:r>
        <w:rPr>
          <w:color w:val="211F1F"/>
          <w:spacing w:val="-7"/>
          <w:sz w:val="24"/>
        </w:rPr>
        <w:t xml:space="preserve"> </w:t>
      </w:r>
      <w:r>
        <w:rPr>
          <w:color w:val="211F1F"/>
          <w:sz w:val="24"/>
        </w:rPr>
        <w:t>information</w:t>
      </w:r>
      <w:r>
        <w:rPr>
          <w:color w:val="211F1F"/>
          <w:spacing w:val="-7"/>
          <w:sz w:val="24"/>
        </w:rPr>
        <w:t xml:space="preserve"> </w:t>
      </w:r>
      <w:r>
        <w:rPr>
          <w:color w:val="211F1F"/>
          <w:sz w:val="24"/>
        </w:rPr>
        <w:t>that would</w:t>
      </w:r>
      <w:r>
        <w:rPr>
          <w:color w:val="211F1F"/>
          <w:spacing w:val="-3"/>
          <w:sz w:val="24"/>
        </w:rPr>
        <w:t xml:space="preserve"> </w:t>
      </w:r>
      <w:r>
        <w:rPr>
          <w:color w:val="211F1F"/>
          <w:sz w:val="24"/>
        </w:rPr>
        <w:t>in</w:t>
      </w:r>
      <w:r>
        <w:rPr>
          <w:color w:val="211F1F"/>
          <w:spacing w:val="-9"/>
          <w:sz w:val="24"/>
        </w:rPr>
        <w:t xml:space="preserve"> </w:t>
      </w:r>
      <w:r>
        <w:rPr>
          <w:color w:val="211F1F"/>
          <w:sz w:val="24"/>
        </w:rPr>
        <w:t>that</w:t>
      </w:r>
      <w:r>
        <w:rPr>
          <w:color w:val="211F1F"/>
          <w:spacing w:val="-3"/>
          <w:sz w:val="24"/>
        </w:rPr>
        <w:t xml:space="preserve"> </w:t>
      </w:r>
      <w:r>
        <w:rPr>
          <w:color w:val="211F1F"/>
          <w:sz w:val="24"/>
        </w:rPr>
        <w:t>respect</w:t>
      </w:r>
      <w:r>
        <w:rPr>
          <w:color w:val="211F1F"/>
          <w:spacing w:val="-3"/>
          <w:sz w:val="24"/>
        </w:rPr>
        <w:t xml:space="preserve"> </w:t>
      </w:r>
      <w:r>
        <w:rPr>
          <w:color w:val="211F1F"/>
          <w:sz w:val="24"/>
        </w:rPr>
        <w:t>give</w:t>
      </w:r>
      <w:r>
        <w:rPr>
          <w:color w:val="211F1F"/>
          <w:spacing w:val="-10"/>
          <w:sz w:val="24"/>
        </w:rPr>
        <w:t xml:space="preserve"> </w:t>
      </w:r>
      <w:r>
        <w:rPr>
          <w:color w:val="211F1F"/>
          <w:sz w:val="24"/>
        </w:rPr>
        <w:t>such</w:t>
      </w:r>
      <w:r>
        <w:rPr>
          <w:color w:val="211F1F"/>
          <w:spacing w:val="-8"/>
          <w:sz w:val="24"/>
        </w:rPr>
        <w:t xml:space="preserve"> </w:t>
      </w:r>
      <w:r>
        <w:rPr>
          <w:color w:val="211F1F"/>
          <w:sz w:val="24"/>
        </w:rPr>
        <w:t>firm</w:t>
      </w:r>
      <w:r>
        <w:rPr>
          <w:color w:val="211F1F"/>
          <w:spacing w:val="-12"/>
          <w:sz w:val="24"/>
        </w:rPr>
        <w:t xml:space="preserve"> </w:t>
      </w:r>
      <w:r>
        <w:rPr>
          <w:color w:val="211F1F"/>
          <w:sz w:val="24"/>
        </w:rPr>
        <w:t>any</w:t>
      </w:r>
      <w:r>
        <w:rPr>
          <w:color w:val="211F1F"/>
          <w:spacing w:val="-12"/>
          <w:sz w:val="24"/>
        </w:rPr>
        <w:t xml:space="preserve"> </w:t>
      </w:r>
      <w:r>
        <w:rPr>
          <w:color w:val="211F1F"/>
          <w:sz w:val="24"/>
        </w:rPr>
        <w:t>unfair</w:t>
      </w:r>
      <w:r>
        <w:rPr>
          <w:color w:val="211F1F"/>
          <w:spacing w:val="-6"/>
          <w:sz w:val="24"/>
        </w:rPr>
        <w:t xml:space="preserve"> </w:t>
      </w:r>
      <w:r>
        <w:rPr>
          <w:color w:val="211F1F"/>
          <w:sz w:val="24"/>
        </w:rPr>
        <w:t>competitive</w:t>
      </w:r>
      <w:r>
        <w:rPr>
          <w:color w:val="211F1F"/>
          <w:spacing w:val="-8"/>
          <w:sz w:val="24"/>
        </w:rPr>
        <w:t xml:space="preserve"> </w:t>
      </w:r>
      <w:r>
        <w:rPr>
          <w:color w:val="211F1F"/>
          <w:sz w:val="24"/>
        </w:rPr>
        <w:t>advantage</w:t>
      </w:r>
      <w:r>
        <w:rPr>
          <w:color w:val="211F1F"/>
          <w:spacing w:val="-9"/>
          <w:sz w:val="24"/>
        </w:rPr>
        <w:t xml:space="preserve"> </w:t>
      </w:r>
      <w:r>
        <w:rPr>
          <w:color w:val="211F1F"/>
          <w:sz w:val="24"/>
        </w:rPr>
        <w:t>over</w:t>
      </w:r>
      <w:r>
        <w:rPr>
          <w:color w:val="211F1F"/>
          <w:spacing w:val="-2"/>
          <w:sz w:val="24"/>
        </w:rPr>
        <w:t xml:space="preserve"> </w:t>
      </w:r>
      <w:r>
        <w:rPr>
          <w:color w:val="211F1F"/>
          <w:sz w:val="24"/>
        </w:rPr>
        <w:t xml:space="preserve">competing </w:t>
      </w:r>
      <w:r>
        <w:rPr>
          <w:color w:val="211F1F"/>
          <w:spacing w:val="-2"/>
          <w:sz w:val="24"/>
        </w:rPr>
        <w:t>firms.</w:t>
      </w:r>
    </w:p>
    <w:p w14:paraId="4FBE6886" w14:textId="77777777" w:rsidR="00BB77C0" w:rsidRDefault="00370BAA">
      <w:pPr>
        <w:pStyle w:val="Heading6"/>
        <w:numPr>
          <w:ilvl w:val="0"/>
          <w:numId w:val="109"/>
        </w:numPr>
        <w:tabs>
          <w:tab w:val="left" w:pos="720"/>
        </w:tabs>
        <w:spacing w:before="242"/>
        <w:ind w:hanging="720"/>
      </w:pPr>
      <w:bookmarkStart w:id="14" w:name="3.0_Eligible_Tenderers"/>
      <w:bookmarkStart w:id="15" w:name="_bookmark6"/>
      <w:bookmarkEnd w:id="14"/>
      <w:bookmarkEnd w:id="15"/>
      <w:r>
        <w:t>Eligible</w:t>
      </w:r>
      <w:r>
        <w:rPr>
          <w:spacing w:val="-10"/>
        </w:rPr>
        <w:t xml:space="preserve"> </w:t>
      </w:r>
      <w:r>
        <w:rPr>
          <w:spacing w:val="-2"/>
        </w:rPr>
        <w:t>Tenderers</w:t>
      </w:r>
    </w:p>
    <w:p w14:paraId="56BCB10C" w14:textId="77777777" w:rsidR="00BB77C0" w:rsidRDefault="00370BAA">
      <w:pPr>
        <w:pStyle w:val="ListParagraph"/>
        <w:numPr>
          <w:ilvl w:val="1"/>
          <w:numId w:val="109"/>
        </w:numPr>
        <w:tabs>
          <w:tab w:val="left" w:pos="1441"/>
        </w:tabs>
        <w:spacing w:before="79" w:line="259" w:lineRule="auto"/>
        <w:ind w:right="82"/>
        <w:jc w:val="left"/>
        <w:rPr>
          <w:sz w:val="24"/>
        </w:rPr>
      </w:pPr>
      <w:r>
        <w:rPr>
          <w:color w:val="211F1F"/>
          <w:sz w:val="24"/>
        </w:rPr>
        <w:t>A Tenderer may be a firm that is a private entity, a state-owned enterprise or institution subject to ITT 3.8, or an individual or any combination of such entities in the</w:t>
      </w:r>
      <w:r>
        <w:rPr>
          <w:color w:val="211F1F"/>
          <w:spacing w:val="-3"/>
          <w:sz w:val="24"/>
        </w:rPr>
        <w:t xml:space="preserve"> </w:t>
      </w:r>
      <w:r>
        <w:rPr>
          <w:color w:val="211F1F"/>
          <w:sz w:val="24"/>
        </w:rPr>
        <w:t>form</w:t>
      </w:r>
      <w:r>
        <w:rPr>
          <w:color w:val="211F1F"/>
          <w:spacing w:val="-10"/>
          <w:sz w:val="24"/>
        </w:rPr>
        <w:t xml:space="preserve"> </w:t>
      </w:r>
      <w:r>
        <w:rPr>
          <w:color w:val="211F1F"/>
          <w:sz w:val="24"/>
        </w:rPr>
        <w:t>of</w:t>
      </w:r>
      <w:r>
        <w:rPr>
          <w:color w:val="211F1F"/>
          <w:spacing w:val="-15"/>
          <w:sz w:val="24"/>
        </w:rPr>
        <w:t xml:space="preserve"> </w:t>
      </w:r>
      <w:r>
        <w:rPr>
          <w:color w:val="211F1F"/>
          <w:sz w:val="24"/>
        </w:rPr>
        <w:t>a</w:t>
      </w:r>
      <w:r>
        <w:rPr>
          <w:color w:val="211F1F"/>
          <w:spacing w:val="-3"/>
          <w:sz w:val="24"/>
        </w:rPr>
        <w:t xml:space="preserve"> </w:t>
      </w:r>
      <w:r>
        <w:rPr>
          <w:color w:val="211F1F"/>
          <w:sz w:val="24"/>
        </w:rPr>
        <w:t>joint venture</w:t>
      </w:r>
      <w:r>
        <w:rPr>
          <w:color w:val="211F1F"/>
          <w:spacing w:val="-7"/>
          <w:sz w:val="24"/>
        </w:rPr>
        <w:t xml:space="preserve"> </w:t>
      </w:r>
      <w:r>
        <w:rPr>
          <w:color w:val="211F1F"/>
          <w:sz w:val="24"/>
        </w:rPr>
        <w:t>(JV)</w:t>
      </w:r>
      <w:r>
        <w:rPr>
          <w:color w:val="211F1F"/>
          <w:spacing w:val="-5"/>
          <w:sz w:val="24"/>
        </w:rPr>
        <w:t xml:space="preserve"> </w:t>
      </w:r>
      <w:r>
        <w:rPr>
          <w:color w:val="211F1F"/>
          <w:sz w:val="24"/>
        </w:rPr>
        <w:t>under</w:t>
      </w:r>
      <w:r>
        <w:rPr>
          <w:color w:val="211F1F"/>
          <w:spacing w:val="-5"/>
          <w:sz w:val="24"/>
        </w:rPr>
        <w:t xml:space="preserve"> </w:t>
      </w:r>
      <w:r>
        <w:rPr>
          <w:color w:val="211F1F"/>
          <w:sz w:val="24"/>
        </w:rPr>
        <w:t>an</w:t>
      </w:r>
      <w:r>
        <w:rPr>
          <w:color w:val="211F1F"/>
          <w:spacing w:val="-7"/>
          <w:sz w:val="24"/>
        </w:rPr>
        <w:t xml:space="preserve"> </w:t>
      </w:r>
      <w:r>
        <w:rPr>
          <w:color w:val="211F1F"/>
          <w:sz w:val="24"/>
        </w:rPr>
        <w:t>existing</w:t>
      </w:r>
      <w:r>
        <w:rPr>
          <w:color w:val="211F1F"/>
          <w:spacing w:val="-2"/>
          <w:sz w:val="24"/>
        </w:rPr>
        <w:t xml:space="preserve"> </w:t>
      </w:r>
      <w:r>
        <w:rPr>
          <w:color w:val="211F1F"/>
          <w:sz w:val="24"/>
        </w:rPr>
        <w:t>agreement</w:t>
      </w:r>
      <w:r>
        <w:rPr>
          <w:color w:val="211F1F"/>
          <w:spacing w:val="-1"/>
          <w:sz w:val="24"/>
        </w:rPr>
        <w:t xml:space="preserve"> </w:t>
      </w:r>
      <w:r>
        <w:rPr>
          <w:color w:val="211F1F"/>
          <w:sz w:val="24"/>
        </w:rPr>
        <w:t>or</w:t>
      </w:r>
      <w:r>
        <w:rPr>
          <w:color w:val="211F1F"/>
          <w:spacing w:val="-5"/>
          <w:sz w:val="24"/>
        </w:rPr>
        <w:t xml:space="preserve"> </w:t>
      </w:r>
      <w:r>
        <w:rPr>
          <w:color w:val="211F1F"/>
          <w:sz w:val="24"/>
        </w:rPr>
        <w:t>with</w:t>
      </w:r>
      <w:r>
        <w:rPr>
          <w:color w:val="211F1F"/>
          <w:spacing w:val="-11"/>
          <w:sz w:val="24"/>
        </w:rPr>
        <w:t xml:space="preserve"> </w:t>
      </w:r>
      <w:r>
        <w:rPr>
          <w:color w:val="211F1F"/>
          <w:sz w:val="24"/>
        </w:rPr>
        <w:t>the</w:t>
      </w:r>
      <w:r>
        <w:rPr>
          <w:color w:val="211F1F"/>
          <w:spacing w:val="-3"/>
          <w:sz w:val="24"/>
        </w:rPr>
        <w:t xml:space="preserve"> </w:t>
      </w:r>
      <w:r>
        <w:rPr>
          <w:color w:val="211F1F"/>
          <w:sz w:val="24"/>
        </w:rPr>
        <w:t>intent</w:t>
      </w:r>
      <w:r>
        <w:rPr>
          <w:color w:val="211F1F"/>
          <w:spacing w:val="-2"/>
          <w:sz w:val="24"/>
        </w:rPr>
        <w:t xml:space="preserve"> </w:t>
      </w:r>
      <w:r>
        <w:rPr>
          <w:color w:val="211F1F"/>
          <w:sz w:val="24"/>
        </w:rPr>
        <w:t>to</w:t>
      </w:r>
      <w:r>
        <w:rPr>
          <w:color w:val="211F1F"/>
          <w:spacing w:val="-2"/>
          <w:sz w:val="24"/>
        </w:rPr>
        <w:t xml:space="preserve"> </w:t>
      </w:r>
      <w:r>
        <w:rPr>
          <w:color w:val="211F1F"/>
          <w:sz w:val="24"/>
        </w:rPr>
        <w:t>enter into such an agreement supported by</w:t>
      </w:r>
      <w:r>
        <w:rPr>
          <w:color w:val="211F1F"/>
          <w:spacing w:val="-2"/>
          <w:sz w:val="24"/>
        </w:rPr>
        <w:t xml:space="preserve"> </w:t>
      </w:r>
      <w:r>
        <w:rPr>
          <w:color w:val="211F1F"/>
          <w:sz w:val="24"/>
        </w:rPr>
        <w:t>a letter of intent. In</w:t>
      </w:r>
      <w:r>
        <w:rPr>
          <w:color w:val="211F1F"/>
          <w:spacing w:val="-2"/>
          <w:sz w:val="24"/>
        </w:rPr>
        <w:t xml:space="preserve"> </w:t>
      </w:r>
      <w:r>
        <w:rPr>
          <w:color w:val="211F1F"/>
          <w:sz w:val="24"/>
        </w:rPr>
        <w:t>the case of a joint venture, all members shall be jointly and severally liable for the execution of the entire Contract in accordance with the Contract terms. The JV shall nominate a</w:t>
      </w:r>
    </w:p>
    <w:p w14:paraId="1FE1076E" w14:textId="77777777" w:rsidR="00BB77C0" w:rsidRDefault="00BB77C0">
      <w:pPr>
        <w:pStyle w:val="ListParagraph"/>
        <w:spacing w:line="259" w:lineRule="auto"/>
        <w:rPr>
          <w:sz w:val="24"/>
        </w:rPr>
        <w:sectPr w:rsidR="00BB77C0">
          <w:pgSz w:w="11930" w:h="16870"/>
          <w:pgMar w:top="1940" w:right="1080" w:bottom="280" w:left="1080" w:header="720" w:footer="720" w:gutter="0"/>
          <w:cols w:space="720"/>
        </w:sectPr>
      </w:pPr>
    </w:p>
    <w:p w14:paraId="16E6DA49" w14:textId="77777777" w:rsidR="00BB77C0" w:rsidRDefault="00370BAA">
      <w:pPr>
        <w:spacing w:before="75" w:line="259" w:lineRule="auto"/>
        <w:ind w:left="1441" w:right="78"/>
        <w:rPr>
          <w:b/>
          <w:sz w:val="24"/>
        </w:rPr>
      </w:pPr>
      <w:r>
        <w:rPr>
          <w:color w:val="211F1F"/>
          <w:sz w:val="24"/>
        </w:rPr>
        <w:lastRenderedPageBreak/>
        <w:t>Representative who shall have the authority</w:t>
      </w:r>
      <w:r>
        <w:rPr>
          <w:color w:val="211F1F"/>
          <w:spacing w:val="-7"/>
          <w:sz w:val="24"/>
        </w:rPr>
        <w:t xml:space="preserve"> </w:t>
      </w:r>
      <w:r>
        <w:rPr>
          <w:color w:val="211F1F"/>
          <w:sz w:val="24"/>
        </w:rPr>
        <w:t>to conduct all</w:t>
      </w:r>
      <w:r>
        <w:rPr>
          <w:color w:val="211F1F"/>
          <w:spacing w:val="-2"/>
          <w:sz w:val="24"/>
        </w:rPr>
        <w:t xml:space="preserve"> </w:t>
      </w:r>
      <w:r>
        <w:rPr>
          <w:color w:val="211F1F"/>
          <w:sz w:val="24"/>
        </w:rPr>
        <w:t>business for and on</w:t>
      </w:r>
      <w:r>
        <w:rPr>
          <w:color w:val="211F1F"/>
          <w:spacing w:val="-2"/>
          <w:sz w:val="24"/>
        </w:rPr>
        <w:t xml:space="preserve"> </w:t>
      </w:r>
      <w:r>
        <w:rPr>
          <w:color w:val="211F1F"/>
          <w:sz w:val="24"/>
        </w:rPr>
        <w:t>behalf of any and all the members of the JV during the tendering process and, in the event the</w:t>
      </w:r>
      <w:r>
        <w:rPr>
          <w:color w:val="211F1F"/>
          <w:spacing w:val="-10"/>
          <w:sz w:val="24"/>
        </w:rPr>
        <w:t xml:space="preserve"> </w:t>
      </w:r>
      <w:r>
        <w:rPr>
          <w:color w:val="211F1F"/>
          <w:sz w:val="24"/>
        </w:rPr>
        <w:t>JV</w:t>
      </w:r>
      <w:r>
        <w:rPr>
          <w:color w:val="211F1F"/>
          <w:spacing w:val="-4"/>
          <w:sz w:val="24"/>
        </w:rPr>
        <w:t xml:space="preserve"> </w:t>
      </w:r>
      <w:r>
        <w:rPr>
          <w:color w:val="211F1F"/>
          <w:sz w:val="24"/>
        </w:rPr>
        <w:t>is</w:t>
      </w:r>
      <w:r>
        <w:rPr>
          <w:color w:val="211F1F"/>
          <w:spacing w:val="-6"/>
          <w:sz w:val="24"/>
        </w:rPr>
        <w:t xml:space="preserve"> </w:t>
      </w:r>
      <w:r>
        <w:rPr>
          <w:color w:val="211F1F"/>
          <w:sz w:val="24"/>
        </w:rPr>
        <w:t>awarded</w:t>
      </w:r>
      <w:r>
        <w:rPr>
          <w:color w:val="211F1F"/>
          <w:spacing w:val="-8"/>
          <w:sz w:val="24"/>
        </w:rPr>
        <w:t xml:space="preserve"> </w:t>
      </w:r>
      <w:r>
        <w:rPr>
          <w:color w:val="211F1F"/>
          <w:sz w:val="24"/>
        </w:rPr>
        <w:t>the</w:t>
      </w:r>
      <w:r>
        <w:rPr>
          <w:color w:val="211F1F"/>
          <w:spacing w:val="-10"/>
          <w:sz w:val="24"/>
        </w:rPr>
        <w:t xml:space="preserve"> </w:t>
      </w:r>
      <w:r>
        <w:rPr>
          <w:color w:val="211F1F"/>
          <w:sz w:val="24"/>
        </w:rPr>
        <w:t>Contract,</w:t>
      </w:r>
      <w:r>
        <w:rPr>
          <w:color w:val="211F1F"/>
          <w:spacing w:val="-5"/>
          <w:sz w:val="24"/>
        </w:rPr>
        <w:t xml:space="preserve"> </w:t>
      </w:r>
      <w:r>
        <w:rPr>
          <w:color w:val="211F1F"/>
          <w:sz w:val="24"/>
        </w:rPr>
        <w:t>during</w:t>
      </w:r>
      <w:r>
        <w:rPr>
          <w:color w:val="211F1F"/>
          <w:spacing w:val="-4"/>
          <w:sz w:val="24"/>
        </w:rPr>
        <w:t xml:space="preserve"> </w:t>
      </w:r>
      <w:r>
        <w:rPr>
          <w:color w:val="211F1F"/>
          <w:sz w:val="24"/>
        </w:rPr>
        <w:t>contract execution.</w:t>
      </w:r>
      <w:r>
        <w:rPr>
          <w:color w:val="211F1F"/>
          <w:spacing w:val="-1"/>
          <w:sz w:val="24"/>
        </w:rPr>
        <w:t xml:space="preserve"> </w:t>
      </w:r>
      <w:r>
        <w:rPr>
          <w:color w:val="211F1F"/>
          <w:sz w:val="24"/>
        </w:rPr>
        <w:t>Members</w:t>
      </w:r>
      <w:r>
        <w:rPr>
          <w:color w:val="211F1F"/>
          <w:spacing w:val="-5"/>
          <w:sz w:val="24"/>
        </w:rPr>
        <w:t xml:space="preserve"> </w:t>
      </w:r>
      <w:r>
        <w:rPr>
          <w:color w:val="211F1F"/>
          <w:sz w:val="24"/>
        </w:rPr>
        <w:t>of</w:t>
      </w:r>
      <w:r>
        <w:rPr>
          <w:color w:val="211F1F"/>
          <w:spacing w:val="-12"/>
          <w:sz w:val="24"/>
        </w:rPr>
        <w:t xml:space="preserve"> </w:t>
      </w:r>
      <w:r>
        <w:rPr>
          <w:color w:val="211F1F"/>
          <w:sz w:val="24"/>
        </w:rPr>
        <w:t>a</w:t>
      </w:r>
      <w:r>
        <w:rPr>
          <w:color w:val="211F1F"/>
          <w:spacing w:val="-5"/>
          <w:sz w:val="24"/>
        </w:rPr>
        <w:t xml:space="preserve"> </w:t>
      </w:r>
      <w:r>
        <w:rPr>
          <w:color w:val="211F1F"/>
          <w:sz w:val="24"/>
        </w:rPr>
        <w:t>joint venture may not also make an individual</w:t>
      </w:r>
      <w:r>
        <w:rPr>
          <w:color w:val="211F1F"/>
          <w:spacing w:val="-1"/>
          <w:sz w:val="24"/>
        </w:rPr>
        <w:t xml:space="preserve"> </w:t>
      </w:r>
      <w:r>
        <w:rPr>
          <w:color w:val="211F1F"/>
          <w:sz w:val="24"/>
        </w:rPr>
        <w:t>tender, be a subcontractor in</w:t>
      </w:r>
      <w:r>
        <w:rPr>
          <w:color w:val="211F1F"/>
          <w:spacing w:val="-1"/>
          <w:sz w:val="24"/>
        </w:rPr>
        <w:t xml:space="preserve"> </w:t>
      </w:r>
      <w:r>
        <w:rPr>
          <w:color w:val="211F1F"/>
          <w:sz w:val="24"/>
        </w:rPr>
        <w:t>a separate</w:t>
      </w:r>
      <w:r>
        <w:rPr>
          <w:color w:val="211F1F"/>
          <w:spacing w:val="-2"/>
          <w:sz w:val="24"/>
        </w:rPr>
        <w:t xml:space="preserve"> </w:t>
      </w:r>
      <w:r>
        <w:rPr>
          <w:color w:val="211F1F"/>
          <w:sz w:val="24"/>
        </w:rPr>
        <w:t xml:space="preserve">tender or be part of another joint venture for the purposes of the same Tender. The maximum number of JV members shall be specified in the </w:t>
      </w:r>
      <w:r>
        <w:rPr>
          <w:b/>
          <w:color w:val="211F1F"/>
          <w:sz w:val="24"/>
        </w:rPr>
        <w:t>TDS.</w:t>
      </w:r>
    </w:p>
    <w:p w14:paraId="3150D566" w14:textId="77777777" w:rsidR="00BB77C0" w:rsidRDefault="00370BAA">
      <w:pPr>
        <w:pStyle w:val="ListParagraph"/>
        <w:numPr>
          <w:ilvl w:val="1"/>
          <w:numId w:val="109"/>
        </w:numPr>
        <w:tabs>
          <w:tab w:val="left" w:pos="1441"/>
        </w:tabs>
        <w:spacing w:before="161" w:line="259" w:lineRule="auto"/>
        <w:ind w:right="107"/>
        <w:jc w:val="left"/>
        <w:rPr>
          <w:sz w:val="24"/>
        </w:rPr>
      </w:pPr>
      <w:r>
        <w:rPr>
          <w:color w:val="211F1F"/>
          <w:sz w:val="24"/>
        </w:rPr>
        <w:t>Public Officers of the Procuring Entity, their Spouses, Child, Parent, Brothers or Sister.</w:t>
      </w:r>
      <w:r>
        <w:rPr>
          <w:color w:val="211F1F"/>
          <w:spacing w:val="-1"/>
          <w:sz w:val="24"/>
        </w:rPr>
        <w:t xml:space="preserve"> </w:t>
      </w:r>
      <w:r>
        <w:rPr>
          <w:color w:val="211F1F"/>
          <w:sz w:val="24"/>
        </w:rPr>
        <w:t>Child,</w:t>
      </w:r>
      <w:r>
        <w:rPr>
          <w:color w:val="211F1F"/>
          <w:spacing w:val="-1"/>
          <w:sz w:val="24"/>
        </w:rPr>
        <w:t xml:space="preserve"> </w:t>
      </w:r>
      <w:r>
        <w:rPr>
          <w:color w:val="211F1F"/>
          <w:sz w:val="24"/>
        </w:rPr>
        <w:t>Parent,</w:t>
      </w:r>
      <w:r>
        <w:rPr>
          <w:color w:val="211F1F"/>
          <w:spacing w:val="-1"/>
          <w:sz w:val="24"/>
        </w:rPr>
        <w:t xml:space="preserve"> </w:t>
      </w:r>
      <w:r>
        <w:rPr>
          <w:color w:val="211F1F"/>
          <w:sz w:val="24"/>
        </w:rPr>
        <w:t>Brother</w:t>
      </w:r>
      <w:r>
        <w:rPr>
          <w:color w:val="211F1F"/>
          <w:spacing w:val="-2"/>
          <w:sz w:val="24"/>
        </w:rPr>
        <w:t xml:space="preserve"> </w:t>
      </w:r>
      <w:r>
        <w:rPr>
          <w:color w:val="211F1F"/>
          <w:sz w:val="24"/>
        </w:rPr>
        <w:t>or</w:t>
      </w:r>
      <w:r>
        <w:rPr>
          <w:color w:val="211F1F"/>
          <w:spacing w:val="-5"/>
          <w:sz w:val="24"/>
        </w:rPr>
        <w:t xml:space="preserve"> </w:t>
      </w:r>
      <w:r>
        <w:rPr>
          <w:color w:val="211F1F"/>
          <w:sz w:val="24"/>
        </w:rPr>
        <w:t>Sister</w:t>
      </w:r>
      <w:r>
        <w:rPr>
          <w:color w:val="211F1F"/>
          <w:spacing w:val="-5"/>
          <w:sz w:val="24"/>
        </w:rPr>
        <w:t xml:space="preserve"> </w:t>
      </w:r>
      <w:r>
        <w:rPr>
          <w:color w:val="211F1F"/>
          <w:sz w:val="24"/>
        </w:rPr>
        <w:t>of</w:t>
      </w:r>
      <w:r>
        <w:rPr>
          <w:color w:val="211F1F"/>
          <w:spacing w:val="-10"/>
          <w:sz w:val="24"/>
        </w:rPr>
        <w:t xml:space="preserve"> </w:t>
      </w:r>
      <w:r>
        <w:rPr>
          <w:color w:val="211F1F"/>
          <w:sz w:val="24"/>
        </w:rPr>
        <w:t>a</w:t>
      </w:r>
      <w:r>
        <w:rPr>
          <w:color w:val="211F1F"/>
          <w:spacing w:val="-3"/>
          <w:sz w:val="24"/>
        </w:rPr>
        <w:t xml:space="preserve"> </w:t>
      </w:r>
      <w:r>
        <w:rPr>
          <w:color w:val="211F1F"/>
          <w:sz w:val="24"/>
        </w:rPr>
        <w:t>Spouse,</w:t>
      </w:r>
      <w:r>
        <w:rPr>
          <w:color w:val="211F1F"/>
          <w:spacing w:val="-9"/>
          <w:sz w:val="24"/>
        </w:rPr>
        <w:t xml:space="preserve"> </w:t>
      </w:r>
      <w:r>
        <w:rPr>
          <w:color w:val="211F1F"/>
          <w:sz w:val="24"/>
        </w:rPr>
        <w:t>their business</w:t>
      </w:r>
      <w:r>
        <w:rPr>
          <w:color w:val="211F1F"/>
          <w:spacing w:val="-4"/>
          <w:sz w:val="24"/>
        </w:rPr>
        <w:t xml:space="preserve"> </w:t>
      </w:r>
      <w:r>
        <w:rPr>
          <w:color w:val="211F1F"/>
          <w:sz w:val="24"/>
        </w:rPr>
        <w:t>associates</w:t>
      </w:r>
      <w:r>
        <w:rPr>
          <w:color w:val="211F1F"/>
          <w:spacing w:val="-4"/>
          <w:sz w:val="24"/>
        </w:rPr>
        <w:t xml:space="preserve"> </w:t>
      </w:r>
      <w:r>
        <w:rPr>
          <w:color w:val="211F1F"/>
          <w:sz w:val="24"/>
        </w:rPr>
        <w:t>or agents and firms/organizations in which they have a substantial or controlling interest shall not</w:t>
      </w:r>
      <w:r>
        <w:rPr>
          <w:color w:val="211F1F"/>
          <w:spacing w:val="-2"/>
          <w:sz w:val="24"/>
        </w:rPr>
        <w:t xml:space="preserve"> </w:t>
      </w:r>
      <w:r>
        <w:rPr>
          <w:color w:val="211F1F"/>
          <w:sz w:val="24"/>
        </w:rPr>
        <w:t>be</w:t>
      </w:r>
      <w:r>
        <w:rPr>
          <w:color w:val="211F1F"/>
          <w:spacing w:val="-7"/>
          <w:sz w:val="24"/>
        </w:rPr>
        <w:t xml:space="preserve"> </w:t>
      </w:r>
      <w:r>
        <w:rPr>
          <w:color w:val="211F1F"/>
          <w:sz w:val="24"/>
        </w:rPr>
        <w:t>eligible</w:t>
      </w:r>
      <w:r>
        <w:rPr>
          <w:color w:val="211F1F"/>
          <w:spacing w:val="-7"/>
          <w:sz w:val="24"/>
        </w:rPr>
        <w:t xml:space="preserve"> </w:t>
      </w:r>
      <w:r>
        <w:rPr>
          <w:color w:val="211F1F"/>
          <w:sz w:val="24"/>
        </w:rPr>
        <w:t>to</w:t>
      </w:r>
      <w:r>
        <w:rPr>
          <w:color w:val="211F1F"/>
          <w:spacing w:val="-7"/>
          <w:sz w:val="24"/>
        </w:rPr>
        <w:t xml:space="preserve"> </w:t>
      </w:r>
      <w:r>
        <w:rPr>
          <w:color w:val="211F1F"/>
          <w:sz w:val="24"/>
        </w:rPr>
        <w:t>tender</w:t>
      </w:r>
      <w:r>
        <w:rPr>
          <w:color w:val="211F1F"/>
          <w:spacing w:val="-5"/>
          <w:sz w:val="24"/>
        </w:rPr>
        <w:t xml:space="preserve"> </w:t>
      </w:r>
      <w:r>
        <w:rPr>
          <w:color w:val="211F1F"/>
          <w:sz w:val="24"/>
        </w:rPr>
        <w:t>or</w:t>
      </w:r>
      <w:r>
        <w:rPr>
          <w:color w:val="211F1F"/>
          <w:spacing w:val="-10"/>
          <w:sz w:val="24"/>
        </w:rPr>
        <w:t xml:space="preserve"> </w:t>
      </w:r>
      <w:r>
        <w:rPr>
          <w:color w:val="211F1F"/>
          <w:sz w:val="24"/>
        </w:rPr>
        <w:t>be</w:t>
      </w:r>
      <w:r>
        <w:rPr>
          <w:color w:val="211F1F"/>
          <w:spacing w:val="-8"/>
          <w:sz w:val="24"/>
        </w:rPr>
        <w:t xml:space="preserve"> </w:t>
      </w:r>
      <w:r>
        <w:rPr>
          <w:color w:val="211F1F"/>
          <w:sz w:val="24"/>
        </w:rPr>
        <w:t>awarded</w:t>
      </w:r>
      <w:r>
        <w:rPr>
          <w:color w:val="211F1F"/>
          <w:spacing w:val="-2"/>
          <w:sz w:val="24"/>
        </w:rPr>
        <w:t xml:space="preserve"> </w:t>
      </w:r>
      <w:r>
        <w:rPr>
          <w:color w:val="211F1F"/>
          <w:sz w:val="24"/>
        </w:rPr>
        <w:t>a</w:t>
      </w:r>
      <w:r>
        <w:rPr>
          <w:color w:val="211F1F"/>
          <w:spacing w:val="-8"/>
          <w:sz w:val="24"/>
        </w:rPr>
        <w:t xml:space="preserve"> </w:t>
      </w:r>
      <w:r>
        <w:rPr>
          <w:color w:val="211F1F"/>
          <w:sz w:val="24"/>
        </w:rPr>
        <w:t>contract.</w:t>
      </w:r>
      <w:r>
        <w:rPr>
          <w:color w:val="211F1F"/>
          <w:spacing w:val="-8"/>
          <w:sz w:val="24"/>
        </w:rPr>
        <w:t xml:space="preserve"> </w:t>
      </w:r>
      <w:r>
        <w:rPr>
          <w:color w:val="211F1F"/>
          <w:sz w:val="24"/>
        </w:rPr>
        <w:t>Public</w:t>
      </w:r>
      <w:r>
        <w:rPr>
          <w:color w:val="211F1F"/>
          <w:spacing w:val="-7"/>
          <w:sz w:val="24"/>
        </w:rPr>
        <w:t xml:space="preserve"> </w:t>
      </w:r>
      <w:r>
        <w:rPr>
          <w:color w:val="211F1F"/>
          <w:sz w:val="24"/>
        </w:rPr>
        <w:t>Officers</w:t>
      </w:r>
      <w:r>
        <w:rPr>
          <w:color w:val="211F1F"/>
          <w:spacing w:val="-8"/>
          <w:sz w:val="24"/>
        </w:rPr>
        <w:t xml:space="preserve"> </w:t>
      </w:r>
      <w:r>
        <w:rPr>
          <w:color w:val="211F1F"/>
          <w:sz w:val="24"/>
        </w:rPr>
        <w:t>are</w:t>
      </w:r>
      <w:r>
        <w:rPr>
          <w:color w:val="211F1F"/>
          <w:spacing w:val="-7"/>
          <w:sz w:val="24"/>
        </w:rPr>
        <w:t xml:space="preserve"> </w:t>
      </w:r>
      <w:r>
        <w:rPr>
          <w:color w:val="211F1F"/>
          <w:sz w:val="24"/>
        </w:rPr>
        <w:t>also not</w:t>
      </w:r>
      <w:r>
        <w:rPr>
          <w:color w:val="211F1F"/>
          <w:spacing w:val="-3"/>
          <w:sz w:val="24"/>
        </w:rPr>
        <w:t xml:space="preserve"> </w:t>
      </w:r>
      <w:r>
        <w:rPr>
          <w:color w:val="211F1F"/>
          <w:sz w:val="24"/>
        </w:rPr>
        <w:t>allowed to participate in any procurement proceedings.</w:t>
      </w:r>
    </w:p>
    <w:p w14:paraId="05176A59" w14:textId="77777777" w:rsidR="00BB77C0" w:rsidRDefault="00370BAA">
      <w:pPr>
        <w:pStyle w:val="ListParagraph"/>
        <w:numPr>
          <w:ilvl w:val="1"/>
          <w:numId w:val="109"/>
        </w:numPr>
        <w:tabs>
          <w:tab w:val="left" w:pos="1441"/>
        </w:tabs>
        <w:spacing w:before="157" w:line="259" w:lineRule="auto"/>
        <w:ind w:right="201"/>
        <w:jc w:val="left"/>
        <w:rPr>
          <w:sz w:val="24"/>
        </w:rPr>
      </w:pPr>
      <w:r>
        <w:rPr>
          <w:color w:val="211F1F"/>
          <w:sz w:val="24"/>
        </w:rPr>
        <w:t>A</w:t>
      </w:r>
      <w:r>
        <w:rPr>
          <w:color w:val="211F1F"/>
          <w:spacing w:val="-13"/>
          <w:sz w:val="24"/>
        </w:rPr>
        <w:t xml:space="preserve"> </w:t>
      </w:r>
      <w:r>
        <w:rPr>
          <w:color w:val="211F1F"/>
          <w:sz w:val="24"/>
        </w:rPr>
        <w:t>Tenderer</w:t>
      </w:r>
      <w:r>
        <w:rPr>
          <w:color w:val="211F1F"/>
          <w:spacing w:val="-5"/>
          <w:sz w:val="24"/>
        </w:rPr>
        <w:t xml:space="preserve"> </w:t>
      </w:r>
      <w:r>
        <w:rPr>
          <w:color w:val="211F1F"/>
          <w:sz w:val="24"/>
        </w:rPr>
        <w:t>shall</w:t>
      </w:r>
      <w:r>
        <w:rPr>
          <w:color w:val="211F1F"/>
          <w:spacing w:val="-11"/>
          <w:sz w:val="24"/>
        </w:rPr>
        <w:t xml:space="preserve"> </w:t>
      </w:r>
      <w:r>
        <w:rPr>
          <w:color w:val="211F1F"/>
          <w:sz w:val="24"/>
        </w:rPr>
        <w:t>not</w:t>
      </w:r>
      <w:r>
        <w:rPr>
          <w:color w:val="211F1F"/>
          <w:spacing w:val="-3"/>
          <w:sz w:val="24"/>
        </w:rPr>
        <w:t xml:space="preserve"> </w:t>
      </w:r>
      <w:r>
        <w:rPr>
          <w:color w:val="211F1F"/>
          <w:sz w:val="24"/>
        </w:rPr>
        <w:t>have</w:t>
      </w:r>
      <w:r>
        <w:rPr>
          <w:color w:val="211F1F"/>
          <w:spacing w:val="-9"/>
          <w:sz w:val="24"/>
        </w:rPr>
        <w:t xml:space="preserve"> </w:t>
      </w:r>
      <w:r>
        <w:rPr>
          <w:color w:val="211F1F"/>
          <w:sz w:val="24"/>
        </w:rPr>
        <w:t>a</w:t>
      </w:r>
      <w:r>
        <w:rPr>
          <w:color w:val="211F1F"/>
          <w:spacing w:val="-9"/>
          <w:sz w:val="24"/>
        </w:rPr>
        <w:t xml:space="preserve"> </w:t>
      </w:r>
      <w:r>
        <w:rPr>
          <w:color w:val="211F1F"/>
          <w:sz w:val="24"/>
        </w:rPr>
        <w:t>conflict</w:t>
      </w:r>
      <w:r>
        <w:rPr>
          <w:color w:val="211F1F"/>
          <w:spacing w:val="-3"/>
          <w:sz w:val="24"/>
        </w:rPr>
        <w:t xml:space="preserve"> </w:t>
      </w:r>
      <w:r>
        <w:rPr>
          <w:color w:val="211F1F"/>
          <w:sz w:val="24"/>
        </w:rPr>
        <w:t>of</w:t>
      </w:r>
      <w:r>
        <w:rPr>
          <w:color w:val="211F1F"/>
          <w:spacing w:val="-11"/>
          <w:sz w:val="24"/>
        </w:rPr>
        <w:t xml:space="preserve"> </w:t>
      </w:r>
      <w:r>
        <w:rPr>
          <w:color w:val="211F1F"/>
          <w:sz w:val="24"/>
        </w:rPr>
        <w:t>interest.</w:t>
      </w:r>
      <w:r>
        <w:rPr>
          <w:color w:val="211F1F"/>
          <w:spacing w:val="-9"/>
          <w:sz w:val="24"/>
        </w:rPr>
        <w:t xml:space="preserve"> </w:t>
      </w:r>
      <w:r>
        <w:rPr>
          <w:color w:val="211F1F"/>
          <w:sz w:val="24"/>
        </w:rPr>
        <w:t>Any</w:t>
      </w:r>
      <w:r>
        <w:rPr>
          <w:color w:val="211F1F"/>
          <w:spacing w:val="-13"/>
          <w:sz w:val="24"/>
        </w:rPr>
        <w:t xml:space="preserve"> </w:t>
      </w:r>
      <w:r>
        <w:rPr>
          <w:color w:val="211F1F"/>
          <w:sz w:val="24"/>
        </w:rPr>
        <w:t>tenderer</w:t>
      </w:r>
      <w:r>
        <w:rPr>
          <w:color w:val="211F1F"/>
          <w:spacing w:val="-1"/>
          <w:sz w:val="24"/>
        </w:rPr>
        <w:t xml:space="preserve"> </w:t>
      </w:r>
      <w:r>
        <w:rPr>
          <w:color w:val="211F1F"/>
          <w:sz w:val="24"/>
        </w:rPr>
        <w:t>found</w:t>
      </w:r>
      <w:r>
        <w:rPr>
          <w:color w:val="211F1F"/>
          <w:spacing w:val="-8"/>
          <w:sz w:val="24"/>
        </w:rPr>
        <w:t xml:space="preserve"> </w:t>
      </w:r>
      <w:r>
        <w:rPr>
          <w:color w:val="211F1F"/>
          <w:sz w:val="24"/>
        </w:rPr>
        <w:t>to</w:t>
      </w:r>
      <w:r>
        <w:rPr>
          <w:color w:val="211F1F"/>
          <w:spacing w:val="-4"/>
          <w:sz w:val="24"/>
        </w:rPr>
        <w:t xml:space="preserve"> </w:t>
      </w:r>
      <w:r>
        <w:rPr>
          <w:color w:val="211F1F"/>
          <w:sz w:val="24"/>
        </w:rPr>
        <w:t>have</w:t>
      </w:r>
      <w:r>
        <w:rPr>
          <w:color w:val="211F1F"/>
          <w:spacing w:val="-9"/>
          <w:sz w:val="24"/>
        </w:rPr>
        <w:t xml:space="preserve"> </w:t>
      </w:r>
      <w:r>
        <w:rPr>
          <w:color w:val="211F1F"/>
          <w:sz w:val="24"/>
        </w:rPr>
        <w:t>a</w:t>
      </w:r>
      <w:r>
        <w:rPr>
          <w:color w:val="211F1F"/>
          <w:spacing w:val="-9"/>
          <w:sz w:val="24"/>
        </w:rPr>
        <w:t xml:space="preserve"> </w:t>
      </w:r>
      <w:r>
        <w:rPr>
          <w:color w:val="211F1F"/>
          <w:sz w:val="24"/>
        </w:rPr>
        <w:t>conflict of interest shall be disqualified. A tenderer may be considered to have a conflict of interest for the purpose of this tendering process, if the tenderer:</w:t>
      </w:r>
    </w:p>
    <w:p w14:paraId="6E5785F6" w14:textId="77777777" w:rsidR="00BB77C0" w:rsidRDefault="00370BAA">
      <w:pPr>
        <w:pStyle w:val="ListParagraph"/>
        <w:numPr>
          <w:ilvl w:val="2"/>
          <w:numId w:val="109"/>
        </w:numPr>
        <w:tabs>
          <w:tab w:val="left" w:pos="1801"/>
        </w:tabs>
        <w:spacing w:before="251" w:line="237" w:lineRule="auto"/>
        <w:ind w:right="316"/>
        <w:rPr>
          <w:sz w:val="24"/>
        </w:rPr>
      </w:pPr>
      <w:r>
        <w:rPr>
          <w:color w:val="211F1F"/>
          <w:sz w:val="24"/>
        </w:rPr>
        <w:t>Directly</w:t>
      </w:r>
      <w:r>
        <w:rPr>
          <w:color w:val="211F1F"/>
          <w:spacing w:val="-9"/>
          <w:sz w:val="24"/>
        </w:rPr>
        <w:t xml:space="preserve"> </w:t>
      </w:r>
      <w:r>
        <w:rPr>
          <w:color w:val="211F1F"/>
          <w:sz w:val="24"/>
        </w:rPr>
        <w:t>or</w:t>
      </w:r>
      <w:r>
        <w:rPr>
          <w:color w:val="211F1F"/>
          <w:spacing w:val="-5"/>
          <w:sz w:val="24"/>
        </w:rPr>
        <w:t xml:space="preserve"> </w:t>
      </w:r>
      <w:r>
        <w:rPr>
          <w:color w:val="211F1F"/>
          <w:sz w:val="24"/>
        </w:rPr>
        <w:t>indirectly</w:t>
      </w:r>
      <w:r>
        <w:rPr>
          <w:color w:val="211F1F"/>
          <w:spacing w:val="-9"/>
          <w:sz w:val="24"/>
        </w:rPr>
        <w:t xml:space="preserve"> </w:t>
      </w:r>
      <w:r>
        <w:rPr>
          <w:color w:val="211F1F"/>
          <w:sz w:val="24"/>
        </w:rPr>
        <w:t>controls, is</w:t>
      </w:r>
      <w:r>
        <w:rPr>
          <w:color w:val="211F1F"/>
          <w:spacing w:val="-8"/>
          <w:sz w:val="24"/>
        </w:rPr>
        <w:t xml:space="preserve"> </w:t>
      </w:r>
      <w:r>
        <w:rPr>
          <w:color w:val="211F1F"/>
          <w:sz w:val="24"/>
        </w:rPr>
        <w:t>controlled</w:t>
      </w:r>
      <w:r>
        <w:rPr>
          <w:color w:val="211F1F"/>
          <w:spacing w:val="-1"/>
          <w:sz w:val="24"/>
        </w:rPr>
        <w:t xml:space="preserve"> </w:t>
      </w:r>
      <w:r>
        <w:rPr>
          <w:color w:val="211F1F"/>
          <w:sz w:val="24"/>
        </w:rPr>
        <w:t>by</w:t>
      </w:r>
      <w:r>
        <w:rPr>
          <w:color w:val="211F1F"/>
          <w:spacing w:val="-15"/>
          <w:sz w:val="24"/>
        </w:rPr>
        <w:t xml:space="preserve"> </w:t>
      </w:r>
      <w:r>
        <w:rPr>
          <w:color w:val="211F1F"/>
          <w:sz w:val="24"/>
        </w:rPr>
        <w:t>or is</w:t>
      </w:r>
      <w:r>
        <w:rPr>
          <w:color w:val="211F1F"/>
          <w:spacing w:val="-8"/>
          <w:sz w:val="24"/>
        </w:rPr>
        <w:t xml:space="preserve"> </w:t>
      </w:r>
      <w:r>
        <w:rPr>
          <w:color w:val="211F1F"/>
          <w:sz w:val="24"/>
        </w:rPr>
        <w:t>under</w:t>
      </w:r>
      <w:r>
        <w:rPr>
          <w:color w:val="211F1F"/>
          <w:spacing w:val="-5"/>
          <w:sz w:val="24"/>
        </w:rPr>
        <w:t xml:space="preserve"> </w:t>
      </w:r>
      <w:r>
        <w:rPr>
          <w:color w:val="211F1F"/>
          <w:sz w:val="24"/>
        </w:rPr>
        <w:t>common</w:t>
      </w:r>
      <w:r>
        <w:rPr>
          <w:color w:val="211F1F"/>
          <w:spacing w:val="-10"/>
          <w:sz w:val="24"/>
        </w:rPr>
        <w:t xml:space="preserve"> </w:t>
      </w:r>
      <w:r>
        <w:rPr>
          <w:color w:val="211F1F"/>
          <w:sz w:val="24"/>
        </w:rPr>
        <w:t>control</w:t>
      </w:r>
      <w:r>
        <w:rPr>
          <w:color w:val="211F1F"/>
          <w:spacing w:val="-9"/>
          <w:sz w:val="24"/>
        </w:rPr>
        <w:t xml:space="preserve"> </w:t>
      </w:r>
      <w:r>
        <w:rPr>
          <w:color w:val="211F1F"/>
          <w:sz w:val="24"/>
        </w:rPr>
        <w:t>with another tenderer; or</w:t>
      </w:r>
    </w:p>
    <w:p w14:paraId="2EBB1FF6" w14:textId="77777777" w:rsidR="00BB77C0" w:rsidRDefault="00370BAA">
      <w:pPr>
        <w:pStyle w:val="ListParagraph"/>
        <w:numPr>
          <w:ilvl w:val="2"/>
          <w:numId w:val="109"/>
        </w:numPr>
        <w:tabs>
          <w:tab w:val="left" w:pos="1799"/>
          <w:tab w:val="left" w:pos="1801"/>
        </w:tabs>
        <w:spacing w:before="248" w:line="242" w:lineRule="auto"/>
        <w:ind w:right="283"/>
        <w:rPr>
          <w:sz w:val="24"/>
        </w:rPr>
      </w:pPr>
      <w:r>
        <w:rPr>
          <w:color w:val="211F1F"/>
          <w:sz w:val="24"/>
        </w:rPr>
        <w:t>Receives</w:t>
      </w:r>
      <w:r>
        <w:rPr>
          <w:color w:val="211F1F"/>
          <w:spacing w:val="-7"/>
          <w:sz w:val="24"/>
        </w:rPr>
        <w:t xml:space="preserve"> </w:t>
      </w:r>
      <w:r>
        <w:rPr>
          <w:color w:val="211F1F"/>
          <w:sz w:val="24"/>
        </w:rPr>
        <w:t>or</w:t>
      </w:r>
      <w:r>
        <w:rPr>
          <w:color w:val="211F1F"/>
          <w:spacing w:val="-4"/>
          <w:sz w:val="24"/>
        </w:rPr>
        <w:t xml:space="preserve"> </w:t>
      </w:r>
      <w:r>
        <w:rPr>
          <w:color w:val="211F1F"/>
          <w:sz w:val="24"/>
        </w:rPr>
        <w:t>has</w:t>
      </w:r>
      <w:r>
        <w:rPr>
          <w:color w:val="211F1F"/>
          <w:spacing w:val="-7"/>
          <w:sz w:val="24"/>
        </w:rPr>
        <w:t xml:space="preserve"> </w:t>
      </w:r>
      <w:r>
        <w:rPr>
          <w:color w:val="211F1F"/>
          <w:sz w:val="24"/>
        </w:rPr>
        <w:t>received any</w:t>
      </w:r>
      <w:r>
        <w:rPr>
          <w:color w:val="211F1F"/>
          <w:spacing w:val="-10"/>
          <w:sz w:val="24"/>
        </w:rPr>
        <w:t xml:space="preserve"> </w:t>
      </w:r>
      <w:r>
        <w:rPr>
          <w:color w:val="211F1F"/>
          <w:sz w:val="24"/>
        </w:rPr>
        <w:t>direct</w:t>
      </w:r>
      <w:r>
        <w:rPr>
          <w:color w:val="211F1F"/>
          <w:spacing w:val="-5"/>
          <w:sz w:val="24"/>
        </w:rPr>
        <w:t xml:space="preserve"> </w:t>
      </w:r>
      <w:r>
        <w:rPr>
          <w:color w:val="211F1F"/>
          <w:sz w:val="24"/>
        </w:rPr>
        <w:t>or</w:t>
      </w:r>
      <w:r>
        <w:rPr>
          <w:color w:val="211F1F"/>
          <w:spacing w:val="-4"/>
          <w:sz w:val="24"/>
        </w:rPr>
        <w:t xml:space="preserve"> </w:t>
      </w:r>
      <w:r>
        <w:rPr>
          <w:color w:val="211F1F"/>
          <w:sz w:val="24"/>
        </w:rPr>
        <w:t>indirect subsidy</w:t>
      </w:r>
      <w:r>
        <w:rPr>
          <w:color w:val="211F1F"/>
          <w:spacing w:val="-5"/>
          <w:sz w:val="24"/>
        </w:rPr>
        <w:t xml:space="preserve"> </w:t>
      </w:r>
      <w:r>
        <w:rPr>
          <w:color w:val="211F1F"/>
          <w:sz w:val="24"/>
        </w:rPr>
        <w:t>from</w:t>
      </w:r>
      <w:r>
        <w:rPr>
          <w:color w:val="211F1F"/>
          <w:spacing w:val="-14"/>
          <w:sz w:val="24"/>
        </w:rPr>
        <w:t xml:space="preserve"> </w:t>
      </w:r>
      <w:r>
        <w:rPr>
          <w:color w:val="211F1F"/>
          <w:sz w:val="24"/>
        </w:rPr>
        <w:t>another</w:t>
      </w:r>
      <w:r>
        <w:rPr>
          <w:color w:val="211F1F"/>
          <w:spacing w:val="-8"/>
          <w:sz w:val="24"/>
        </w:rPr>
        <w:t xml:space="preserve"> </w:t>
      </w:r>
      <w:r>
        <w:rPr>
          <w:color w:val="211F1F"/>
          <w:sz w:val="24"/>
        </w:rPr>
        <w:t>tenderer;</w:t>
      </w:r>
      <w:r>
        <w:rPr>
          <w:color w:val="211F1F"/>
          <w:spacing w:val="-9"/>
          <w:sz w:val="24"/>
        </w:rPr>
        <w:t xml:space="preserve"> </w:t>
      </w:r>
      <w:r>
        <w:rPr>
          <w:color w:val="211F1F"/>
          <w:sz w:val="24"/>
        </w:rPr>
        <w:t>or Has the same legal representative as another tenderer; or</w:t>
      </w:r>
    </w:p>
    <w:p w14:paraId="5BC5E1EE" w14:textId="77777777" w:rsidR="00BB77C0" w:rsidRDefault="00370BAA">
      <w:pPr>
        <w:pStyle w:val="ListParagraph"/>
        <w:numPr>
          <w:ilvl w:val="2"/>
          <w:numId w:val="109"/>
        </w:numPr>
        <w:tabs>
          <w:tab w:val="left" w:pos="1801"/>
        </w:tabs>
        <w:spacing w:before="242" w:line="237" w:lineRule="auto"/>
        <w:ind w:right="54"/>
        <w:rPr>
          <w:sz w:val="24"/>
        </w:rPr>
      </w:pPr>
      <w:r>
        <w:rPr>
          <w:color w:val="211F1F"/>
          <w:sz w:val="24"/>
        </w:rPr>
        <w:t>Has</w:t>
      </w:r>
      <w:r>
        <w:rPr>
          <w:color w:val="211F1F"/>
          <w:spacing w:val="-7"/>
          <w:sz w:val="24"/>
        </w:rPr>
        <w:t xml:space="preserve"> </w:t>
      </w:r>
      <w:r>
        <w:rPr>
          <w:color w:val="211F1F"/>
          <w:sz w:val="24"/>
        </w:rPr>
        <w:t>a</w:t>
      </w:r>
      <w:r>
        <w:rPr>
          <w:color w:val="211F1F"/>
          <w:spacing w:val="-6"/>
          <w:sz w:val="24"/>
        </w:rPr>
        <w:t xml:space="preserve"> </w:t>
      </w:r>
      <w:r>
        <w:rPr>
          <w:color w:val="211F1F"/>
          <w:sz w:val="24"/>
        </w:rPr>
        <w:t>relationship</w:t>
      </w:r>
      <w:r>
        <w:rPr>
          <w:color w:val="211F1F"/>
          <w:spacing w:val="-3"/>
          <w:sz w:val="24"/>
        </w:rPr>
        <w:t xml:space="preserve"> </w:t>
      </w:r>
      <w:r>
        <w:rPr>
          <w:color w:val="211F1F"/>
          <w:sz w:val="24"/>
        </w:rPr>
        <w:t>with</w:t>
      </w:r>
      <w:r>
        <w:rPr>
          <w:color w:val="211F1F"/>
          <w:spacing w:val="-8"/>
          <w:sz w:val="24"/>
        </w:rPr>
        <w:t xml:space="preserve"> </w:t>
      </w:r>
      <w:r>
        <w:rPr>
          <w:color w:val="211F1F"/>
          <w:sz w:val="24"/>
        </w:rPr>
        <w:t>another</w:t>
      </w:r>
      <w:r>
        <w:rPr>
          <w:color w:val="211F1F"/>
          <w:spacing w:val="-7"/>
          <w:sz w:val="24"/>
        </w:rPr>
        <w:t xml:space="preserve"> </w:t>
      </w:r>
      <w:r>
        <w:rPr>
          <w:color w:val="211F1F"/>
          <w:sz w:val="24"/>
        </w:rPr>
        <w:t>tenderer,</w:t>
      </w:r>
      <w:r>
        <w:rPr>
          <w:color w:val="211F1F"/>
          <w:spacing w:val="-1"/>
          <w:sz w:val="24"/>
        </w:rPr>
        <w:t xml:space="preserve"> </w:t>
      </w:r>
      <w:r>
        <w:rPr>
          <w:color w:val="211F1F"/>
          <w:sz w:val="24"/>
        </w:rPr>
        <w:t>directly</w:t>
      </w:r>
      <w:r>
        <w:rPr>
          <w:color w:val="211F1F"/>
          <w:spacing w:val="-8"/>
          <w:sz w:val="24"/>
        </w:rPr>
        <w:t xml:space="preserve"> </w:t>
      </w:r>
      <w:r>
        <w:rPr>
          <w:color w:val="211F1F"/>
          <w:sz w:val="24"/>
        </w:rPr>
        <w:t>or</w:t>
      </w:r>
      <w:r>
        <w:rPr>
          <w:color w:val="211F1F"/>
          <w:spacing w:val="-7"/>
          <w:sz w:val="24"/>
        </w:rPr>
        <w:t xml:space="preserve"> </w:t>
      </w:r>
      <w:r>
        <w:rPr>
          <w:color w:val="211F1F"/>
          <w:sz w:val="24"/>
        </w:rPr>
        <w:t>through</w:t>
      </w:r>
      <w:r>
        <w:rPr>
          <w:color w:val="211F1F"/>
          <w:spacing w:val="-8"/>
          <w:sz w:val="24"/>
        </w:rPr>
        <w:t xml:space="preserve"> </w:t>
      </w:r>
      <w:r>
        <w:rPr>
          <w:color w:val="211F1F"/>
          <w:sz w:val="24"/>
        </w:rPr>
        <w:t>common</w:t>
      </w:r>
      <w:r>
        <w:rPr>
          <w:color w:val="211F1F"/>
          <w:spacing w:val="-8"/>
          <w:sz w:val="24"/>
        </w:rPr>
        <w:t xml:space="preserve"> </w:t>
      </w:r>
      <w:r>
        <w:rPr>
          <w:color w:val="211F1F"/>
          <w:sz w:val="24"/>
        </w:rPr>
        <w:t>third</w:t>
      </w:r>
      <w:r>
        <w:rPr>
          <w:color w:val="211F1F"/>
          <w:spacing w:val="-5"/>
          <w:sz w:val="24"/>
        </w:rPr>
        <w:t xml:space="preserve"> </w:t>
      </w:r>
      <w:r>
        <w:rPr>
          <w:color w:val="211F1F"/>
          <w:sz w:val="24"/>
        </w:rPr>
        <w:t>parties, that puts it in a position to influence the tender of another tenderer, or</w:t>
      </w:r>
    </w:p>
    <w:p w14:paraId="51793ED4" w14:textId="77777777" w:rsidR="00BB77C0" w:rsidRDefault="00370BAA">
      <w:pPr>
        <w:pStyle w:val="ListParagraph"/>
        <w:numPr>
          <w:ilvl w:val="2"/>
          <w:numId w:val="109"/>
        </w:numPr>
        <w:tabs>
          <w:tab w:val="left" w:pos="1800"/>
        </w:tabs>
        <w:spacing w:before="248"/>
        <w:ind w:left="1800" w:hanging="359"/>
        <w:rPr>
          <w:sz w:val="24"/>
        </w:rPr>
      </w:pPr>
      <w:r>
        <w:rPr>
          <w:color w:val="211F1F"/>
          <w:sz w:val="24"/>
        </w:rPr>
        <w:t>influence</w:t>
      </w:r>
      <w:r>
        <w:rPr>
          <w:color w:val="211F1F"/>
          <w:spacing w:val="-8"/>
          <w:sz w:val="24"/>
        </w:rPr>
        <w:t xml:space="preserve"> </w:t>
      </w:r>
      <w:r>
        <w:rPr>
          <w:color w:val="211F1F"/>
          <w:sz w:val="24"/>
        </w:rPr>
        <w:t>the</w:t>
      </w:r>
      <w:r>
        <w:rPr>
          <w:color w:val="211F1F"/>
          <w:spacing w:val="-7"/>
          <w:sz w:val="24"/>
        </w:rPr>
        <w:t xml:space="preserve"> </w:t>
      </w:r>
      <w:r>
        <w:rPr>
          <w:color w:val="211F1F"/>
          <w:sz w:val="24"/>
        </w:rPr>
        <w:t>decisions</w:t>
      </w:r>
      <w:r>
        <w:rPr>
          <w:color w:val="211F1F"/>
          <w:spacing w:val="-1"/>
          <w:sz w:val="24"/>
        </w:rPr>
        <w:t xml:space="preserve"> </w:t>
      </w:r>
      <w:r>
        <w:rPr>
          <w:color w:val="211F1F"/>
          <w:sz w:val="24"/>
        </w:rPr>
        <w:t>of</w:t>
      </w:r>
      <w:r>
        <w:rPr>
          <w:color w:val="211F1F"/>
          <w:spacing w:val="-14"/>
          <w:sz w:val="24"/>
        </w:rPr>
        <w:t xml:space="preserve"> </w:t>
      </w:r>
      <w:r>
        <w:rPr>
          <w:color w:val="211F1F"/>
          <w:sz w:val="24"/>
        </w:rPr>
        <w:t>the</w:t>
      </w:r>
      <w:r>
        <w:rPr>
          <w:color w:val="211F1F"/>
          <w:spacing w:val="-5"/>
          <w:sz w:val="24"/>
        </w:rPr>
        <w:t xml:space="preserve"> </w:t>
      </w:r>
      <w:r>
        <w:rPr>
          <w:color w:val="211F1F"/>
          <w:sz w:val="24"/>
        </w:rPr>
        <w:t>Procuring Entity</w:t>
      </w:r>
      <w:r>
        <w:rPr>
          <w:color w:val="211F1F"/>
          <w:spacing w:val="-14"/>
          <w:sz w:val="24"/>
        </w:rPr>
        <w:t xml:space="preserve"> </w:t>
      </w:r>
      <w:r>
        <w:rPr>
          <w:color w:val="211F1F"/>
          <w:sz w:val="24"/>
        </w:rPr>
        <w:t>regarding</w:t>
      </w:r>
      <w:r>
        <w:rPr>
          <w:color w:val="211F1F"/>
          <w:spacing w:val="-4"/>
          <w:sz w:val="24"/>
        </w:rPr>
        <w:t xml:space="preserve"> </w:t>
      </w:r>
      <w:r>
        <w:rPr>
          <w:color w:val="211F1F"/>
          <w:sz w:val="24"/>
        </w:rPr>
        <w:t>this</w:t>
      </w:r>
      <w:r>
        <w:rPr>
          <w:color w:val="211F1F"/>
          <w:spacing w:val="-2"/>
          <w:sz w:val="24"/>
        </w:rPr>
        <w:t xml:space="preserve"> </w:t>
      </w:r>
      <w:r>
        <w:rPr>
          <w:color w:val="211F1F"/>
          <w:sz w:val="24"/>
        </w:rPr>
        <w:t>tendering</w:t>
      </w:r>
      <w:r>
        <w:rPr>
          <w:color w:val="211F1F"/>
          <w:spacing w:val="-5"/>
          <w:sz w:val="24"/>
        </w:rPr>
        <w:t xml:space="preserve"> </w:t>
      </w:r>
      <w:r>
        <w:rPr>
          <w:color w:val="211F1F"/>
          <w:sz w:val="24"/>
        </w:rPr>
        <w:t>process;</w:t>
      </w:r>
      <w:r>
        <w:rPr>
          <w:color w:val="211F1F"/>
          <w:spacing w:val="-8"/>
          <w:sz w:val="24"/>
        </w:rPr>
        <w:t xml:space="preserve"> </w:t>
      </w:r>
      <w:r>
        <w:rPr>
          <w:color w:val="211F1F"/>
          <w:spacing w:val="-5"/>
          <w:sz w:val="24"/>
        </w:rPr>
        <w:t>or</w:t>
      </w:r>
    </w:p>
    <w:p w14:paraId="336C1CEA" w14:textId="77777777" w:rsidR="00BB77C0" w:rsidRDefault="00370BAA">
      <w:pPr>
        <w:pStyle w:val="ListParagraph"/>
        <w:numPr>
          <w:ilvl w:val="2"/>
          <w:numId w:val="109"/>
        </w:numPr>
        <w:tabs>
          <w:tab w:val="left" w:pos="1801"/>
        </w:tabs>
        <w:spacing w:before="250" w:line="237" w:lineRule="auto"/>
        <w:ind w:right="139"/>
        <w:rPr>
          <w:sz w:val="24"/>
        </w:rPr>
      </w:pPr>
      <w:r>
        <w:rPr>
          <w:color w:val="211F1F"/>
          <w:sz w:val="24"/>
        </w:rPr>
        <w:t>Any</w:t>
      </w:r>
      <w:r>
        <w:rPr>
          <w:color w:val="211F1F"/>
          <w:spacing w:val="-11"/>
          <w:sz w:val="24"/>
        </w:rPr>
        <w:t xml:space="preserve"> </w:t>
      </w:r>
      <w:r>
        <w:rPr>
          <w:color w:val="211F1F"/>
          <w:sz w:val="24"/>
        </w:rPr>
        <w:t>of</w:t>
      </w:r>
      <w:r>
        <w:rPr>
          <w:color w:val="211F1F"/>
          <w:spacing w:val="-4"/>
          <w:sz w:val="24"/>
        </w:rPr>
        <w:t xml:space="preserve"> </w:t>
      </w:r>
      <w:r>
        <w:rPr>
          <w:color w:val="211F1F"/>
          <w:sz w:val="24"/>
        </w:rPr>
        <w:t>its</w:t>
      </w:r>
      <w:r>
        <w:rPr>
          <w:color w:val="211F1F"/>
          <w:spacing w:val="-3"/>
          <w:sz w:val="24"/>
        </w:rPr>
        <w:t xml:space="preserve"> </w:t>
      </w:r>
      <w:r>
        <w:rPr>
          <w:color w:val="211F1F"/>
          <w:sz w:val="24"/>
        </w:rPr>
        <w:t>affiliates</w:t>
      </w:r>
      <w:r>
        <w:rPr>
          <w:color w:val="211F1F"/>
          <w:spacing w:val="-2"/>
          <w:sz w:val="24"/>
        </w:rPr>
        <w:t xml:space="preserve"> </w:t>
      </w:r>
      <w:r>
        <w:rPr>
          <w:color w:val="211F1F"/>
          <w:sz w:val="24"/>
        </w:rPr>
        <w:t>participated as</w:t>
      </w:r>
      <w:r>
        <w:rPr>
          <w:color w:val="211F1F"/>
          <w:spacing w:val="-3"/>
          <w:sz w:val="24"/>
        </w:rPr>
        <w:t xml:space="preserve"> </w:t>
      </w:r>
      <w:r>
        <w:rPr>
          <w:color w:val="211F1F"/>
          <w:sz w:val="24"/>
        </w:rPr>
        <w:t>a</w:t>
      </w:r>
      <w:r>
        <w:rPr>
          <w:color w:val="211F1F"/>
          <w:spacing w:val="-7"/>
          <w:sz w:val="24"/>
        </w:rPr>
        <w:t xml:space="preserve"> </w:t>
      </w:r>
      <w:r>
        <w:rPr>
          <w:color w:val="211F1F"/>
          <w:sz w:val="24"/>
        </w:rPr>
        <w:t>consultant in</w:t>
      </w:r>
      <w:r>
        <w:rPr>
          <w:color w:val="211F1F"/>
          <w:spacing w:val="-6"/>
          <w:sz w:val="24"/>
        </w:rPr>
        <w:t xml:space="preserve"> </w:t>
      </w:r>
      <w:r>
        <w:rPr>
          <w:color w:val="211F1F"/>
          <w:sz w:val="24"/>
        </w:rPr>
        <w:t>the</w:t>
      </w:r>
      <w:r>
        <w:rPr>
          <w:color w:val="211F1F"/>
          <w:spacing w:val="-1"/>
          <w:sz w:val="24"/>
        </w:rPr>
        <w:t xml:space="preserve"> </w:t>
      </w:r>
      <w:r>
        <w:rPr>
          <w:color w:val="211F1F"/>
          <w:sz w:val="24"/>
        </w:rPr>
        <w:t>preparation</w:t>
      </w:r>
      <w:r>
        <w:rPr>
          <w:color w:val="211F1F"/>
          <w:spacing w:val="-4"/>
          <w:sz w:val="24"/>
        </w:rPr>
        <w:t xml:space="preserve"> </w:t>
      </w:r>
      <w:r>
        <w:rPr>
          <w:color w:val="211F1F"/>
          <w:sz w:val="24"/>
        </w:rPr>
        <w:t>of</w:t>
      </w:r>
      <w:r>
        <w:rPr>
          <w:color w:val="211F1F"/>
          <w:spacing w:val="-9"/>
          <w:sz w:val="24"/>
        </w:rPr>
        <w:t xml:space="preserve"> </w:t>
      </w:r>
      <w:r>
        <w:rPr>
          <w:color w:val="211F1F"/>
          <w:sz w:val="24"/>
        </w:rPr>
        <w:t>the</w:t>
      </w:r>
      <w:r>
        <w:rPr>
          <w:color w:val="211F1F"/>
          <w:spacing w:val="-2"/>
          <w:sz w:val="24"/>
        </w:rPr>
        <w:t xml:space="preserve"> </w:t>
      </w:r>
      <w:r>
        <w:rPr>
          <w:color w:val="211F1F"/>
          <w:sz w:val="24"/>
        </w:rPr>
        <w:t>design</w:t>
      </w:r>
      <w:r>
        <w:rPr>
          <w:color w:val="211F1F"/>
          <w:spacing w:val="-5"/>
          <w:sz w:val="24"/>
        </w:rPr>
        <w:t xml:space="preserve"> </w:t>
      </w:r>
      <w:r>
        <w:rPr>
          <w:color w:val="211F1F"/>
          <w:sz w:val="24"/>
        </w:rPr>
        <w:t>or technical</w:t>
      </w:r>
      <w:r>
        <w:rPr>
          <w:color w:val="211F1F"/>
          <w:spacing w:val="-7"/>
          <w:sz w:val="24"/>
        </w:rPr>
        <w:t xml:space="preserve"> </w:t>
      </w:r>
      <w:r>
        <w:rPr>
          <w:color w:val="211F1F"/>
          <w:sz w:val="24"/>
        </w:rPr>
        <w:t>specifications</w:t>
      </w:r>
      <w:r>
        <w:rPr>
          <w:color w:val="211F1F"/>
          <w:spacing w:val="-4"/>
          <w:sz w:val="24"/>
        </w:rPr>
        <w:t xml:space="preserve"> </w:t>
      </w:r>
      <w:r>
        <w:rPr>
          <w:color w:val="211F1F"/>
          <w:sz w:val="24"/>
        </w:rPr>
        <w:t>of</w:t>
      </w:r>
      <w:r>
        <w:rPr>
          <w:color w:val="211F1F"/>
          <w:spacing w:val="-11"/>
          <w:sz w:val="24"/>
        </w:rPr>
        <w:t xml:space="preserve"> </w:t>
      </w:r>
      <w:r>
        <w:rPr>
          <w:color w:val="211F1F"/>
          <w:sz w:val="24"/>
        </w:rPr>
        <w:t>the</w:t>
      </w:r>
      <w:r>
        <w:rPr>
          <w:color w:val="211F1F"/>
          <w:spacing w:val="-5"/>
          <w:sz w:val="24"/>
        </w:rPr>
        <w:t xml:space="preserve"> </w:t>
      </w:r>
      <w:r>
        <w:rPr>
          <w:color w:val="211F1F"/>
          <w:sz w:val="24"/>
        </w:rPr>
        <w:t>goods</w:t>
      </w:r>
      <w:r>
        <w:rPr>
          <w:color w:val="211F1F"/>
          <w:spacing w:val="-11"/>
          <w:sz w:val="24"/>
        </w:rPr>
        <w:t xml:space="preserve"> </w:t>
      </w:r>
      <w:r>
        <w:rPr>
          <w:color w:val="211F1F"/>
          <w:sz w:val="24"/>
        </w:rPr>
        <w:t>or</w:t>
      </w:r>
      <w:r>
        <w:rPr>
          <w:color w:val="211F1F"/>
          <w:spacing w:val="-2"/>
          <w:sz w:val="24"/>
        </w:rPr>
        <w:t xml:space="preserve"> </w:t>
      </w:r>
      <w:r>
        <w:rPr>
          <w:color w:val="211F1F"/>
          <w:sz w:val="24"/>
        </w:rPr>
        <w:t>works</w:t>
      </w:r>
      <w:r>
        <w:rPr>
          <w:color w:val="211F1F"/>
          <w:spacing w:val="-6"/>
          <w:sz w:val="24"/>
        </w:rPr>
        <w:t xml:space="preserve"> </w:t>
      </w:r>
      <w:r>
        <w:rPr>
          <w:color w:val="211F1F"/>
          <w:sz w:val="24"/>
        </w:rPr>
        <w:t>that</w:t>
      </w:r>
      <w:r>
        <w:rPr>
          <w:color w:val="211F1F"/>
          <w:spacing w:val="-3"/>
          <w:sz w:val="24"/>
        </w:rPr>
        <w:t xml:space="preserve"> </w:t>
      </w:r>
      <w:r>
        <w:rPr>
          <w:color w:val="211F1F"/>
          <w:sz w:val="24"/>
        </w:rPr>
        <w:t>are</w:t>
      </w:r>
      <w:r>
        <w:rPr>
          <w:color w:val="211F1F"/>
          <w:spacing w:val="-4"/>
          <w:sz w:val="24"/>
        </w:rPr>
        <w:t xml:space="preserve"> </w:t>
      </w:r>
      <w:r>
        <w:rPr>
          <w:color w:val="211F1F"/>
          <w:sz w:val="24"/>
        </w:rPr>
        <w:t>the</w:t>
      </w:r>
      <w:r>
        <w:rPr>
          <w:color w:val="211F1F"/>
          <w:spacing w:val="-5"/>
          <w:sz w:val="24"/>
        </w:rPr>
        <w:t xml:space="preserve"> </w:t>
      </w:r>
      <w:r>
        <w:rPr>
          <w:color w:val="211F1F"/>
          <w:sz w:val="24"/>
        </w:rPr>
        <w:t>subject of</w:t>
      </w:r>
      <w:r>
        <w:rPr>
          <w:color w:val="211F1F"/>
          <w:spacing w:val="-12"/>
          <w:sz w:val="24"/>
        </w:rPr>
        <w:t xml:space="preserve"> </w:t>
      </w:r>
      <w:r>
        <w:rPr>
          <w:color w:val="211F1F"/>
          <w:sz w:val="24"/>
        </w:rPr>
        <w:t>the</w:t>
      </w:r>
      <w:r>
        <w:rPr>
          <w:color w:val="211F1F"/>
          <w:spacing w:val="-5"/>
          <w:sz w:val="24"/>
        </w:rPr>
        <w:t xml:space="preserve"> </w:t>
      </w:r>
      <w:r>
        <w:rPr>
          <w:color w:val="211F1F"/>
          <w:sz w:val="24"/>
        </w:rPr>
        <w:t>tender;</w:t>
      </w:r>
      <w:r>
        <w:rPr>
          <w:color w:val="211F1F"/>
          <w:spacing w:val="-7"/>
          <w:sz w:val="24"/>
        </w:rPr>
        <w:t xml:space="preserve"> </w:t>
      </w:r>
      <w:r>
        <w:rPr>
          <w:color w:val="211F1F"/>
          <w:sz w:val="24"/>
        </w:rPr>
        <w:t>or</w:t>
      </w:r>
    </w:p>
    <w:p w14:paraId="559E04F0" w14:textId="77777777" w:rsidR="00BB77C0" w:rsidRDefault="00370BAA">
      <w:pPr>
        <w:pStyle w:val="ListParagraph"/>
        <w:numPr>
          <w:ilvl w:val="2"/>
          <w:numId w:val="109"/>
        </w:numPr>
        <w:tabs>
          <w:tab w:val="left" w:pos="1801"/>
        </w:tabs>
        <w:spacing w:before="248" w:line="242" w:lineRule="auto"/>
        <w:ind w:right="455"/>
        <w:rPr>
          <w:sz w:val="24"/>
        </w:rPr>
      </w:pPr>
      <w:r>
        <w:rPr>
          <w:color w:val="211F1F"/>
          <w:sz w:val="24"/>
        </w:rPr>
        <w:t>any</w:t>
      </w:r>
      <w:r>
        <w:rPr>
          <w:color w:val="211F1F"/>
          <w:spacing w:val="-12"/>
          <w:sz w:val="24"/>
        </w:rPr>
        <w:t xml:space="preserve"> </w:t>
      </w:r>
      <w:r>
        <w:rPr>
          <w:color w:val="211F1F"/>
          <w:sz w:val="24"/>
        </w:rPr>
        <w:t>of</w:t>
      </w:r>
      <w:r>
        <w:rPr>
          <w:color w:val="211F1F"/>
          <w:spacing w:val="-11"/>
          <w:sz w:val="24"/>
        </w:rPr>
        <w:t xml:space="preserve"> </w:t>
      </w:r>
      <w:r>
        <w:rPr>
          <w:color w:val="211F1F"/>
          <w:sz w:val="24"/>
        </w:rPr>
        <w:t>its</w:t>
      </w:r>
      <w:r>
        <w:rPr>
          <w:color w:val="211F1F"/>
          <w:spacing w:val="-5"/>
          <w:sz w:val="24"/>
        </w:rPr>
        <w:t xml:space="preserve"> </w:t>
      </w:r>
      <w:r>
        <w:rPr>
          <w:color w:val="211F1F"/>
          <w:sz w:val="24"/>
        </w:rPr>
        <w:t>affiliates</w:t>
      </w:r>
      <w:r>
        <w:rPr>
          <w:color w:val="211F1F"/>
          <w:spacing w:val="-4"/>
          <w:sz w:val="24"/>
        </w:rPr>
        <w:t xml:space="preserve"> </w:t>
      </w:r>
      <w:r>
        <w:rPr>
          <w:color w:val="211F1F"/>
          <w:sz w:val="24"/>
        </w:rPr>
        <w:t>has</w:t>
      </w:r>
      <w:r>
        <w:rPr>
          <w:color w:val="211F1F"/>
          <w:spacing w:val="-5"/>
          <w:sz w:val="24"/>
        </w:rPr>
        <w:t xml:space="preserve"> </w:t>
      </w:r>
      <w:r>
        <w:rPr>
          <w:color w:val="211F1F"/>
          <w:sz w:val="24"/>
        </w:rPr>
        <w:t>been</w:t>
      </w:r>
      <w:r>
        <w:rPr>
          <w:color w:val="211F1F"/>
          <w:spacing w:val="-7"/>
          <w:sz w:val="24"/>
        </w:rPr>
        <w:t xml:space="preserve"> </w:t>
      </w:r>
      <w:r>
        <w:rPr>
          <w:color w:val="211F1F"/>
          <w:sz w:val="24"/>
        </w:rPr>
        <w:t>hired</w:t>
      </w:r>
      <w:r>
        <w:rPr>
          <w:color w:val="211F1F"/>
          <w:spacing w:val="-3"/>
          <w:sz w:val="24"/>
        </w:rPr>
        <w:t xml:space="preserve"> </w:t>
      </w:r>
      <w:r>
        <w:rPr>
          <w:color w:val="211F1F"/>
          <w:sz w:val="24"/>
        </w:rPr>
        <w:t>(or</w:t>
      </w:r>
      <w:r>
        <w:rPr>
          <w:color w:val="211F1F"/>
          <w:spacing w:val="-6"/>
          <w:sz w:val="24"/>
        </w:rPr>
        <w:t xml:space="preserve"> </w:t>
      </w:r>
      <w:r>
        <w:rPr>
          <w:color w:val="211F1F"/>
          <w:sz w:val="24"/>
        </w:rPr>
        <w:t>is</w:t>
      </w:r>
      <w:r>
        <w:rPr>
          <w:color w:val="211F1F"/>
          <w:spacing w:val="-5"/>
          <w:sz w:val="24"/>
        </w:rPr>
        <w:t xml:space="preserve"> </w:t>
      </w:r>
      <w:r>
        <w:rPr>
          <w:color w:val="211F1F"/>
          <w:sz w:val="24"/>
        </w:rPr>
        <w:t>proposed</w:t>
      </w:r>
      <w:r>
        <w:rPr>
          <w:color w:val="211F1F"/>
          <w:spacing w:val="-7"/>
          <w:sz w:val="24"/>
        </w:rPr>
        <w:t xml:space="preserve"> </w:t>
      </w:r>
      <w:r>
        <w:rPr>
          <w:color w:val="211F1F"/>
          <w:sz w:val="24"/>
        </w:rPr>
        <w:t>to</w:t>
      </w:r>
      <w:r>
        <w:rPr>
          <w:color w:val="211F1F"/>
          <w:spacing w:val="-2"/>
          <w:sz w:val="24"/>
        </w:rPr>
        <w:t xml:space="preserve"> </w:t>
      </w:r>
      <w:r>
        <w:rPr>
          <w:color w:val="211F1F"/>
          <w:sz w:val="24"/>
        </w:rPr>
        <w:t>be</w:t>
      </w:r>
      <w:r>
        <w:rPr>
          <w:color w:val="211F1F"/>
          <w:spacing w:val="-9"/>
          <w:sz w:val="24"/>
        </w:rPr>
        <w:t xml:space="preserve"> </w:t>
      </w:r>
      <w:r>
        <w:rPr>
          <w:color w:val="211F1F"/>
          <w:sz w:val="24"/>
        </w:rPr>
        <w:t>hired)</w:t>
      </w:r>
      <w:r>
        <w:rPr>
          <w:color w:val="211F1F"/>
          <w:spacing w:val="-1"/>
          <w:sz w:val="24"/>
        </w:rPr>
        <w:t xml:space="preserve"> </w:t>
      </w:r>
      <w:r>
        <w:rPr>
          <w:color w:val="211F1F"/>
          <w:sz w:val="24"/>
        </w:rPr>
        <w:t>by</w:t>
      </w:r>
      <w:r>
        <w:rPr>
          <w:color w:val="211F1F"/>
          <w:spacing w:val="-12"/>
          <w:sz w:val="24"/>
        </w:rPr>
        <w:t xml:space="preserve"> </w:t>
      </w:r>
      <w:r>
        <w:rPr>
          <w:color w:val="211F1F"/>
          <w:sz w:val="24"/>
        </w:rPr>
        <w:t>the</w:t>
      </w:r>
      <w:r>
        <w:rPr>
          <w:color w:val="211F1F"/>
          <w:spacing w:val="-9"/>
          <w:sz w:val="24"/>
        </w:rPr>
        <w:t xml:space="preserve"> </w:t>
      </w:r>
      <w:r>
        <w:rPr>
          <w:color w:val="211F1F"/>
          <w:sz w:val="24"/>
        </w:rPr>
        <w:t>Procuring Entity as a consultant for Contract implementation; or</w:t>
      </w:r>
    </w:p>
    <w:p w14:paraId="2A30536A" w14:textId="77777777" w:rsidR="00BB77C0" w:rsidRDefault="00370BAA">
      <w:pPr>
        <w:pStyle w:val="ListParagraph"/>
        <w:numPr>
          <w:ilvl w:val="2"/>
          <w:numId w:val="109"/>
        </w:numPr>
        <w:tabs>
          <w:tab w:val="left" w:pos="1801"/>
        </w:tabs>
        <w:spacing w:before="247" w:line="237" w:lineRule="auto"/>
        <w:ind w:right="132"/>
        <w:rPr>
          <w:sz w:val="24"/>
        </w:rPr>
      </w:pPr>
      <w:r>
        <w:rPr>
          <w:color w:val="211F1F"/>
          <w:sz w:val="24"/>
        </w:rPr>
        <w:t>Would be providing goods, works, or non-consulting services resulting from or directly</w:t>
      </w:r>
      <w:r>
        <w:rPr>
          <w:color w:val="211F1F"/>
          <w:spacing w:val="-10"/>
          <w:sz w:val="24"/>
        </w:rPr>
        <w:t xml:space="preserve"> </w:t>
      </w:r>
      <w:r>
        <w:rPr>
          <w:color w:val="211F1F"/>
          <w:sz w:val="24"/>
        </w:rPr>
        <w:t>related</w:t>
      </w:r>
      <w:r>
        <w:rPr>
          <w:color w:val="211F1F"/>
          <w:spacing w:val="-5"/>
          <w:sz w:val="24"/>
        </w:rPr>
        <w:t xml:space="preserve"> </w:t>
      </w:r>
      <w:r>
        <w:rPr>
          <w:color w:val="211F1F"/>
          <w:sz w:val="24"/>
        </w:rPr>
        <w:t>to consulting</w:t>
      </w:r>
      <w:r>
        <w:rPr>
          <w:color w:val="211F1F"/>
          <w:spacing w:val="-6"/>
          <w:sz w:val="24"/>
        </w:rPr>
        <w:t xml:space="preserve"> </w:t>
      </w:r>
      <w:r>
        <w:rPr>
          <w:color w:val="211F1F"/>
          <w:sz w:val="24"/>
        </w:rPr>
        <w:t>services</w:t>
      </w:r>
      <w:r>
        <w:rPr>
          <w:color w:val="211F1F"/>
          <w:spacing w:val="-4"/>
          <w:sz w:val="24"/>
        </w:rPr>
        <w:t xml:space="preserve"> </w:t>
      </w:r>
      <w:r>
        <w:rPr>
          <w:color w:val="211F1F"/>
          <w:sz w:val="24"/>
        </w:rPr>
        <w:t>for</w:t>
      </w:r>
      <w:r>
        <w:rPr>
          <w:color w:val="211F1F"/>
          <w:spacing w:val="-9"/>
          <w:sz w:val="24"/>
        </w:rPr>
        <w:t xml:space="preserve"> </w:t>
      </w:r>
      <w:r>
        <w:rPr>
          <w:color w:val="211F1F"/>
          <w:sz w:val="24"/>
        </w:rPr>
        <w:t>the</w:t>
      </w:r>
      <w:r>
        <w:rPr>
          <w:color w:val="211F1F"/>
          <w:spacing w:val="-8"/>
          <w:sz w:val="24"/>
        </w:rPr>
        <w:t xml:space="preserve"> </w:t>
      </w:r>
      <w:r>
        <w:rPr>
          <w:color w:val="211F1F"/>
          <w:sz w:val="24"/>
        </w:rPr>
        <w:t>preparation</w:t>
      </w:r>
      <w:r>
        <w:rPr>
          <w:color w:val="211F1F"/>
          <w:spacing w:val="-10"/>
          <w:sz w:val="24"/>
        </w:rPr>
        <w:t xml:space="preserve"> </w:t>
      </w:r>
      <w:r>
        <w:rPr>
          <w:color w:val="211F1F"/>
          <w:sz w:val="24"/>
        </w:rPr>
        <w:t>or</w:t>
      </w:r>
      <w:r>
        <w:rPr>
          <w:color w:val="211F1F"/>
          <w:spacing w:val="-5"/>
          <w:sz w:val="24"/>
        </w:rPr>
        <w:t xml:space="preserve"> </w:t>
      </w:r>
      <w:r>
        <w:rPr>
          <w:color w:val="211F1F"/>
          <w:sz w:val="24"/>
        </w:rPr>
        <w:t>implementation</w:t>
      </w:r>
      <w:r>
        <w:rPr>
          <w:color w:val="211F1F"/>
          <w:spacing w:val="-9"/>
          <w:sz w:val="24"/>
        </w:rPr>
        <w:t xml:space="preserve"> </w:t>
      </w:r>
      <w:r>
        <w:rPr>
          <w:color w:val="211F1F"/>
          <w:sz w:val="24"/>
        </w:rPr>
        <w:t>of</w:t>
      </w:r>
      <w:r>
        <w:rPr>
          <w:color w:val="211F1F"/>
          <w:spacing w:val="-14"/>
          <w:sz w:val="24"/>
        </w:rPr>
        <w:t xml:space="preserve"> </w:t>
      </w:r>
      <w:r>
        <w:rPr>
          <w:color w:val="211F1F"/>
          <w:sz w:val="24"/>
        </w:rPr>
        <w:t>the contract specified in this Tender Document; or</w:t>
      </w:r>
    </w:p>
    <w:p w14:paraId="1AFCD663" w14:textId="77777777" w:rsidR="00BB77C0" w:rsidRDefault="00370BAA">
      <w:pPr>
        <w:pStyle w:val="ListParagraph"/>
        <w:numPr>
          <w:ilvl w:val="2"/>
          <w:numId w:val="109"/>
        </w:numPr>
        <w:tabs>
          <w:tab w:val="left" w:pos="1799"/>
          <w:tab w:val="left" w:pos="1801"/>
        </w:tabs>
        <w:spacing w:before="249"/>
        <w:ind w:right="655"/>
        <w:rPr>
          <w:sz w:val="24"/>
        </w:rPr>
      </w:pPr>
      <w:r>
        <w:rPr>
          <w:color w:val="211F1F"/>
          <w:sz w:val="24"/>
        </w:rPr>
        <w:t>Has a close business or personal relationship with senior management or professional</w:t>
      </w:r>
      <w:r>
        <w:rPr>
          <w:color w:val="211F1F"/>
          <w:spacing w:val="-9"/>
          <w:sz w:val="24"/>
        </w:rPr>
        <w:t xml:space="preserve"> </w:t>
      </w:r>
      <w:r>
        <w:rPr>
          <w:color w:val="211F1F"/>
          <w:sz w:val="24"/>
        </w:rPr>
        <w:t>staff</w:t>
      </w:r>
      <w:r>
        <w:rPr>
          <w:color w:val="211F1F"/>
          <w:spacing w:val="-13"/>
          <w:sz w:val="24"/>
        </w:rPr>
        <w:t xml:space="preserve"> </w:t>
      </w:r>
      <w:r>
        <w:rPr>
          <w:color w:val="211F1F"/>
          <w:sz w:val="24"/>
        </w:rPr>
        <w:t>of</w:t>
      </w:r>
      <w:r>
        <w:rPr>
          <w:color w:val="211F1F"/>
          <w:spacing w:val="-14"/>
          <w:sz w:val="24"/>
        </w:rPr>
        <w:t xml:space="preserve"> </w:t>
      </w:r>
      <w:r>
        <w:rPr>
          <w:color w:val="211F1F"/>
          <w:sz w:val="24"/>
        </w:rPr>
        <w:t>the</w:t>
      </w:r>
      <w:r>
        <w:rPr>
          <w:color w:val="211F1F"/>
          <w:spacing w:val="-7"/>
          <w:sz w:val="24"/>
        </w:rPr>
        <w:t xml:space="preserve"> </w:t>
      </w:r>
      <w:r>
        <w:rPr>
          <w:color w:val="211F1F"/>
          <w:sz w:val="24"/>
        </w:rPr>
        <w:t>Procuring</w:t>
      </w:r>
      <w:r>
        <w:rPr>
          <w:color w:val="211F1F"/>
          <w:spacing w:val="-4"/>
          <w:sz w:val="24"/>
        </w:rPr>
        <w:t xml:space="preserve"> </w:t>
      </w:r>
      <w:r>
        <w:rPr>
          <w:color w:val="211F1F"/>
          <w:sz w:val="24"/>
        </w:rPr>
        <w:t>Entity</w:t>
      </w:r>
      <w:r>
        <w:rPr>
          <w:color w:val="211F1F"/>
          <w:spacing w:val="-14"/>
          <w:sz w:val="24"/>
        </w:rPr>
        <w:t xml:space="preserve"> </w:t>
      </w:r>
      <w:r>
        <w:rPr>
          <w:color w:val="211F1F"/>
          <w:sz w:val="24"/>
        </w:rPr>
        <w:t>who</w:t>
      </w:r>
      <w:r>
        <w:rPr>
          <w:color w:val="211F1F"/>
          <w:spacing w:val="-1"/>
          <w:sz w:val="24"/>
        </w:rPr>
        <w:t xml:space="preserve"> </w:t>
      </w:r>
      <w:r>
        <w:rPr>
          <w:color w:val="211F1F"/>
          <w:sz w:val="24"/>
        </w:rPr>
        <w:t>has</w:t>
      </w:r>
      <w:r>
        <w:rPr>
          <w:color w:val="211F1F"/>
          <w:spacing w:val="-8"/>
          <w:sz w:val="24"/>
        </w:rPr>
        <w:t xml:space="preserve"> </w:t>
      </w:r>
      <w:r>
        <w:rPr>
          <w:color w:val="211F1F"/>
          <w:sz w:val="24"/>
        </w:rPr>
        <w:t>the</w:t>
      </w:r>
      <w:r>
        <w:rPr>
          <w:color w:val="211F1F"/>
          <w:spacing w:val="-6"/>
          <w:sz w:val="24"/>
        </w:rPr>
        <w:t xml:space="preserve"> </w:t>
      </w:r>
      <w:r>
        <w:rPr>
          <w:color w:val="211F1F"/>
          <w:sz w:val="24"/>
        </w:rPr>
        <w:t>ability</w:t>
      </w:r>
      <w:r>
        <w:rPr>
          <w:color w:val="211F1F"/>
          <w:spacing w:val="-10"/>
          <w:sz w:val="24"/>
        </w:rPr>
        <w:t xml:space="preserve"> </w:t>
      </w:r>
      <w:r>
        <w:rPr>
          <w:color w:val="211F1F"/>
          <w:sz w:val="24"/>
        </w:rPr>
        <w:t>to</w:t>
      </w:r>
      <w:r>
        <w:rPr>
          <w:color w:val="211F1F"/>
          <w:spacing w:val="-1"/>
          <w:sz w:val="24"/>
        </w:rPr>
        <w:t xml:space="preserve"> </w:t>
      </w:r>
      <w:r>
        <w:rPr>
          <w:color w:val="211F1F"/>
          <w:sz w:val="24"/>
        </w:rPr>
        <w:t>influence</w:t>
      </w:r>
      <w:r>
        <w:rPr>
          <w:color w:val="211F1F"/>
          <w:spacing w:val="-6"/>
          <w:sz w:val="24"/>
        </w:rPr>
        <w:t xml:space="preserve"> </w:t>
      </w:r>
      <w:r>
        <w:rPr>
          <w:color w:val="211F1F"/>
          <w:sz w:val="24"/>
        </w:rPr>
        <w:t>the bidding process and:</w:t>
      </w:r>
    </w:p>
    <w:p w14:paraId="70B95560" w14:textId="77777777" w:rsidR="00BB77C0" w:rsidRDefault="00370BAA">
      <w:pPr>
        <w:pStyle w:val="ListParagraph"/>
        <w:numPr>
          <w:ilvl w:val="3"/>
          <w:numId w:val="109"/>
        </w:numPr>
        <w:tabs>
          <w:tab w:val="left" w:pos="2879"/>
          <w:tab w:val="left" w:pos="2881"/>
        </w:tabs>
        <w:spacing w:before="250" w:line="237" w:lineRule="auto"/>
        <w:ind w:right="605"/>
        <w:rPr>
          <w:sz w:val="24"/>
        </w:rPr>
      </w:pPr>
      <w:r>
        <w:rPr>
          <w:color w:val="211F1F"/>
          <w:sz w:val="24"/>
        </w:rPr>
        <w:t>are</w:t>
      </w:r>
      <w:r>
        <w:rPr>
          <w:color w:val="211F1F"/>
          <w:spacing w:val="-8"/>
          <w:sz w:val="24"/>
        </w:rPr>
        <w:t xml:space="preserve"> </w:t>
      </w:r>
      <w:r>
        <w:rPr>
          <w:color w:val="211F1F"/>
          <w:sz w:val="24"/>
        </w:rPr>
        <w:t>directly</w:t>
      </w:r>
      <w:r>
        <w:rPr>
          <w:color w:val="211F1F"/>
          <w:spacing w:val="-11"/>
          <w:sz w:val="24"/>
        </w:rPr>
        <w:t xml:space="preserve"> </w:t>
      </w:r>
      <w:r>
        <w:rPr>
          <w:color w:val="211F1F"/>
          <w:sz w:val="24"/>
        </w:rPr>
        <w:t>or</w:t>
      </w:r>
      <w:r>
        <w:rPr>
          <w:color w:val="211F1F"/>
          <w:spacing w:val="-6"/>
          <w:sz w:val="24"/>
        </w:rPr>
        <w:t xml:space="preserve"> </w:t>
      </w:r>
      <w:r>
        <w:rPr>
          <w:color w:val="211F1F"/>
          <w:sz w:val="24"/>
        </w:rPr>
        <w:t>indirectly</w:t>
      </w:r>
      <w:r>
        <w:rPr>
          <w:color w:val="211F1F"/>
          <w:spacing w:val="-10"/>
          <w:sz w:val="24"/>
        </w:rPr>
        <w:t xml:space="preserve"> </w:t>
      </w:r>
      <w:r>
        <w:rPr>
          <w:color w:val="211F1F"/>
          <w:sz w:val="24"/>
        </w:rPr>
        <w:t>involved</w:t>
      </w:r>
      <w:r>
        <w:rPr>
          <w:color w:val="211F1F"/>
          <w:spacing w:val="-2"/>
          <w:sz w:val="24"/>
        </w:rPr>
        <w:t xml:space="preserve"> </w:t>
      </w:r>
      <w:r>
        <w:rPr>
          <w:color w:val="211F1F"/>
          <w:sz w:val="24"/>
        </w:rPr>
        <w:t>in</w:t>
      </w:r>
      <w:r>
        <w:rPr>
          <w:color w:val="211F1F"/>
          <w:spacing w:val="-12"/>
          <w:sz w:val="24"/>
        </w:rPr>
        <w:t xml:space="preserve"> </w:t>
      </w:r>
      <w:r>
        <w:rPr>
          <w:color w:val="211F1F"/>
          <w:sz w:val="24"/>
        </w:rPr>
        <w:t>the</w:t>
      </w:r>
      <w:r>
        <w:rPr>
          <w:color w:val="211F1F"/>
          <w:spacing w:val="-8"/>
          <w:sz w:val="24"/>
        </w:rPr>
        <w:t xml:space="preserve"> </w:t>
      </w:r>
      <w:r>
        <w:rPr>
          <w:color w:val="211F1F"/>
          <w:sz w:val="24"/>
        </w:rPr>
        <w:t>preparation</w:t>
      </w:r>
      <w:r>
        <w:rPr>
          <w:color w:val="211F1F"/>
          <w:spacing w:val="-10"/>
          <w:sz w:val="24"/>
        </w:rPr>
        <w:t xml:space="preserve"> </w:t>
      </w:r>
      <w:r>
        <w:rPr>
          <w:color w:val="211F1F"/>
          <w:sz w:val="24"/>
        </w:rPr>
        <w:t>of</w:t>
      </w:r>
      <w:r>
        <w:rPr>
          <w:color w:val="211F1F"/>
          <w:spacing w:val="-14"/>
          <w:sz w:val="24"/>
        </w:rPr>
        <w:t xml:space="preserve"> </w:t>
      </w:r>
      <w:r>
        <w:rPr>
          <w:color w:val="211F1F"/>
          <w:sz w:val="24"/>
        </w:rPr>
        <w:t>the</w:t>
      </w:r>
      <w:r>
        <w:rPr>
          <w:color w:val="211F1F"/>
          <w:spacing w:val="-8"/>
          <w:sz w:val="24"/>
        </w:rPr>
        <w:t xml:space="preserve"> </w:t>
      </w:r>
      <w:r>
        <w:rPr>
          <w:color w:val="211F1F"/>
          <w:sz w:val="24"/>
        </w:rPr>
        <w:t>Tender document or specifications of the Contract, and/or the Tender evaluation process of such contract; or</w:t>
      </w:r>
    </w:p>
    <w:p w14:paraId="110D33AC" w14:textId="77777777" w:rsidR="00BB77C0" w:rsidRDefault="00370BAA">
      <w:pPr>
        <w:pStyle w:val="ListParagraph"/>
        <w:numPr>
          <w:ilvl w:val="3"/>
          <w:numId w:val="109"/>
        </w:numPr>
        <w:tabs>
          <w:tab w:val="left" w:pos="2879"/>
          <w:tab w:val="left" w:pos="2881"/>
        </w:tabs>
        <w:spacing w:before="253"/>
        <w:ind w:right="76"/>
        <w:rPr>
          <w:sz w:val="24"/>
        </w:rPr>
      </w:pPr>
      <w:r>
        <w:rPr>
          <w:color w:val="211F1F"/>
          <w:sz w:val="24"/>
        </w:rPr>
        <w:t>may</w:t>
      </w:r>
      <w:r>
        <w:rPr>
          <w:color w:val="211F1F"/>
          <w:spacing w:val="-6"/>
          <w:sz w:val="24"/>
        </w:rPr>
        <w:t xml:space="preserve"> </w:t>
      </w:r>
      <w:r>
        <w:rPr>
          <w:color w:val="211F1F"/>
          <w:sz w:val="24"/>
        </w:rPr>
        <w:t>be</w:t>
      </w:r>
      <w:r>
        <w:rPr>
          <w:color w:val="211F1F"/>
          <w:spacing w:val="-3"/>
          <w:sz w:val="24"/>
        </w:rPr>
        <w:t xml:space="preserve"> </w:t>
      </w:r>
      <w:r>
        <w:rPr>
          <w:color w:val="211F1F"/>
          <w:sz w:val="24"/>
        </w:rPr>
        <w:t>involved</w:t>
      </w:r>
      <w:r>
        <w:rPr>
          <w:color w:val="211F1F"/>
          <w:spacing w:val="-1"/>
          <w:sz w:val="24"/>
        </w:rPr>
        <w:t xml:space="preserve"> </w:t>
      </w:r>
      <w:r>
        <w:rPr>
          <w:color w:val="211F1F"/>
          <w:sz w:val="24"/>
        </w:rPr>
        <w:t>in</w:t>
      </w:r>
      <w:r>
        <w:rPr>
          <w:color w:val="211F1F"/>
          <w:spacing w:val="-11"/>
          <w:sz w:val="24"/>
        </w:rPr>
        <w:t xml:space="preserve"> </w:t>
      </w:r>
      <w:r>
        <w:rPr>
          <w:color w:val="211F1F"/>
          <w:sz w:val="24"/>
        </w:rPr>
        <w:t>the</w:t>
      </w:r>
      <w:r>
        <w:rPr>
          <w:color w:val="211F1F"/>
          <w:spacing w:val="-3"/>
          <w:sz w:val="24"/>
        </w:rPr>
        <w:t xml:space="preserve"> </w:t>
      </w:r>
      <w:r>
        <w:rPr>
          <w:color w:val="211F1F"/>
          <w:sz w:val="24"/>
        </w:rPr>
        <w:t>implementation</w:t>
      </w:r>
      <w:r>
        <w:rPr>
          <w:color w:val="211F1F"/>
          <w:spacing w:val="-9"/>
          <w:sz w:val="24"/>
        </w:rPr>
        <w:t xml:space="preserve"> </w:t>
      </w:r>
      <w:r>
        <w:rPr>
          <w:color w:val="211F1F"/>
          <w:sz w:val="24"/>
        </w:rPr>
        <w:t>or</w:t>
      </w:r>
      <w:r>
        <w:rPr>
          <w:color w:val="211F1F"/>
          <w:spacing w:val="-5"/>
          <w:sz w:val="24"/>
        </w:rPr>
        <w:t xml:space="preserve"> </w:t>
      </w:r>
      <w:r>
        <w:rPr>
          <w:color w:val="211F1F"/>
          <w:sz w:val="24"/>
        </w:rPr>
        <w:t>supervision</w:t>
      </w:r>
      <w:r>
        <w:rPr>
          <w:color w:val="211F1F"/>
          <w:spacing w:val="-11"/>
          <w:sz w:val="24"/>
        </w:rPr>
        <w:t xml:space="preserve"> </w:t>
      </w:r>
      <w:r>
        <w:rPr>
          <w:color w:val="211F1F"/>
          <w:sz w:val="24"/>
        </w:rPr>
        <w:t>of</w:t>
      </w:r>
      <w:r>
        <w:rPr>
          <w:color w:val="211F1F"/>
          <w:spacing w:val="-10"/>
          <w:sz w:val="24"/>
        </w:rPr>
        <w:t xml:space="preserve"> </w:t>
      </w:r>
      <w:r>
        <w:rPr>
          <w:color w:val="211F1F"/>
          <w:sz w:val="24"/>
        </w:rPr>
        <w:t>such</w:t>
      </w:r>
      <w:r>
        <w:rPr>
          <w:color w:val="211F1F"/>
          <w:spacing w:val="-11"/>
          <w:sz w:val="24"/>
        </w:rPr>
        <w:t xml:space="preserve"> </w:t>
      </w:r>
      <w:r>
        <w:rPr>
          <w:color w:val="211F1F"/>
          <w:sz w:val="24"/>
        </w:rPr>
        <w:t>Contract unless the conflict stemming from</w:t>
      </w:r>
      <w:r>
        <w:rPr>
          <w:color w:val="211F1F"/>
          <w:spacing w:val="-5"/>
          <w:sz w:val="24"/>
        </w:rPr>
        <w:t xml:space="preserve"> </w:t>
      </w:r>
      <w:r>
        <w:rPr>
          <w:color w:val="211F1F"/>
          <w:sz w:val="24"/>
        </w:rPr>
        <w:t>such</w:t>
      </w:r>
      <w:r>
        <w:rPr>
          <w:color w:val="211F1F"/>
          <w:spacing w:val="-1"/>
          <w:sz w:val="24"/>
        </w:rPr>
        <w:t xml:space="preserve"> </w:t>
      </w:r>
      <w:r>
        <w:rPr>
          <w:color w:val="211F1F"/>
          <w:sz w:val="24"/>
        </w:rPr>
        <w:t>relationship has been</w:t>
      </w:r>
      <w:r>
        <w:rPr>
          <w:color w:val="211F1F"/>
          <w:spacing w:val="-1"/>
          <w:sz w:val="24"/>
        </w:rPr>
        <w:t xml:space="preserve"> </w:t>
      </w:r>
      <w:r>
        <w:rPr>
          <w:color w:val="211F1F"/>
          <w:sz w:val="24"/>
        </w:rPr>
        <w:t>resolved in a manner acceptable to the Procuring Entity throughout the tendering process and execution of the Contract.</w:t>
      </w:r>
    </w:p>
    <w:p w14:paraId="42840143" w14:textId="77777777" w:rsidR="00BB77C0" w:rsidRDefault="00BB77C0">
      <w:pPr>
        <w:pStyle w:val="ListParagraph"/>
        <w:rPr>
          <w:sz w:val="24"/>
        </w:rPr>
        <w:sectPr w:rsidR="00BB77C0">
          <w:pgSz w:w="11930" w:h="16870"/>
          <w:pgMar w:top="1340" w:right="1080" w:bottom="280" w:left="1080" w:header="720" w:footer="720" w:gutter="0"/>
          <w:cols w:space="720"/>
        </w:sectPr>
      </w:pPr>
    </w:p>
    <w:p w14:paraId="5D312E85" w14:textId="77777777" w:rsidR="00BB77C0" w:rsidRDefault="00370BAA">
      <w:pPr>
        <w:pStyle w:val="ListParagraph"/>
        <w:numPr>
          <w:ilvl w:val="1"/>
          <w:numId w:val="109"/>
        </w:numPr>
        <w:tabs>
          <w:tab w:val="left" w:pos="1441"/>
        </w:tabs>
        <w:spacing w:before="75" w:line="261" w:lineRule="auto"/>
        <w:ind w:right="554"/>
        <w:jc w:val="left"/>
        <w:rPr>
          <w:sz w:val="24"/>
        </w:rPr>
      </w:pPr>
      <w:r>
        <w:rPr>
          <w:color w:val="211F1F"/>
          <w:sz w:val="24"/>
        </w:rPr>
        <w:lastRenderedPageBreak/>
        <w:t>A</w:t>
      </w:r>
      <w:r>
        <w:rPr>
          <w:color w:val="211F1F"/>
          <w:spacing w:val="40"/>
          <w:sz w:val="24"/>
        </w:rPr>
        <w:t xml:space="preserve"> </w:t>
      </w:r>
      <w:r>
        <w:rPr>
          <w:color w:val="211F1F"/>
          <w:sz w:val="24"/>
        </w:rPr>
        <w:t>tenderer shall not be involved incorrupt</w:t>
      </w:r>
      <w:r>
        <w:rPr>
          <w:sz w:val="24"/>
        </w:rPr>
        <w:t>, coercive, obstructive or fraudulent practice. A</w:t>
      </w:r>
      <w:r>
        <w:rPr>
          <w:spacing w:val="-12"/>
          <w:sz w:val="24"/>
        </w:rPr>
        <w:t xml:space="preserve"> </w:t>
      </w:r>
      <w:r>
        <w:rPr>
          <w:sz w:val="24"/>
        </w:rPr>
        <w:t>tenderer</w:t>
      </w:r>
      <w:r>
        <w:rPr>
          <w:spacing w:val="-4"/>
          <w:sz w:val="24"/>
        </w:rPr>
        <w:t xml:space="preserve"> </w:t>
      </w:r>
      <w:r>
        <w:rPr>
          <w:sz w:val="24"/>
        </w:rPr>
        <w:t>that</w:t>
      </w:r>
      <w:r>
        <w:rPr>
          <w:spacing w:val="-1"/>
          <w:sz w:val="24"/>
        </w:rPr>
        <w:t xml:space="preserve"> </w:t>
      </w:r>
      <w:r>
        <w:rPr>
          <w:sz w:val="24"/>
        </w:rPr>
        <w:t>is</w:t>
      </w:r>
      <w:r>
        <w:rPr>
          <w:spacing w:val="-9"/>
          <w:sz w:val="24"/>
        </w:rPr>
        <w:t xml:space="preserve"> </w:t>
      </w:r>
      <w:r>
        <w:rPr>
          <w:sz w:val="24"/>
        </w:rPr>
        <w:t>proven</w:t>
      </w:r>
      <w:r>
        <w:rPr>
          <w:spacing w:val="-11"/>
          <w:sz w:val="24"/>
        </w:rPr>
        <w:t xml:space="preserve"> </w:t>
      </w:r>
      <w:r>
        <w:rPr>
          <w:sz w:val="24"/>
        </w:rPr>
        <w:t>to</w:t>
      </w:r>
      <w:r>
        <w:rPr>
          <w:spacing w:val="-2"/>
          <w:sz w:val="24"/>
        </w:rPr>
        <w:t xml:space="preserve"> </w:t>
      </w:r>
      <w:r>
        <w:rPr>
          <w:color w:val="211F1F"/>
          <w:sz w:val="24"/>
        </w:rPr>
        <w:t>have</w:t>
      </w:r>
      <w:r>
        <w:rPr>
          <w:color w:val="211F1F"/>
          <w:spacing w:val="-3"/>
          <w:sz w:val="24"/>
        </w:rPr>
        <w:t xml:space="preserve"> </w:t>
      </w:r>
      <w:r>
        <w:rPr>
          <w:color w:val="211F1F"/>
          <w:sz w:val="24"/>
        </w:rPr>
        <w:t>been</w:t>
      </w:r>
      <w:r>
        <w:rPr>
          <w:color w:val="211F1F"/>
          <w:spacing w:val="-6"/>
          <w:sz w:val="24"/>
        </w:rPr>
        <w:t xml:space="preserve"> </w:t>
      </w:r>
      <w:r>
        <w:rPr>
          <w:color w:val="211F1F"/>
          <w:sz w:val="24"/>
        </w:rPr>
        <w:t>involved</w:t>
      </w:r>
      <w:r>
        <w:rPr>
          <w:color w:val="211F1F"/>
          <w:spacing w:val="-1"/>
          <w:sz w:val="24"/>
        </w:rPr>
        <w:t xml:space="preserve"> </w:t>
      </w:r>
      <w:r>
        <w:rPr>
          <w:color w:val="211F1F"/>
          <w:sz w:val="24"/>
        </w:rPr>
        <w:t>in</w:t>
      </w:r>
      <w:r>
        <w:rPr>
          <w:color w:val="211F1F"/>
          <w:spacing w:val="-7"/>
          <w:sz w:val="24"/>
        </w:rPr>
        <w:t xml:space="preserve"> </w:t>
      </w:r>
      <w:r>
        <w:rPr>
          <w:color w:val="211F1F"/>
          <w:sz w:val="24"/>
        </w:rPr>
        <w:t>any</w:t>
      </w:r>
      <w:r>
        <w:rPr>
          <w:color w:val="211F1F"/>
          <w:spacing w:val="-11"/>
          <w:sz w:val="24"/>
        </w:rPr>
        <w:t xml:space="preserve"> </w:t>
      </w:r>
      <w:r>
        <w:rPr>
          <w:color w:val="211F1F"/>
          <w:sz w:val="24"/>
        </w:rPr>
        <w:t>of</w:t>
      </w:r>
      <w:r>
        <w:rPr>
          <w:color w:val="211F1F"/>
          <w:spacing w:val="-15"/>
          <w:sz w:val="24"/>
        </w:rPr>
        <w:t xml:space="preserve"> </w:t>
      </w:r>
      <w:r>
        <w:rPr>
          <w:color w:val="211F1F"/>
          <w:sz w:val="24"/>
        </w:rPr>
        <w:t>these</w:t>
      </w:r>
      <w:r>
        <w:rPr>
          <w:color w:val="211F1F"/>
          <w:spacing w:val="-7"/>
          <w:sz w:val="24"/>
        </w:rPr>
        <w:t xml:space="preserve"> </w:t>
      </w:r>
      <w:r>
        <w:rPr>
          <w:color w:val="211F1F"/>
          <w:sz w:val="24"/>
        </w:rPr>
        <w:t>practices shall be automatically disqualified.</w:t>
      </w:r>
    </w:p>
    <w:p w14:paraId="42D29396" w14:textId="77777777" w:rsidR="00BB77C0" w:rsidRDefault="00370BAA">
      <w:pPr>
        <w:pStyle w:val="ListParagraph"/>
        <w:numPr>
          <w:ilvl w:val="1"/>
          <w:numId w:val="109"/>
        </w:numPr>
        <w:tabs>
          <w:tab w:val="left" w:pos="1441"/>
        </w:tabs>
        <w:spacing w:before="154" w:line="259" w:lineRule="auto"/>
        <w:ind w:right="33"/>
        <w:jc w:val="left"/>
        <w:rPr>
          <w:sz w:val="24"/>
        </w:rPr>
      </w:pPr>
      <w:r>
        <w:rPr>
          <w:color w:val="211F1F"/>
          <w:sz w:val="24"/>
        </w:rPr>
        <w:t>A Tenderer (either individually or as a JV member) shall not participate in more than one Tender, except for permitted alternative tenders. This includes participation as a subcontractor</w:t>
      </w:r>
      <w:r>
        <w:rPr>
          <w:color w:val="211F1F"/>
          <w:spacing w:val="-5"/>
          <w:sz w:val="24"/>
        </w:rPr>
        <w:t xml:space="preserve"> </w:t>
      </w:r>
      <w:r>
        <w:rPr>
          <w:color w:val="211F1F"/>
          <w:sz w:val="24"/>
        </w:rPr>
        <w:t>in</w:t>
      </w:r>
      <w:r>
        <w:rPr>
          <w:color w:val="211F1F"/>
          <w:spacing w:val="-12"/>
          <w:sz w:val="24"/>
        </w:rPr>
        <w:t xml:space="preserve"> </w:t>
      </w:r>
      <w:r>
        <w:rPr>
          <w:color w:val="211F1F"/>
          <w:sz w:val="24"/>
        </w:rPr>
        <w:t>other</w:t>
      </w:r>
      <w:r>
        <w:rPr>
          <w:color w:val="211F1F"/>
          <w:spacing w:val="-5"/>
          <w:sz w:val="24"/>
        </w:rPr>
        <w:t xml:space="preserve"> </w:t>
      </w:r>
      <w:r>
        <w:rPr>
          <w:color w:val="211F1F"/>
          <w:sz w:val="24"/>
        </w:rPr>
        <w:t>Tenders.</w:t>
      </w:r>
      <w:r>
        <w:rPr>
          <w:color w:val="211F1F"/>
          <w:spacing w:val="-5"/>
          <w:sz w:val="24"/>
        </w:rPr>
        <w:t xml:space="preserve"> </w:t>
      </w:r>
      <w:r>
        <w:rPr>
          <w:color w:val="211F1F"/>
          <w:sz w:val="24"/>
        </w:rPr>
        <w:t>Such</w:t>
      </w:r>
      <w:r>
        <w:rPr>
          <w:color w:val="211F1F"/>
          <w:spacing w:val="-11"/>
          <w:sz w:val="24"/>
        </w:rPr>
        <w:t xml:space="preserve"> </w:t>
      </w:r>
      <w:r>
        <w:rPr>
          <w:color w:val="211F1F"/>
          <w:sz w:val="24"/>
        </w:rPr>
        <w:t>participation</w:t>
      </w:r>
      <w:r>
        <w:rPr>
          <w:color w:val="211F1F"/>
          <w:spacing w:val="-6"/>
          <w:sz w:val="24"/>
        </w:rPr>
        <w:t xml:space="preserve"> </w:t>
      </w:r>
      <w:r>
        <w:rPr>
          <w:color w:val="211F1F"/>
          <w:sz w:val="24"/>
        </w:rPr>
        <w:t>shall</w:t>
      </w:r>
      <w:r>
        <w:rPr>
          <w:color w:val="211F1F"/>
          <w:spacing w:val="-10"/>
          <w:sz w:val="24"/>
        </w:rPr>
        <w:t xml:space="preserve"> </w:t>
      </w:r>
      <w:r>
        <w:rPr>
          <w:color w:val="211F1F"/>
          <w:sz w:val="24"/>
        </w:rPr>
        <w:t>result in</w:t>
      </w:r>
      <w:r>
        <w:rPr>
          <w:color w:val="211F1F"/>
          <w:spacing w:val="-12"/>
          <w:sz w:val="24"/>
        </w:rPr>
        <w:t xml:space="preserve"> </w:t>
      </w:r>
      <w:r>
        <w:rPr>
          <w:color w:val="211F1F"/>
          <w:sz w:val="24"/>
        </w:rPr>
        <w:t>the</w:t>
      </w:r>
      <w:r>
        <w:rPr>
          <w:color w:val="211F1F"/>
          <w:spacing w:val="-8"/>
          <w:sz w:val="24"/>
        </w:rPr>
        <w:t xml:space="preserve"> </w:t>
      </w:r>
      <w:r>
        <w:rPr>
          <w:color w:val="211F1F"/>
          <w:sz w:val="24"/>
        </w:rPr>
        <w:t>disqualification</w:t>
      </w:r>
      <w:r>
        <w:rPr>
          <w:color w:val="211F1F"/>
          <w:spacing w:val="-9"/>
          <w:sz w:val="24"/>
        </w:rPr>
        <w:t xml:space="preserve"> </w:t>
      </w:r>
      <w:r>
        <w:rPr>
          <w:color w:val="211F1F"/>
          <w:sz w:val="24"/>
        </w:rPr>
        <w:t>of all</w:t>
      </w:r>
      <w:r>
        <w:rPr>
          <w:color w:val="211F1F"/>
          <w:spacing w:val="-1"/>
          <w:sz w:val="24"/>
        </w:rPr>
        <w:t xml:space="preserve"> </w:t>
      </w:r>
      <w:r>
        <w:rPr>
          <w:color w:val="211F1F"/>
          <w:sz w:val="24"/>
        </w:rPr>
        <w:t>Tenders in which the firm is involved. Members of a joint venture may not also make</w:t>
      </w:r>
      <w:r>
        <w:rPr>
          <w:color w:val="211F1F"/>
          <w:spacing w:val="-5"/>
          <w:sz w:val="24"/>
        </w:rPr>
        <w:t xml:space="preserve"> </w:t>
      </w:r>
      <w:r>
        <w:rPr>
          <w:color w:val="211F1F"/>
          <w:sz w:val="24"/>
        </w:rPr>
        <w:t>an individual</w:t>
      </w:r>
      <w:r>
        <w:rPr>
          <w:color w:val="211F1F"/>
          <w:spacing w:val="-8"/>
          <w:sz w:val="24"/>
        </w:rPr>
        <w:t xml:space="preserve"> </w:t>
      </w:r>
      <w:r>
        <w:rPr>
          <w:color w:val="211F1F"/>
          <w:sz w:val="24"/>
        </w:rPr>
        <w:t>tender, be</w:t>
      </w:r>
      <w:r>
        <w:rPr>
          <w:color w:val="211F1F"/>
          <w:spacing w:val="-6"/>
          <w:sz w:val="24"/>
        </w:rPr>
        <w:t xml:space="preserve"> </w:t>
      </w:r>
      <w:r>
        <w:rPr>
          <w:color w:val="211F1F"/>
          <w:sz w:val="24"/>
        </w:rPr>
        <w:t>a</w:t>
      </w:r>
      <w:r>
        <w:rPr>
          <w:color w:val="211F1F"/>
          <w:spacing w:val="-5"/>
          <w:sz w:val="24"/>
        </w:rPr>
        <w:t xml:space="preserve"> </w:t>
      </w:r>
      <w:r>
        <w:rPr>
          <w:color w:val="211F1F"/>
          <w:sz w:val="24"/>
        </w:rPr>
        <w:t>subcontractor</w:t>
      </w:r>
      <w:r>
        <w:rPr>
          <w:color w:val="211F1F"/>
          <w:spacing w:val="-1"/>
          <w:sz w:val="24"/>
        </w:rPr>
        <w:t xml:space="preserve"> </w:t>
      </w:r>
      <w:r>
        <w:rPr>
          <w:color w:val="211F1F"/>
          <w:sz w:val="24"/>
        </w:rPr>
        <w:t>in</w:t>
      </w:r>
      <w:r>
        <w:rPr>
          <w:color w:val="211F1F"/>
          <w:spacing w:val="-5"/>
          <w:sz w:val="24"/>
        </w:rPr>
        <w:t xml:space="preserve"> </w:t>
      </w:r>
      <w:r>
        <w:rPr>
          <w:color w:val="211F1F"/>
          <w:sz w:val="24"/>
        </w:rPr>
        <w:t>a</w:t>
      </w:r>
      <w:r>
        <w:rPr>
          <w:color w:val="211F1F"/>
          <w:spacing w:val="-1"/>
          <w:sz w:val="24"/>
        </w:rPr>
        <w:t xml:space="preserve"> </w:t>
      </w:r>
      <w:r>
        <w:rPr>
          <w:color w:val="211F1F"/>
          <w:sz w:val="24"/>
        </w:rPr>
        <w:t>separate</w:t>
      </w:r>
      <w:r>
        <w:rPr>
          <w:color w:val="211F1F"/>
          <w:spacing w:val="-5"/>
          <w:sz w:val="24"/>
        </w:rPr>
        <w:t xml:space="preserve"> </w:t>
      </w:r>
      <w:r>
        <w:rPr>
          <w:color w:val="211F1F"/>
          <w:sz w:val="24"/>
        </w:rPr>
        <w:t>tender</w:t>
      </w:r>
      <w:r>
        <w:rPr>
          <w:color w:val="211F1F"/>
          <w:spacing w:val="-8"/>
          <w:sz w:val="24"/>
        </w:rPr>
        <w:t xml:space="preserve"> </w:t>
      </w:r>
      <w:r>
        <w:rPr>
          <w:color w:val="211F1F"/>
          <w:sz w:val="24"/>
        </w:rPr>
        <w:t>or</w:t>
      </w:r>
      <w:r>
        <w:rPr>
          <w:color w:val="211F1F"/>
          <w:spacing w:val="-3"/>
          <w:sz w:val="24"/>
        </w:rPr>
        <w:t xml:space="preserve"> </w:t>
      </w:r>
      <w:r>
        <w:rPr>
          <w:color w:val="211F1F"/>
          <w:sz w:val="24"/>
        </w:rPr>
        <w:t>be</w:t>
      </w:r>
      <w:r>
        <w:rPr>
          <w:color w:val="211F1F"/>
          <w:spacing w:val="-6"/>
          <w:sz w:val="24"/>
        </w:rPr>
        <w:t xml:space="preserve"> </w:t>
      </w:r>
      <w:r>
        <w:rPr>
          <w:color w:val="211F1F"/>
          <w:sz w:val="24"/>
        </w:rPr>
        <w:t>part</w:t>
      </w:r>
      <w:r>
        <w:rPr>
          <w:color w:val="211F1F"/>
          <w:spacing w:val="-4"/>
          <w:sz w:val="24"/>
        </w:rPr>
        <w:t xml:space="preserve"> </w:t>
      </w:r>
      <w:r>
        <w:rPr>
          <w:color w:val="211F1F"/>
          <w:sz w:val="24"/>
        </w:rPr>
        <w:t>of</w:t>
      </w:r>
      <w:r>
        <w:rPr>
          <w:color w:val="211F1F"/>
          <w:spacing w:val="-12"/>
          <w:sz w:val="24"/>
        </w:rPr>
        <w:t xml:space="preserve"> </w:t>
      </w:r>
      <w:r>
        <w:rPr>
          <w:color w:val="211F1F"/>
          <w:sz w:val="24"/>
        </w:rPr>
        <w:t>another joint venture</w:t>
      </w:r>
      <w:r>
        <w:rPr>
          <w:color w:val="211F1F"/>
          <w:spacing w:val="-1"/>
          <w:sz w:val="24"/>
        </w:rPr>
        <w:t xml:space="preserve"> </w:t>
      </w:r>
      <w:r>
        <w:rPr>
          <w:color w:val="211F1F"/>
          <w:sz w:val="24"/>
        </w:rPr>
        <w:t>for</w:t>
      </w:r>
      <w:r>
        <w:rPr>
          <w:color w:val="211F1F"/>
          <w:spacing w:val="-3"/>
          <w:sz w:val="24"/>
        </w:rPr>
        <w:t xml:space="preserve"> </w:t>
      </w:r>
      <w:r>
        <w:rPr>
          <w:color w:val="211F1F"/>
          <w:sz w:val="24"/>
        </w:rPr>
        <w:t>the</w:t>
      </w:r>
      <w:r>
        <w:rPr>
          <w:color w:val="211F1F"/>
          <w:spacing w:val="-1"/>
          <w:sz w:val="24"/>
        </w:rPr>
        <w:t xml:space="preserve"> </w:t>
      </w:r>
      <w:r>
        <w:rPr>
          <w:color w:val="211F1F"/>
          <w:sz w:val="24"/>
        </w:rPr>
        <w:t>purposes</w:t>
      </w:r>
      <w:r>
        <w:rPr>
          <w:color w:val="211F1F"/>
          <w:spacing w:val="-7"/>
          <w:sz w:val="24"/>
        </w:rPr>
        <w:t xml:space="preserve"> </w:t>
      </w:r>
      <w:r>
        <w:rPr>
          <w:color w:val="211F1F"/>
          <w:sz w:val="24"/>
        </w:rPr>
        <w:t>of</w:t>
      </w:r>
      <w:r>
        <w:rPr>
          <w:color w:val="211F1F"/>
          <w:spacing w:val="-8"/>
          <w:sz w:val="24"/>
        </w:rPr>
        <w:t xml:space="preserve"> </w:t>
      </w:r>
      <w:r>
        <w:rPr>
          <w:color w:val="211F1F"/>
          <w:sz w:val="24"/>
        </w:rPr>
        <w:t>the</w:t>
      </w:r>
      <w:r>
        <w:rPr>
          <w:color w:val="211F1F"/>
          <w:spacing w:val="-1"/>
          <w:sz w:val="24"/>
        </w:rPr>
        <w:t xml:space="preserve"> </w:t>
      </w:r>
      <w:r>
        <w:rPr>
          <w:color w:val="211F1F"/>
          <w:sz w:val="24"/>
        </w:rPr>
        <w:t>same</w:t>
      </w:r>
      <w:r>
        <w:rPr>
          <w:color w:val="211F1F"/>
          <w:spacing w:val="-1"/>
          <w:sz w:val="24"/>
        </w:rPr>
        <w:t xml:space="preserve"> </w:t>
      </w:r>
      <w:r>
        <w:rPr>
          <w:color w:val="211F1F"/>
          <w:sz w:val="24"/>
        </w:rPr>
        <w:t>Tender. A</w:t>
      </w:r>
      <w:r>
        <w:rPr>
          <w:color w:val="211F1F"/>
          <w:spacing w:val="-1"/>
          <w:sz w:val="24"/>
        </w:rPr>
        <w:t xml:space="preserve"> </w:t>
      </w:r>
      <w:r>
        <w:rPr>
          <w:color w:val="211F1F"/>
          <w:sz w:val="24"/>
        </w:rPr>
        <w:t>firm</w:t>
      </w:r>
      <w:r>
        <w:rPr>
          <w:color w:val="211F1F"/>
          <w:spacing w:val="-9"/>
          <w:sz w:val="24"/>
        </w:rPr>
        <w:t xml:space="preserve"> </w:t>
      </w:r>
      <w:r>
        <w:rPr>
          <w:color w:val="211F1F"/>
          <w:sz w:val="24"/>
        </w:rPr>
        <w:t>that is</w:t>
      </w:r>
      <w:r>
        <w:rPr>
          <w:color w:val="211F1F"/>
          <w:spacing w:val="-2"/>
          <w:sz w:val="24"/>
        </w:rPr>
        <w:t xml:space="preserve"> </w:t>
      </w:r>
      <w:r>
        <w:rPr>
          <w:color w:val="211F1F"/>
          <w:sz w:val="24"/>
        </w:rPr>
        <w:t>not a</w:t>
      </w:r>
      <w:r>
        <w:rPr>
          <w:color w:val="211F1F"/>
          <w:spacing w:val="-6"/>
          <w:sz w:val="24"/>
        </w:rPr>
        <w:t xml:space="preserve"> </w:t>
      </w:r>
      <w:r>
        <w:rPr>
          <w:color w:val="211F1F"/>
          <w:sz w:val="24"/>
        </w:rPr>
        <w:t>tenderer</w:t>
      </w:r>
      <w:r>
        <w:rPr>
          <w:color w:val="211F1F"/>
          <w:spacing w:val="-3"/>
          <w:sz w:val="24"/>
        </w:rPr>
        <w:t xml:space="preserve"> </w:t>
      </w:r>
      <w:r>
        <w:rPr>
          <w:color w:val="211F1F"/>
          <w:sz w:val="24"/>
        </w:rPr>
        <w:t>or a</w:t>
      </w:r>
      <w:r>
        <w:rPr>
          <w:color w:val="211F1F"/>
          <w:spacing w:val="-1"/>
          <w:sz w:val="24"/>
        </w:rPr>
        <w:t xml:space="preserve"> </w:t>
      </w:r>
      <w:r>
        <w:rPr>
          <w:color w:val="211F1F"/>
          <w:sz w:val="24"/>
        </w:rPr>
        <w:t>JV member may participate as a subcontractor in more than one tender.</w:t>
      </w:r>
    </w:p>
    <w:p w14:paraId="2374B138" w14:textId="77777777" w:rsidR="00BB77C0" w:rsidRDefault="00370BAA">
      <w:pPr>
        <w:pStyle w:val="ListParagraph"/>
        <w:numPr>
          <w:ilvl w:val="1"/>
          <w:numId w:val="109"/>
        </w:numPr>
        <w:tabs>
          <w:tab w:val="left" w:pos="1441"/>
        </w:tabs>
        <w:spacing w:before="156" w:line="259" w:lineRule="auto"/>
        <w:ind w:right="94"/>
        <w:jc w:val="left"/>
        <w:rPr>
          <w:sz w:val="24"/>
        </w:rPr>
      </w:pPr>
      <w:r>
        <w:rPr>
          <w:color w:val="211F1F"/>
          <w:sz w:val="24"/>
        </w:rPr>
        <w:t>A Tenderer may have the nationality of any country, subject to the restrictions pursuant to</w:t>
      </w:r>
      <w:r>
        <w:rPr>
          <w:color w:val="211F1F"/>
          <w:spacing w:val="-1"/>
          <w:sz w:val="24"/>
        </w:rPr>
        <w:t xml:space="preserve"> </w:t>
      </w:r>
      <w:r>
        <w:rPr>
          <w:color w:val="211F1F"/>
          <w:sz w:val="24"/>
        </w:rPr>
        <w:t>ITT3.9.</w:t>
      </w:r>
      <w:r>
        <w:rPr>
          <w:color w:val="211F1F"/>
          <w:spacing w:val="-2"/>
          <w:sz w:val="24"/>
        </w:rPr>
        <w:t xml:space="preserve"> </w:t>
      </w:r>
      <w:r>
        <w:rPr>
          <w:color w:val="211F1F"/>
          <w:sz w:val="24"/>
        </w:rPr>
        <w:t>A</w:t>
      </w:r>
      <w:r>
        <w:rPr>
          <w:color w:val="211F1F"/>
          <w:spacing w:val="-11"/>
          <w:sz w:val="24"/>
        </w:rPr>
        <w:t xml:space="preserve"> </w:t>
      </w:r>
      <w:r>
        <w:rPr>
          <w:color w:val="211F1F"/>
          <w:sz w:val="24"/>
        </w:rPr>
        <w:t>Tenderer</w:t>
      </w:r>
      <w:r>
        <w:rPr>
          <w:color w:val="211F1F"/>
          <w:spacing w:val="-3"/>
          <w:sz w:val="24"/>
        </w:rPr>
        <w:t xml:space="preserve"> </w:t>
      </w:r>
      <w:r>
        <w:rPr>
          <w:color w:val="211F1F"/>
          <w:sz w:val="24"/>
        </w:rPr>
        <w:t>shall</w:t>
      </w:r>
      <w:r>
        <w:rPr>
          <w:color w:val="211F1F"/>
          <w:spacing w:val="-4"/>
          <w:sz w:val="24"/>
        </w:rPr>
        <w:t xml:space="preserve"> </w:t>
      </w:r>
      <w:r>
        <w:rPr>
          <w:color w:val="211F1F"/>
          <w:sz w:val="24"/>
        </w:rPr>
        <w:t>be</w:t>
      </w:r>
      <w:r>
        <w:rPr>
          <w:color w:val="211F1F"/>
          <w:spacing w:val="-7"/>
          <w:sz w:val="24"/>
        </w:rPr>
        <w:t xml:space="preserve"> </w:t>
      </w:r>
      <w:r>
        <w:rPr>
          <w:color w:val="211F1F"/>
          <w:sz w:val="24"/>
        </w:rPr>
        <w:t>deemed to</w:t>
      </w:r>
      <w:r>
        <w:rPr>
          <w:color w:val="211F1F"/>
          <w:spacing w:val="-1"/>
          <w:sz w:val="24"/>
        </w:rPr>
        <w:t xml:space="preserve"> </w:t>
      </w:r>
      <w:r>
        <w:rPr>
          <w:color w:val="211F1F"/>
          <w:sz w:val="24"/>
        </w:rPr>
        <w:t>have</w:t>
      </w:r>
      <w:r>
        <w:rPr>
          <w:color w:val="211F1F"/>
          <w:spacing w:val="-6"/>
          <w:sz w:val="24"/>
        </w:rPr>
        <w:t xml:space="preserve"> </w:t>
      </w:r>
      <w:r>
        <w:rPr>
          <w:color w:val="211F1F"/>
          <w:sz w:val="24"/>
        </w:rPr>
        <w:t>the</w:t>
      </w:r>
      <w:r>
        <w:rPr>
          <w:color w:val="211F1F"/>
          <w:spacing w:val="-2"/>
          <w:sz w:val="24"/>
        </w:rPr>
        <w:t xml:space="preserve"> </w:t>
      </w:r>
      <w:r>
        <w:rPr>
          <w:color w:val="211F1F"/>
          <w:sz w:val="24"/>
        </w:rPr>
        <w:t>nationality</w:t>
      </w:r>
      <w:r>
        <w:rPr>
          <w:color w:val="211F1F"/>
          <w:spacing w:val="-9"/>
          <w:sz w:val="24"/>
        </w:rPr>
        <w:t xml:space="preserve"> </w:t>
      </w:r>
      <w:r>
        <w:rPr>
          <w:color w:val="211F1F"/>
          <w:sz w:val="24"/>
        </w:rPr>
        <w:t>of</w:t>
      </w:r>
      <w:r>
        <w:rPr>
          <w:color w:val="211F1F"/>
          <w:spacing w:val="-9"/>
          <w:sz w:val="24"/>
        </w:rPr>
        <w:t xml:space="preserve"> </w:t>
      </w:r>
      <w:r>
        <w:rPr>
          <w:color w:val="211F1F"/>
          <w:sz w:val="24"/>
        </w:rPr>
        <w:t>a</w:t>
      </w:r>
      <w:r>
        <w:rPr>
          <w:color w:val="211F1F"/>
          <w:spacing w:val="-7"/>
          <w:sz w:val="24"/>
        </w:rPr>
        <w:t xml:space="preserve"> </w:t>
      </w:r>
      <w:r>
        <w:rPr>
          <w:color w:val="211F1F"/>
          <w:sz w:val="24"/>
        </w:rPr>
        <w:t>country</w:t>
      </w:r>
      <w:r>
        <w:rPr>
          <w:color w:val="211F1F"/>
          <w:spacing w:val="-4"/>
          <w:sz w:val="24"/>
        </w:rPr>
        <w:t xml:space="preserve"> </w:t>
      </w:r>
      <w:r>
        <w:rPr>
          <w:color w:val="211F1F"/>
          <w:sz w:val="24"/>
        </w:rPr>
        <w:t>if the Tenderer is constituted, incorporated or registered in and operates inconformity with the provisions of the laws of that country, as evidenced by its articles of incorporation (or equivalent documents of constitution or association) and its registration documents, as the case may be. This criterion also shall apply to the determination</w:t>
      </w:r>
      <w:r>
        <w:rPr>
          <w:color w:val="211F1F"/>
          <w:spacing w:val="-3"/>
          <w:sz w:val="24"/>
        </w:rPr>
        <w:t xml:space="preserve"> </w:t>
      </w:r>
      <w:r>
        <w:rPr>
          <w:color w:val="211F1F"/>
          <w:sz w:val="24"/>
        </w:rPr>
        <w:t>of</w:t>
      </w:r>
      <w:r>
        <w:rPr>
          <w:color w:val="211F1F"/>
          <w:spacing w:val="-13"/>
          <w:sz w:val="24"/>
        </w:rPr>
        <w:t xml:space="preserve"> </w:t>
      </w:r>
      <w:r>
        <w:rPr>
          <w:color w:val="211F1F"/>
          <w:sz w:val="24"/>
        </w:rPr>
        <w:t>the</w:t>
      </w:r>
      <w:r>
        <w:rPr>
          <w:color w:val="211F1F"/>
          <w:spacing w:val="-5"/>
          <w:sz w:val="24"/>
        </w:rPr>
        <w:t xml:space="preserve"> </w:t>
      </w:r>
      <w:r>
        <w:rPr>
          <w:color w:val="211F1F"/>
          <w:sz w:val="24"/>
        </w:rPr>
        <w:t>nationality</w:t>
      </w:r>
      <w:r>
        <w:rPr>
          <w:color w:val="211F1F"/>
          <w:spacing w:val="-8"/>
          <w:sz w:val="24"/>
        </w:rPr>
        <w:t xml:space="preserve"> </w:t>
      </w:r>
      <w:r>
        <w:rPr>
          <w:color w:val="211F1F"/>
          <w:sz w:val="24"/>
        </w:rPr>
        <w:t>of</w:t>
      </w:r>
      <w:r>
        <w:rPr>
          <w:color w:val="211F1F"/>
          <w:spacing w:val="-13"/>
          <w:sz w:val="24"/>
        </w:rPr>
        <w:t xml:space="preserve"> </w:t>
      </w:r>
      <w:r>
        <w:rPr>
          <w:color w:val="211F1F"/>
          <w:sz w:val="24"/>
        </w:rPr>
        <w:t>proposed</w:t>
      </w:r>
      <w:r>
        <w:rPr>
          <w:color w:val="211F1F"/>
          <w:spacing w:val="-1"/>
          <w:sz w:val="24"/>
        </w:rPr>
        <w:t xml:space="preserve"> </w:t>
      </w:r>
      <w:r>
        <w:rPr>
          <w:color w:val="211F1F"/>
          <w:sz w:val="24"/>
        </w:rPr>
        <w:t>subcontractors</w:t>
      </w:r>
      <w:r>
        <w:rPr>
          <w:color w:val="211F1F"/>
          <w:spacing w:val="-5"/>
          <w:sz w:val="24"/>
        </w:rPr>
        <w:t xml:space="preserve"> </w:t>
      </w:r>
      <w:r>
        <w:rPr>
          <w:color w:val="211F1F"/>
          <w:sz w:val="24"/>
        </w:rPr>
        <w:t>or</w:t>
      </w:r>
      <w:r>
        <w:rPr>
          <w:color w:val="211F1F"/>
          <w:spacing w:val="-8"/>
          <w:sz w:val="24"/>
        </w:rPr>
        <w:t xml:space="preserve"> </w:t>
      </w:r>
      <w:r>
        <w:rPr>
          <w:color w:val="211F1F"/>
          <w:sz w:val="24"/>
        </w:rPr>
        <w:t>sub-consultants</w:t>
      </w:r>
      <w:r>
        <w:rPr>
          <w:color w:val="211F1F"/>
          <w:spacing w:val="-1"/>
          <w:sz w:val="24"/>
        </w:rPr>
        <w:t xml:space="preserve"> </w:t>
      </w:r>
      <w:r>
        <w:rPr>
          <w:color w:val="211F1F"/>
          <w:sz w:val="24"/>
        </w:rPr>
        <w:t>for</w:t>
      </w:r>
      <w:r>
        <w:rPr>
          <w:color w:val="211F1F"/>
          <w:spacing w:val="-2"/>
          <w:sz w:val="24"/>
        </w:rPr>
        <w:t xml:space="preserve"> </w:t>
      </w:r>
      <w:r>
        <w:rPr>
          <w:color w:val="211F1F"/>
          <w:sz w:val="24"/>
        </w:rPr>
        <w:t>any part of the Contract including related Services.</w:t>
      </w:r>
    </w:p>
    <w:p w14:paraId="4EBF6F02" w14:textId="77777777" w:rsidR="00BB77C0" w:rsidRDefault="00370BAA">
      <w:pPr>
        <w:pStyle w:val="ListParagraph"/>
        <w:numPr>
          <w:ilvl w:val="1"/>
          <w:numId w:val="109"/>
        </w:numPr>
        <w:tabs>
          <w:tab w:val="left" w:pos="1441"/>
        </w:tabs>
        <w:spacing w:before="156" w:line="261" w:lineRule="auto"/>
        <w:ind w:right="275"/>
        <w:jc w:val="left"/>
        <w:rPr>
          <w:sz w:val="24"/>
        </w:rPr>
      </w:pPr>
      <w:r>
        <w:rPr>
          <w:color w:val="211F1F"/>
          <w:sz w:val="24"/>
        </w:rPr>
        <w:t>A</w:t>
      </w:r>
      <w:r>
        <w:rPr>
          <w:color w:val="211F1F"/>
          <w:spacing w:val="-13"/>
          <w:sz w:val="24"/>
        </w:rPr>
        <w:t xml:space="preserve"> </w:t>
      </w:r>
      <w:r>
        <w:rPr>
          <w:color w:val="211F1F"/>
          <w:sz w:val="24"/>
        </w:rPr>
        <w:t>Tenderer</w:t>
      </w:r>
      <w:r>
        <w:rPr>
          <w:color w:val="211F1F"/>
          <w:spacing w:val="-6"/>
          <w:sz w:val="24"/>
        </w:rPr>
        <w:t xml:space="preserve"> </w:t>
      </w:r>
      <w:r>
        <w:rPr>
          <w:color w:val="211F1F"/>
          <w:sz w:val="24"/>
        </w:rPr>
        <w:t>that</w:t>
      </w:r>
      <w:r>
        <w:rPr>
          <w:color w:val="211F1F"/>
          <w:spacing w:val="-3"/>
          <w:sz w:val="24"/>
        </w:rPr>
        <w:t xml:space="preserve"> </w:t>
      </w:r>
      <w:r>
        <w:rPr>
          <w:color w:val="211F1F"/>
          <w:sz w:val="24"/>
        </w:rPr>
        <w:t>has</w:t>
      </w:r>
      <w:r>
        <w:rPr>
          <w:color w:val="211F1F"/>
          <w:spacing w:val="-9"/>
          <w:sz w:val="24"/>
        </w:rPr>
        <w:t xml:space="preserve"> </w:t>
      </w:r>
      <w:r>
        <w:rPr>
          <w:color w:val="211F1F"/>
          <w:sz w:val="24"/>
        </w:rPr>
        <w:t>been</w:t>
      </w:r>
      <w:r>
        <w:rPr>
          <w:color w:val="211F1F"/>
          <w:spacing w:val="-7"/>
          <w:sz w:val="24"/>
        </w:rPr>
        <w:t xml:space="preserve"> </w:t>
      </w:r>
      <w:r>
        <w:rPr>
          <w:color w:val="211F1F"/>
          <w:sz w:val="24"/>
        </w:rPr>
        <w:t>debarred</w:t>
      </w:r>
      <w:r>
        <w:rPr>
          <w:color w:val="211F1F"/>
          <w:spacing w:val="-3"/>
          <w:sz w:val="24"/>
        </w:rPr>
        <w:t xml:space="preserve"> </w:t>
      </w:r>
      <w:r>
        <w:rPr>
          <w:color w:val="211F1F"/>
          <w:sz w:val="24"/>
        </w:rPr>
        <w:t>from</w:t>
      </w:r>
      <w:r>
        <w:rPr>
          <w:color w:val="211F1F"/>
          <w:spacing w:val="-15"/>
          <w:sz w:val="24"/>
        </w:rPr>
        <w:t xml:space="preserve"> </w:t>
      </w:r>
      <w:r>
        <w:rPr>
          <w:color w:val="211F1F"/>
          <w:sz w:val="24"/>
        </w:rPr>
        <w:t>participating</w:t>
      </w:r>
      <w:r>
        <w:rPr>
          <w:color w:val="211F1F"/>
          <w:spacing w:val="-2"/>
          <w:sz w:val="24"/>
        </w:rPr>
        <w:t xml:space="preserve"> </w:t>
      </w:r>
      <w:r>
        <w:rPr>
          <w:color w:val="211F1F"/>
          <w:sz w:val="24"/>
        </w:rPr>
        <w:t>in</w:t>
      </w:r>
      <w:r>
        <w:rPr>
          <w:color w:val="211F1F"/>
          <w:spacing w:val="-7"/>
          <w:sz w:val="24"/>
        </w:rPr>
        <w:t xml:space="preserve"> </w:t>
      </w:r>
      <w:r>
        <w:rPr>
          <w:color w:val="211F1F"/>
          <w:sz w:val="24"/>
        </w:rPr>
        <w:t>public</w:t>
      </w:r>
      <w:r>
        <w:rPr>
          <w:color w:val="211F1F"/>
          <w:spacing w:val="-8"/>
          <w:sz w:val="24"/>
        </w:rPr>
        <w:t xml:space="preserve"> </w:t>
      </w:r>
      <w:r>
        <w:rPr>
          <w:color w:val="211F1F"/>
          <w:sz w:val="24"/>
        </w:rPr>
        <w:t>procurement</w:t>
      </w:r>
      <w:r>
        <w:rPr>
          <w:color w:val="211F1F"/>
          <w:spacing w:val="-2"/>
          <w:sz w:val="24"/>
        </w:rPr>
        <w:t xml:space="preserve"> </w:t>
      </w:r>
      <w:r>
        <w:rPr>
          <w:color w:val="211F1F"/>
          <w:sz w:val="24"/>
        </w:rPr>
        <w:t>shall</w:t>
      </w:r>
      <w:r>
        <w:rPr>
          <w:color w:val="211F1F"/>
          <w:spacing w:val="-6"/>
          <w:sz w:val="24"/>
        </w:rPr>
        <w:t xml:space="preserve"> </w:t>
      </w:r>
      <w:r>
        <w:rPr>
          <w:color w:val="211F1F"/>
          <w:sz w:val="24"/>
        </w:rPr>
        <w:t xml:space="preserve">be ineligible to tender or be awarded a contract. The list of debarred firms and individuals is available from the website of PPRA </w:t>
      </w:r>
      <w:hyperlink r:id="rId12">
        <w:r>
          <w:rPr>
            <w:color w:val="0000C4"/>
            <w:sz w:val="24"/>
            <w:u w:val="single" w:color="0000C4"/>
          </w:rPr>
          <w:t>www.ppra.go.ke</w:t>
        </w:r>
        <w:r>
          <w:rPr>
            <w:color w:val="211F1F"/>
            <w:sz w:val="24"/>
          </w:rPr>
          <w:t>.</w:t>
        </w:r>
      </w:hyperlink>
    </w:p>
    <w:p w14:paraId="21128C60" w14:textId="77777777" w:rsidR="00BB77C0" w:rsidRDefault="00370BAA">
      <w:pPr>
        <w:pStyle w:val="ListParagraph"/>
        <w:numPr>
          <w:ilvl w:val="1"/>
          <w:numId w:val="109"/>
        </w:numPr>
        <w:tabs>
          <w:tab w:val="left" w:pos="1441"/>
        </w:tabs>
        <w:spacing w:before="153" w:line="259" w:lineRule="auto"/>
        <w:ind w:right="420"/>
        <w:jc w:val="left"/>
        <w:rPr>
          <w:sz w:val="24"/>
        </w:rPr>
      </w:pPr>
      <w:r>
        <w:rPr>
          <w:color w:val="211F1F"/>
          <w:sz w:val="24"/>
        </w:rPr>
        <w:t>A</w:t>
      </w:r>
      <w:r>
        <w:rPr>
          <w:color w:val="211F1F"/>
          <w:spacing w:val="-12"/>
          <w:sz w:val="24"/>
        </w:rPr>
        <w:t xml:space="preserve"> </w:t>
      </w:r>
      <w:r>
        <w:rPr>
          <w:color w:val="211F1F"/>
          <w:sz w:val="24"/>
        </w:rPr>
        <w:t>Tenderer</w:t>
      </w:r>
      <w:r>
        <w:rPr>
          <w:color w:val="211F1F"/>
          <w:spacing w:val="-5"/>
          <w:sz w:val="24"/>
        </w:rPr>
        <w:t xml:space="preserve"> </w:t>
      </w:r>
      <w:r>
        <w:rPr>
          <w:color w:val="211F1F"/>
          <w:sz w:val="24"/>
        </w:rPr>
        <w:t>that</w:t>
      </w:r>
      <w:r>
        <w:rPr>
          <w:color w:val="211F1F"/>
          <w:spacing w:val="-2"/>
          <w:sz w:val="24"/>
        </w:rPr>
        <w:t xml:space="preserve"> </w:t>
      </w:r>
      <w:r>
        <w:rPr>
          <w:color w:val="211F1F"/>
          <w:sz w:val="24"/>
        </w:rPr>
        <w:t>is</w:t>
      </w:r>
      <w:r>
        <w:rPr>
          <w:color w:val="211F1F"/>
          <w:spacing w:val="-5"/>
          <w:sz w:val="24"/>
        </w:rPr>
        <w:t xml:space="preserve"> </w:t>
      </w:r>
      <w:r>
        <w:rPr>
          <w:color w:val="211F1F"/>
          <w:sz w:val="24"/>
        </w:rPr>
        <w:t>a</w:t>
      </w:r>
      <w:r>
        <w:rPr>
          <w:color w:val="211F1F"/>
          <w:spacing w:val="-9"/>
          <w:sz w:val="24"/>
        </w:rPr>
        <w:t xml:space="preserve"> </w:t>
      </w:r>
      <w:r>
        <w:rPr>
          <w:color w:val="211F1F"/>
          <w:sz w:val="24"/>
        </w:rPr>
        <w:t>state-owned</w:t>
      </w:r>
      <w:r>
        <w:rPr>
          <w:color w:val="211F1F"/>
          <w:spacing w:val="-2"/>
          <w:sz w:val="24"/>
        </w:rPr>
        <w:t xml:space="preserve"> </w:t>
      </w:r>
      <w:r>
        <w:rPr>
          <w:color w:val="211F1F"/>
          <w:sz w:val="24"/>
        </w:rPr>
        <w:t>enterprise</w:t>
      </w:r>
      <w:r>
        <w:rPr>
          <w:color w:val="211F1F"/>
          <w:spacing w:val="-8"/>
          <w:sz w:val="24"/>
        </w:rPr>
        <w:t xml:space="preserve"> </w:t>
      </w:r>
      <w:r>
        <w:rPr>
          <w:color w:val="211F1F"/>
          <w:sz w:val="24"/>
        </w:rPr>
        <w:t>or</w:t>
      </w:r>
      <w:r>
        <w:rPr>
          <w:color w:val="211F1F"/>
          <w:spacing w:val="-6"/>
          <w:sz w:val="24"/>
        </w:rPr>
        <w:t xml:space="preserve"> </w:t>
      </w:r>
      <w:r>
        <w:rPr>
          <w:color w:val="211F1F"/>
          <w:sz w:val="24"/>
        </w:rPr>
        <w:t>a</w:t>
      </w:r>
      <w:r>
        <w:rPr>
          <w:color w:val="211F1F"/>
          <w:spacing w:val="-9"/>
          <w:sz w:val="24"/>
        </w:rPr>
        <w:t xml:space="preserve"> </w:t>
      </w:r>
      <w:r>
        <w:rPr>
          <w:color w:val="211F1F"/>
          <w:sz w:val="24"/>
        </w:rPr>
        <w:t>public</w:t>
      </w:r>
      <w:r>
        <w:rPr>
          <w:color w:val="211F1F"/>
          <w:spacing w:val="-4"/>
          <w:sz w:val="24"/>
        </w:rPr>
        <w:t xml:space="preserve"> </w:t>
      </w:r>
      <w:r>
        <w:rPr>
          <w:color w:val="211F1F"/>
          <w:sz w:val="24"/>
        </w:rPr>
        <w:t>institution</w:t>
      </w:r>
      <w:r>
        <w:rPr>
          <w:color w:val="211F1F"/>
          <w:spacing w:val="-6"/>
          <w:sz w:val="24"/>
        </w:rPr>
        <w:t xml:space="preserve"> </w:t>
      </w:r>
      <w:r>
        <w:rPr>
          <w:color w:val="211F1F"/>
          <w:sz w:val="24"/>
        </w:rPr>
        <w:t>in</w:t>
      </w:r>
      <w:r>
        <w:rPr>
          <w:color w:val="211F1F"/>
          <w:spacing w:val="-7"/>
          <w:sz w:val="24"/>
        </w:rPr>
        <w:t xml:space="preserve"> </w:t>
      </w:r>
      <w:r>
        <w:rPr>
          <w:color w:val="211F1F"/>
          <w:sz w:val="24"/>
        </w:rPr>
        <w:t>Kenya</w:t>
      </w:r>
      <w:r>
        <w:rPr>
          <w:color w:val="211F1F"/>
          <w:spacing w:val="-4"/>
          <w:sz w:val="24"/>
        </w:rPr>
        <w:t xml:space="preserve"> </w:t>
      </w:r>
      <w:r>
        <w:rPr>
          <w:color w:val="211F1F"/>
          <w:sz w:val="24"/>
        </w:rPr>
        <w:t>may</w:t>
      </w:r>
      <w:r>
        <w:rPr>
          <w:color w:val="211F1F"/>
          <w:spacing w:val="-3"/>
          <w:sz w:val="24"/>
        </w:rPr>
        <w:t xml:space="preserve"> </w:t>
      </w:r>
      <w:r>
        <w:rPr>
          <w:color w:val="211F1F"/>
          <w:sz w:val="24"/>
        </w:rPr>
        <w:t>be eligible to tender and be awarded a Contract(s) only if it is determined by the Procuring Entity</w:t>
      </w:r>
      <w:r>
        <w:rPr>
          <w:color w:val="211F1F"/>
          <w:spacing w:val="-2"/>
          <w:sz w:val="24"/>
        </w:rPr>
        <w:t xml:space="preserve"> </w:t>
      </w:r>
      <w:r>
        <w:rPr>
          <w:color w:val="211F1F"/>
          <w:sz w:val="24"/>
        </w:rPr>
        <w:t>to meet the following conditions, i.e. if it is:</w:t>
      </w:r>
    </w:p>
    <w:p w14:paraId="5FA000E3" w14:textId="77777777" w:rsidR="00BB77C0" w:rsidRDefault="00370BAA">
      <w:pPr>
        <w:pStyle w:val="ListParagraph"/>
        <w:numPr>
          <w:ilvl w:val="0"/>
          <w:numId w:val="108"/>
        </w:numPr>
        <w:tabs>
          <w:tab w:val="left" w:pos="2159"/>
        </w:tabs>
        <w:spacing w:before="244"/>
        <w:ind w:left="2159" w:hanging="306"/>
        <w:jc w:val="left"/>
        <w:rPr>
          <w:sz w:val="24"/>
        </w:rPr>
      </w:pPr>
      <w:r>
        <w:rPr>
          <w:color w:val="211F1F"/>
          <w:sz w:val="24"/>
        </w:rPr>
        <w:t>A</w:t>
      </w:r>
      <w:r>
        <w:rPr>
          <w:color w:val="211F1F"/>
          <w:spacing w:val="-4"/>
          <w:sz w:val="24"/>
        </w:rPr>
        <w:t xml:space="preserve"> </w:t>
      </w:r>
      <w:r>
        <w:rPr>
          <w:color w:val="211F1F"/>
          <w:sz w:val="24"/>
        </w:rPr>
        <w:t>legal</w:t>
      </w:r>
      <w:r>
        <w:rPr>
          <w:color w:val="211F1F"/>
          <w:spacing w:val="-5"/>
          <w:sz w:val="24"/>
        </w:rPr>
        <w:t xml:space="preserve"> </w:t>
      </w:r>
      <w:r>
        <w:rPr>
          <w:color w:val="211F1F"/>
          <w:sz w:val="24"/>
        </w:rPr>
        <w:t>public</w:t>
      </w:r>
      <w:r>
        <w:rPr>
          <w:color w:val="211F1F"/>
          <w:spacing w:val="-1"/>
          <w:sz w:val="24"/>
        </w:rPr>
        <w:t xml:space="preserve"> </w:t>
      </w:r>
      <w:r>
        <w:rPr>
          <w:color w:val="211F1F"/>
          <w:sz w:val="24"/>
        </w:rPr>
        <w:t>entity</w:t>
      </w:r>
      <w:r>
        <w:rPr>
          <w:color w:val="211F1F"/>
          <w:spacing w:val="-11"/>
          <w:sz w:val="24"/>
        </w:rPr>
        <w:t xml:space="preserve"> </w:t>
      </w:r>
      <w:r>
        <w:rPr>
          <w:color w:val="211F1F"/>
          <w:sz w:val="24"/>
        </w:rPr>
        <w:t>of</w:t>
      </w:r>
      <w:r>
        <w:rPr>
          <w:color w:val="211F1F"/>
          <w:spacing w:val="-8"/>
          <w:sz w:val="24"/>
        </w:rPr>
        <w:t xml:space="preserve"> </w:t>
      </w:r>
      <w:r>
        <w:rPr>
          <w:color w:val="211F1F"/>
          <w:sz w:val="24"/>
        </w:rPr>
        <w:t>Government</w:t>
      </w:r>
      <w:r>
        <w:rPr>
          <w:color w:val="211F1F"/>
          <w:spacing w:val="6"/>
          <w:sz w:val="24"/>
        </w:rPr>
        <w:t xml:space="preserve"> </w:t>
      </w:r>
      <w:r>
        <w:rPr>
          <w:color w:val="211F1F"/>
          <w:sz w:val="24"/>
        </w:rPr>
        <w:t>and/or</w:t>
      </w:r>
      <w:r>
        <w:rPr>
          <w:color w:val="211F1F"/>
          <w:spacing w:val="-4"/>
          <w:sz w:val="24"/>
        </w:rPr>
        <w:t xml:space="preserve"> </w:t>
      </w:r>
      <w:r>
        <w:rPr>
          <w:color w:val="211F1F"/>
          <w:sz w:val="24"/>
        </w:rPr>
        <w:t xml:space="preserve">public </w:t>
      </w:r>
      <w:r>
        <w:rPr>
          <w:color w:val="211F1F"/>
          <w:spacing w:val="-2"/>
          <w:sz w:val="24"/>
        </w:rPr>
        <w:t>administration,</w:t>
      </w:r>
    </w:p>
    <w:p w14:paraId="184EDF48" w14:textId="77777777" w:rsidR="00BB77C0" w:rsidRDefault="00370BAA">
      <w:pPr>
        <w:pStyle w:val="ListParagraph"/>
        <w:numPr>
          <w:ilvl w:val="0"/>
          <w:numId w:val="108"/>
        </w:numPr>
        <w:tabs>
          <w:tab w:val="left" w:pos="2161"/>
        </w:tabs>
        <w:spacing w:before="247" w:line="242" w:lineRule="auto"/>
        <w:ind w:right="277" w:hanging="375"/>
        <w:jc w:val="left"/>
        <w:rPr>
          <w:color w:val="211F1F"/>
          <w:sz w:val="24"/>
        </w:rPr>
      </w:pPr>
      <w:r>
        <w:rPr>
          <w:color w:val="211F1F"/>
          <w:sz w:val="24"/>
        </w:rPr>
        <w:t>financially</w:t>
      </w:r>
      <w:r>
        <w:rPr>
          <w:color w:val="211F1F"/>
          <w:spacing w:val="-15"/>
          <w:sz w:val="24"/>
        </w:rPr>
        <w:t xml:space="preserve"> </w:t>
      </w:r>
      <w:r>
        <w:rPr>
          <w:color w:val="211F1F"/>
          <w:sz w:val="24"/>
        </w:rPr>
        <w:t>autonomous</w:t>
      </w:r>
      <w:r>
        <w:rPr>
          <w:color w:val="211F1F"/>
          <w:spacing w:val="-11"/>
          <w:sz w:val="24"/>
        </w:rPr>
        <w:t xml:space="preserve"> </w:t>
      </w:r>
      <w:r>
        <w:rPr>
          <w:color w:val="211F1F"/>
          <w:sz w:val="24"/>
        </w:rPr>
        <w:t>and</w:t>
      </w:r>
      <w:r>
        <w:rPr>
          <w:color w:val="211F1F"/>
          <w:spacing w:val="-5"/>
          <w:sz w:val="24"/>
        </w:rPr>
        <w:t xml:space="preserve"> </w:t>
      </w:r>
      <w:r>
        <w:rPr>
          <w:color w:val="211F1F"/>
          <w:sz w:val="24"/>
        </w:rPr>
        <w:t>not</w:t>
      </w:r>
      <w:r>
        <w:rPr>
          <w:color w:val="211F1F"/>
          <w:spacing w:val="-9"/>
          <w:sz w:val="24"/>
        </w:rPr>
        <w:t xml:space="preserve"> </w:t>
      </w:r>
      <w:r>
        <w:rPr>
          <w:color w:val="211F1F"/>
          <w:sz w:val="24"/>
        </w:rPr>
        <w:t>receiving</w:t>
      </w:r>
      <w:r>
        <w:rPr>
          <w:color w:val="211F1F"/>
          <w:spacing w:val="-9"/>
          <w:sz w:val="24"/>
        </w:rPr>
        <w:t xml:space="preserve"> </w:t>
      </w:r>
      <w:r>
        <w:rPr>
          <w:color w:val="211F1F"/>
          <w:sz w:val="24"/>
        </w:rPr>
        <w:t>any</w:t>
      </w:r>
      <w:r>
        <w:rPr>
          <w:color w:val="211F1F"/>
          <w:spacing w:val="-13"/>
          <w:sz w:val="24"/>
        </w:rPr>
        <w:t xml:space="preserve"> </w:t>
      </w:r>
      <w:r>
        <w:rPr>
          <w:color w:val="211F1F"/>
          <w:sz w:val="24"/>
        </w:rPr>
        <w:t>significant</w:t>
      </w:r>
      <w:r>
        <w:rPr>
          <w:color w:val="211F1F"/>
          <w:spacing w:val="-4"/>
          <w:sz w:val="24"/>
        </w:rPr>
        <w:t xml:space="preserve"> </w:t>
      </w:r>
      <w:r>
        <w:rPr>
          <w:color w:val="211F1F"/>
          <w:sz w:val="24"/>
        </w:rPr>
        <w:t>subsidies</w:t>
      </w:r>
      <w:r>
        <w:rPr>
          <w:color w:val="211F1F"/>
          <w:spacing w:val="-11"/>
          <w:sz w:val="24"/>
        </w:rPr>
        <w:t xml:space="preserve"> </w:t>
      </w:r>
      <w:r>
        <w:rPr>
          <w:color w:val="211F1F"/>
          <w:sz w:val="24"/>
        </w:rPr>
        <w:t>or</w:t>
      </w:r>
      <w:r>
        <w:rPr>
          <w:color w:val="211F1F"/>
          <w:spacing w:val="-13"/>
          <w:sz w:val="24"/>
        </w:rPr>
        <w:t xml:space="preserve"> </w:t>
      </w:r>
      <w:r>
        <w:rPr>
          <w:color w:val="211F1F"/>
          <w:sz w:val="24"/>
        </w:rPr>
        <w:t>budget support from any public entity or Government, and</w:t>
      </w:r>
    </w:p>
    <w:p w14:paraId="24D88654" w14:textId="77777777" w:rsidR="00BB77C0" w:rsidRDefault="00370BAA">
      <w:pPr>
        <w:pStyle w:val="ListParagraph"/>
        <w:numPr>
          <w:ilvl w:val="0"/>
          <w:numId w:val="108"/>
        </w:numPr>
        <w:tabs>
          <w:tab w:val="left" w:pos="2154"/>
          <w:tab w:val="left" w:pos="2161"/>
        </w:tabs>
        <w:spacing w:before="240"/>
        <w:ind w:right="425" w:hanging="442"/>
        <w:jc w:val="both"/>
        <w:rPr>
          <w:color w:val="211F1F"/>
          <w:sz w:val="24"/>
        </w:rPr>
      </w:pPr>
      <w:r>
        <w:rPr>
          <w:color w:val="211F1F"/>
          <w:sz w:val="24"/>
        </w:rPr>
        <w:t>operating</w:t>
      </w:r>
      <w:r>
        <w:rPr>
          <w:color w:val="211F1F"/>
          <w:spacing w:val="-3"/>
          <w:sz w:val="24"/>
        </w:rPr>
        <w:t xml:space="preserve"> </w:t>
      </w:r>
      <w:r>
        <w:rPr>
          <w:color w:val="211F1F"/>
          <w:sz w:val="24"/>
        </w:rPr>
        <w:t>under commercial</w:t>
      </w:r>
      <w:r>
        <w:rPr>
          <w:color w:val="211F1F"/>
          <w:spacing w:val="-2"/>
          <w:sz w:val="24"/>
        </w:rPr>
        <w:t xml:space="preserve"> </w:t>
      </w:r>
      <w:r>
        <w:rPr>
          <w:color w:val="211F1F"/>
          <w:sz w:val="24"/>
        </w:rPr>
        <w:t>law</w:t>
      </w:r>
      <w:r>
        <w:rPr>
          <w:color w:val="211F1F"/>
          <w:spacing w:val="-4"/>
          <w:sz w:val="24"/>
        </w:rPr>
        <w:t xml:space="preserve"> </w:t>
      </w:r>
      <w:r>
        <w:rPr>
          <w:color w:val="211F1F"/>
          <w:sz w:val="24"/>
        </w:rPr>
        <w:t>and vested</w:t>
      </w:r>
      <w:r>
        <w:rPr>
          <w:color w:val="211F1F"/>
          <w:spacing w:val="-3"/>
          <w:sz w:val="24"/>
        </w:rPr>
        <w:t xml:space="preserve"> </w:t>
      </w:r>
      <w:r>
        <w:rPr>
          <w:color w:val="211F1F"/>
          <w:sz w:val="24"/>
        </w:rPr>
        <w:t>with</w:t>
      </w:r>
      <w:r>
        <w:rPr>
          <w:color w:val="211F1F"/>
          <w:spacing w:val="-3"/>
          <w:sz w:val="24"/>
        </w:rPr>
        <w:t xml:space="preserve"> </w:t>
      </w:r>
      <w:r>
        <w:rPr>
          <w:color w:val="211F1F"/>
          <w:sz w:val="24"/>
        </w:rPr>
        <w:t>legal</w:t>
      </w:r>
      <w:r>
        <w:rPr>
          <w:color w:val="211F1F"/>
          <w:spacing w:val="-12"/>
          <w:sz w:val="24"/>
        </w:rPr>
        <w:t xml:space="preserve"> </w:t>
      </w:r>
      <w:r>
        <w:rPr>
          <w:color w:val="211F1F"/>
          <w:sz w:val="24"/>
        </w:rPr>
        <w:t>rights</w:t>
      </w:r>
      <w:r>
        <w:rPr>
          <w:color w:val="211F1F"/>
          <w:spacing w:val="-4"/>
          <w:sz w:val="24"/>
        </w:rPr>
        <w:t xml:space="preserve"> </w:t>
      </w:r>
      <w:r>
        <w:rPr>
          <w:color w:val="211F1F"/>
          <w:sz w:val="24"/>
        </w:rPr>
        <w:t>and liabilities similar</w:t>
      </w:r>
      <w:r>
        <w:rPr>
          <w:color w:val="211F1F"/>
          <w:spacing w:val="-2"/>
          <w:sz w:val="24"/>
        </w:rPr>
        <w:t xml:space="preserve"> </w:t>
      </w:r>
      <w:r>
        <w:rPr>
          <w:color w:val="211F1F"/>
          <w:sz w:val="24"/>
        </w:rPr>
        <w:t>to any</w:t>
      </w:r>
      <w:r>
        <w:rPr>
          <w:color w:val="211F1F"/>
          <w:spacing w:val="-13"/>
          <w:sz w:val="24"/>
        </w:rPr>
        <w:t xml:space="preserve"> </w:t>
      </w:r>
      <w:r>
        <w:rPr>
          <w:color w:val="211F1F"/>
          <w:sz w:val="24"/>
        </w:rPr>
        <w:t>commercial</w:t>
      </w:r>
      <w:r>
        <w:rPr>
          <w:color w:val="211F1F"/>
          <w:spacing w:val="-6"/>
          <w:sz w:val="24"/>
        </w:rPr>
        <w:t xml:space="preserve"> </w:t>
      </w:r>
      <w:r>
        <w:rPr>
          <w:color w:val="211F1F"/>
          <w:sz w:val="24"/>
        </w:rPr>
        <w:t>enterprise</w:t>
      </w:r>
      <w:r>
        <w:rPr>
          <w:color w:val="211F1F"/>
          <w:spacing w:val="-3"/>
          <w:sz w:val="24"/>
        </w:rPr>
        <w:t xml:space="preserve"> </w:t>
      </w:r>
      <w:r>
        <w:rPr>
          <w:color w:val="211F1F"/>
          <w:sz w:val="24"/>
        </w:rPr>
        <w:t>to enable it compete</w:t>
      </w:r>
      <w:r>
        <w:rPr>
          <w:color w:val="211F1F"/>
          <w:spacing w:val="-3"/>
          <w:sz w:val="24"/>
        </w:rPr>
        <w:t xml:space="preserve"> </w:t>
      </w:r>
      <w:r>
        <w:rPr>
          <w:color w:val="211F1F"/>
          <w:sz w:val="24"/>
        </w:rPr>
        <w:t>with</w:t>
      </w:r>
      <w:r>
        <w:rPr>
          <w:color w:val="211F1F"/>
          <w:spacing w:val="-2"/>
          <w:sz w:val="24"/>
        </w:rPr>
        <w:t xml:space="preserve"> </w:t>
      </w:r>
      <w:r>
        <w:rPr>
          <w:color w:val="211F1F"/>
          <w:sz w:val="24"/>
        </w:rPr>
        <w:t>firms</w:t>
      </w:r>
      <w:r>
        <w:rPr>
          <w:color w:val="211F1F"/>
          <w:spacing w:val="-1"/>
          <w:sz w:val="24"/>
        </w:rPr>
        <w:t xml:space="preserve"> </w:t>
      </w:r>
      <w:r>
        <w:rPr>
          <w:color w:val="211F1F"/>
          <w:sz w:val="24"/>
        </w:rPr>
        <w:t>in</w:t>
      </w:r>
      <w:r>
        <w:rPr>
          <w:color w:val="211F1F"/>
          <w:spacing w:val="-8"/>
          <w:sz w:val="24"/>
        </w:rPr>
        <w:t xml:space="preserve"> </w:t>
      </w:r>
      <w:r>
        <w:rPr>
          <w:color w:val="211F1F"/>
          <w:sz w:val="24"/>
        </w:rPr>
        <w:t>the private sector on an equal basis.</w:t>
      </w:r>
    </w:p>
    <w:p w14:paraId="21A60EB2" w14:textId="77777777" w:rsidR="00BB77C0" w:rsidRDefault="00BB77C0">
      <w:pPr>
        <w:pStyle w:val="BodyText"/>
        <w:spacing w:before="183"/>
        <w:rPr>
          <w:sz w:val="24"/>
        </w:rPr>
      </w:pPr>
    </w:p>
    <w:p w14:paraId="7A8E95C2" w14:textId="77777777" w:rsidR="00BB77C0" w:rsidRDefault="00370BAA">
      <w:pPr>
        <w:pStyle w:val="ListParagraph"/>
        <w:numPr>
          <w:ilvl w:val="1"/>
          <w:numId w:val="109"/>
        </w:numPr>
        <w:tabs>
          <w:tab w:val="left" w:pos="1440"/>
        </w:tabs>
        <w:ind w:left="1440" w:hanging="720"/>
        <w:jc w:val="left"/>
        <w:rPr>
          <w:sz w:val="24"/>
        </w:rPr>
      </w:pPr>
      <w:r>
        <w:rPr>
          <w:color w:val="211F1F"/>
          <w:sz w:val="24"/>
        </w:rPr>
        <w:t>Firms</w:t>
      </w:r>
      <w:r>
        <w:rPr>
          <w:color w:val="211F1F"/>
          <w:spacing w:val="-7"/>
          <w:sz w:val="24"/>
        </w:rPr>
        <w:t xml:space="preserve"> </w:t>
      </w:r>
      <w:r>
        <w:rPr>
          <w:color w:val="211F1F"/>
          <w:sz w:val="24"/>
        </w:rPr>
        <w:t>and</w:t>
      </w:r>
      <w:r>
        <w:rPr>
          <w:color w:val="211F1F"/>
          <w:spacing w:val="1"/>
          <w:sz w:val="24"/>
        </w:rPr>
        <w:t xml:space="preserve"> </w:t>
      </w:r>
      <w:r>
        <w:rPr>
          <w:color w:val="211F1F"/>
          <w:sz w:val="24"/>
        </w:rPr>
        <w:t>individuals</w:t>
      </w:r>
      <w:r>
        <w:rPr>
          <w:color w:val="211F1F"/>
          <w:spacing w:val="-4"/>
          <w:sz w:val="24"/>
        </w:rPr>
        <w:t xml:space="preserve"> </w:t>
      </w:r>
      <w:r>
        <w:rPr>
          <w:color w:val="211F1F"/>
          <w:sz w:val="24"/>
        </w:rPr>
        <w:t>shall</w:t>
      </w:r>
      <w:r>
        <w:rPr>
          <w:color w:val="211F1F"/>
          <w:spacing w:val="-6"/>
          <w:sz w:val="24"/>
        </w:rPr>
        <w:t xml:space="preserve"> </w:t>
      </w:r>
      <w:r>
        <w:rPr>
          <w:color w:val="211F1F"/>
          <w:sz w:val="24"/>
        </w:rPr>
        <w:t>be ineligible</w:t>
      </w:r>
      <w:r>
        <w:rPr>
          <w:color w:val="211F1F"/>
          <w:spacing w:val="1"/>
          <w:sz w:val="24"/>
        </w:rPr>
        <w:t xml:space="preserve"> </w:t>
      </w:r>
      <w:r>
        <w:rPr>
          <w:color w:val="211F1F"/>
          <w:sz w:val="24"/>
        </w:rPr>
        <w:t>if</w:t>
      </w:r>
      <w:r>
        <w:rPr>
          <w:color w:val="211F1F"/>
          <w:spacing w:val="-11"/>
          <w:sz w:val="24"/>
        </w:rPr>
        <w:t xml:space="preserve"> </w:t>
      </w:r>
      <w:r>
        <w:rPr>
          <w:color w:val="211F1F"/>
          <w:sz w:val="24"/>
        </w:rPr>
        <w:t>their</w:t>
      </w:r>
      <w:r>
        <w:rPr>
          <w:color w:val="211F1F"/>
          <w:spacing w:val="-1"/>
          <w:sz w:val="24"/>
        </w:rPr>
        <w:t xml:space="preserve"> </w:t>
      </w:r>
      <w:r>
        <w:rPr>
          <w:color w:val="211F1F"/>
          <w:sz w:val="24"/>
        </w:rPr>
        <w:t>countries</w:t>
      </w:r>
      <w:r>
        <w:rPr>
          <w:color w:val="211F1F"/>
          <w:spacing w:val="-5"/>
          <w:sz w:val="24"/>
        </w:rPr>
        <w:t xml:space="preserve"> </w:t>
      </w:r>
      <w:r>
        <w:rPr>
          <w:color w:val="211F1F"/>
          <w:sz w:val="24"/>
        </w:rPr>
        <w:t>of</w:t>
      </w:r>
      <w:r>
        <w:rPr>
          <w:color w:val="211F1F"/>
          <w:spacing w:val="-10"/>
          <w:sz w:val="24"/>
        </w:rPr>
        <w:t xml:space="preserve"> </w:t>
      </w:r>
      <w:r>
        <w:rPr>
          <w:color w:val="211F1F"/>
          <w:sz w:val="24"/>
        </w:rPr>
        <w:t>origin</w:t>
      </w:r>
      <w:r>
        <w:rPr>
          <w:color w:val="211F1F"/>
          <w:spacing w:val="-7"/>
          <w:sz w:val="24"/>
        </w:rPr>
        <w:t xml:space="preserve"> </w:t>
      </w:r>
      <w:r>
        <w:rPr>
          <w:color w:val="211F1F"/>
          <w:spacing w:val="-4"/>
          <w:sz w:val="24"/>
        </w:rPr>
        <w:t>are:</w:t>
      </w:r>
    </w:p>
    <w:p w14:paraId="4B141E2D" w14:textId="77777777" w:rsidR="00BB77C0" w:rsidRDefault="00370BAA">
      <w:pPr>
        <w:pStyle w:val="ListParagraph"/>
        <w:numPr>
          <w:ilvl w:val="0"/>
          <w:numId w:val="107"/>
        </w:numPr>
        <w:tabs>
          <w:tab w:val="left" w:pos="2158"/>
          <w:tab w:val="left" w:pos="2161"/>
        </w:tabs>
        <w:spacing w:before="274" w:line="237" w:lineRule="auto"/>
        <w:ind w:right="69"/>
        <w:rPr>
          <w:sz w:val="24"/>
        </w:rPr>
      </w:pPr>
      <w:r>
        <w:rPr>
          <w:color w:val="211F1F"/>
          <w:sz w:val="24"/>
        </w:rPr>
        <w:t>as</w:t>
      </w:r>
      <w:r>
        <w:rPr>
          <w:color w:val="211F1F"/>
          <w:spacing w:val="-10"/>
          <w:sz w:val="24"/>
        </w:rPr>
        <w:t xml:space="preserve"> </w:t>
      </w:r>
      <w:r>
        <w:rPr>
          <w:color w:val="211F1F"/>
          <w:sz w:val="24"/>
        </w:rPr>
        <w:t>a</w:t>
      </w:r>
      <w:r>
        <w:rPr>
          <w:color w:val="211F1F"/>
          <w:spacing w:val="-5"/>
          <w:sz w:val="24"/>
        </w:rPr>
        <w:t xml:space="preserve"> </w:t>
      </w:r>
      <w:r>
        <w:rPr>
          <w:color w:val="211F1F"/>
          <w:sz w:val="24"/>
        </w:rPr>
        <w:t>matter</w:t>
      </w:r>
      <w:r>
        <w:rPr>
          <w:color w:val="211F1F"/>
          <w:spacing w:val="-10"/>
          <w:sz w:val="24"/>
        </w:rPr>
        <w:t xml:space="preserve"> </w:t>
      </w:r>
      <w:r>
        <w:rPr>
          <w:color w:val="211F1F"/>
          <w:sz w:val="24"/>
        </w:rPr>
        <w:t>of</w:t>
      </w:r>
      <w:r>
        <w:rPr>
          <w:color w:val="211F1F"/>
          <w:spacing w:val="-11"/>
          <w:sz w:val="24"/>
        </w:rPr>
        <w:t xml:space="preserve"> </w:t>
      </w:r>
      <w:r>
        <w:rPr>
          <w:color w:val="211F1F"/>
          <w:sz w:val="24"/>
        </w:rPr>
        <w:t>law</w:t>
      </w:r>
      <w:r>
        <w:rPr>
          <w:color w:val="211F1F"/>
          <w:spacing w:val="-8"/>
          <w:sz w:val="24"/>
        </w:rPr>
        <w:t xml:space="preserve"> </w:t>
      </w:r>
      <w:r>
        <w:rPr>
          <w:color w:val="211F1F"/>
          <w:sz w:val="24"/>
        </w:rPr>
        <w:t>or</w:t>
      </w:r>
      <w:r>
        <w:rPr>
          <w:color w:val="211F1F"/>
          <w:spacing w:val="-11"/>
          <w:sz w:val="24"/>
        </w:rPr>
        <w:t xml:space="preserve"> </w:t>
      </w:r>
      <w:r>
        <w:rPr>
          <w:color w:val="211F1F"/>
          <w:sz w:val="24"/>
        </w:rPr>
        <w:t>official</w:t>
      </w:r>
      <w:r>
        <w:rPr>
          <w:color w:val="211F1F"/>
          <w:spacing w:val="-11"/>
          <w:sz w:val="24"/>
        </w:rPr>
        <w:t xml:space="preserve"> </w:t>
      </w:r>
      <w:r>
        <w:rPr>
          <w:color w:val="211F1F"/>
          <w:sz w:val="24"/>
        </w:rPr>
        <w:t>regulations, Kenya</w:t>
      </w:r>
      <w:r>
        <w:rPr>
          <w:color w:val="211F1F"/>
          <w:spacing w:val="-4"/>
          <w:sz w:val="24"/>
        </w:rPr>
        <w:t xml:space="preserve"> </w:t>
      </w:r>
      <w:r>
        <w:rPr>
          <w:color w:val="211F1F"/>
          <w:sz w:val="24"/>
        </w:rPr>
        <w:t>prohibits</w:t>
      </w:r>
      <w:r>
        <w:rPr>
          <w:color w:val="211F1F"/>
          <w:spacing w:val="-5"/>
          <w:sz w:val="24"/>
        </w:rPr>
        <w:t xml:space="preserve"> </w:t>
      </w:r>
      <w:r>
        <w:rPr>
          <w:color w:val="211F1F"/>
          <w:sz w:val="24"/>
        </w:rPr>
        <w:t>commercial</w:t>
      </w:r>
      <w:r>
        <w:rPr>
          <w:color w:val="211F1F"/>
          <w:spacing w:val="-11"/>
          <w:sz w:val="24"/>
        </w:rPr>
        <w:t xml:space="preserve"> </w:t>
      </w:r>
      <w:r>
        <w:rPr>
          <w:color w:val="211F1F"/>
          <w:sz w:val="24"/>
        </w:rPr>
        <w:t>relations with that country, or</w:t>
      </w:r>
    </w:p>
    <w:p w14:paraId="5DD670FF" w14:textId="77777777" w:rsidR="00BB77C0" w:rsidRDefault="00370BAA">
      <w:pPr>
        <w:pStyle w:val="ListParagraph"/>
        <w:numPr>
          <w:ilvl w:val="0"/>
          <w:numId w:val="107"/>
        </w:numPr>
        <w:tabs>
          <w:tab w:val="left" w:pos="2158"/>
          <w:tab w:val="left" w:pos="2161"/>
        </w:tabs>
        <w:spacing w:before="248"/>
        <w:ind w:right="209"/>
        <w:rPr>
          <w:sz w:val="24"/>
        </w:rPr>
      </w:pPr>
      <w:r>
        <w:rPr>
          <w:color w:val="211F1F"/>
          <w:sz w:val="24"/>
        </w:rPr>
        <w:t>by an act of compliance with a decision of the United Nations Security Council</w:t>
      </w:r>
      <w:r>
        <w:rPr>
          <w:color w:val="211F1F"/>
          <w:spacing w:val="-10"/>
          <w:sz w:val="24"/>
        </w:rPr>
        <w:t xml:space="preserve"> </w:t>
      </w:r>
      <w:r>
        <w:rPr>
          <w:color w:val="211F1F"/>
          <w:sz w:val="24"/>
        </w:rPr>
        <w:t>taken</w:t>
      </w:r>
      <w:r>
        <w:rPr>
          <w:color w:val="211F1F"/>
          <w:spacing w:val="-5"/>
          <w:sz w:val="24"/>
        </w:rPr>
        <w:t xml:space="preserve"> </w:t>
      </w:r>
      <w:r>
        <w:rPr>
          <w:color w:val="211F1F"/>
          <w:sz w:val="24"/>
        </w:rPr>
        <w:t>under</w:t>
      </w:r>
      <w:r>
        <w:rPr>
          <w:color w:val="211F1F"/>
          <w:spacing w:val="-4"/>
          <w:sz w:val="24"/>
        </w:rPr>
        <w:t xml:space="preserve"> </w:t>
      </w:r>
      <w:r>
        <w:rPr>
          <w:color w:val="211F1F"/>
          <w:sz w:val="24"/>
        </w:rPr>
        <w:t>Chapter</w:t>
      </w:r>
      <w:r>
        <w:rPr>
          <w:color w:val="211F1F"/>
          <w:spacing w:val="-3"/>
          <w:sz w:val="24"/>
        </w:rPr>
        <w:t xml:space="preserve"> </w:t>
      </w:r>
      <w:r>
        <w:rPr>
          <w:color w:val="211F1F"/>
          <w:sz w:val="24"/>
        </w:rPr>
        <w:t>VII</w:t>
      </w:r>
      <w:r>
        <w:rPr>
          <w:color w:val="211F1F"/>
          <w:spacing w:val="-14"/>
          <w:sz w:val="24"/>
        </w:rPr>
        <w:t xml:space="preserve"> </w:t>
      </w:r>
      <w:r>
        <w:rPr>
          <w:color w:val="211F1F"/>
          <w:sz w:val="24"/>
        </w:rPr>
        <w:t>of</w:t>
      </w:r>
      <w:r>
        <w:rPr>
          <w:color w:val="211F1F"/>
          <w:spacing w:val="-13"/>
          <w:sz w:val="24"/>
        </w:rPr>
        <w:t xml:space="preserve"> </w:t>
      </w:r>
      <w:r>
        <w:rPr>
          <w:color w:val="211F1F"/>
          <w:sz w:val="24"/>
        </w:rPr>
        <w:t>the</w:t>
      </w:r>
      <w:r>
        <w:rPr>
          <w:color w:val="211F1F"/>
          <w:spacing w:val="-7"/>
          <w:sz w:val="24"/>
        </w:rPr>
        <w:t xml:space="preserve"> </w:t>
      </w:r>
      <w:r>
        <w:rPr>
          <w:color w:val="211F1F"/>
          <w:sz w:val="24"/>
        </w:rPr>
        <w:t>Charter</w:t>
      </w:r>
      <w:r>
        <w:rPr>
          <w:color w:val="211F1F"/>
          <w:spacing w:val="-8"/>
          <w:sz w:val="24"/>
        </w:rPr>
        <w:t xml:space="preserve"> </w:t>
      </w:r>
      <w:r>
        <w:rPr>
          <w:color w:val="211F1F"/>
          <w:sz w:val="24"/>
        </w:rPr>
        <w:t>of</w:t>
      </w:r>
      <w:r>
        <w:rPr>
          <w:color w:val="211F1F"/>
          <w:spacing w:val="-8"/>
          <w:sz w:val="24"/>
        </w:rPr>
        <w:t xml:space="preserve"> </w:t>
      </w:r>
      <w:r>
        <w:rPr>
          <w:color w:val="211F1F"/>
          <w:sz w:val="24"/>
        </w:rPr>
        <w:t>the</w:t>
      </w:r>
      <w:r>
        <w:rPr>
          <w:color w:val="211F1F"/>
          <w:spacing w:val="-7"/>
          <w:sz w:val="24"/>
        </w:rPr>
        <w:t xml:space="preserve"> </w:t>
      </w:r>
      <w:r>
        <w:rPr>
          <w:color w:val="211F1F"/>
          <w:sz w:val="24"/>
        </w:rPr>
        <w:t>United Nations, Kenya prohibits any import of goods or contracting of works or services from that country, or any payments to any country, person, or entity in that country.</w:t>
      </w:r>
    </w:p>
    <w:p w14:paraId="06B9DFE0" w14:textId="77777777" w:rsidR="00BB77C0" w:rsidRDefault="00BB77C0">
      <w:pPr>
        <w:pStyle w:val="ListParagraph"/>
        <w:rPr>
          <w:sz w:val="24"/>
        </w:rPr>
        <w:sectPr w:rsidR="00BB77C0">
          <w:pgSz w:w="11930" w:h="16870"/>
          <w:pgMar w:top="1340" w:right="1080" w:bottom="280" w:left="1080" w:header="720" w:footer="720" w:gutter="0"/>
          <w:cols w:space="720"/>
        </w:sectPr>
      </w:pPr>
    </w:p>
    <w:p w14:paraId="23CE43CF" w14:textId="77777777" w:rsidR="00BB77C0" w:rsidRDefault="00370BAA">
      <w:pPr>
        <w:spacing w:before="75" w:line="264" w:lineRule="auto"/>
        <w:ind w:left="1441"/>
        <w:rPr>
          <w:sz w:val="24"/>
        </w:rPr>
      </w:pPr>
      <w:r>
        <w:rPr>
          <w:color w:val="211F1F"/>
          <w:sz w:val="24"/>
        </w:rPr>
        <w:lastRenderedPageBreak/>
        <w:t>A</w:t>
      </w:r>
      <w:r>
        <w:rPr>
          <w:color w:val="211F1F"/>
          <w:spacing w:val="-9"/>
          <w:sz w:val="24"/>
        </w:rPr>
        <w:t xml:space="preserve"> </w:t>
      </w:r>
      <w:r>
        <w:rPr>
          <w:color w:val="211F1F"/>
          <w:sz w:val="24"/>
        </w:rPr>
        <w:t>tenderer</w:t>
      </w:r>
      <w:r>
        <w:rPr>
          <w:color w:val="211F1F"/>
          <w:spacing w:val="-1"/>
          <w:sz w:val="24"/>
        </w:rPr>
        <w:t xml:space="preserve"> </w:t>
      </w:r>
      <w:r>
        <w:rPr>
          <w:color w:val="211F1F"/>
          <w:sz w:val="24"/>
        </w:rPr>
        <w:t>shall</w:t>
      </w:r>
      <w:r>
        <w:rPr>
          <w:color w:val="211F1F"/>
          <w:spacing w:val="-12"/>
          <w:sz w:val="24"/>
        </w:rPr>
        <w:t xml:space="preserve"> </w:t>
      </w:r>
      <w:r>
        <w:rPr>
          <w:color w:val="211F1F"/>
          <w:sz w:val="24"/>
        </w:rPr>
        <w:t>provide such</w:t>
      </w:r>
      <w:r>
        <w:rPr>
          <w:color w:val="211F1F"/>
          <w:spacing w:val="-8"/>
          <w:sz w:val="24"/>
        </w:rPr>
        <w:t xml:space="preserve"> </w:t>
      </w:r>
      <w:r>
        <w:rPr>
          <w:color w:val="211F1F"/>
          <w:sz w:val="24"/>
        </w:rPr>
        <w:t>documentary</w:t>
      </w:r>
      <w:r>
        <w:rPr>
          <w:color w:val="211F1F"/>
          <w:spacing w:val="-7"/>
          <w:sz w:val="24"/>
        </w:rPr>
        <w:t xml:space="preserve"> </w:t>
      </w:r>
      <w:r>
        <w:rPr>
          <w:color w:val="211F1F"/>
          <w:sz w:val="24"/>
        </w:rPr>
        <w:t>evidence</w:t>
      </w:r>
      <w:r>
        <w:rPr>
          <w:color w:val="211F1F"/>
          <w:spacing w:val="-4"/>
          <w:sz w:val="24"/>
        </w:rPr>
        <w:t xml:space="preserve"> </w:t>
      </w:r>
      <w:r>
        <w:rPr>
          <w:color w:val="211F1F"/>
          <w:sz w:val="24"/>
        </w:rPr>
        <w:t>of</w:t>
      </w:r>
      <w:r>
        <w:rPr>
          <w:color w:val="211F1F"/>
          <w:spacing w:val="-11"/>
          <w:sz w:val="24"/>
        </w:rPr>
        <w:t xml:space="preserve"> </w:t>
      </w:r>
      <w:r>
        <w:rPr>
          <w:color w:val="211F1F"/>
          <w:sz w:val="24"/>
        </w:rPr>
        <w:t>eligibility</w:t>
      </w:r>
      <w:r>
        <w:rPr>
          <w:color w:val="211F1F"/>
          <w:spacing w:val="-7"/>
          <w:sz w:val="24"/>
        </w:rPr>
        <w:t xml:space="preserve"> </w:t>
      </w:r>
      <w:r>
        <w:rPr>
          <w:color w:val="211F1F"/>
          <w:sz w:val="24"/>
        </w:rPr>
        <w:t>satisfactory</w:t>
      </w:r>
      <w:r>
        <w:rPr>
          <w:color w:val="211F1F"/>
          <w:spacing w:val="-12"/>
          <w:sz w:val="24"/>
        </w:rPr>
        <w:t xml:space="preserve"> </w:t>
      </w:r>
      <w:r>
        <w:rPr>
          <w:color w:val="211F1F"/>
          <w:sz w:val="24"/>
        </w:rPr>
        <w:t>to</w:t>
      </w:r>
      <w:r>
        <w:rPr>
          <w:color w:val="211F1F"/>
          <w:spacing w:val="-3"/>
          <w:sz w:val="24"/>
        </w:rPr>
        <w:t xml:space="preserve"> </w:t>
      </w:r>
      <w:r>
        <w:rPr>
          <w:color w:val="211F1F"/>
          <w:sz w:val="24"/>
        </w:rPr>
        <w:t>the Procuring Entity, as the Procuring Entity shall reasonably request.</w:t>
      </w:r>
    </w:p>
    <w:p w14:paraId="3B0C0EDA" w14:textId="77777777" w:rsidR="00BB77C0" w:rsidRDefault="00370BAA">
      <w:pPr>
        <w:pStyle w:val="ListParagraph"/>
        <w:numPr>
          <w:ilvl w:val="1"/>
          <w:numId w:val="109"/>
        </w:numPr>
        <w:tabs>
          <w:tab w:val="left" w:pos="1441"/>
        </w:tabs>
        <w:spacing w:before="152" w:line="259" w:lineRule="auto"/>
        <w:ind w:right="100"/>
        <w:jc w:val="left"/>
        <w:rPr>
          <w:i/>
          <w:sz w:val="24"/>
        </w:rPr>
      </w:pPr>
      <w:r>
        <w:rPr>
          <w:color w:val="211F1F"/>
          <w:sz w:val="24"/>
        </w:rPr>
        <w:t>Foreign tenderers are required to source at least forty</w:t>
      </w:r>
      <w:r>
        <w:rPr>
          <w:color w:val="211F1F"/>
          <w:spacing w:val="-4"/>
          <w:sz w:val="24"/>
        </w:rPr>
        <w:t xml:space="preserve"> </w:t>
      </w:r>
      <w:r>
        <w:rPr>
          <w:color w:val="211F1F"/>
          <w:sz w:val="24"/>
        </w:rPr>
        <w:t>(40%) percent of</w:t>
      </w:r>
      <w:r>
        <w:rPr>
          <w:color w:val="211F1F"/>
          <w:spacing w:val="-2"/>
          <w:sz w:val="24"/>
        </w:rPr>
        <w:t xml:space="preserve"> </w:t>
      </w:r>
      <w:r>
        <w:rPr>
          <w:color w:val="211F1F"/>
          <w:sz w:val="24"/>
        </w:rPr>
        <w:t>their contract inputs (in supplies, local subcontracts and labor) from citizen suppliers and contractors. To this end, a foreign tenderer shall provide inits tender documentary evidence</w:t>
      </w:r>
      <w:r>
        <w:rPr>
          <w:color w:val="211F1F"/>
          <w:spacing w:val="-7"/>
          <w:sz w:val="24"/>
        </w:rPr>
        <w:t xml:space="preserve"> </w:t>
      </w:r>
      <w:r>
        <w:rPr>
          <w:color w:val="211F1F"/>
          <w:sz w:val="24"/>
        </w:rPr>
        <w:t>that</w:t>
      </w:r>
      <w:r>
        <w:rPr>
          <w:color w:val="211F1F"/>
          <w:spacing w:val="-7"/>
          <w:sz w:val="24"/>
        </w:rPr>
        <w:t xml:space="preserve"> </w:t>
      </w:r>
      <w:r>
        <w:rPr>
          <w:color w:val="211F1F"/>
          <w:sz w:val="24"/>
        </w:rPr>
        <w:t>this</w:t>
      </w:r>
      <w:r>
        <w:rPr>
          <w:color w:val="211F1F"/>
          <w:spacing w:val="-8"/>
          <w:sz w:val="24"/>
        </w:rPr>
        <w:t xml:space="preserve"> </w:t>
      </w:r>
      <w:r>
        <w:rPr>
          <w:color w:val="211F1F"/>
          <w:sz w:val="24"/>
        </w:rPr>
        <w:t>requirement is</w:t>
      </w:r>
      <w:r>
        <w:rPr>
          <w:color w:val="211F1F"/>
          <w:spacing w:val="-5"/>
          <w:sz w:val="24"/>
        </w:rPr>
        <w:t xml:space="preserve"> </w:t>
      </w:r>
      <w:r>
        <w:rPr>
          <w:color w:val="211F1F"/>
          <w:sz w:val="24"/>
        </w:rPr>
        <w:t>met.</w:t>
      </w:r>
      <w:r>
        <w:rPr>
          <w:color w:val="211F1F"/>
          <w:spacing w:val="-5"/>
          <w:sz w:val="24"/>
        </w:rPr>
        <w:t xml:space="preserve"> </w:t>
      </w:r>
      <w:r>
        <w:rPr>
          <w:color w:val="211F1F"/>
          <w:sz w:val="24"/>
        </w:rPr>
        <w:t>Foreign</w:t>
      </w:r>
      <w:r>
        <w:rPr>
          <w:color w:val="211F1F"/>
          <w:spacing w:val="-11"/>
          <w:sz w:val="24"/>
        </w:rPr>
        <w:t xml:space="preserve"> </w:t>
      </w:r>
      <w:r>
        <w:rPr>
          <w:color w:val="211F1F"/>
          <w:sz w:val="24"/>
        </w:rPr>
        <w:t>tenderers</w:t>
      </w:r>
      <w:r>
        <w:rPr>
          <w:color w:val="211F1F"/>
          <w:spacing w:val="-7"/>
          <w:sz w:val="24"/>
        </w:rPr>
        <w:t xml:space="preserve"> </w:t>
      </w:r>
      <w:r>
        <w:rPr>
          <w:color w:val="211F1F"/>
          <w:sz w:val="24"/>
        </w:rPr>
        <w:t>not</w:t>
      </w:r>
      <w:r>
        <w:rPr>
          <w:color w:val="211F1F"/>
          <w:spacing w:val="-2"/>
          <w:sz w:val="24"/>
        </w:rPr>
        <w:t xml:space="preserve"> </w:t>
      </w:r>
      <w:r>
        <w:rPr>
          <w:color w:val="211F1F"/>
          <w:sz w:val="24"/>
        </w:rPr>
        <w:t>meeting</w:t>
      </w:r>
      <w:r>
        <w:rPr>
          <w:color w:val="211F1F"/>
          <w:spacing w:val="-7"/>
          <w:sz w:val="24"/>
        </w:rPr>
        <w:t xml:space="preserve"> </w:t>
      </w:r>
      <w:r>
        <w:rPr>
          <w:color w:val="211F1F"/>
          <w:sz w:val="24"/>
        </w:rPr>
        <w:t>this</w:t>
      </w:r>
      <w:r>
        <w:rPr>
          <w:color w:val="211F1F"/>
          <w:spacing w:val="-9"/>
          <w:sz w:val="24"/>
        </w:rPr>
        <w:t xml:space="preserve"> </w:t>
      </w:r>
      <w:r>
        <w:rPr>
          <w:color w:val="211F1F"/>
          <w:sz w:val="24"/>
        </w:rPr>
        <w:t>criterion</w:t>
      </w:r>
      <w:r>
        <w:rPr>
          <w:color w:val="211F1F"/>
          <w:spacing w:val="-10"/>
          <w:sz w:val="24"/>
        </w:rPr>
        <w:t xml:space="preserve"> </w:t>
      </w:r>
      <w:r>
        <w:rPr>
          <w:color w:val="211F1F"/>
          <w:sz w:val="24"/>
        </w:rPr>
        <w:t>will be automatically disqualified. Information required to enable the Procuring Entity determine</w:t>
      </w:r>
      <w:r>
        <w:rPr>
          <w:color w:val="211F1F"/>
          <w:spacing w:val="-4"/>
          <w:sz w:val="24"/>
        </w:rPr>
        <w:t xml:space="preserve"> </w:t>
      </w:r>
      <w:r>
        <w:rPr>
          <w:color w:val="211F1F"/>
          <w:sz w:val="24"/>
        </w:rPr>
        <w:t>if</w:t>
      </w:r>
      <w:r>
        <w:rPr>
          <w:color w:val="211F1F"/>
          <w:spacing w:val="-11"/>
          <w:sz w:val="24"/>
        </w:rPr>
        <w:t xml:space="preserve"> </w:t>
      </w:r>
      <w:r>
        <w:rPr>
          <w:color w:val="211F1F"/>
          <w:sz w:val="24"/>
        </w:rPr>
        <w:t>this</w:t>
      </w:r>
      <w:r>
        <w:rPr>
          <w:color w:val="211F1F"/>
          <w:spacing w:val="-5"/>
          <w:sz w:val="24"/>
        </w:rPr>
        <w:t xml:space="preserve"> </w:t>
      </w:r>
      <w:r>
        <w:rPr>
          <w:color w:val="211F1F"/>
          <w:sz w:val="24"/>
        </w:rPr>
        <w:t>condition</w:t>
      </w:r>
      <w:r>
        <w:rPr>
          <w:color w:val="211F1F"/>
          <w:spacing w:val="-2"/>
          <w:sz w:val="24"/>
        </w:rPr>
        <w:t xml:space="preserve"> </w:t>
      </w:r>
      <w:r>
        <w:rPr>
          <w:color w:val="211F1F"/>
          <w:sz w:val="24"/>
        </w:rPr>
        <w:t>is</w:t>
      </w:r>
      <w:r>
        <w:rPr>
          <w:color w:val="211F1F"/>
          <w:spacing w:val="-1"/>
          <w:sz w:val="24"/>
        </w:rPr>
        <w:t xml:space="preserve"> </w:t>
      </w:r>
      <w:r>
        <w:rPr>
          <w:color w:val="211F1F"/>
          <w:sz w:val="24"/>
        </w:rPr>
        <w:t>met shall</w:t>
      </w:r>
      <w:r>
        <w:rPr>
          <w:color w:val="211F1F"/>
          <w:spacing w:val="-7"/>
          <w:sz w:val="24"/>
        </w:rPr>
        <w:t xml:space="preserve"> </w:t>
      </w:r>
      <w:r>
        <w:rPr>
          <w:color w:val="211F1F"/>
          <w:sz w:val="24"/>
        </w:rPr>
        <w:t>be</w:t>
      </w:r>
      <w:r>
        <w:rPr>
          <w:color w:val="211F1F"/>
          <w:spacing w:val="-9"/>
          <w:sz w:val="24"/>
        </w:rPr>
        <w:t xml:space="preserve"> </w:t>
      </w:r>
      <w:r>
        <w:rPr>
          <w:color w:val="211F1F"/>
          <w:sz w:val="24"/>
        </w:rPr>
        <w:t>provided for</w:t>
      </w:r>
      <w:r>
        <w:rPr>
          <w:color w:val="211F1F"/>
          <w:spacing w:val="-11"/>
          <w:sz w:val="24"/>
        </w:rPr>
        <w:t xml:space="preserve"> </w:t>
      </w:r>
      <w:r>
        <w:rPr>
          <w:color w:val="211F1F"/>
          <w:sz w:val="24"/>
        </w:rPr>
        <w:t>this</w:t>
      </w:r>
      <w:r>
        <w:rPr>
          <w:color w:val="211F1F"/>
          <w:spacing w:val="-4"/>
          <w:sz w:val="24"/>
        </w:rPr>
        <w:t xml:space="preserve"> </w:t>
      </w:r>
      <w:r>
        <w:rPr>
          <w:color w:val="211F1F"/>
          <w:sz w:val="24"/>
        </w:rPr>
        <w:t>purpose</w:t>
      </w:r>
      <w:r>
        <w:rPr>
          <w:color w:val="211F1F"/>
          <w:spacing w:val="-4"/>
          <w:sz w:val="24"/>
        </w:rPr>
        <w:t xml:space="preserve"> </w:t>
      </w:r>
      <w:r>
        <w:rPr>
          <w:color w:val="211F1F"/>
          <w:sz w:val="24"/>
        </w:rPr>
        <w:t>in</w:t>
      </w:r>
      <w:r>
        <w:rPr>
          <w:color w:val="211F1F"/>
          <w:spacing w:val="-7"/>
          <w:sz w:val="24"/>
        </w:rPr>
        <w:t xml:space="preserve"> </w:t>
      </w:r>
      <w:r>
        <w:rPr>
          <w:i/>
          <w:color w:val="211F1F"/>
          <w:sz w:val="24"/>
        </w:rPr>
        <w:t>“SECTION</w:t>
      </w:r>
      <w:r>
        <w:rPr>
          <w:i/>
          <w:color w:val="211F1F"/>
          <w:spacing w:val="-9"/>
          <w:sz w:val="24"/>
        </w:rPr>
        <w:t xml:space="preserve"> </w:t>
      </w:r>
      <w:r>
        <w:rPr>
          <w:i/>
          <w:color w:val="211F1F"/>
          <w:sz w:val="24"/>
        </w:rPr>
        <w:t>III- EVALUATION AND QUALIFICATION CRITERIA, Item 9”.</w:t>
      </w:r>
    </w:p>
    <w:p w14:paraId="58A292F1" w14:textId="77777777" w:rsidR="00BB77C0" w:rsidRDefault="00370BAA">
      <w:pPr>
        <w:pStyle w:val="ListParagraph"/>
        <w:numPr>
          <w:ilvl w:val="1"/>
          <w:numId w:val="109"/>
        </w:numPr>
        <w:tabs>
          <w:tab w:val="left" w:pos="1441"/>
        </w:tabs>
        <w:spacing w:before="156" w:line="259" w:lineRule="auto"/>
        <w:ind w:right="100"/>
        <w:jc w:val="left"/>
        <w:rPr>
          <w:sz w:val="24"/>
        </w:rPr>
      </w:pPr>
      <w:r>
        <w:rPr>
          <w:color w:val="211F1F"/>
          <w:sz w:val="24"/>
        </w:rPr>
        <w:t>Pursuant to the eligibility requirements of ITT4.10, a tender is considered a foreign tenderer, if the tenderer is not registered in Kenya or if the tenderer is registered in Kenya</w:t>
      </w:r>
      <w:r>
        <w:rPr>
          <w:color w:val="211F1F"/>
          <w:spacing w:val="-8"/>
          <w:sz w:val="24"/>
        </w:rPr>
        <w:t xml:space="preserve"> </w:t>
      </w:r>
      <w:r>
        <w:rPr>
          <w:color w:val="211F1F"/>
          <w:sz w:val="24"/>
        </w:rPr>
        <w:t>and</w:t>
      </w:r>
      <w:r>
        <w:rPr>
          <w:color w:val="211F1F"/>
          <w:spacing w:val="-4"/>
          <w:sz w:val="24"/>
        </w:rPr>
        <w:t xml:space="preserve"> </w:t>
      </w:r>
      <w:r>
        <w:rPr>
          <w:color w:val="211F1F"/>
          <w:sz w:val="24"/>
        </w:rPr>
        <w:t>has</w:t>
      </w:r>
      <w:r>
        <w:rPr>
          <w:color w:val="211F1F"/>
          <w:spacing w:val="-5"/>
          <w:sz w:val="24"/>
        </w:rPr>
        <w:t xml:space="preserve"> </w:t>
      </w:r>
      <w:r>
        <w:rPr>
          <w:color w:val="211F1F"/>
          <w:sz w:val="24"/>
          <w:u w:val="single" w:color="211F1F"/>
        </w:rPr>
        <w:t>less</w:t>
      </w:r>
      <w:r>
        <w:rPr>
          <w:color w:val="211F1F"/>
          <w:spacing w:val="-9"/>
          <w:sz w:val="24"/>
          <w:u w:val="single" w:color="211F1F"/>
        </w:rPr>
        <w:t xml:space="preserve"> </w:t>
      </w:r>
      <w:r>
        <w:rPr>
          <w:color w:val="211F1F"/>
          <w:sz w:val="24"/>
          <w:u w:val="single" w:color="211F1F"/>
        </w:rPr>
        <w:t>than</w:t>
      </w:r>
      <w:r>
        <w:rPr>
          <w:color w:val="211F1F"/>
          <w:spacing w:val="-7"/>
          <w:sz w:val="24"/>
          <w:u w:val="single" w:color="211F1F"/>
        </w:rPr>
        <w:t xml:space="preserve"> </w:t>
      </w:r>
      <w:r>
        <w:rPr>
          <w:color w:val="211F1F"/>
          <w:sz w:val="24"/>
          <w:u w:val="single" w:color="211F1F"/>
        </w:rPr>
        <w:t>51</w:t>
      </w:r>
      <w:r>
        <w:rPr>
          <w:color w:val="211F1F"/>
          <w:spacing w:val="-8"/>
          <w:sz w:val="24"/>
          <w:u w:val="single" w:color="211F1F"/>
        </w:rPr>
        <w:t xml:space="preserve"> </w:t>
      </w:r>
      <w:r>
        <w:rPr>
          <w:color w:val="211F1F"/>
          <w:sz w:val="24"/>
          <w:u w:val="single" w:color="211F1F"/>
        </w:rPr>
        <w:t>percent</w:t>
      </w:r>
      <w:r>
        <w:rPr>
          <w:color w:val="211F1F"/>
          <w:spacing w:val="-3"/>
          <w:sz w:val="24"/>
        </w:rPr>
        <w:t xml:space="preserve"> </w:t>
      </w:r>
      <w:r>
        <w:rPr>
          <w:color w:val="211F1F"/>
          <w:sz w:val="24"/>
        </w:rPr>
        <w:t>ownership</w:t>
      </w:r>
      <w:r>
        <w:rPr>
          <w:color w:val="211F1F"/>
          <w:spacing w:val="-3"/>
          <w:sz w:val="24"/>
        </w:rPr>
        <w:t xml:space="preserve"> </w:t>
      </w:r>
      <w:r>
        <w:rPr>
          <w:color w:val="211F1F"/>
          <w:sz w:val="24"/>
        </w:rPr>
        <w:t>by</w:t>
      </w:r>
      <w:r>
        <w:rPr>
          <w:color w:val="211F1F"/>
          <w:spacing w:val="-8"/>
          <w:sz w:val="24"/>
        </w:rPr>
        <w:t xml:space="preserve"> </w:t>
      </w:r>
      <w:r>
        <w:rPr>
          <w:color w:val="211F1F"/>
          <w:sz w:val="24"/>
        </w:rPr>
        <w:t>Kenyan</w:t>
      </w:r>
      <w:r>
        <w:rPr>
          <w:color w:val="211F1F"/>
          <w:spacing w:val="-7"/>
          <w:sz w:val="24"/>
        </w:rPr>
        <w:t xml:space="preserve"> </w:t>
      </w:r>
      <w:r>
        <w:rPr>
          <w:color w:val="211F1F"/>
          <w:sz w:val="24"/>
        </w:rPr>
        <w:t>citizens.</w:t>
      </w:r>
      <w:r>
        <w:rPr>
          <w:color w:val="211F1F"/>
          <w:spacing w:val="-5"/>
          <w:sz w:val="24"/>
        </w:rPr>
        <w:t xml:space="preserve"> </w:t>
      </w:r>
      <w:r>
        <w:rPr>
          <w:color w:val="211F1F"/>
          <w:sz w:val="24"/>
        </w:rPr>
        <w:t>JVs</w:t>
      </w:r>
      <w:r>
        <w:rPr>
          <w:color w:val="211F1F"/>
          <w:spacing w:val="-10"/>
          <w:sz w:val="24"/>
        </w:rPr>
        <w:t xml:space="preserve"> </w:t>
      </w:r>
      <w:r>
        <w:rPr>
          <w:color w:val="211F1F"/>
          <w:sz w:val="24"/>
        </w:rPr>
        <w:t>are</w:t>
      </w:r>
      <w:r>
        <w:rPr>
          <w:color w:val="211F1F"/>
          <w:spacing w:val="-5"/>
          <w:sz w:val="24"/>
        </w:rPr>
        <w:t xml:space="preserve"> </w:t>
      </w:r>
      <w:r>
        <w:rPr>
          <w:color w:val="211F1F"/>
          <w:sz w:val="24"/>
        </w:rPr>
        <w:t>considered as foreign tenderers if the individual member firms are not registered in Kenya or if are registered in Kenya and have less than</w:t>
      </w:r>
      <w:r>
        <w:rPr>
          <w:color w:val="211F1F"/>
          <w:spacing w:val="-1"/>
          <w:sz w:val="24"/>
        </w:rPr>
        <w:t xml:space="preserve"> </w:t>
      </w:r>
      <w:r>
        <w:rPr>
          <w:color w:val="211F1F"/>
          <w:sz w:val="24"/>
        </w:rPr>
        <w:t>51 percent ownership by Kenyan</w:t>
      </w:r>
      <w:r>
        <w:rPr>
          <w:color w:val="211F1F"/>
          <w:spacing w:val="-1"/>
          <w:sz w:val="24"/>
        </w:rPr>
        <w:t xml:space="preserve"> </w:t>
      </w:r>
      <w:r>
        <w:rPr>
          <w:color w:val="211F1F"/>
          <w:sz w:val="24"/>
        </w:rPr>
        <w:t>citizens. The JV shall not subcontract to foreign firms more than 10 percent of the contract price, excluding provisional sums.</w:t>
      </w:r>
    </w:p>
    <w:p w14:paraId="6FEC07E8" w14:textId="77777777" w:rsidR="00BB77C0" w:rsidRDefault="00370BAA">
      <w:pPr>
        <w:pStyle w:val="ListParagraph"/>
        <w:numPr>
          <w:ilvl w:val="1"/>
          <w:numId w:val="109"/>
        </w:numPr>
        <w:tabs>
          <w:tab w:val="left" w:pos="1441"/>
        </w:tabs>
        <w:spacing w:before="160" w:line="259" w:lineRule="auto"/>
        <w:ind w:right="118"/>
        <w:jc w:val="left"/>
        <w:rPr>
          <w:sz w:val="24"/>
        </w:rPr>
      </w:pPr>
      <w:r>
        <w:rPr>
          <w:color w:val="211F1F"/>
          <w:sz w:val="24"/>
        </w:rPr>
        <w:t>The National</w:t>
      </w:r>
      <w:r>
        <w:rPr>
          <w:color w:val="211F1F"/>
          <w:spacing w:val="-1"/>
          <w:sz w:val="24"/>
        </w:rPr>
        <w:t xml:space="preserve"> </w:t>
      </w:r>
      <w:r>
        <w:rPr>
          <w:color w:val="211F1F"/>
          <w:sz w:val="24"/>
        </w:rPr>
        <w:t>Construction Authority</w:t>
      </w:r>
      <w:r>
        <w:rPr>
          <w:color w:val="211F1F"/>
          <w:spacing w:val="-1"/>
          <w:sz w:val="24"/>
        </w:rPr>
        <w:t xml:space="preserve"> </w:t>
      </w:r>
      <w:r>
        <w:rPr>
          <w:color w:val="211F1F"/>
          <w:sz w:val="24"/>
        </w:rPr>
        <w:t>Act of</w:t>
      </w:r>
      <w:r>
        <w:rPr>
          <w:color w:val="211F1F"/>
          <w:spacing w:val="-5"/>
          <w:sz w:val="24"/>
        </w:rPr>
        <w:t xml:space="preserve"> </w:t>
      </w:r>
      <w:r>
        <w:rPr>
          <w:color w:val="211F1F"/>
          <w:sz w:val="24"/>
        </w:rPr>
        <w:t>Kenya requires that all</w:t>
      </w:r>
      <w:r>
        <w:rPr>
          <w:color w:val="211F1F"/>
          <w:spacing w:val="-1"/>
          <w:sz w:val="24"/>
        </w:rPr>
        <w:t xml:space="preserve"> </w:t>
      </w:r>
      <w:r>
        <w:rPr>
          <w:color w:val="211F1F"/>
          <w:sz w:val="24"/>
        </w:rPr>
        <w:t>local</w:t>
      </w:r>
      <w:r>
        <w:rPr>
          <w:color w:val="211F1F"/>
          <w:spacing w:val="-1"/>
          <w:sz w:val="24"/>
        </w:rPr>
        <w:t xml:space="preserve"> </w:t>
      </w:r>
      <w:r>
        <w:rPr>
          <w:color w:val="211F1F"/>
          <w:sz w:val="24"/>
        </w:rPr>
        <w:t>and foreign contractors</w:t>
      </w:r>
      <w:r>
        <w:rPr>
          <w:color w:val="211F1F"/>
          <w:spacing w:val="-7"/>
          <w:sz w:val="24"/>
        </w:rPr>
        <w:t xml:space="preserve"> </w:t>
      </w:r>
      <w:r>
        <w:rPr>
          <w:color w:val="211F1F"/>
          <w:sz w:val="24"/>
        </w:rPr>
        <w:t>be</w:t>
      </w:r>
      <w:r>
        <w:rPr>
          <w:color w:val="211F1F"/>
          <w:spacing w:val="-4"/>
          <w:sz w:val="24"/>
        </w:rPr>
        <w:t xml:space="preserve"> </w:t>
      </w:r>
      <w:r>
        <w:rPr>
          <w:color w:val="211F1F"/>
          <w:sz w:val="24"/>
        </w:rPr>
        <w:t>registered</w:t>
      </w:r>
      <w:r>
        <w:rPr>
          <w:color w:val="211F1F"/>
          <w:spacing w:val="-3"/>
          <w:sz w:val="24"/>
        </w:rPr>
        <w:t xml:space="preserve"> </w:t>
      </w:r>
      <w:r>
        <w:rPr>
          <w:color w:val="211F1F"/>
          <w:sz w:val="24"/>
        </w:rPr>
        <w:t>with</w:t>
      </w:r>
      <w:r>
        <w:rPr>
          <w:color w:val="211F1F"/>
          <w:spacing w:val="-5"/>
          <w:sz w:val="24"/>
        </w:rPr>
        <w:t xml:space="preserve"> </w:t>
      </w:r>
      <w:r>
        <w:rPr>
          <w:color w:val="211F1F"/>
          <w:sz w:val="24"/>
        </w:rPr>
        <w:t>the</w:t>
      </w:r>
      <w:r>
        <w:rPr>
          <w:color w:val="211F1F"/>
          <w:spacing w:val="-4"/>
          <w:sz w:val="24"/>
        </w:rPr>
        <w:t xml:space="preserve"> </w:t>
      </w:r>
      <w:r>
        <w:rPr>
          <w:color w:val="211F1F"/>
          <w:sz w:val="24"/>
        </w:rPr>
        <w:t>National</w:t>
      </w:r>
      <w:r>
        <w:rPr>
          <w:color w:val="211F1F"/>
          <w:spacing w:val="-10"/>
          <w:sz w:val="24"/>
        </w:rPr>
        <w:t xml:space="preserve"> </w:t>
      </w:r>
      <w:r>
        <w:rPr>
          <w:color w:val="211F1F"/>
          <w:sz w:val="24"/>
        </w:rPr>
        <w:t>Construction</w:t>
      </w:r>
      <w:r>
        <w:rPr>
          <w:color w:val="211F1F"/>
          <w:spacing w:val="-5"/>
          <w:sz w:val="24"/>
        </w:rPr>
        <w:t xml:space="preserve"> </w:t>
      </w:r>
      <w:r>
        <w:rPr>
          <w:color w:val="211F1F"/>
          <w:sz w:val="24"/>
        </w:rPr>
        <w:t>Authority</w:t>
      </w:r>
      <w:r>
        <w:rPr>
          <w:color w:val="211F1F"/>
          <w:spacing w:val="-11"/>
          <w:sz w:val="24"/>
        </w:rPr>
        <w:t xml:space="preserve"> </w:t>
      </w:r>
      <w:r>
        <w:rPr>
          <w:color w:val="211F1F"/>
          <w:sz w:val="24"/>
        </w:rPr>
        <w:t>and</w:t>
      </w:r>
      <w:r>
        <w:rPr>
          <w:color w:val="211F1F"/>
          <w:spacing w:val="-3"/>
          <w:sz w:val="24"/>
        </w:rPr>
        <w:t xml:space="preserve"> </w:t>
      </w:r>
      <w:r>
        <w:rPr>
          <w:color w:val="211F1F"/>
          <w:sz w:val="24"/>
        </w:rPr>
        <w:t>be issued</w:t>
      </w:r>
      <w:r>
        <w:rPr>
          <w:color w:val="211F1F"/>
          <w:spacing w:val="-2"/>
          <w:sz w:val="24"/>
        </w:rPr>
        <w:t xml:space="preserve"> </w:t>
      </w:r>
      <w:r>
        <w:rPr>
          <w:color w:val="211F1F"/>
          <w:sz w:val="24"/>
        </w:rPr>
        <w:t>with a</w:t>
      </w:r>
      <w:r>
        <w:rPr>
          <w:color w:val="211F1F"/>
          <w:spacing w:val="-7"/>
          <w:sz w:val="24"/>
        </w:rPr>
        <w:t xml:space="preserve"> </w:t>
      </w:r>
      <w:r>
        <w:rPr>
          <w:color w:val="211F1F"/>
          <w:sz w:val="24"/>
        </w:rPr>
        <w:t>Registration</w:t>
      </w:r>
      <w:r>
        <w:rPr>
          <w:color w:val="211F1F"/>
          <w:spacing w:val="-9"/>
          <w:sz w:val="24"/>
        </w:rPr>
        <w:t xml:space="preserve"> </w:t>
      </w:r>
      <w:r>
        <w:rPr>
          <w:color w:val="211F1F"/>
          <w:sz w:val="24"/>
        </w:rPr>
        <w:t>Certificate</w:t>
      </w:r>
      <w:r>
        <w:rPr>
          <w:color w:val="211F1F"/>
          <w:spacing w:val="-5"/>
          <w:sz w:val="24"/>
        </w:rPr>
        <w:t xml:space="preserve"> </w:t>
      </w:r>
      <w:r>
        <w:rPr>
          <w:color w:val="211F1F"/>
          <w:sz w:val="24"/>
        </w:rPr>
        <w:t>before</w:t>
      </w:r>
      <w:r>
        <w:rPr>
          <w:color w:val="211F1F"/>
          <w:spacing w:val="-6"/>
          <w:sz w:val="24"/>
        </w:rPr>
        <w:t xml:space="preserve"> </w:t>
      </w:r>
      <w:r>
        <w:rPr>
          <w:color w:val="211F1F"/>
          <w:sz w:val="24"/>
        </w:rPr>
        <w:t>they</w:t>
      </w:r>
      <w:r>
        <w:rPr>
          <w:color w:val="211F1F"/>
          <w:spacing w:val="-15"/>
          <w:sz w:val="24"/>
        </w:rPr>
        <w:t xml:space="preserve"> </w:t>
      </w:r>
      <w:r>
        <w:rPr>
          <w:color w:val="211F1F"/>
          <w:sz w:val="24"/>
        </w:rPr>
        <w:t>can</w:t>
      </w:r>
      <w:r>
        <w:rPr>
          <w:color w:val="211F1F"/>
          <w:spacing w:val="-10"/>
          <w:sz w:val="24"/>
        </w:rPr>
        <w:t xml:space="preserve"> </w:t>
      </w:r>
      <w:r>
        <w:rPr>
          <w:color w:val="211F1F"/>
          <w:sz w:val="24"/>
        </w:rPr>
        <w:t>undertake</w:t>
      </w:r>
      <w:r>
        <w:rPr>
          <w:color w:val="211F1F"/>
          <w:spacing w:val="-6"/>
          <w:sz w:val="24"/>
        </w:rPr>
        <w:t xml:space="preserve"> </w:t>
      </w:r>
      <w:r>
        <w:rPr>
          <w:color w:val="211F1F"/>
          <w:sz w:val="24"/>
        </w:rPr>
        <w:t>any</w:t>
      </w:r>
      <w:r>
        <w:rPr>
          <w:color w:val="211F1F"/>
          <w:spacing w:val="-10"/>
          <w:sz w:val="24"/>
        </w:rPr>
        <w:t xml:space="preserve"> </w:t>
      </w:r>
      <w:r>
        <w:rPr>
          <w:color w:val="211F1F"/>
          <w:sz w:val="24"/>
        </w:rPr>
        <w:t>construction</w:t>
      </w:r>
      <w:r>
        <w:rPr>
          <w:color w:val="211F1F"/>
          <w:spacing w:val="-9"/>
          <w:sz w:val="24"/>
        </w:rPr>
        <w:t xml:space="preserve"> </w:t>
      </w:r>
      <w:r>
        <w:rPr>
          <w:color w:val="211F1F"/>
          <w:sz w:val="24"/>
        </w:rPr>
        <w:t>works</w:t>
      </w:r>
      <w:r>
        <w:rPr>
          <w:color w:val="211F1F"/>
          <w:spacing w:val="-3"/>
          <w:sz w:val="24"/>
        </w:rPr>
        <w:t xml:space="preserve"> </w:t>
      </w:r>
      <w:r>
        <w:rPr>
          <w:color w:val="211F1F"/>
          <w:sz w:val="24"/>
        </w:rPr>
        <w:t>in</w:t>
      </w:r>
      <w:r>
        <w:rPr>
          <w:color w:val="211F1F"/>
          <w:spacing w:val="-6"/>
          <w:sz w:val="24"/>
        </w:rPr>
        <w:t xml:space="preserve"> </w:t>
      </w:r>
      <w:r>
        <w:rPr>
          <w:color w:val="211F1F"/>
          <w:sz w:val="24"/>
        </w:rPr>
        <w:t>Kenya. Registration</w:t>
      </w:r>
      <w:r>
        <w:rPr>
          <w:color w:val="211F1F"/>
          <w:spacing w:val="-1"/>
          <w:sz w:val="24"/>
        </w:rPr>
        <w:t xml:space="preserve"> </w:t>
      </w:r>
      <w:r>
        <w:rPr>
          <w:color w:val="211F1F"/>
          <w:sz w:val="24"/>
        </w:rPr>
        <w:t>shall not be a condition for tender, but it shall be a condition</w:t>
      </w:r>
      <w:r>
        <w:rPr>
          <w:color w:val="211F1F"/>
          <w:spacing w:val="-1"/>
          <w:sz w:val="24"/>
        </w:rPr>
        <w:t xml:space="preserve"> </w:t>
      </w:r>
      <w:r>
        <w:rPr>
          <w:color w:val="211F1F"/>
          <w:sz w:val="24"/>
        </w:rPr>
        <w:t>of</w:t>
      </w:r>
      <w:r>
        <w:rPr>
          <w:color w:val="211F1F"/>
          <w:spacing w:val="-4"/>
          <w:sz w:val="24"/>
        </w:rPr>
        <w:t xml:space="preserve"> </w:t>
      </w:r>
      <w:r>
        <w:rPr>
          <w:color w:val="211F1F"/>
          <w:sz w:val="24"/>
        </w:rPr>
        <w:t>contract award and signature. A</w:t>
      </w:r>
      <w:r>
        <w:rPr>
          <w:color w:val="211F1F"/>
          <w:spacing w:val="-5"/>
          <w:sz w:val="24"/>
        </w:rPr>
        <w:t xml:space="preserve"> </w:t>
      </w:r>
      <w:r>
        <w:rPr>
          <w:color w:val="211F1F"/>
          <w:sz w:val="24"/>
        </w:rPr>
        <w:t>selected tenderer shall be</w:t>
      </w:r>
      <w:r>
        <w:rPr>
          <w:color w:val="211F1F"/>
          <w:spacing w:val="-1"/>
          <w:sz w:val="24"/>
        </w:rPr>
        <w:t xml:space="preserve"> </w:t>
      </w:r>
      <w:r>
        <w:rPr>
          <w:color w:val="211F1F"/>
          <w:sz w:val="24"/>
        </w:rPr>
        <w:t>given</w:t>
      </w:r>
      <w:r>
        <w:rPr>
          <w:color w:val="211F1F"/>
          <w:spacing w:val="-4"/>
          <w:sz w:val="24"/>
        </w:rPr>
        <w:t xml:space="preserve"> </w:t>
      </w:r>
      <w:r>
        <w:rPr>
          <w:color w:val="211F1F"/>
          <w:sz w:val="24"/>
        </w:rPr>
        <w:t>opportunity</w:t>
      </w:r>
      <w:r>
        <w:rPr>
          <w:color w:val="211F1F"/>
          <w:spacing w:val="-9"/>
          <w:sz w:val="24"/>
        </w:rPr>
        <w:t xml:space="preserve"> </w:t>
      </w:r>
      <w:r>
        <w:rPr>
          <w:color w:val="211F1F"/>
          <w:sz w:val="24"/>
        </w:rPr>
        <w:t xml:space="preserve">to register before such award and signature of contract. Application for registration with National Construction Authority may be accessed from the website </w:t>
      </w:r>
      <w:hyperlink r:id="rId13">
        <w:r>
          <w:rPr>
            <w:color w:val="0000C4"/>
            <w:sz w:val="24"/>
            <w:u w:val="single" w:color="0000C4"/>
          </w:rPr>
          <w:t>www.nca.go.ke</w:t>
        </w:r>
      </w:hyperlink>
      <w:r>
        <w:rPr>
          <w:color w:val="211F1F"/>
          <w:sz w:val="24"/>
        </w:rPr>
        <w:t>.</w:t>
      </w:r>
    </w:p>
    <w:p w14:paraId="4CF83FC0" w14:textId="77777777" w:rsidR="00BB77C0" w:rsidRDefault="00370BAA">
      <w:pPr>
        <w:pStyle w:val="ListParagraph"/>
        <w:numPr>
          <w:ilvl w:val="1"/>
          <w:numId w:val="109"/>
        </w:numPr>
        <w:tabs>
          <w:tab w:val="left" w:pos="1441"/>
        </w:tabs>
        <w:spacing w:before="156" w:line="259" w:lineRule="auto"/>
        <w:ind w:right="69"/>
        <w:jc w:val="left"/>
        <w:rPr>
          <w:sz w:val="24"/>
        </w:rPr>
      </w:pPr>
      <w:r>
        <w:rPr>
          <w:color w:val="211F1F"/>
          <w:sz w:val="24"/>
        </w:rPr>
        <w:t>The Competition Act of Kenya requires that firms wishing to tender as Joint Venture undertakings</w:t>
      </w:r>
      <w:r>
        <w:rPr>
          <w:color w:val="211F1F"/>
          <w:spacing w:val="-7"/>
          <w:sz w:val="24"/>
        </w:rPr>
        <w:t xml:space="preserve"> </w:t>
      </w:r>
      <w:r>
        <w:rPr>
          <w:color w:val="211F1F"/>
          <w:sz w:val="24"/>
        </w:rPr>
        <w:t>which</w:t>
      </w:r>
      <w:r>
        <w:rPr>
          <w:color w:val="211F1F"/>
          <w:spacing w:val="-5"/>
          <w:sz w:val="24"/>
        </w:rPr>
        <w:t xml:space="preserve"> </w:t>
      </w:r>
      <w:r>
        <w:rPr>
          <w:color w:val="211F1F"/>
          <w:sz w:val="24"/>
        </w:rPr>
        <w:t>may</w:t>
      </w:r>
      <w:r>
        <w:rPr>
          <w:color w:val="211F1F"/>
          <w:spacing w:val="-6"/>
          <w:sz w:val="24"/>
        </w:rPr>
        <w:t xml:space="preserve"> </w:t>
      </w:r>
      <w:r>
        <w:rPr>
          <w:color w:val="211F1F"/>
          <w:sz w:val="24"/>
        </w:rPr>
        <w:t>prevent,</w:t>
      </w:r>
      <w:r>
        <w:rPr>
          <w:color w:val="211F1F"/>
          <w:spacing w:val="-2"/>
          <w:sz w:val="24"/>
        </w:rPr>
        <w:t xml:space="preserve"> </w:t>
      </w:r>
      <w:r>
        <w:rPr>
          <w:color w:val="211F1F"/>
          <w:sz w:val="24"/>
        </w:rPr>
        <w:t>distort</w:t>
      </w:r>
      <w:r>
        <w:rPr>
          <w:color w:val="211F1F"/>
          <w:spacing w:val="-10"/>
          <w:sz w:val="24"/>
        </w:rPr>
        <w:t xml:space="preserve"> </w:t>
      </w:r>
      <w:r>
        <w:rPr>
          <w:color w:val="211F1F"/>
          <w:sz w:val="24"/>
        </w:rPr>
        <w:t>or</w:t>
      </w:r>
      <w:r>
        <w:rPr>
          <w:color w:val="211F1F"/>
          <w:spacing w:val="-4"/>
          <w:sz w:val="24"/>
        </w:rPr>
        <w:t xml:space="preserve"> </w:t>
      </w:r>
      <w:r>
        <w:rPr>
          <w:color w:val="211F1F"/>
          <w:sz w:val="24"/>
        </w:rPr>
        <w:t>lessen</w:t>
      </w:r>
      <w:r>
        <w:rPr>
          <w:color w:val="211F1F"/>
          <w:spacing w:val="-5"/>
          <w:sz w:val="24"/>
        </w:rPr>
        <w:t xml:space="preserve"> </w:t>
      </w:r>
      <w:r>
        <w:rPr>
          <w:color w:val="211F1F"/>
          <w:sz w:val="24"/>
        </w:rPr>
        <w:t>competition</w:t>
      </w:r>
      <w:r>
        <w:rPr>
          <w:color w:val="211F1F"/>
          <w:spacing w:val="-4"/>
          <w:sz w:val="24"/>
        </w:rPr>
        <w:t xml:space="preserve"> </w:t>
      </w:r>
      <w:r>
        <w:rPr>
          <w:color w:val="211F1F"/>
          <w:sz w:val="24"/>
        </w:rPr>
        <w:t>in</w:t>
      </w:r>
      <w:r>
        <w:rPr>
          <w:color w:val="211F1F"/>
          <w:spacing w:val="-11"/>
          <w:sz w:val="24"/>
        </w:rPr>
        <w:t xml:space="preserve"> </w:t>
      </w:r>
      <w:r>
        <w:rPr>
          <w:color w:val="211F1F"/>
          <w:sz w:val="24"/>
        </w:rPr>
        <w:t>provision</w:t>
      </w:r>
      <w:r>
        <w:rPr>
          <w:color w:val="211F1F"/>
          <w:spacing w:val="-9"/>
          <w:sz w:val="24"/>
        </w:rPr>
        <w:t xml:space="preserve"> </w:t>
      </w:r>
      <w:r>
        <w:rPr>
          <w:color w:val="211F1F"/>
          <w:sz w:val="24"/>
        </w:rPr>
        <w:t>of</w:t>
      </w:r>
      <w:r>
        <w:rPr>
          <w:color w:val="211F1F"/>
          <w:spacing w:val="-14"/>
          <w:sz w:val="24"/>
        </w:rPr>
        <w:t xml:space="preserve"> </w:t>
      </w:r>
      <w:r>
        <w:rPr>
          <w:color w:val="211F1F"/>
          <w:sz w:val="24"/>
        </w:rPr>
        <w:t>services are prohibited unless they</w:t>
      </w:r>
      <w:r>
        <w:rPr>
          <w:color w:val="211F1F"/>
          <w:spacing w:val="-3"/>
          <w:sz w:val="24"/>
        </w:rPr>
        <w:t xml:space="preserve"> </w:t>
      </w:r>
      <w:r>
        <w:rPr>
          <w:color w:val="211F1F"/>
          <w:sz w:val="24"/>
        </w:rPr>
        <w:t>are exempt in</w:t>
      </w:r>
      <w:r>
        <w:rPr>
          <w:color w:val="211F1F"/>
          <w:spacing w:val="-3"/>
          <w:sz w:val="24"/>
        </w:rPr>
        <w:t xml:space="preserve"> </w:t>
      </w:r>
      <w:r>
        <w:rPr>
          <w:color w:val="211F1F"/>
          <w:sz w:val="24"/>
        </w:rPr>
        <w:t>accordance with</w:t>
      </w:r>
      <w:r>
        <w:rPr>
          <w:color w:val="211F1F"/>
          <w:spacing w:val="-3"/>
          <w:sz w:val="24"/>
        </w:rPr>
        <w:t xml:space="preserve"> </w:t>
      </w:r>
      <w:r>
        <w:rPr>
          <w:color w:val="211F1F"/>
          <w:sz w:val="24"/>
        </w:rPr>
        <w:t>the provisions of</w:t>
      </w:r>
      <w:r>
        <w:rPr>
          <w:color w:val="211F1F"/>
          <w:spacing w:val="-6"/>
          <w:sz w:val="24"/>
        </w:rPr>
        <w:t xml:space="preserve"> </w:t>
      </w:r>
      <w:r>
        <w:rPr>
          <w:color w:val="211F1F"/>
          <w:sz w:val="24"/>
        </w:rPr>
        <w:t>Section</w:t>
      </w:r>
      <w:r>
        <w:rPr>
          <w:color w:val="211F1F"/>
          <w:spacing w:val="-3"/>
          <w:sz w:val="24"/>
        </w:rPr>
        <w:t xml:space="preserve"> </w:t>
      </w:r>
      <w:r>
        <w:rPr>
          <w:color w:val="211F1F"/>
          <w:sz w:val="24"/>
        </w:rPr>
        <w:t>25 of the Competition Act, 2010. JVs will be required to seek for exemption from the Competition</w:t>
      </w:r>
      <w:r>
        <w:rPr>
          <w:color w:val="211F1F"/>
          <w:spacing w:val="-3"/>
          <w:sz w:val="24"/>
        </w:rPr>
        <w:t xml:space="preserve"> </w:t>
      </w:r>
      <w:r>
        <w:rPr>
          <w:color w:val="211F1F"/>
          <w:sz w:val="24"/>
        </w:rPr>
        <w:t>Authority.</w:t>
      </w:r>
      <w:r>
        <w:rPr>
          <w:color w:val="211F1F"/>
          <w:spacing w:val="-2"/>
          <w:sz w:val="24"/>
        </w:rPr>
        <w:t xml:space="preserve"> </w:t>
      </w:r>
      <w:r>
        <w:rPr>
          <w:color w:val="211F1F"/>
          <w:sz w:val="24"/>
        </w:rPr>
        <w:t>Exemption</w:t>
      </w:r>
      <w:r>
        <w:rPr>
          <w:color w:val="211F1F"/>
          <w:spacing w:val="-7"/>
          <w:sz w:val="24"/>
        </w:rPr>
        <w:t xml:space="preserve"> </w:t>
      </w:r>
      <w:r>
        <w:rPr>
          <w:color w:val="211F1F"/>
          <w:sz w:val="24"/>
        </w:rPr>
        <w:t>shall</w:t>
      </w:r>
      <w:r>
        <w:rPr>
          <w:color w:val="211F1F"/>
          <w:spacing w:val="-6"/>
          <w:sz w:val="24"/>
        </w:rPr>
        <w:t xml:space="preserve"> </w:t>
      </w:r>
      <w:r>
        <w:rPr>
          <w:color w:val="211F1F"/>
          <w:sz w:val="24"/>
        </w:rPr>
        <w:t>not</w:t>
      </w:r>
      <w:r>
        <w:rPr>
          <w:color w:val="211F1F"/>
          <w:spacing w:val="-3"/>
          <w:sz w:val="24"/>
        </w:rPr>
        <w:t xml:space="preserve"> </w:t>
      </w:r>
      <w:r>
        <w:rPr>
          <w:color w:val="211F1F"/>
          <w:sz w:val="24"/>
        </w:rPr>
        <w:t>be a</w:t>
      </w:r>
      <w:r>
        <w:rPr>
          <w:color w:val="211F1F"/>
          <w:spacing w:val="-4"/>
          <w:sz w:val="24"/>
        </w:rPr>
        <w:t xml:space="preserve"> </w:t>
      </w:r>
      <w:r>
        <w:rPr>
          <w:color w:val="211F1F"/>
          <w:sz w:val="24"/>
        </w:rPr>
        <w:t>condition</w:t>
      </w:r>
      <w:r>
        <w:rPr>
          <w:color w:val="211F1F"/>
          <w:spacing w:val="-3"/>
          <w:sz w:val="24"/>
        </w:rPr>
        <w:t xml:space="preserve"> </w:t>
      </w:r>
      <w:r>
        <w:rPr>
          <w:color w:val="211F1F"/>
          <w:sz w:val="24"/>
        </w:rPr>
        <w:t>for</w:t>
      </w:r>
      <w:r>
        <w:rPr>
          <w:color w:val="211F1F"/>
          <w:spacing w:val="-4"/>
          <w:sz w:val="24"/>
        </w:rPr>
        <w:t xml:space="preserve"> </w:t>
      </w:r>
      <w:r>
        <w:rPr>
          <w:color w:val="211F1F"/>
          <w:sz w:val="24"/>
        </w:rPr>
        <w:t>tender,</w:t>
      </w:r>
      <w:r>
        <w:rPr>
          <w:color w:val="211F1F"/>
          <w:spacing w:val="-1"/>
          <w:sz w:val="24"/>
        </w:rPr>
        <w:t xml:space="preserve"> </w:t>
      </w:r>
      <w:r>
        <w:rPr>
          <w:color w:val="211F1F"/>
          <w:sz w:val="24"/>
        </w:rPr>
        <w:t>but</w:t>
      </w:r>
      <w:r>
        <w:rPr>
          <w:color w:val="211F1F"/>
          <w:spacing w:val="-3"/>
          <w:sz w:val="24"/>
        </w:rPr>
        <w:t xml:space="preserve"> </w:t>
      </w:r>
      <w:r>
        <w:rPr>
          <w:color w:val="211F1F"/>
          <w:sz w:val="24"/>
        </w:rPr>
        <w:t>it shall</w:t>
      </w:r>
      <w:r>
        <w:rPr>
          <w:color w:val="211F1F"/>
          <w:spacing w:val="-6"/>
          <w:sz w:val="24"/>
        </w:rPr>
        <w:t xml:space="preserve"> </w:t>
      </w:r>
      <w:r>
        <w:rPr>
          <w:color w:val="211F1F"/>
          <w:sz w:val="24"/>
        </w:rPr>
        <w:t>be</w:t>
      </w:r>
      <w:r>
        <w:rPr>
          <w:color w:val="211F1F"/>
          <w:spacing w:val="-1"/>
          <w:sz w:val="24"/>
        </w:rPr>
        <w:t xml:space="preserve"> </w:t>
      </w:r>
      <w:r>
        <w:rPr>
          <w:color w:val="211F1F"/>
          <w:sz w:val="24"/>
        </w:rPr>
        <w:t>a condition</w:t>
      </w:r>
      <w:r>
        <w:rPr>
          <w:color w:val="211F1F"/>
          <w:spacing w:val="-4"/>
          <w:sz w:val="24"/>
        </w:rPr>
        <w:t xml:space="preserve"> </w:t>
      </w:r>
      <w:r>
        <w:rPr>
          <w:color w:val="211F1F"/>
          <w:sz w:val="24"/>
        </w:rPr>
        <w:t>of</w:t>
      </w:r>
      <w:r>
        <w:rPr>
          <w:color w:val="211F1F"/>
          <w:spacing w:val="-14"/>
          <w:sz w:val="24"/>
        </w:rPr>
        <w:t xml:space="preserve"> </w:t>
      </w:r>
      <w:r>
        <w:rPr>
          <w:color w:val="211F1F"/>
          <w:sz w:val="24"/>
        </w:rPr>
        <w:t>contract award</w:t>
      </w:r>
      <w:r>
        <w:rPr>
          <w:color w:val="211F1F"/>
          <w:spacing w:val="-4"/>
          <w:sz w:val="24"/>
        </w:rPr>
        <w:t xml:space="preserve"> </w:t>
      </w:r>
      <w:r>
        <w:rPr>
          <w:color w:val="211F1F"/>
          <w:sz w:val="24"/>
        </w:rPr>
        <w:t>and</w:t>
      </w:r>
      <w:r>
        <w:rPr>
          <w:color w:val="211F1F"/>
          <w:spacing w:val="-1"/>
          <w:sz w:val="24"/>
        </w:rPr>
        <w:t xml:space="preserve"> </w:t>
      </w:r>
      <w:r>
        <w:rPr>
          <w:color w:val="211F1F"/>
          <w:sz w:val="24"/>
        </w:rPr>
        <w:t>signature. A</w:t>
      </w:r>
      <w:r>
        <w:rPr>
          <w:color w:val="211F1F"/>
          <w:spacing w:val="-9"/>
          <w:sz w:val="24"/>
        </w:rPr>
        <w:t xml:space="preserve"> </w:t>
      </w:r>
      <w:r>
        <w:rPr>
          <w:color w:val="211F1F"/>
          <w:sz w:val="24"/>
        </w:rPr>
        <w:t>JV</w:t>
      </w:r>
      <w:r>
        <w:rPr>
          <w:color w:val="211F1F"/>
          <w:spacing w:val="-6"/>
          <w:sz w:val="24"/>
        </w:rPr>
        <w:t xml:space="preserve"> </w:t>
      </w:r>
      <w:r>
        <w:rPr>
          <w:color w:val="211F1F"/>
          <w:sz w:val="24"/>
        </w:rPr>
        <w:t>tenderer</w:t>
      </w:r>
      <w:r>
        <w:rPr>
          <w:color w:val="211F1F"/>
          <w:spacing w:val="-3"/>
          <w:sz w:val="24"/>
        </w:rPr>
        <w:t xml:space="preserve"> </w:t>
      </w:r>
      <w:r>
        <w:rPr>
          <w:color w:val="211F1F"/>
          <w:sz w:val="24"/>
        </w:rPr>
        <w:t>shall</w:t>
      </w:r>
      <w:r>
        <w:rPr>
          <w:color w:val="211F1F"/>
          <w:spacing w:val="-4"/>
          <w:sz w:val="24"/>
        </w:rPr>
        <w:t xml:space="preserve"> </w:t>
      </w:r>
      <w:r>
        <w:rPr>
          <w:color w:val="211F1F"/>
          <w:sz w:val="24"/>
        </w:rPr>
        <w:t>be</w:t>
      </w:r>
      <w:r>
        <w:rPr>
          <w:color w:val="211F1F"/>
          <w:spacing w:val="-7"/>
          <w:sz w:val="24"/>
        </w:rPr>
        <w:t xml:space="preserve"> </w:t>
      </w:r>
      <w:r>
        <w:rPr>
          <w:color w:val="211F1F"/>
          <w:sz w:val="24"/>
        </w:rPr>
        <w:t>given</w:t>
      </w:r>
      <w:r>
        <w:rPr>
          <w:color w:val="211F1F"/>
          <w:spacing w:val="-5"/>
          <w:sz w:val="24"/>
        </w:rPr>
        <w:t xml:space="preserve"> </w:t>
      </w:r>
      <w:r>
        <w:rPr>
          <w:color w:val="211F1F"/>
          <w:sz w:val="24"/>
        </w:rPr>
        <w:t>opportunity</w:t>
      </w:r>
      <w:r>
        <w:rPr>
          <w:color w:val="211F1F"/>
          <w:spacing w:val="-9"/>
          <w:sz w:val="24"/>
        </w:rPr>
        <w:t xml:space="preserve"> </w:t>
      </w:r>
      <w:r>
        <w:rPr>
          <w:color w:val="211F1F"/>
          <w:sz w:val="24"/>
        </w:rPr>
        <w:t xml:space="preserve">to seek such exemption as a condition of award and signature of contract. Application for exemption from the Competition Authority of Kenya may be accessed from the website </w:t>
      </w:r>
      <w:hyperlink r:id="rId14">
        <w:r>
          <w:rPr>
            <w:color w:val="0000C4"/>
            <w:sz w:val="24"/>
            <w:u w:val="single" w:color="0000C4"/>
          </w:rPr>
          <w:t>www.cak.go.ke</w:t>
        </w:r>
        <w:r>
          <w:rPr>
            <w:color w:val="211F1F"/>
            <w:sz w:val="24"/>
          </w:rPr>
          <w:t>.</w:t>
        </w:r>
      </w:hyperlink>
    </w:p>
    <w:p w14:paraId="6AB274F3" w14:textId="77777777" w:rsidR="00BB77C0" w:rsidRDefault="00370BAA">
      <w:pPr>
        <w:pStyle w:val="ListParagraph"/>
        <w:numPr>
          <w:ilvl w:val="1"/>
          <w:numId w:val="109"/>
        </w:numPr>
        <w:tabs>
          <w:tab w:val="left" w:pos="1441"/>
        </w:tabs>
        <w:spacing w:before="160" w:line="256" w:lineRule="auto"/>
        <w:ind w:right="57"/>
        <w:jc w:val="left"/>
        <w:rPr>
          <w:sz w:val="24"/>
        </w:rPr>
      </w:pPr>
      <w:r>
        <w:rPr>
          <w:color w:val="211F1F"/>
          <w:sz w:val="24"/>
        </w:rPr>
        <w:t>A</w:t>
      </w:r>
      <w:r>
        <w:rPr>
          <w:color w:val="211F1F"/>
          <w:spacing w:val="-7"/>
          <w:sz w:val="24"/>
        </w:rPr>
        <w:t xml:space="preserve"> </w:t>
      </w:r>
      <w:r>
        <w:rPr>
          <w:color w:val="211F1F"/>
          <w:sz w:val="24"/>
        </w:rPr>
        <w:t>Kenyan</w:t>
      </w:r>
      <w:r>
        <w:rPr>
          <w:color w:val="211F1F"/>
          <w:spacing w:val="-11"/>
          <w:sz w:val="24"/>
        </w:rPr>
        <w:t xml:space="preserve"> </w:t>
      </w:r>
      <w:r>
        <w:rPr>
          <w:color w:val="211F1F"/>
          <w:sz w:val="24"/>
        </w:rPr>
        <w:t>tenderer</w:t>
      </w:r>
      <w:r>
        <w:rPr>
          <w:color w:val="211F1F"/>
          <w:spacing w:val="-5"/>
          <w:sz w:val="24"/>
        </w:rPr>
        <w:t xml:space="preserve"> </w:t>
      </w:r>
      <w:r>
        <w:rPr>
          <w:color w:val="211F1F"/>
          <w:sz w:val="24"/>
        </w:rPr>
        <w:t>shall</w:t>
      </w:r>
      <w:r>
        <w:rPr>
          <w:color w:val="211F1F"/>
          <w:spacing w:val="-5"/>
          <w:sz w:val="24"/>
        </w:rPr>
        <w:t xml:space="preserve"> </w:t>
      </w:r>
      <w:r>
        <w:rPr>
          <w:color w:val="211F1F"/>
          <w:sz w:val="24"/>
        </w:rPr>
        <w:t>be</w:t>
      </w:r>
      <w:r>
        <w:rPr>
          <w:color w:val="211F1F"/>
          <w:spacing w:val="-8"/>
          <w:sz w:val="24"/>
        </w:rPr>
        <w:t xml:space="preserve"> </w:t>
      </w:r>
      <w:r>
        <w:rPr>
          <w:color w:val="211F1F"/>
          <w:sz w:val="24"/>
        </w:rPr>
        <w:t>eligible</w:t>
      </w:r>
      <w:r>
        <w:rPr>
          <w:color w:val="211F1F"/>
          <w:spacing w:val="-6"/>
          <w:sz w:val="24"/>
        </w:rPr>
        <w:t xml:space="preserve"> </w:t>
      </w:r>
      <w:r>
        <w:rPr>
          <w:color w:val="211F1F"/>
          <w:sz w:val="24"/>
        </w:rPr>
        <w:t>to</w:t>
      </w:r>
      <w:r>
        <w:rPr>
          <w:color w:val="211F1F"/>
          <w:spacing w:val="-12"/>
          <w:sz w:val="24"/>
        </w:rPr>
        <w:t xml:space="preserve"> </w:t>
      </w:r>
      <w:r>
        <w:rPr>
          <w:color w:val="211F1F"/>
          <w:sz w:val="24"/>
        </w:rPr>
        <w:t>tender</w:t>
      </w:r>
      <w:r>
        <w:rPr>
          <w:color w:val="211F1F"/>
          <w:spacing w:val="-1"/>
          <w:sz w:val="24"/>
        </w:rPr>
        <w:t xml:space="preserve"> </w:t>
      </w:r>
      <w:r>
        <w:rPr>
          <w:color w:val="211F1F"/>
          <w:sz w:val="24"/>
        </w:rPr>
        <w:t>if</w:t>
      </w:r>
      <w:r>
        <w:rPr>
          <w:color w:val="211F1F"/>
          <w:spacing w:val="-10"/>
          <w:sz w:val="24"/>
        </w:rPr>
        <w:t xml:space="preserve"> </w:t>
      </w:r>
      <w:r>
        <w:rPr>
          <w:color w:val="211F1F"/>
          <w:sz w:val="24"/>
        </w:rPr>
        <w:t>it provides</w:t>
      </w:r>
      <w:r>
        <w:rPr>
          <w:color w:val="211F1F"/>
          <w:spacing w:val="-8"/>
          <w:sz w:val="24"/>
        </w:rPr>
        <w:t xml:space="preserve"> </w:t>
      </w:r>
      <w:r>
        <w:rPr>
          <w:color w:val="211F1F"/>
          <w:sz w:val="24"/>
        </w:rPr>
        <w:t>evidence</w:t>
      </w:r>
      <w:r>
        <w:rPr>
          <w:color w:val="211F1F"/>
          <w:spacing w:val="-7"/>
          <w:sz w:val="24"/>
        </w:rPr>
        <w:t xml:space="preserve"> </w:t>
      </w:r>
      <w:r>
        <w:rPr>
          <w:color w:val="211F1F"/>
          <w:sz w:val="24"/>
        </w:rPr>
        <w:t>of</w:t>
      </w:r>
      <w:r>
        <w:rPr>
          <w:color w:val="211F1F"/>
          <w:spacing w:val="-10"/>
          <w:sz w:val="24"/>
        </w:rPr>
        <w:t xml:space="preserve"> </w:t>
      </w:r>
      <w:r>
        <w:rPr>
          <w:color w:val="211F1F"/>
          <w:sz w:val="24"/>
        </w:rPr>
        <w:t>having</w:t>
      </w:r>
      <w:r>
        <w:rPr>
          <w:color w:val="211F1F"/>
          <w:spacing w:val="-3"/>
          <w:sz w:val="24"/>
        </w:rPr>
        <w:t xml:space="preserve"> </w:t>
      </w:r>
      <w:r>
        <w:rPr>
          <w:color w:val="211F1F"/>
          <w:sz w:val="24"/>
        </w:rPr>
        <w:t>fulfilled his/her tax obligations by producing a valid tax compliance or valid tax certificate issued by the Kenya Revenue Authority.</w:t>
      </w:r>
    </w:p>
    <w:p w14:paraId="5B3D8410" w14:textId="77777777" w:rsidR="00BB77C0" w:rsidRDefault="00BB77C0">
      <w:pPr>
        <w:pStyle w:val="BodyText"/>
        <w:rPr>
          <w:sz w:val="24"/>
        </w:rPr>
      </w:pPr>
    </w:p>
    <w:p w14:paraId="62004854" w14:textId="77777777" w:rsidR="00BB77C0" w:rsidRDefault="00BB77C0">
      <w:pPr>
        <w:pStyle w:val="BodyText"/>
        <w:spacing w:before="151"/>
        <w:rPr>
          <w:sz w:val="24"/>
        </w:rPr>
      </w:pPr>
    </w:p>
    <w:p w14:paraId="3FE3BBA5" w14:textId="77777777" w:rsidR="00BB77C0" w:rsidRDefault="00370BAA">
      <w:pPr>
        <w:pStyle w:val="Heading6"/>
        <w:numPr>
          <w:ilvl w:val="0"/>
          <w:numId w:val="109"/>
        </w:numPr>
        <w:tabs>
          <w:tab w:val="left" w:pos="720"/>
        </w:tabs>
        <w:ind w:hanging="720"/>
      </w:pPr>
      <w:bookmarkStart w:id="16" w:name="4.0_Eligible_Goods,_Equipment,_and_Servi"/>
      <w:bookmarkStart w:id="17" w:name="_bookmark7"/>
      <w:bookmarkEnd w:id="16"/>
      <w:bookmarkEnd w:id="17"/>
      <w:r>
        <w:t>Eligible</w:t>
      </w:r>
      <w:r>
        <w:rPr>
          <w:spacing w:val="-7"/>
        </w:rPr>
        <w:t xml:space="preserve"> </w:t>
      </w:r>
      <w:r>
        <w:t>Goods,</w:t>
      </w:r>
      <w:r>
        <w:rPr>
          <w:spacing w:val="-4"/>
        </w:rPr>
        <w:t xml:space="preserve"> </w:t>
      </w:r>
      <w:r>
        <w:t>Equipment,</w:t>
      </w:r>
      <w:r>
        <w:rPr>
          <w:spacing w:val="-2"/>
        </w:rPr>
        <w:t xml:space="preserve"> </w:t>
      </w:r>
      <w:r>
        <w:t>and</w:t>
      </w:r>
      <w:r>
        <w:rPr>
          <w:spacing w:val="-10"/>
        </w:rPr>
        <w:t xml:space="preserve"> </w:t>
      </w:r>
      <w:r>
        <w:rPr>
          <w:spacing w:val="-2"/>
        </w:rPr>
        <w:t>Services</w:t>
      </w:r>
    </w:p>
    <w:p w14:paraId="1EA28FD2" w14:textId="77777777" w:rsidR="00BB77C0" w:rsidRDefault="00BB77C0">
      <w:pPr>
        <w:pStyle w:val="BodyText"/>
        <w:spacing w:before="260"/>
        <w:rPr>
          <w:b/>
          <w:sz w:val="24"/>
        </w:rPr>
      </w:pPr>
    </w:p>
    <w:p w14:paraId="5D742DD3" w14:textId="77777777" w:rsidR="00BB77C0" w:rsidRDefault="00370BAA">
      <w:pPr>
        <w:pStyle w:val="ListParagraph"/>
        <w:numPr>
          <w:ilvl w:val="1"/>
          <w:numId w:val="109"/>
        </w:numPr>
        <w:tabs>
          <w:tab w:val="left" w:pos="1441"/>
        </w:tabs>
        <w:spacing w:line="259" w:lineRule="auto"/>
        <w:ind w:right="516"/>
        <w:jc w:val="left"/>
        <w:rPr>
          <w:sz w:val="24"/>
        </w:rPr>
      </w:pPr>
      <w:r>
        <w:rPr>
          <w:color w:val="211F1F"/>
          <w:sz w:val="24"/>
        </w:rPr>
        <w:t>Goods, equipment and services to be supplied under</w:t>
      </w:r>
      <w:r>
        <w:rPr>
          <w:color w:val="211F1F"/>
          <w:spacing w:val="-1"/>
          <w:sz w:val="24"/>
        </w:rPr>
        <w:t xml:space="preserve"> </w:t>
      </w:r>
      <w:r>
        <w:rPr>
          <w:color w:val="211F1F"/>
          <w:sz w:val="24"/>
        </w:rPr>
        <w:t>the Contract may</w:t>
      </w:r>
      <w:r>
        <w:rPr>
          <w:color w:val="211F1F"/>
          <w:spacing w:val="-3"/>
          <w:sz w:val="24"/>
        </w:rPr>
        <w:t xml:space="preserve"> </w:t>
      </w:r>
      <w:r>
        <w:rPr>
          <w:color w:val="211F1F"/>
          <w:sz w:val="24"/>
        </w:rPr>
        <w:t>have their origin</w:t>
      </w:r>
      <w:r>
        <w:rPr>
          <w:color w:val="211F1F"/>
          <w:spacing w:val="-2"/>
          <w:sz w:val="24"/>
        </w:rPr>
        <w:t xml:space="preserve"> </w:t>
      </w:r>
      <w:r>
        <w:rPr>
          <w:color w:val="211F1F"/>
          <w:sz w:val="24"/>
        </w:rPr>
        <w:t>in</w:t>
      </w:r>
      <w:r>
        <w:rPr>
          <w:color w:val="211F1F"/>
          <w:spacing w:val="-8"/>
          <w:sz w:val="24"/>
        </w:rPr>
        <w:t xml:space="preserve"> </w:t>
      </w:r>
      <w:r>
        <w:rPr>
          <w:color w:val="211F1F"/>
          <w:sz w:val="24"/>
        </w:rPr>
        <w:t>any</w:t>
      </w:r>
      <w:r>
        <w:rPr>
          <w:color w:val="211F1F"/>
          <w:spacing w:val="-11"/>
          <w:sz w:val="24"/>
        </w:rPr>
        <w:t xml:space="preserve"> </w:t>
      </w:r>
      <w:r>
        <w:rPr>
          <w:color w:val="211F1F"/>
          <w:sz w:val="24"/>
        </w:rPr>
        <w:t>country</w:t>
      </w:r>
      <w:r>
        <w:rPr>
          <w:color w:val="211F1F"/>
          <w:spacing w:val="-10"/>
          <w:sz w:val="24"/>
        </w:rPr>
        <w:t xml:space="preserve"> </w:t>
      </w:r>
      <w:r>
        <w:rPr>
          <w:color w:val="211F1F"/>
          <w:sz w:val="24"/>
        </w:rPr>
        <w:t>that is</w:t>
      </w:r>
      <w:r>
        <w:rPr>
          <w:color w:val="211F1F"/>
          <w:spacing w:val="-4"/>
          <w:sz w:val="24"/>
        </w:rPr>
        <w:t xml:space="preserve"> </w:t>
      </w:r>
      <w:r>
        <w:rPr>
          <w:color w:val="211F1F"/>
          <w:sz w:val="24"/>
        </w:rPr>
        <w:t>not</w:t>
      </w:r>
      <w:r>
        <w:rPr>
          <w:color w:val="211F1F"/>
          <w:spacing w:val="-2"/>
          <w:sz w:val="24"/>
        </w:rPr>
        <w:t xml:space="preserve"> </w:t>
      </w:r>
      <w:r>
        <w:rPr>
          <w:color w:val="211F1F"/>
          <w:sz w:val="24"/>
        </w:rPr>
        <w:t>ineligible</w:t>
      </w:r>
      <w:r>
        <w:rPr>
          <w:color w:val="211F1F"/>
          <w:spacing w:val="-8"/>
          <w:sz w:val="24"/>
        </w:rPr>
        <w:t xml:space="preserve"> </w:t>
      </w:r>
      <w:r>
        <w:rPr>
          <w:color w:val="211F1F"/>
          <w:sz w:val="24"/>
        </w:rPr>
        <w:t>under</w:t>
      </w:r>
      <w:r>
        <w:rPr>
          <w:color w:val="211F1F"/>
          <w:spacing w:val="-6"/>
          <w:sz w:val="24"/>
        </w:rPr>
        <w:t xml:space="preserve"> </w:t>
      </w:r>
      <w:r>
        <w:rPr>
          <w:color w:val="211F1F"/>
          <w:sz w:val="24"/>
        </w:rPr>
        <w:t>ITT3.9.</w:t>
      </w:r>
      <w:r>
        <w:rPr>
          <w:color w:val="211F1F"/>
          <w:spacing w:val="-4"/>
          <w:sz w:val="24"/>
        </w:rPr>
        <w:t xml:space="preserve"> </w:t>
      </w:r>
      <w:r>
        <w:rPr>
          <w:color w:val="211F1F"/>
          <w:sz w:val="24"/>
        </w:rPr>
        <w:t>At</w:t>
      </w:r>
      <w:r>
        <w:rPr>
          <w:color w:val="211F1F"/>
          <w:spacing w:val="-7"/>
          <w:sz w:val="24"/>
        </w:rPr>
        <w:t xml:space="preserve"> </w:t>
      </w:r>
      <w:r>
        <w:rPr>
          <w:color w:val="211F1F"/>
          <w:sz w:val="24"/>
        </w:rPr>
        <w:t>the</w:t>
      </w:r>
      <w:r>
        <w:rPr>
          <w:color w:val="211F1F"/>
          <w:spacing w:val="-8"/>
          <w:sz w:val="24"/>
        </w:rPr>
        <w:t xml:space="preserve"> </w:t>
      </w:r>
      <w:r>
        <w:rPr>
          <w:color w:val="211F1F"/>
          <w:sz w:val="24"/>
        </w:rPr>
        <w:t>Procuring</w:t>
      </w:r>
      <w:r>
        <w:rPr>
          <w:color w:val="211F1F"/>
          <w:spacing w:val="-2"/>
          <w:sz w:val="24"/>
        </w:rPr>
        <w:t xml:space="preserve"> </w:t>
      </w:r>
      <w:r>
        <w:rPr>
          <w:color w:val="211F1F"/>
          <w:sz w:val="24"/>
        </w:rPr>
        <w:t>Entity's request, Tenderers may be required to provide evidence of the origin of Goods, equipment and services.</w:t>
      </w:r>
    </w:p>
    <w:p w14:paraId="4D0EDCE1" w14:textId="77777777" w:rsidR="00BB77C0" w:rsidRDefault="00BB77C0">
      <w:pPr>
        <w:pStyle w:val="ListParagraph"/>
        <w:spacing w:line="259" w:lineRule="auto"/>
        <w:rPr>
          <w:sz w:val="24"/>
        </w:rPr>
        <w:sectPr w:rsidR="00BB77C0">
          <w:pgSz w:w="11930" w:h="16870"/>
          <w:pgMar w:top="1340" w:right="1080" w:bottom="280" w:left="1080" w:header="720" w:footer="720" w:gutter="0"/>
          <w:cols w:space="720"/>
        </w:sectPr>
      </w:pPr>
    </w:p>
    <w:p w14:paraId="4E3C8CCA" w14:textId="77777777" w:rsidR="00BB77C0" w:rsidRDefault="00370BAA">
      <w:pPr>
        <w:pStyle w:val="ListParagraph"/>
        <w:numPr>
          <w:ilvl w:val="1"/>
          <w:numId w:val="109"/>
        </w:numPr>
        <w:tabs>
          <w:tab w:val="left" w:pos="1441"/>
        </w:tabs>
        <w:spacing w:before="75" w:line="259" w:lineRule="auto"/>
        <w:ind w:right="266"/>
        <w:jc w:val="left"/>
        <w:rPr>
          <w:sz w:val="24"/>
        </w:rPr>
      </w:pPr>
      <w:r>
        <w:rPr>
          <w:color w:val="211F1F"/>
          <w:sz w:val="24"/>
        </w:rPr>
        <w:lastRenderedPageBreak/>
        <w:t>Any goods, works and production processes with characteristics that have been declared by the relevant national environmental protection agency or by other competent</w:t>
      </w:r>
      <w:r>
        <w:rPr>
          <w:color w:val="211F1F"/>
          <w:spacing w:val="-1"/>
          <w:sz w:val="24"/>
        </w:rPr>
        <w:t xml:space="preserve"> </w:t>
      </w:r>
      <w:r>
        <w:rPr>
          <w:color w:val="211F1F"/>
          <w:sz w:val="24"/>
        </w:rPr>
        <w:t>authority</w:t>
      </w:r>
      <w:r>
        <w:rPr>
          <w:color w:val="211F1F"/>
          <w:spacing w:val="-15"/>
          <w:sz w:val="24"/>
        </w:rPr>
        <w:t xml:space="preserve"> </w:t>
      </w:r>
      <w:r>
        <w:rPr>
          <w:color w:val="211F1F"/>
          <w:sz w:val="24"/>
        </w:rPr>
        <w:t>as</w:t>
      </w:r>
      <w:r>
        <w:rPr>
          <w:color w:val="211F1F"/>
          <w:spacing w:val="-4"/>
          <w:sz w:val="24"/>
        </w:rPr>
        <w:t xml:space="preserve"> </w:t>
      </w:r>
      <w:r>
        <w:rPr>
          <w:color w:val="211F1F"/>
          <w:sz w:val="24"/>
        </w:rPr>
        <w:t>harmful</w:t>
      </w:r>
      <w:r>
        <w:rPr>
          <w:color w:val="211F1F"/>
          <w:spacing w:val="-10"/>
          <w:sz w:val="24"/>
        </w:rPr>
        <w:t xml:space="preserve"> </w:t>
      </w:r>
      <w:r>
        <w:rPr>
          <w:color w:val="211F1F"/>
          <w:sz w:val="24"/>
        </w:rPr>
        <w:t>to</w:t>
      </w:r>
      <w:r>
        <w:rPr>
          <w:color w:val="211F1F"/>
          <w:spacing w:val="-3"/>
          <w:sz w:val="24"/>
        </w:rPr>
        <w:t xml:space="preserve"> </w:t>
      </w:r>
      <w:r>
        <w:rPr>
          <w:color w:val="211F1F"/>
          <w:sz w:val="24"/>
        </w:rPr>
        <w:t>human</w:t>
      </w:r>
      <w:r>
        <w:rPr>
          <w:color w:val="211F1F"/>
          <w:spacing w:val="-6"/>
          <w:sz w:val="24"/>
        </w:rPr>
        <w:t xml:space="preserve"> </w:t>
      </w:r>
      <w:r>
        <w:rPr>
          <w:color w:val="211F1F"/>
          <w:sz w:val="24"/>
        </w:rPr>
        <w:t>beings</w:t>
      </w:r>
      <w:r>
        <w:rPr>
          <w:color w:val="211F1F"/>
          <w:spacing w:val="-8"/>
          <w:sz w:val="24"/>
        </w:rPr>
        <w:t xml:space="preserve"> </w:t>
      </w:r>
      <w:r>
        <w:rPr>
          <w:color w:val="211F1F"/>
          <w:sz w:val="24"/>
        </w:rPr>
        <w:t>and</w:t>
      </w:r>
      <w:r>
        <w:rPr>
          <w:color w:val="211F1F"/>
          <w:spacing w:val="-7"/>
          <w:sz w:val="24"/>
        </w:rPr>
        <w:t xml:space="preserve"> </w:t>
      </w:r>
      <w:r>
        <w:rPr>
          <w:color w:val="211F1F"/>
          <w:sz w:val="24"/>
        </w:rPr>
        <w:t>to</w:t>
      </w:r>
      <w:r>
        <w:rPr>
          <w:color w:val="211F1F"/>
          <w:spacing w:val="-6"/>
          <w:sz w:val="24"/>
        </w:rPr>
        <w:t xml:space="preserve"> </w:t>
      </w:r>
      <w:r>
        <w:rPr>
          <w:color w:val="211F1F"/>
          <w:sz w:val="24"/>
        </w:rPr>
        <w:t>the</w:t>
      </w:r>
      <w:r>
        <w:rPr>
          <w:color w:val="211F1F"/>
          <w:spacing w:val="-8"/>
          <w:sz w:val="24"/>
        </w:rPr>
        <w:t xml:space="preserve"> </w:t>
      </w:r>
      <w:r>
        <w:rPr>
          <w:color w:val="211F1F"/>
          <w:sz w:val="24"/>
        </w:rPr>
        <w:t>environment</w:t>
      </w:r>
      <w:r>
        <w:rPr>
          <w:color w:val="211F1F"/>
          <w:spacing w:val="-1"/>
          <w:sz w:val="24"/>
        </w:rPr>
        <w:t xml:space="preserve"> </w:t>
      </w:r>
      <w:r>
        <w:rPr>
          <w:color w:val="211F1F"/>
          <w:sz w:val="24"/>
        </w:rPr>
        <w:t>shall</w:t>
      </w:r>
      <w:r>
        <w:rPr>
          <w:color w:val="211F1F"/>
          <w:spacing w:val="-10"/>
          <w:sz w:val="24"/>
        </w:rPr>
        <w:t xml:space="preserve"> </w:t>
      </w:r>
      <w:r>
        <w:rPr>
          <w:color w:val="211F1F"/>
          <w:sz w:val="24"/>
        </w:rPr>
        <w:t>not</w:t>
      </w:r>
      <w:r>
        <w:rPr>
          <w:color w:val="211F1F"/>
          <w:spacing w:val="-2"/>
          <w:sz w:val="24"/>
        </w:rPr>
        <w:t xml:space="preserve"> </w:t>
      </w:r>
      <w:r>
        <w:rPr>
          <w:color w:val="211F1F"/>
          <w:sz w:val="24"/>
        </w:rPr>
        <w:t>be eligible for procurement.</w:t>
      </w:r>
    </w:p>
    <w:p w14:paraId="03F1EE30" w14:textId="77777777" w:rsidR="00BB77C0" w:rsidRDefault="00370BAA">
      <w:pPr>
        <w:pStyle w:val="Heading6"/>
        <w:numPr>
          <w:ilvl w:val="0"/>
          <w:numId w:val="109"/>
        </w:numPr>
        <w:tabs>
          <w:tab w:val="left" w:pos="720"/>
        </w:tabs>
        <w:spacing w:before="249"/>
        <w:ind w:hanging="720"/>
        <w:jc w:val="both"/>
      </w:pPr>
      <w:bookmarkStart w:id="18" w:name="5.0_Tenderer's_Responsibilities"/>
      <w:bookmarkStart w:id="19" w:name="_bookmark8"/>
      <w:bookmarkEnd w:id="18"/>
      <w:bookmarkEnd w:id="19"/>
      <w:r>
        <w:rPr>
          <w:spacing w:val="-4"/>
        </w:rPr>
        <w:t>Tenderer's</w:t>
      </w:r>
      <w:r>
        <w:t xml:space="preserve"> </w:t>
      </w:r>
      <w:r>
        <w:rPr>
          <w:spacing w:val="-2"/>
        </w:rPr>
        <w:t>Responsibilities</w:t>
      </w:r>
    </w:p>
    <w:p w14:paraId="734B61E1" w14:textId="77777777" w:rsidR="00BB77C0" w:rsidRDefault="00370BAA">
      <w:pPr>
        <w:pStyle w:val="ListParagraph"/>
        <w:numPr>
          <w:ilvl w:val="1"/>
          <w:numId w:val="109"/>
        </w:numPr>
        <w:tabs>
          <w:tab w:val="left" w:pos="1439"/>
          <w:tab w:val="left" w:pos="1441"/>
        </w:tabs>
        <w:spacing w:before="74" w:line="259" w:lineRule="auto"/>
        <w:ind w:right="413"/>
        <w:jc w:val="both"/>
        <w:rPr>
          <w:sz w:val="24"/>
        </w:rPr>
      </w:pPr>
      <w:r>
        <w:rPr>
          <w:color w:val="211F1F"/>
          <w:sz w:val="24"/>
        </w:rPr>
        <w:t>The</w:t>
      </w:r>
      <w:r>
        <w:rPr>
          <w:color w:val="211F1F"/>
          <w:spacing w:val="-4"/>
          <w:sz w:val="24"/>
        </w:rPr>
        <w:t xml:space="preserve"> </w:t>
      </w:r>
      <w:r>
        <w:rPr>
          <w:color w:val="211F1F"/>
          <w:sz w:val="24"/>
        </w:rPr>
        <w:t>tenderer shall</w:t>
      </w:r>
      <w:r>
        <w:rPr>
          <w:color w:val="211F1F"/>
          <w:spacing w:val="-1"/>
          <w:sz w:val="24"/>
        </w:rPr>
        <w:t xml:space="preserve"> </w:t>
      </w:r>
      <w:r>
        <w:rPr>
          <w:color w:val="211F1F"/>
          <w:sz w:val="24"/>
        </w:rPr>
        <w:t>bear</w:t>
      </w:r>
      <w:r>
        <w:rPr>
          <w:color w:val="211F1F"/>
          <w:spacing w:val="-1"/>
          <w:sz w:val="24"/>
        </w:rPr>
        <w:t xml:space="preserve"> </w:t>
      </w:r>
      <w:r>
        <w:rPr>
          <w:color w:val="211F1F"/>
          <w:sz w:val="24"/>
        </w:rPr>
        <w:t>all</w:t>
      </w:r>
      <w:r>
        <w:rPr>
          <w:color w:val="211F1F"/>
          <w:spacing w:val="-7"/>
          <w:sz w:val="24"/>
        </w:rPr>
        <w:t xml:space="preserve"> </w:t>
      </w:r>
      <w:r>
        <w:rPr>
          <w:color w:val="211F1F"/>
          <w:sz w:val="24"/>
        </w:rPr>
        <w:t>costs associated with</w:t>
      </w:r>
      <w:r>
        <w:rPr>
          <w:color w:val="211F1F"/>
          <w:spacing w:val="-3"/>
          <w:sz w:val="24"/>
        </w:rPr>
        <w:t xml:space="preserve"> </w:t>
      </w:r>
      <w:r>
        <w:rPr>
          <w:color w:val="211F1F"/>
          <w:sz w:val="24"/>
        </w:rPr>
        <w:t>the</w:t>
      </w:r>
      <w:r>
        <w:rPr>
          <w:color w:val="211F1F"/>
          <w:spacing w:val="-4"/>
          <w:sz w:val="24"/>
        </w:rPr>
        <w:t xml:space="preserve"> </w:t>
      </w:r>
      <w:r>
        <w:rPr>
          <w:color w:val="211F1F"/>
          <w:sz w:val="24"/>
        </w:rPr>
        <w:t>preparation</w:t>
      </w:r>
      <w:r>
        <w:rPr>
          <w:color w:val="211F1F"/>
          <w:spacing w:val="-1"/>
          <w:sz w:val="24"/>
        </w:rPr>
        <w:t xml:space="preserve"> </w:t>
      </w:r>
      <w:r>
        <w:rPr>
          <w:color w:val="211F1F"/>
          <w:sz w:val="24"/>
        </w:rPr>
        <w:t>and submission</w:t>
      </w:r>
      <w:r>
        <w:rPr>
          <w:color w:val="211F1F"/>
          <w:spacing w:val="-2"/>
          <w:sz w:val="24"/>
        </w:rPr>
        <w:t xml:space="preserve"> </w:t>
      </w:r>
      <w:r>
        <w:rPr>
          <w:color w:val="211F1F"/>
          <w:sz w:val="24"/>
        </w:rPr>
        <w:t>of his/her tender,</w:t>
      </w:r>
      <w:r>
        <w:rPr>
          <w:color w:val="211F1F"/>
          <w:spacing w:val="-2"/>
          <w:sz w:val="24"/>
        </w:rPr>
        <w:t xml:space="preserve"> </w:t>
      </w:r>
      <w:r>
        <w:rPr>
          <w:color w:val="211F1F"/>
          <w:sz w:val="24"/>
        </w:rPr>
        <w:t>and the Procuring Entity</w:t>
      </w:r>
      <w:r>
        <w:rPr>
          <w:color w:val="211F1F"/>
          <w:spacing w:val="-8"/>
          <w:sz w:val="24"/>
        </w:rPr>
        <w:t xml:space="preserve"> </w:t>
      </w:r>
      <w:r>
        <w:rPr>
          <w:color w:val="211F1F"/>
          <w:sz w:val="24"/>
        </w:rPr>
        <w:t>will</w:t>
      </w:r>
      <w:r>
        <w:rPr>
          <w:color w:val="211F1F"/>
          <w:spacing w:val="-3"/>
          <w:sz w:val="24"/>
        </w:rPr>
        <w:t xml:space="preserve"> </w:t>
      </w:r>
      <w:r>
        <w:rPr>
          <w:color w:val="211F1F"/>
          <w:sz w:val="24"/>
        </w:rPr>
        <w:t>in no case be responsible or</w:t>
      </w:r>
      <w:r>
        <w:rPr>
          <w:color w:val="211F1F"/>
          <w:spacing w:val="-2"/>
          <w:sz w:val="24"/>
        </w:rPr>
        <w:t xml:space="preserve"> </w:t>
      </w:r>
      <w:r>
        <w:rPr>
          <w:color w:val="211F1F"/>
          <w:sz w:val="24"/>
        </w:rPr>
        <w:t>liable for those costs.</w:t>
      </w:r>
    </w:p>
    <w:p w14:paraId="2DF6E8A7" w14:textId="77777777" w:rsidR="00BB77C0" w:rsidRDefault="00370BAA">
      <w:pPr>
        <w:pStyle w:val="ListParagraph"/>
        <w:numPr>
          <w:ilvl w:val="1"/>
          <w:numId w:val="109"/>
        </w:numPr>
        <w:tabs>
          <w:tab w:val="left" w:pos="1441"/>
        </w:tabs>
        <w:spacing w:before="157" w:line="259" w:lineRule="auto"/>
        <w:ind w:right="267"/>
        <w:jc w:val="left"/>
        <w:rPr>
          <w:sz w:val="24"/>
        </w:rPr>
      </w:pPr>
      <w:r>
        <w:rPr>
          <w:color w:val="211F1F"/>
          <w:sz w:val="24"/>
        </w:rPr>
        <w:t>The</w:t>
      </w:r>
      <w:r>
        <w:rPr>
          <w:color w:val="211F1F"/>
          <w:spacing w:val="-10"/>
          <w:sz w:val="24"/>
        </w:rPr>
        <w:t xml:space="preserve"> </w:t>
      </w:r>
      <w:r>
        <w:rPr>
          <w:color w:val="211F1F"/>
          <w:sz w:val="24"/>
        </w:rPr>
        <w:t>tenderer,</w:t>
      </w:r>
      <w:r>
        <w:rPr>
          <w:color w:val="211F1F"/>
          <w:spacing w:val="-1"/>
          <w:sz w:val="24"/>
        </w:rPr>
        <w:t xml:space="preserve"> </w:t>
      </w:r>
      <w:r>
        <w:rPr>
          <w:color w:val="211F1F"/>
          <w:sz w:val="24"/>
        </w:rPr>
        <w:t>at</w:t>
      </w:r>
      <w:r>
        <w:rPr>
          <w:color w:val="211F1F"/>
          <w:spacing w:val="-8"/>
          <w:sz w:val="24"/>
        </w:rPr>
        <w:t xml:space="preserve"> </w:t>
      </w:r>
      <w:r>
        <w:rPr>
          <w:color w:val="211F1F"/>
          <w:sz w:val="24"/>
        </w:rPr>
        <w:t>the</w:t>
      </w:r>
      <w:r>
        <w:rPr>
          <w:color w:val="211F1F"/>
          <w:spacing w:val="-9"/>
          <w:sz w:val="24"/>
        </w:rPr>
        <w:t xml:space="preserve"> </w:t>
      </w:r>
      <w:r>
        <w:rPr>
          <w:color w:val="211F1F"/>
          <w:sz w:val="24"/>
        </w:rPr>
        <w:t>tenderer's</w:t>
      </w:r>
      <w:r>
        <w:rPr>
          <w:color w:val="211F1F"/>
          <w:spacing w:val="-5"/>
          <w:sz w:val="24"/>
        </w:rPr>
        <w:t xml:space="preserve"> </w:t>
      </w:r>
      <w:r>
        <w:rPr>
          <w:color w:val="211F1F"/>
          <w:sz w:val="24"/>
        </w:rPr>
        <w:t>own</w:t>
      </w:r>
      <w:r>
        <w:rPr>
          <w:color w:val="211F1F"/>
          <w:spacing w:val="-9"/>
          <w:sz w:val="24"/>
        </w:rPr>
        <w:t xml:space="preserve"> </w:t>
      </w:r>
      <w:r>
        <w:rPr>
          <w:color w:val="211F1F"/>
          <w:sz w:val="24"/>
        </w:rPr>
        <w:t>responsibility</w:t>
      </w:r>
      <w:r>
        <w:rPr>
          <w:color w:val="211F1F"/>
          <w:spacing w:val="-12"/>
          <w:sz w:val="24"/>
        </w:rPr>
        <w:t xml:space="preserve"> </w:t>
      </w:r>
      <w:r>
        <w:rPr>
          <w:color w:val="211F1F"/>
          <w:sz w:val="24"/>
        </w:rPr>
        <w:t>and</w:t>
      </w:r>
      <w:r>
        <w:rPr>
          <w:color w:val="211F1F"/>
          <w:spacing w:val="-4"/>
          <w:sz w:val="24"/>
        </w:rPr>
        <w:t xml:space="preserve"> </w:t>
      </w:r>
      <w:r>
        <w:rPr>
          <w:color w:val="211F1F"/>
          <w:sz w:val="24"/>
        </w:rPr>
        <w:t>risk, is</w:t>
      </w:r>
      <w:r>
        <w:rPr>
          <w:color w:val="211F1F"/>
          <w:spacing w:val="-6"/>
          <w:sz w:val="24"/>
        </w:rPr>
        <w:t xml:space="preserve"> </w:t>
      </w:r>
      <w:r>
        <w:rPr>
          <w:color w:val="211F1F"/>
          <w:sz w:val="24"/>
        </w:rPr>
        <w:t>encouraged</w:t>
      </w:r>
      <w:r>
        <w:rPr>
          <w:color w:val="211F1F"/>
          <w:spacing w:val="-8"/>
          <w:sz w:val="24"/>
        </w:rPr>
        <w:t xml:space="preserve"> </w:t>
      </w:r>
      <w:r>
        <w:rPr>
          <w:color w:val="211F1F"/>
          <w:sz w:val="24"/>
        </w:rPr>
        <w:t>to</w:t>
      </w:r>
      <w:r>
        <w:rPr>
          <w:color w:val="211F1F"/>
          <w:spacing w:val="-4"/>
          <w:sz w:val="24"/>
        </w:rPr>
        <w:t xml:space="preserve"> </w:t>
      </w:r>
      <w:r>
        <w:rPr>
          <w:color w:val="211F1F"/>
          <w:sz w:val="24"/>
        </w:rPr>
        <w:t>visit and examine and inspect the Site of the Works and its surroundings and obtain all information that may be necessary for preparing the tender and entering into a contract for construction of the Works. The costs of visiting the Site shall be at the tenderer's own expense.</w:t>
      </w:r>
    </w:p>
    <w:p w14:paraId="74482881" w14:textId="77777777" w:rsidR="00BB77C0" w:rsidRDefault="00370BAA">
      <w:pPr>
        <w:pStyle w:val="ListParagraph"/>
        <w:numPr>
          <w:ilvl w:val="1"/>
          <w:numId w:val="109"/>
        </w:numPr>
        <w:tabs>
          <w:tab w:val="left" w:pos="1441"/>
        </w:tabs>
        <w:spacing w:before="167" w:line="256" w:lineRule="auto"/>
        <w:ind w:right="388"/>
        <w:jc w:val="left"/>
        <w:rPr>
          <w:sz w:val="24"/>
        </w:rPr>
      </w:pPr>
      <w:r>
        <w:rPr>
          <w:color w:val="211F1F"/>
          <w:sz w:val="24"/>
        </w:rPr>
        <w:t>The Tenderer and any</w:t>
      </w:r>
      <w:r>
        <w:rPr>
          <w:color w:val="211F1F"/>
          <w:spacing w:val="-5"/>
          <w:sz w:val="24"/>
        </w:rPr>
        <w:t xml:space="preserve"> </w:t>
      </w:r>
      <w:r>
        <w:rPr>
          <w:color w:val="211F1F"/>
          <w:sz w:val="24"/>
        </w:rPr>
        <w:t>of its personnel</w:t>
      </w:r>
      <w:r>
        <w:rPr>
          <w:color w:val="211F1F"/>
          <w:spacing w:val="-4"/>
          <w:sz w:val="24"/>
        </w:rPr>
        <w:t xml:space="preserve"> </w:t>
      </w:r>
      <w:r>
        <w:rPr>
          <w:color w:val="211F1F"/>
          <w:sz w:val="24"/>
        </w:rPr>
        <w:t>or agents will be granted permission by the Procuring</w:t>
      </w:r>
      <w:r>
        <w:rPr>
          <w:color w:val="211F1F"/>
          <w:spacing w:val="-1"/>
          <w:sz w:val="24"/>
        </w:rPr>
        <w:t xml:space="preserve"> </w:t>
      </w:r>
      <w:r>
        <w:rPr>
          <w:color w:val="211F1F"/>
          <w:sz w:val="24"/>
        </w:rPr>
        <w:t>Entity</w:t>
      </w:r>
      <w:r>
        <w:rPr>
          <w:color w:val="211F1F"/>
          <w:spacing w:val="-10"/>
          <w:sz w:val="24"/>
        </w:rPr>
        <w:t xml:space="preserve"> </w:t>
      </w:r>
      <w:r>
        <w:rPr>
          <w:color w:val="211F1F"/>
          <w:sz w:val="24"/>
        </w:rPr>
        <w:t>to</w:t>
      </w:r>
      <w:r>
        <w:rPr>
          <w:color w:val="211F1F"/>
          <w:spacing w:val="-1"/>
          <w:sz w:val="24"/>
        </w:rPr>
        <w:t xml:space="preserve"> </w:t>
      </w:r>
      <w:r>
        <w:rPr>
          <w:color w:val="211F1F"/>
          <w:sz w:val="24"/>
        </w:rPr>
        <w:t>enter up</w:t>
      </w:r>
      <w:r>
        <w:rPr>
          <w:color w:val="211F1F"/>
          <w:spacing w:val="-11"/>
          <w:sz w:val="24"/>
        </w:rPr>
        <w:t xml:space="preserve"> </w:t>
      </w:r>
      <w:r>
        <w:rPr>
          <w:color w:val="211F1F"/>
          <w:sz w:val="24"/>
        </w:rPr>
        <w:t>on</w:t>
      </w:r>
      <w:r>
        <w:rPr>
          <w:color w:val="211F1F"/>
          <w:spacing w:val="-5"/>
          <w:sz w:val="24"/>
        </w:rPr>
        <w:t xml:space="preserve"> </w:t>
      </w:r>
      <w:r>
        <w:rPr>
          <w:color w:val="211F1F"/>
          <w:sz w:val="24"/>
        </w:rPr>
        <w:t>its</w:t>
      </w:r>
      <w:r>
        <w:rPr>
          <w:color w:val="211F1F"/>
          <w:spacing w:val="-3"/>
          <w:sz w:val="24"/>
        </w:rPr>
        <w:t xml:space="preserve"> </w:t>
      </w:r>
      <w:r>
        <w:rPr>
          <w:color w:val="211F1F"/>
          <w:sz w:val="24"/>
        </w:rPr>
        <w:t>premises</w:t>
      </w:r>
      <w:r>
        <w:rPr>
          <w:color w:val="211F1F"/>
          <w:spacing w:val="-2"/>
          <w:sz w:val="24"/>
        </w:rPr>
        <w:t xml:space="preserve"> </w:t>
      </w:r>
      <w:r>
        <w:rPr>
          <w:color w:val="211F1F"/>
          <w:sz w:val="24"/>
        </w:rPr>
        <w:t>and lands for</w:t>
      </w:r>
      <w:r>
        <w:rPr>
          <w:color w:val="211F1F"/>
          <w:spacing w:val="-3"/>
          <w:sz w:val="24"/>
        </w:rPr>
        <w:t xml:space="preserve"> </w:t>
      </w:r>
      <w:r>
        <w:rPr>
          <w:color w:val="211F1F"/>
          <w:sz w:val="24"/>
        </w:rPr>
        <w:t>the</w:t>
      </w:r>
      <w:r>
        <w:rPr>
          <w:color w:val="211F1F"/>
          <w:spacing w:val="-7"/>
          <w:sz w:val="24"/>
        </w:rPr>
        <w:t xml:space="preserve"> </w:t>
      </w:r>
      <w:r>
        <w:rPr>
          <w:color w:val="211F1F"/>
          <w:sz w:val="24"/>
        </w:rPr>
        <w:t>purpose</w:t>
      </w:r>
      <w:r>
        <w:rPr>
          <w:color w:val="211F1F"/>
          <w:spacing w:val="-6"/>
          <w:sz w:val="24"/>
        </w:rPr>
        <w:t xml:space="preserve"> </w:t>
      </w:r>
      <w:r>
        <w:rPr>
          <w:color w:val="211F1F"/>
          <w:sz w:val="24"/>
        </w:rPr>
        <w:t>of</w:t>
      </w:r>
      <w:r>
        <w:rPr>
          <w:color w:val="211F1F"/>
          <w:spacing w:val="-14"/>
          <w:sz w:val="24"/>
        </w:rPr>
        <w:t xml:space="preserve"> </w:t>
      </w:r>
      <w:r>
        <w:rPr>
          <w:color w:val="211F1F"/>
          <w:sz w:val="24"/>
        </w:rPr>
        <w:t>such</w:t>
      </w:r>
      <w:r>
        <w:rPr>
          <w:color w:val="211F1F"/>
          <w:spacing w:val="-6"/>
          <w:sz w:val="24"/>
        </w:rPr>
        <w:t xml:space="preserve"> </w:t>
      </w:r>
      <w:r>
        <w:rPr>
          <w:color w:val="211F1F"/>
          <w:sz w:val="24"/>
        </w:rPr>
        <w:t>visit. The</w:t>
      </w:r>
      <w:r>
        <w:rPr>
          <w:color w:val="211F1F"/>
          <w:spacing w:val="-4"/>
          <w:sz w:val="24"/>
        </w:rPr>
        <w:t xml:space="preserve"> </w:t>
      </w:r>
      <w:r>
        <w:rPr>
          <w:color w:val="211F1F"/>
          <w:sz w:val="24"/>
        </w:rPr>
        <w:t>Tenderer</w:t>
      </w:r>
      <w:r>
        <w:rPr>
          <w:color w:val="211F1F"/>
          <w:spacing w:val="-5"/>
          <w:sz w:val="24"/>
        </w:rPr>
        <w:t xml:space="preserve"> </w:t>
      </w:r>
      <w:r>
        <w:rPr>
          <w:color w:val="211F1F"/>
          <w:sz w:val="24"/>
        </w:rPr>
        <w:t>shall</w:t>
      </w:r>
      <w:r>
        <w:rPr>
          <w:color w:val="211F1F"/>
          <w:spacing w:val="-6"/>
          <w:sz w:val="24"/>
        </w:rPr>
        <w:t xml:space="preserve"> </w:t>
      </w:r>
      <w:r>
        <w:rPr>
          <w:color w:val="211F1F"/>
          <w:sz w:val="24"/>
        </w:rPr>
        <w:t>indemnify</w:t>
      </w:r>
      <w:r>
        <w:rPr>
          <w:color w:val="211F1F"/>
          <w:spacing w:val="-7"/>
          <w:sz w:val="24"/>
        </w:rPr>
        <w:t xml:space="preserve"> </w:t>
      </w:r>
      <w:r>
        <w:rPr>
          <w:color w:val="211F1F"/>
          <w:sz w:val="24"/>
        </w:rPr>
        <w:t>the</w:t>
      </w:r>
      <w:r>
        <w:rPr>
          <w:color w:val="211F1F"/>
          <w:spacing w:val="-4"/>
          <w:sz w:val="24"/>
        </w:rPr>
        <w:t xml:space="preserve"> </w:t>
      </w:r>
      <w:r>
        <w:rPr>
          <w:color w:val="211F1F"/>
          <w:sz w:val="24"/>
        </w:rPr>
        <w:t>Procuring</w:t>
      </w:r>
      <w:r>
        <w:rPr>
          <w:color w:val="211F1F"/>
          <w:spacing w:val="-2"/>
          <w:sz w:val="24"/>
        </w:rPr>
        <w:t xml:space="preserve"> </w:t>
      </w:r>
      <w:r>
        <w:rPr>
          <w:color w:val="211F1F"/>
          <w:sz w:val="24"/>
        </w:rPr>
        <w:t>Entity</w:t>
      </w:r>
      <w:r>
        <w:rPr>
          <w:color w:val="211F1F"/>
          <w:spacing w:val="-12"/>
          <w:sz w:val="24"/>
        </w:rPr>
        <w:t xml:space="preserve"> </w:t>
      </w:r>
      <w:r>
        <w:rPr>
          <w:color w:val="211F1F"/>
          <w:sz w:val="24"/>
        </w:rPr>
        <w:t>against all</w:t>
      </w:r>
      <w:r>
        <w:rPr>
          <w:color w:val="211F1F"/>
          <w:spacing w:val="-7"/>
          <w:sz w:val="24"/>
        </w:rPr>
        <w:t xml:space="preserve"> </w:t>
      </w:r>
      <w:r>
        <w:rPr>
          <w:color w:val="211F1F"/>
          <w:sz w:val="24"/>
        </w:rPr>
        <w:t>liability</w:t>
      </w:r>
      <w:r>
        <w:rPr>
          <w:color w:val="211F1F"/>
          <w:spacing w:val="-11"/>
          <w:sz w:val="24"/>
        </w:rPr>
        <w:t xml:space="preserve"> </w:t>
      </w:r>
      <w:r>
        <w:rPr>
          <w:color w:val="211F1F"/>
          <w:sz w:val="24"/>
        </w:rPr>
        <w:t>arising from death or personal injury, loss of or damage to property, and any</w:t>
      </w:r>
      <w:r>
        <w:rPr>
          <w:color w:val="211F1F"/>
          <w:spacing w:val="-1"/>
          <w:sz w:val="24"/>
        </w:rPr>
        <w:t xml:space="preserve"> </w:t>
      </w:r>
      <w:r>
        <w:rPr>
          <w:color w:val="211F1F"/>
          <w:sz w:val="24"/>
        </w:rPr>
        <w:t>other losses and expenses incurred as a result of the examination and inspection.</w:t>
      </w:r>
    </w:p>
    <w:p w14:paraId="0F46D4E7" w14:textId="77777777" w:rsidR="00BB77C0" w:rsidRDefault="00370BAA">
      <w:pPr>
        <w:pStyle w:val="ListParagraph"/>
        <w:numPr>
          <w:ilvl w:val="1"/>
          <w:numId w:val="109"/>
        </w:numPr>
        <w:tabs>
          <w:tab w:val="left" w:pos="1441"/>
        </w:tabs>
        <w:spacing w:before="165" w:line="259" w:lineRule="auto"/>
        <w:ind w:right="200"/>
        <w:jc w:val="left"/>
        <w:rPr>
          <w:sz w:val="24"/>
        </w:rPr>
      </w:pPr>
      <w:r>
        <w:rPr>
          <w:color w:val="211F1F"/>
          <w:sz w:val="24"/>
        </w:rPr>
        <w:t>The tenderer shall provide in the Form of Tender and Qualification Information, a preliminary</w:t>
      </w:r>
      <w:r>
        <w:rPr>
          <w:color w:val="211F1F"/>
          <w:spacing w:val="-10"/>
          <w:sz w:val="24"/>
        </w:rPr>
        <w:t xml:space="preserve"> </w:t>
      </w:r>
      <w:r>
        <w:rPr>
          <w:color w:val="211F1F"/>
          <w:sz w:val="24"/>
        </w:rPr>
        <w:t>description</w:t>
      </w:r>
      <w:r>
        <w:rPr>
          <w:color w:val="211F1F"/>
          <w:spacing w:val="-10"/>
          <w:sz w:val="24"/>
        </w:rPr>
        <w:t xml:space="preserve"> </w:t>
      </w:r>
      <w:r>
        <w:rPr>
          <w:color w:val="211F1F"/>
          <w:sz w:val="24"/>
        </w:rPr>
        <w:t>of</w:t>
      </w:r>
      <w:r>
        <w:rPr>
          <w:color w:val="211F1F"/>
          <w:spacing w:val="-15"/>
          <w:sz w:val="24"/>
        </w:rPr>
        <w:t xml:space="preserve"> </w:t>
      </w:r>
      <w:r>
        <w:rPr>
          <w:color w:val="211F1F"/>
          <w:sz w:val="24"/>
        </w:rPr>
        <w:t>the</w:t>
      </w:r>
      <w:r>
        <w:rPr>
          <w:color w:val="211F1F"/>
          <w:spacing w:val="-7"/>
          <w:sz w:val="24"/>
        </w:rPr>
        <w:t xml:space="preserve"> </w:t>
      </w:r>
      <w:r>
        <w:rPr>
          <w:color w:val="211F1F"/>
          <w:sz w:val="24"/>
        </w:rPr>
        <w:t>proposed</w:t>
      </w:r>
      <w:r>
        <w:rPr>
          <w:color w:val="211F1F"/>
          <w:spacing w:val="-6"/>
          <w:sz w:val="24"/>
        </w:rPr>
        <w:t xml:space="preserve"> </w:t>
      </w:r>
      <w:r>
        <w:rPr>
          <w:color w:val="211F1F"/>
          <w:sz w:val="24"/>
        </w:rPr>
        <w:t>work</w:t>
      </w:r>
      <w:r>
        <w:rPr>
          <w:color w:val="211F1F"/>
          <w:spacing w:val="-6"/>
          <w:sz w:val="24"/>
        </w:rPr>
        <w:t xml:space="preserve"> </w:t>
      </w:r>
      <w:r>
        <w:rPr>
          <w:color w:val="211F1F"/>
          <w:sz w:val="24"/>
        </w:rPr>
        <w:t>method</w:t>
      </w:r>
      <w:r>
        <w:rPr>
          <w:color w:val="211F1F"/>
          <w:spacing w:val="-6"/>
          <w:sz w:val="24"/>
        </w:rPr>
        <w:t xml:space="preserve"> </w:t>
      </w:r>
      <w:r>
        <w:rPr>
          <w:color w:val="211F1F"/>
          <w:sz w:val="24"/>
        </w:rPr>
        <w:t>and</w:t>
      </w:r>
      <w:r>
        <w:rPr>
          <w:color w:val="211F1F"/>
          <w:spacing w:val="-6"/>
          <w:sz w:val="24"/>
        </w:rPr>
        <w:t xml:space="preserve"> </w:t>
      </w:r>
      <w:r>
        <w:rPr>
          <w:color w:val="211F1F"/>
          <w:sz w:val="24"/>
        </w:rPr>
        <w:t>schedule, including</w:t>
      </w:r>
      <w:r>
        <w:rPr>
          <w:color w:val="211F1F"/>
          <w:spacing w:val="-6"/>
          <w:sz w:val="24"/>
        </w:rPr>
        <w:t xml:space="preserve"> </w:t>
      </w:r>
      <w:r>
        <w:rPr>
          <w:color w:val="211F1F"/>
          <w:sz w:val="24"/>
        </w:rPr>
        <w:t>charts, as necessary or required.</w:t>
      </w:r>
    </w:p>
    <w:p w14:paraId="2B625518" w14:textId="77777777" w:rsidR="00BB77C0" w:rsidRDefault="00BB77C0">
      <w:pPr>
        <w:pStyle w:val="BodyText"/>
        <w:rPr>
          <w:sz w:val="24"/>
        </w:rPr>
      </w:pPr>
    </w:p>
    <w:p w14:paraId="766755E1" w14:textId="77777777" w:rsidR="00BB77C0" w:rsidRDefault="00BB77C0">
      <w:pPr>
        <w:pStyle w:val="BodyText"/>
        <w:spacing w:before="148"/>
        <w:rPr>
          <w:sz w:val="24"/>
        </w:rPr>
      </w:pPr>
    </w:p>
    <w:p w14:paraId="7556829C" w14:textId="77777777" w:rsidR="00BB77C0" w:rsidRDefault="00370BAA">
      <w:pPr>
        <w:pStyle w:val="Heading5"/>
        <w:numPr>
          <w:ilvl w:val="0"/>
          <w:numId w:val="110"/>
        </w:numPr>
        <w:tabs>
          <w:tab w:val="left" w:pos="720"/>
        </w:tabs>
        <w:ind w:left="720" w:hanging="720"/>
        <w:jc w:val="both"/>
      </w:pPr>
      <w:bookmarkStart w:id="20" w:name="B._CONTENTS_OF_TENDER_DOCUMENTS"/>
      <w:bookmarkStart w:id="21" w:name="_bookmark9"/>
      <w:bookmarkEnd w:id="20"/>
      <w:bookmarkEnd w:id="21"/>
      <w:r>
        <w:t>CONTENTS</w:t>
      </w:r>
      <w:r>
        <w:rPr>
          <w:spacing w:val="-6"/>
        </w:rPr>
        <w:t xml:space="preserve"> </w:t>
      </w:r>
      <w:r>
        <w:t>OF</w:t>
      </w:r>
      <w:r>
        <w:rPr>
          <w:spacing w:val="-5"/>
        </w:rPr>
        <w:t xml:space="preserve"> </w:t>
      </w:r>
      <w:r>
        <w:t>TENDER</w:t>
      </w:r>
      <w:r>
        <w:rPr>
          <w:spacing w:val="-6"/>
        </w:rPr>
        <w:t xml:space="preserve"> </w:t>
      </w:r>
      <w:r>
        <w:rPr>
          <w:spacing w:val="-2"/>
        </w:rPr>
        <w:t>DOCUMENTS</w:t>
      </w:r>
    </w:p>
    <w:p w14:paraId="12DD8DD7" w14:textId="77777777" w:rsidR="00BB77C0" w:rsidRDefault="00370BAA">
      <w:pPr>
        <w:pStyle w:val="Heading6"/>
        <w:numPr>
          <w:ilvl w:val="1"/>
          <w:numId w:val="106"/>
        </w:numPr>
        <w:tabs>
          <w:tab w:val="left" w:pos="1440"/>
        </w:tabs>
        <w:spacing w:before="267"/>
        <w:ind w:left="1440" w:hanging="720"/>
      </w:pPr>
      <w:bookmarkStart w:id="22" w:name="6.0_Sections_of_Tender_Document"/>
      <w:bookmarkStart w:id="23" w:name="_bookmark10"/>
      <w:bookmarkEnd w:id="22"/>
      <w:bookmarkEnd w:id="23"/>
      <w:r>
        <w:t>Sections</w:t>
      </w:r>
      <w:r>
        <w:rPr>
          <w:spacing w:val="-12"/>
        </w:rPr>
        <w:t xml:space="preserve"> </w:t>
      </w:r>
      <w:r>
        <w:t>of</w:t>
      </w:r>
      <w:r>
        <w:rPr>
          <w:spacing w:val="-12"/>
        </w:rPr>
        <w:t xml:space="preserve"> </w:t>
      </w:r>
      <w:r>
        <w:t>Tender</w:t>
      </w:r>
      <w:r>
        <w:rPr>
          <w:spacing w:val="-17"/>
        </w:rPr>
        <w:t xml:space="preserve"> </w:t>
      </w:r>
      <w:r>
        <w:rPr>
          <w:spacing w:val="-2"/>
        </w:rPr>
        <w:t>Document</w:t>
      </w:r>
    </w:p>
    <w:p w14:paraId="58972BA0" w14:textId="77777777" w:rsidR="00BB77C0" w:rsidRDefault="00370BAA">
      <w:pPr>
        <w:pStyle w:val="ListParagraph"/>
        <w:numPr>
          <w:ilvl w:val="1"/>
          <w:numId w:val="106"/>
        </w:numPr>
        <w:tabs>
          <w:tab w:val="left" w:pos="1441"/>
        </w:tabs>
        <w:spacing w:before="74" w:line="259" w:lineRule="auto"/>
        <w:ind w:right="142"/>
        <w:rPr>
          <w:color w:val="211F1F"/>
          <w:sz w:val="24"/>
        </w:rPr>
      </w:pPr>
      <w:r>
        <w:rPr>
          <w:color w:val="211F1F"/>
          <w:sz w:val="24"/>
        </w:rPr>
        <w:t>The tender document consists of Parts 1, 2, and 3, which includes all the sections specified</w:t>
      </w:r>
      <w:r>
        <w:rPr>
          <w:color w:val="211F1F"/>
          <w:spacing w:val="-3"/>
          <w:sz w:val="24"/>
        </w:rPr>
        <w:t xml:space="preserve"> </w:t>
      </w:r>
      <w:r>
        <w:rPr>
          <w:color w:val="211F1F"/>
          <w:sz w:val="24"/>
        </w:rPr>
        <w:t>below,</w:t>
      </w:r>
      <w:r>
        <w:rPr>
          <w:color w:val="211F1F"/>
          <w:spacing w:val="-10"/>
          <w:sz w:val="24"/>
        </w:rPr>
        <w:t xml:space="preserve"> </w:t>
      </w:r>
      <w:r>
        <w:rPr>
          <w:color w:val="211F1F"/>
          <w:sz w:val="24"/>
        </w:rPr>
        <w:t>and</w:t>
      </w:r>
      <w:r>
        <w:rPr>
          <w:color w:val="211F1F"/>
          <w:spacing w:val="-8"/>
          <w:sz w:val="24"/>
        </w:rPr>
        <w:t xml:space="preserve"> </w:t>
      </w:r>
      <w:r>
        <w:rPr>
          <w:color w:val="211F1F"/>
          <w:sz w:val="24"/>
        </w:rPr>
        <w:t>which</w:t>
      </w:r>
      <w:r>
        <w:rPr>
          <w:color w:val="211F1F"/>
          <w:spacing w:val="-12"/>
          <w:sz w:val="24"/>
        </w:rPr>
        <w:t xml:space="preserve"> </w:t>
      </w:r>
      <w:r>
        <w:rPr>
          <w:color w:val="211F1F"/>
          <w:sz w:val="24"/>
        </w:rPr>
        <w:t>should</w:t>
      </w:r>
      <w:r>
        <w:rPr>
          <w:color w:val="211F1F"/>
          <w:spacing w:val="-8"/>
          <w:sz w:val="24"/>
        </w:rPr>
        <w:t xml:space="preserve"> </w:t>
      </w:r>
      <w:r>
        <w:rPr>
          <w:color w:val="211F1F"/>
          <w:sz w:val="24"/>
        </w:rPr>
        <w:t>be</w:t>
      </w:r>
      <w:r>
        <w:rPr>
          <w:color w:val="211F1F"/>
          <w:spacing w:val="-10"/>
          <w:sz w:val="24"/>
        </w:rPr>
        <w:t xml:space="preserve"> </w:t>
      </w:r>
      <w:r>
        <w:rPr>
          <w:color w:val="211F1F"/>
          <w:sz w:val="24"/>
        </w:rPr>
        <w:t>read</w:t>
      </w:r>
      <w:r>
        <w:rPr>
          <w:color w:val="211F1F"/>
          <w:spacing w:val="-3"/>
          <w:sz w:val="24"/>
        </w:rPr>
        <w:t xml:space="preserve"> </w:t>
      </w:r>
      <w:r>
        <w:rPr>
          <w:color w:val="211F1F"/>
          <w:sz w:val="24"/>
        </w:rPr>
        <w:t>in</w:t>
      </w:r>
      <w:r>
        <w:rPr>
          <w:color w:val="211F1F"/>
          <w:spacing w:val="-13"/>
          <w:sz w:val="24"/>
        </w:rPr>
        <w:t xml:space="preserve"> </w:t>
      </w:r>
      <w:r>
        <w:rPr>
          <w:color w:val="211F1F"/>
          <w:sz w:val="24"/>
        </w:rPr>
        <w:t>conjunction</w:t>
      </w:r>
      <w:r>
        <w:rPr>
          <w:color w:val="211F1F"/>
          <w:spacing w:val="-11"/>
          <w:sz w:val="24"/>
        </w:rPr>
        <w:t xml:space="preserve"> </w:t>
      </w:r>
      <w:r>
        <w:rPr>
          <w:color w:val="211F1F"/>
          <w:sz w:val="24"/>
        </w:rPr>
        <w:t>with</w:t>
      </w:r>
      <w:r>
        <w:rPr>
          <w:color w:val="211F1F"/>
          <w:spacing w:val="-12"/>
          <w:sz w:val="24"/>
        </w:rPr>
        <w:t xml:space="preserve"> </w:t>
      </w:r>
      <w:r>
        <w:rPr>
          <w:color w:val="211F1F"/>
          <w:sz w:val="24"/>
        </w:rPr>
        <w:t>any</w:t>
      </w:r>
      <w:r>
        <w:rPr>
          <w:color w:val="211F1F"/>
          <w:spacing w:val="-12"/>
          <w:sz w:val="24"/>
        </w:rPr>
        <w:t xml:space="preserve"> </w:t>
      </w:r>
      <w:r>
        <w:rPr>
          <w:color w:val="211F1F"/>
          <w:sz w:val="24"/>
        </w:rPr>
        <w:t>Addenda</w:t>
      </w:r>
      <w:r>
        <w:rPr>
          <w:color w:val="211F1F"/>
          <w:spacing w:val="-4"/>
          <w:sz w:val="24"/>
        </w:rPr>
        <w:t xml:space="preserve"> </w:t>
      </w:r>
      <w:r>
        <w:rPr>
          <w:color w:val="211F1F"/>
          <w:sz w:val="24"/>
        </w:rPr>
        <w:t>issued</w:t>
      </w:r>
      <w:r>
        <w:rPr>
          <w:color w:val="211F1F"/>
          <w:spacing w:val="-3"/>
          <w:sz w:val="24"/>
        </w:rPr>
        <w:t xml:space="preserve"> </w:t>
      </w:r>
      <w:r>
        <w:rPr>
          <w:color w:val="211F1F"/>
          <w:sz w:val="24"/>
        </w:rPr>
        <w:t>in accordance with ITT10.</w:t>
      </w:r>
    </w:p>
    <w:p w14:paraId="3A716DA5" w14:textId="77777777" w:rsidR="00BB77C0" w:rsidRDefault="00370BAA">
      <w:pPr>
        <w:spacing w:before="162" w:line="396" w:lineRule="auto"/>
        <w:ind w:left="1441" w:right="4803"/>
        <w:rPr>
          <w:sz w:val="24"/>
        </w:rPr>
      </w:pPr>
      <w:r>
        <w:rPr>
          <w:b/>
          <w:color w:val="211F1F"/>
          <w:sz w:val="24"/>
        </w:rPr>
        <w:t>PART 1</w:t>
      </w:r>
      <w:r>
        <w:rPr>
          <w:color w:val="211F1F"/>
          <w:sz w:val="24"/>
        </w:rPr>
        <w:t xml:space="preserve">: </w:t>
      </w:r>
      <w:r>
        <w:rPr>
          <w:b/>
          <w:color w:val="211F1F"/>
          <w:sz w:val="24"/>
        </w:rPr>
        <w:t xml:space="preserve">Tendering Procedures </w:t>
      </w:r>
      <w:r>
        <w:rPr>
          <w:color w:val="211F1F"/>
          <w:sz w:val="24"/>
        </w:rPr>
        <w:t>Section I: Instructions to Tenderers Section</w:t>
      </w:r>
      <w:r>
        <w:rPr>
          <w:color w:val="211F1F"/>
          <w:spacing w:val="-15"/>
          <w:sz w:val="24"/>
        </w:rPr>
        <w:t xml:space="preserve"> </w:t>
      </w:r>
      <w:r>
        <w:rPr>
          <w:color w:val="211F1F"/>
          <w:sz w:val="24"/>
        </w:rPr>
        <w:t>II:</w:t>
      </w:r>
      <w:r>
        <w:rPr>
          <w:color w:val="211F1F"/>
          <w:spacing w:val="-15"/>
          <w:sz w:val="24"/>
        </w:rPr>
        <w:t xml:space="preserve"> </w:t>
      </w:r>
      <w:r>
        <w:rPr>
          <w:color w:val="211F1F"/>
          <w:sz w:val="24"/>
        </w:rPr>
        <w:t>Tender</w:t>
      </w:r>
      <w:r>
        <w:rPr>
          <w:color w:val="211F1F"/>
          <w:spacing w:val="-15"/>
          <w:sz w:val="24"/>
        </w:rPr>
        <w:t xml:space="preserve"> </w:t>
      </w:r>
      <w:r>
        <w:rPr>
          <w:color w:val="211F1F"/>
          <w:sz w:val="24"/>
        </w:rPr>
        <w:t>Data</w:t>
      </w:r>
      <w:r>
        <w:rPr>
          <w:color w:val="211F1F"/>
          <w:spacing w:val="-15"/>
          <w:sz w:val="24"/>
        </w:rPr>
        <w:t xml:space="preserve"> </w:t>
      </w:r>
      <w:r>
        <w:rPr>
          <w:color w:val="211F1F"/>
          <w:sz w:val="24"/>
        </w:rPr>
        <w:t>Sheet</w:t>
      </w:r>
      <w:r>
        <w:rPr>
          <w:color w:val="211F1F"/>
          <w:spacing w:val="-15"/>
          <w:sz w:val="24"/>
        </w:rPr>
        <w:t xml:space="preserve"> </w:t>
      </w:r>
      <w:r>
        <w:rPr>
          <w:color w:val="211F1F"/>
          <w:sz w:val="24"/>
        </w:rPr>
        <w:t>(TDS)</w:t>
      </w:r>
    </w:p>
    <w:p w14:paraId="2C882896" w14:textId="77777777" w:rsidR="00BB77C0" w:rsidRDefault="00370BAA">
      <w:pPr>
        <w:spacing w:before="12" w:line="391" w:lineRule="auto"/>
        <w:ind w:left="1441" w:right="2992"/>
        <w:rPr>
          <w:sz w:val="24"/>
        </w:rPr>
      </w:pPr>
      <w:r>
        <w:rPr>
          <w:color w:val="211F1F"/>
          <w:sz w:val="24"/>
        </w:rPr>
        <w:t>Section</w:t>
      </w:r>
      <w:r>
        <w:rPr>
          <w:color w:val="211F1F"/>
          <w:spacing w:val="-15"/>
          <w:sz w:val="24"/>
        </w:rPr>
        <w:t xml:space="preserve"> </w:t>
      </w:r>
      <w:r>
        <w:rPr>
          <w:color w:val="211F1F"/>
          <w:sz w:val="24"/>
        </w:rPr>
        <w:t>III:</w:t>
      </w:r>
      <w:r>
        <w:rPr>
          <w:color w:val="211F1F"/>
          <w:spacing w:val="-15"/>
          <w:sz w:val="24"/>
        </w:rPr>
        <w:t xml:space="preserve"> </w:t>
      </w:r>
      <w:r>
        <w:rPr>
          <w:color w:val="211F1F"/>
          <w:sz w:val="24"/>
        </w:rPr>
        <w:t>Evaluation</w:t>
      </w:r>
      <w:r>
        <w:rPr>
          <w:color w:val="211F1F"/>
          <w:spacing w:val="-15"/>
          <w:sz w:val="24"/>
        </w:rPr>
        <w:t xml:space="preserve"> </w:t>
      </w:r>
      <w:r>
        <w:rPr>
          <w:color w:val="211F1F"/>
          <w:sz w:val="24"/>
        </w:rPr>
        <w:t>and</w:t>
      </w:r>
      <w:r>
        <w:rPr>
          <w:color w:val="211F1F"/>
          <w:spacing w:val="-15"/>
          <w:sz w:val="24"/>
        </w:rPr>
        <w:t xml:space="preserve"> </w:t>
      </w:r>
      <w:r>
        <w:rPr>
          <w:color w:val="211F1F"/>
          <w:sz w:val="24"/>
        </w:rPr>
        <w:t>Qualification</w:t>
      </w:r>
      <w:r>
        <w:rPr>
          <w:color w:val="211F1F"/>
          <w:spacing w:val="-15"/>
          <w:sz w:val="24"/>
        </w:rPr>
        <w:t xml:space="preserve"> </w:t>
      </w:r>
      <w:r>
        <w:rPr>
          <w:color w:val="211F1F"/>
          <w:sz w:val="24"/>
        </w:rPr>
        <w:t>Criteria Section IV: Tendering Forms</w:t>
      </w:r>
    </w:p>
    <w:p w14:paraId="7E89CD91" w14:textId="77777777" w:rsidR="00BB77C0" w:rsidRDefault="00370BAA">
      <w:pPr>
        <w:spacing w:before="8" w:line="398" w:lineRule="auto"/>
        <w:ind w:left="1441" w:right="4803"/>
        <w:rPr>
          <w:sz w:val="24"/>
        </w:rPr>
      </w:pPr>
      <w:r>
        <w:rPr>
          <w:b/>
          <w:color w:val="211F1F"/>
          <w:sz w:val="24"/>
        </w:rPr>
        <w:t>PART</w:t>
      </w:r>
      <w:r>
        <w:rPr>
          <w:b/>
          <w:color w:val="211F1F"/>
          <w:spacing w:val="-2"/>
          <w:sz w:val="24"/>
        </w:rPr>
        <w:t xml:space="preserve"> </w:t>
      </w:r>
      <w:r>
        <w:rPr>
          <w:b/>
          <w:color w:val="211F1F"/>
          <w:sz w:val="24"/>
        </w:rPr>
        <w:t>2</w:t>
      </w:r>
      <w:r>
        <w:rPr>
          <w:color w:val="211F1F"/>
          <w:sz w:val="24"/>
        </w:rPr>
        <w:t xml:space="preserve">: </w:t>
      </w:r>
      <w:r>
        <w:rPr>
          <w:b/>
          <w:color w:val="211F1F"/>
          <w:sz w:val="24"/>
        </w:rPr>
        <w:t xml:space="preserve">Works' Requirements </w:t>
      </w:r>
      <w:r>
        <w:rPr>
          <w:color w:val="211F1F"/>
          <w:sz w:val="24"/>
        </w:rPr>
        <w:t xml:space="preserve">Section V: Bills of Quantities </w:t>
      </w:r>
      <w:r>
        <w:rPr>
          <w:color w:val="211F1F"/>
          <w:spacing w:val="-2"/>
          <w:sz w:val="24"/>
        </w:rPr>
        <w:t>Section</w:t>
      </w:r>
      <w:r>
        <w:rPr>
          <w:color w:val="211F1F"/>
          <w:spacing w:val="-9"/>
          <w:sz w:val="24"/>
        </w:rPr>
        <w:t xml:space="preserve"> </w:t>
      </w:r>
      <w:r>
        <w:rPr>
          <w:color w:val="211F1F"/>
          <w:spacing w:val="-2"/>
          <w:sz w:val="24"/>
        </w:rPr>
        <w:t>VI:</w:t>
      </w:r>
      <w:r>
        <w:rPr>
          <w:color w:val="211F1F"/>
          <w:spacing w:val="-5"/>
          <w:sz w:val="24"/>
        </w:rPr>
        <w:t xml:space="preserve"> </w:t>
      </w:r>
      <w:r>
        <w:rPr>
          <w:color w:val="211F1F"/>
          <w:spacing w:val="-2"/>
          <w:sz w:val="24"/>
        </w:rPr>
        <w:t>Specifications</w:t>
      </w:r>
      <w:r>
        <w:rPr>
          <w:color w:val="211F1F"/>
          <w:spacing w:val="-6"/>
          <w:sz w:val="24"/>
        </w:rPr>
        <w:t xml:space="preserve"> </w:t>
      </w:r>
      <w:r>
        <w:rPr>
          <w:color w:val="211F1F"/>
          <w:spacing w:val="-2"/>
          <w:sz w:val="24"/>
        </w:rPr>
        <w:t xml:space="preserve">Section </w:t>
      </w:r>
      <w:r>
        <w:rPr>
          <w:color w:val="211F1F"/>
          <w:sz w:val="24"/>
        </w:rPr>
        <w:t>VII: Drawings</w:t>
      </w:r>
    </w:p>
    <w:p w14:paraId="07A03408" w14:textId="77777777" w:rsidR="00BB77C0" w:rsidRDefault="00BB77C0">
      <w:pPr>
        <w:spacing w:line="398" w:lineRule="auto"/>
        <w:rPr>
          <w:sz w:val="24"/>
        </w:rPr>
        <w:sectPr w:rsidR="00BB77C0">
          <w:pgSz w:w="11930" w:h="16870"/>
          <w:pgMar w:top="1340" w:right="1080" w:bottom="280" w:left="1080" w:header="720" w:footer="720" w:gutter="0"/>
          <w:cols w:space="720"/>
        </w:sectPr>
      </w:pPr>
    </w:p>
    <w:p w14:paraId="27F8D03A" w14:textId="77777777" w:rsidR="00BB77C0" w:rsidRDefault="00370BAA">
      <w:pPr>
        <w:spacing w:before="60"/>
        <w:ind w:left="1441"/>
        <w:jc w:val="both"/>
        <w:rPr>
          <w:b/>
          <w:sz w:val="24"/>
        </w:rPr>
      </w:pPr>
      <w:r>
        <w:rPr>
          <w:b/>
          <w:color w:val="211F1F"/>
          <w:sz w:val="24"/>
        </w:rPr>
        <w:lastRenderedPageBreak/>
        <w:t>PART3</w:t>
      </w:r>
      <w:r>
        <w:rPr>
          <w:color w:val="211F1F"/>
          <w:sz w:val="24"/>
        </w:rPr>
        <w:t>:</w:t>
      </w:r>
      <w:r>
        <w:rPr>
          <w:color w:val="211F1F"/>
          <w:spacing w:val="-11"/>
          <w:sz w:val="24"/>
        </w:rPr>
        <w:t xml:space="preserve"> </w:t>
      </w:r>
      <w:r>
        <w:rPr>
          <w:b/>
          <w:color w:val="211F1F"/>
          <w:sz w:val="24"/>
        </w:rPr>
        <w:t>Conditions</w:t>
      </w:r>
      <w:r>
        <w:rPr>
          <w:b/>
          <w:color w:val="211F1F"/>
          <w:spacing w:val="-7"/>
          <w:sz w:val="24"/>
        </w:rPr>
        <w:t xml:space="preserve"> </w:t>
      </w:r>
      <w:r>
        <w:rPr>
          <w:b/>
          <w:color w:val="211F1F"/>
          <w:sz w:val="24"/>
        </w:rPr>
        <w:t>of</w:t>
      </w:r>
      <w:r>
        <w:rPr>
          <w:b/>
          <w:color w:val="211F1F"/>
          <w:spacing w:val="-15"/>
          <w:sz w:val="24"/>
        </w:rPr>
        <w:t xml:space="preserve"> </w:t>
      </w:r>
      <w:r>
        <w:rPr>
          <w:b/>
          <w:color w:val="211F1F"/>
          <w:sz w:val="24"/>
        </w:rPr>
        <w:t>Contract</w:t>
      </w:r>
      <w:r>
        <w:rPr>
          <w:b/>
          <w:color w:val="211F1F"/>
          <w:spacing w:val="-8"/>
          <w:sz w:val="24"/>
        </w:rPr>
        <w:t xml:space="preserve"> </w:t>
      </w:r>
      <w:r>
        <w:rPr>
          <w:b/>
          <w:color w:val="211F1F"/>
          <w:sz w:val="24"/>
        </w:rPr>
        <w:t>and</w:t>
      </w:r>
      <w:r>
        <w:rPr>
          <w:b/>
          <w:color w:val="211F1F"/>
          <w:spacing w:val="-6"/>
          <w:sz w:val="24"/>
        </w:rPr>
        <w:t xml:space="preserve"> </w:t>
      </w:r>
      <w:r>
        <w:rPr>
          <w:b/>
          <w:color w:val="211F1F"/>
          <w:sz w:val="24"/>
        </w:rPr>
        <w:t>Contract</w:t>
      </w:r>
      <w:r>
        <w:rPr>
          <w:b/>
          <w:color w:val="211F1F"/>
          <w:spacing w:val="-3"/>
          <w:sz w:val="24"/>
        </w:rPr>
        <w:t xml:space="preserve"> </w:t>
      </w:r>
      <w:r>
        <w:rPr>
          <w:b/>
          <w:color w:val="211F1F"/>
          <w:spacing w:val="-2"/>
          <w:sz w:val="24"/>
        </w:rPr>
        <w:t>Forms</w:t>
      </w:r>
    </w:p>
    <w:p w14:paraId="0F591930" w14:textId="77777777" w:rsidR="00BB77C0" w:rsidRDefault="00370BAA">
      <w:pPr>
        <w:spacing w:before="180" w:line="398" w:lineRule="auto"/>
        <w:ind w:left="1441" w:right="3928" w:firstLine="57"/>
        <w:jc w:val="both"/>
        <w:rPr>
          <w:sz w:val="24"/>
        </w:rPr>
      </w:pPr>
      <w:r>
        <w:rPr>
          <w:color w:val="211F1F"/>
          <w:sz w:val="24"/>
        </w:rPr>
        <w:t>Section VIII: General Conditions (GCC) Section</w:t>
      </w:r>
      <w:r>
        <w:rPr>
          <w:color w:val="211F1F"/>
          <w:spacing w:val="-1"/>
          <w:sz w:val="24"/>
        </w:rPr>
        <w:t xml:space="preserve"> </w:t>
      </w:r>
      <w:r>
        <w:rPr>
          <w:color w:val="211F1F"/>
          <w:sz w:val="24"/>
        </w:rPr>
        <w:t>IX: Particular Conditions of</w:t>
      </w:r>
      <w:r>
        <w:rPr>
          <w:color w:val="211F1F"/>
          <w:spacing w:val="-4"/>
          <w:sz w:val="24"/>
        </w:rPr>
        <w:t xml:space="preserve"> </w:t>
      </w:r>
      <w:r>
        <w:rPr>
          <w:color w:val="211F1F"/>
          <w:sz w:val="24"/>
        </w:rPr>
        <w:t>Contract Section X: Contract Forms</w:t>
      </w:r>
    </w:p>
    <w:p w14:paraId="6828114A" w14:textId="77777777" w:rsidR="00BB77C0" w:rsidRDefault="00370BAA">
      <w:pPr>
        <w:pStyle w:val="ListParagraph"/>
        <w:numPr>
          <w:ilvl w:val="1"/>
          <w:numId w:val="106"/>
        </w:numPr>
        <w:tabs>
          <w:tab w:val="left" w:pos="1439"/>
          <w:tab w:val="left" w:pos="1441"/>
        </w:tabs>
        <w:spacing w:line="259" w:lineRule="auto"/>
        <w:ind w:right="684"/>
        <w:jc w:val="both"/>
        <w:rPr>
          <w:color w:val="211F1F"/>
          <w:sz w:val="24"/>
        </w:rPr>
      </w:pPr>
      <w:r>
        <w:rPr>
          <w:color w:val="211F1F"/>
          <w:sz w:val="24"/>
        </w:rPr>
        <w:t>The Invitation</w:t>
      </w:r>
      <w:r>
        <w:rPr>
          <w:color w:val="211F1F"/>
          <w:spacing w:val="-6"/>
          <w:sz w:val="24"/>
        </w:rPr>
        <w:t xml:space="preserve"> </w:t>
      </w:r>
      <w:r>
        <w:rPr>
          <w:color w:val="211F1F"/>
          <w:sz w:val="24"/>
        </w:rPr>
        <w:t>to</w:t>
      </w:r>
      <w:r>
        <w:rPr>
          <w:color w:val="211F1F"/>
          <w:spacing w:val="-3"/>
          <w:sz w:val="24"/>
        </w:rPr>
        <w:t xml:space="preserve"> </w:t>
      </w:r>
      <w:r>
        <w:rPr>
          <w:color w:val="211F1F"/>
          <w:sz w:val="24"/>
        </w:rPr>
        <w:t>Tender</w:t>
      </w:r>
      <w:r>
        <w:rPr>
          <w:color w:val="211F1F"/>
          <w:spacing w:val="-5"/>
          <w:sz w:val="24"/>
        </w:rPr>
        <w:t xml:space="preserve"> </w:t>
      </w:r>
      <w:r>
        <w:rPr>
          <w:color w:val="211F1F"/>
          <w:sz w:val="24"/>
        </w:rPr>
        <w:t>Notice issued by</w:t>
      </w:r>
      <w:r>
        <w:rPr>
          <w:color w:val="211F1F"/>
          <w:spacing w:val="-12"/>
          <w:sz w:val="24"/>
        </w:rPr>
        <w:t xml:space="preserve"> </w:t>
      </w:r>
      <w:r>
        <w:rPr>
          <w:color w:val="211F1F"/>
          <w:sz w:val="24"/>
        </w:rPr>
        <w:t>the</w:t>
      </w:r>
      <w:r>
        <w:rPr>
          <w:color w:val="211F1F"/>
          <w:spacing w:val="-3"/>
          <w:sz w:val="24"/>
        </w:rPr>
        <w:t xml:space="preserve"> </w:t>
      </w:r>
      <w:r>
        <w:rPr>
          <w:color w:val="211F1F"/>
          <w:sz w:val="24"/>
        </w:rPr>
        <w:t>Procuring</w:t>
      </w:r>
      <w:r>
        <w:rPr>
          <w:color w:val="211F1F"/>
          <w:spacing w:val="-1"/>
          <w:sz w:val="24"/>
        </w:rPr>
        <w:t xml:space="preserve"> </w:t>
      </w:r>
      <w:r>
        <w:rPr>
          <w:color w:val="211F1F"/>
          <w:sz w:val="24"/>
        </w:rPr>
        <w:t>Entity</w:t>
      </w:r>
      <w:r>
        <w:rPr>
          <w:color w:val="211F1F"/>
          <w:spacing w:val="-7"/>
          <w:sz w:val="24"/>
        </w:rPr>
        <w:t xml:space="preserve"> </w:t>
      </w:r>
      <w:r>
        <w:rPr>
          <w:color w:val="211F1F"/>
          <w:sz w:val="24"/>
        </w:rPr>
        <w:t>is not</w:t>
      </w:r>
      <w:r>
        <w:rPr>
          <w:color w:val="211F1F"/>
          <w:spacing w:val="-2"/>
          <w:sz w:val="24"/>
        </w:rPr>
        <w:t xml:space="preserve"> </w:t>
      </w:r>
      <w:r>
        <w:rPr>
          <w:color w:val="211F1F"/>
          <w:sz w:val="24"/>
        </w:rPr>
        <w:t>part</w:t>
      </w:r>
      <w:r>
        <w:rPr>
          <w:color w:val="211F1F"/>
          <w:spacing w:val="-7"/>
          <w:sz w:val="24"/>
        </w:rPr>
        <w:t xml:space="preserve"> </w:t>
      </w:r>
      <w:r>
        <w:rPr>
          <w:color w:val="211F1F"/>
          <w:sz w:val="24"/>
        </w:rPr>
        <w:t>of</w:t>
      </w:r>
      <w:r>
        <w:rPr>
          <w:color w:val="211F1F"/>
          <w:spacing w:val="-10"/>
          <w:sz w:val="24"/>
        </w:rPr>
        <w:t xml:space="preserve"> </w:t>
      </w:r>
      <w:r>
        <w:rPr>
          <w:color w:val="211F1F"/>
          <w:sz w:val="24"/>
        </w:rPr>
        <w:t>the Contract documents.</w:t>
      </w:r>
    </w:p>
    <w:p w14:paraId="642C2F54" w14:textId="77777777" w:rsidR="00BB77C0" w:rsidRDefault="00370BAA">
      <w:pPr>
        <w:pStyle w:val="ListParagraph"/>
        <w:numPr>
          <w:ilvl w:val="1"/>
          <w:numId w:val="106"/>
        </w:numPr>
        <w:tabs>
          <w:tab w:val="left" w:pos="1441"/>
        </w:tabs>
        <w:spacing w:before="157" w:line="259" w:lineRule="auto"/>
        <w:ind w:right="67"/>
        <w:rPr>
          <w:color w:val="211F1F"/>
          <w:sz w:val="24"/>
        </w:rPr>
      </w:pPr>
      <w:r>
        <w:rPr>
          <w:color w:val="211F1F"/>
          <w:sz w:val="24"/>
        </w:rPr>
        <w:t>Unless obtained directly from the Procuring Entity, the Procuring Entity is not responsible for the completeness of the Tender document, responses to requests for clarification, the minutes of a pre-arranged site visit and those of the pre-Tender meeting (if any), or Addenda to the Tender document in accordance with ITT 10. In case</w:t>
      </w:r>
      <w:r>
        <w:rPr>
          <w:color w:val="211F1F"/>
          <w:spacing w:val="-6"/>
          <w:sz w:val="24"/>
        </w:rPr>
        <w:t xml:space="preserve"> </w:t>
      </w:r>
      <w:r>
        <w:rPr>
          <w:color w:val="211F1F"/>
          <w:sz w:val="24"/>
        </w:rPr>
        <w:t>of</w:t>
      </w:r>
      <w:r>
        <w:rPr>
          <w:color w:val="211F1F"/>
          <w:spacing w:val="-8"/>
          <w:sz w:val="24"/>
        </w:rPr>
        <w:t xml:space="preserve"> </w:t>
      </w:r>
      <w:r>
        <w:rPr>
          <w:color w:val="211F1F"/>
          <w:sz w:val="24"/>
        </w:rPr>
        <w:t>any</w:t>
      </w:r>
      <w:r>
        <w:rPr>
          <w:color w:val="211F1F"/>
          <w:spacing w:val="-9"/>
          <w:sz w:val="24"/>
        </w:rPr>
        <w:t xml:space="preserve"> </w:t>
      </w:r>
      <w:r>
        <w:rPr>
          <w:color w:val="211F1F"/>
          <w:sz w:val="24"/>
        </w:rPr>
        <w:t>contradiction, documents</w:t>
      </w:r>
      <w:r>
        <w:rPr>
          <w:color w:val="211F1F"/>
          <w:spacing w:val="-6"/>
          <w:sz w:val="24"/>
        </w:rPr>
        <w:t xml:space="preserve"> </w:t>
      </w:r>
      <w:r>
        <w:rPr>
          <w:color w:val="211F1F"/>
          <w:sz w:val="24"/>
        </w:rPr>
        <w:t>obtained</w:t>
      </w:r>
      <w:r>
        <w:rPr>
          <w:color w:val="211F1F"/>
          <w:spacing w:val="-4"/>
          <w:sz w:val="24"/>
        </w:rPr>
        <w:t xml:space="preserve"> </w:t>
      </w:r>
      <w:r>
        <w:rPr>
          <w:color w:val="211F1F"/>
          <w:sz w:val="24"/>
        </w:rPr>
        <w:t>directly</w:t>
      </w:r>
      <w:r>
        <w:rPr>
          <w:color w:val="211F1F"/>
          <w:spacing w:val="-4"/>
          <w:sz w:val="24"/>
        </w:rPr>
        <w:t xml:space="preserve"> </w:t>
      </w:r>
      <w:r>
        <w:rPr>
          <w:color w:val="211F1F"/>
          <w:sz w:val="24"/>
        </w:rPr>
        <w:t>from</w:t>
      </w:r>
      <w:r>
        <w:rPr>
          <w:color w:val="211F1F"/>
          <w:spacing w:val="-13"/>
          <w:sz w:val="24"/>
        </w:rPr>
        <w:t xml:space="preserve"> </w:t>
      </w:r>
      <w:r>
        <w:rPr>
          <w:color w:val="211F1F"/>
          <w:sz w:val="24"/>
        </w:rPr>
        <w:t>the</w:t>
      </w:r>
      <w:r>
        <w:rPr>
          <w:color w:val="211F1F"/>
          <w:spacing w:val="-6"/>
          <w:sz w:val="24"/>
        </w:rPr>
        <w:t xml:space="preserve"> </w:t>
      </w:r>
      <w:r>
        <w:rPr>
          <w:color w:val="211F1F"/>
          <w:sz w:val="24"/>
        </w:rPr>
        <w:t>Procuring</w:t>
      </w:r>
      <w:r>
        <w:rPr>
          <w:color w:val="211F1F"/>
          <w:spacing w:val="-3"/>
          <w:sz w:val="24"/>
        </w:rPr>
        <w:t xml:space="preserve"> </w:t>
      </w:r>
      <w:r>
        <w:rPr>
          <w:color w:val="211F1F"/>
          <w:sz w:val="24"/>
        </w:rPr>
        <w:t>Entity</w:t>
      </w:r>
      <w:r>
        <w:rPr>
          <w:color w:val="211F1F"/>
          <w:spacing w:val="-13"/>
          <w:sz w:val="24"/>
        </w:rPr>
        <w:t xml:space="preserve"> </w:t>
      </w:r>
      <w:r>
        <w:rPr>
          <w:color w:val="211F1F"/>
          <w:sz w:val="24"/>
        </w:rPr>
        <w:t xml:space="preserve">shall </w:t>
      </w:r>
      <w:r>
        <w:rPr>
          <w:color w:val="211F1F"/>
          <w:spacing w:val="-2"/>
          <w:sz w:val="24"/>
        </w:rPr>
        <w:t>prevail.</w:t>
      </w:r>
    </w:p>
    <w:p w14:paraId="0E20957E" w14:textId="77777777" w:rsidR="00BB77C0" w:rsidRDefault="00370BAA">
      <w:pPr>
        <w:pStyle w:val="ListParagraph"/>
        <w:numPr>
          <w:ilvl w:val="1"/>
          <w:numId w:val="106"/>
        </w:numPr>
        <w:tabs>
          <w:tab w:val="left" w:pos="1441"/>
        </w:tabs>
        <w:spacing w:before="156" w:line="259" w:lineRule="auto"/>
        <w:ind w:right="161"/>
        <w:rPr>
          <w:color w:val="211F1F"/>
          <w:sz w:val="24"/>
        </w:rPr>
      </w:pPr>
      <w:r>
        <w:rPr>
          <w:color w:val="211F1F"/>
          <w:sz w:val="24"/>
        </w:rPr>
        <w:t>The</w:t>
      </w:r>
      <w:r>
        <w:rPr>
          <w:color w:val="211F1F"/>
          <w:spacing w:val="-11"/>
          <w:sz w:val="24"/>
        </w:rPr>
        <w:t xml:space="preserve"> </w:t>
      </w:r>
      <w:r>
        <w:rPr>
          <w:color w:val="211F1F"/>
          <w:sz w:val="24"/>
        </w:rPr>
        <w:t>Tenderer</w:t>
      </w:r>
      <w:r>
        <w:rPr>
          <w:color w:val="211F1F"/>
          <w:spacing w:val="-3"/>
          <w:sz w:val="24"/>
        </w:rPr>
        <w:t xml:space="preserve"> </w:t>
      </w:r>
      <w:r>
        <w:rPr>
          <w:color w:val="211F1F"/>
          <w:sz w:val="24"/>
        </w:rPr>
        <w:t>is</w:t>
      </w:r>
      <w:r>
        <w:rPr>
          <w:color w:val="211F1F"/>
          <w:spacing w:val="-11"/>
          <w:sz w:val="24"/>
        </w:rPr>
        <w:t xml:space="preserve"> </w:t>
      </w:r>
      <w:r>
        <w:rPr>
          <w:color w:val="211F1F"/>
          <w:sz w:val="24"/>
        </w:rPr>
        <w:t>expected</w:t>
      </w:r>
      <w:r>
        <w:rPr>
          <w:color w:val="211F1F"/>
          <w:spacing w:val="-8"/>
          <w:sz w:val="24"/>
        </w:rPr>
        <w:t xml:space="preserve"> </w:t>
      </w:r>
      <w:r>
        <w:rPr>
          <w:color w:val="211F1F"/>
          <w:sz w:val="24"/>
        </w:rPr>
        <w:t>to</w:t>
      </w:r>
      <w:r>
        <w:rPr>
          <w:color w:val="211F1F"/>
          <w:spacing w:val="-10"/>
          <w:sz w:val="24"/>
        </w:rPr>
        <w:t xml:space="preserve"> </w:t>
      </w:r>
      <w:r>
        <w:rPr>
          <w:color w:val="211F1F"/>
          <w:sz w:val="24"/>
        </w:rPr>
        <w:t>examine</w:t>
      </w:r>
      <w:r>
        <w:rPr>
          <w:color w:val="211F1F"/>
          <w:spacing w:val="-10"/>
          <w:sz w:val="24"/>
        </w:rPr>
        <w:t xml:space="preserve"> </w:t>
      </w:r>
      <w:r>
        <w:rPr>
          <w:color w:val="211F1F"/>
          <w:sz w:val="24"/>
        </w:rPr>
        <w:t>all</w:t>
      </w:r>
      <w:r>
        <w:rPr>
          <w:color w:val="211F1F"/>
          <w:spacing w:val="-9"/>
          <w:sz w:val="24"/>
        </w:rPr>
        <w:t xml:space="preserve"> </w:t>
      </w:r>
      <w:r>
        <w:rPr>
          <w:color w:val="211F1F"/>
          <w:sz w:val="24"/>
        </w:rPr>
        <w:t>instructions,</w:t>
      </w:r>
      <w:r>
        <w:rPr>
          <w:color w:val="211F1F"/>
          <w:spacing w:val="-6"/>
          <w:sz w:val="24"/>
        </w:rPr>
        <w:t xml:space="preserve"> </w:t>
      </w:r>
      <w:r>
        <w:rPr>
          <w:color w:val="211F1F"/>
          <w:sz w:val="24"/>
        </w:rPr>
        <w:t>forms,</w:t>
      </w:r>
      <w:r>
        <w:rPr>
          <w:color w:val="211F1F"/>
          <w:spacing w:val="-6"/>
          <w:sz w:val="24"/>
        </w:rPr>
        <w:t xml:space="preserve"> </w:t>
      </w:r>
      <w:r>
        <w:rPr>
          <w:color w:val="211F1F"/>
          <w:sz w:val="24"/>
        </w:rPr>
        <w:t>terms,</w:t>
      </w:r>
      <w:r>
        <w:rPr>
          <w:color w:val="211F1F"/>
          <w:spacing w:val="-7"/>
          <w:sz w:val="24"/>
        </w:rPr>
        <w:t xml:space="preserve"> </w:t>
      </w:r>
      <w:r>
        <w:rPr>
          <w:color w:val="211F1F"/>
          <w:sz w:val="24"/>
        </w:rPr>
        <w:t>and</w:t>
      </w:r>
      <w:r>
        <w:rPr>
          <w:color w:val="211F1F"/>
          <w:spacing w:val="-9"/>
          <w:sz w:val="24"/>
        </w:rPr>
        <w:t xml:space="preserve"> </w:t>
      </w:r>
      <w:r>
        <w:rPr>
          <w:color w:val="211F1F"/>
          <w:sz w:val="24"/>
        </w:rPr>
        <w:t>specifications in the Tender Document and to furnish with its Tender all information and documentation as is required by the Tender document.</w:t>
      </w:r>
    </w:p>
    <w:p w14:paraId="1313AC70" w14:textId="77777777" w:rsidR="00BB77C0" w:rsidRDefault="00370BAA">
      <w:pPr>
        <w:pStyle w:val="Heading6"/>
        <w:numPr>
          <w:ilvl w:val="1"/>
          <w:numId w:val="105"/>
        </w:numPr>
        <w:tabs>
          <w:tab w:val="left" w:pos="720"/>
        </w:tabs>
        <w:spacing w:before="249"/>
        <w:ind w:hanging="720"/>
      </w:pPr>
      <w:bookmarkStart w:id="24" w:name="7.0_Site_Visit"/>
      <w:bookmarkStart w:id="25" w:name="_bookmark11"/>
      <w:bookmarkEnd w:id="24"/>
      <w:bookmarkEnd w:id="25"/>
      <w:r>
        <w:t>Site</w:t>
      </w:r>
      <w:r>
        <w:rPr>
          <w:spacing w:val="-4"/>
        </w:rPr>
        <w:t xml:space="preserve"> </w:t>
      </w:r>
      <w:r>
        <w:rPr>
          <w:spacing w:val="-2"/>
        </w:rPr>
        <w:t>Visit</w:t>
      </w:r>
    </w:p>
    <w:p w14:paraId="74CAF7DC" w14:textId="77777777" w:rsidR="00BB77C0" w:rsidRDefault="00370BAA">
      <w:pPr>
        <w:pStyle w:val="ListParagraph"/>
        <w:numPr>
          <w:ilvl w:val="1"/>
          <w:numId w:val="114"/>
        </w:numPr>
        <w:tabs>
          <w:tab w:val="left" w:pos="1441"/>
        </w:tabs>
        <w:spacing w:before="79" w:line="259" w:lineRule="auto"/>
        <w:ind w:right="131"/>
        <w:rPr>
          <w:color w:val="211F1F"/>
          <w:sz w:val="24"/>
        </w:rPr>
      </w:pPr>
      <w:r>
        <w:rPr>
          <w:color w:val="211F1F"/>
          <w:sz w:val="24"/>
        </w:rPr>
        <w:t>The</w:t>
      </w:r>
      <w:r>
        <w:rPr>
          <w:color w:val="211F1F"/>
          <w:spacing w:val="-9"/>
          <w:sz w:val="24"/>
        </w:rPr>
        <w:t xml:space="preserve"> </w:t>
      </w:r>
      <w:r>
        <w:rPr>
          <w:color w:val="211F1F"/>
          <w:sz w:val="24"/>
        </w:rPr>
        <w:t>Tenderer,</w:t>
      </w:r>
      <w:r>
        <w:rPr>
          <w:color w:val="211F1F"/>
          <w:spacing w:val="-9"/>
          <w:sz w:val="24"/>
        </w:rPr>
        <w:t xml:space="preserve"> </w:t>
      </w:r>
      <w:r>
        <w:rPr>
          <w:color w:val="211F1F"/>
          <w:sz w:val="24"/>
        </w:rPr>
        <w:t>at</w:t>
      </w:r>
      <w:r>
        <w:rPr>
          <w:color w:val="211F1F"/>
          <w:spacing w:val="-7"/>
          <w:sz w:val="24"/>
        </w:rPr>
        <w:t xml:space="preserve"> </w:t>
      </w:r>
      <w:r>
        <w:rPr>
          <w:color w:val="211F1F"/>
          <w:sz w:val="24"/>
        </w:rPr>
        <w:t>the</w:t>
      </w:r>
      <w:r>
        <w:rPr>
          <w:color w:val="211F1F"/>
          <w:spacing w:val="-8"/>
          <w:sz w:val="24"/>
        </w:rPr>
        <w:t xml:space="preserve"> </w:t>
      </w:r>
      <w:r>
        <w:rPr>
          <w:color w:val="211F1F"/>
          <w:sz w:val="24"/>
        </w:rPr>
        <w:t>Tenderer's</w:t>
      </w:r>
      <w:r>
        <w:rPr>
          <w:color w:val="211F1F"/>
          <w:spacing w:val="-9"/>
          <w:sz w:val="24"/>
        </w:rPr>
        <w:t xml:space="preserve"> </w:t>
      </w:r>
      <w:r>
        <w:rPr>
          <w:color w:val="211F1F"/>
          <w:sz w:val="24"/>
        </w:rPr>
        <w:t>own</w:t>
      </w:r>
      <w:r>
        <w:rPr>
          <w:color w:val="211F1F"/>
          <w:spacing w:val="-13"/>
          <w:sz w:val="24"/>
        </w:rPr>
        <w:t xml:space="preserve"> </w:t>
      </w:r>
      <w:r>
        <w:rPr>
          <w:color w:val="211F1F"/>
          <w:sz w:val="24"/>
        </w:rPr>
        <w:t>responsibility</w:t>
      </w:r>
      <w:r>
        <w:rPr>
          <w:color w:val="211F1F"/>
          <w:spacing w:val="-11"/>
          <w:sz w:val="24"/>
        </w:rPr>
        <w:t xml:space="preserve"> </w:t>
      </w:r>
      <w:r>
        <w:rPr>
          <w:color w:val="211F1F"/>
          <w:sz w:val="24"/>
        </w:rPr>
        <w:t>and</w:t>
      </w:r>
      <w:r>
        <w:rPr>
          <w:color w:val="211F1F"/>
          <w:spacing w:val="-8"/>
          <w:sz w:val="24"/>
        </w:rPr>
        <w:t xml:space="preserve"> </w:t>
      </w:r>
      <w:r>
        <w:rPr>
          <w:color w:val="211F1F"/>
          <w:sz w:val="24"/>
        </w:rPr>
        <w:t>risk,</w:t>
      </w:r>
      <w:r>
        <w:rPr>
          <w:color w:val="211F1F"/>
          <w:spacing w:val="-1"/>
          <w:sz w:val="24"/>
        </w:rPr>
        <w:t xml:space="preserve"> </w:t>
      </w:r>
      <w:r>
        <w:rPr>
          <w:color w:val="211F1F"/>
          <w:sz w:val="24"/>
        </w:rPr>
        <w:t>is</w:t>
      </w:r>
      <w:r>
        <w:rPr>
          <w:color w:val="211F1F"/>
          <w:spacing w:val="-10"/>
          <w:sz w:val="24"/>
        </w:rPr>
        <w:t xml:space="preserve"> </w:t>
      </w:r>
      <w:r>
        <w:rPr>
          <w:color w:val="211F1F"/>
          <w:sz w:val="24"/>
        </w:rPr>
        <w:t>encouraged</w:t>
      </w:r>
      <w:r>
        <w:rPr>
          <w:color w:val="211F1F"/>
          <w:spacing w:val="-7"/>
          <w:sz w:val="24"/>
        </w:rPr>
        <w:t xml:space="preserve"> </w:t>
      </w:r>
      <w:r>
        <w:rPr>
          <w:color w:val="211F1F"/>
          <w:sz w:val="24"/>
        </w:rPr>
        <w:t>to</w:t>
      </w:r>
      <w:r>
        <w:rPr>
          <w:color w:val="211F1F"/>
          <w:spacing w:val="-3"/>
          <w:sz w:val="24"/>
        </w:rPr>
        <w:t xml:space="preserve"> </w:t>
      </w:r>
      <w:r>
        <w:rPr>
          <w:color w:val="211F1F"/>
          <w:sz w:val="24"/>
        </w:rPr>
        <w:t>visit</w:t>
      </w:r>
      <w:r>
        <w:rPr>
          <w:color w:val="211F1F"/>
          <w:spacing w:val="-2"/>
          <w:sz w:val="24"/>
        </w:rPr>
        <w:t xml:space="preserve"> </w:t>
      </w:r>
      <w:r>
        <w:rPr>
          <w:color w:val="211F1F"/>
          <w:sz w:val="24"/>
        </w:rPr>
        <w:t>and examine and inspect the site(s) of the required contracts and obtain all information that may</w:t>
      </w:r>
      <w:r>
        <w:rPr>
          <w:color w:val="211F1F"/>
          <w:spacing w:val="-4"/>
          <w:sz w:val="24"/>
        </w:rPr>
        <w:t xml:space="preserve"> </w:t>
      </w:r>
      <w:r>
        <w:rPr>
          <w:color w:val="211F1F"/>
          <w:sz w:val="24"/>
        </w:rPr>
        <w:t>be necessary for preparing a tender.</w:t>
      </w:r>
      <w:r>
        <w:rPr>
          <w:color w:val="211F1F"/>
          <w:spacing w:val="-2"/>
          <w:sz w:val="24"/>
        </w:rPr>
        <w:t xml:space="preserve"> </w:t>
      </w:r>
      <w:r>
        <w:rPr>
          <w:color w:val="211F1F"/>
          <w:sz w:val="24"/>
        </w:rPr>
        <w:t>The costs</w:t>
      </w:r>
      <w:r>
        <w:rPr>
          <w:color w:val="211F1F"/>
          <w:spacing w:val="-11"/>
          <w:sz w:val="24"/>
        </w:rPr>
        <w:t xml:space="preserve"> </w:t>
      </w:r>
      <w:r>
        <w:rPr>
          <w:color w:val="211F1F"/>
          <w:sz w:val="24"/>
        </w:rPr>
        <w:t>of</w:t>
      </w:r>
      <w:r>
        <w:rPr>
          <w:color w:val="211F1F"/>
          <w:spacing w:val="-2"/>
          <w:sz w:val="24"/>
        </w:rPr>
        <w:t xml:space="preserve"> </w:t>
      </w:r>
      <w:r>
        <w:rPr>
          <w:color w:val="211F1F"/>
          <w:sz w:val="24"/>
        </w:rPr>
        <w:t>visiting the Site shall</w:t>
      </w:r>
      <w:r>
        <w:rPr>
          <w:color w:val="211F1F"/>
          <w:spacing w:val="-3"/>
          <w:sz w:val="24"/>
        </w:rPr>
        <w:t xml:space="preserve"> </w:t>
      </w:r>
      <w:r>
        <w:rPr>
          <w:color w:val="211F1F"/>
          <w:sz w:val="24"/>
        </w:rPr>
        <w:t xml:space="preserve">be at the Tenderer’s own expense. The Procuring Entity shall specify in the </w:t>
      </w:r>
      <w:r>
        <w:rPr>
          <w:b/>
          <w:color w:val="211F1F"/>
          <w:sz w:val="24"/>
        </w:rPr>
        <w:t xml:space="preserve">TDS </w:t>
      </w:r>
      <w:r>
        <w:rPr>
          <w:color w:val="211F1F"/>
          <w:sz w:val="24"/>
        </w:rPr>
        <w:t>if a pre- arranged Site visit and or a pre-tender meeting will be held, when and where. The Tenderer's</w:t>
      </w:r>
      <w:r>
        <w:rPr>
          <w:color w:val="211F1F"/>
          <w:spacing w:val="-10"/>
          <w:sz w:val="24"/>
        </w:rPr>
        <w:t xml:space="preserve"> </w:t>
      </w:r>
      <w:r>
        <w:rPr>
          <w:color w:val="211F1F"/>
          <w:sz w:val="24"/>
        </w:rPr>
        <w:t>designated</w:t>
      </w:r>
      <w:r>
        <w:rPr>
          <w:color w:val="211F1F"/>
          <w:spacing w:val="-3"/>
          <w:sz w:val="24"/>
        </w:rPr>
        <w:t xml:space="preserve"> </w:t>
      </w:r>
      <w:r>
        <w:rPr>
          <w:color w:val="211F1F"/>
          <w:sz w:val="24"/>
        </w:rPr>
        <w:t>representative</w:t>
      </w:r>
      <w:r>
        <w:rPr>
          <w:color w:val="211F1F"/>
          <w:spacing w:val="-3"/>
          <w:sz w:val="24"/>
        </w:rPr>
        <w:t xml:space="preserve"> </w:t>
      </w:r>
      <w:r>
        <w:rPr>
          <w:color w:val="211F1F"/>
          <w:sz w:val="24"/>
        </w:rPr>
        <w:t>is</w:t>
      </w:r>
      <w:r>
        <w:rPr>
          <w:color w:val="211F1F"/>
          <w:spacing w:val="-6"/>
          <w:sz w:val="24"/>
        </w:rPr>
        <w:t xml:space="preserve"> </w:t>
      </w:r>
      <w:r>
        <w:rPr>
          <w:color w:val="211F1F"/>
          <w:sz w:val="24"/>
        </w:rPr>
        <w:t>invited</w:t>
      </w:r>
      <w:r>
        <w:rPr>
          <w:color w:val="211F1F"/>
          <w:spacing w:val="-8"/>
          <w:sz w:val="24"/>
        </w:rPr>
        <w:t xml:space="preserve"> </w:t>
      </w:r>
      <w:r>
        <w:rPr>
          <w:color w:val="211F1F"/>
          <w:sz w:val="24"/>
        </w:rPr>
        <w:t>to</w:t>
      </w:r>
      <w:r>
        <w:rPr>
          <w:color w:val="211F1F"/>
          <w:spacing w:val="-4"/>
          <w:sz w:val="24"/>
        </w:rPr>
        <w:t xml:space="preserve"> </w:t>
      </w:r>
      <w:r>
        <w:rPr>
          <w:color w:val="211F1F"/>
          <w:sz w:val="24"/>
        </w:rPr>
        <w:t>attend</w:t>
      </w:r>
      <w:r>
        <w:rPr>
          <w:color w:val="211F1F"/>
          <w:spacing w:val="-8"/>
          <w:sz w:val="24"/>
        </w:rPr>
        <w:t xml:space="preserve"> </w:t>
      </w:r>
      <w:r>
        <w:rPr>
          <w:color w:val="211F1F"/>
          <w:sz w:val="24"/>
        </w:rPr>
        <w:t>a</w:t>
      </w:r>
      <w:r>
        <w:rPr>
          <w:color w:val="211F1F"/>
          <w:spacing w:val="-10"/>
          <w:sz w:val="24"/>
        </w:rPr>
        <w:t xml:space="preserve"> </w:t>
      </w:r>
      <w:r>
        <w:rPr>
          <w:color w:val="211F1F"/>
          <w:sz w:val="24"/>
        </w:rPr>
        <w:t>pre-arranged</w:t>
      </w:r>
      <w:r>
        <w:rPr>
          <w:color w:val="211F1F"/>
          <w:spacing w:val="-8"/>
          <w:sz w:val="24"/>
        </w:rPr>
        <w:t xml:space="preserve"> </w:t>
      </w:r>
      <w:r>
        <w:rPr>
          <w:color w:val="211F1F"/>
          <w:sz w:val="24"/>
        </w:rPr>
        <w:t>site</w:t>
      </w:r>
      <w:r>
        <w:rPr>
          <w:color w:val="211F1F"/>
          <w:spacing w:val="-4"/>
          <w:sz w:val="24"/>
        </w:rPr>
        <w:t xml:space="preserve"> </w:t>
      </w:r>
      <w:r>
        <w:rPr>
          <w:color w:val="211F1F"/>
          <w:sz w:val="24"/>
        </w:rPr>
        <w:t>visit</w:t>
      </w:r>
      <w:r>
        <w:rPr>
          <w:color w:val="211F1F"/>
          <w:spacing w:val="-3"/>
          <w:sz w:val="24"/>
        </w:rPr>
        <w:t xml:space="preserve"> </w:t>
      </w:r>
      <w:r>
        <w:rPr>
          <w:color w:val="211F1F"/>
          <w:sz w:val="24"/>
        </w:rPr>
        <w:t>and</w:t>
      </w:r>
      <w:r>
        <w:rPr>
          <w:color w:val="211F1F"/>
          <w:spacing w:val="-8"/>
          <w:sz w:val="24"/>
        </w:rPr>
        <w:t xml:space="preserve"> </w:t>
      </w:r>
      <w:r>
        <w:rPr>
          <w:color w:val="211F1F"/>
          <w:sz w:val="24"/>
        </w:rPr>
        <w:t>a pre-tender meeting, as the case may be.</w:t>
      </w:r>
    </w:p>
    <w:p w14:paraId="2993B573" w14:textId="77777777" w:rsidR="00BB77C0" w:rsidRDefault="00370BAA">
      <w:pPr>
        <w:pStyle w:val="ListParagraph"/>
        <w:numPr>
          <w:ilvl w:val="0"/>
          <w:numId w:val="114"/>
        </w:numPr>
        <w:tabs>
          <w:tab w:val="left" w:pos="176"/>
          <w:tab w:val="left" w:pos="720"/>
        </w:tabs>
        <w:spacing w:before="161"/>
        <w:ind w:left="176" w:hanging="176"/>
        <w:jc w:val="left"/>
        <w:rPr>
          <w:b/>
          <w:color w:val="211F1F"/>
        </w:rPr>
      </w:pPr>
      <w:r>
        <w:rPr>
          <w:b/>
          <w:color w:val="211F1F"/>
          <w:spacing w:val="-10"/>
          <w:sz w:val="24"/>
        </w:rPr>
        <w:t>0</w:t>
      </w:r>
      <w:r>
        <w:rPr>
          <w:b/>
          <w:color w:val="211F1F"/>
          <w:sz w:val="24"/>
        </w:rPr>
        <w:tab/>
        <w:t>Pre</w:t>
      </w:r>
      <w:r>
        <w:rPr>
          <w:b/>
          <w:color w:val="211F1F"/>
          <w:spacing w:val="-2"/>
          <w:sz w:val="24"/>
        </w:rPr>
        <w:t xml:space="preserve"> </w:t>
      </w:r>
      <w:r>
        <w:rPr>
          <w:b/>
          <w:color w:val="211F1F"/>
          <w:sz w:val="24"/>
        </w:rPr>
        <w:t>bid</w:t>
      </w:r>
      <w:r>
        <w:rPr>
          <w:b/>
          <w:color w:val="211F1F"/>
          <w:spacing w:val="-3"/>
          <w:sz w:val="24"/>
        </w:rPr>
        <w:t xml:space="preserve"> </w:t>
      </w:r>
      <w:r>
        <w:rPr>
          <w:b/>
          <w:color w:val="211F1F"/>
          <w:spacing w:val="-2"/>
          <w:sz w:val="24"/>
        </w:rPr>
        <w:t>Meeting</w:t>
      </w:r>
    </w:p>
    <w:p w14:paraId="22A4C071" w14:textId="77777777" w:rsidR="00BB77C0" w:rsidRDefault="00370BAA">
      <w:pPr>
        <w:pStyle w:val="ListParagraph"/>
        <w:numPr>
          <w:ilvl w:val="1"/>
          <w:numId w:val="114"/>
        </w:numPr>
        <w:tabs>
          <w:tab w:val="left" w:pos="1330"/>
        </w:tabs>
        <w:spacing w:before="177" w:line="206" w:lineRule="auto"/>
        <w:ind w:left="1330" w:right="1085" w:hanging="610"/>
        <w:jc w:val="both"/>
        <w:rPr>
          <w:color w:val="211F1F"/>
          <w:sz w:val="24"/>
        </w:rPr>
      </w:pPr>
      <w:r>
        <w:rPr>
          <w:color w:val="201F1F"/>
          <w:sz w:val="24"/>
        </w:rPr>
        <w:t>The</w:t>
      </w:r>
      <w:r>
        <w:rPr>
          <w:color w:val="201F1F"/>
          <w:spacing w:val="-3"/>
          <w:sz w:val="24"/>
        </w:rPr>
        <w:t xml:space="preserve"> </w:t>
      </w:r>
      <w:r>
        <w:rPr>
          <w:color w:val="201F1F"/>
          <w:sz w:val="24"/>
        </w:rPr>
        <w:t>Procuring</w:t>
      </w:r>
      <w:r>
        <w:rPr>
          <w:color w:val="201F1F"/>
          <w:spacing w:val="-2"/>
          <w:sz w:val="24"/>
        </w:rPr>
        <w:t xml:space="preserve"> </w:t>
      </w:r>
      <w:r>
        <w:rPr>
          <w:color w:val="201F1F"/>
          <w:sz w:val="24"/>
        </w:rPr>
        <w:t>Entity</w:t>
      </w:r>
      <w:r>
        <w:rPr>
          <w:color w:val="201F1F"/>
          <w:spacing w:val="-10"/>
          <w:sz w:val="24"/>
        </w:rPr>
        <w:t xml:space="preserve"> </w:t>
      </w:r>
      <w:r>
        <w:rPr>
          <w:color w:val="201F1F"/>
          <w:sz w:val="24"/>
        </w:rPr>
        <w:t>shall</w:t>
      </w:r>
      <w:r>
        <w:rPr>
          <w:color w:val="201F1F"/>
          <w:spacing w:val="-10"/>
          <w:sz w:val="24"/>
        </w:rPr>
        <w:t xml:space="preserve"> </w:t>
      </w:r>
      <w:r>
        <w:rPr>
          <w:color w:val="201F1F"/>
          <w:sz w:val="24"/>
        </w:rPr>
        <w:t>specify</w:t>
      </w:r>
      <w:r>
        <w:rPr>
          <w:color w:val="201F1F"/>
          <w:spacing w:val="-6"/>
          <w:sz w:val="24"/>
        </w:rPr>
        <w:t xml:space="preserve"> </w:t>
      </w:r>
      <w:r>
        <w:rPr>
          <w:color w:val="201F1F"/>
          <w:sz w:val="24"/>
        </w:rPr>
        <w:t>in</w:t>
      </w:r>
      <w:r>
        <w:rPr>
          <w:color w:val="201F1F"/>
          <w:spacing w:val="-7"/>
          <w:sz w:val="24"/>
        </w:rPr>
        <w:t xml:space="preserve"> </w:t>
      </w:r>
      <w:r>
        <w:rPr>
          <w:color w:val="201F1F"/>
          <w:sz w:val="24"/>
        </w:rPr>
        <w:t>the</w:t>
      </w:r>
      <w:r>
        <w:rPr>
          <w:color w:val="201F1F"/>
          <w:spacing w:val="-3"/>
          <w:sz w:val="24"/>
        </w:rPr>
        <w:t xml:space="preserve"> </w:t>
      </w:r>
      <w:r>
        <w:rPr>
          <w:color w:val="201F1F"/>
          <w:sz w:val="24"/>
        </w:rPr>
        <w:t>TDS</w:t>
      </w:r>
      <w:r>
        <w:rPr>
          <w:color w:val="201F1F"/>
          <w:spacing w:val="-2"/>
          <w:sz w:val="24"/>
        </w:rPr>
        <w:t xml:space="preserve"> </w:t>
      </w:r>
      <w:r>
        <w:rPr>
          <w:color w:val="201F1F"/>
          <w:sz w:val="24"/>
        </w:rPr>
        <w:t>if</w:t>
      </w:r>
      <w:r>
        <w:rPr>
          <w:color w:val="201F1F"/>
          <w:spacing w:val="-10"/>
          <w:sz w:val="24"/>
        </w:rPr>
        <w:t xml:space="preserve"> </w:t>
      </w:r>
      <w:r>
        <w:rPr>
          <w:color w:val="201F1F"/>
          <w:sz w:val="24"/>
        </w:rPr>
        <w:t>a</w:t>
      </w:r>
      <w:r>
        <w:rPr>
          <w:color w:val="201F1F"/>
          <w:spacing w:val="-8"/>
          <w:sz w:val="24"/>
        </w:rPr>
        <w:t xml:space="preserve"> </w:t>
      </w:r>
      <w:r>
        <w:rPr>
          <w:color w:val="201F1F"/>
          <w:sz w:val="24"/>
        </w:rPr>
        <w:t>pre-tender meeting</w:t>
      </w:r>
      <w:r>
        <w:rPr>
          <w:color w:val="201F1F"/>
          <w:spacing w:val="-2"/>
          <w:sz w:val="24"/>
        </w:rPr>
        <w:t xml:space="preserve"> </w:t>
      </w:r>
      <w:r>
        <w:rPr>
          <w:color w:val="201F1F"/>
          <w:sz w:val="24"/>
        </w:rPr>
        <w:t>will</w:t>
      </w:r>
      <w:r>
        <w:rPr>
          <w:color w:val="201F1F"/>
          <w:spacing w:val="-6"/>
          <w:sz w:val="24"/>
        </w:rPr>
        <w:t xml:space="preserve"> </w:t>
      </w:r>
      <w:r>
        <w:rPr>
          <w:color w:val="201F1F"/>
          <w:sz w:val="24"/>
        </w:rPr>
        <w:t>be held, when</w:t>
      </w:r>
      <w:r>
        <w:rPr>
          <w:color w:val="201F1F"/>
          <w:spacing w:val="-2"/>
          <w:sz w:val="24"/>
        </w:rPr>
        <w:t xml:space="preserve"> </w:t>
      </w:r>
      <w:r>
        <w:rPr>
          <w:color w:val="201F1F"/>
          <w:sz w:val="24"/>
        </w:rPr>
        <w:t>and where. The Procuring Entity</w:t>
      </w:r>
      <w:r>
        <w:rPr>
          <w:color w:val="201F1F"/>
          <w:spacing w:val="-7"/>
          <w:sz w:val="24"/>
        </w:rPr>
        <w:t xml:space="preserve"> </w:t>
      </w:r>
      <w:r>
        <w:rPr>
          <w:color w:val="201F1F"/>
          <w:sz w:val="24"/>
        </w:rPr>
        <w:t>shall</w:t>
      </w:r>
      <w:r>
        <w:rPr>
          <w:color w:val="201F1F"/>
          <w:spacing w:val="-2"/>
          <w:sz w:val="24"/>
        </w:rPr>
        <w:t xml:space="preserve"> </w:t>
      </w:r>
      <w:r>
        <w:rPr>
          <w:color w:val="201F1F"/>
          <w:sz w:val="24"/>
        </w:rPr>
        <w:t>also specify in</w:t>
      </w:r>
      <w:r>
        <w:rPr>
          <w:color w:val="201F1F"/>
          <w:spacing w:val="-2"/>
          <w:sz w:val="24"/>
        </w:rPr>
        <w:t xml:space="preserve"> </w:t>
      </w:r>
      <w:r>
        <w:rPr>
          <w:color w:val="201F1F"/>
          <w:sz w:val="24"/>
        </w:rPr>
        <w:t>the TDS if a pre-arranged pretender site visit will be held and when. The Tenderer's designated</w:t>
      </w:r>
      <w:r>
        <w:rPr>
          <w:color w:val="201F1F"/>
          <w:spacing w:val="-13"/>
          <w:sz w:val="24"/>
        </w:rPr>
        <w:t xml:space="preserve"> </w:t>
      </w:r>
      <w:r>
        <w:rPr>
          <w:color w:val="201F1F"/>
          <w:sz w:val="24"/>
        </w:rPr>
        <w:t>representative</w:t>
      </w:r>
      <w:r>
        <w:rPr>
          <w:color w:val="201F1F"/>
          <w:spacing w:val="-5"/>
          <w:sz w:val="24"/>
        </w:rPr>
        <w:t xml:space="preserve"> </w:t>
      </w:r>
      <w:r>
        <w:rPr>
          <w:color w:val="201F1F"/>
          <w:sz w:val="24"/>
        </w:rPr>
        <w:t>is</w:t>
      </w:r>
      <w:r>
        <w:rPr>
          <w:color w:val="201F1F"/>
          <w:spacing w:val="-8"/>
          <w:sz w:val="24"/>
        </w:rPr>
        <w:t xml:space="preserve"> </w:t>
      </w:r>
      <w:r>
        <w:rPr>
          <w:color w:val="201F1F"/>
          <w:sz w:val="24"/>
        </w:rPr>
        <w:t>invited</w:t>
      </w:r>
      <w:r>
        <w:rPr>
          <w:color w:val="201F1F"/>
          <w:spacing w:val="-14"/>
          <w:sz w:val="24"/>
        </w:rPr>
        <w:t xml:space="preserve"> </w:t>
      </w:r>
      <w:r>
        <w:rPr>
          <w:color w:val="201F1F"/>
          <w:sz w:val="24"/>
        </w:rPr>
        <w:t>to</w:t>
      </w:r>
      <w:r>
        <w:rPr>
          <w:color w:val="201F1F"/>
          <w:spacing w:val="-10"/>
          <w:sz w:val="24"/>
        </w:rPr>
        <w:t xml:space="preserve"> </w:t>
      </w:r>
      <w:r>
        <w:rPr>
          <w:color w:val="201F1F"/>
          <w:sz w:val="24"/>
        </w:rPr>
        <w:t>attend</w:t>
      </w:r>
      <w:r>
        <w:rPr>
          <w:color w:val="201F1F"/>
          <w:spacing w:val="-14"/>
          <w:sz w:val="24"/>
        </w:rPr>
        <w:t xml:space="preserve"> </w:t>
      </w:r>
      <w:r>
        <w:rPr>
          <w:color w:val="201F1F"/>
          <w:sz w:val="24"/>
        </w:rPr>
        <w:t>a</w:t>
      </w:r>
      <w:r>
        <w:rPr>
          <w:color w:val="201F1F"/>
          <w:spacing w:val="-15"/>
          <w:sz w:val="24"/>
        </w:rPr>
        <w:t xml:space="preserve"> </w:t>
      </w:r>
      <w:r>
        <w:rPr>
          <w:color w:val="201F1F"/>
          <w:sz w:val="24"/>
        </w:rPr>
        <w:t>pre-arranged</w:t>
      </w:r>
      <w:r>
        <w:rPr>
          <w:color w:val="201F1F"/>
          <w:spacing w:val="-14"/>
          <w:sz w:val="24"/>
        </w:rPr>
        <w:t xml:space="preserve"> </w:t>
      </w:r>
      <w:r>
        <w:rPr>
          <w:color w:val="201F1F"/>
          <w:sz w:val="24"/>
        </w:rPr>
        <w:t>pretender</w:t>
      </w:r>
      <w:r>
        <w:rPr>
          <w:color w:val="201F1F"/>
          <w:spacing w:val="-12"/>
          <w:sz w:val="24"/>
        </w:rPr>
        <w:t xml:space="preserve"> </w:t>
      </w:r>
      <w:r>
        <w:rPr>
          <w:color w:val="201F1F"/>
          <w:sz w:val="24"/>
        </w:rPr>
        <w:t>visit</w:t>
      </w:r>
      <w:r>
        <w:rPr>
          <w:color w:val="201F1F"/>
          <w:spacing w:val="-9"/>
          <w:sz w:val="24"/>
        </w:rPr>
        <w:t xml:space="preserve"> </w:t>
      </w:r>
      <w:r>
        <w:rPr>
          <w:color w:val="201F1F"/>
          <w:sz w:val="24"/>
        </w:rPr>
        <w:t>of the site</w:t>
      </w:r>
      <w:r>
        <w:rPr>
          <w:color w:val="201F1F"/>
          <w:spacing w:val="-1"/>
          <w:sz w:val="24"/>
        </w:rPr>
        <w:t xml:space="preserve"> </w:t>
      </w:r>
      <w:r>
        <w:rPr>
          <w:color w:val="201F1F"/>
          <w:sz w:val="24"/>
        </w:rPr>
        <w:t>of</w:t>
      </w:r>
      <w:r>
        <w:rPr>
          <w:color w:val="201F1F"/>
          <w:spacing w:val="-8"/>
          <w:sz w:val="24"/>
        </w:rPr>
        <w:t xml:space="preserve"> </w:t>
      </w:r>
      <w:r>
        <w:rPr>
          <w:color w:val="201F1F"/>
          <w:sz w:val="24"/>
        </w:rPr>
        <w:t>the</w:t>
      </w:r>
      <w:r>
        <w:rPr>
          <w:color w:val="201F1F"/>
          <w:spacing w:val="-7"/>
          <w:sz w:val="24"/>
        </w:rPr>
        <w:t xml:space="preserve"> </w:t>
      </w:r>
      <w:r>
        <w:rPr>
          <w:color w:val="201F1F"/>
          <w:sz w:val="24"/>
        </w:rPr>
        <w:t>works.</w:t>
      </w:r>
      <w:r>
        <w:rPr>
          <w:color w:val="201F1F"/>
          <w:spacing w:val="-4"/>
          <w:sz w:val="24"/>
        </w:rPr>
        <w:t xml:space="preserve"> </w:t>
      </w:r>
      <w:r>
        <w:rPr>
          <w:color w:val="201F1F"/>
          <w:sz w:val="24"/>
        </w:rPr>
        <w:t>The purpose</w:t>
      </w:r>
      <w:r>
        <w:rPr>
          <w:color w:val="201F1F"/>
          <w:spacing w:val="-10"/>
          <w:sz w:val="24"/>
        </w:rPr>
        <w:t xml:space="preserve"> </w:t>
      </w:r>
      <w:r>
        <w:rPr>
          <w:color w:val="201F1F"/>
          <w:sz w:val="24"/>
        </w:rPr>
        <w:t>of</w:t>
      </w:r>
      <w:r>
        <w:rPr>
          <w:color w:val="201F1F"/>
          <w:spacing w:val="-13"/>
          <w:sz w:val="24"/>
        </w:rPr>
        <w:t xml:space="preserve"> </w:t>
      </w:r>
      <w:r>
        <w:rPr>
          <w:color w:val="201F1F"/>
          <w:sz w:val="24"/>
        </w:rPr>
        <w:t>the</w:t>
      </w:r>
      <w:r>
        <w:rPr>
          <w:color w:val="201F1F"/>
          <w:spacing w:val="-2"/>
          <w:sz w:val="24"/>
        </w:rPr>
        <w:t xml:space="preserve"> </w:t>
      </w:r>
      <w:r>
        <w:rPr>
          <w:color w:val="201F1F"/>
          <w:sz w:val="24"/>
        </w:rPr>
        <w:t>meetingwill</w:t>
      </w:r>
      <w:r>
        <w:rPr>
          <w:color w:val="201F1F"/>
          <w:spacing w:val="-1"/>
          <w:sz w:val="24"/>
        </w:rPr>
        <w:t xml:space="preserve"> </w:t>
      </w:r>
      <w:r>
        <w:rPr>
          <w:color w:val="201F1F"/>
          <w:sz w:val="24"/>
        </w:rPr>
        <w:t>be to clarify</w:t>
      </w:r>
      <w:r>
        <w:rPr>
          <w:color w:val="201F1F"/>
          <w:spacing w:val="-1"/>
          <w:sz w:val="24"/>
        </w:rPr>
        <w:t xml:space="preserve"> </w:t>
      </w:r>
      <w:r>
        <w:rPr>
          <w:color w:val="201F1F"/>
          <w:sz w:val="24"/>
        </w:rPr>
        <w:t>issues and to answer questions on any matter that may be raised at that stage.</w:t>
      </w:r>
    </w:p>
    <w:p w14:paraId="2577635A" w14:textId="77777777" w:rsidR="00BB77C0" w:rsidRDefault="00370BAA">
      <w:pPr>
        <w:pStyle w:val="ListParagraph"/>
        <w:numPr>
          <w:ilvl w:val="1"/>
          <w:numId w:val="114"/>
        </w:numPr>
        <w:tabs>
          <w:tab w:val="left" w:pos="1441"/>
          <w:tab w:val="left" w:pos="1460"/>
        </w:tabs>
        <w:spacing w:before="230" w:line="259" w:lineRule="auto"/>
        <w:ind w:right="268" w:hanging="701"/>
        <w:rPr>
          <w:color w:val="211F1F"/>
          <w:sz w:val="24"/>
        </w:rPr>
      </w:pPr>
      <w:r>
        <w:rPr>
          <w:color w:val="211F1F"/>
          <w:sz w:val="24"/>
        </w:rPr>
        <w:t>The Tenderer is</w:t>
      </w:r>
      <w:r>
        <w:rPr>
          <w:color w:val="211F1F"/>
          <w:spacing w:val="-6"/>
          <w:sz w:val="24"/>
        </w:rPr>
        <w:t xml:space="preserve"> </w:t>
      </w:r>
      <w:r>
        <w:rPr>
          <w:color w:val="211F1F"/>
          <w:sz w:val="24"/>
        </w:rPr>
        <w:t>requested</w:t>
      </w:r>
      <w:r>
        <w:rPr>
          <w:color w:val="211F1F"/>
          <w:spacing w:val="-8"/>
          <w:sz w:val="24"/>
        </w:rPr>
        <w:t xml:space="preserve"> </w:t>
      </w:r>
      <w:r>
        <w:rPr>
          <w:color w:val="211F1F"/>
          <w:sz w:val="24"/>
        </w:rPr>
        <w:t>to</w:t>
      </w:r>
      <w:r>
        <w:rPr>
          <w:color w:val="211F1F"/>
          <w:spacing w:val="-5"/>
          <w:sz w:val="24"/>
        </w:rPr>
        <w:t xml:space="preserve"> </w:t>
      </w:r>
      <w:r>
        <w:rPr>
          <w:color w:val="211F1F"/>
          <w:sz w:val="24"/>
        </w:rPr>
        <w:t>submit any</w:t>
      </w:r>
      <w:r>
        <w:rPr>
          <w:color w:val="211F1F"/>
          <w:spacing w:val="-14"/>
          <w:sz w:val="24"/>
        </w:rPr>
        <w:t xml:space="preserve"> </w:t>
      </w:r>
      <w:r>
        <w:rPr>
          <w:color w:val="211F1F"/>
          <w:sz w:val="24"/>
        </w:rPr>
        <w:t>questions</w:t>
      </w:r>
      <w:r>
        <w:rPr>
          <w:color w:val="211F1F"/>
          <w:spacing w:val="-6"/>
          <w:sz w:val="24"/>
        </w:rPr>
        <w:t xml:space="preserve"> </w:t>
      </w:r>
      <w:r>
        <w:rPr>
          <w:color w:val="211F1F"/>
          <w:sz w:val="24"/>
        </w:rPr>
        <w:t>in</w:t>
      </w:r>
      <w:r>
        <w:rPr>
          <w:color w:val="211F1F"/>
          <w:spacing w:val="-9"/>
          <w:sz w:val="24"/>
        </w:rPr>
        <w:t xml:space="preserve"> </w:t>
      </w:r>
      <w:r>
        <w:rPr>
          <w:color w:val="211F1F"/>
          <w:sz w:val="24"/>
        </w:rPr>
        <w:t>writing,</w:t>
      </w:r>
      <w:r>
        <w:rPr>
          <w:color w:val="211F1F"/>
          <w:spacing w:val="-6"/>
          <w:sz w:val="24"/>
        </w:rPr>
        <w:t xml:space="preserve"> </w:t>
      </w:r>
      <w:r>
        <w:rPr>
          <w:color w:val="211F1F"/>
          <w:sz w:val="24"/>
        </w:rPr>
        <w:t>to</w:t>
      </w:r>
      <w:r>
        <w:rPr>
          <w:color w:val="211F1F"/>
          <w:spacing w:val="-5"/>
          <w:sz w:val="24"/>
        </w:rPr>
        <w:t xml:space="preserve"> </w:t>
      </w:r>
      <w:r>
        <w:rPr>
          <w:color w:val="211F1F"/>
          <w:sz w:val="24"/>
        </w:rPr>
        <w:t>reach</w:t>
      </w:r>
      <w:r>
        <w:rPr>
          <w:color w:val="211F1F"/>
          <w:spacing w:val="-8"/>
          <w:sz w:val="24"/>
        </w:rPr>
        <w:t xml:space="preserve"> </w:t>
      </w:r>
      <w:r>
        <w:rPr>
          <w:color w:val="211F1F"/>
          <w:sz w:val="24"/>
        </w:rPr>
        <w:t>the</w:t>
      </w:r>
      <w:r>
        <w:rPr>
          <w:color w:val="211F1F"/>
          <w:spacing w:val="-6"/>
          <w:sz w:val="24"/>
        </w:rPr>
        <w:t xml:space="preserve"> </w:t>
      </w:r>
      <w:r>
        <w:rPr>
          <w:color w:val="211F1F"/>
          <w:sz w:val="24"/>
        </w:rPr>
        <w:t xml:space="preserve">Procuring Entity not later than the period specified in the </w:t>
      </w:r>
      <w:r>
        <w:rPr>
          <w:b/>
          <w:color w:val="211F1F"/>
          <w:sz w:val="24"/>
        </w:rPr>
        <w:t xml:space="preserve">TDS </w:t>
      </w:r>
      <w:r>
        <w:rPr>
          <w:color w:val="211F1F"/>
          <w:sz w:val="24"/>
        </w:rPr>
        <w:t>before the meeting.</w:t>
      </w:r>
    </w:p>
    <w:p w14:paraId="702B454A" w14:textId="77777777" w:rsidR="00BB77C0" w:rsidRDefault="00370BAA">
      <w:pPr>
        <w:pStyle w:val="ListParagraph"/>
        <w:numPr>
          <w:ilvl w:val="1"/>
          <w:numId w:val="114"/>
        </w:numPr>
        <w:tabs>
          <w:tab w:val="left" w:pos="1441"/>
        </w:tabs>
        <w:spacing w:before="158" w:line="259" w:lineRule="auto"/>
        <w:ind w:right="153"/>
        <w:rPr>
          <w:color w:val="211F1F"/>
          <w:sz w:val="24"/>
        </w:rPr>
      </w:pPr>
      <w:r>
        <w:rPr>
          <w:color w:val="211F1F"/>
          <w:sz w:val="24"/>
        </w:rPr>
        <w:t>Minutes</w:t>
      </w:r>
      <w:r>
        <w:rPr>
          <w:color w:val="211F1F"/>
          <w:spacing w:val="-3"/>
          <w:sz w:val="24"/>
        </w:rPr>
        <w:t xml:space="preserve"> </w:t>
      </w:r>
      <w:r>
        <w:rPr>
          <w:color w:val="211F1F"/>
          <w:sz w:val="24"/>
        </w:rPr>
        <w:t>of</w:t>
      </w:r>
      <w:r>
        <w:rPr>
          <w:color w:val="211F1F"/>
          <w:spacing w:val="-15"/>
          <w:sz w:val="24"/>
        </w:rPr>
        <w:t xml:space="preserve"> </w:t>
      </w:r>
      <w:r>
        <w:rPr>
          <w:color w:val="211F1F"/>
          <w:sz w:val="24"/>
        </w:rPr>
        <w:t>a</w:t>
      </w:r>
      <w:r>
        <w:rPr>
          <w:color w:val="211F1F"/>
          <w:spacing w:val="-8"/>
          <w:sz w:val="24"/>
        </w:rPr>
        <w:t xml:space="preserve"> </w:t>
      </w:r>
      <w:r>
        <w:rPr>
          <w:color w:val="211F1F"/>
          <w:sz w:val="24"/>
        </w:rPr>
        <w:t>pre-arranged</w:t>
      </w:r>
      <w:r>
        <w:rPr>
          <w:color w:val="211F1F"/>
          <w:spacing w:val="-2"/>
          <w:sz w:val="24"/>
        </w:rPr>
        <w:t xml:space="preserve"> </w:t>
      </w:r>
      <w:r>
        <w:rPr>
          <w:color w:val="211F1F"/>
          <w:sz w:val="24"/>
        </w:rPr>
        <w:t>site</w:t>
      </w:r>
      <w:r>
        <w:rPr>
          <w:color w:val="211F1F"/>
          <w:spacing w:val="-7"/>
          <w:sz w:val="24"/>
        </w:rPr>
        <w:t xml:space="preserve"> </w:t>
      </w:r>
      <w:r>
        <w:rPr>
          <w:color w:val="211F1F"/>
          <w:sz w:val="24"/>
        </w:rPr>
        <w:t>visit and</w:t>
      </w:r>
      <w:r>
        <w:rPr>
          <w:color w:val="211F1F"/>
          <w:spacing w:val="-2"/>
          <w:sz w:val="24"/>
        </w:rPr>
        <w:t xml:space="preserve"> </w:t>
      </w:r>
      <w:r>
        <w:rPr>
          <w:color w:val="211F1F"/>
          <w:sz w:val="24"/>
        </w:rPr>
        <w:t>those</w:t>
      </w:r>
      <w:r>
        <w:rPr>
          <w:color w:val="211F1F"/>
          <w:spacing w:val="-12"/>
          <w:sz w:val="24"/>
        </w:rPr>
        <w:t xml:space="preserve"> </w:t>
      </w:r>
      <w:r>
        <w:rPr>
          <w:color w:val="211F1F"/>
          <w:sz w:val="24"/>
        </w:rPr>
        <w:t>of</w:t>
      </w:r>
      <w:r>
        <w:rPr>
          <w:color w:val="211F1F"/>
          <w:spacing w:val="-15"/>
          <w:sz w:val="24"/>
        </w:rPr>
        <w:t xml:space="preserve"> </w:t>
      </w:r>
      <w:r>
        <w:rPr>
          <w:color w:val="211F1F"/>
          <w:sz w:val="24"/>
        </w:rPr>
        <w:t>the</w:t>
      </w:r>
      <w:r>
        <w:rPr>
          <w:color w:val="211F1F"/>
          <w:spacing w:val="-8"/>
          <w:sz w:val="24"/>
        </w:rPr>
        <w:t xml:space="preserve"> </w:t>
      </w:r>
      <w:r>
        <w:rPr>
          <w:color w:val="211F1F"/>
          <w:sz w:val="24"/>
        </w:rPr>
        <w:t>pre-tender</w:t>
      </w:r>
      <w:r>
        <w:rPr>
          <w:color w:val="211F1F"/>
          <w:spacing w:val="-1"/>
          <w:sz w:val="24"/>
        </w:rPr>
        <w:t xml:space="preserve"> </w:t>
      </w:r>
      <w:r>
        <w:rPr>
          <w:color w:val="211F1F"/>
          <w:sz w:val="24"/>
        </w:rPr>
        <w:t>meeting, if</w:t>
      </w:r>
      <w:r>
        <w:rPr>
          <w:color w:val="211F1F"/>
          <w:spacing w:val="-10"/>
          <w:sz w:val="24"/>
        </w:rPr>
        <w:t xml:space="preserve"> </w:t>
      </w:r>
      <w:r>
        <w:rPr>
          <w:color w:val="211F1F"/>
          <w:sz w:val="24"/>
        </w:rPr>
        <w:t>applicable, including the text of the questions asked by Tenderers and the responses given, together with</w:t>
      </w:r>
      <w:r>
        <w:rPr>
          <w:color w:val="211F1F"/>
          <w:spacing w:val="-2"/>
          <w:sz w:val="24"/>
        </w:rPr>
        <w:t xml:space="preserve"> </w:t>
      </w:r>
      <w:r>
        <w:rPr>
          <w:color w:val="211F1F"/>
          <w:sz w:val="24"/>
        </w:rPr>
        <w:t>any</w:t>
      </w:r>
      <w:r>
        <w:rPr>
          <w:color w:val="211F1F"/>
          <w:spacing w:val="-7"/>
          <w:sz w:val="24"/>
        </w:rPr>
        <w:t xml:space="preserve"> </w:t>
      </w:r>
      <w:r>
        <w:rPr>
          <w:color w:val="211F1F"/>
          <w:sz w:val="24"/>
        </w:rPr>
        <w:t>responses prepared after the meeting, will</w:t>
      </w:r>
      <w:r>
        <w:rPr>
          <w:color w:val="211F1F"/>
          <w:spacing w:val="-1"/>
          <w:sz w:val="24"/>
        </w:rPr>
        <w:t xml:space="preserve"> </w:t>
      </w:r>
      <w:r>
        <w:rPr>
          <w:color w:val="211F1F"/>
          <w:sz w:val="24"/>
        </w:rPr>
        <w:t>be transmitted promptly to</w:t>
      </w:r>
      <w:r>
        <w:rPr>
          <w:color w:val="211F1F"/>
          <w:spacing w:val="-4"/>
          <w:sz w:val="24"/>
        </w:rPr>
        <w:t xml:space="preserve"> </w:t>
      </w:r>
      <w:r>
        <w:rPr>
          <w:color w:val="211F1F"/>
          <w:sz w:val="24"/>
        </w:rPr>
        <w:t>all</w:t>
      </w:r>
      <w:r>
        <w:rPr>
          <w:color w:val="211F1F"/>
          <w:spacing w:val="-12"/>
          <w:sz w:val="24"/>
        </w:rPr>
        <w:t xml:space="preserve"> </w:t>
      </w:r>
      <w:r>
        <w:rPr>
          <w:color w:val="211F1F"/>
          <w:sz w:val="24"/>
        </w:rPr>
        <w:t>Tenderers</w:t>
      </w:r>
      <w:r>
        <w:rPr>
          <w:color w:val="211F1F"/>
          <w:spacing w:val="-9"/>
          <w:sz w:val="24"/>
        </w:rPr>
        <w:t xml:space="preserve"> </w:t>
      </w:r>
      <w:r>
        <w:rPr>
          <w:color w:val="211F1F"/>
          <w:sz w:val="24"/>
        </w:rPr>
        <w:t>who</w:t>
      </w:r>
      <w:r>
        <w:rPr>
          <w:color w:val="211F1F"/>
          <w:spacing w:val="-4"/>
          <w:sz w:val="24"/>
        </w:rPr>
        <w:t xml:space="preserve"> </w:t>
      </w:r>
      <w:r>
        <w:rPr>
          <w:color w:val="211F1F"/>
          <w:sz w:val="24"/>
        </w:rPr>
        <w:t>have</w:t>
      </w:r>
      <w:r>
        <w:rPr>
          <w:color w:val="211F1F"/>
          <w:spacing w:val="-9"/>
          <w:sz w:val="24"/>
        </w:rPr>
        <w:t xml:space="preserve"> </w:t>
      </w:r>
      <w:r>
        <w:rPr>
          <w:color w:val="211F1F"/>
          <w:sz w:val="24"/>
        </w:rPr>
        <w:t>acquired</w:t>
      </w:r>
      <w:r>
        <w:rPr>
          <w:color w:val="211F1F"/>
          <w:spacing w:val="-7"/>
          <w:sz w:val="24"/>
        </w:rPr>
        <w:t xml:space="preserve"> </w:t>
      </w:r>
      <w:r>
        <w:rPr>
          <w:color w:val="211F1F"/>
          <w:sz w:val="24"/>
        </w:rPr>
        <w:t>the</w:t>
      </w:r>
      <w:r>
        <w:rPr>
          <w:color w:val="211F1F"/>
          <w:spacing w:val="-9"/>
          <w:sz w:val="24"/>
        </w:rPr>
        <w:t xml:space="preserve"> </w:t>
      </w:r>
      <w:r>
        <w:rPr>
          <w:color w:val="211F1F"/>
          <w:sz w:val="24"/>
        </w:rPr>
        <w:t>Tender</w:t>
      </w:r>
      <w:r>
        <w:rPr>
          <w:color w:val="211F1F"/>
          <w:spacing w:val="-10"/>
          <w:sz w:val="24"/>
        </w:rPr>
        <w:t xml:space="preserve"> </w:t>
      </w:r>
      <w:r>
        <w:rPr>
          <w:color w:val="211F1F"/>
          <w:sz w:val="24"/>
        </w:rPr>
        <w:t>Documents.</w:t>
      </w:r>
      <w:r>
        <w:rPr>
          <w:color w:val="211F1F"/>
          <w:spacing w:val="-5"/>
          <w:sz w:val="24"/>
        </w:rPr>
        <w:t xml:space="preserve"> </w:t>
      </w:r>
      <w:r>
        <w:rPr>
          <w:color w:val="211F1F"/>
          <w:sz w:val="24"/>
        </w:rPr>
        <w:t>Minutes</w:t>
      </w:r>
      <w:r>
        <w:rPr>
          <w:color w:val="211F1F"/>
          <w:spacing w:val="-9"/>
          <w:sz w:val="24"/>
        </w:rPr>
        <w:t xml:space="preserve"> </w:t>
      </w:r>
      <w:r>
        <w:rPr>
          <w:color w:val="211F1F"/>
          <w:sz w:val="24"/>
        </w:rPr>
        <w:t>shall</w:t>
      </w:r>
      <w:r>
        <w:rPr>
          <w:color w:val="211F1F"/>
          <w:spacing w:val="-6"/>
          <w:sz w:val="24"/>
        </w:rPr>
        <w:t xml:space="preserve"> </w:t>
      </w:r>
      <w:r>
        <w:rPr>
          <w:color w:val="211F1F"/>
          <w:sz w:val="24"/>
        </w:rPr>
        <w:t>not</w:t>
      </w:r>
      <w:r>
        <w:rPr>
          <w:color w:val="211F1F"/>
          <w:spacing w:val="-3"/>
          <w:sz w:val="24"/>
        </w:rPr>
        <w:t xml:space="preserve"> </w:t>
      </w:r>
      <w:r>
        <w:rPr>
          <w:color w:val="211F1F"/>
          <w:sz w:val="24"/>
        </w:rPr>
        <w:t>identify the source of the questions asked.</w:t>
      </w:r>
    </w:p>
    <w:p w14:paraId="470E20AB" w14:textId="77777777" w:rsidR="00BB77C0" w:rsidRDefault="00370BAA">
      <w:pPr>
        <w:pStyle w:val="ListParagraph"/>
        <w:numPr>
          <w:ilvl w:val="1"/>
          <w:numId w:val="114"/>
        </w:numPr>
        <w:tabs>
          <w:tab w:val="left" w:pos="1441"/>
        </w:tabs>
        <w:spacing w:before="162" w:line="259" w:lineRule="auto"/>
        <w:ind w:right="173"/>
        <w:rPr>
          <w:color w:val="211F1F"/>
          <w:sz w:val="24"/>
        </w:rPr>
      </w:pPr>
      <w:r>
        <w:rPr>
          <w:color w:val="211F1F"/>
          <w:sz w:val="24"/>
        </w:rPr>
        <w:t>The</w:t>
      </w:r>
      <w:r>
        <w:rPr>
          <w:color w:val="211F1F"/>
          <w:spacing w:val="-8"/>
          <w:sz w:val="24"/>
        </w:rPr>
        <w:t xml:space="preserve"> </w:t>
      </w:r>
      <w:r>
        <w:rPr>
          <w:color w:val="211F1F"/>
          <w:sz w:val="24"/>
        </w:rPr>
        <w:t>Procuring</w:t>
      </w:r>
      <w:r>
        <w:rPr>
          <w:color w:val="211F1F"/>
          <w:spacing w:val="-2"/>
          <w:sz w:val="24"/>
        </w:rPr>
        <w:t xml:space="preserve"> </w:t>
      </w:r>
      <w:r>
        <w:rPr>
          <w:color w:val="211F1F"/>
          <w:sz w:val="24"/>
        </w:rPr>
        <w:t>Entity</w:t>
      </w:r>
      <w:r>
        <w:rPr>
          <w:color w:val="211F1F"/>
          <w:spacing w:val="-10"/>
          <w:sz w:val="24"/>
        </w:rPr>
        <w:t xml:space="preserve"> </w:t>
      </w:r>
      <w:r>
        <w:rPr>
          <w:color w:val="211F1F"/>
          <w:sz w:val="24"/>
        </w:rPr>
        <w:t>shall</w:t>
      </w:r>
      <w:r>
        <w:rPr>
          <w:color w:val="211F1F"/>
          <w:spacing w:val="-10"/>
          <w:sz w:val="24"/>
        </w:rPr>
        <w:t xml:space="preserve"> </w:t>
      </w:r>
      <w:r>
        <w:rPr>
          <w:color w:val="211F1F"/>
          <w:sz w:val="24"/>
        </w:rPr>
        <w:t>also promptly</w:t>
      </w:r>
      <w:r>
        <w:rPr>
          <w:color w:val="211F1F"/>
          <w:spacing w:val="-11"/>
          <w:sz w:val="24"/>
        </w:rPr>
        <w:t xml:space="preserve"> </w:t>
      </w:r>
      <w:r>
        <w:rPr>
          <w:color w:val="211F1F"/>
          <w:sz w:val="24"/>
        </w:rPr>
        <w:t>publish</w:t>
      </w:r>
      <w:r>
        <w:rPr>
          <w:color w:val="211F1F"/>
          <w:spacing w:val="-6"/>
          <w:sz w:val="24"/>
        </w:rPr>
        <w:t xml:space="preserve"> </w:t>
      </w:r>
      <w:r>
        <w:rPr>
          <w:color w:val="211F1F"/>
          <w:sz w:val="24"/>
        </w:rPr>
        <w:t>anonymized</w:t>
      </w:r>
      <w:r>
        <w:rPr>
          <w:color w:val="211F1F"/>
          <w:spacing w:val="-2"/>
          <w:sz w:val="24"/>
        </w:rPr>
        <w:t xml:space="preserve"> </w:t>
      </w:r>
      <w:r>
        <w:rPr>
          <w:color w:val="211F1F"/>
          <w:sz w:val="24"/>
        </w:rPr>
        <w:t>(</w:t>
      </w:r>
      <w:r>
        <w:rPr>
          <w:i/>
          <w:color w:val="211F1F"/>
          <w:sz w:val="24"/>
        </w:rPr>
        <w:t>no</w:t>
      </w:r>
      <w:r>
        <w:rPr>
          <w:i/>
          <w:color w:val="211F1F"/>
          <w:spacing w:val="-3"/>
          <w:sz w:val="24"/>
        </w:rPr>
        <w:t xml:space="preserve"> </w:t>
      </w:r>
      <w:r>
        <w:rPr>
          <w:i/>
          <w:color w:val="211F1F"/>
          <w:sz w:val="24"/>
        </w:rPr>
        <w:t>names</w:t>
      </w:r>
      <w:r>
        <w:rPr>
          <w:color w:val="211F1F"/>
          <w:sz w:val="24"/>
        </w:rPr>
        <w:t>)</w:t>
      </w:r>
      <w:r>
        <w:rPr>
          <w:color w:val="211F1F"/>
          <w:spacing w:val="-1"/>
          <w:sz w:val="24"/>
        </w:rPr>
        <w:t xml:space="preserve"> </w:t>
      </w:r>
      <w:r>
        <w:rPr>
          <w:color w:val="211F1F"/>
          <w:sz w:val="24"/>
        </w:rPr>
        <w:t>Minutes</w:t>
      </w:r>
      <w:r>
        <w:rPr>
          <w:color w:val="211F1F"/>
          <w:spacing w:val="-4"/>
          <w:sz w:val="24"/>
        </w:rPr>
        <w:t xml:space="preserve"> </w:t>
      </w:r>
      <w:r>
        <w:rPr>
          <w:color w:val="211F1F"/>
          <w:sz w:val="24"/>
        </w:rPr>
        <w:t xml:space="preserve">of the pre-arranged site visit and those of the pre-tender meeting at the web page identified </w:t>
      </w:r>
      <w:r>
        <w:rPr>
          <w:b/>
          <w:color w:val="211F1F"/>
          <w:sz w:val="24"/>
        </w:rPr>
        <w:t>in the</w:t>
      </w:r>
      <w:r>
        <w:rPr>
          <w:b/>
          <w:color w:val="211F1F"/>
          <w:spacing w:val="-4"/>
          <w:sz w:val="24"/>
        </w:rPr>
        <w:t xml:space="preserve"> </w:t>
      </w:r>
      <w:r>
        <w:rPr>
          <w:b/>
          <w:color w:val="211F1F"/>
          <w:sz w:val="24"/>
        </w:rPr>
        <w:t>TDS</w:t>
      </w:r>
      <w:r>
        <w:rPr>
          <w:color w:val="211F1F"/>
          <w:sz w:val="24"/>
        </w:rPr>
        <w:t>. Any</w:t>
      </w:r>
      <w:r>
        <w:rPr>
          <w:color w:val="211F1F"/>
          <w:spacing w:val="-3"/>
          <w:sz w:val="24"/>
        </w:rPr>
        <w:t xml:space="preserve"> </w:t>
      </w:r>
      <w:r>
        <w:rPr>
          <w:color w:val="211F1F"/>
          <w:sz w:val="24"/>
        </w:rPr>
        <w:t>modification</w:t>
      </w:r>
      <w:r>
        <w:rPr>
          <w:color w:val="211F1F"/>
          <w:spacing w:val="-3"/>
          <w:sz w:val="24"/>
        </w:rPr>
        <w:t xml:space="preserve"> </w:t>
      </w:r>
      <w:r>
        <w:rPr>
          <w:color w:val="211F1F"/>
          <w:sz w:val="24"/>
        </w:rPr>
        <w:t>to the Tender Documents that may</w:t>
      </w:r>
      <w:r>
        <w:rPr>
          <w:color w:val="211F1F"/>
          <w:spacing w:val="-3"/>
          <w:sz w:val="24"/>
        </w:rPr>
        <w:t xml:space="preserve"> </w:t>
      </w:r>
      <w:r>
        <w:rPr>
          <w:color w:val="211F1F"/>
          <w:sz w:val="24"/>
        </w:rPr>
        <w:t>become necessary</w:t>
      </w:r>
      <w:r>
        <w:rPr>
          <w:color w:val="211F1F"/>
          <w:spacing w:val="-10"/>
          <w:sz w:val="24"/>
        </w:rPr>
        <w:t xml:space="preserve"> </w:t>
      </w:r>
      <w:r>
        <w:rPr>
          <w:color w:val="211F1F"/>
          <w:sz w:val="24"/>
        </w:rPr>
        <w:t>as</w:t>
      </w:r>
      <w:r>
        <w:rPr>
          <w:color w:val="211F1F"/>
          <w:spacing w:val="-3"/>
          <w:sz w:val="24"/>
        </w:rPr>
        <w:t xml:space="preserve"> </w:t>
      </w:r>
      <w:r>
        <w:rPr>
          <w:color w:val="211F1F"/>
          <w:sz w:val="24"/>
        </w:rPr>
        <w:t>a</w:t>
      </w:r>
      <w:r>
        <w:rPr>
          <w:color w:val="211F1F"/>
          <w:spacing w:val="-3"/>
          <w:sz w:val="24"/>
        </w:rPr>
        <w:t xml:space="preserve"> </w:t>
      </w:r>
      <w:r>
        <w:rPr>
          <w:color w:val="211F1F"/>
          <w:sz w:val="24"/>
        </w:rPr>
        <w:t>result of</w:t>
      </w:r>
      <w:r>
        <w:rPr>
          <w:color w:val="211F1F"/>
          <w:spacing w:val="-14"/>
          <w:sz w:val="24"/>
        </w:rPr>
        <w:t xml:space="preserve"> </w:t>
      </w:r>
      <w:r>
        <w:rPr>
          <w:color w:val="211F1F"/>
          <w:sz w:val="24"/>
        </w:rPr>
        <w:t>the</w:t>
      </w:r>
      <w:r>
        <w:rPr>
          <w:color w:val="211F1F"/>
          <w:spacing w:val="-7"/>
          <w:sz w:val="24"/>
        </w:rPr>
        <w:t xml:space="preserve"> </w:t>
      </w:r>
      <w:r>
        <w:rPr>
          <w:color w:val="211F1F"/>
          <w:sz w:val="24"/>
        </w:rPr>
        <w:t>pre-arranged</w:t>
      </w:r>
      <w:r>
        <w:rPr>
          <w:color w:val="211F1F"/>
          <w:spacing w:val="-2"/>
          <w:sz w:val="24"/>
        </w:rPr>
        <w:t xml:space="preserve"> </w:t>
      </w:r>
      <w:r>
        <w:rPr>
          <w:color w:val="211F1F"/>
          <w:sz w:val="24"/>
        </w:rPr>
        <w:t>site</w:t>
      </w:r>
      <w:r>
        <w:rPr>
          <w:color w:val="211F1F"/>
          <w:spacing w:val="-6"/>
          <w:sz w:val="24"/>
        </w:rPr>
        <w:t xml:space="preserve"> </w:t>
      </w:r>
      <w:r>
        <w:rPr>
          <w:color w:val="211F1F"/>
          <w:sz w:val="24"/>
        </w:rPr>
        <w:t>visit and</w:t>
      </w:r>
      <w:r>
        <w:rPr>
          <w:color w:val="211F1F"/>
          <w:spacing w:val="-2"/>
          <w:sz w:val="24"/>
        </w:rPr>
        <w:t xml:space="preserve"> </w:t>
      </w:r>
      <w:r>
        <w:rPr>
          <w:color w:val="211F1F"/>
          <w:sz w:val="24"/>
        </w:rPr>
        <w:t>those</w:t>
      </w:r>
      <w:r>
        <w:rPr>
          <w:color w:val="211F1F"/>
          <w:spacing w:val="-11"/>
          <w:sz w:val="24"/>
        </w:rPr>
        <w:t xml:space="preserve"> </w:t>
      </w:r>
      <w:r>
        <w:rPr>
          <w:color w:val="211F1F"/>
          <w:sz w:val="24"/>
        </w:rPr>
        <w:t>of</w:t>
      </w:r>
      <w:r>
        <w:rPr>
          <w:color w:val="211F1F"/>
          <w:spacing w:val="-14"/>
          <w:sz w:val="24"/>
        </w:rPr>
        <w:t xml:space="preserve"> </w:t>
      </w:r>
      <w:r>
        <w:rPr>
          <w:color w:val="211F1F"/>
          <w:sz w:val="24"/>
        </w:rPr>
        <w:t>the</w:t>
      </w:r>
      <w:r>
        <w:rPr>
          <w:color w:val="211F1F"/>
          <w:spacing w:val="-7"/>
          <w:sz w:val="24"/>
        </w:rPr>
        <w:t xml:space="preserve"> </w:t>
      </w:r>
      <w:r>
        <w:rPr>
          <w:color w:val="211F1F"/>
          <w:sz w:val="24"/>
        </w:rPr>
        <w:t>pre-tender meeting</w:t>
      </w:r>
    </w:p>
    <w:p w14:paraId="04081279" w14:textId="77777777" w:rsidR="00BB77C0" w:rsidRDefault="00BB77C0">
      <w:pPr>
        <w:pStyle w:val="ListParagraph"/>
        <w:spacing w:line="259" w:lineRule="auto"/>
        <w:rPr>
          <w:sz w:val="24"/>
        </w:rPr>
        <w:sectPr w:rsidR="00BB77C0">
          <w:pgSz w:w="11930" w:h="16870"/>
          <w:pgMar w:top="1360" w:right="1080" w:bottom="280" w:left="1080" w:header="720" w:footer="720" w:gutter="0"/>
          <w:cols w:space="720"/>
        </w:sectPr>
      </w:pPr>
    </w:p>
    <w:p w14:paraId="44B950F9" w14:textId="77777777" w:rsidR="00BB77C0" w:rsidRDefault="00370BAA">
      <w:pPr>
        <w:spacing w:before="75" w:line="259" w:lineRule="auto"/>
        <w:ind w:left="1441"/>
        <w:rPr>
          <w:sz w:val="24"/>
        </w:rPr>
      </w:pPr>
      <w:r>
        <w:rPr>
          <w:color w:val="211F1F"/>
          <w:sz w:val="24"/>
        </w:rPr>
        <w:lastRenderedPageBreak/>
        <w:t>shall be made by</w:t>
      </w:r>
      <w:r>
        <w:rPr>
          <w:color w:val="211F1F"/>
          <w:spacing w:val="-1"/>
          <w:sz w:val="24"/>
        </w:rPr>
        <w:t xml:space="preserve"> </w:t>
      </w:r>
      <w:r>
        <w:rPr>
          <w:color w:val="211F1F"/>
          <w:sz w:val="24"/>
        </w:rPr>
        <w:t>the Procuring Entity</w:t>
      </w:r>
      <w:r>
        <w:rPr>
          <w:color w:val="211F1F"/>
          <w:spacing w:val="-6"/>
          <w:sz w:val="24"/>
        </w:rPr>
        <w:t xml:space="preserve"> </w:t>
      </w:r>
      <w:r>
        <w:rPr>
          <w:color w:val="211F1F"/>
          <w:sz w:val="24"/>
        </w:rPr>
        <w:t>exclusively</w:t>
      </w:r>
      <w:r>
        <w:rPr>
          <w:color w:val="211F1F"/>
          <w:spacing w:val="-1"/>
          <w:sz w:val="24"/>
        </w:rPr>
        <w:t xml:space="preserve"> </w:t>
      </w:r>
      <w:r>
        <w:rPr>
          <w:color w:val="211F1F"/>
          <w:sz w:val="24"/>
        </w:rPr>
        <w:t>through</w:t>
      </w:r>
      <w:r>
        <w:rPr>
          <w:color w:val="211F1F"/>
          <w:spacing w:val="-1"/>
          <w:sz w:val="24"/>
        </w:rPr>
        <w:t xml:space="preserve"> </w:t>
      </w:r>
      <w:r>
        <w:rPr>
          <w:color w:val="211F1F"/>
          <w:sz w:val="24"/>
        </w:rPr>
        <w:t>the issue of</w:t>
      </w:r>
      <w:r>
        <w:rPr>
          <w:color w:val="211F1F"/>
          <w:spacing w:val="-4"/>
          <w:sz w:val="24"/>
        </w:rPr>
        <w:t xml:space="preserve"> </w:t>
      </w:r>
      <w:r>
        <w:rPr>
          <w:color w:val="211F1F"/>
          <w:sz w:val="24"/>
        </w:rPr>
        <w:t>an</w:t>
      </w:r>
      <w:r>
        <w:rPr>
          <w:color w:val="211F1F"/>
          <w:spacing w:val="-1"/>
          <w:sz w:val="24"/>
        </w:rPr>
        <w:t xml:space="preserve"> </w:t>
      </w:r>
      <w:r>
        <w:rPr>
          <w:color w:val="211F1F"/>
          <w:sz w:val="24"/>
        </w:rPr>
        <w:t>Addendum pursuant to ITT 8 and not through the minutes of the pre-Tender meeting. Non- attendance</w:t>
      </w:r>
      <w:r>
        <w:rPr>
          <w:color w:val="211F1F"/>
          <w:spacing w:val="-8"/>
          <w:sz w:val="24"/>
        </w:rPr>
        <w:t xml:space="preserve"> </w:t>
      </w:r>
      <w:r>
        <w:rPr>
          <w:color w:val="211F1F"/>
          <w:sz w:val="24"/>
        </w:rPr>
        <w:t>at</w:t>
      </w:r>
      <w:r>
        <w:rPr>
          <w:color w:val="211F1F"/>
          <w:spacing w:val="-4"/>
          <w:sz w:val="24"/>
        </w:rPr>
        <w:t xml:space="preserve"> </w:t>
      </w:r>
      <w:r>
        <w:rPr>
          <w:color w:val="211F1F"/>
          <w:sz w:val="24"/>
        </w:rPr>
        <w:t>the</w:t>
      </w:r>
      <w:r>
        <w:rPr>
          <w:color w:val="211F1F"/>
          <w:spacing w:val="-9"/>
          <w:sz w:val="24"/>
        </w:rPr>
        <w:t xml:space="preserve"> </w:t>
      </w:r>
      <w:r>
        <w:rPr>
          <w:color w:val="211F1F"/>
          <w:sz w:val="24"/>
        </w:rPr>
        <w:t>pre-arranged</w:t>
      </w:r>
      <w:r>
        <w:rPr>
          <w:color w:val="211F1F"/>
          <w:spacing w:val="-3"/>
          <w:sz w:val="24"/>
        </w:rPr>
        <w:t xml:space="preserve"> </w:t>
      </w:r>
      <w:r>
        <w:rPr>
          <w:color w:val="211F1F"/>
          <w:sz w:val="24"/>
        </w:rPr>
        <w:t>site</w:t>
      </w:r>
      <w:r>
        <w:rPr>
          <w:color w:val="211F1F"/>
          <w:spacing w:val="-9"/>
          <w:sz w:val="24"/>
        </w:rPr>
        <w:t xml:space="preserve"> </w:t>
      </w:r>
      <w:r>
        <w:rPr>
          <w:color w:val="211F1F"/>
          <w:sz w:val="24"/>
        </w:rPr>
        <w:t>visit and</w:t>
      </w:r>
      <w:r>
        <w:rPr>
          <w:color w:val="211F1F"/>
          <w:spacing w:val="-4"/>
          <w:sz w:val="24"/>
        </w:rPr>
        <w:t xml:space="preserve"> </w:t>
      </w:r>
      <w:r>
        <w:rPr>
          <w:color w:val="211F1F"/>
          <w:sz w:val="24"/>
        </w:rPr>
        <w:t>the</w:t>
      </w:r>
      <w:r>
        <w:rPr>
          <w:color w:val="211F1F"/>
          <w:spacing w:val="-9"/>
          <w:sz w:val="24"/>
        </w:rPr>
        <w:t xml:space="preserve"> </w:t>
      </w:r>
      <w:r>
        <w:rPr>
          <w:color w:val="211F1F"/>
          <w:sz w:val="24"/>
        </w:rPr>
        <w:t>pre-tender</w:t>
      </w:r>
      <w:r>
        <w:rPr>
          <w:color w:val="211F1F"/>
          <w:spacing w:val="-6"/>
          <w:sz w:val="24"/>
        </w:rPr>
        <w:t xml:space="preserve"> </w:t>
      </w:r>
      <w:r>
        <w:rPr>
          <w:color w:val="211F1F"/>
          <w:sz w:val="24"/>
        </w:rPr>
        <w:t>meeting</w:t>
      </w:r>
      <w:r>
        <w:rPr>
          <w:color w:val="211F1F"/>
          <w:spacing w:val="-4"/>
          <w:sz w:val="24"/>
        </w:rPr>
        <w:t xml:space="preserve"> </w:t>
      </w:r>
      <w:r>
        <w:rPr>
          <w:color w:val="211F1F"/>
          <w:sz w:val="24"/>
        </w:rPr>
        <w:t>will</w:t>
      </w:r>
      <w:r>
        <w:rPr>
          <w:color w:val="211F1F"/>
          <w:spacing w:val="-6"/>
          <w:sz w:val="24"/>
        </w:rPr>
        <w:t xml:space="preserve"> </w:t>
      </w:r>
      <w:r>
        <w:rPr>
          <w:color w:val="211F1F"/>
          <w:sz w:val="24"/>
        </w:rPr>
        <w:t>not</w:t>
      </w:r>
      <w:r>
        <w:rPr>
          <w:color w:val="211F1F"/>
          <w:spacing w:val="-3"/>
          <w:sz w:val="24"/>
        </w:rPr>
        <w:t xml:space="preserve"> </w:t>
      </w:r>
      <w:r>
        <w:rPr>
          <w:color w:val="211F1F"/>
          <w:sz w:val="24"/>
        </w:rPr>
        <w:t>be</w:t>
      </w:r>
      <w:r>
        <w:rPr>
          <w:color w:val="211F1F"/>
          <w:spacing w:val="-9"/>
          <w:sz w:val="24"/>
        </w:rPr>
        <w:t xml:space="preserve"> </w:t>
      </w:r>
      <w:r>
        <w:rPr>
          <w:color w:val="211F1F"/>
          <w:sz w:val="24"/>
        </w:rPr>
        <w:t>a</w:t>
      </w:r>
      <w:r>
        <w:rPr>
          <w:color w:val="211F1F"/>
          <w:spacing w:val="-9"/>
          <w:sz w:val="24"/>
        </w:rPr>
        <w:t xml:space="preserve"> </w:t>
      </w:r>
      <w:r>
        <w:rPr>
          <w:color w:val="211F1F"/>
          <w:sz w:val="24"/>
        </w:rPr>
        <w:t>cause for disqualification of a Tenderer.</w:t>
      </w:r>
    </w:p>
    <w:p w14:paraId="14642FF5" w14:textId="77777777" w:rsidR="00BB77C0" w:rsidRDefault="00370BAA">
      <w:pPr>
        <w:pStyle w:val="Heading6"/>
        <w:numPr>
          <w:ilvl w:val="0"/>
          <w:numId w:val="114"/>
        </w:numPr>
        <w:tabs>
          <w:tab w:val="left" w:pos="181"/>
        </w:tabs>
        <w:spacing w:before="249"/>
        <w:ind w:left="181" w:hanging="181"/>
        <w:jc w:val="both"/>
        <w:rPr>
          <w:sz w:val="22"/>
        </w:rPr>
      </w:pPr>
      <w:bookmarkStart w:id="26" w:name="9._0___Clarifications"/>
      <w:bookmarkStart w:id="27" w:name="_bookmark12"/>
      <w:bookmarkEnd w:id="26"/>
      <w:bookmarkEnd w:id="27"/>
      <w:r>
        <w:t>0</w:t>
      </w:r>
      <w:r>
        <w:rPr>
          <w:spacing w:val="79"/>
        </w:rPr>
        <w:t xml:space="preserve">   </w:t>
      </w:r>
      <w:r>
        <w:rPr>
          <w:spacing w:val="-2"/>
        </w:rPr>
        <w:t>Clarifications</w:t>
      </w:r>
    </w:p>
    <w:p w14:paraId="62909920" w14:textId="77777777" w:rsidR="00BB77C0" w:rsidRDefault="00370BAA">
      <w:pPr>
        <w:pStyle w:val="ListParagraph"/>
        <w:numPr>
          <w:ilvl w:val="1"/>
          <w:numId w:val="114"/>
        </w:numPr>
        <w:tabs>
          <w:tab w:val="left" w:pos="1330"/>
        </w:tabs>
        <w:spacing w:before="74" w:line="259" w:lineRule="auto"/>
        <w:ind w:left="1330" w:right="1094" w:hanging="610"/>
        <w:jc w:val="both"/>
      </w:pPr>
      <w:r>
        <w:rPr>
          <w:color w:val="201F1F"/>
          <w:sz w:val="24"/>
        </w:rPr>
        <w:t>A</w:t>
      </w:r>
      <w:r>
        <w:rPr>
          <w:color w:val="201F1F"/>
          <w:spacing w:val="-8"/>
          <w:sz w:val="24"/>
        </w:rPr>
        <w:t xml:space="preserve"> </w:t>
      </w:r>
      <w:r>
        <w:rPr>
          <w:color w:val="201F1F"/>
          <w:sz w:val="24"/>
        </w:rPr>
        <w:t>Tenderer requiring</w:t>
      </w:r>
      <w:r>
        <w:rPr>
          <w:color w:val="201F1F"/>
          <w:spacing w:val="-2"/>
          <w:sz w:val="24"/>
        </w:rPr>
        <w:t xml:space="preserve"> </w:t>
      </w:r>
      <w:r>
        <w:rPr>
          <w:color w:val="201F1F"/>
          <w:sz w:val="24"/>
        </w:rPr>
        <w:t>any</w:t>
      </w:r>
      <w:r>
        <w:rPr>
          <w:color w:val="201F1F"/>
          <w:spacing w:val="-8"/>
          <w:sz w:val="24"/>
        </w:rPr>
        <w:t xml:space="preserve"> </w:t>
      </w:r>
      <w:r>
        <w:rPr>
          <w:color w:val="201F1F"/>
          <w:sz w:val="24"/>
        </w:rPr>
        <w:t>clarification</w:t>
      </w:r>
      <w:r>
        <w:rPr>
          <w:color w:val="201F1F"/>
          <w:spacing w:val="-6"/>
          <w:sz w:val="24"/>
        </w:rPr>
        <w:t xml:space="preserve"> </w:t>
      </w:r>
      <w:r>
        <w:rPr>
          <w:color w:val="201F1F"/>
          <w:sz w:val="24"/>
        </w:rPr>
        <w:t>of</w:t>
      </w:r>
      <w:r>
        <w:rPr>
          <w:color w:val="201F1F"/>
          <w:spacing w:val="-11"/>
          <w:sz w:val="24"/>
        </w:rPr>
        <w:t xml:space="preserve"> </w:t>
      </w:r>
      <w:r>
        <w:rPr>
          <w:color w:val="201F1F"/>
          <w:sz w:val="24"/>
        </w:rPr>
        <w:t>the</w:t>
      </w:r>
      <w:r>
        <w:rPr>
          <w:color w:val="201F1F"/>
          <w:spacing w:val="-3"/>
          <w:sz w:val="24"/>
        </w:rPr>
        <w:t xml:space="preserve"> </w:t>
      </w:r>
      <w:r>
        <w:rPr>
          <w:color w:val="201F1F"/>
          <w:sz w:val="24"/>
        </w:rPr>
        <w:t>Tender</w:t>
      </w:r>
      <w:r>
        <w:rPr>
          <w:color w:val="201F1F"/>
          <w:spacing w:val="-1"/>
          <w:sz w:val="24"/>
        </w:rPr>
        <w:t xml:space="preserve"> </w:t>
      </w:r>
      <w:r>
        <w:rPr>
          <w:color w:val="201F1F"/>
          <w:sz w:val="24"/>
        </w:rPr>
        <w:t>Document shall</w:t>
      </w:r>
      <w:r>
        <w:rPr>
          <w:color w:val="201F1F"/>
          <w:spacing w:val="-6"/>
          <w:sz w:val="24"/>
        </w:rPr>
        <w:t xml:space="preserve"> </w:t>
      </w:r>
      <w:r>
        <w:rPr>
          <w:color w:val="201F1F"/>
          <w:sz w:val="24"/>
        </w:rPr>
        <w:t>contact the ProcuringEntity in writing at the Procuring Entity's address specified in the TDS or raise its enquiries during the pre-Tender meeting and the pre- arranged</w:t>
      </w:r>
      <w:r>
        <w:rPr>
          <w:color w:val="201F1F"/>
          <w:spacing w:val="-1"/>
          <w:sz w:val="24"/>
        </w:rPr>
        <w:t xml:space="preserve"> </w:t>
      </w:r>
      <w:r>
        <w:rPr>
          <w:color w:val="201F1F"/>
          <w:sz w:val="24"/>
        </w:rPr>
        <w:t>pretender visit of</w:t>
      </w:r>
      <w:r>
        <w:rPr>
          <w:color w:val="201F1F"/>
          <w:spacing w:val="-15"/>
          <w:sz w:val="24"/>
        </w:rPr>
        <w:t xml:space="preserve"> </w:t>
      </w:r>
      <w:r>
        <w:rPr>
          <w:color w:val="201F1F"/>
          <w:sz w:val="24"/>
        </w:rPr>
        <w:t>the</w:t>
      </w:r>
      <w:r>
        <w:rPr>
          <w:color w:val="201F1F"/>
          <w:spacing w:val="-3"/>
          <w:sz w:val="24"/>
        </w:rPr>
        <w:t xml:space="preserve"> </w:t>
      </w:r>
      <w:r>
        <w:rPr>
          <w:color w:val="201F1F"/>
          <w:sz w:val="24"/>
        </w:rPr>
        <w:t>site</w:t>
      </w:r>
      <w:r>
        <w:rPr>
          <w:color w:val="201F1F"/>
          <w:spacing w:val="-12"/>
          <w:sz w:val="24"/>
        </w:rPr>
        <w:t xml:space="preserve"> </w:t>
      </w:r>
      <w:r>
        <w:rPr>
          <w:color w:val="201F1F"/>
          <w:sz w:val="24"/>
        </w:rPr>
        <w:t>of</w:t>
      </w:r>
      <w:r>
        <w:rPr>
          <w:color w:val="201F1F"/>
          <w:spacing w:val="-15"/>
          <w:sz w:val="24"/>
        </w:rPr>
        <w:t xml:space="preserve"> </w:t>
      </w:r>
      <w:r>
        <w:rPr>
          <w:color w:val="201F1F"/>
          <w:sz w:val="24"/>
        </w:rPr>
        <w:t>the</w:t>
      </w:r>
      <w:r>
        <w:rPr>
          <w:color w:val="201F1F"/>
          <w:spacing w:val="-8"/>
          <w:sz w:val="24"/>
        </w:rPr>
        <w:t xml:space="preserve"> </w:t>
      </w:r>
      <w:r>
        <w:rPr>
          <w:color w:val="201F1F"/>
          <w:sz w:val="24"/>
        </w:rPr>
        <w:t>worksif</w:t>
      </w:r>
      <w:r>
        <w:rPr>
          <w:color w:val="201F1F"/>
          <w:spacing w:val="-1"/>
          <w:sz w:val="24"/>
        </w:rPr>
        <w:t xml:space="preserve"> </w:t>
      </w:r>
      <w:r>
        <w:rPr>
          <w:color w:val="201F1F"/>
          <w:sz w:val="24"/>
        </w:rPr>
        <w:t>provided for in accordance with</w:t>
      </w:r>
      <w:r>
        <w:rPr>
          <w:color w:val="201F1F"/>
          <w:spacing w:val="-7"/>
          <w:sz w:val="24"/>
        </w:rPr>
        <w:t xml:space="preserve"> </w:t>
      </w:r>
      <w:r>
        <w:rPr>
          <w:color w:val="201F1F"/>
          <w:sz w:val="24"/>
        </w:rPr>
        <w:t>ITT</w:t>
      </w:r>
      <w:r>
        <w:rPr>
          <w:color w:val="201F1F"/>
          <w:spacing w:val="-5"/>
          <w:sz w:val="24"/>
        </w:rPr>
        <w:t xml:space="preserve"> </w:t>
      </w:r>
      <w:r>
        <w:rPr>
          <w:color w:val="201F1F"/>
          <w:sz w:val="24"/>
        </w:rPr>
        <w:t>8.4.</w:t>
      </w:r>
      <w:r>
        <w:rPr>
          <w:color w:val="201F1F"/>
          <w:spacing w:val="-10"/>
          <w:sz w:val="24"/>
        </w:rPr>
        <w:t xml:space="preserve"> </w:t>
      </w:r>
      <w:r>
        <w:rPr>
          <w:color w:val="201F1F"/>
          <w:sz w:val="24"/>
        </w:rPr>
        <w:t>The</w:t>
      </w:r>
      <w:r>
        <w:rPr>
          <w:color w:val="201F1F"/>
          <w:spacing w:val="-4"/>
          <w:sz w:val="24"/>
        </w:rPr>
        <w:t xml:space="preserve"> </w:t>
      </w:r>
      <w:r>
        <w:rPr>
          <w:color w:val="201F1F"/>
          <w:sz w:val="24"/>
        </w:rPr>
        <w:t>Procuring</w:t>
      </w:r>
      <w:r>
        <w:rPr>
          <w:color w:val="201F1F"/>
          <w:spacing w:val="-2"/>
          <w:sz w:val="24"/>
        </w:rPr>
        <w:t xml:space="preserve"> </w:t>
      </w:r>
      <w:r>
        <w:rPr>
          <w:color w:val="201F1F"/>
          <w:sz w:val="24"/>
        </w:rPr>
        <w:t>Entity</w:t>
      </w:r>
      <w:r>
        <w:rPr>
          <w:color w:val="201F1F"/>
          <w:spacing w:val="-11"/>
          <w:sz w:val="24"/>
        </w:rPr>
        <w:t xml:space="preserve"> </w:t>
      </w:r>
      <w:r>
        <w:rPr>
          <w:color w:val="201F1F"/>
          <w:sz w:val="24"/>
        </w:rPr>
        <w:t>will</w:t>
      </w:r>
      <w:r>
        <w:rPr>
          <w:color w:val="201F1F"/>
          <w:spacing w:val="-7"/>
          <w:sz w:val="24"/>
        </w:rPr>
        <w:t xml:space="preserve"> </w:t>
      </w:r>
      <w:r>
        <w:rPr>
          <w:color w:val="201F1F"/>
          <w:sz w:val="24"/>
        </w:rPr>
        <w:t>respond in</w:t>
      </w:r>
      <w:r>
        <w:rPr>
          <w:color w:val="201F1F"/>
          <w:spacing w:val="-8"/>
          <w:sz w:val="24"/>
        </w:rPr>
        <w:t xml:space="preserve"> </w:t>
      </w:r>
      <w:r>
        <w:rPr>
          <w:color w:val="201F1F"/>
          <w:sz w:val="24"/>
        </w:rPr>
        <w:t>writing</w:t>
      </w:r>
      <w:r>
        <w:rPr>
          <w:color w:val="201F1F"/>
          <w:spacing w:val="-2"/>
          <w:sz w:val="24"/>
        </w:rPr>
        <w:t xml:space="preserve"> </w:t>
      </w:r>
      <w:r>
        <w:rPr>
          <w:color w:val="201F1F"/>
          <w:sz w:val="24"/>
        </w:rPr>
        <w:t>to any</w:t>
      </w:r>
      <w:r>
        <w:rPr>
          <w:color w:val="201F1F"/>
          <w:spacing w:val="-12"/>
          <w:sz w:val="24"/>
        </w:rPr>
        <w:t xml:space="preserve"> </w:t>
      </w:r>
      <w:r>
        <w:rPr>
          <w:color w:val="201F1F"/>
          <w:sz w:val="24"/>
        </w:rPr>
        <w:t>request</w:t>
      </w:r>
      <w:r>
        <w:rPr>
          <w:color w:val="201F1F"/>
          <w:spacing w:val="-2"/>
          <w:sz w:val="24"/>
        </w:rPr>
        <w:t xml:space="preserve"> </w:t>
      </w:r>
      <w:r>
        <w:rPr>
          <w:color w:val="201F1F"/>
          <w:sz w:val="24"/>
        </w:rPr>
        <w:t>for clarification, provided that such request is received no later than the period specified in the TDS prior to the deadline for submission of tenders. The ProcuringEntity</w:t>
      </w:r>
      <w:r>
        <w:rPr>
          <w:color w:val="201F1F"/>
          <w:spacing w:val="-15"/>
          <w:sz w:val="24"/>
        </w:rPr>
        <w:t xml:space="preserve"> </w:t>
      </w:r>
      <w:r>
        <w:rPr>
          <w:color w:val="201F1F"/>
          <w:sz w:val="24"/>
        </w:rPr>
        <w:t>shall</w:t>
      </w:r>
      <w:r>
        <w:rPr>
          <w:color w:val="201F1F"/>
          <w:spacing w:val="-15"/>
          <w:sz w:val="24"/>
        </w:rPr>
        <w:t xml:space="preserve"> </w:t>
      </w:r>
      <w:r>
        <w:rPr>
          <w:color w:val="201F1F"/>
          <w:sz w:val="24"/>
        </w:rPr>
        <w:t>forward</w:t>
      </w:r>
      <w:r>
        <w:rPr>
          <w:color w:val="201F1F"/>
          <w:spacing w:val="-15"/>
          <w:sz w:val="24"/>
        </w:rPr>
        <w:t xml:space="preserve"> </w:t>
      </w:r>
      <w:r>
        <w:rPr>
          <w:color w:val="201F1F"/>
          <w:sz w:val="24"/>
        </w:rPr>
        <w:t>copies</w:t>
      </w:r>
      <w:r>
        <w:rPr>
          <w:color w:val="201F1F"/>
          <w:spacing w:val="-15"/>
          <w:sz w:val="24"/>
        </w:rPr>
        <w:t xml:space="preserve"> </w:t>
      </w:r>
      <w:r>
        <w:rPr>
          <w:color w:val="201F1F"/>
          <w:sz w:val="24"/>
        </w:rPr>
        <w:t>of</w:t>
      </w:r>
      <w:r>
        <w:rPr>
          <w:color w:val="201F1F"/>
          <w:spacing w:val="-15"/>
          <w:sz w:val="24"/>
        </w:rPr>
        <w:t xml:space="preserve"> </w:t>
      </w:r>
      <w:r>
        <w:rPr>
          <w:color w:val="201F1F"/>
          <w:sz w:val="24"/>
        </w:rPr>
        <w:t>its</w:t>
      </w:r>
      <w:r>
        <w:rPr>
          <w:color w:val="201F1F"/>
          <w:spacing w:val="-15"/>
          <w:sz w:val="24"/>
        </w:rPr>
        <w:t xml:space="preserve"> </w:t>
      </w:r>
      <w:r>
        <w:rPr>
          <w:color w:val="201F1F"/>
          <w:sz w:val="24"/>
        </w:rPr>
        <w:t>response</w:t>
      </w:r>
      <w:r>
        <w:rPr>
          <w:color w:val="201F1F"/>
          <w:spacing w:val="-15"/>
          <w:sz w:val="24"/>
        </w:rPr>
        <w:t xml:space="preserve"> </w:t>
      </w:r>
      <w:r>
        <w:rPr>
          <w:color w:val="201F1F"/>
          <w:sz w:val="24"/>
        </w:rPr>
        <w:t>to</w:t>
      </w:r>
      <w:r>
        <w:rPr>
          <w:color w:val="201F1F"/>
          <w:spacing w:val="-12"/>
          <w:sz w:val="24"/>
        </w:rPr>
        <w:t xml:space="preserve"> </w:t>
      </w:r>
      <w:r>
        <w:rPr>
          <w:color w:val="201F1F"/>
          <w:sz w:val="24"/>
        </w:rPr>
        <w:t>all</w:t>
      </w:r>
      <w:r>
        <w:rPr>
          <w:color w:val="201F1F"/>
          <w:spacing w:val="-15"/>
          <w:sz w:val="24"/>
        </w:rPr>
        <w:t xml:space="preserve"> </w:t>
      </w:r>
      <w:r>
        <w:rPr>
          <w:color w:val="201F1F"/>
          <w:sz w:val="24"/>
        </w:rPr>
        <w:t>tenderers</w:t>
      </w:r>
      <w:r>
        <w:rPr>
          <w:color w:val="201F1F"/>
          <w:spacing w:val="-13"/>
          <w:sz w:val="24"/>
        </w:rPr>
        <w:t xml:space="preserve"> </w:t>
      </w:r>
      <w:r>
        <w:rPr>
          <w:color w:val="201F1F"/>
          <w:sz w:val="24"/>
        </w:rPr>
        <w:t>who</w:t>
      </w:r>
      <w:r>
        <w:rPr>
          <w:color w:val="201F1F"/>
          <w:spacing w:val="-8"/>
          <w:sz w:val="24"/>
        </w:rPr>
        <w:t xml:space="preserve"> </w:t>
      </w:r>
      <w:r>
        <w:rPr>
          <w:color w:val="201F1F"/>
          <w:sz w:val="24"/>
        </w:rPr>
        <w:t>have acquired the Tender Documents in accordance with ITT 6.3, including a description of the inquiry but without identifying its source. If specified in the</w:t>
      </w:r>
      <w:r>
        <w:rPr>
          <w:color w:val="201F1F"/>
          <w:spacing w:val="-3"/>
          <w:sz w:val="24"/>
        </w:rPr>
        <w:t xml:space="preserve"> </w:t>
      </w:r>
      <w:r>
        <w:rPr>
          <w:color w:val="201F1F"/>
          <w:sz w:val="24"/>
        </w:rPr>
        <w:t>TDS,</w:t>
      </w:r>
      <w:r>
        <w:rPr>
          <w:color w:val="201F1F"/>
          <w:spacing w:val="-3"/>
          <w:sz w:val="24"/>
        </w:rPr>
        <w:t xml:space="preserve"> </w:t>
      </w:r>
      <w:r>
        <w:rPr>
          <w:color w:val="201F1F"/>
          <w:sz w:val="24"/>
        </w:rPr>
        <w:t>the</w:t>
      </w:r>
      <w:r>
        <w:rPr>
          <w:color w:val="201F1F"/>
          <w:spacing w:val="-3"/>
          <w:sz w:val="24"/>
        </w:rPr>
        <w:t xml:space="preserve"> </w:t>
      </w:r>
      <w:r>
        <w:rPr>
          <w:color w:val="201F1F"/>
          <w:sz w:val="24"/>
        </w:rPr>
        <w:t>Procuring Entity</w:t>
      </w:r>
      <w:r>
        <w:rPr>
          <w:color w:val="201F1F"/>
          <w:spacing w:val="-6"/>
          <w:sz w:val="24"/>
        </w:rPr>
        <w:t xml:space="preserve"> </w:t>
      </w:r>
      <w:r>
        <w:rPr>
          <w:color w:val="201F1F"/>
          <w:sz w:val="24"/>
        </w:rPr>
        <w:t>shall</w:t>
      </w:r>
      <w:r>
        <w:rPr>
          <w:color w:val="201F1F"/>
          <w:spacing w:val="-5"/>
          <w:sz w:val="24"/>
        </w:rPr>
        <w:t xml:space="preserve"> </w:t>
      </w:r>
      <w:r>
        <w:rPr>
          <w:color w:val="201F1F"/>
          <w:sz w:val="24"/>
        </w:rPr>
        <w:t>also promptly</w:t>
      </w:r>
      <w:r>
        <w:rPr>
          <w:color w:val="201F1F"/>
          <w:spacing w:val="-2"/>
          <w:sz w:val="24"/>
        </w:rPr>
        <w:t xml:space="preserve"> </w:t>
      </w:r>
      <w:r>
        <w:rPr>
          <w:color w:val="201F1F"/>
          <w:sz w:val="24"/>
        </w:rPr>
        <w:t>publish its response</w:t>
      </w:r>
      <w:r>
        <w:rPr>
          <w:color w:val="201F1F"/>
          <w:spacing w:val="-3"/>
          <w:sz w:val="24"/>
        </w:rPr>
        <w:t xml:space="preserve"> </w:t>
      </w:r>
      <w:r>
        <w:rPr>
          <w:color w:val="201F1F"/>
          <w:sz w:val="24"/>
        </w:rPr>
        <w:t>at</w:t>
      </w:r>
      <w:r>
        <w:rPr>
          <w:color w:val="201F1F"/>
          <w:spacing w:val="-2"/>
          <w:sz w:val="24"/>
        </w:rPr>
        <w:t xml:space="preserve"> </w:t>
      </w:r>
      <w:r>
        <w:rPr>
          <w:color w:val="201F1F"/>
          <w:sz w:val="24"/>
        </w:rPr>
        <w:t>the web</w:t>
      </w:r>
      <w:r>
        <w:rPr>
          <w:color w:val="201F1F"/>
          <w:spacing w:val="-4"/>
          <w:sz w:val="24"/>
        </w:rPr>
        <w:t xml:space="preserve"> </w:t>
      </w:r>
      <w:r>
        <w:rPr>
          <w:color w:val="201F1F"/>
          <w:sz w:val="24"/>
        </w:rPr>
        <w:t>page identified in</w:t>
      </w:r>
      <w:r>
        <w:rPr>
          <w:color w:val="201F1F"/>
          <w:spacing w:val="-4"/>
          <w:sz w:val="24"/>
        </w:rPr>
        <w:t xml:space="preserve"> </w:t>
      </w:r>
      <w:r>
        <w:rPr>
          <w:color w:val="201F1F"/>
          <w:sz w:val="24"/>
        </w:rPr>
        <w:t>the TDS.</w:t>
      </w:r>
      <w:r>
        <w:rPr>
          <w:color w:val="201F1F"/>
          <w:spacing w:val="-2"/>
          <w:sz w:val="24"/>
        </w:rPr>
        <w:t xml:space="preserve"> </w:t>
      </w:r>
      <w:r>
        <w:rPr>
          <w:color w:val="201F1F"/>
          <w:sz w:val="24"/>
        </w:rPr>
        <w:t>Should the clarification</w:t>
      </w:r>
      <w:r>
        <w:rPr>
          <w:color w:val="201F1F"/>
          <w:spacing w:val="-4"/>
          <w:sz w:val="24"/>
        </w:rPr>
        <w:t xml:space="preserve"> </w:t>
      </w:r>
      <w:r>
        <w:rPr>
          <w:color w:val="201F1F"/>
          <w:sz w:val="24"/>
        </w:rPr>
        <w:t>result in</w:t>
      </w:r>
      <w:r>
        <w:rPr>
          <w:color w:val="201F1F"/>
          <w:spacing w:val="-4"/>
          <w:sz w:val="24"/>
        </w:rPr>
        <w:t xml:space="preserve"> </w:t>
      </w:r>
      <w:r>
        <w:rPr>
          <w:color w:val="201F1F"/>
          <w:sz w:val="24"/>
        </w:rPr>
        <w:t>changes</w:t>
      </w:r>
      <w:r>
        <w:rPr>
          <w:color w:val="201F1F"/>
          <w:spacing w:val="-2"/>
          <w:sz w:val="24"/>
        </w:rPr>
        <w:t xml:space="preserve"> </w:t>
      </w:r>
      <w:r>
        <w:rPr>
          <w:color w:val="201F1F"/>
          <w:sz w:val="24"/>
        </w:rPr>
        <w:t>to the essential elements of the Tender Documents, the Procuring Entity shall amend the Tender</w:t>
      </w:r>
      <w:r>
        <w:rPr>
          <w:color w:val="201F1F"/>
          <w:spacing w:val="40"/>
          <w:sz w:val="24"/>
        </w:rPr>
        <w:t xml:space="preserve"> </w:t>
      </w:r>
      <w:r>
        <w:rPr>
          <w:color w:val="201F1F"/>
          <w:sz w:val="24"/>
        </w:rPr>
        <w:t>Documents appropriately following the procedure under ITT</w:t>
      </w:r>
      <w:r>
        <w:rPr>
          <w:color w:val="201F1F"/>
          <w:spacing w:val="-19"/>
          <w:sz w:val="24"/>
        </w:rPr>
        <w:t xml:space="preserve"> </w:t>
      </w:r>
      <w:r>
        <w:rPr>
          <w:color w:val="201F1F"/>
          <w:sz w:val="24"/>
        </w:rPr>
        <w:t>8.4.</w:t>
      </w:r>
    </w:p>
    <w:p w14:paraId="604F59A2" w14:textId="77777777" w:rsidR="00BB77C0" w:rsidRDefault="00370BAA">
      <w:pPr>
        <w:pStyle w:val="Heading6"/>
        <w:numPr>
          <w:ilvl w:val="0"/>
          <w:numId w:val="114"/>
        </w:numPr>
        <w:tabs>
          <w:tab w:val="left" w:pos="296"/>
        </w:tabs>
        <w:spacing w:before="244"/>
        <w:ind w:left="296" w:hanging="296"/>
        <w:jc w:val="both"/>
        <w:rPr>
          <w:sz w:val="22"/>
        </w:rPr>
      </w:pPr>
      <w:bookmarkStart w:id="28" w:name="10._0__Amendment_of_Tender_Documents"/>
      <w:bookmarkStart w:id="29" w:name="_bookmark13"/>
      <w:bookmarkEnd w:id="28"/>
      <w:bookmarkEnd w:id="29"/>
      <w:r>
        <w:t>0</w:t>
      </w:r>
      <w:r>
        <w:rPr>
          <w:spacing w:val="77"/>
        </w:rPr>
        <w:t xml:space="preserve">  </w:t>
      </w:r>
      <w:r>
        <w:t>Amendment of</w:t>
      </w:r>
      <w:r>
        <w:rPr>
          <w:spacing w:val="-7"/>
        </w:rPr>
        <w:t xml:space="preserve"> </w:t>
      </w:r>
      <w:r>
        <w:t>Tender</w:t>
      </w:r>
      <w:r>
        <w:rPr>
          <w:spacing w:val="-13"/>
        </w:rPr>
        <w:t xml:space="preserve"> </w:t>
      </w:r>
      <w:r>
        <w:rPr>
          <w:spacing w:val="-2"/>
        </w:rPr>
        <w:t>Documents</w:t>
      </w:r>
    </w:p>
    <w:p w14:paraId="5F2E831A" w14:textId="77777777" w:rsidR="00BB77C0" w:rsidRDefault="00370BAA">
      <w:pPr>
        <w:pStyle w:val="ListParagraph"/>
        <w:numPr>
          <w:ilvl w:val="1"/>
          <w:numId w:val="114"/>
        </w:numPr>
        <w:tabs>
          <w:tab w:val="left" w:pos="1441"/>
        </w:tabs>
        <w:spacing w:before="75" w:line="259" w:lineRule="auto"/>
        <w:ind w:right="109"/>
        <w:rPr>
          <w:color w:val="211F1F"/>
          <w:sz w:val="24"/>
        </w:rPr>
      </w:pPr>
      <w:r>
        <w:rPr>
          <w:color w:val="211F1F"/>
          <w:sz w:val="24"/>
        </w:rPr>
        <w:t>At any</w:t>
      </w:r>
      <w:r>
        <w:rPr>
          <w:color w:val="211F1F"/>
          <w:spacing w:val="-11"/>
          <w:sz w:val="24"/>
        </w:rPr>
        <w:t xml:space="preserve"> </w:t>
      </w:r>
      <w:r>
        <w:rPr>
          <w:color w:val="211F1F"/>
          <w:sz w:val="24"/>
        </w:rPr>
        <w:t>time</w:t>
      </w:r>
      <w:r>
        <w:rPr>
          <w:color w:val="211F1F"/>
          <w:spacing w:val="-7"/>
          <w:sz w:val="24"/>
        </w:rPr>
        <w:t xml:space="preserve"> </w:t>
      </w:r>
      <w:r>
        <w:rPr>
          <w:color w:val="211F1F"/>
          <w:sz w:val="24"/>
        </w:rPr>
        <w:t>prior</w:t>
      </w:r>
      <w:r>
        <w:rPr>
          <w:color w:val="211F1F"/>
          <w:spacing w:val="-4"/>
          <w:sz w:val="24"/>
        </w:rPr>
        <w:t xml:space="preserve"> </w:t>
      </w:r>
      <w:r>
        <w:rPr>
          <w:color w:val="211F1F"/>
          <w:sz w:val="24"/>
        </w:rPr>
        <w:t>to</w:t>
      </w:r>
      <w:r>
        <w:rPr>
          <w:color w:val="211F1F"/>
          <w:spacing w:val="-7"/>
          <w:sz w:val="24"/>
        </w:rPr>
        <w:t xml:space="preserve"> </w:t>
      </w:r>
      <w:r>
        <w:rPr>
          <w:color w:val="211F1F"/>
          <w:sz w:val="24"/>
        </w:rPr>
        <w:t>the</w:t>
      </w:r>
      <w:r>
        <w:rPr>
          <w:color w:val="211F1F"/>
          <w:spacing w:val="-8"/>
          <w:sz w:val="24"/>
        </w:rPr>
        <w:t xml:space="preserve"> </w:t>
      </w:r>
      <w:r>
        <w:rPr>
          <w:color w:val="211F1F"/>
          <w:sz w:val="24"/>
        </w:rPr>
        <w:t>deadline</w:t>
      </w:r>
      <w:r>
        <w:rPr>
          <w:color w:val="211F1F"/>
          <w:spacing w:val="-2"/>
          <w:sz w:val="24"/>
        </w:rPr>
        <w:t xml:space="preserve"> </w:t>
      </w:r>
      <w:r>
        <w:rPr>
          <w:color w:val="211F1F"/>
          <w:sz w:val="24"/>
        </w:rPr>
        <w:t>for</w:t>
      </w:r>
      <w:r>
        <w:rPr>
          <w:color w:val="211F1F"/>
          <w:spacing w:val="-5"/>
          <w:sz w:val="24"/>
        </w:rPr>
        <w:t xml:space="preserve"> </w:t>
      </w:r>
      <w:r>
        <w:rPr>
          <w:color w:val="211F1F"/>
          <w:sz w:val="24"/>
        </w:rPr>
        <w:t>submission</w:t>
      </w:r>
      <w:r>
        <w:rPr>
          <w:color w:val="211F1F"/>
          <w:spacing w:val="-6"/>
          <w:sz w:val="24"/>
        </w:rPr>
        <w:t xml:space="preserve"> </w:t>
      </w:r>
      <w:r>
        <w:rPr>
          <w:color w:val="211F1F"/>
          <w:sz w:val="24"/>
        </w:rPr>
        <w:t>of</w:t>
      </w:r>
      <w:r>
        <w:rPr>
          <w:color w:val="211F1F"/>
          <w:spacing w:val="-10"/>
          <w:sz w:val="24"/>
        </w:rPr>
        <w:t xml:space="preserve"> </w:t>
      </w:r>
      <w:r>
        <w:rPr>
          <w:color w:val="211F1F"/>
          <w:sz w:val="24"/>
        </w:rPr>
        <w:t>Tenders,</w:t>
      </w:r>
      <w:r>
        <w:rPr>
          <w:color w:val="211F1F"/>
          <w:spacing w:val="-3"/>
          <w:sz w:val="24"/>
        </w:rPr>
        <w:t xml:space="preserve"> </w:t>
      </w:r>
      <w:r>
        <w:rPr>
          <w:color w:val="211F1F"/>
          <w:sz w:val="24"/>
        </w:rPr>
        <w:t>the</w:t>
      </w:r>
      <w:r>
        <w:rPr>
          <w:color w:val="211F1F"/>
          <w:spacing w:val="-8"/>
          <w:sz w:val="24"/>
        </w:rPr>
        <w:t xml:space="preserve"> </w:t>
      </w:r>
      <w:r>
        <w:rPr>
          <w:color w:val="211F1F"/>
          <w:sz w:val="24"/>
        </w:rPr>
        <w:t>Procuring</w:t>
      </w:r>
      <w:r>
        <w:rPr>
          <w:color w:val="211F1F"/>
          <w:spacing w:val="-2"/>
          <w:sz w:val="24"/>
        </w:rPr>
        <w:t xml:space="preserve"> </w:t>
      </w:r>
      <w:r>
        <w:rPr>
          <w:color w:val="211F1F"/>
          <w:sz w:val="24"/>
        </w:rPr>
        <w:t>Entity</w:t>
      </w:r>
      <w:r>
        <w:rPr>
          <w:color w:val="211F1F"/>
          <w:spacing w:val="-4"/>
          <w:sz w:val="24"/>
        </w:rPr>
        <w:t xml:space="preserve"> </w:t>
      </w:r>
      <w:r>
        <w:rPr>
          <w:color w:val="211F1F"/>
          <w:sz w:val="24"/>
        </w:rPr>
        <w:t>may amend the Tender Documents by issuing addenda.</w:t>
      </w:r>
    </w:p>
    <w:p w14:paraId="166861D3" w14:textId="77777777" w:rsidR="00BB77C0" w:rsidRDefault="00370BAA">
      <w:pPr>
        <w:pStyle w:val="ListParagraph"/>
        <w:numPr>
          <w:ilvl w:val="1"/>
          <w:numId w:val="114"/>
        </w:numPr>
        <w:tabs>
          <w:tab w:val="left" w:pos="1441"/>
        </w:tabs>
        <w:spacing w:before="158" w:line="259" w:lineRule="auto"/>
        <w:ind w:right="262"/>
        <w:rPr>
          <w:color w:val="211F1F"/>
          <w:sz w:val="24"/>
        </w:rPr>
      </w:pPr>
      <w:r>
        <w:rPr>
          <w:color w:val="211F1F"/>
          <w:sz w:val="24"/>
        </w:rPr>
        <w:t>Any addendum issued shall be part of the Tender Documents and shall be communicated in writing to all who have obtained the Tender Documents from</w:t>
      </w:r>
      <w:r>
        <w:rPr>
          <w:color w:val="211F1F"/>
          <w:spacing w:val="-3"/>
          <w:sz w:val="24"/>
        </w:rPr>
        <w:t xml:space="preserve"> </w:t>
      </w:r>
      <w:r>
        <w:rPr>
          <w:color w:val="211F1F"/>
          <w:sz w:val="24"/>
        </w:rPr>
        <w:t>the Procuring</w:t>
      </w:r>
      <w:r>
        <w:rPr>
          <w:color w:val="211F1F"/>
          <w:spacing w:val="-6"/>
          <w:sz w:val="24"/>
        </w:rPr>
        <w:t xml:space="preserve"> </w:t>
      </w:r>
      <w:r>
        <w:rPr>
          <w:color w:val="211F1F"/>
          <w:sz w:val="24"/>
        </w:rPr>
        <w:t>Entity.</w:t>
      </w:r>
      <w:r>
        <w:rPr>
          <w:color w:val="211F1F"/>
          <w:spacing w:val="-8"/>
          <w:sz w:val="24"/>
        </w:rPr>
        <w:t xml:space="preserve"> </w:t>
      </w:r>
      <w:r>
        <w:rPr>
          <w:color w:val="211F1F"/>
          <w:sz w:val="24"/>
        </w:rPr>
        <w:t>The</w:t>
      </w:r>
      <w:r>
        <w:rPr>
          <w:color w:val="211F1F"/>
          <w:spacing w:val="-8"/>
          <w:sz w:val="24"/>
        </w:rPr>
        <w:t xml:space="preserve"> </w:t>
      </w:r>
      <w:r>
        <w:rPr>
          <w:color w:val="211F1F"/>
          <w:sz w:val="24"/>
        </w:rPr>
        <w:t>Procuring</w:t>
      </w:r>
      <w:r>
        <w:rPr>
          <w:color w:val="211F1F"/>
          <w:spacing w:val="-5"/>
          <w:sz w:val="24"/>
        </w:rPr>
        <w:t xml:space="preserve"> </w:t>
      </w:r>
      <w:r>
        <w:rPr>
          <w:color w:val="211F1F"/>
          <w:sz w:val="24"/>
        </w:rPr>
        <w:t>Entity</w:t>
      </w:r>
      <w:r>
        <w:rPr>
          <w:color w:val="211F1F"/>
          <w:spacing w:val="-15"/>
          <w:sz w:val="24"/>
        </w:rPr>
        <w:t xml:space="preserve"> </w:t>
      </w:r>
      <w:r>
        <w:rPr>
          <w:color w:val="211F1F"/>
          <w:sz w:val="24"/>
        </w:rPr>
        <w:t>shall</w:t>
      </w:r>
      <w:r>
        <w:rPr>
          <w:color w:val="211F1F"/>
          <w:spacing w:val="-15"/>
          <w:sz w:val="24"/>
        </w:rPr>
        <w:t xml:space="preserve"> </w:t>
      </w:r>
      <w:r>
        <w:rPr>
          <w:color w:val="211F1F"/>
          <w:sz w:val="24"/>
        </w:rPr>
        <w:t>also</w:t>
      </w:r>
      <w:r>
        <w:rPr>
          <w:color w:val="211F1F"/>
          <w:spacing w:val="-2"/>
          <w:sz w:val="24"/>
        </w:rPr>
        <w:t xml:space="preserve"> </w:t>
      </w:r>
      <w:r>
        <w:rPr>
          <w:color w:val="211F1F"/>
          <w:sz w:val="24"/>
        </w:rPr>
        <w:t>promptly</w:t>
      </w:r>
      <w:r>
        <w:rPr>
          <w:color w:val="211F1F"/>
          <w:spacing w:val="-10"/>
          <w:sz w:val="24"/>
        </w:rPr>
        <w:t xml:space="preserve"> </w:t>
      </w:r>
      <w:r>
        <w:rPr>
          <w:color w:val="211F1F"/>
          <w:sz w:val="24"/>
        </w:rPr>
        <w:t>publish</w:t>
      </w:r>
      <w:r>
        <w:rPr>
          <w:color w:val="211F1F"/>
          <w:spacing w:val="-11"/>
          <w:sz w:val="24"/>
        </w:rPr>
        <w:t xml:space="preserve"> </w:t>
      </w:r>
      <w:r>
        <w:rPr>
          <w:color w:val="211F1F"/>
          <w:sz w:val="24"/>
        </w:rPr>
        <w:t>the</w:t>
      </w:r>
      <w:r>
        <w:rPr>
          <w:color w:val="211F1F"/>
          <w:spacing w:val="-7"/>
          <w:sz w:val="24"/>
        </w:rPr>
        <w:t xml:space="preserve"> </w:t>
      </w:r>
      <w:r>
        <w:rPr>
          <w:color w:val="211F1F"/>
          <w:sz w:val="24"/>
        </w:rPr>
        <w:t>addendum</w:t>
      </w:r>
      <w:r>
        <w:rPr>
          <w:color w:val="211F1F"/>
          <w:spacing w:val="-10"/>
          <w:sz w:val="24"/>
        </w:rPr>
        <w:t xml:space="preserve"> </w:t>
      </w:r>
      <w:r>
        <w:rPr>
          <w:color w:val="211F1F"/>
          <w:sz w:val="24"/>
        </w:rPr>
        <w:t>on the Procuring Entity's website in accordance with ITT 7.5.</w:t>
      </w:r>
    </w:p>
    <w:p w14:paraId="3D7DAC47" w14:textId="77777777" w:rsidR="00BB77C0" w:rsidRDefault="00370BAA">
      <w:pPr>
        <w:pStyle w:val="ListParagraph"/>
        <w:numPr>
          <w:ilvl w:val="1"/>
          <w:numId w:val="114"/>
        </w:numPr>
        <w:tabs>
          <w:tab w:val="left" w:pos="1441"/>
        </w:tabs>
        <w:spacing w:before="157" w:line="261" w:lineRule="auto"/>
        <w:ind w:right="613"/>
        <w:rPr>
          <w:color w:val="211F1F"/>
          <w:sz w:val="24"/>
        </w:rPr>
      </w:pPr>
      <w:r>
        <w:rPr>
          <w:color w:val="211F1F"/>
          <w:sz w:val="24"/>
        </w:rPr>
        <w:t>To</w:t>
      </w:r>
      <w:r>
        <w:rPr>
          <w:color w:val="211F1F"/>
          <w:spacing w:val="-15"/>
          <w:sz w:val="24"/>
        </w:rPr>
        <w:t xml:space="preserve"> </w:t>
      </w:r>
      <w:r>
        <w:rPr>
          <w:color w:val="211F1F"/>
          <w:sz w:val="24"/>
        </w:rPr>
        <w:t>give</w:t>
      </w:r>
      <w:r>
        <w:rPr>
          <w:color w:val="211F1F"/>
          <w:spacing w:val="-7"/>
          <w:sz w:val="24"/>
        </w:rPr>
        <w:t xml:space="preserve"> </w:t>
      </w:r>
      <w:r>
        <w:rPr>
          <w:color w:val="211F1F"/>
          <w:sz w:val="24"/>
        </w:rPr>
        <w:t>Tenderers</w:t>
      </w:r>
      <w:r>
        <w:rPr>
          <w:color w:val="211F1F"/>
          <w:spacing w:val="-8"/>
          <w:sz w:val="24"/>
        </w:rPr>
        <w:t xml:space="preserve"> </w:t>
      </w:r>
      <w:r>
        <w:rPr>
          <w:color w:val="211F1F"/>
          <w:sz w:val="24"/>
        </w:rPr>
        <w:t>reasonable</w:t>
      </w:r>
      <w:r>
        <w:rPr>
          <w:color w:val="211F1F"/>
          <w:spacing w:val="-7"/>
          <w:sz w:val="24"/>
        </w:rPr>
        <w:t xml:space="preserve"> </w:t>
      </w:r>
      <w:r>
        <w:rPr>
          <w:color w:val="211F1F"/>
          <w:sz w:val="24"/>
        </w:rPr>
        <w:t>time</w:t>
      </w:r>
      <w:r>
        <w:rPr>
          <w:color w:val="211F1F"/>
          <w:spacing w:val="-2"/>
          <w:sz w:val="24"/>
        </w:rPr>
        <w:t xml:space="preserve"> </w:t>
      </w:r>
      <w:r>
        <w:rPr>
          <w:color w:val="211F1F"/>
          <w:sz w:val="24"/>
        </w:rPr>
        <w:t>in</w:t>
      </w:r>
      <w:r>
        <w:rPr>
          <w:color w:val="211F1F"/>
          <w:spacing w:val="-7"/>
          <w:sz w:val="24"/>
        </w:rPr>
        <w:t xml:space="preserve"> </w:t>
      </w:r>
      <w:r>
        <w:rPr>
          <w:color w:val="211F1F"/>
          <w:sz w:val="24"/>
        </w:rPr>
        <w:t>which</w:t>
      </w:r>
      <w:r>
        <w:rPr>
          <w:color w:val="211F1F"/>
          <w:spacing w:val="-11"/>
          <w:sz w:val="24"/>
        </w:rPr>
        <w:t xml:space="preserve"> </w:t>
      </w:r>
      <w:r>
        <w:rPr>
          <w:color w:val="211F1F"/>
          <w:sz w:val="24"/>
        </w:rPr>
        <w:t>to</w:t>
      </w:r>
      <w:r>
        <w:rPr>
          <w:color w:val="211F1F"/>
          <w:spacing w:val="-12"/>
          <w:sz w:val="24"/>
        </w:rPr>
        <w:t xml:space="preserve"> </w:t>
      </w:r>
      <w:r>
        <w:rPr>
          <w:color w:val="211F1F"/>
          <w:sz w:val="24"/>
        </w:rPr>
        <w:t>take</w:t>
      </w:r>
      <w:r>
        <w:rPr>
          <w:color w:val="211F1F"/>
          <w:spacing w:val="-7"/>
          <w:sz w:val="24"/>
        </w:rPr>
        <w:t xml:space="preserve"> </w:t>
      </w:r>
      <w:r>
        <w:rPr>
          <w:color w:val="211F1F"/>
          <w:sz w:val="24"/>
        </w:rPr>
        <w:t>an</w:t>
      </w:r>
      <w:r>
        <w:rPr>
          <w:color w:val="211F1F"/>
          <w:spacing w:val="-12"/>
          <w:sz w:val="24"/>
        </w:rPr>
        <w:t xml:space="preserve"> </w:t>
      </w:r>
      <w:r>
        <w:rPr>
          <w:color w:val="211F1F"/>
          <w:sz w:val="24"/>
        </w:rPr>
        <w:t>addendum</w:t>
      </w:r>
      <w:r>
        <w:rPr>
          <w:color w:val="211F1F"/>
          <w:spacing w:val="-5"/>
          <w:sz w:val="24"/>
        </w:rPr>
        <w:t xml:space="preserve"> </w:t>
      </w:r>
      <w:r>
        <w:rPr>
          <w:color w:val="211F1F"/>
          <w:sz w:val="24"/>
        </w:rPr>
        <w:t>into</w:t>
      </w:r>
      <w:r>
        <w:rPr>
          <w:color w:val="211F1F"/>
          <w:spacing w:val="-2"/>
          <w:sz w:val="24"/>
        </w:rPr>
        <w:t xml:space="preserve"> </w:t>
      </w:r>
      <w:r>
        <w:rPr>
          <w:color w:val="211F1F"/>
          <w:sz w:val="24"/>
        </w:rPr>
        <w:t>account</w:t>
      </w:r>
      <w:r>
        <w:rPr>
          <w:color w:val="211F1F"/>
          <w:spacing w:val="-1"/>
          <w:sz w:val="24"/>
        </w:rPr>
        <w:t xml:space="preserve"> </w:t>
      </w:r>
      <w:r>
        <w:rPr>
          <w:color w:val="211F1F"/>
          <w:sz w:val="24"/>
        </w:rPr>
        <w:t>in preparing their Tenders, the Procuring Entity</w:t>
      </w:r>
      <w:r>
        <w:rPr>
          <w:color w:val="211F1F"/>
          <w:spacing w:val="-7"/>
          <w:sz w:val="24"/>
        </w:rPr>
        <w:t xml:space="preserve"> </w:t>
      </w:r>
      <w:r>
        <w:rPr>
          <w:color w:val="211F1F"/>
          <w:sz w:val="24"/>
        </w:rPr>
        <w:t>should extend the deadline for the submission of Tenders, pursuant to ITT 22.2.</w:t>
      </w:r>
    </w:p>
    <w:p w14:paraId="1946E45B" w14:textId="77777777" w:rsidR="00BB77C0" w:rsidRDefault="00370BAA">
      <w:pPr>
        <w:pStyle w:val="Heading4"/>
        <w:numPr>
          <w:ilvl w:val="0"/>
          <w:numId w:val="110"/>
        </w:numPr>
        <w:tabs>
          <w:tab w:val="left" w:pos="339"/>
        </w:tabs>
        <w:spacing w:before="236"/>
        <w:ind w:left="339" w:hanging="339"/>
        <w:jc w:val="both"/>
      </w:pPr>
      <w:bookmarkStart w:id="30" w:name="C._PREPARATION_OF_TENDERS"/>
      <w:bookmarkStart w:id="31" w:name="_bookmark14"/>
      <w:bookmarkEnd w:id="30"/>
      <w:bookmarkEnd w:id="31"/>
      <w:r>
        <w:t>PREPARATION</w:t>
      </w:r>
      <w:r>
        <w:rPr>
          <w:spacing w:val="-15"/>
        </w:rPr>
        <w:t xml:space="preserve"> </w:t>
      </w:r>
      <w:r>
        <w:t>OF</w:t>
      </w:r>
      <w:r>
        <w:rPr>
          <w:spacing w:val="-11"/>
        </w:rPr>
        <w:t xml:space="preserve"> </w:t>
      </w:r>
      <w:r>
        <w:rPr>
          <w:spacing w:val="-2"/>
        </w:rPr>
        <w:t>TENDERS</w:t>
      </w:r>
    </w:p>
    <w:p w14:paraId="4FB33240" w14:textId="77777777" w:rsidR="00BB77C0" w:rsidRDefault="00370BAA">
      <w:pPr>
        <w:pStyle w:val="Heading6"/>
        <w:numPr>
          <w:ilvl w:val="1"/>
          <w:numId w:val="104"/>
        </w:numPr>
        <w:tabs>
          <w:tab w:val="left" w:pos="720"/>
        </w:tabs>
        <w:spacing w:before="268"/>
        <w:ind w:hanging="720"/>
        <w:jc w:val="left"/>
      </w:pPr>
      <w:bookmarkStart w:id="32" w:name="11.0_Cost_of_Tendering"/>
      <w:bookmarkStart w:id="33" w:name="_bookmark15"/>
      <w:bookmarkEnd w:id="32"/>
      <w:bookmarkEnd w:id="33"/>
      <w:r>
        <w:t>Cost</w:t>
      </w:r>
      <w:r>
        <w:rPr>
          <w:spacing w:val="2"/>
        </w:rPr>
        <w:t xml:space="preserve"> </w:t>
      </w:r>
      <w:r>
        <w:t>of</w:t>
      </w:r>
      <w:r>
        <w:rPr>
          <w:spacing w:val="-2"/>
        </w:rPr>
        <w:t xml:space="preserve"> Tendering</w:t>
      </w:r>
    </w:p>
    <w:p w14:paraId="289BAE1F" w14:textId="77777777" w:rsidR="00BB77C0" w:rsidRDefault="00370BAA">
      <w:pPr>
        <w:pStyle w:val="ListParagraph"/>
        <w:numPr>
          <w:ilvl w:val="1"/>
          <w:numId w:val="104"/>
        </w:numPr>
        <w:tabs>
          <w:tab w:val="left" w:pos="1441"/>
        </w:tabs>
        <w:spacing w:before="74" w:line="259" w:lineRule="auto"/>
        <w:ind w:left="1441" w:right="44"/>
        <w:jc w:val="left"/>
        <w:rPr>
          <w:color w:val="211F1F"/>
          <w:sz w:val="24"/>
        </w:rPr>
      </w:pPr>
      <w:r>
        <w:rPr>
          <w:color w:val="211F1F"/>
          <w:sz w:val="24"/>
        </w:rPr>
        <w:t>The</w:t>
      </w:r>
      <w:r>
        <w:rPr>
          <w:color w:val="211F1F"/>
          <w:spacing w:val="-8"/>
          <w:sz w:val="24"/>
        </w:rPr>
        <w:t xml:space="preserve"> </w:t>
      </w:r>
      <w:r>
        <w:rPr>
          <w:color w:val="211F1F"/>
          <w:sz w:val="24"/>
        </w:rPr>
        <w:t>Tenderer</w:t>
      </w:r>
      <w:r>
        <w:rPr>
          <w:color w:val="211F1F"/>
          <w:spacing w:val="-4"/>
          <w:sz w:val="24"/>
        </w:rPr>
        <w:t xml:space="preserve"> </w:t>
      </w:r>
      <w:r>
        <w:rPr>
          <w:color w:val="211F1F"/>
          <w:sz w:val="24"/>
        </w:rPr>
        <w:t>shall</w:t>
      </w:r>
      <w:r>
        <w:rPr>
          <w:color w:val="211F1F"/>
          <w:spacing w:val="-5"/>
          <w:sz w:val="24"/>
        </w:rPr>
        <w:t xml:space="preserve"> </w:t>
      </w:r>
      <w:r>
        <w:rPr>
          <w:color w:val="211F1F"/>
          <w:sz w:val="24"/>
        </w:rPr>
        <w:t>meet all</w:t>
      </w:r>
      <w:r>
        <w:rPr>
          <w:color w:val="211F1F"/>
          <w:spacing w:val="-10"/>
          <w:sz w:val="24"/>
        </w:rPr>
        <w:t xml:space="preserve"> </w:t>
      </w:r>
      <w:r>
        <w:rPr>
          <w:color w:val="211F1F"/>
          <w:sz w:val="24"/>
        </w:rPr>
        <w:t>costs</w:t>
      </w:r>
      <w:r>
        <w:rPr>
          <w:color w:val="211F1F"/>
          <w:spacing w:val="-3"/>
          <w:sz w:val="24"/>
        </w:rPr>
        <w:t xml:space="preserve"> </w:t>
      </w:r>
      <w:r>
        <w:rPr>
          <w:color w:val="211F1F"/>
          <w:sz w:val="24"/>
        </w:rPr>
        <w:t>associated</w:t>
      </w:r>
      <w:r>
        <w:rPr>
          <w:color w:val="211F1F"/>
          <w:spacing w:val="-1"/>
          <w:sz w:val="24"/>
        </w:rPr>
        <w:t xml:space="preserve"> </w:t>
      </w:r>
      <w:r>
        <w:rPr>
          <w:color w:val="211F1F"/>
          <w:sz w:val="24"/>
        </w:rPr>
        <w:t>with</w:t>
      </w:r>
      <w:r>
        <w:rPr>
          <w:color w:val="211F1F"/>
          <w:spacing w:val="-11"/>
          <w:sz w:val="24"/>
        </w:rPr>
        <w:t xml:space="preserve"> </w:t>
      </w:r>
      <w:r>
        <w:rPr>
          <w:color w:val="211F1F"/>
          <w:sz w:val="24"/>
        </w:rPr>
        <w:t>the</w:t>
      </w:r>
      <w:r>
        <w:rPr>
          <w:color w:val="211F1F"/>
          <w:spacing w:val="-8"/>
          <w:sz w:val="24"/>
        </w:rPr>
        <w:t xml:space="preserve"> </w:t>
      </w:r>
      <w:r>
        <w:rPr>
          <w:color w:val="211F1F"/>
          <w:sz w:val="24"/>
        </w:rPr>
        <w:t>preparation</w:t>
      </w:r>
      <w:r>
        <w:rPr>
          <w:color w:val="211F1F"/>
          <w:spacing w:val="-5"/>
          <w:sz w:val="24"/>
        </w:rPr>
        <w:t xml:space="preserve"> </w:t>
      </w:r>
      <w:r>
        <w:rPr>
          <w:color w:val="211F1F"/>
          <w:sz w:val="24"/>
        </w:rPr>
        <w:t>and</w:t>
      </w:r>
      <w:r>
        <w:rPr>
          <w:color w:val="211F1F"/>
          <w:spacing w:val="-2"/>
          <w:sz w:val="24"/>
        </w:rPr>
        <w:t xml:space="preserve"> </w:t>
      </w:r>
      <w:r>
        <w:rPr>
          <w:color w:val="211F1F"/>
          <w:sz w:val="24"/>
        </w:rPr>
        <w:t>submission</w:t>
      </w:r>
      <w:r>
        <w:rPr>
          <w:color w:val="211F1F"/>
          <w:spacing w:val="-6"/>
          <w:sz w:val="24"/>
        </w:rPr>
        <w:t xml:space="preserve"> </w:t>
      </w:r>
      <w:r>
        <w:rPr>
          <w:color w:val="211F1F"/>
          <w:sz w:val="24"/>
        </w:rPr>
        <w:t>of</w:t>
      </w:r>
      <w:r>
        <w:rPr>
          <w:color w:val="211F1F"/>
          <w:spacing w:val="-10"/>
          <w:sz w:val="24"/>
        </w:rPr>
        <w:t xml:space="preserve"> </w:t>
      </w:r>
      <w:r>
        <w:rPr>
          <w:color w:val="211F1F"/>
          <w:sz w:val="24"/>
        </w:rPr>
        <w:t>its Tender, and the Procuring Entity</w:t>
      </w:r>
      <w:r>
        <w:rPr>
          <w:color w:val="211F1F"/>
          <w:spacing w:val="-1"/>
          <w:sz w:val="24"/>
        </w:rPr>
        <w:t xml:space="preserve"> </w:t>
      </w:r>
      <w:r>
        <w:rPr>
          <w:color w:val="211F1F"/>
          <w:sz w:val="24"/>
        </w:rPr>
        <w:t>shall not be responsible or liable for those costs, regardless of the conduct or outcome of the tendering process.</w:t>
      </w:r>
    </w:p>
    <w:p w14:paraId="7773B22D" w14:textId="77777777" w:rsidR="00BB77C0" w:rsidRDefault="00370BAA">
      <w:pPr>
        <w:pStyle w:val="Heading6"/>
        <w:numPr>
          <w:ilvl w:val="1"/>
          <w:numId w:val="103"/>
        </w:numPr>
        <w:tabs>
          <w:tab w:val="left" w:pos="720"/>
        </w:tabs>
        <w:spacing w:before="244"/>
        <w:ind w:hanging="720"/>
        <w:jc w:val="left"/>
      </w:pPr>
      <w:bookmarkStart w:id="34" w:name="12.0_Language_of_Tender"/>
      <w:bookmarkStart w:id="35" w:name="_bookmark16"/>
      <w:bookmarkEnd w:id="34"/>
      <w:bookmarkEnd w:id="35"/>
      <w:r>
        <w:t>Language</w:t>
      </w:r>
      <w:r>
        <w:rPr>
          <w:spacing w:val="-5"/>
        </w:rPr>
        <w:t xml:space="preserve"> </w:t>
      </w:r>
      <w:r>
        <w:t>of</w:t>
      </w:r>
      <w:r>
        <w:rPr>
          <w:spacing w:val="-6"/>
        </w:rPr>
        <w:t xml:space="preserve"> </w:t>
      </w:r>
      <w:r>
        <w:rPr>
          <w:spacing w:val="-2"/>
        </w:rPr>
        <w:t>Tender</w:t>
      </w:r>
    </w:p>
    <w:p w14:paraId="2C875D2A" w14:textId="77777777" w:rsidR="00BB77C0" w:rsidRDefault="00370BAA">
      <w:pPr>
        <w:pStyle w:val="ListParagraph"/>
        <w:numPr>
          <w:ilvl w:val="1"/>
          <w:numId w:val="103"/>
        </w:numPr>
        <w:tabs>
          <w:tab w:val="left" w:pos="1441"/>
        </w:tabs>
        <w:spacing w:before="79" w:line="259" w:lineRule="auto"/>
        <w:ind w:left="1441" w:right="41"/>
        <w:jc w:val="left"/>
        <w:rPr>
          <w:color w:val="211F1F"/>
          <w:sz w:val="24"/>
        </w:rPr>
      </w:pPr>
      <w:r>
        <w:rPr>
          <w:color w:val="211F1F"/>
          <w:sz w:val="24"/>
        </w:rPr>
        <w:t>The Tender, as well as all correspondence and documents relating to the tender exchanged by the tenderer and the Procuring Entity, shall be written in the English Language.</w:t>
      </w:r>
      <w:r>
        <w:rPr>
          <w:color w:val="211F1F"/>
          <w:spacing w:val="-5"/>
          <w:sz w:val="24"/>
        </w:rPr>
        <w:t xml:space="preserve"> </w:t>
      </w:r>
      <w:r>
        <w:rPr>
          <w:color w:val="211F1F"/>
          <w:sz w:val="24"/>
        </w:rPr>
        <w:t>Supporting</w:t>
      </w:r>
      <w:r>
        <w:rPr>
          <w:color w:val="211F1F"/>
          <w:spacing w:val="-6"/>
          <w:sz w:val="24"/>
        </w:rPr>
        <w:t xml:space="preserve"> </w:t>
      </w:r>
      <w:r>
        <w:rPr>
          <w:color w:val="211F1F"/>
          <w:sz w:val="24"/>
        </w:rPr>
        <w:t>documents</w:t>
      </w:r>
      <w:r>
        <w:rPr>
          <w:color w:val="211F1F"/>
          <w:spacing w:val="-8"/>
          <w:sz w:val="24"/>
        </w:rPr>
        <w:t xml:space="preserve"> </w:t>
      </w:r>
      <w:r>
        <w:rPr>
          <w:color w:val="211F1F"/>
          <w:sz w:val="24"/>
        </w:rPr>
        <w:t>and</w:t>
      </w:r>
      <w:r>
        <w:rPr>
          <w:color w:val="211F1F"/>
          <w:spacing w:val="-7"/>
          <w:sz w:val="24"/>
        </w:rPr>
        <w:t xml:space="preserve"> </w:t>
      </w:r>
      <w:r>
        <w:rPr>
          <w:color w:val="211F1F"/>
          <w:sz w:val="24"/>
        </w:rPr>
        <w:t>printed</w:t>
      </w:r>
      <w:r>
        <w:rPr>
          <w:color w:val="211F1F"/>
          <w:spacing w:val="-6"/>
          <w:sz w:val="24"/>
        </w:rPr>
        <w:t xml:space="preserve"> </w:t>
      </w:r>
      <w:r>
        <w:rPr>
          <w:color w:val="211F1F"/>
          <w:sz w:val="24"/>
        </w:rPr>
        <w:t>literature</w:t>
      </w:r>
      <w:r>
        <w:rPr>
          <w:color w:val="211F1F"/>
          <w:spacing w:val="-15"/>
          <w:sz w:val="24"/>
        </w:rPr>
        <w:t xml:space="preserve"> </w:t>
      </w:r>
      <w:r>
        <w:rPr>
          <w:color w:val="211F1F"/>
          <w:sz w:val="24"/>
        </w:rPr>
        <w:t>that</w:t>
      </w:r>
      <w:r>
        <w:rPr>
          <w:color w:val="211F1F"/>
          <w:spacing w:val="-2"/>
          <w:sz w:val="24"/>
        </w:rPr>
        <w:t xml:space="preserve"> </w:t>
      </w:r>
      <w:r>
        <w:rPr>
          <w:color w:val="211F1F"/>
          <w:sz w:val="24"/>
        </w:rPr>
        <w:t>are</w:t>
      </w:r>
      <w:r>
        <w:rPr>
          <w:color w:val="211F1F"/>
          <w:spacing w:val="-12"/>
          <w:sz w:val="24"/>
        </w:rPr>
        <w:t xml:space="preserve"> </w:t>
      </w:r>
      <w:r>
        <w:rPr>
          <w:color w:val="211F1F"/>
          <w:sz w:val="24"/>
        </w:rPr>
        <w:t>part</w:t>
      </w:r>
      <w:r>
        <w:rPr>
          <w:color w:val="211F1F"/>
          <w:spacing w:val="-6"/>
          <w:sz w:val="24"/>
        </w:rPr>
        <w:t xml:space="preserve"> </w:t>
      </w:r>
      <w:r>
        <w:rPr>
          <w:color w:val="211F1F"/>
          <w:sz w:val="24"/>
        </w:rPr>
        <w:t>of</w:t>
      </w:r>
      <w:r>
        <w:rPr>
          <w:color w:val="211F1F"/>
          <w:spacing w:val="-15"/>
          <w:sz w:val="24"/>
        </w:rPr>
        <w:t xml:space="preserve"> </w:t>
      </w:r>
      <w:r>
        <w:rPr>
          <w:color w:val="211F1F"/>
          <w:sz w:val="24"/>
        </w:rPr>
        <w:t>the</w:t>
      </w:r>
      <w:r>
        <w:rPr>
          <w:color w:val="211F1F"/>
          <w:spacing w:val="-8"/>
          <w:sz w:val="24"/>
        </w:rPr>
        <w:t xml:space="preserve"> </w:t>
      </w:r>
      <w:r>
        <w:rPr>
          <w:color w:val="211F1F"/>
          <w:sz w:val="24"/>
        </w:rPr>
        <w:t>Tender</w:t>
      </w:r>
      <w:r>
        <w:rPr>
          <w:color w:val="211F1F"/>
          <w:spacing w:val="-5"/>
          <w:sz w:val="24"/>
        </w:rPr>
        <w:t xml:space="preserve"> </w:t>
      </w:r>
      <w:r>
        <w:rPr>
          <w:color w:val="211F1F"/>
          <w:sz w:val="24"/>
        </w:rPr>
        <w:t>may be in another language provided they are accompanied by an accurate and notarized</w:t>
      </w:r>
    </w:p>
    <w:p w14:paraId="600DCEA0" w14:textId="77777777" w:rsidR="00BB77C0" w:rsidRDefault="00BB77C0">
      <w:pPr>
        <w:pStyle w:val="ListParagraph"/>
        <w:spacing w:line="259" w:lineRule="auto"/>
        <w:rPr>
          <w:sz w:val="24"/>
        </w:rPr>
        <w:sectPr w:rsidR="00BB77C0">
          <w:pgSz w:w="11930" w:h="16870"/>
          <w:pgMar w:top="1340" w:right="1080" w:bottom="280" w:left="1080" w:header="720" w:footer="720" w:gutter="0"/>
          <w:cols w:space="720"/>
        </w:sectPr>
      </w:pPr>
    </w:p>
    <w:p w14:paraId="0CBCBD13" w14:textId="77777777" w:rsidR="00BB77C0" w:rsidRDefault="00370BAA">
      <w:pPr>
        <w:spacing w:before="75" w:line="264" w:lineRule="auto"/>
        <w:ind w:left="1441"/>
        <w:rPr>
          <w:sz w:val="24"/>
        </w:rPr>
      </w:pPr>
      <w:r>
        <w:rPr>
          <w:color w:val="211F1F"/>
          <w:sz w:val="24"/>
        </w:rPr>
        <w:lastRenderedPageBreak/>
        <w:t>translation</w:t>
      </w:r>
      <w:r>
        <w:rPr>
          <w:color w:val="211F1F"/>
          <w:spacing w:val="-9"/>
          <w:sz w:val="24"/>
        </w:rPr>
        <w:t xml:space="preserve"> </w:t>
      </w:r>
      <w:r>
        <w:rPr>
          <w:color w:val="211F1F"/>
          <w:sz w:val="24"/>
        </w:rPr>
        <w:t>of</w:t>
      </w:r>
      <w:r>
        <w:rPr>
          <w:color w:val="211F1F"/>
          <w:spacing w:val="-14"/>
          <w:sz w:val="24"/>
        </w:rPr>
        <w:t xml:space="preserve"> </w:t>
      </w:r>
      <w:r>
        <w:rPr>
          <w:color w:val="211F1F"/>
          <w:sz w:val="24"/>
        </w:rPr>
        <w:t>the</w:t>
      </w:r>
      <w:r>
        <w:rPr>
          <w:color w:val="211F1F"/>
          <w:spacing w:val="-8"/>
          <w:sz w:val="24"/>
        </w:rPr>
        <w:t xml:space="preserve"> </w:t>
      </w:r>
      <w:r>
        <w:rPr>
          <w:color w:val="211F1F"/>
          <w:sz w:val="24"/>
        </w:rPr>
        <w:t>relevant passages</w:t>
      </w:r>
      <w:r>
        <w:rPr>
          <w:color w:val="211F1F"/>
          <w:spacing w:val="-4"/>
          <w:sz w:val="24"/>
        </w:rPr>
        <w:t xml:space="preserve"> </w:t>
      </w:r>
      <w:r>
        <w:rPr>
          <w:color w:val="211F1F"/>
          <w:sz w:val="24"/>
        </w:rPr>
        <w:t>into</w:t>
      </w:r>
      <w:r>
        <w:rPr>
          <w:color w:val="211F1F"/>
          <w:spacing w:val="-7"/>
          <w:sz w:val="24"/>
        </w:rPr>
        <w:t xml:space="preserve"> </w:t>
      </w:r>
      <w:r>
        <w:rPr>
          <w:color w:val="211F1F"/>
          <w:sz w:val="24"/>
        </w:rPr>
        <w:t>the</w:t>
      </w:r>
      <w:r>
        <w:rPr>
          <w:color w:val="211F1F"/>
          <w:spacing w:val="-7"/>
          <w:sz w:val="24"/>
        </w:rPr>
        <w:t xml:space="preserve"> </w:t>
      </w:r>
      <w:r>
        <w:rPr>
          <w:color w:val="211F1F"/>
          <w:sz w:val="24"/>
        </w:rPr>
        <w:t>English</w:t>
      </w:r>
      <w:r>
        <w:rPr>
          <w:color w:val="211F1F"/>
          <w:spacing w:val="-10"/>
          <w:sz w:val="24"/>
        </w:rPr>
        <w:t xml:space="preserve"> </w:t>
      </w:r>
      <w:r>
        <w:rPr>
          <w:color w:val="211F1F"/>
          <w:sz w:val="24"/>
        </w:rPr>
        <w:t>Language</w:t>
      </w:r>
      <w:r>
        <w:rPr>
          <w:b/>
          <w:color w:val="211F1F"/>
          <w:sz w:val="24"/>
        </w:rPr>
        <w:t xml:space="preserve">, </w:t>
      </w:r>
      <w:r>
        <w:rPr>
          <w:color w:val="211F1F"/>
          <w:sz w:val="24"/>
        </w:rPr>
        <w:t>in</w:t>
      </w:r>
      <w:r>
        <w:rPr>
          <w:color w:val="211F1F"/>
          <w:spacing w:val="-11"/>
          <w:sz w:val="24"/>
        </w:rPr>
        <w:t xml:space="preserve"> </w:t>
      </w:r>
      <w:r>
        <w:rPr>
          <w:color w:val="211F1F"/>
          <w:sz w:val="24"/>
        </w:rPr>
        <w:t>which</w:t>
      </w:r>
      <w:r>
        <w:rPr>
          <w:color w:val="211F1F"/>
          <w:spacing w:val="-6"/>
          <w:sz w:val="24"/>
        </w:rPr>
        <w:t xml:space="preserve"> </w:t>
      </w:r>
      <w:r>
        <w:rPr>
          <w:color w:val="211F1F"/>
          <w:sz w:val="24"/>
        </w:rPr>
        <w:t>case, for purposes of interpretation of the Tender, such translation shall govern.</w:t>
      </w:r>
    </w:p>
    <w:p w14:paraId="3FAE396D" w14:textId="77777777" w:rsidR="00BB77C0" w:rsidRDefault="00BB77C0">
      <w:pPr>
        <w:pStyle w:val="BodyText"/>
        <w:rPr>
          <w:sz w:val="24"/>
        </w:rPr>
      </w:pPr>
    </w:p>
    <w:p w14:paraId="19DDD4EE" w14:textId="77777777" w:rsidR="00BB77C0" w:rsidRDefault="00BB77C0">
      <w:pPr>
        <w:pStyle w:val="BodyText"/>
        <w:spacing w:before="142"/>
        <w:rPr>
          <w:sz w:val="24"/>
        </w:rPr>
      </w:pPr>
    </w:p>
    <w:p w14:paraId="6E3E6921" w14:textId="77777777" w:rsidR="00BB77C0" w:rsidRDefault="00370BAA">
      <w:pPr>
        <w:pStyle w:val="Heading6"/>
        <w:numPr>
          <w:ilvl w:val="1"/>
          <w:numId w:val="102"/>
        </w:numPr>
        <w:tabs>
          <w:tab w:val="left" w:pos="720"/>
        </w:tabs>
        <w:spacing w:before="1"/>
        <w:ind w:hanging="720"/>
        <w:jc w:val="left"/>
      </w:pPr>
      <w:bookmarkStart w:id="36" w:name="13.0_Documents_Comprising_the_Tender"/>
      <w:bookmarkStart w:id="37" w:name="_bookmark17"/>
      <w:bookmarkEnd w:id="36"/>
      <w:bookmarkEnd w:id="37"/>
      <w:r>
        <w:t>Documents</w:t>
      </w:r>
      <w:r>
        <w:rPr>
          <w:spacing w:val="-3"/>
        </w:rPr>
        <w:t xml:space="preserve"> </w:t>
      </w:r>
      <w:r>
        <w:t>Comprising</w:t>
      </w:r>
      <w:r>
        <w:rPr>
          <w:spacing w:val="-6"/>
        </w:rPr>
        <w:t xml:space="preserve"> </w:t>
      </w:r>
      <w:r>
        <w:t>the</w:t>
      </w:r>
      <w:r>
        <w:rPr>
          <w:spacing w:val="-2"/>
        </w:rPr>
        <w:t xml:space="preserve"> Tender</w:t>
      </w:r>
    </w:p>
    <w:p w14:paraId="6B53F971" w14:textId="77777777" w:rsidR="00BB77C0" w:rsidRDefault="00370BAA">
      <w:pPr>
        <w:pStyle w:val="ListParagraph"/>
        <w:numPr>
          <w:ilvl w:val="1"/>
          <w:numId w:val="102"/>
        </w:numPr>
        <w:tabs>
          <w:tab w:val="left" w:pos="1440"/>
        </w:tabs>
        <w:spacing w:before="79"/>
        <w:ind w:left="1440" w:hanging="720"/>
        <w:jc w:val="left"/>
        <w:rPr>
          <w:color w:val="211F1F"/>
          <w:sz w:val="24"/>
        </w:rPr>
      </w:pPr>
      <w:r>
        <w:rPr>
          <w:color w:val="211F1F"/>
          <w:sz w:val="24"/>
        </w:rPr>
        <w:t>The</w:t>
      </w:r>
      <w:r>
        <w:rPr>
          <w:color w:val="211F1F"/>
          <w:spacing w:val="-8"/>
          <w:sz w:val="24"/>
        </w:rPr>
        <w:t xml:space="preserve"> </w:t>
      </w:r>
      <w:r>
        <w:rPr>
          <w:color w:val="211F1F"/>
          <w:sz w:val="24"/>
        </w:rPr>
        <w:t>Tender</w:t>
      </w:r>
      <w:r>
        <w:rPr>
          <w:color w:val="211F1F"/>
          <w:spacing w:val="-9"/>
          <w:sz w:val="24"/>
        </w:rPr>
        <w:t xml:space="preserve"> </w:t>
      </w:r>
      <w:r>
        <w:rPr>
          <w:color w:val="211F1F"/>
          <w:sz w:val="24"/>
        </w:rPr>
        <w:t>shall</w:t>
      </w:r>
      <w:r>
        <w:rPr>
          <w:color w:val="211F1F"/>
          <w:spacing w:val="-11"/>
          <w:sz w:val="24"/>
        </w:rPr>
        <w:t xml:space="preserve"> </w:t>
      </w:r>
      <w:r>
        <w:rPr>
          <w:color w:val="211F1F"/>
          <w:sz w:val="24"/>
        </w:rPr>
        <w:t>comprise</w:t>
      </w:r>
      <w:r>
        <w:rPr>
          <w:color w:val="211F1F"/>
          <w:spacing w:val="-7"/>
          <w:sz w:val="24"/>
        </w:rPr>
        <w:t xml:space="preserve"> </w:t>
      </w:r>
      <w:r>
        <w:rPr>
          <w:color w:val="211F1F"/>
          <w:sz w:val="24"/>
        </w:rPr>
        <w:t>the</w:t>
      </w:r>
      <w:r>
        <w:rPr>
          <w:color w:val="211F1F"/>
          <w:spacing w:val="-6"/>
          <w:sz w:val="24"/>
        </w:rPr>
        <w:t xml:space="preserve"> </w:t>
      </w:r>
      <w:r>
        <w:rPr>
          <w:color w:val="211F1F"/>
          <w:spacing w:val="-2"/>
          <w:sz w:val="24"/>
        </w:rPr>
        <w:t>following:</w:t>
      </w:r>
    </w:p>
    <w:p w14:paraId="0F9557F8" w14:textId="77777777" w:rsidR="00BB77C0" w:rsidRDefault="00370BAA">
      <w:pPr>
        <w:pStyle w:val="ListParagraph"/>
        <w:numPr>
          <w:ilvl w:val="2"/>
          <w:numId w:val="102"/>
        </w:numPr>
        <w:tabs>
          <w:tab w:val="left" w:pos="2159"/>
        </w:tabs>
        <w:spacing w:before="266"/>
        <w:ind w:left="2159" w:hanging="306"/>
        <w:jc w:val="left"/>
        <w:rPr>
          <w:sz w:val="24"/>
        </w:rPr>
      </w:pPr>
      <w:r>
        <w:rPr>
          <w:color w:val="211F1F"/>
          <w:sz w:val="24"/>
        </w:rPr>
        <w:t>Form</w:t>
      </w:r>
      <w:r>
        <w:rPr>
          <w:color w:val="211F1F"/>
          <w:spacing w:val="-15"/>
          <w:sz w:val="24"/>
        </w:rPr>
        <w:t xml:space="preserve"> </w:t>
      </w:r>
      <w:r>
        <w:rPr>
          <w:color w:val="211F1F"/>
          <w:sz w:val="24"/>
        </w:rPr>
        <w:t>of</w:t>
      </w:r>
      <w:r>
        <w:rPr>
          <w:color w:val="211F1F"/>
          <w:spacing w:val="-12"/>
          <w:sz w:val="24"/>
        </w:rPr>
        <w:t xml:space="preserve"> </w:t>
      </w:r>
      <w:r>
        <w:rPr>
          <w:color w:val="211F1F"/>
          <w:sz w:val="24"/>
        </w:rPr>
        <w:t>Tender</w:t>
      </w:r>
      <w:r>
        <w:rPr>
          <w:color w:val="211F1F"/>
          <w:spacing w:val="-6"/>
          <w:sz w:val="24"/>
        </w:rPr>
        <w:t xml:space="preserve"> </w:t>
      </w:r>
      <w:r>
        <w:rPr>
          <w:color w:val="211F1F"/>
          <w:sz w:val="24"/>
        </w:rPr>
        <w:t>prepared</w:t>
      </w:r>
      <w:r>
        <w:rPr>
          <w:color w:val="211F1F"/>
          <w:spacing w:val="3"/>
          <w:sz w:val="24"/>
        </w:rPr>
        <w:t xml:space="preserve"> </w:t>
      </w:r>
      <w:r>
        <w:rPr>
          <w:color w:val="211F1F"/>
          <w:sz w:val="24"/>
        </w:rPr>
        <w:t>in</w:t>
      </w:r>
      <w:r>
        <w:rPr>
          <w:color w:val="211F1F"/>
          <w:spacing w:val="-9"/>
          <w:sz w:val="24"/>
        </w:rPr>
        <w:t xml:space="preserve"> </w:t>
      </w:r>
      <w:r>
        <w:rPr>
          <w:color w:val="211F1F"/>
          <w:sz w:val="24"/>
        </w:rPr>
        <w:t>accordance</w:t>
      </w:r>
      <w:r>
        <w:rPr>
          <w:color w:val="211F1F"/>
          <w:spacing w:val="-4"/>
          <w:sz w:val="24"/>
        </w:rPr>
        <w:t xml:space="preserve"> </w:t>
      </w:r>
      <w:r>
        <w:rPr>
          <w:color w:val="211F1F"/>
          <w:sz w:val="24"/>
        </w:rPr>
        <w:t>with</w:t>
      </w:r>
      <w:r>
        <w:rPr>
          <w:color w:val="211F1F"/>
          <w:spacing w:val="-3"/>
          <w:sz w:val="24"/>
        </w:rPr>
        <w:t xml:space="preserve"> </w:t>
      </w:r>
      <w:r>
        <w:rPr>
          <w:color w:val="211F1F"/>
          <w:sz w:val="24"/>
        </w:rPr>
        <w:t xml:space="preserve">ITT </w:t>
      </w:r>
      <w:r>
        <w:rPr>
          <w:color w:val="211F1F"/>
          <w:spacing w:val="-5"/>
          <w:sz w:val="24"/>
        </w:rPr>
        <w:t>12;</w:t>
      </w:r>
    </w:p>
    <w:p w14:paraId="6F5C7891" w14:textId="77777777" w:rsidR="00BB77C0" w:rsidRDefault="00370BAA">
      <w:pPr>
        <w:pStyle w:val="ListParagraph"/>
        <w:numPr>
          <w:ilvl w:val="2"/>
          <w:numId w:val="102"/>
        </w:numPr>
        <w:tabs>
          <w:tab w:val="left" w:pos="2155"/>
          <w:tab w:val="left" w:pos="2161"/>
        </w:tabs>
        <w:spacing w:before="250" w:line="237" w:lineRule="auto"/>
        <w:ind w:right="378" w:hanging="375"/>
        <w:jc w:val="left"/>
        <w:rPr>
          <w:sz w:val="24"/>
        </w:rPr>
      </w:pPr>
      <w:r>
        <w:rPr>
          <w:color w:val="211F1F"/>
          <w:sz w:val="24"/>
        </w:rPr>
        <w:t>Schedules</w:t>
      </w:r>
      <w:r>
        <w:rPr>
          <w:color w:val="211F1F"/>
          <w:spacing w:val="-6"/>
          <w:sz w:val="24"/>
        </w:rPr>
        <w:t xml:space="preserve"> </w:t>
      </w:r>
      <w:r>
        <w:rPr>
          <w:color w:val="211F1F"/>
          <w:sz w:val="24"/>
        </w:rPr>
        <w:t>including</w:t>
      </w:r>
      <w:r>
        <w:rPr>
          <w:color w:val="211F1F"/>
          <w:spacing w:val="-8"/>
          <w:sz w:val="24"/>
        </w:rPr>
        <w:t xml:space="preserve"> </w:t>
      </w:r>
      <w:r>
        <w:rPr>
          <w:color w:val="211F1F"/>
          <w:sz w:val="24"/>
        </w:rPr>
        <w:t>priced</w:t>
      </w:r>
      <w:r>
        <w:rPr>
          <w:color w:val="211F1F"/>
          <w:spacing w:val="-8"/>
          <w:sz w:val="24"/>
        </w:rPr>
        <w:t xml:space="preserve"> </w:t>
      </w:r>
      <w:r>
        <w:rPr>
          <w:color w:val="211F1F"/>
          <w:sz w:val="24"/>
        </w:rPr>
        <w:t>Bill</w:t>
      </w:r>
      <w:r>
        <w:rPr>
          <w:color w:val="211F1F"/>
          <w:spacing w:val="-12"/>
          <w:sz w:val="24"/>
        </w:rPr>
        <w:t xml:space="preserve"> </w:t>
      </w:r>
      <w:r>
        <w:rPr>
          <w:color w:val="211F1F"/>
          <w:sz w:val="24"/>
        </w:rPr>
        <w:t>of</w:t>
      </w:r>
      <w:r>
        <w:rPr>
          <w:color w:val="211F1F"/>
          <w:spacing w:val="-15"/>
          <w:sz w:val="24"/>
        </w:rPr>
        <w:t xml:space="preserve"> </w:t>
      </w:r>
      <w:r>
        <w:rPr>
          <w:color w:val="211F1F"/>
          <w:sz w:val="24"/>
        </w:rPr>
        <w:t>Quantities,</w:t>
      </w:r>
      <w:r>
        <w:rPr>
          <w:color w:val="211F1F"/>
          <w:spacing w:val="-5"/>
          <w:sz w:val="24"/>
        </w:rPr>
        <w:t xml:space="preserve"> </w:t>
      </w:r>
      <w:r>
        <w:rPr>
          <w:color w:val="211F1F"/>
          <w:sz w:val="24"/>
        </w:rPr>
        <w:t>completed</w:t>
      </w:r>
      <w:r>
        <w:rPr>
          <w:color w:val="211F1F"/>
          <w:spacing w:val="-3"/>
          <w:sz w:val="24"/>
        </w:rPr>
        <w:t xml:space="preserve"> </w:t>
      </w:r>
      <w:r>
        <w:rPr>
          <w:color w:val="211F1F"/>
          <w:sz w:val="24"/>
        </w:rPr>
        <w:t>inaccordance</w:t>
      </w:r>
      <w:r>
        <w:rPr>
          <w:color w:val="211F1F"/>
          <w:spacing w:val="-8"/>
          <w:sz w:val="24"/>
        </w:rPr>
        <w:t xml:space="preserve"> </w:t>
      </w:r>
      <w:r>
        <w:rPr>
          <w:color w:val="211F1F"/>
          <w:sz w:val="24"/>
        </w:rPr>
        <w:t>with ITT 12 and ITT 14;</w:t>
      </w:r>
    </w:p>
    <w:p w14:paraId="498A4AB6" w14:textId="77777777" w:rsidR="00BB77C0" w:rsidRDefault="00370BAA">
      <w:pPr>
        <w:pStyle w:val="ListParagraph"/>
        <w:numPr>
          <w:ilvl w:val="2"/>
          <w:numId w:val="102"/>
        </w:numPr>
        <w:tabs>
          <w:tab w:val="left" w:pos="2154"/>
        </w:tabs>
        <w:spacing w:before="248"/>
        <w:ind w:left="2154" w:hanging="435"/>
        <w:jc w:val="left"/>
        <w:rPr>
          <w:sz w:val="24"/>
        </w:rPr>
      </w:pPr>
      <w:r>
        <w:rPr>
          <w:color w:val="211F1F"/>
          <w:sz w:val="24"/>
        </w:rPr>
        <w:t>Tender</w:t>
      </w:r>
      <w:r>
        <w:rPr>
          <w:color w:val="211F1F"/>
          <w:spacing w:val="-12"/>
          <w:sz w:val="24"/>
        </w:rPr>
        <w:t xml:space="preserve"> </w:t>
      </w:r>
      <w:r>
        <w:rPr>
          <w:color w:val="211F1F"/>
          <w:sz w:val="24"/>
        </w:rPr>
        <w:t>Security</w:t>
      </w:r>
      <w:r>
        <w:rPr>
          <w:color w:val="211F1F"/>
          <w:spacing w:val="-13"/>
          <w:sz w:val="24"/>
        </w:rPr>
        <w:t xml:space="preserve"> </w:t>
      </w:r>
      <w:r>
        <w:rPr>
          <w:color w:val="211F1F"/>
          <w:sz w:val="24"/>
        </w:rPr>
        <w:t>or</w:t>
      </w:r>
      <w:r>
        <w:rPr>
          <w:color w:val="211F1F"/>
          <w:spacing w:val="-9"/>
          <w:sz w:val="24"/>
        </w:rPr>
        <w:t xml:space="preserve"> </w:t>
      </w:r>
      <w:r>
        <w:rPr>
          <w:color w:val="211F1F"/>
          <w:sz w:val="24"/>
        </w:rPr>
        <w:t>Tender-Securing</w:t>
      </w:r>
      <w:r>
        <w:rPr>
          <w:color w:val="211F1F"/>
          <w:spacing w:val="-4"/>
          <w:sz w:val="24"/>
        </w:rPr>
        <w:t xml:space="preserve"> </w:t>
      </w:r>
      <w:r>
        <w:rPr>
          <w:color w:val="211F1F"/>
          <w:sz w:val="24"/>
        </w:rPr>
        <w:t>Declaration,</w:t>
      </w:r>
      <w:r>
        <w:rPr>
          <w:color w:val="211F1F"/>
          <w:spacing w:val="3"/>
          <w:sz w:val="24"/>
        </w:rPr>
        <w:t xml:space="preserve"> </w:t>
      </w:r>
      <w:r>
        <w:rPr>
          <w:color w:val="211F1F"/>
          <w:sz w:val="24"/>
        </w:rPr>
        <w:t>in</w:t>
      </w:r>
      <w:r>
        <w:rPr>
          <w:color w:val="211F1F"/>
          <w:spacing w:val="-10"/>
          <w:sz w:val="24"/>
        </w:rPr>
        <w:t xml:space="preserve"> </w:t>
      </w:r>
      <w:r>
        <w:rPr>
          <w:color w:val="211F1F"/>
          <w:sz w:val="24"/>
        </w:rPr>
        <w:t>accordance</w:t>
      </w:r>
      <w:r>
        <w:rPr>
          <w:color w:val="211F1F"/>
          <w:spacing w:val="-5"/>
          <w:sz w:val="24"/>
        </w:rPr>
        <w:t xml:space="preserve"> </w:t>
      </w:r>
      <w:r>
        <w:rPr>
          <w:color w:val="211F1F"/>
          <w:sz w:val="24"/>
        </w:rPr>
        <w:t>with</w:t>
      </w:r>
      <w:r>
        <w:rPr>
          <w:color w:val="211F1F"/>
          <w:spacing w:val="-9"/>
          <w:sz w:val="24"/>
        </w:rPr>
        <w:t xml:space="preserve"> </w:t>
      </w:r>
      <w:r>
        <w:rPr>
          <w:color w:val="211F1F"/>
          <w:sz w:val="24"/>
        </w:rPr>
        <w:t>ITT</w:t>
      </w:r>
      <w:r>
        <w:rPr>
          <w:color w:val="211F1F"/>
          <w:spacing w:val="-2"/>
          <w:sz w:val="24"/>
        </w:rPr>
        <w:t xml:space="preserve"> 19.1;</w:t>
      </w:r>
    </w:p>
    <w:p w14:paraId="596101A8" w14:textId="77777777" w:rsidR="00BB77C0" w:rsidRDefault="00370BAA">
      <w:pPr>
        <w:pStyle w:val="ListParagraph"/>
        <w:numPr>
          <w:ilvl w:val="2"/>
          <w:numId w:val="102"/>
        </w:numPr>
        <w:tabs>
          <w:tab w:val="left" w:pos="2159"/>
        </w:tabs>
        <w:spacing w:before="248"/>
        <w:ind w:left="2159" w:hanging="426"/>
        <w:jc w:val="left"/>
        <w:rPr>
          <w:sz w:val="24"/>
        </w:rPr>
      </w:pPr>
      <w:r>
        <w:rPr>
          <w:color w:val="211F1F"/>
          <w:sz w:val="24"/>
        </w:rPr>
        <w:t>Alternative</w:t>
      </w:r>
      <w:r>
        <w:rPr>
          <w:color w:val="211F1F"/>
          <w:spacing w:val="-13"/>
          <w:sz w:val="24"/>
        </w:rPr>
        <w:t xml:space="preserve"> </w:t>
      </w:r>
      <w:r>
        <w:rPr>
          <w:color w:val="211F1F"/>
          <w:sz w:val="24"/>
        </w:rPr>
        <w:t>Tender,</w:t>
      </w:r>
      <w:r>
        <w:rPr>
          <w:color w:val="211F1F"/>
          <w:spacing w:val="-8"/>
          <w:sz w:val="24"/>
        </w:rPr>
        <w:t xml:space="preserve"> </w:t>
      </w:r>
      <w:r>
        <w:rPr>
          <w:color w:val="211F1F"/>
          <w:sz w:val="24"/>
        </w:rPr>
        <w:t>if</w:t>
      </w:r>
      <w:r>
        <w:rPr>
          <w:color w:val="211F1F"/>
          <w:spacing w:val="-14"/>
          <w:sz w:val="24"/>
        </w:rPr>
        <w:t xml:space="preserve"> </w:t>
      </w:r>
      <w:r>
        <w:rPr>
          <w:color w:val="211F1F"/>
          <w:sz w:val="24"/>
        </w:rPr>
        <w:t>permissible,</w:t>
      </w:r>
      <w:r>
        <w:rPr>
          <w:color w:val="211F1F"/>
          <w:spacing w:val="1"/>
          <w:sz w:val="24"/>
        </w:rPr>
        <w:t xml:space="preserve"> </w:t>
      </w:r>
      <w:r>
        <w:rPr>
          <w:color w:val="211F1F"/>
          <w:sz w:val="24"/>
        </w:rPr>
        <w:t>in</w:t>
      </w:r>
      <w:r>
        <w:rPr>
          <w:color w:val="211F1F"/>
          <w:spacing w:val="-10"/>
          <w:sz w:val="24"/>
        </w:rPr>
        <w:t xml:space="preserve"> </w:t>
      </w:r>
      <w:r>
        <w:rPr>
          <w:color w:val="211F1F"/>
          <w:sz w:val="24"/>
        </w:rPr>
        <w:t>accordance</w:t>
      </w:r>
      <w:r>
        <w:rPr>
          <w:color w:val="211F1F"/>
          <w:spacing w:val="-6"/>
          <w:sz w:val="24"/>
        </w:rPr>
        <w:t xml:space="preserve"> </w:t>
      </w:r>
      <w:r>
        <w:rPr>
          <w:color w:val="211F1F"/>
          <w:sz w:val="24"/>
        </w:rPr>
        <w:t>with</w:t>
      </w:r>
      <w:r>
        <w:rPr>
          <w:color w:val="211F1F"/>
          <w:spacing w:val="-10"/>
          <w:sz w:val="24"/>
        </w:rPr>
        <w:t xml:space="preserve"> </w:t>
      </w:r>
      <w:r>
        <w:rPr>
          <w:color w:val="211F1F"/>
          <w:sz w:val="24"/>
        </w:rPr>
        <w:t>ITT</w:t>
      </w:r>
      <w:r>
        <w:rPr>
          <w:color w:val="211F1F"/>
          <w:spacing w:val="-8"/>
          <w:sz w:val="24"/>
        </w:rPr>
        <w:t xml:space="preserve"> </w:t>
      </w:r>
      <w:r>
        <w:rPr>
          <w:color w:val="211F1F"/>
          <w:spacing w:val="-5"/>
          <w:sz w:val="24"/>
        </w:rPr>
        <w:t>13;</w:t>
      </w:r>
    </w:p>
    <w:p w14:paraId="79896631" w14:textId="77777777" w:rsidR="00BB77C0" w:rsidRDefault="00370BAA">
      <w:pPr>
        <w:pStyle w:val="ListParagraph"/>
        <w:numPr>
          <w:ilvl w:val="2"/>
          <w:numId w:val="102"/>
        </w:numPr>
        <w:tabs>
          <w:tab w:val="left" w:pos="2161"/>
        </w:tabs>
        <w:spacing w:before="247" w:line="242" w:lineRule="auto"/>
        <w:ind w:right="166" w:hanging="361"/>
        <w:jc w:val="left"/>
        <w:rPr>
          <w:sz w:val="24"/>
        </w:rPr>
      </w:pPr>
      <w:r>
        <w:rPr>
          <w:color w:val="211F1F"/>
          <w:sz w:val="24"/>
        </w:rPr>
        <w:t>Authorization:</w:t>
      </w:r>
      <w:r>
        <w:rPr>
          <w:color w:val="211F1F"/>
          <w:spacing w:val="-6"/>
          <w:sz w:val="24"/>
        </w:rPr>
        <w:t xml:space="preserve"> </w:t>
      </w:r>
      <w:r>
        <w:rPr>
          <w:color w:val="211F1F"/>
          <w:sz w:val="24"/>
        </w:rPr>
        <w:t>written</w:t>
      </w:r>
      <w:r>
        <w:rPr>
          <w:color w:val="211F1F"/>
          <w:spacing w:val="-11"/>
          <w:sz w:val="24"/>
        </w:rPr>
        <w:t xml:space="preserve"> </w:t>
      </w:r>
      <w:r>
        <w:rPr>
          <w:color w:val="211F1F"/>
          <w:sz w:val="24"/>
        </w:rPr>
        <w:t>confirmation</w:t>
      </w:r>
      <w:r>
        <w:rPr>
          <w:color w:val="211F1F"/>
          <w:spacing w:val="-11"/>
          <w:sz w:val="24"/>
        </w:rPr>
        <w:t xml:space="preserve"> </w:t>
      </w:r>
      <w:r>
        <w:rPr>
          <w:color w:val="211F1F"/>
          <w:sz w:val="24"/>
        </w:rPr>
        <w:t>authorizing</w:t>
      </w:r>
      <w:r>
        <w:rPr>
          <w:color w:val="211F1F"/>
          <w:spacing w:val="-7"/>
          <w:sz w:val="24"/>
        </w:rPr>
        <w:t xml:space="preserve"> </w:t>
      </w:r>
      <w:r>
        <w:rPr>
          <w:color w:val="211F1F"/>
          <w:sz w:val="24"/>
        </w:rPr>
        <w:t>the</w:t>
      </w:r>
      <w:r>
        <w:rPr>
          <w:color w:val="211F1F"/>
          <w:spacing w:val="-9"/>
          <w:sz w:val="24"/>
        </w:rPr>
        <w:t xml:space="preserve"> </w:t>
      </w:r>
      <w:r>
        <w:rPr>
          <w:color w:val="211F1F"/>
          <w:sz w:val="24"/>
        </w:rPr>
        <w:t>signatory</w:t>
      </w:r>
      <w:r>
        <w:rPr>
          <w:color w:val="211F1F"/>
          <w:spacing w:val="-15"/>
          <w:sz w:val="24"/>
        </w:rPr>
        <w:t xml:space="preserve"> </w:t>
      </w:r>
      <w:r>
        <w:rPr>
          <w:color w:val="211F1F"/>
          <w:sz w:val="24"/>
        </w:rPr>
        <w:t>of</w:t>
      </w:r>
      <w:r>
        <w:rPr>
          <w:color w:val="211F1F"/>
          <w:spacing w:val="-15"/>
          <w:sz w:val="24"/>
        </w:rPr>
        <w:t xml:space="preserve"> </w:t>
      </w:r>
      <w:r>
        <w:rPr>
          <w:color w:val="211F1F"/>
          <w:sz w:val="24"/>
        </w:rPr>
        <w:t>the</w:t>
      </w:r>
      <w:r>
        <w:rPr>
          <w:color w:val="211F1F"/>
          <w:spacing w:val="-9"/>
          <w:sz w:val="24"/>
        </w:rPr>
        <w:t xml:space="preserve"> </w:t>
      </w:r>
      <w:r>
        <w:rPr>
          <w:color w:val="211F1F"/>
          <w:sz w:val="24"/>
        </w:rPr>
        <w:t>Tender</w:t>
      </w:r>
      <w:r>
        <w:rPr>
          <w:color w:val="211F1F"/>
          <w:spacing w:val="-15"/>
          <w:sz w:val="24"/>
        </w:rPr>
        <w:t xml:space="preserve"> </w:t>
      </w:r>
      <w:r>
        <w:rPr>
          <w:color w:val="211F1F"/>
          <w:sz w:val="24"/>
        </w:rPr>
        <w:t>to commit the Tenderer, in accordance with ITT 20.3;</w:t>
      </w:r>
    </w:p>
    <w:p w14:paraId="27224FAD" w14:textId="77777777" w:rsidR="00BB77C0" w:rsidRDefault="00370BAA">
      <w:pPr>
        <w:pStyle w:val="ListParagraph"/>
        <w:numPr>
          <w:ilvl w:val="2"/>
          <w:numId w:val="102"/>
        </w:numPr>
        <w:tabs>
          <w:tab w:val="left" w:pos="2154"/>
          <w:tab w:val="left" w:pos="2161"/>
        </w:tabs>
        <w:spacing w:before="240"/>
        <w:ind w:right="187" w:hanging="428"/>
        <w:jc w:val="left"/>
        <w:rPr>
          <w:sz w:val="24"/>
        </w:rPr>
      </w:pPr>
      <w:r>
        <w:rPr>
          <w:color w:val="211F1F"/>
          <w:sz w:val="24"/>
        </w:rPr>
        <w:t>Qualifications:</w:t>
      </w:r>
      <w:r>
        <w:rPr>
          <w:color w:val="211F1F"/>
          <w:spacing w:val="-8"/>
          <w:sz w:val="24"/>
        </w:rPr>
        <w:t xml:space="preserve"> </w:t>
      </w:r>
      <w:r>
        <w:rPr>
          <w:color w:val="211F1F"/>
          <w:sz w:val="24"/>
        </w:rPr>
        <w:t>documentary</w:t>
      </w:r>
      <w:r>
        <w:rPr>
          <w:color w:val="211F1F"/>
          <w:spacing w:val="-15"/>
          <w:sz w:val="24"/>
        </w:rPr>
        <w:t xml:space="preserve"> </w:t>
      </w:r>
      <w:r>
        <w:rPr>
          <w:color w:val="211F1F"/>
          <w:sz w:val="24"/>
        </w:rPr>
        <w:t>evidence</w:t>
      </w:r>
      <w:r>
        <w:rPr>
          <w:color w:val="211F1F"/>
          <w:spacing w:val="-5"/>
          <w:sz w:val="24"/>
        </w:rPr>
        <w:t xml:space="preserve"> </w:t>
      </w:r>
      <w:r>
        <w:rPr>
          <w:color w:val="211F1F"/>
          <w:sz w:val="24"/>
        </w:rPr>
        <w:t>in</w:t>
      </w:r>
      <w:r>
        <w:rPr>
          <w:color w:val="211F1F"/>
          <w:spacing w:val="-14"/>
          <w:sz w:val="24"/>
        </w:rPr>
        <w:t xml:space="preserve"> </w:t>
      </w:r>
      <w:r>
        <w:rPr>
          <w:color w:val="211F1F"/>
          <w:sz w:val="24"/>
        </w:rPr>
        <w:t>accordance</w:t>
      </w:r>
      <w:r>
        <w:rPr>
          <w:color w:val="211F1F"/>
          <w:spacing w:val="-8"/>
          <w:sz w:val="24"/>
        </w:rPr>
        <w:t xml:space="preserve"> </w:t>
      </w:r>
      <w:r>
        <w:rPr>
          <w:color w:val="211F1F"/>
          <w:sz w:val="24"/>
        </w:rPr>
        <w:t>with</w:t>
      </w:r>
      <w:r>
        <w:rPr>
          <w:color w:val="211F1F"/>
          <w:spacing w:val="-13"/>
          <w:sz w:val="24"/>
        </w:rPr>
        <w:t xml:space="preserve"> </w:t>
      </w:r>
      <w:r>
        <w:rPr>
          <w:color w:val="211F1F"/>
          <w:sz w:val="24"/>
        </w:rPr>
        <w:t>ITT</w:t>
      </w:r>
      <w:r>
        <w:rPr>
          <w:color w:val="211F1F"/>
          <w:spacing w:val="-7"/>
          <w:sz w:val="24"/>
        </w:rPr>
        <w:t xml:space="preserve"> </w:t>
      </w:r>
      <w:r>
        <w:rPr>
          <w:color w:val="211F1F"/>
          <w:sz w:val="24"/>
        </w:rPr>
        <w:t>17</w:t>
      </w:r>
      <w:r>
        <w:rPr>
          <w:color w:val="211F1F"/>
          <w:spacing w:val="-9"/>
          <w:sz w:val="24"/>
        </w:rPr>
        <w:t xml:space="preserve"> </w:t>
      </w:r>
      <w:r>
        <w:rPr>
          <w:color w:val="211F1F"/>
          <w:sz w:val="24"/>
        </w:rPr>
        <w:t>establishing the</w:t>
      </w:r>
      <w:r>
        <w:rPr>
          <w:color w:val="211F1F"/>
          <w:spacing w:val="-8"/>
          <w:sz w:val="24"/>
        </w:rPr>
        <w:t xml:space="preserve"> </w:t>
      </w:r>
      <w:r>
        <w:rPr>
          <w:color w:val="211F1F"/>
          <w:sz w:val="24"/>
        </w:rPr>
        <w:t>Tenderer's</w:t>
      </w:r>
      <w:r>
        <w:rPr>
          <w:color w:val="211F1F"/>
          <w:spacing w:val="-8"/>
          <w:sz w:val="24"/>
        </w:rPr>
        <w:t xml:space="preserve"> </w:t>
      </w:r>
      <w:r>
        <w:rPr>
          <w:color w:val="211F1F"/>
          <w:sz w:val="24"/>
        </w:rPr>
        <w:t>qualifications</w:t>
      </w:r>
      <w:r>
        <w:rPr>
          <w:color w:val="211F1F"/>
          <w:spacing w:val="-7"/>
          <w:sz w:val="24"/>
        </w:rPr>
        <w:t xml:space="preserve"> </w:t>
      </w:r>
      <w:r>
        <w:rPr>
          <w:color w:val="211F1F"/>
          <w:sz w:val="24"/>
        </w:rPr>
        <w:t>to</w:t>
      </w:r>
      <w:r>
        <w:rPr>
          <w:color w:val="211F1F"/>
          <w:spacing w:val="-3"/>
          <w:sz w:val="24"/>
        </w:rPr>
        <w:t xml:space="preserve"> </w:t>
      </w:r>
      <w:r>
        <w:rPr>
          <w:color w:val="211F1F"/>
          <w:sz w:val="24"/>
        </w:rPr>
        <w:t>perform</w:t>
      </w:r>
      <w:r>
        <w:rPr>
          <w:color w:val="211F1F"/>
          <w:spacing w:val="-15"/>
          <w:sz w:val="24"/>
        </w:rPr>
        <w:t xml:space="preserve"> </w:t>
      </w:r>
      <w:r>
        <w:rPr>
          <w:color w:val="211F1F"/>
          <w:sz w:val="24"/>
        </w:rPr>
        <w:t>the</w:t>
      </w:r>
      <w:r>
        <w:rPr>
          <w:color w:val="211F1F"/>
          <w:spacing w:val="-8"/>
          <w:sz w:val="24"/>
        </w:rPr>
        <w:t xml:space="preserve"> </w:t>
      </w:r>
      <w:r>
        <w:rPr>
          <w:color w:val="211F1F"/>
          <w:sz w:val="24"/>
        </w:rPr>
        <w:t>Contract</w:t>
      </w:r>
      <w:r>
        <w:rPr>
          <w:color w:val="211F1F"/>
          <w:spacing w:val="-1"/>
          <w:sz w:val="24"/>
        </w:rPr>
        <w:t xml:space="preserve"> </w:t>
      </w:r>
      <w:r>
        <w:rPr>
          <w:color w:val="211F1F"/>
          <w:sz w:val="24"/>
        </w:rPr>
        <w:t>if</w:t>
      </w:r>
      <w:r>
        <w:rPr>
          <w:color w:val="211F1F"/>
          <w:spacing w:val="-10"/>
          <w:sz w:val="24"/>
        </w:rPr>
        <w:t xml:space="preserve"> </w:t>
      </w:r>
      <w:r>
        <w:rPr>
          <w:color w:val="211F1F"/>
          <w:sz w:val="24"/>
        </w:rPr>
        <w:t>its</w:t>
      </w:r>
      <w:r>
        <w:rPr>
          <w:color w:val="211F1F"/>
          <w:spacing w:val="-9"/>
          <w:sz w:val="24"/>
        </w:rPr>
        <w:t xml:space="preserve"> </w:t>
      </w:r>
      <w:r>
        <w:rPr>
          <w:color w:val="211F1F"/>
          <w:sz w:val="24"/>
        </w:rPr>
        <w:t>Tender</w:t>
      </w:r>
      <w:r>
        <w:rPr>
          <w:color w:val="211F1F"/>
          <w:spacing w:val="-5"/>
          <w:sz w:val="24"/>
        </w:rPr>
        <w:t xml:space="preserve"> </w:t>
      </w:r>
      <w:r>
        <w:rPr>
          <w:color w:val="211F1F"/>
          <w:sz w:val="24"/>
        </w:rPr>
        <w:t>is</w:t>
      </w:r>
      <w:r>
        <w:rPr>
          <w:color w:val="211F1F"/>
          <w:spacing w:val="-9"/>
          <w:sz w:val="24"/>
        </w:rPr>
        <w:t xml:space="preserve"> </w:t>
      </w:r>
      <w:r>
        <w:rPr>
          <w:color w:val="211F1F"/>
          <w:sz w:val="24"/>
        </w:rPr>
        <w:t>accepted;</w:t>
      </w:r>
    </w:p>
    <w:p w14:paraId="6A576CA6" w14:textId="77777777" w:rsidR="00BB77C0" w:rsidRDefault="00370BAA">
      <w:pPr>
        <w:pStyle w:val="ListParagraph"/>
        <w:numPr>
          <w:ilvl w:val="2"/>
          <w:numId w:val="102"/>
        </w:numPr>
        <w:tabs>
          <w:tab w:val="left" w:pos="2160"/>
        </w:tabs>
        <w:spacing w:before="245"/>
        <w:ind w:left="2160" w:hanging="494"/>
        <w:jc w:val="left"/>
        <w:rPr>
          <w:sz w:val="24"/>
        </w:rPr>
      </w:pPr>
      <w:r>
        <w:rPr>
          <w:color w:val="211F1F"/>
          <w:sz w:val="24"/>
        </w:rPr>
        <w:t>Conformity:</w:t>
      </w:r>
      <w:r>
        <w:rPr>
          <w:color w:val="211F1F"/>
          <w:spacing w:val="-4"/>
          <w:sz w:val="24"/>
        </w:rPr>
        <w:t xml:space="preserve"> </w:t>
      </w:r>
      <w:r>
        <w:rPr>
          <w:color w:val="211F1F"/>
          <w:sz w:val="24"/>
        </w:rPr>
        <w:t>a</w:t>
      </w:r>
      <w:r>
        <w:rPr>
          <w:color w:val="211F1F"/>
          <w:spacing w:val="-6"/>
          <w:sz w:val="24"/>
        </w:rPr>
        <w:t xml:space="preserve"> </w:t>
      </w:r>
      <w:r>
        <w:rPr>
          <w:color w:val="211F1F"/>
          <w:sz w:val="24"/>
        </w:rPr>
        <w:t>technical</w:t>
      </w:r>
      <w:r>
        <w:rPr>
          <w:color w:val="211F1F"/>
          <w:spacing w:val="-5"/>
          <w:sz w:val="24"/>
        </w:rPr>
        <w:t xml:space="preserve"> </w:t>
      </w:r>
      <w:r>
        <w:rPr>
          <w:color w:val="211F1F"/>
          <w:sz w:val="24"/>
        </w:rPr>
        <w:t>proposal</w:t>
      </w:r>
      <w:r>
        <w:rPr>
          <w:color w:val="211F1F"/>
          <w:spacing w:val="-2"/>
          <w:sz w:val="24"/>
        </w:rPr>
        <w:t xml:space="preserve"> </w:t>
      </w:r>
      <w:r>
        <w:rPr>
          <w:color w:val="211F1F"/>
          <w:sz w:val="24"/>
        </w:rPr>
        <w:t>in</w:t>
      </w:r>
      <w:r>
        <w:rPr>
          <w:color w:val="211F1F"/>
          <w:spacing w:val="-4"/>
          <w:sz w:val="24"/>
        </w:rPr>
        <w:t xml:space="preserve"> </w:t>
      </w:r>
      <w:r>
        <w:rPr>
          <w:color w:val="211F1F"/>
          <w:sz w:val="24"/>
        </w:rPr>
        <w:t>accordance</w:t>
      </w:r>
      <w:r>
        <w:rPr>
          <w:color w:val="211F1F"/>
          <w:spacing w:val="-5"/>
          <w:sz w:val="24"/>
        </w:rPr>
        <w:t xml:space="preserve"> </w:t>
      </w:r>
      <w:r>
        <w:rPr>
          <w:color w:val="211F1F"/>
          <w:sz w:val="24"/>
        </w:rPr>
        <w:t>with</w:t>
      </w:r>
      <w:r>
        <w:rPr>
          <w:color w:val="211F1F"/>
          <w:spacing w:val="-4"/>
          <w:sz w:val="24"/>
        </w:rPr>
        <w:t xml:space="preserve"> </w:t>
      </w:r>
      <w:r>
        <w:rPr>
          <w:color w:val="211F1F"/>
          <w:sz w:val="24"/>
        </w:rPr>
        <w:t>ITT</w:t>
      </w:r>
      <w:r>
        <w:rPr>
          <w:color w:val="211F1F"/>
          <w:spacing w:val="-2"/>
          <w:sz w:val="24"/>
        </w:rPr>
        <w:t xml:space="preserve"> </w:t>
      </w:r>
      <w:r>
        <w:rPr>
          <w:color w:val="211F1F"/>
          <w:spacing w:val="-5"/>
          <w:sz w:val="24"/>
        </w:rPr>
        <w:t>16;</w:t>
      </w:r>
    </w:p>
    <w:p w14:paraId="36EFFD1D" w14:textId="77777777" w:rsidR="00BB77C0" w:rsidRDefault="00370BAA">
      <w:pPr>
        <w:pStyle w:val="ListParagraph"/>
        <w:numPr>
          <w:ilvl w:val="2"/>
          <w:numId w:val="102"/>
        </w:numPr>
        <w:tabs>
          <w:tab w:val="left" w:pos="2154"/>
        </w:tabs>
        <w:spacing w:before="247"/>
        <w:ind w:left="2154" w:hanging="555"/>
        <w:jc w:val="left"/>
        <w:rPr>
          <w:sz w:val="24"/>
        </w:rPr>
      </w:pPr>
      <w:r>
        <w:rPr>
          <w:color w:val="211F1F"/>
          <w:sz w:val="24"/>
        </w:rPr>
        <w:t>Any</w:t>
      </w:r>
      <w:r>
        <w:rPr>
          <w:color w:val="211F1F"/>
          <w:spacing w:val="-12"/>
          <w:sz w:val="24"/>
        </w:rPr>
        <w:t xml:space="preserve"> </w:t>
      </w:r>
      <w:r>
        <w:rPr>
          <w:color w:val="211F1F"/>
          <w:sz w:val="24"/>
        </w:rPr>
        <w:t>other</w:t>
      </w:r>
      <w:r>
        <w:rPr>
          <w:color w:val="211F1F"/>
          <w:spacing w:val="2"/>
          <w:sz w:val="24"/>
        </w:rPr>
        <w:t xml:space="preserve"> </w:t>
      </w:r>
      <w:r>
        <w:rPr>
          <w:color w:val="211F1F"/>
          <w:sz w:val="24"/>
        </w:rPr>
        <w:t>document</w:t>
      </w:r>
      <w:r>
        <w:rPr>
          <w:color w:val="211F1F"/>
          <w:spacing w:val="3"/>
          <w:sz w:val="24"/>
        </w:rPr>
        <w:t xml:space="preserve"> </w:t>
      </w:r>
      <w:r>
        <w:rPr>
          <w:color w:val="211F1F"/>
          <w:sz w:val="24"/>
        </w:rPr>
        <w:t>required</w:t>
      </w:r>
      <w:r>
        <w:rPr>
          <w:color w:val="211F1F"/>
          <w:spacing w:val="5"/>
          <w:sz w:val="24"/>
        </w:rPr>
        <w:t xml:space="preserve"> </w:t>
      </w:r>
      <w:r>
        <w:rPr>
          <w:color w:val="211F1F"/>
          <w:sz w:val="24"/>
        </w:rPr>
        <w:t>in</w:t>
      </w:r>
      <w:r>
        <w:rPr>
          <w:color w:val="211F1F"/>
          <w:spacing w:val="-7"/>
          <w:sz w:val="24"/>
        </w:rPr>
        <w:t xml:space="preserve"> </w:t>
      </w:r>
      <w:r>
        <w:rPr>
          <w:color w:val="211F1F"/>
          <w:sz w:val="24"/>
        </w:rPr>
        <w:t>the</w:t>
      </w:r>
      <w:r>
        <w:rPr>
          <w:color w:val="211F1F"/>
          <w:spacing w:val="-1"/>
          <w:sz w:val="24"/>
        </w:rPr>
        <w:t xml:space="preserve"> </w:t>
      </w:r>
      <w:r>
        <w:rPr>
          <w:color w:val="211F1F"/>
          <w:spacing w:val="-4"/>
          <w:sz w:val="24"/>
        </w:rPr>
        <w:t>TDS.</w:t>
      </w:r>
    </w:p>
    <w:p w14:paraId="2FCE0F16" w14:textId="77777777" w:rsidR="00BB77C0" w:rsidRDefault="00BB77C0">
      <w:pPr>
        <w:pStyle w:val="BodyText"/>
        <w:spacing w:before="245"/>
        <w:rPr>
          <w:sz w:val="24"/>
        </w:rPr>
      </w:pPr>
    </w:p>
    <w:p w14:paraId="0F2598C2" w14:textId="77777777" w:rsidR="00BB77C0" w:rsidRDefault="00370BAA">
      <w:pPr>
        <w:pStyle w:val="ListParagraph"/>
        <w:numPr>
          <w:ilvl w:val="1"/>
          <w:numId w:val="102"/>
        </w:numPr>
        <w:tabs>
          <w:tab w:val="left" w:pos="1441"/>
        </w:tabs>
        <w:spacing w:line="259" w:lineRule="auto"/>
        <w:ind w:left="1441" w:right="189"/>
        <w:jc w:val="left"/>
        <w:rPr>
          <w:color w:val="211F1F"/>
          <w:sz w:val="24"/>
        </w:rPr>
      </w:pPr>
      <w:r>
        <w:rPr>
          <w:color w:val="211F1F"/>
          <w:sz w:val="24"/>
        </w:rPr>
        <w:t>In addition to the requirements under ITT 11.1, Tenders submitted by a JV shall include a copy of the Joint Venture Agreement entered into by all members. Alternatively,</w:t>
      </w:r>
      <w:r>
        <w:rPr>
          <w:color w:val="211F1F"/>
          <w:spacing w:val="-5"/>
          <w:sz w:val="24"/>
        </w:rPr>
        <w:t xml:space="preserve"> </w:t>
      </w:r>
      <w:r>
        <w:rPr>
          <w:color w:val="211F1F"/>
          <w:sz w:val="24"/>
        </w:rPr>
        <w:t>a</w:t>
      </w:r>
      <w:r>
        <w:rPr>
          <w:color w:val="211F1F"/>
          <w:spacing w:val="-4"/>
          <w:sz w:val="24"/>
        </w:rPr>
        <w:t xml:space="preserve"> </w:t>
      </w:r>
      <w:r>
        <w:rPr>
          <w:color w:val="211F1F"/>
          <w:sz w:val="24"/>
        </w:rPr>
        <w:t>letter</w:t>
      </w:r>
      <w:r>
        <w:rPr>
          <w:color w:val="211F1F"/>
          <w:spacing w:val="-10"/>
          <w:sz w:val="24"/>
        </w:rPr>
        <w:t xml:space="preserve"> </w:t>
      </w:r>
      <w:r>
        <w:rPr>
          <w:color w:val="211F1F"/>
          <w:sz w:val="24"/>
        </w:rPr>
        <w:t>of</w:t>
      </w:r>
      <w:r>
        <w:rPr>
          <w:color w:val="211F1F"/>
          <w:spacing w:val="-11"/>
          <w:sz w:val="24"/>
        </w:rPr>
        <w:t xml:space="preserve"> </w:t>
      </w:r>
      <w:r>
        <w:rPr>
          <w:color w:val="211F1F"/>
          <w:sz w:val="24"/>
        </w:rPr>
        <w:t>intent</w:t>
      </w:r>
      <w:r>
        <w:rPr>
          <w:color w:val="211F1F"/>
          <w:spacing w:val="-7"/>
          <w:sz w:val="24"/>
        </w:rPr>
        <w:t xml:space="preserve"> </w:t>
      </w:r>
      <w:r>
        <w:rPr>
          <w:color w:val="211F1F"/>
          <w:sz w:val="24"/>
        </w:rPr>
        <w:t>to</w:t>
      </w:r>
      <w:r>
        <w:rPr>
          <w:color w:val="211F1F"/>
          <w:spacing w:val="-4"/>
          <w:sz w:val="24"/>
        </w:rPr>
        <w:t xml:space="preserve"> </w:t>
      </w:r>
      <w:r>
        <w:rPr>
          <w:color w:val="211F1F"/>
          <w:sz w:val="24"/>
        </w:rPr>
        <w:t>execute</w:t>
      </w:r>
      <w:r>
        <w:rPr>
          <w:color w:val="211F1F"/>
          <w:spacing w:val="-8"/>
          <w:sz w:val="24"/>
        </w:rPr>
        <w:t xml:space="preserve"> </w:t>
      </w:r>
      <w:r>
        <w:rPr>
          <w:color w:val="211F1F"/>
          <w:sz w:val="24"/>
        </w:rPr>
        <w:t>a</w:t>
      </w:r>
      <w:r>
        <w:rPr>
          <w:color w:val="211F1F"/>
          <w:spacing w:val="-8"/>
          <w:sz w:val="24"/>
        </w:rPr>
        <w:t xml:space="preserve"> </w:t>
      </w:r>
      <w:r>
        <w:rPr>
          <w:color w:val="211F1F"/>
          <w:sz w:val="24"/>
        </w:rPr>
        <w:t>Joint Venture</w:t>
      </w:r>
      <w:r>
        <w:rPr>
          <w:color w:val="211F1F"/>
          <w:spacing w:val="-15"/>
          <w:sz w:val="24"/>
        </w:rPr>
        <w:t xml:space="preserve"> </w:t>
      </w:r>
      <w:r>
        <w:rPr>
          <w:color w:val="211F1F"/>
          <w:sz w:val="24"/>
        </w:rPr>
        <w:t>Agreement</w:t>
      </w:r>
      <w:r>
        <w:rPr>
          <w:color w:val="211F1F"/>
          <w:spacing w:val="-2"/>
          <w:sz w:val="24"/>
        </w:rPr>
        <w:t xml:space="preserve"> </w:t>
      </w:r>
      <w:r>
        <w:rPr>
          <w:color w:val="211F1F"/>
          <w:sz w:val="24"/>
        </w:rPr>
        <w:t>in</w:t>
      </w:r>
      <w:r>
        <w:rPr>
          <w:color w:val="211F1F"/>
          <w:spacing w:val="-13"/>
          <w:sz w:val="24"/>
        </w:rPr>
        <w:t xml:space="preserve"> </w:t>
      </w:r>
      <w:r>
        <w:rPr>
          <w:color w:val="211F1F"/>
          <w:sz w:val="24"/>
        </w:rPr>
        <w:t>the</w:t>
      </w:r>
      <w:r>
        <w:rPr>
          <w:color w:val="211F1F"/>
          <w:spacing w:val="-9"/>
          <w:sz w:val="24"/>
        </w:rPr>
        <w:t xml:space="preserve"> </w:t>
      </w:r>
      <w:r>
        <w:rPr>
          <w:color w:val="211F1F"/>
          <w:sz w:val="24"/>
        </w:rPr>
        <w:t>event</w:t>
      </w:r>
      <w:r>
        <w:rPr>
          <w:color w:val="211F1F"/>
          <w:spacing w:val="-6"/>
          <w:sz w:val="24"/>
        </w:rPr>
        <w:t xml:space="preserve"> </w:t>
      </w:r>
      <w:r>
        <w:rPr>
          <w:color w:val="211F1F"/>
          <w:sz w:val="24"/>
        </w:rPr>
        <w:t>of</w:t>
      </w:r>
      <w:r>
        <w:rPr>
          <w:color w:val="211F1F"/>
          <w:spacing w:val="-15"/>
          <w:sz w:val="24"/>
        </w:rPr>
        <w:t xml:space="preserve"> </w:t>
      </w:r>
      <w:r>
        <w:rPr>
          <w:color w:val="211F1F"/>
          <w:sz w:val="24"/>
        </w:rPr>
        <w:t xml:space="preserve">a successful Tender shall be signed by all members and submitted with the Tender, together with a copy of the proposed JV Agreement. Change of membership and conditions of the JV prior to contract signature will render the tender liable for </w:t>
      </w:r>
      <w:r>
        <w:rPr>
          <w:color w:val="211F1F"/>
          <w:spacing w:val="-2"/>
          <w:sz w:val="24"/>
        </w:rPr>
        <w:t>disqualification.</w:t>
      </w:r>
    </w:p>
    <w:p w14:paraId="3062152E" w14:textId="77777777" w:rsidR="00BB77C0" w:rsidRDefault="00370BAA">
      <w:pPr>
        <w:pStyle w:val="ListParagraph"/>
        <w:numPr>
          <w:ilvl w:val="1"/>
          <w:numId w:val="102"/>
        </w:numPr>
        <w:tabs>
          <w:tab w:val="left" w:pos="1441"/>
        </w:tabs>
        <w:spacing w:before="156" w:line="259" w:lineRule="auto"/>
        <w:ind w:left="1441" w:right="103"/>
        <w:jc w:val="left"/>
        <w:rPr>
          <w:color w:val="211F1F"/>
          <w:sz w:val="24"/>
        </w:rPr>
      </w:pPr>
      <w:r>
        <w:rPr>
          <w:color w:val="211F1F"/>
          <w:sz w:val="24"/>
        </w:rPr>
        <w:t>The Tenderer shall furnish in the Form of Tender information on commissions and gratuities, if</w:t>
      </w:r>
      <w:r>
        <w:rPr>
          <w:color w:val="211F1F"/>
          <w:spacing w:val="-14"/>
          <w:sz w:val="24"/>
        </w:rPr>
        <w:t xml:space="preserve"> </w:t>
      </w:r>
      <w:r>
        <w:rPr>
          <w:color w:val="211F1F"/>
          <w:sz w:val="24"/>
        </w:rPr>
        <w:t>any,</w:t>
      </w:r>
      <w:r>
        <w:rPr>
          <w:color w:val="211F1F"/>
          <w:spacing w:val="-13"/>
          <w:sz w:val="24"/>
        </w:rPr>
        <w:t xml:space="preserve"> </w:t>
      </w:r>
      <w:r>
        <w:rPr>
          <w:color w:val="211F1F"/>
          <w:sz w:val="24"/>
        </w:rPr>
        <w:t>paid</w:t>
      </w:r>
      <w:r>
        <w:rPr>
          <w:color w:val="211F1F"/>
          <w:spacing w:val="-5"/>
          <w:sz w:val="24"/>
        </w:rPr>
        <w:t xml:space="preserve"> </w:t>
      </w:r>
      <w:r>
        <w:rPr>
          <w:color w:val="211F1F"/>
          <w:sz w:val="24"/>
        </w:rPr>
        <w:t>or</w:t>
      </w:r>
      <w:r>
        <w:rPr>
          <w:color w:val="211F1F"/>
          <w:spacing w:val="-9"/>
          <w:sz w:val="24"/>
        </w:rPr>
        <w:t xml:space="preserve"> </w:t>
      </w:r>
      <w:r>
        <w:rPr>
          <w:color w:val="211F1F"/>
          <w:sz w:val="24"/>
        </w:rPr>
        <w:t>to</w:t>
      </w:r>
      <w:r>
        <w:rPr>
          <w:color w:val="211F1F"/>
          <w:spacing w:val="-6"/>
          <w:sz w:val="24"/>
        </w:rPr>
        <w:t xml:space="preserve"> </w:t>
      </w:r>
      <w:r>
        <w:rPr>
          <w:color w:val="211F1F"/>
          <w:sz w:val="24"/>
        </w:rPr>
        <w:t>be</w:t>
      </w:r>
      <w:r>
        <w:rPr>
          <w:color w:val="211F1F"/>
          <w:spacing w:val="-6"/>
          <w:sz w:val="24"/>
        </w:rPr>
        <w:t xml:space="preserve"> </w:t>
      </w:r>
      <w:r>
        <w:rPr>
          <w:color w:val="211F1F"/>
          <w:sz w:val="24"/>
        </w:rPr>
        <w:t>paid</w:t>
      </w:r>
      <w:r>
        <w:rPr>
          <w:color w:val="211F1F"/>
          <w:spacing w:val="-6"/>
          <w:sz w:val="24"/>
        </w:rPr>
        <w:t xml:space="preserve"> </w:t>
      </w:r>
      <w:r>
        <w:rPr>
          <w:color w:val="211F1F"/>
          <w:sz w:val="24"/>
        </w:rPr>
        <w:t>to</w:t>
      </w:r>
      <w:r>
        <w:rPr>
          <w:color w:val="211F1F"/>
          <w:spacing w:val="-6"/>
          <w:sz w:val="24"/>
        </w:rPr>
        <w:t xml:space="preserve"> </w:t>
      </w:r>
      <w:r>
        <w:rPr>
          <w:color w:val="211F1F"/>
          <w:sz w:val="24"/>
        </w:rPr>
        <w:t>agents</w:t>
      </w:r>
      <w:r>
        <w:rPr>
          <w:color w:val="211F1F"/>
          <w:spacing w:val="-7"/>
          <w:sz w:val="24"/>
        </w:rPr>
        <w:t xml:space="preserve"> </w:t>
      </w:r>
      <w:r>
        <w:rPr>
          <w:color w:val="211F1F"/>
          <w:sz w:val="24"/>
        </w:rPr>
        <w:t>or</w:t>
      </w:r>
      <w:r>
        <w:rPr>
          <w:color w:val="211F1F"/>
          <w:spacing w:val="-4"/>
          <w:sz w:val="24"/>
        </w:rPr>
        <w:t xml:space="preserve"> </w:t>
      </w:r>
      <w:r>
        <w:rPr>
          <w:color w:val="211F1F"/>
          <w:sz w:val="24"/>
        </w:rPr>
        <w:t>any</w:t>
      </w:r>
      <w:r>
        <w:rPr>
          <w:color w:val="211F1F"/>
          <w:spacing w:val="-11"/>
          <w:sz w:val="24"/>
        </w:rPr>
        <w:t xml:space="preserve"> </w:t>
      </w:r>
      <w:r>
        <w:rPr>
          <w:color w:val="211F1F"/>
          <w:sz w:val="24"/>
        </w:rPr>
        <w:t>other</w:t>
      </w:r>
      <w:r>
        <w:rPr>
          <w:color w:val="211F1F"/>
          <w:spacing w:val="-3"/>
          <w:sz w:val="24"/>
        </w:rPr>
        <w:t xml:space="preserve"> </w:t>
      </w:r>
      <w:r>
        <w:rPr>
          <w:color w:val="211F1F"/>
          <w:sz w:val="24"/>
        </w:rPr>
        <w:t>party</w:t>
      </w:r>
      <w:r>
        <w:rPr>
          <w:color w:val="211F1F"/>
          <w:spacing w:val="-15"/>
          <w:sz w:val="24"/>
        </w:rPr>
        <w:t xml:space="preserve"> </w:t>
      </w:r>
      <w:r>
        <w:rPr>
          <w:color w:val="211F1F"/>
          <w:sz w:val="24"/>
        </w:rPr>
        <w:t>relating</w:t>
      </w:r>
      <w:r>
        <w:rPr>
          <w:color w:val="211F1F"/>
          <w:spacing w:val="-5"/>
          <w:sz w:val="24"/>
        </w:rPr>
        <w:t xml:space="preserve"> </w:t>
      </w:r>
      <w:r>
        <w:rPr>
          <w:color w:val="211F1F"/>
          <w:sz w:val="24"/>
        </w:rPr>
        <w:t>to</w:t>
      </w:r>
      <w:r>
        <w:rPr>
          <w:color w:val="211F1F"/>
          <w:spacing w:val="-6"/>
          <w:sz w:val="24"/>
        </w:rPr>
        <w:t xml:space="preserve"> </w:t>
      </w:r>
      <w:r>
        <w:rPr>
          <w:color w:val="211F1F"/>
          <w:sz w:val="24"/>
        </w:rPr>
        <w:t>this</w:t>
      </w:r>
      <w:r>
        <w:rPr>
          <w:color w:val="211F1F"/>
          <w:spacing w:val="-8"/>
          <w:sz w:val="24"/>
        </w:rPr>
        <w:t xml:space="preserve"> </w:t>
      </w:r>
      <w:r>
        <w:rPr>
          <w:color w:val="211F1F"/>
          <w:sz w:val="24"/>
        </w:rPr>
        <w:t>Tender.</w:t>
      </w:r>
    </w:p>
    <w:p w14:paraId="3DD36339" w14:textId="77777777" w:rsidR="00BB77C0" w:rsidRDefault="00370BAA">
      <w:pPr>
        <w:pStyle w:val="Heading6"/>
        <w:numPr>
          <w:ilvl w:val="1"/>
          <w:numId w:val="101"/>
        </w:numPr>
        <w:tabs>
          <w:tab w:val="left" w:pos="720"/>
        </w:tabs>
        <w:spacing w:before="244"/>
        <w:ind w:hanging="720"/>
        <w:jc w:val="left"/>
      </w:pPr>
      <w:bookmarkStart w:id="38" w:name="14.0_Form_of_Tender_and_Schedules"/>
      <w:bookmarkStart w:id="39" w:name="_bookmark18"/>
      <w:bookmarkEnd w:id="38"/>
      <w:bookmarkEnd w:id="39"/>
      <w:r>
        <w:t>Form</w:t>
      </w:r>
      <w:r>
        <w:rPr>
          <w:spacing w:val="-9"/>
        </w:rPr>
        <w:t xml:space="preserve"> </w:t>
      </w:r>
      <w:r>
        <w:t>of</w:t>
      </w:r>
      <w:r>
        <w:rPr>
          <w:spacing w:val="-7"/>
        </w:rPr>
        <w:t xml:space="preserve"> </w:t>
      </w:r>
      <w:r>
        <w:t>Tender</w:t>
      </w:r>
      <w:r>
        <w:rPr>
          <w:spacing w:val="-17"/>
        </w:rPr>
        <w:t xml:space="preserve"> </w:t>
      </w:r>
      <w:r>
        <w:t>and</w:t>
      </w:r>
      <w:r>
        <w:rPr>
          <w:spacing w:val="-8"/>
        </w:rPr>
        <w:t xml:space="preserve"> </w:t>
      </w:r>
      <w:r>
        <w:rPr>
          <w:spacing w:val="-2"/>
        </w:rPr>
        <w:t>Schedules</w:t>
      </w:r>
    </w:p>
    <w:p w14:paraId="71924F8E" w14:textId="77777777" w:rsidR="00BB77C0" w:rsidRDefault="00370BAA">
      <w:pPr>
        <w:pStyle w:val="ListParagraph"/>
        <w:numPr>
          <w:ilvl w:val="1"/>
          <w:numId w:val="101"/>
        </w:numPr>
        <w:tabs>
          <w:tab w:val="left" w:pos="1441"/>
        </w:tabs>
        <w:spacing w:before="75" w:line="259" w:lineRule="auto"/>
        <w:ind w:left="1441" w:right="55"/>
        <w:jc w:val="left"/>
        <w:rPr>
          <w:color w:val="211F1F"/>
          <w:sz w:val="24"/>
        </w:rPr>
      </w:pPr>
      <w:r>
        <w:rPr>
          <w:color w:val="211F1F"/>
          <w:sz w:val="24"/>
        </w:rPr>
        <w:t>The</w:t>
      </w:r>
      <w:r>
        <w:rPr>
          <w:color w:val="211F1F"/>
          <w:spacing w:val="-1"/>
          <w:sz w:val="24"/>
        </w:rPr>
        <w:t xml:space="preserve"> </w:t>
      </w:r>
      <w:r>
        <w:rPr>
          <w:color w:val="211F1F"/>
          <w:sz w:val="24"/>
        </w:rPr>
        <w:t>Form</w:t>
      </w:r>
      <w:r>
        <w:rPr>
          <w:color w:val="211F1F"/>
          <w:spacing w:val="-9"/>
          <w:sz w:val="24"/>
        </w:rPr>
        <w:t xml:space="preserve"> </w:t>
      </w:r>
      <w:r>
        <w:rPr>
          <w:color w:val="211F1F"/>
          <w:sz w:val="24"/>
        </w:rPr>
        <w:t>of</w:t>
      </w:r>
      <w:r>
        <w:rPr>
          <w:color w:val="211F1F"/>
          <w:spacing w:val="-8"/>
          <w:sz w:val="24"/>
        </w:rPr>
        <w:t xml:space="preserve"> </w:t>
      </w:r>
      <w:r>
        <w:rPr>
          <w:color w:val="211F1F"/>
          <w:sz w:val="24"/>
        </w:rPr>
        <w:t>Tender and Schedules, including the</w:t>
      </w:r>
      <w:r>
        <w:rPr>
          <w:color w:val="211F1F"/>
          <w:spacing w:val="-1"/>
          <w:sz w:val="24"/>
        </w:rPr>
        <w:t xml:space="preserve"> </w:t>
      </w:r>
      <w:r>
        <w:rPr>
          <w:color w:val="211F1F"/>
          <w:sz w:val="24"/>
        </w:rPr>
        <w:t>Bill</w:t>
      </w:r>
      <w:r>
        <w:rPr>
          <w:color w:val="211F1F"/>
          <w:spacing w:val="-4"/>
          <w:sz w:val="24"/>
        </w:rPr>
        <w:t xml:space="preserve"> </w:t>
      </w:r>
      <w:r>
        <w:rPr>
          <w:color w:val="211F1F"/>
          <w:sz w:val="24"/>
        </w:rPr>
        <w:t>of</w:t>
      </w:r>
      <w:r>
        <w:rPr>
          <w:color w:val="211F1F"/>
          <w:spacing w:val="-8"/>
          <w:sz w:val="24"/>
        </w:rPr>
        <w:t xml:space="preserve"> </w:t>
      </w:r>
      <w:r>
        <w:rPr>
          <w:color w:val="211F1F"/>
          <w:sz w:val="24"/>
        </w:rPr>
        <w:t>Quantities</w:t>
      </w:r>
      <w:r>
        <w:rPr>
          <w:i/>
          <w:color w:val="211F1F"/>
          <w:sz w:val="24"/>
        </w:rPr>
        <w:t xml:space="preserve">, </w:t>
      </w:r>
      <w:r>
        <w:rPr>
          <w:color w:val="211F1F"/>
          <w:sz w:val="24"/>
        </w:rPr>
        <w:t>shall</w:t>
      </w:r>
      <w:r>
        <w:rPr>
          <w:color w:val="211F1F"/>
          <w:spacing w:val="-4"/>
          <w:sz w:val="24"/>
        </w:rPr>
        <w:t xml:space="preserve"> </w:t>
      </w:r>
      <w:r>
        <w:rPr>
          <w:color w:val="211F1F"/>
          <w:sz w:val="24"/>
        </w:rPr>
        <w:t>be</w:t>
      </w:r>
      <w:r>
        <w:rPr>
          <w:color w:val="211F1F"/>
          <w:spacing w:val="-1"/>
          <w:sz w:val="24"/>
        </w:rPr>
        <w:t xml:space="preserve"> </w:t>
      </w:r>
      <w:r>
        <w:rPr>
          <w:color w:val="211F1F"/>
          <w:sz w:val="24"/>
        </w:rPr>
        <w:t>prepared using</w:t>
      </w:r>
      <w:r>
        <w:rPr>
          <w:color w:val="211F1F"/>
          <w:spacing w:val="-14"/>
          <w:sz w:val="24"/>
        </w:rPr>
        <w:t xml:space="preserve"> </w:t>
      </w:r>
      <w:r>
        <w:rPr>
          <w:color w:val="211F1F"/>
          <w:sz w:val="24"/>
        </w:rPr>
        <w:t>the</w:t>
      </w:r>
      <w:r>
        <w:rPr>
          <w:color w:val="211F1F"/>
          <w:spacing w:val="-11"/>
          <w:sz w:val="24"/>
        </w:rPr>
        <w:t xml:space="preserve"> </w:t>
      </w:r>
      <w:r>
        <w:rPr>
          <w:color w:val="211F1F"/>
          <w:sz w:val="24"/>
        </w:rPr>
        <w:t>relevant</w:t>
      </w:r>
      <w:r>
        <w:rPr>
          <w:color w:val="211F1F"/>
          <w:spacing w:val="-4"/>
          <w:sz w:val="24"/>
        </w:rPr>
        <w:t xml:space="preserve"> </w:t>
      </w:r>
      <w:r>
        <w:rPr>
          <w:color w:val="211F1F"/>
          <w:sz w:val="24"/>
        </w:rPr>
        <w:t>form</w:t>
      </w:r>
      <w:r>
        <w:rPr>
          <w:i/>
          <w:color w:val="211F1F"/>
          <w:sz w:val="24"/>
        </w:rPr>
        <w:t>s</w:t>
      </w:r>
      <w:r>
        <w:rPr>
          <w:i/>
          <w:color w:val="211F1F"/>
          <w:spacing w:val="-7"/>
          <w:sz w:val="24"/>
        </w:rPr>
        <w:t xml:space="preserve"> </w:t>
      </w:r>
      <w:r>
        <w:rPr>
          <w:color w:val="211F1F"/>
          <w:sz w:val="24"/>
        </w:rPr>
        <w:t>furnished</w:t>
      </w:r>
      <w:r>
        <w:rPr>
          <w:color w:val="211F1F"/>
          <w:spacing w:val="-4"/>
          <w:sz w:val="24"/>
        </w:rPr>
        <w:t xml:space="preserve"> </w:t>
      </w:r>
      <w:r>
        <w:rPr>
          <w:color w:val="211F1F"/>
          <w:sz w:val="24"/>
        </w:rPr>
        <w:t>in</w:t>
      </w:r>
      <w:r>
        <w:rPr>
          <w:color w:val="211F1F"/>
          <w:spacing w:val="-14"/>
          <w:sz w:val="24"/>
        </w:rPr>
        <w:t xml:space="preserve"> </w:t>
      </w:r>
      <w:r>
        <w:rPr>
          <w:color w:val="211F1F"/>
          <w:sz w:val="24"/>
        </w:rPr>
        <w:t>Section</w:t>
      </w:r>
      <w:r>
        <w:rPr>
          <w:color w:val="211F1F"/>
          <w:spacing w:val="-12"/>
          <w:sz w:val="24"/>
        </w:rPr>
        <w:t xml:space="preserve"> </w:t>
      </w:r>
      <w:r>
        <w:rPr>
          <w:color w:val="211F1F"/>
          <w:sz w:val="24"/>
        </w:rPr>
        <w:t>IV,</w:t>
      </w:r>
      <w:r>
        <w:rPr>
          <w:color w:val="211F1F"/>
          <w:spacing w:val="-15"/>
          <w:sz w:val="24"/>
        </w:rPr>
        <w:t xml:space="preserve"> </w:t>
      </w:r>
      <w:r>
        <w:rPr>
          <w:color w:val="211F1F"/>
          <w:sz w:val="24"/>
        </w:rPr>
        <w:t>Tendering</w:t>
      </w:r>
      <w:r>
        <w:rPr>
          <w:color w:val="211F1F"/>
          <w:spacing w:val="-5"/>
          <w:sz w:val="24"/>
        </w:rPr>
        <w:t xml:space="preserve"> </w:t>
      </w:r>
      <w:r>
        <w:rPr>
          <w:color w:val="211F1F"/>
          <w:sz w:val="24"/>
        </w:rPr>
        <w:t>Forms.</w:t>
      </w:r>
      <w:r>
        <w:rPr>
          <w:color w:val="211F1F"/>
          <w:spacing w:val="-7"/>
          <w:sz w:val="24"/>
        </w:rPr>
        <w:t xml:space="preserve"> </w:t>
      </w:r>
      <w:r>
        <w:rPr>
          <w:color w:val="211F1F"/>
          <w:sz w:val="24"/>
        </w:rPr>
        <w:t>The</w:t>
      </w:r>
      <w:r>
        <w:rPr>
          <w:color w:val="211F1F"/>
          <w:spacing w:val="-5"/>
          <w:sz w:val="24"/>
        </w:rPr>
        <w:t xml:space="preserve"> </w:t>
      </w:r>
      <w:r>
        <w:rPr>
          <w:color w:val="211F1F"/>
          <w:sz w:val="24"/>
        </w:rPr>
        <w:t>forms</w:t>
      </w:r>
      <w:r>
        <w:rPr>
          <w:color w:val="211F1F"/>
          <w:spacing w:val="-7"/>
          <w:sz w:val="24"/>
        </w:rPr>
        <w:t xml:space="preserve"> </w:t>
      </w:r>
      <w:r>
        <w:rPr>
          <w:color w:val="211F1F"/>
          <w:sz w:val="24"/>
        </w:rPr>
        <w:t>must</w:t>
      </w:r>
      <w:r>
        <w:rPr>
          <w:color w:val="211F1F"/>
          <w:spacing w:val="-4"/>
          <w:sz w:val="24"/>
        </w:rPr>
        <w:t xml:space="preserve"> </w:t>
      </w:r>
      <w:r>
        <w:rPr>
          <w:color w:val="211F1F"/>
          <w:sz w:val="24"/>
        </w:rPr>
        <w:t>be completed without any alterations to the text, and no substitutes shall be accepted except as provided under ITT 20.3. All blank spaces shall be filled in with the information requested. The Tenderer shall chronologically serialize all pages of the tender documents submitted.</w:t>
      </w:r>
    </w:p>
    <w:p w14:paraId="1502F03A" w14:textId="77777777" w:rsidR="00BB77C0" w:rsidRDefault="00370BAA">
      <w:pPr>
        <w:pStyle w:val="Heading6"/>
        <w:numPr>
          <w:ilvl w:val="1"/>
          <w:numId w:val="100"/>
        </w:numPr>
        <w:tabs>
          <w:tab w:val="left" w:pos="720"/>
        </w:tabs>
        <w:spacing w:before="247"/>
        <w:ind w:hanging="720"/>
        <w:jc w:val="left"/>
      </w:pPr>
      <w:bookmarkStart w:id="40" w:name="15.0_Alternative_Tenders"/>
      <w:bookmarkStart w:id="41" w:name="_bookmark19"/>
      <w:bookmarkEnd w:id="40"/>
      <w:bookmarkEnd w:id="41"/>
      <w:r>
        <w:t>Alternative</w:t>
      </w:r>
      <w:r>
        <w:rPr>
          <w:spacing w:val="-8"/>
        </w:rPr>
        <w:t xml:space="preserve"> </w:t>
      </w:r>
      <w:r>
        <w:rPr>
          <w:spacing w:val="-2"/>
        </w:rPr>
        <w:t>Tenders</w:t>
      </w:r>
    </w:p>
    <w:p w14:paraId="2CC69B71" w14:textId="77777777" w:rsidR="00BB77C0" w:rsidRDefault="00370BAA">
      <w:pPr>
        <w:pStyle w:val="ListParagraph"/>
        <w:numPr>
          <w:ilvl w:val="1"/>
          <w:numId w:val="100"/>
        </w:numPr>
        <w:tabs>
          <w:tab w:val="left" w:pos="1440"/>
        </w:tabs>
        <w:spacing w:before="79"/>
        <w:ind w:left="1440" w:hanging="720"/>
        <w:jc w:val="left"/>
        <w:rPr>
          <w:color w:val="211F1F"/>
          <w:sz w:val="24"/>
        </w:rPr>
      </w:pPr>
      <w:r>
        <w:rPr>
          <w:color w:val="211F1F"/>
          <w:sz w:val="24"/>
        </w:rPr>
        <w:t>Unless</w:t>
      </w:r>
      <w:r>
        <w:rPr>
          <w:color w:val="211F1F"/>
          <w:spacing w:val="-10"/>
          <w:sz w:val="24"/>
        </w:rPr>
        <w:t xml:space="preserve"> </w:t>
      </w:r>
      <w:r>
        <w:rPr>
          <w:color w:val="211F1F"/>
          <w:sz w:val="24"/>
        </w:rPr>
        <w:t>otherwise</w:t>
      </w:r>
      <w:r>
        <w:rPr>
          <w:color w:val="211F1F"/>
          <w:spacing w:val="-6"/>
          <w:sz w:val="24"/>
        </w:rPr>
        <w:t xml:space="preserve"> </w:t>
      </w:r>
      <w:r>
        <w:rPr>
          <w:color w:val="211F1F"/>
          <w:sz w:val="24"/>
        </w:rPr>
        <w:t>specified</w:t>
      </w:r>
      <w:r>
        <w:rPr>
          <w:color w:val="211F1F"/>
          <w:spacing w:val="-2"/>
          <w:sz w:val="24"/>
        </w:rPr>
        <w:t xml:space="preserve"> </w:t>
      </w:r>
      <w:r>
        <w:rPr>
          <w:color w:val="211F1F"/>
          <w:sz w:val="24"/>
        </w:rPr>
        <w:t>in</w:t>
      </w:r>
      <w:r>
        <w:rPr>
          <w:color w:val="211F1F"/>
          <w:spacing w:val="-11"/>
          <w:sz w:val="24"/>
        </w:rPr>
        <w:t xml:space="preserve"> </w:t>
      </w:r>
      <w:r>
        <w:rPr>
          <w:color w:val="211F1F"/>
          <w:sz w:val="24"/>
        </w:rPr>
        <w:t>the</w:t>
      </w:r>
      <w:r>
        <w:rPr>
          <w:color w:val="211F1F"/>
          <w:spacing w:val="-7"/>
          <w:sz w:val="24"/>
        </w:rPr>
        <w:t xml:space="preserve"> </w:t>
      </w:r>
      <w:r>
        <w:rPr>
          <w:color w:val="211F1F"/>
          <w:sz w:val="24"/>
        </w:rPr>
        <w:t>TDS,</w:t>
      </w:r>
      <w:r>
        <w:rPr>
          <w:color w:val="211F1F"/>
          <w:spacing w:val="-4"/>
          <w:sz w:val="24"/>
        </w:rPr>
        <w:t xml:space="preserve"> </w:t>
      </w:r>
      <w:r>
        <w:rPr>
          <w:color w:val="211F1F"/>
          <w:sz w:val="24"/>
        </w:rPr>
        <w:t>alternative</w:t>
      </w:r>
      <w:r>
        <w:rPr>
          <w:color w:val="211F1F"/>
          <w:spacing w:val="-2"/>
          <w:sz w:val="24"/>
        </w:rPr>
        <w:t xml:space="preserve"> </w:t>
      </w:r>
      <w:r>
        <w:rPr>
          <w:color w:val="211F1F"/>
          <w:sz w:val="24"/>
        </w:rPr>
        <w:t>Tenders</w:t>
      </w:r>
      <w:r>
        <w:rPr>
          <w:color w:val="211F1F"/>
          <w:spacing w:val="-13"/>
          <w:sz w:val="24"/>
        </w:rPr>
        <w:t xml:space="preserve"> </w:t>
      </w:r>
      <w:r>
        <w:rPr>
          <w:color w:val="211F1F"/>
          <w:sz w:val="24"/>
        </w:rPr>
        <w:t>shall</w:t>
      </w:r>
      <w:r>
        <w:rPr>
          <w:color w:val="211F1F"/>
          <w:spacing w:val="-5"/>
          <w:sz w:val="24"/>
        </w:rPr>
        <w:t xml:space="preserve"> </w:t>
      </w:r>
      <w:r>
        <w:rPr>
          <w:color w:val="211F1F"/>
          <w:sz w:val="24"/>
        </w:rPr>
        <w:t>not</w:t>
      </w:r>
      <w:r>
        <w:rPr>
          <w:color w:val="211F1F"/>
          <w:spacing w:val="-6"/>
          <w:sz w:val="24"/>
        </w:rPr>
        <w:t xml:space="preserve"> </w:t>
      </w:r>
      <w:r>
        <w:rPr>
          <w:color w:val="211F1F"/>
          <w:sz w:val="24"/>
        </w:rPr>
        <w:t>be</w:t>
      </w:r>
      <w:r>
        <w:rPr>
          <w:color w:val="211F1F"/>
          <w:spacing w:val="-7"/>
          <w:sz w:val="24"/>
        </w:rPr>
        <w:t xml:space="preserve"> </w:t>
      </w:r>
      <w:r>
        <w:rPr>
          <w:color w:val="211F1F"/>
          <w:spacing w:val="-2"/>
          <w:sz w:val="24"/>
        </w:rPr>
        <w:t>considered.</w:t>
      </w:r>
    </w:p>
    <w:p w14:paraId="5A4604A2" w14:textId="77777777" w:rsidR="00BB77C0" w:rsidRDefault="00BB77C0">
      <w:pPr>
        <w:pStyle w:val="ListParagraph"/>
        <w:rPr>
          <w:sz w:val="24"/>
        </w:rPr>
        <w:sectPr w:rsidR="00BB77C0">
          <w:pgSz w:w="11930" w:h="16870"/>
          <w:pgMar w:top="1340" w:right="1080" w:bottom="280" w:left="1080" w:header="720" w:footer="720" w:gutter="0"/>
          <w:cols w:space="720"/>
        </w:sectPr>
      </w:pPr>
    </w:p>
    <w:p w14:paraId="4B2C98BD" w14:textId="77777777" w:rsidR="00BB77C0" w:rsidRDefault="00370BAA">
      <w:pPr>
        <w:pStyle w:val="ListParagraph"/>
        <w:numPr>
          <w:ilvl w:val="1"/>
          <w:numId w:val="100"/>
        </w:numPr>
        <w:tabs>
          <w:tab w:val="left" w:pos="1439"/>
          <w:tab w:val="left" w:pos="1441"/>
        </w:tabs>
        <w:spacing w:before="75" w:line="261" w:lineRule="auto"/>
        <w:ind w:left="1441" w:right="134"/>
        <w:jc w:val="both"/>
        <w:rPr>
          <w:color w:val="211F1F"/>
          <w:sz w:val="24"/>
        </w:rPr>
      </w:pPr>
      <w:r>
        <w:rPr>
          <w:color w:val="211F1F"/>
          <w:sz w:val="24"/>
        </w:rPr>
        <w:lastRenderedPageBreak/>
        <w:t>When</w:t>
      </w:r>
      <w:r>
        <w:rPr>
          <w:color w:val="211F1F"/>
          <w:spacing w:val="-12"/>
          <w:sz w:val="24"/>
        </w:rPr>
        <w:t xml:space="preserve"> </w:t>
      </w:r>
      <w:r>
        <w:rPr>
          <w:color w:val="211F1F"/>
          <w:sz w:val="24"/>
        </w:rPr>
        <w:t>alternative</w:t>
      </w:r>
      <w:r>
        <w:rPr>
          <w:color w:val="211F1F"/>
          <w:spacing w:val="-7"/>
          <w:sz w:val="24"/>
        </w:rPr>
        <w:t xml:space="preserve"> </w:t>
      </w:r>
      <w:r>
        <w:rPr>
          <w:color w:val="211F1F"/>
          <w:sz w:val="24"/>
        </w:rPr>
        <w:t>times</w:t>
      </w:r>
      <w:r>
        <w:rPr>
          <w:color w:val="211F1F"/>
          <w:spacing w:val="-5"/>
          <w:sz w:val="24"/>
        </w:rPr>
        <w:t xml:space="preserve"> </w:t>
      </w:r>
      <w:r>
        <w:rPr>
          <w:color w:val="211F1F"/>
          <w:sz w:val="24"/>
        </w:rPr>
        <w:t>for</w:t>
      </w:r>
      <w:r>
        <w:rPr>
          <w:color w:val="211F1F"/>
          <w:spacing w:val="-6"/>
          <w:sz w:val="24"/>
        </w:rPr>
        <w:t xml:space="preserve"> </w:t>
      </w:r>
      <w:r>
        <w:rPr>
          <w:color w:val="211F1F"/>
          <w:sz w:val="24"/>
        </w:rPr>
        <w:t>completion</w:t>
      </w:r>
      <w:r>
        <w:rPr>
          <w:color w:val="211F1F"/>
          <w:spacing w:val="-11"/>
          <w:sz w:val="24"/>
        </w:rPr>
        <w:t xml:space="preserve"> </w:t>
      </w:r>
      <w:r>
        <w:rPr>
          <w:color w:val="211F1F"/>
          <w:sz w:val="24"/>
        </w:rPr>
        <w:t>are</w:t>
      </w:r>
      <w:r>
        <w:rPr>
          <w:color w:val="211F1F"/>
          <w:spacing w:val="-4"/>
          <w:sz w:val="24"/>
        </w:rPr>
        <w:t xml:space="preserve"> </w:t>
      </w:r>
      <w:r>
        <w:rPr>
          <w:color w:val="211F1F"/>
          <w:sz w:val="24"/>
        </w:rPr>
        <w:t>explicitly</w:t>
      </w:r>
      <w:r>
        <w:rPr>
          <w:color w:val="211F1F"/>
          <w:spacing w:val="-6"/>
          <w:sz w:val="24"/>
        </w:rPr>
        <w:t xml:space="preserve"> </w:t>
      </w:r>
      <w:r>
        <w:rPr>
          <w:color w:val="211F1F"/>
          <w:sz w:val="24"/>
        </w:rPr>
        <w:t>invited,</w:t>
      </w:r>
      <w:r>
        <w:rPr>
          <w:color w:val="211F1F"/>
          <w:spacing w:val="-4"/>
          <w:sz w:val="24"/>
        </w:rPr>
        <w:t xml:space="preserve"> </w:t>
      </w:r>
      <w:r>
        <w:rPr>
          <w:color w:val="211F1F"/>
          <w:sz w:val="24"/>
        </w:rPr>
        <w:t>a</w:t>
      </w:r>
      <w:r>
        <w:rPr>
          <w:color w:val="211F1F"/>
          <w:spacing w:val="-9"/>
          <w:sz w:val="24"/>
        </w:rPr>
        <w:t xml:space="preserve"> </w:t>
      </w:r>
      <w:r>
        <w:rPr>
          <w:color w:val="211F1F"/>
          <w:sz w:val="24"/>
        </w:rPr>
        <w:t>statement</w:t>
      </w:r>
      <w:r>
        <w:rPr>
          <w:color w:val="211F1F"/>
          <w:spacing w:val="-6"/>
          <w:sz w:val="24"/>
        </w:rPr>
        <w:t xml:space="preserve"> </w:t>
      </w:r>
      <w:r>
        <w:rPr>
          <w:color w:val="211F1F"/>
          <w:sz w:val="24"/>
        </w:rPr>
        <w:t>to</w:t>
      </w:r>
      <w:r>
        <w:rPr>
          <w:color w:val="211F1F"/>
          <w:spacing w:val="-8"/>
          <w:sz w:val="24"/>
        </w:rPr>
        <w:t xml:space="preserve"> </w:t>
      </w:r>
      <w:r>
        <w:rPr>
          <w:color w:val="211F1F"/>
          <w:sz w:val="24"/>
        </w:rPr>
        <w:t>that</w:t>
      </w:r>
      <w:r>
        <w:rPr>
          <w:color w:val="211F1F"/>
          <w:spacing w:val="-2"/>
          <w:sz w:val="24"/>
        </w:rPr>
        <w:t xml:space="preserve"> </w:t>
      </w:r>
      <w:r>
        <w:rPr>
          <w:color w:val="211F1F"/>
          <w:sz w:val="24"/>
        </w:rPr>
        <w:t>effect will</w:t>
      </w:r>
      <w:r>
        <w:rPr>
          <w:color w:val="211F1F"/>
          <w:spacing w:val="-3"/>
          <w:sz w:val="24"/>
        </w:rPr>
        <w:t xml:space="preserve"> </w:t>
      </w:r>
      <w:r>
        <w:rPr>
          <w:color w:val="211F1F"/>
          <w:sz w:val="24"/>
        </w:rPr>
        <w:t>be included in</w:t>
      </w:r>
      <w:r>
        <w:rPr>
          <w:color w:val="211F1F"/>
          <w:spacing w:val="-4"/>
          <w:sz w:val="24"/>
        </w:rPr>
        <w:t xml:space="preserve"> </w:t>
      </w:r>
      <w:r>
        <w:rPr>
          <w:color w:val="211F1F"/>
          <w:sz w:val="24"/>
        </w:rPr>
        <w:t xml:space="preserve">the </w:t>
      </w:r>
      <w:r>
        <w:rPr>
          <w:b/>
          <w:color w:val="211F1F"/>
          <w:sz w:val="24"/>
        </w:rPr>
        <w:t>TDS</w:t>
      </w:r>
      <w:r>
        <w:rPr>
          <w:color w:val="211F1F"/>
          <w:sz w:val="24"/>
        </w:rPr>
        <w:t>, and the method</w:t>
      </w:r>
      <w:r>
        <w:rPr>
          <w:color w:val="211F1F"/>
          <w:spacing w:val="-4"/>
          <w:sz w:val="24"/>
        </w:rPr>
        <w:t xml:space="preserve"> </w:t>
      </w:r>
      <w:r>
        <w:rPr>
          <w:color w:val="211F1F"/>
          <w:sz w:val="24"/>
        </w:rPr>
        <w:t>of</w:t>
      </w:r>
      <w:r>
        <w:rPr>
          <w:color w:val="211F1F"/>
          <w:spacing w:val="-7"/>
          <w:sz w:val="24"/>
        </w:rPr>
        <w:t xml:space="preserve"> </w:t>
      </w:r>
      <w:r>
        <w:rPr>
          <w:color w:val="211F1F"/>
          <w:sz w:val="24"/>
        </w:rPr>
        <w:t>evaluating different alternative times for completion</w:t>
      </w:r>
      <w:r>
        <w:rPr>
          <w:color w:val="211F1F"/>
          <w:spacing w:val="-6"/>
          <w:sz w:val="24"/>
        </w:rPr>
        <w:t xml:space="preserve"> </w:t>
      </w:r>
      <w:r>
        <w:rPr>
          <w:color w:val="211F1F"/>
          <w:sz w:val="24"/>
        </w:rPr>
        <w:t>will</w:t>
      </w:r>
      <w:r>
        <w:rPr>
          <w:color w:val="211F1F"/>
          <w:spacing w:val="-5"/>
          <w:sz w:val="24"/>
        </w:rPr>
        <w:t xml:space="preserve"> </w:t>
      </w:r>
      <w:r>
        <w:rPr>
          <w:color w:val="211F1F"/>
          <w:sz w:val="24"/>
        </w:rPr>
        <w:t>be described in</w:t>
      </w:r>
      <w:r>
        <w:rPr>
          <w:color w:val="211F1F"/>
          <w:spacing w:val="-6"/>
          <w:sz w:val="24"/>
        </w:rPr>
        <w:t xml:space="preserve"> </w:t>
      </w:r>
      <w:r>
        <w:rPr>
          <w:color w:val="211F1F"/>
          <w:sz w:val="24"/>
        </w:rPr>
        <w:t>Section</w:t>
      </w:r>
      <w:r>
        <w:rPr>
          <w:color w:val="211F1F"/>
          <w:spacing w:val="-6"/>
          <w:sz w:val="24"/>
        </w:rPr>
        <w:t xml:space="preserve"> </w:t>
      </w:r>
      <w:r>
        <w:rPr>
          <w:color w:val="211F1F"/>
          <w:sz w:val="24"/>
        </w:rPr>
        <w:t>III,</w:t>
      </w:r>
      <w:r>
        <w:rPr>
          <w:color w:val="211F1F"/>
          <w:spacing w:val="-5"/>
          <w:sz w:val="24"/>
        </w:rPr>
        <w:t xml:space="preserve"> </w:t>
      </w:r>
      <w:r>
        <w:rPr>
          <w:color w:val="211F1F"/>
          <w:sz w:val="24"/>
        </w:rPr>
        <w:t>Evaluation</w:t>
      </w:r>
      <w:r>
        <w:rPr>
          <w:color w:val="211F1F"/>
          <w:spacing w:val="-6"/>
          <w:sz w:val="24"/>
        </w:rPr>
        <w:t xml:space="preserve"> </w:t>
      </w:r>
      <w:r>
        <w:rPr>
          <w:color w:val="211F1F"/>
          <w:sz w:val="24"/>
        </w:rPr>
        <w:t>and</w:t>
      </w:r>
      <w:r>
        <w:rPr>
          <w:color w:val="211F1F"/>
          <w:spacing w:val="-2"/>
          <w:sz w:val="24"/>
        </w:rPr>
        <w:t xml:space="preserve"> </w:t>
      </w:r>
      <w:r>
        <w:rPr>
          <w:color w:val="211F1F"/>
          <w:sz w:val="24"/>
        </w:rPr>
        <w:t>Qualification</w:t>
      </w:r>
      <w:r>
        <w:rPr>
          <w:color w:val="211F1F"/>
          <w:spacing w:val="-6"/>
          <w:sz w:val="24"/>
        </w:rPr>
        <w:t xml:space="preserve"> </w:t>
      </w:r>
      <w:r>
        <w:rPr>
          <w:color w:val="211F1F"/>
          <w:sz w:val="24"/>
        </w:rPr>
        <w:t>Criteria.</w:t>
      </w:r>
    </w:p>
    <w:p w14:paraId="08EC54FE" w14:textId="77777777" w:rsidR="00BB77C0" w:rsidRDefault="00370BAA">
      <w:pPr>
        <w:pStyle w:val="ListParagraph"/>
        <w:numPr>
          <w:ilvl w:val="1"/>
          <w:numId w:val="100"/>
        </w:numPr>
        <w:tabs>
          <w:tab w:val="left" w:pos="1441"/>
        </w:tabs>
        <w:spacing w:before="154" w:line="259" w:lineRule="auto"/>
        <w:ind w:left="1441" w:right="62"/>
        <w:jc w:val="left"/>
        <w:rPr>
          <w:color w:val="211F1F"/>
          <w:sz w:val="24"/>
        </w:rPr>
      </w:pPr>
      <w:r>
        <w:rPr>
          <w:color w:val="211F1F"/>
          <w:sz w:val="24"/>
        </w:rPr>
        <w:t xml:space="preserve">Except as provided under ITT13.4 below, Tenderers wishing to offer technical alternatives to the requirements of the Tender Documents must first price the Procuring Entity's design as described in the Tender Documents and shall further provide all information necessary for a complete evaluation of the alternative by the Procuring Entity, including drawings, design calculations, technical specifications, breakdown of prices, and proposed construction methodology and other relevant details. Only the technical alternatives, if any, of the Tenderer with the </w:t>
      </w:r>
      <w:r>
        <w:rPr>
          <w:color w:val="211F1F"/>
          <w:sz w:val="24"/>
          <w:u w:val="single" w:color="211F1F"/>
        </w:rPr>
        <w:t>Winning</w:t>
      </w:r>
      <w:r>
        <w:rPr>
          <w:color w:val="211F1F"/>
          <w:sz w:val="24"/>
        </w:rPr>
        <w:t xml:space="preserve"> </w:t>
      </w:r>
      <w:r>
        <w:rPr>
          <w:color w:val="211F1F"/>
          <w:sz w:val="24"/>
          <w:u w:val="single" w:color="211F1F"/>
        </w:rPr>
        <w:t>Tender</w:t>
      </w:r>
      <w:r>
        <w:rPr>
          <w:color w:val="211F1F"/>
          <w:sz w:val="24"/>
        </w:rPr>
        <w:t xml:space="preserve"> conforming to the basic technical requirements shall be considered by the Procuring Entity. When specified in the </w:t>
      </w:r>
      <w:r>
        <w:rPr>
          <w:b/>
          <w:color w:val="211F1F"/>
          <w:sz w:val="24"/>
        </w:rPr>
        <w:t>TDS</w:t>
      </w:r>
      <w:r>
        <w:rPr>
          <w:color w:val="211F1F"/>
          <w:sz w:val="24"/>
        </w:rPr>
        <w:t>, Tenderers are permitted to submit alternative technical</w:t>
      </w:r>
      <w:r>
        <w:rPr>
          <w:color w:val="211F1F"/>
          <w:spacing w:val="-1"/>
          <w:sz w:val="24"/>
        </w:rPr>
        <w:t xml:space="preserve"> </w:t>
      </w:r>
      <w:r>
        <w:rPr>
          <w:color w:val="211F1F"/>
          <w:sz w:val="24"/>
        </w:rPr>
        <w:t>solutions for specified parts</w:t>
      </w:r>
      <w:r>
        <w:rPr>
          <w:color w:val="211F1F"/>
          <w:spacing w:val="-3"/>
          <w:sz w:val="24"/>
        </w:rPr>
        <w:t xml:space="preserve"> </w:t>
      </w:r>
      <w:r>
        <w:rPr>
          <w:color w:val="211F1F"/>
          <w:sz w:val="24"/>
        </w:rPr>
        <w:t>of</w:t>
      </w:r>
      <w:r>
        <w:rPr>
          <w:color w:val="211F1F"/>
          <w:spacing w:val="-4"/>
          <w:sz w:val="24"/>
        </w:rPr>
        <w:t xml:space="preserve"> </w:t>
      </w:r>
      <w:r>
        <w:rPr>
          <w:color w:val="211F1F"/>
          <w:sz w:val="24"/>
        </w:rPr>
        <w:t>the Works, and such</w:t>
      </w:r>
      <w:r>
        <w:rPr>
          <w:color w:val="211F1F"/>
          <w:spacing w:val="-1"/>
          <w:sz w:val="24"/>
        </w:rPr>
        <w:t xml:space="preserve"> </w:t>
      </w:r>
      <w:r>
        <w:rPr>
          <w:color w:val="211F1F"/>
          <w:sz w:val="24"/>
        </w:rPr>
        <w:t>parts will be identified</w:t>
      </w:r>
      <w:r>
        <w:rPr>
          <w:color w:val="211F1F"/>
          <w:spacing w:val="-2"/>
          <w:sz w:val="24"/>
        </w:rPr>
        <w:t xml:space="preserve"> </w:t>
      </w:r>
      <w:r>
        <w:rPr>
          <w:color w:val="211F1F"/>
          <w:sz w:val="24"/>
        </w:rPr>
        <w:t>in</w:t>
      </w:r>
      <w:r>
        <w:rPr>
          <w:color w:val="211F1F"/>
          <w:spacing w:val="-12"/>
          <w:sz w:val="24"/>
        </w:rPr>
        <w:t xml:space="preserve"> </w:t>
      </w:r>
      <w:r>
        <w:rPr>
          <w:color w:val="211F1F"/>
          <w:sz w:val="24"/>
        </w:rPr>
        <w:t>the</w:t>
      </w:r>
      <w:r>
        <w:rPr>
          <w:color w:val="211F1F"/>
          <w:spacing w:val="-8"/>
          <w:sz w:val="24"/>
        </w:rPr>
        <w:t xml:space="preserve"> </w:t>
      </w:r>
      <w:r>
        <w:rPr>
          <w:b/>
          <w:color w:val="211F1F"/>
          <w:sz w:val="24"/>
        </w:rPr>
        <w:t>TDS</w:t>
      </w:r>
      <w:r>
        <w:rPr>
          <w:color w:val="211F1F"/>
          <w:sz w:val="24"/>
        </w:rPr>
        <w:t>,</w:t>
      </w:r>
      <w:r>
        <w:rPr>
          <w:color w:val="211F1F"/>
          <w:spacing w:val="-4"/>
          <w:sz w:val="24"/>
        </w:rPr>
        <w:t xml:space="preserve"> </w:t>
      </w:r>
      <w:r>
        <w:rPr>
          <w:color w:val="211F1F"/>
          <w:sz w:val="24"/>
        </w:rPr>
        <w:t>as</w:t>
      </w:r>
      <w:r>
        <w:rPr>
          <w:color w:val="211F1F"/>
          <w:spacing w:val="-9"/>
          <w:sz w:val="24"/>
        </w:rPr>
        <w:t xml:space="preserve"> </w:t>
      </w:r>
      <w:r>
        <w:rPr>
          <w:color w:val="211F1F"/>
          <w:sz w:val="24"/>
        </w:rPr>
        <w:t>will</w:t>
      </w:r>
      <w:r>
        <w:rPr>
          <w:color w:val="211F1F"/>
          <w:spacing w:val="-11"/>
          <w:sz w:val="24"/>
        </w:rPr>
        <w:t xml:space="preserve"> </w:t>
      </w:r>
      <w:r>
        <w:rPr>
          <w:color w:val="211F1F"/>
          <w:sz w:val="24"/>
        </w:rPr>
        <w:t>the</w:t>
      </w:r>
      <w:r>
        <w:rPr>
          <w:color w:val="211F1F"/>
          <w:spacing w:val="-3"/>
          <w:sz w:val="24"/>
        </w:rPr>
        <w:t xml:space="preserve"> </w:t>
      </w:r>
      <w:r>
        <w:rPr>
          <w:color w:val="211F1F"/>
          <w:sz w:val="24"/>
        </w:rPr>
        <w:t>method</w:t>
      </w:r>
      <w:r>
        <w:rPr>
          <w:color w:val="211F1F"/>
          <w:spacing w:val="-6"/>
          <w:sz w:val="24"/>
        </w:rPr>
        <w:t xml:space="preserve"> </w:t>
      </w:r>
      <w:r>
        <w:rPr>
          <w:color w:val="211F1F"/>
          <w:sz w:val="24"/>
        </w:rPr>
        <w:t>for</w:t>
      </w:r>
      <w:r>
        <w:rPr>
          <w:color w:val="211F1F"/>
          <w:spacing w:val="-9"/>
          <w:sz w:val="24"/>
        </w:rPr>
        <w:t xml:space="preserve"> </w:t>
      </w:r>
      <w:r>
        <w:rPr>
          <w:color w:val="211F1F"/>
          <w:sz w:val="24"/>
        </w:rPr>
        <w:t>their</w:t>
      </w:r>
      <w:r>
        <w:rPr>
          <w:color w:val="211F1F"/>
          <w:spacing w:val="-1"/>
          <w:sz w:val="24"/>
        </w:rPr>
        <w:t xml:space="preserve"> </w:t>
      </w:r>
      <w:r>
        <w:rPr>
          <w:color w:val="211F1F"/>
          <w:sz w:val="24"/>
        </w:rPr>
        <w:t>evaluating,</w:t>
      </w:r>
      <w:r>
        <w:rPr>
          <w:color w:val="211F1F"/>
          <w:spacing w:val="-3"/>
          <w:sz w:val="24"/>
        </w:rPr>
        <w:t xml:space="preserve"> </w:t>
      </w:r>
      <w:r>
        <w:rPr>
          <w:color w:val="211F1F"/>
          <w:sz w:val="24"/>
        </w:rPr>
        <w:t>and</w:t>
      </w:r>
      <w:r>
        <w:rPr>
          <w:color w:val="211F1F"/>
          <w:spacing w:val="-7"/>
          <w:sz w:val="24"/>
        </w:rPr>
        <w:t xml:space="preserve"> </w:t>
      </w:r>
      <w:r>
        <w:rPr>
          <w:color w:val="211F1F"/>
          <w:sz w:val="24"/>
        </w:rPr>
        <w:t>described in</w:t>
      </w:r>
      <w:r>
        <w:rPr>
          <w:color w:val="211F1F"/>
          <w:spacing w:val="-12"/>
          <w:sz w:val="24"/>
        </w:rPr>
        <w:t xml:space="preserve"> </w:t>
      </w:r>
      <w:r>
        <w:rPr>
          <w:color w:val="211F1F"/>
          <w:sz w:val="24"/>
        </w:rPr>
        <w:t>Section VII, Works' Requirements.</w:t>
      </w:r>
    </w:p>
    <w:p w14:paraId="6D854EF1" w14:textId="77777777" w:rsidR="00BB77C0" w:rsidRDefault="00370BAA">
      <w:pPr>
        <w:pStyle w:val="Heading6"/>
        <w:numPr>
          <w:ilvl w:val="1"/>
          <w:numId w:val="99"/>
        </w:numPr>
        <w:tabs>
          <w:tab w:val="left" w:pos="720"/>
        </w:tabs>
        <w:spacing w:before="241"/>
        <w:ind w:hanging="720"/>
        <w:jc w:val="left"/>
      </w:pPr>
      <w:bookmarkStart w:id="42" w:name="16.0_Tender_Prices_and_Discounts"/>
      <w:bookmarkStart w:id="43" w:name="_bookmark20"/>
      <w:bookmarkEnd w:id="42"/>
      <w:bookmarkEnd w:id="43"/>
      <w:r>
        <w:t>Tender</w:t>
      </w:r>
      <w:r>
        <w:rPr>
          <w:spacing w:val="-17"/>
        </w:rPr>
        <w:t xml:space="preserve"> </w:t>
      </w:r>
      <w:r>
        <w:t>Prices</w:t>
      </w:r>
      <w:r>
        <w:rPr>
          <w:spacing w:val="-15"/>
        </w:rPr>
        <w:t xml:space="preserve"> </w:t>
      </w:r>
      <w:r>
        <w:t>and</w:t>
      </w:r>
      <w:r>
        <w:rPr>
          <w:spacing w:val="-13"/>
        </w:rPr>
        <w:t xml:space="preserve"> </w:t>
      </w:r>
      <w:r>
        <w:rPr>
          <w:spacing w:val="-2"/>
        </w:rPr>
        <w:t>Discounts</w:t>
      </w:r>
    </w:p>
    <w:p w14:paraId="2E325602" w14:textId="77777777" w:rsidR="00BB77C0" w:rsidRDefault="00370BAA">
      <w:pPr>
        <w:pStyle w:val="ListParagraph"/>
        <w:numPr>
          <w:ilvl w:val="1"/>
          <w:numId w:val="99"/>
        </w:numPr>
        <w:tabs>
          <w:tab w:val="left" w:pos="1441"/>
        </w:tabs>
        <w:spacing w:before="74" w:line="259" w:lineRule="auto"/>
        <w:ind w:left="1441" w:right="55"/>
        <w:jc w:val="left"/>
        <w:rPr>
          <w:color w:val="211F1F"/>
          <w:sz w:val="24"/>
        </w:rPr>
      </w:pPr>
      <w:r>
        <w:rPr>
          <w:color w:val="211F1F"/>
          <w:sz w:val="24"/>
        </w:rPr>
        <w:t>The</w:t>
      </w:r>
      <w:r>
        <w:rPr>
          <w:color w:val="211F1F"/>
          <w:spacing w:val="-7"/>
          <w:sz w:val="24"/>
        </w:rPr>
        <w:t xml:space="preserve"> </w:t>
      </w:r>
      <w:r>
        <w:rPr>
          <w:color w:val="211F1F"/>
          <w:sz w:val="24"/>
        </w:rPr>
        <w:t>prices</w:t>
      </w:r>
      <w:r>
        <w:rPr>
          <w:color w:val="211F1F"/>
          <w:spacing w:val="-3"/>
          <w:sz w:val="24"/>
        </w:rPr>
        <w:t xml:space="preserve"> </w:t>
      </w:r>
      <w:r>
        <w:rPr>
          <w:color w:val="211F1F"/>
          <w:sz w:val="24"/>
        </w:rPr>
        <w:t>and</w:t>
      </w:r>
      <w:r>
        <w:rPr>
          <w:color w:val="211F1F"/>
          <w:spacing w:val="-7"/>
          <w:sz w:val="24"/>
        </w:rPr>
        <w:t xml:space="preserve"> </w:t>
      </w:r>
      <w:r>
        <w:rPr>
          <w:color w:val="211F1F"/>
          <w:sz w:val="24"/>
        </w:rPr>
        <w:t>discounts</w:t>
      </w:r>
      <w:r>
        <w:rPr>
          <w:color w:val="211F1F"/>
          <w:spacing w:val="-7"/>
          <w:sz w:val="24"/>
        </w:rPr>
        <w:t xml:space="preserve"> </w:t>
      </w:r>
      <w:r>
        <w:rPr>
          <w:color w:val="211F1F"/>
          <w:sz w:val="24"/>
        </w:rPr>
        <w:t>(including</w:t>
      </w:r>
      <w:r>
        <w:rPr>
          <w:color w:val="211F1F"/>
          <w:spacing w:val="-6"/>
          <w:sz w:val="24"/>
        </w:rPr>
        <w:t xml:space="preserve"> </w:t>
      </w:r>
      <w:r>
        <w:rPr>
          <w:color w:val="211F1F"/>
          <w:sz w:val="24"/>
        </w:rPr>
        <w:t>any</w:t>
      </w:r>
      <w:r>
        <w:rPr>
          <w:color w:val="211F1F"/>
          <w:spacing w:val="-10"/>
          <w:sz w:val="24"/>
        </w:rPr>
        <w:t xml:space="preserve"> </w:t>
      </w:r>
      <w:r>
        <w:rPr>
          <w:color w:val="211F1F"/>
          <w:sz w:val="24"/>
        </w:rPr>
        <w:t>price</w:t>
      </w:r>
      <w:r>
        <w:rPr>
          <w:color w:val="211F1F"/>
          <w:spacing w:val="-2"/>
          <w:sz w:val="24"/>
        </w:rPr>
        <w:t xml:space="preserve"> </w:t>
      </w:r>
      <w:r>
        <w:rPr>
          <w:color w:val="211F1F"/>
          <w:sz w:val="24"/>
        </w:rPr>
        <w:t>reduction)</w:t>
      </w:r>
      <w:r>
        <w:rPr>
          <w:color w:val="211F1F"/>
          <w:spacing w:val="-4"/>
          <w:sz w:val="24"/>
        </w:rPr>
        <w:t xml:space="preserve"> </w:t>
      </w:r>
      <w:r>
        <w:rPr>
          <w:color w:val="211F1F"/>
          <w:sz w:val="24"/>
        </w:rPr>
        <w:t>quoted</w:t>
      </w:r>
      <w:r>
        <w:rPr>
          <w:color w:val="211F1F"/>
          <w:spacing w:val="-7"/>
          <w:sz w:val="24"/>
        </w:rPr>
        <w:t xml:space="preserve"> </w:t>
      </w:r>
      <w:r>
        <w:rPr>
          <w:color w:val="211F1F"/>
          <w:sz w:val="24"/>
        </w:rPr>
        <w:t>by</w:t>
      </w:r>
      <w:r>
        <w:rPr>
          <w:color w:val="211F1F"/>
          <w:spacing w:val="-15"/>
          <w:sz w:val="24"/>
        </w:rPr>
        <w:t xml:space="preserve"> </w:t>
      </w:r>
      <w:r>
        <w:rPr>
          <w:color w:val="211F1F"/>
          <w:sz w:val="24"/>
        </w:rPr>
        <w:t>the</w:t>
      </w:r>
      <w:r>
        <w:rPr>
          <w:color w:val="211F1F"/>
          <w:spacing w:val="-7"/>
          <w:sz w:val="24"/>
        </w:rPr>
        <w:t xml:space="preserve"> </w:t>
      </w:r>
      <w:r>
        <w:rPr>
          <w:color w:val="211F1F"/>
          <w:sz w:val="24"/>
        </w:rPr>
        <w:t>Tenderer in</w:t>
      </w:r>
      <w:r>
        <w:rPr>
          <w:color w:val="211F1F"/>
          <w:spacing w:val="-11"/>
          <w:sz w:val="24"/>
        </w:rPr>
        <w:t xml:space="preserve"> </w:t>
      </w:r>
      <w:r>
        <w:rPr>
          <w:color w:val="211F1F"/>
          <w:sz w:val="24"/>
        </w:rPr>
        <w:t>the Form of Tender and in the Bill of Quantities shall conform to the requirements specified below.</w:t>
      </w:r>
    </w:p>
    <w:p w14:paraId="5C1A5847" w14:textId="77777777" w:rsidR="00BB77C0" w:rsidRDefault="00370BAA">
      <w:pPr>
        <w:pStyle w:val="ListParagraph"/>
        <w:numPr>
          <w:ilvl w:val="1"/>
          <w:numId w:val="99"/>
        </w:numPr>
        <w:tabs>
          <w:tab w:val="left" w:pos="1441"/>
        </w:tabs>
        <w:spacing w:before="158" w:line="259" w:lineRule="auto"/>
        <w:ind w:left="1441" w:right="37"/>
        <w:jc w:val="left"/>
        <w:rPr>
          <w:color w:val="211F1F"/>
          <w:sz w:val="24"/>
        </w:rPr>
      </w:pPr>
      <w:r>
        <w:rPr>
          <w:color w:val="211F1F"/>
          <w:sz w:val="24"/>
        </w:rPr>
        <w:t>The Tenderer shall fill in rates and prices for all items of</w:t>
      </w:r>
      <w:r>
        <w:rPr>
          <w:color w:val="211F1F"/>
          <w:spacing w:val="-1"/>
          <w:sz w:val="24"/>
        </w:rPr>
        <w:t xml:space="preserve"> </w:t>
      </w:r>
      <w:r>
        <w:rPr>
          <w:color w:val="211F1F"/>
          <w:sz w:val="24"/>
        </w:rPr>
        <w:t>the Works described in the Bill</w:t>
      </w:r>
      <w:r>
        <w:rPr>
          <w:color w:val="211F1F"/>
          <w:spacing w:val="-10"/>
          <w:sz w:val="24"/>
        </w:rPr>
        <w:t xml:space="preserve"> </w:t>
      </w:r>
      <w:r>
        <w:rPr>
          <w:color w:val="211F1F"/>
          <w:sz w:val="24"/>
        </w:rPr>
        <w:t>of</w:t>
      </w:r>
      <w:r>
        <w:rPr>
          <w:color w:val="211F1F"/>
          <w:spacing w:val="-10"/>
          <w:sz w:val="24"/>
        </w:rPr>
        <w:t xml:space="preserve"> </w:t>
      </w:r>
      <w:r>
        <w:rPr>
          <w:color w:val="211F1F"/>
          <w:sz w:val="24"/>
        </w:rPr>
        <w:t>Quantities. Items</w:t>
      </w:r>
      <w:r>
        <w:rPr>
          <w:color w:val="211F1F"/>
          <w:spacing w:val="-5"/>
          <w:sz w:val="24"/>
        </w:rPr>
        <w:t xml:space="preserve"> </w:t>
      </w:r>
      <w:r>
        <w:rPr>
          <w:color w:val="211F1F"/>
          <w:sz w:val="24"/>
        </w:rPr>
        <w:t>against which</w:t>
      </w:r>
      <w:r>
        <w:rPr>
          <w:color w:val="211F1F"/>
          <w:spacing w:val="-7"/>
          <w:sz w:val="24"/>
        </w:rPr>
        <w:t xml:space="preserve"> </w:t>
      </w:r>
      <w:r>
        <w:rPr>
          <w:color w:val="211F1F"/>
          <w:sz w:val="24"/>
        </w:rPr>
        <w:t>no rate</w:t>
      </w:r>
      <w:r>
        <w:rPr>
          <w:color w:val="211F1F"/>
          <w:spacing w:val="-12"/>
          <w:sz w:val="24"/>
        </w:rPr>
        <w:t xml:space="preserve"> </w:t>
      </w:r>
      <w:r>
        <w:rPr>
          <w:color w:val="211F1F"/>
          <w:sz w:val="24"/>
        </w:rPr>
        <w:t>or</w:t>
      </w:r>
      <w:r>
        <w:rPr>
          <w:color w:val="211F1F"/>
          <w:spacing w:val="-2"/>
          <w:sz w:val="24"/>
        </w:rPr>
        <w:t xml:space="preserve"> </w:t>
      </w:r>
      <w:r>
        <w:rPr>
          <w:color w:val="211F1F"/>
          <w:sz w:val="24"/>
        </w:rPr>
        <w:t>price is</w:t>
      </w:r>
      <w:r>
        <w:rPr>
          <w:color w:val="211F1F"/>
          <w:spacing w:val="-5"/>
          <w:sz w:val="24"/>
        </w:rPr>
        <w:t xml:space="preserve"> </w:t>
      </w:r>
      <w:r>
        <w:rPr>
          <w:color w:val="211F1F"/>
          <w:sz w:val="24"/>
        </w:rPr>
        <w:t>entered</w:t>
      </w:r>
      <w:r>
        <w:rPr>
          <w:color w:val="211F1F"/>
          <w:spacing w:val="-2"/>
          <w:sz w:val="24"/>
        </w:rPr>
        <w:t xml:space="preserve"> </w:t>
      </w:r>
      <w:r>
        <w:rPr>
          <w:color w:val="211F1F"/>
          <w:sz w:val="24"/>
        </w:rPr>
        <w:t>by</w:t>
      </w:r>
      <w:r>
        <w:rPr>
          <w:color w:val="211F1F"/>
          <w:spacing w:val="-11"/>
          <w:sz w:val="24"/>
        </w:rPr>
        <w:t xml:space="preserve"> </w:t>
      </w:r>
      <w:r>
        <w:rPr>
          <w:color w:val="211F1F"/>
          <w:sz w:val="24"/>
        </w:rPr>
        <w:t>the</w:t>
      </w:r>
      <w:r>
        <w:rPr>
          <w:color w:val="211F1F"/>
          <w:spacing w:val="-4"/>
          <w:sz w:val="24"/>
        </w:rPr>
        <w:t xml:space="preserve"> </w:t>
      </w:r>
      <w:r>
        <w:rPr>
          <w:color w:val="211F1F"/>
          <w:sz w:val="24"/>
        </w:rPr>
        <w:t>Tenderer shall be</w:t>
      </w:r>
      <w:r>
        <w:rPr>
          <w:color w:val="211F1F"/>
          <w:spacing w:val="-6"/>
          <w:sz w:val="24"/>
        </w:rPr>
        <w:t xml:space="preserve"> </w:t>
      </w:r>
      <w:r>
        <w:rPr>
          <w:color w:val="211F1F"/>
          <w:sz w:val="24"/>
        </w:rPr>
        <w:t>deemed covered by</w:t>
      </w:r>
      <w:r>
        <w:rPr>
          <w:color w:val="211F1F"/>
          <w:spacing w:val="-10"/>
          <w:sz w:val="24"/>
        </w:rPr>
        <w:t xml:space="preserve"> </w:t>
      </w:r>
      <w:r>
        <w:rPr>
          <w:color w:val="211F1F"/>
          <w:sz w:val="24"/>
        </w:rPr>
        <w:t>the</w:t>
      </w:r>
      <w:r>
        <w:rPr>
          <w:color w:val="211F1F"/>
          <w:spacing w:val="-6"/>
          <w:sz w:val="24"/>
        </w:rPr>
        <w:t xml:space="preserve"> </w:t>
      </w:r>
      <w:r>
        <w:rPr>
          <w:color w:val="211F1F"/>
          <w:sz w:val="24"/>
        </w:rPr>
        <w:t>rates</w:t>
      </w:r>
      <w:r>
        <w:rPr>
          <w:color w:val="211F1F"/>
          <w:spacing w:val="-1"/>
          <w:sz w:val="24"/>
        </w:rPr>
        <w:t xml:space="preserve"> </w:t>
      </w:r>
      <w:r>
        <w:rPr>
          <w:color w:val="211F1F"/>
          <w:sz w:val="24"/>
        </w:rPr>
        <w:t>for</w:t>
      </w:r>
      <w:r>
        <w:rPr>
          <w:color w:val="211F1F"/>
          <w:spacing w:val="-8"/>
          <w:sz w:val="24"/>
        </w:rPr>
        <w:t xml:space="preserve"> </w:t>
      </w:r>
      <w:r>
        <w:rPr>
          <w:color w:val="211F1F"/>
          <w:sz w:val="24"/>
        </w:rPr>
        <w:t>other</w:t>
      </w:r>
      <w:r>
        <w:rPr>
          <w:color w:val="211F1F"/>
          <w:spacing w:val="-3"/>
          <w:sz w:val="24"/>
        </w:rPr>
        <w:t xml:space="preserve"> </w:t>
      </w:r>
      <w:r>
        <w:rPr>
          <w:color w:val="211F1F"/>
          <w:sz w:val="24"/>
        </w:rPr>
        <w:t>items in</w:t>
      </w:r>
      <w:r>
        <w:rPr>
          <w:color w:val="211F1F"/>
          <w:spacing w:val="-5"/>
          <w:sz w:val="24"/>
        </w:rPr>
        <w:t xml:space="preserve"> </w:t>
      </w:r>
      <w:r>
        <w:rPr>
          <w:color w:val="211F1F"/>
          <w:sz w:val="24"/>
        </w:rPr>
        <w:t>the</w:t>
      </w:r>
      <w:r>
        <w:rPr>
          <w:color w:val="211F1F"/>
          <w:spacing w:val="-5"/>
          <w:sz w:val="24"/>
        </w:rPr>
        <w:t xml:space="preserve"> </w:t>
      </w:r>
      <w:r>
        <w:rPr>
          <w:color w:val="211F1F"/>
          <w:sz w:val="24"/>
        </w:rPr>
        <w:t>Bill</w:t>
      </w:r>
      <w:r>
        <w:rPr>
          <w:color w:val="211F1F"/>
          <w:spacing w:val="-8"/>
          <w:sz w:val="24"/>
        </w:rPr>
        <w:t xml:space="preserve"> </w:t>
      </w:r>
      <w:r>
        <w:rPr>
          <w:color w:val="211F1F"/>
          <w:sz w:val="24"/>
        </w:rPr>
        <w:t>of</w:t>
      </w:r>
      <w:r>
        <w:rPr>
          <w:color w:val="211F1F"/>
          <w:spacing w:val="-13"/>
          <w:sz w:val="24"/>
        </w:rPr>
        <w:t xml:space="preserve"> </w:t>
      </w:r>
      <w:r>
        <w:rPr>
          <w:color w:val="211F1F"/>
          <w:sz w:val="24"/>
        </w:rPr>
        <w:t>Quantities</w:t>
      </w:r>
      <w:r>
        <w:rPr>
          <w:color w:val="211F1F"/>
          <w:spacing w:val="-1"/>
          <w:sz w:val="24"/>
        </w:rPr>
        <w:t xml:space="preserve"> </w:t>
      </w:r>
      <w:r>
        <w:rPr>
          <w:color w:val="211F1F"/>
          <w:sz w:val="24"/>
        </w:rPr>
        <w:t>and will</w:t>
      </w:r>
      <w:r>
        <w:rPr>
          <w:color w:val="211F1F"/>
          <w:spacing w:val="-4"/>
          <w:sz w:val="24"/>
        </w:rPr>
        <w:t xml:space="preserve"> </w:t>
      </w:r>
      <w:r>
        <w:rPr>
          <w:color w:val="211F1F"/>
          <w:sz w:val="24"/>
        </w:rPr>
        <w:t>not be paid for separately by the Procuring Entity. An item not listed in the priced Bill</w:t>
      </w:r>
      <w:r>
        <w:rPr>
          <w:color w:val="211F1F"/>
          <w:spacing w:val="-1"/>
          <w:sz w:val="24"/>
        </w:rPr>
        <w:t xml:space="preserve"> </w:t>
      </w:r>
      <w:r>
        <w:rPr>
          <w:color w:val="211F1F"/>
          <w:sz w:val="24"/>
        </w:rPr>
        <w:t>of Quantities shall be assumed to be not included in the Tender, and provided that the Tender is determined substantially responsive notwithstanding this omission, the average price of the item quoted by substantially responsive Tenderers will be added to the Tender price and the equivalent total</w:t>
      </w:r>
      <w:r>
        <w:rPr>
          <w:color w:val="211F1F"/>
          <w:spacing w:val="-1"/>
          <w:sz w:val="24"/>
        </w:rPr>
        <w:t xml:space="preserve"> </w:t>
      </w:r>
      <w:r>
        <w:rPr>
          <w:color w:val="211F1F"/>
          <w:sz w:val="24"/>
        </w:rPr>
        <w:t>cost of the Tender so determined will be used for price comparison.</w:t>
      </w:r>
    </w:p>
    <w:p w14:paraId="79B9758E" w14:textId="77777777" w:rsidR="00BB77C0" w:rsidRDefault="00370BAA">
      <w:pPr>
        <w:pStyle w:val="ListParagraph"/>
        <w:numPr>
          <w:ilvl w:val="1"/>
          <w:numId w:val="99"/>
        </w:numPr>
        <w:tabs>
          <w:tab w:val="left" w:pos="1441"/>
        </w:tabs>
        <w:spacing w:before="160" w:line="259" w:lineRule="auto"/>
        <w:ind w:left="1441" w:right="175"/>
        <w:jc w:val="left"/>
        <w:rPr>
          <w:color w:val="211F1F"/>
          <w:sz w:val="24"/>
        </w:rPr>
      </w:pPr>
      <w:r>
        <w:rPr>
          <w:color w:val="211F1F"/>
          <w:sz w:val="24"/>
        </w:rPr>
        <w:t>The</w:t>
      </w:r>
      <w:r>
        <w:rPr>
          <w:color w:val="211F1F"/>
          <w:spacing w:val="-7"/>
          <w:sz w:val="24"/>
        </w:rPr>
        <w:t xml:space="preserve"> </w:t>
      </w:r>
      <w:r>
        <w:rPr>
          <w:color w:val="211F1F"/>
          <w:sz w:val="24"/>
        </w:rPr>
        <w:t>price</w:t>
      </w:r>
      <w:r>
        <w:rPr>
          <w:color w:val="211F1F"/>
          <w:spacing w:val="-6"/>
          <w:sz w:val="24"/>
        </w:rPr>
        <w:t xml:space="preserve"> </w:t>
      </w:r>
      <w:r>
        <w:rPr>
          <w:color w:val="211F1F"/>
          <w:sz w:val="24"/>
        </w:rPr>
        <w:t>to</w:t>
      </w:r>
      <w:r>
        <w:rPr>
          <w:color w:val="211F1F"/>
          <w:spacing w:val="-2"/>
          <w:sz w:val="24"/>
        </w:rPr>
        <w:t xml:space="preserve"> </w:t>
      </w:r>
      <w:r>
        <w:rPr>
          <w:color w:val="211F1F"/>
          <w:sz w:val="24"/>
        </w:rPr>
        <w:t>be</w:t>
      </w:r>
      <w:r>
        <w:rPr>
          <w:color w:val="211F1F"/>
          <w:spacing w:val="-7"/>
          <w:sz w:val="24"/>
        </w:rPr>
        <w:t xml:space="preserve"> </w:t>
      </w:r>
      <w:r>
        <w:rPr>
          <w:color w:val="211F1F"/>
          <w:sz w:val="24"/>
        </w:rPr>
        <w:t>quoted</w:t>
      </w:r>
      <w:r>
        <w:rPr>
          <w:color w:val="211F1F"/>
          <w:spacing w:val="-5"/>
          <w:sz w:val="24"/>
        </w:rPr>
        <w:t xml:space="preserve"> </w:t>
      </w:r>
      <w:r>
        <w:rPr>
          <w:color w:val="211F1F"/>
          <w:sz w:val="24"/>
        </w:rPr>
        <w:t>in</w:t>
      </w:r>
      <w:r>
        <w:rPr>
          <w:color w:val="211F1F"/>
          <w:spacing w:val="-6"/>
          <w:sz w:val="24"/>
        </w:rPr>
        <w:t xml:space="preserve"> </w:t>
      </w:r>
      <w:r>
        <w:rPr>
          <w:color w:val="211F1F"/>
          <w:sz w:val="24"/>
        </w:rPr>
        <w:t>the</w:t>
      </w:r>
      <w:r>
        <w:rPr>
          <w:color w:val="211F1F"/>
          <w:spacing w:val="-7"/>
          <w:sz w:val="24"/>
        </w:rPr>
        <w:t xml:space="preserve"> </w:t>
      </w:r>
      <w:r>
        <w:rPr>
          <w:color w:val="211F1F"/>
          <w:sz w:val="24"/>
        </w:rPr>
        <w:t>Form</w:t>
      </w:r>
      <w:r>
        <w:rPr>
          <w:color w:val="211F1F"/>
          <w:spacing w:val="-14"/>
          <w:sz w:val="24"/>
        </w:rPr>
        <w:t xml:space="preserve"> </w:t>
      </w:r>
      <w:r>
        <w:rPr>
          <w:color w:val="211F1F"/>
          <w:sz w:val="24"/>
        </w:rPr>
        <w:t>of</w:t>
      </w:r>
      <w:r>
        <w:rPr>
          <w:color w:val="211F1F"/>
          <w:spacing w:val="-9"/>
          <w:sz w:val="24"/>
        </w:rPr>
        <w:t xml:space="preserve"> </w:t>
      </w:r>
      <w:r>
        <w:rPr>
          <w:color w:val="211F1F"/>
          <w:sz w:val="24"/>
        </w:rPr>
        <w:t>Tender,</w:t>
      </w:r>
      <w:r>
        <w:rPr>
          <w:color w:val="211F1F"/>
          <w:spacing w:val="-7"/>
          <w:sz w:val="24"/>
        </w:rPr>
        <w:t xml:space="preserve"> </w:t>
      </w:r>
      <w:r>
        <w:rPr>
          <w:color w:val="211F1F"/>
          <w:sz w:val="24"/>
        </w:rPr>
        <w:t>in</w:t>
      </w:r>
      <w:r>
        <w:rPr>
          <w:color w:val="211F1F"/>
          <w:spacing w:val="-11"/>
          <w:sz w:val="24"/>
        </w:rPr>
        <w:t xml:space="preserve"> </w:t>
      </w:r>
      <w:r>
        <w:rPr>
          <w:color w:val="211F1F"/>
          <w:sz w:val="24"/>
        </w:rPr>
        <w:t>accordance</w:t>
      </w:r>
      <w:r>
        <w:rPr>
          <w:color w:val="211F1F"/>
          <w:spacing w:val="-5"/>
          <w:sz w:val="24"/>
        </w:rPr>
        <w:t xml:space="preserve"> </w:t>
      </w:r>
      <w:r>
        <w:rPr>
          <w:color w:val="211F1F"/>
          <w:sz w:val="24"/>
        </w:rPr>
        <w:t>with</w:t>
      </w:r>
      <w:r>
        <w:rPr>
          <w:color w:val="211F1F"/>
          <w:spacing w:val="-5"/>
          <w:sz w:val="24"/>
        </w:rPr>
        <w:t xml:space="preserve"> </w:t>
      </w:r>
      <w:r>
        <w:rPr>
          <w:color w:val="211F1F"/>
          <w:sz w:val="24"/>
        </w:rPr>
        <w:t>ITT</w:t>
      </w:r>
      <w:r>
        <w:rPr>
          <w:color w:val="211F1F"/>
          <w:spacing w:val="-3"/>
          <w:sz w:val="24"/>
        </w:rPr>
        <w:t xml:space="preserve"> </w:t>
      </w:r>
      <w:r>
        <w:rPr>
          <w:color w:val="211F1F"/>
          <w:sz w:val="24"/>
        </w:rPr>
        <w:t>12,</w:t>
      </w:r>
      <w:r>
        <w:rPr>
          <w:color w:val="211F1F"/>
          <w:spacing w:val="-3"/>
          <w:sz w:val="24"/>
        </w:rPr>
        <w:t xml:space="preserve"> </w:t>
      </w:r>
      <w:r>
        <w:rPr>
          <w:color w:val="211F1F"/>
          <w:sz w:val="24"/>
        </w:rPr>
        <w:t>shall</w:t>
      </w:r>
      <w:r>
        <w:rPr>
          <w:color w:val="211F1F"/>
          <w:spacing w:val="-5"/>
          <w:sz w:val="24"/>
        </w:rPr>
        <w:t xml:space="preserve"> </w:t>
      </w:r>
      <w:r>
        <w:rPr>
          <w:color w:val="211F1F"/>
          <w:sz w:val="24"/>
        </w:rPr>
        <w:t>be</w:t>
      </w:r>
      <w:r>
        <w:rPr>
          <w:color w:val="211F1F"/>
          <w:spacing w:val="-6"/>
          <w:sz w:val="24"/>
        </w:rPr>
        <w:t xml:space="preserve"> </w:t>
      </w:r>
      <w:r>
        <w:rPr>
          <w:color w:val="211F1F"/>
          <w:sz w:val="24"/>
        </w:rPr>
        <w:t>the total price of the Tender, including any discounts offered.</w:t>
      </w:r>
    </w:p>
    <w:p w14:paraId="5ADFB9A7" w14:textId="77777777" w:rsidR="00BB77C0" w:rsidRDefault="00370BAA">
      <w:pPr>
        <w:pStyle w:val="ListParagraph"/>
        <w:numPr>
          <w:ilvl w:val="1"/>
          <w:numId w:val="99"/>
        </w:numPr>
        <w:tabs>
          <w:tab w:val="left" w:pos="1441"/>
        </w:tabs>
        <w:spacing w:before="157" w:line="264" w:lineRule="auto"/>
        <w:ind w:left="1441" w:right="272"/>
        <w:jc w:val="left"/>
        <w:rPr>
          <w:color w:val="211F1F"/>
          <w:sz w:val="24"/>
        </w:rPr>
      </w:pPr>
      <w:r>
        <w:rPr>
          <w:color w:val="211F1F"/>
          <w:sz w:val="24"/>
        </w:rPr>
        <w:t>The</w:t>
      </w:r>
      <w:r>
        <w:rPr>
          <w:color w:val="211F1F"/>
          <w:spacing w:val="-8"/>
          <w:sz w:val="24"/>
        </w:rPr>
        <w:t xml:space="preserve"> </w:t>
      </w:r>
      <w:r>
        <w:rPr>
          <w:color w:val="211F1F"/>
          <w:sz w:val="24"/>
        </w:rPr>
        <w:t>Tenderer</w:t>
      </w:r>
      <w:r>
        <w:rPr>
          <w:color w:val="211F1F"/>
          <w:spacing w:val="-4"/>
          <w:sz w:val="24"/>
        </w:rPr>
        <w:t xml:space="preserve"> </w:t>
      </w:r>
      <w:r>
        <w:rPr>
          <w:color w:val="211F1F"/>
          <w:sz w:val="24"/>
        </w:rPr>
        <w:t>shall</w:t>
      </w:r>
      <w:r>
        <w:rPr>
          <w:color w:val="211F1F"/>
          <w:spacing w:val="-10"/>
          <w:sz w:val="24"/>
        </w:rPr>
        <w:t xml:space="preserve"> </w:t>
      </w:r>
      <w:r>
        <w:rPr>
          <w:color w:val="211F1F"/>
          <w:sz w:val="24"/>
        </w:rPr>
        <w:t>quote</w:t>
      </w:r>
      <w:r>
        <w:rPr>
          <w:color w:val="211F1F"/>
          <w:spacing w:val="-7"/>
          <w:sz w:val="24"/>
        </w:rPr>
        <w:t xml:space="preserve"> </w:t>
      </w:r>
      <w:r>
        <w:rPr>
          <w:color w:val="211F1F"/>
          <w:sz w:val="24"/>
        </w:rPr>
        <w:t>any</w:t>
      </w:r>
      <w:r>
        <w:rPr>
          <w:color w:val="211F1F"/>
          <w:spacing w:val="-12"/>
          <w:sz w:val="24"/>
        </w:rPr>
        <w:t xml:space="preserve"> </w:t>
      </w:r>
      <w:r>
        <w:rPr>
          <w:color w:val="211F1F"/>
          <w:sz w:val="24"/>
        </w:rPr>
        <w:t>discounts</w:t>
      </w:r>
      <w:r>
        <w:rPr>
          <w:color w:val="211F1F"/>
          <w:spacing w:val="-3"/>
          <w:sz w:val="24"/>
        </w:rPr>
        <w:t xml:space="preserve"> </w:t>
      </w:r>
      <w:r>
        <w:rPr>
          <w:color w:val="211F1F"/>
          <w:sz w:val="24"/>
        </w:rPr>
        <w:t>and</w:t>
      </w:r>
      <w:r>
        <w:rPr>
          <w:color w:val="211F1F"/>
          <w:spacing w:val="-2"/>
          <w:sz w:val="24"/>
        </w:rPr>
        <w:t xml:space="preserve"> </w:t>
      </w:r>
      <w:r>
        <w:rPr>
          <w:color w:val="211F1F"/>
          <w:sz w:val="24"/>
        </w:rPr>
        <w:t>the</w:t>
      </w:r>
      <w:r>
        <w:rPr>
          <w:color w:val="211F1F"/>
          <w:spacing w:val="-3"/>
          <w:sz w:val="24"/>
        </w:rPr>
        <w:t xml:space="preserve"> </w:t>
      </w:r>
      <w:r>
        <w:rPr>
          <w:color w:val="211F1F"/>
          <w:sz w:val="24"/>
        </w:rPr>
        <w:t>methodology</w:t>
      </w:r>
      <w:r>
        <w:rPr>
          <w:color w:val="211F1F"/>
          <w:spacing w:val="-9"/>
          <w:sz w:val="24"/>
        </w:rPr>
        <w:t xml:space="preserve"> </w:t>
      </w:r>
      <w:r>
        <w:rPr>
          <w:color w:val="211F1F"/>
          <w:sz w:val="24"/>
        </w:rPr>
        <w:t>for</w:t>
      </w:r>
      <w:r>
        <w:rPr>
          <w:color w:val="211F1F"/>
          <w:spacing w:val="-5"/>
          <w:sz w:val="24"/>
        </w:rPr>
        <w:t xml:space="preserve"> </w:t>
      </w:r>
      <w:r>
        <w:rPr>
          <w:color w:val="211F1F"/>
          <w:sz w:val="24"/>
        </w:rPr>
        <w:t>their</w:t>
      </w:r>
      <w:r>
        <w:rPr>
          <w:color w:val="211F1F"/>
          <w:spacing w:val="-4"/>
          <w:sz w:val="24"/>
        </w:rPr>
        <w:t xml:space="preserve"> </w:t>
      </w:r>
      <w:r>
        <w:rPr>
          <w:color w:val="211F1F"/>
          <w:sz w:val="24"/>
        </w:rPr>
        <w:t>application in the Form of Tender, in accordance with ITT 12</w:t>
      </w:r>
    </w:p>
    <w:p w14:paraId="53E21941" w14:textId="77777777" w:rsidR="00BB77C0" w:rsidRDefault="00370BAA">
      <w:pPr>
        <w:pStyle w:val="ListParagraph"/>
        <w:numPr>
          <w:ilvl w:val="1"/>
          <w:numId w:val="99"/>
        </w:numPr>
        <w:tabs>
          <w:tab w:val="left" w:pos="1441"/>
        </w:tabs>
        <w:spacing w:before="152" w:line="259" w:lineRule="auto"/>
        <w:ind w:left="1441" w:right="69"/>
        <w:jc w:val="left"/>
        <w:rPr>
          <w:color w:val="211F1F"/>
          <w:sz w:val="24"/>
        </w:rPr>
      </w:pPr>
      <w:r>
        <w:rPr>
          <w:color w:val="211F1F"/>
          <w:sz w:val="24"/>
        </w:rPr>
        <w:t>It</w:t>
      </w:r>
      <w:r>
        <w:rPr>
          <w:color w:val="211F1F"/>
          <w:spacing w:val="-1"/>
          <w:sz w:val="24"/>
        </w:rPr>
        <w:t xml:space="preserve"> </w:t>
      </w:r>
      <w:r>
        <w:rPr>
          <w:color w:val="211F1F"/>
          <w:sz w:val="24"/>
        </w:rPr>
        <w:t>will</w:t>
      </w:r>
      <w:r>
        <w:rPr>
          <w:color w:val="211F1F"/>
          <w:spacing w:val="-5"/>
          <w:sz w:val="24"/>
        </w:rPr>
        <w:t xml:space="preserve"> </w:t>
      </w:r>
      <w:r>
        <w:rPr>
          <w:color w:val="211F1F"/>
          <w:sz w:val="24"/>
        </w:rPr>
        <w:t>be</w:t>
      </w:r>
      <w:r>
        <w:rPr>
          <w:color w:val="211F1F"/>
          <w:spacing w:val="-7"/>
          <w:sz w:val="24"/>
        </w:rPr>
        <w:t xml:space="preserve"> </w:t>
      </w:r>
      <w:r>
        <w:rPr>
          <w:color w:val="211F1F"/>
          <w:sz w:val="24"/>
        </w:rPr>
        <w:t>specified in</w:t>
      </w:r>
      <w:r>
        <w:rPr>
          <w:color w:val="211F1F"/>
          <w:spacing w:val="-6"/>
          <w:sz w:val="24"/>
        </w:rPr>
        <w:t xml:space="preserve"> </w:t>
      </w:r>
      <w:r>
        <w:rPr>
          <w:color w:val="211F1F"/>
          <w:sz w:val="24"/>
        </w:rPr>
        <w:t>the</w:t>
      </w:r>
      <w:r>
        <w:rPr>
          <w:color w:val="211F1F"/>
          <w:spacing w:val="-2"/>
          <w:sz w:val="24"/>
        </w:rPr>
        <w:t xml:space="preserve"> </w:t>
      </w:r>
      <w:r>
        <w:rPr>
          <w:b/>
          <w:color w:val="211F1F"/>
          <w:sz w:val="24"/>
        </w:rPr>
        <w:t xml:space="preserve">TDS </w:t>
      </w:r>
      <w:r>
        <w:rPr>
          <w:color w:val="211F1F"/>
          <w:sz w:val="24"/>
        </w:rPr>
        <w:t>if</w:t>
      </w:r>
      <w:r>
        <w:rPr>
          <w:color w:val="211F1F"/>
          <w:spacing w:val="-13"/>
          <w:sz w:val="24"/>
        </w:rPr>
        <w:t xml:space="preserve"> </w:t>
      </w:r>
      <w:r>
        <w:rPr>
          <w:color w:val="211F1F"/>
          <w:sz w:val="24"/>
        </w:rPr>
        <w:t>the</w:t>
      </w:r>
      <w:r>
        <w:rPr>
          <w:color w:val="211F1F"/>
          <w:spacing w:val="-7"/>
          <w:sz w:val="24"/>
        </w:rPr>
        <w:t xml:space="preserve"> </w:t>
      </w:r>
      <w:r>
        <w:rPr>
          <w:color w:val="211F1F"/>
          <w:sz w:val="24"/>
        </w:rPr>
        <w:t>rates</w:t>
      </w:r>
      <w:r>
        <w:rPr>
          <w:color w:val="211F1F"/>
          <w:spacing w:val="-3"/>
          <w:sz w:val="24"/>
        </w:rPr>
        <w:t xml:space="preserve"> </w:t>
      </w:r>
      <w:r>
        <w:rPr>
          <w:color w:val="211F1F"/>
          <w:sz w:val="24"/>
        </w:rPr>
        <w:t>and</w:t>
      </w:r>
      <w:r>
        <w:rPr>
          <w:color w:val="211F1F"/>
          <w:spacing w:val="-1"/>
          <w:sz w:val="24"/>
        </w:rPr>
        <w:t xml:space="preserve"> </w:t>
      </w:r>
      <w:r>
        <w:rPr>
          <w:color w:val="211F1F"/>
          <w:sz w:val="24"/>
        </w:rPr>
        <w:t>prices</w:t>
      </w:r>
      <w:r>
        <w:rPr>
          <w:color w:val="211F1F"/>
          <w:spacing w:val="-3"/>
          <w:sz w:val="24"/>
        </w:rPr>
        <w:t xml:space="preserve"> </w:t>
      </w:r>
      <w:r>
        <w:rPr>
          <w:color w:val="211F1F"/>
          <w:sz w:val="24"/>
        </w:rPr>
        <w:t>quoted</w:t>
      </w:r>
      <w:r>
        <w:rPr>
          <w:color w:val="211F1F"/>
          <w:spacing w:val="-5"/>
          <w:sz w:val="24"/>
        </w:rPr>
        <w:t xml:space="preserve"> </w:t>
      </w:r>
      <w:r>
        <w:rPr>
          <w:color w:val="211F1F"/>
          <w:sz w:val="24"/>
        </w:rPr>
        <w:t>by</w:t>
      </w:r>
      <w:r>
        <w:rPr>
          <w:color w:val="211F1F"/>
          <w:spacing w:val="-14"/>
          <w:sz w:val="24"/>
        </w:rPr>
        <w:t xml:space="preserve"> </w:t>
      </w:r>
      <w:r>
        <w:rPr>
          <w:color w:val="211F1F"/>
          <w:sz w:val="24"/>
        </w:rPr>
        <w:t>the</w:t>
      </w:r>
      <w:r>
        <w:rPr>
          <w:color w:val="211F1F"/>
          <w:spacing w:val="-7"/>
          <w:sz w:val="24"/>
        </w:rPr>
        <w:t xml:space="preserve"> </w:t>
      </w:r>
      <w:r>
        <w:rPr>
          <w:color w:val="211F1F"/>
          <w:sz w:val="24"/>
        </w:rPr>
        <w:t>Tenderer</w:t>
      </w:r>
      <w:r>
        <w:rPr>
          <w:color w:val="211F1F"/>
          <w:spacing w:val="-3"/>
          <w:sz w:val="24"/>
        </w:rPr>
        <w:t xml:space="preserve"> </w:t>
      </w:r>
      <w:r>
        <w:rPr>
          <w:color w:val="211F1F"/>
          <w:sz w:val="24"/>
        </w:rPr>
        <w:t>are</w:t>
      </w:r>
      <w:r>
        <w:rPr>
          <w:color w:val="211F1F"/>
          <w:spacing w:val="-7"/>
          <w:sz w:val="24"/>
        </w:rPr>
        <w:t xml:space="preserve"> </w:t>
      </w:r>
      <w:r>
        <w:rPr>
          <w:color w:val="211F1F"/>
          <w:sz w:val="24"/>
        </w:rPr>
        <w:t>or</w:t>
      </w:r>
      <w:r>
        <w:rPr>
          <w:color w:val="211F1F"/>
          <w:spacing w:val="-4"/>
          <w:sz w:val="24"/>
        </w:rPr>
        <w:t xml:space="preserve"> </w:t>
      </w:r>
      <w:r>
        <w:rPr>
          <w:color w:val="211F1F"/>
          <w:sz w:val="24"/>
        </w:rPr>
        <w:t>are not subject to adjustment during the performance of the Contract in accordance with the provisions of the Conditions of Contract, exceptin cases where the contract is subject to fluctuations and adjustments, not fixed price. In such a case, the Tenderer shall furnish the indices and weightings for the price adjustment formulae in the Schedule of Adjustment Data and the Procuring Entity may require the Tenderer to justify its proposed indices and weightings.</w:t>
      </w:r>
    </w:p>
    <w:p w14:paraId="23EFA76F" w14:textId="77777777" w:rsidR="00BB77C0" w:rsidRDefault="00370BAA">
      <w:pPr>
        <w:pStyle w:val="ListParagraph"/>
        <w:numPr>
          <w:ilvl w:val="1"/>
          <w:numId w:val="99"/>
        </w:numPr>
        <w:tabs>
          <w:tab w:val="left" w:pos="1441"/>
        </w:tabs>
        <w:spacing w:before="156" w:line="259" w:lineRule="auto"/>
        <w:ind w:left="1441" w:right="60"/>
        <w:jc w:val="left"/>
        <w:rPr>
          <w:color w:val="211F1F"/>
          <w:sz w:val="24"/>
        </w:rPr>
      </w:pPr>
      <w:r>
        <w:rPr>
          <w:color w:val="211F1F"/>
          <w:sz w:val="24"/>
        </w:rPr>
        <w:t>Where tenders are being invited for individual</w:t>
      </w:r>
      <w:r>
        <w:rPr>
          <w:color w:val="211F1F"/>
          <w:spacing w:val="-1"/>
          <w:sz w:val="24"/>
        </w:rPr>
        <w:t xml:space="preserve"> </w:t>
      </w:r>
      <w:r>
        <w:rPr>
          <w:color w:val="211F1F"/>
          <w:sz w:val="24"/>
        </w:rPr>
        <w:t>lots (contracts)</w:t>
      </w:r>
      <w:r>
        <w:rPr>
          <w:color w:val="211F1F"/>
          <w:spacing w:val="-4"/>
          <w:sz w:val="24"/>
        </w:rPr>
        <w:t xml:space="preserve"> </w:t>
      </w:r>
      <w:r>
        <w:rPr>
          <w:color w:val="211F1F"/>
          <w:sz w:val="24"/>
        </w:rPr>
        <w:t>or for any</w:t>
      </w:r>
      <w:r>
        <w:rPr>
          <w:color w:val="211F1F"/>
          <w:spacing w:val="-6"/>
          <w:sz w:val="24"/>
        </w:rPr>
        <w:t xml:space="preserve"> </w:t>
      </w:r>
      <w:r>
        <w:rPr>
          <w:color w:val="211F1F"/>
          <w:sz w:val="24"/>
        </w:rPr>
        <w:t>combination of</w:t>
      </w:r>
      <w:r>
        <w:rPr>
          <w:color w:val="211F1F"/>
          <w:spacing w:val="-9"/>
          <w:sz w:val="24"/>
        </w:rPr>
        <w:t xml:space="preserve"> </w:t>
      </w:r>
      <w:r>
        <w:rPr>
          <w:color w:val="211F1F"/>
          <w:sz w:val="24"/>
        </w:rPr>
        <w:t>lots</w:t>
      </w:r>
      <w:r>
        <w:rPr>
          <w:color w:val="211F1F"/>
          <w:spacing w:val="-7"/>
          <w:sz w:val="24"/>
        </w:rPr>
        <w:t xml:space="preserve"> </w:t>
      </w:r>
      <w:r>
        <w:rPr>
          <w:color w:val="211F1F"/>
          <w:sz w:val="24"/>
        </w:rPr>
        <w:t>(packages),</w:t>
      </w:r>
      <w:r>
        <w:rPr>
          <w:color w:val="211F1F"/>
          <w:spacing w:val="-3"/>
          <w:sz w:val="24"/>
        </w:rPr>
        <w:t xml:space="preserve"> </w:t>
      </w:r>
      <w:r>
        <w:rPr>
          <w:color w:val="211F1F"/>
          <w:sz w:val="24"/>
        </w:rPr>
        <w:t>tenderers</w:t>
      </w:r>
      <w:r>
        <w:rPr>
          <w:color w:val="211F1F"/>
          <w:spacing w:val="-3"/>
          <w:sz w:val="24"/>
        </w:rPr>
        <w:t xml:space="preserve"> </w:t>
      </w:r>
      <w:r>
        <w:rPr>
          <w:color w:val="211F1F"/>
          <w:sz w:val="24"/>
        </w:rPr>
        <w:t>wishing</w:t>
      </w:r>
      <w:r>
        <w:rPr>
          <w:color w:val="211F1F"/>
          <w:spacing w:val="-6"/>
          <w:sz w:val="24"/>
        </w:rPr>
        <w:t xml:space="preserve"> </w:t>
      </w:r>
      <w:r>
        <w:rPr>
          <w:color w:val="211F1F"/>
          <w:sz w:val="24"/>
        </w:rPr>
        <w:t>to</w:t>
      </w:r>
      <w:r>
        <w:rPr>
          <w:color w:val="211F1F"/>
          <w:spacing w:val="-2"/>
          <w:sz w:val="24"/>
        </w:rPr>
        <w:t xml:space="preserve"> </w:t>
      </w:r>
      <w:r>
        <w:rPr>
          <w:color w:val="211F1F"/>
          <w:sz w:val="24"/>
        </w:rPr>
        <w:t>offer</w:t>
      </w:r>
      <w:r>
        <w:rPr>
          <w:color w:val="211F1F"/>
          <w:spacing w:val="-5"/>
          <w:sz w:val="24"/>
        </w:rPr>
        <w:t xml:space="preserve"> </w:t>
      </w:r>
      <w:r>
        <w:rPr>
          <w:color w:val="211F1F"/>
          <w:sz w:val="24"/>
        </w:rPr>
        <w:t>discounts</w:t>
      </w:r>
      <w:r>
        <w:rPr>
          <w:color w:val="211F1F"/>
          <w:spacing w:val="-3"/>
          <w:sz w:val="24"/>
        </w:rPr>
        <w:t xml:space="preserve"> </w:t>
      </w:r>
      <w:r>
        <w:rPr>
          <w:color w:val="211F1F"/>
          <w:sz w:val="24"/>
        </w:rPr>
        <w:t>for</w:t>
      </w:r>
      <w:r>
        <w:rPr>
          <w:color w:val="211F1F"/>
          <w:spacing w:val="-8"/>
          <w:sz w:val="24"/>
        </w:rPr>
        <w:t xml:space="preserve"> </w:t>
      </w:r>
      <w:r>
        <w:rPr>
          <w:color w:val="211F1F"/>
          <w:sz w:val="24"/>
        </w:rPr>
        <w:t>the</w:t>
      </w:r>
      <w:r>
        <w:rPr>
          <w:color w:val="211F1F"/>
          <w:spacing w:val="-7"/>
          <w:sz w:val="24"/>
        </w:rPr>
        <w:t xml:space="preserve"> </w:t>
      </w:r>
      <w:r>
        <w:rPr>
          <w:color w:val="211F1F"/>
          <w:sz w:val="24"/>
        </w:rPr>
        <w:t>award</w:t>
      </w:r>
      <w:r>
        <w:rPr>
          <w:color w:val="211F1F"/>
          <w:spacing w:val="-1"/>
          <w:sz w:val="24"/>
        </w:rPr>
        <w:t xml:space="preserve"> </w:t>
      </w:r>
      <w:r>
        <w:rPr>
          <w:color w:val="211F1F"/>
          <w:sz w:val="24"/>
        </w:rPr>
        <w:t>of</w:t>
      </w:r>
      <w:r>
        <w:rPr>
          <w:color w:val="211F1F"/>
          <w:spacing w:val="-9"/>
          <w:sz w:val="24"/>
        </w:rPr>
        <w:t xml:space="preserve"> </w:t>
      </w:r>
      <w:r>
        <w:rPr>
          <w:color w:val="211F1F"/>
          <w:sz w:val="24"/>
        </w:rPr>
        <w:t>more</w:t>
      </w:r>
      <w:r>
        <w:rPr>
          <w:color w:val="211F1F"/>
          <w:spacing w:val="-7"/>
          <w:sz w:val="24"/>
        </w:rPr>
        <w:t xml:space="preserve"> </w:t>
      </w:r>
      <w:r>
        <w:rPr>
          <w:color w:val="211F1F"/>
          <w:sz w:val="24"/>
        </w:rPr>
        <w:t>than</w:t>
      </w:r>
      <w:r>
        <w:rPr>
          <w:color w:val="211F1F"/>
          <w:spacing w:val="-6"/>
          <w:sz w:val="24"/>
        </w:rPr>
        <w:t xml:space="preserve"> </w:t>
      </w:r>
      <w:r>
        <w:rPr>
          <w:color w:val="211F1F"/>
          <w:sz w:val="24"/>
        </w:rPr>
        <w:t>one Contract shall</w:t>
      </w:r>
      <w:r>
        <w:rPr>
          <w:color w:val="211F1F"/>
          <w:spacing w:val="-2"/>
          <w:sz w:val="24"/>
        </w:rPr>
        <w:t xml:space="preserve"> </w:t>
      </w:r>
      <w:r>
        <w:rPr>
          <w:color w:val="211F1F"/>
          <w:sz w:val="24"/>
        </w:rPr>
        <w:t>specify</w:t>
      </w:r>
      <w:r>
        <w:rPr>
          <w:color w:val="211F1F"/>
          <w:spacing w:val="-5"/>
          <w:sz w:val="24"/>
        </w:rPr>
        <w:t xml:space="preserve"> </w:t>
      </w:r>
      <w:r>
        <w:rPr>
          <w:color w:val="211F1F"/>
          <w:sz w:val="24"/>
        </w:rPr>
        <w:t>in their Tender the</w:t>
      </w:r>
      <w:r>
        <w:rPr>
          <w:color w:val="211F1F"/>
          <w:spacing w:val="-1"/>
          <w:sz w:val="24"/>
        </w:rPr>
        <w:t xml:space="preserve"> </w:t>
      </w:r>
      <w:r>
        <w:rPr>
          <w:color w:val="211F1F"/>
          <w:sz w:val="24"/>
        </w:rPr>
        <w:t>price</w:t>
      </w:r>
      <w:r>
        <w:rPr>
          <w:color w:val="211F1F"/>
          <w:spacing w:val="-1"/>
          <w:sz w:val="24"/>
        </w:rPr>
        <w:t xml:space="preserve"> </w:t>
      </w:r>
      <w:r>
        <w:rPr>
          <w:color w:val="211F1F"/>
          <w:sz w:val="24"/>
        </w:rPr>
        <w:t>reductions</w:t>
      </w:r>
      <w:r>
        <w:rPr>
          <w:color w:val="211F1F"/>
          <w:spacing w:val="-2"/>
          <w:sz w:val="24"/>
        </w:rPr>
        <w:t xml:space="preserve"> </w:t>
      </w:r>
      <w:r>
        <w:rPr>
          <w:color w:val="211F1F"/>
          <w:sz w:val="24"/>
        </w:rPr>
        <w:t>applicable</w:t>
      </w:r>
      <w:r>
        <w:rPr>
          <w:color w:val="211F1F"/>
          <w:spacing w:val="-1"/>
          <w:sz w:val="24"/>
        </w:rPr>
        <w:t xml:space="preserve"> </w:t>
      </w:r>
      <w:r>
        <w:rPr>
          <w:color w:val="211F1F"/>
          <w:sz w:val="24"/>
        </w:rPr>
        <w:t>to each</w:t>
      </w:r>
      <w:r>
        <w:rPr>
          <w:color w:val="211F1F"/>
          <w:spacing w:val="-5"/>
          <w:sz w:val="24"/>
        </w:rPr>
        <w:t xml:space="preserve"> </w:t>
      </w:r>
      <w:r>
        <w:rPr>
          <w:color w:val="211F1F"/>
          <w:sz w:val="24"/>
        </w:rPr>
        <w:t>package,</w:t>
      </w:r>
    </w:p>
    <w:p w14:paraId="3BF7187A" w14:textId="77777777" w:rsidR="00BB77C0" w:rsidRDefault="00BB77C0">
      <w:pPr>
        <w:pStyle w:val="ListParagraph"/>
        <w:spacing w:line="259" w:lineRule="auto"/>
        <w:rPr>
          <w:sz w:val="24"/>
        </w:rPr>
        <w:sectPr w:rsidR="00BB77C0">
          <w:pgSz w:w="11930" w:h="16870"/>
          <w:pgMar w:top="1340" w:right="1080" w:bottom="280" w:left="1080" w:header="720" w:footer="720" w:gutter="0"/>
          <w:cols w:space="720"/>
        </w:sectPr>
      </w:pPr>
    </w:p>
    <w:p w14:paraId="1172E148" w14:textId="77777777" w:rsidR="00BB77C0" w:rsidRDefault="00370BAA">
      <w:pPr>
        <w:spacing w:before="75" w:line="261" w:lineRule="auto"/>
        <w:ind w:left="1441" w:right="125"/>
        <w:rPr>
          <w:sz w:val="24"/>
        </w:rPr>
      </w:pPr>
      <w:r>
        <w:rPr>
          <w:color w:val="211F1F"/>
          <w:sz w:val="24"/>
        </w:rPr>
        <w:lastRenderedPageBreak/>
        <w:t>or alternatively, to individual Contracts within the package. Discounts shall be submitted</w:t>
      </w:r>
      <w:r>
        <w:rPr>
          <w:color w:val="211F1F"/>
          <w:spacing w:val="-2"/>
          <w:sz w:val="24"/>
        </w:rPr>
        <w:t xml:space="preserve"> </w:t>
      </w:r>
      <w:r>
        <w:rPr>
          <w:color w:val="211F1F"/>
          <w:sz w:val="24"/>
        </w:rPr>
        <w:t>in</w:t>
      </w:r>
      <w:r>
        <w:rPr>
          <w:color w:val="211F1F"/>
          <w:spacing w:val="-12"/>
          <w:sz w:val="24"/>
        </w:rPr>
        <w:t xml:space="preserve"> </w:t>
      </w:r>
      <w:r>
        <w:rPr>
          <w:color w:val="211F1F"/>
          <w:sz w:val="24"/>
        </w:rPr>
        <w:t>accordance</w:t>
      </w:r>
      <w:r>
        <w:rPr>
          <w:color w:val="211F1F"/>
          <w:spacing w:val="-8"/>
          <w:sz w:val="24"/>
        </w:rPr>
        <w:t xml:space="preserve"> </w:t>
      </w:r>
      <w:r>
        <w:rPr>
          <w:color w:val="211F1F"/>
          <w:sz w:val="24"/>
        </w:rPr>
        <w:t>with</w:t>
      </w:r>
      <w:r>
        <w:rPr>
          <w:color w:val="211F1F"/>
          <w:spacing w:val="-11"/>
          <w:sz w:val="24"/>
        </w:rPr>
        <w:t xml:space="preserve"> </w:t>
      </w:r>
      <w:r>
        <w:rPr>
          <w:color w:val="211F1F"/>
          <w:sz w:val="24"/>
        </w:rPr>
        <w:t>ITT</w:t>
      </w:r>
      <w:r>
        <w:rPr>
          <w:color w:val="211F1F"/>
          <w:spacing w:val="-5"/>
          <w:sz w:val="24"/>
        </w:rPr>
        <w:t xml:space="preserve"> </w:t>
      </w:r>
      <w:r>
        <w:rPr>
          <w:color w:val="211F1F"/>
          <w:sz w:val="24"/>
        </w:rPr>
        <w:t>14.4,</w:t>
      </w:r>
      <w:r>
        <w:rPr>
          <w:color w:val="211F1F"/>
          <w:spacing w:val="-9"/>
          <w:sz w:val="24"/>
        </w:rPr>
        <w:t xml:space="preserve"> </w:t>
      </w:r>
      <w:r>
        <w:rPr>
          <w:color w:val="211F1F"/>
          <w:sz w:val="24"/>
        </w:rPr>
        <w:t>provided</w:t>
      </w:r>
      <w:r>
        <w:rPr>
          <w:color w:val="211F1F"/>
          <w:spacing w:val="-7"/>
          <w:sz w:val="24"/>
        </w:rPr>
        <w:t xml:space="preserve"> </w:t>
      </w:r>
      <w:r>
        <w:rPr>
          <w:color w:val="211F1F"/>
          <w:sz w:val="24"/>
        </w:rPr>
        <w:t>the</w:t>
      </w:r>
      <w:r>
        <w:rPr>
          <w:color w:val="211F1F"/>
          <w:spacing w:val="-9"/>
          <w:sz w:val="24"/>
        </w:rPr>
        <w:t xml:space="preserve"> </w:t>
      </w:r>
      <w:r>
        <w:rPr>
          <w:color w:val="211F1F"/>
          <w:sz w:val="24"/>
        </w:rPr>
        <w:t>Tenders</w:t>
      </w:r>
      <w:r>
        <w:rPr>
          <w:color w:val="211F1F"/>
          <w:spacing w:val="-9"/>
          <w:sz w:val="24"/>
        </w:rPr>
        <w:t xml:space="preserve"> </w:t>
      </w:r>
      <w:r>
        <w:rPr>
          <w:color w:val="211F1F"/>
          <w:sz w:val="24"/>
        </w:rPr>
        <w:t>for</w:t>
      </w:r>
      <w:r>
        <w:rPr>
          <w:color w:val="211F1F"/>
          <w:spacing w:val="-6"/>
          <w:sz w:val="24"/>
        </w:rPr>
        <w:t xml:space="preserve"> </w:t>
      </w:r>
      <w:r>
        <w:rPr>
          <w:color w:val="211F1F"/>
          <w:sz w:val="24"/>
        </w:rPr>
        <w:t>all</w:t>
      </w:r>
      <w:r>
        <w:rPr>
          <w:color w:val="211F1F"/>
          <w:spacing w:val="-7"/>
          <w:sz w:val="24"/>
        </w:rPr>
        <w:t xml:space="preserve"> </w:t>
      </w:r>
      <w:r>
        <w:rPr>
          <w:color w:val="211F1F"/>
          <w:sz w:val="24"/>
        </w:rPr>
        <w:t>lots</w:t>
      </w:r>
      <w:r>
        <w:rPr>
          <w:color w:val="211F1F"/>
          <w:spacing w:val="-9"/>
          <w:sz w:val="24"/>
        </w:rPr>
        <w:t xml:space="preserve"> </w:t>
      </w:r>
      <w:r>
        <w:rPr>
          <w:color w:val="211F1F"/>
          <w:sz w:val="24"/>
        </w:rPr>
        <w:t>(contracts) are opened at the same time.</w:t>
      </w:r>
    </w:p>
    <w:p w14:paraId="7F393C47" w14:textId="77777777" w:rsidR="00BB77C0" w:rsidRDefault="00370BAA">
      <w:pPr>
        <w:pStyle w:val="ListParagraph"/>
        <w:numPr>
          <w:ilvl w:val="1"/>
          <w:numId w:val="99"/>
        </w:numPr>
        <w:tabs>
          <w:tab w:val="left" w:pos="1441"/>
        </w:tabs>
        <w:spacing w:before="154" w:line="259" w:lineRule="auto"/>
        <w:ind w:left="1441" w:right="50"/>
        <w:jc w:val="left"/>
        <w:rPr>
          <w:color w:val="211F1F"/>
          <w:sz w:val="24"/>
        </w:rPr>
      </w:pPr>
      <w:r>
        <w:rPr>
          <w:color w:val="211F1F"/>
          <w:sz w:val="24"/>
        </w:rPr>
        <w:t>All</w:t>
      </w:r>
      <w:r>
        <w:rPr>
          <w:color w:val="211F1F"/>
          <w:spacing w:val="-8"/>
          <w:sz w:val="24"/>
        </w:rPr>
        <w:t xml:space="preserve"> </w:t>
      </w:r>
      <w:r>
        <w:rPr>
          <w:color w:val="211F1F"/>
          <w:sz w:val="24"/>
        </w:rPr>
        <w:t>duties, taxes, and other levies</w:t>
      </w:r>
      <w:r>
        <w:rPr>
          <w:color w:val="211F1F"/>
          <w:spacing w:val="-1"/>
          <w:sz w:val="24"/>
        </w:rPr>
        <w:t xml:space="preserve"> </w:t>
      </w:r>
      <w:r>
        <w:rPr>
          <w:color w:val="211F1F"/>
          <w:sz w:val="24"/>
        </w:rPr>
        <w:t>payable by</w:t>
      </w:r>
      <w:r>
        <w:rPr>
          <w:color w:val="211F1F"/>
          <w:spacing w:val="-4"/>
          <w:sz w:val="24"/>
        </w:rPr>
        <w:t xml:space="preserve"> </w:t>
      </w:r>
      <w:r>
        <w:rPr>
          <w:color w:val="211F1F"/>
          <w:sz w:val="24"/>
        </w:rPr>
        <w:t>the Contractor under</w:t>
      </w:r>
      <w:r>
        <w:rPr>
          <w:color w:val="211F1F"/>
          <w:spacing w:val="-2"/>
          <w:sz w:val="24"/>
        </w:rPr>
        <w:t xml:space="preserve"> </w:t>
      </w:r>
      <w:r>
        <w:rPr>
          <w:color w:val="211F1F"/>
          <w:sz w:val="24"/>
        </w:rPr>
        <w:t>the Contract,</w:t>
      </w:r>
      <w:r>
        <w:rPr>
          <w:color w:val="211F1F"/>
          <w:spacing w:val="-1"/>
          <w:sz w:val="24"/>
        </w:rPr>
        <w:t xml:space="preserve"> </w:t>
      </w:r>
      <w:r>
        <w:rPr>
          <w:color w:val="211F1F"/>
          <w:sz w:val="24"/>
        </w:rPr>
        <w:t>or</w:t>
      </w:r>
      <w:r>
        <w:rPr>
          <w:color w:val="211F1F"/>
          <w:spacing w:val="-2"/>
          <w:sz w:val="24"/>
        </w:rPr>
        <w:t xml:space="preserve"> </w:t>
      </w:r>
      <w:r>
        <w:rPr>
          <w:color w:val="211F1F"/>
          <w:sz w:val="24"/>
        </w:rPr>
        <w:t>for any</w:t>
      </w:r>
      <w:r>
        <w:rPr>
          <w:color w:val="211F1F"/>
          <w:spacing w:val="-10"/>
          <w:sz w:val="24"/>
        </w:rPr>
        <w:t xml:space="preserve"> </w:t>
      </w:r>
      <w:r>
        <w:rPr>
          <w:color w:val="211F1F"/>
          <w:sz w:val="24"/>
        </w:rPr>
        <w:t>other</w:t>
      </w:r>
      <w:r>
        <w:rPr>
          <w:color w:val="211F1F"/>
          <w:spacing w:val="-3"/>
          <w:sz w:val="24"/>
        </w:rPr>
        <w:t xml:space="preserve"> </w:t>
      </w:r>
      <w:r>
        <w:rPr>
          <w:color w:val="211F1F"/>
          <w:sz w:val="24"/>
        </w:rPr>
        <w:t>cause, as</w:t>
      </w:r>
      <w:r>
        <w:rPr>
          <w:color w:val="211F1F"/>
          <w:spacing w:val="-6"/>
          <w:sz w:val="24"/>
        </w:rPr>
        <w:t xml:space="preserve"> </w:t>
      </w:r>
      <w:r>
        <w:rPr>
          <w:color w:val="211F1F"/>
          <w:sz w:val="24"/>
        </w:rPr>
        <w:t>of</w:t>
      </w:r>
      <w:r>
        <w:rPr>
          <w:color w:val="211F1F"/>
          <w:spacing w:val="-13"/>
          <w:sz w:val="24"/>
        </w:rPr>
        <w:t xml:space="preserve"> </w:t>
      </w:r>
      <w:r>
        <w:rPr>
          <w:color w:val="211F1F"/>
          <w:sz w:val="24"/>
        </w:rPr>
        <w:t>the</w:t>
      </w:r>
      <w:r>
        <w:rPr>
          <w:color w:val="211F1F"/>
          <w:spacing w:val="-2"/>
          <w:sz w:val="24"/>
        </w:rPr>
        <w:t xml:space="preserve"> </w:t>
      </w:r>
      <w:r>
        <w:rPr>
          <w:color w:val="211F1F"/>
          <w:sz w:val="24"/>
        </w:rPr>
        <w:t>date</w:t>
      </w:r>
      <w:r>
        <w:rPr>
          <w:color w:val="211F1F"/>
          <w:spacing w:val="-5"/>
          <w:sz w:val="24"/>
        </w:rPr>
        <w:t xml:space="preserve"> </w:t>
      </w:r>
      <w:r>
        <w:rPr>
          <w:color w:val="211F1F"/>
          <w:sz w:val="24"/>
        </w:rPr>
        <w:t>30</w:t>
      </w:r>
      <w:r>
        <w:rPr>
          <w:color w:val="211F1F"/>
          <w:spacing w:val="-5"/>
          <w:sz w:val="24"/>
        </w:rPr>
        <w:t xml:space="preserve"> </w:t>
      </w:r>
      <w:r>
        <w:rPr>
          <w:color w:val="211F1F"/>
          <w:sz w:val="24"/>
        </w:rPr>
        <w:t>days</w:t>
      </w:r>
      <w:r>
        <w:rPr>
          <w:color w:val="211F1F"/>
          <w:spacing w:val="-3"/>
          <w:sz w:val="24"/>
        </w:rPr>
        <w:t xml:space="preserve"> </w:t>
      </w:r>
      <w:r>
        <w:rPr>
          <w:color w:val="211F1F"/>
          <w:sz w:val="24"/>
        </w:rPr>
        <w:t>prior</w:t>
      </w:r>
      <w:r>
        <w:rPr>
          <w:color w:val="211F1F"/>
          <w:spacing w:val="-7"/>
          <w:sz w:val="24"/>
        </w:rPr>
        <w:t xml:space="preserve"> </w:t>
      </w:r>
      <w:r>
        <w:rPr>
          <w:color w:val="211F1F"/>
          <w:sz w:val="24"/>
        </w:rPr>
        <w:t>to</w:t>
      </w:r>
      <w:r>
        <w:rPr>
          <w:color w:val="211F1F"/>
          <w:spacing w:val="-5"/>
          <w:sz w:val="24"/>
        </w:rPr>
        <w:t xml:space="preserve"> </w:t>
      </w:r>
      <w:r>
        <w:rPr>
          <w:color w:val="211F1F"/>
          <w:sz w:val="24"/>
        </w:rPr>
        <w:t>the</w:t>
      </w:r>
      <w:r>
        <w:rPr>
          <w:color w:val="211F1F"/>
          <w:spacing w:val="-6"/>
          <w:sz w:val="24"/>
        </w:rPr>
        <w:t xml:space="preserve"> </w:t>
      </w:r>
      <w:r>
        <w:rPr>
          <w:color w:val="211F1F"/>
          <w:sz w:val="24"/>
        </w:rPr>
        <w:t>deadline</w:t>
      </w:r>
      <w:r>
        <w:rPr>
          <w:color w:val="211F1F"/>
          <w:spacing w:val="-1"/>
          <w:sz w:val="24"/>
        </w:rPr>
        <w:t xml:space="preserve"> </w:t>
      </w:r>
      <w:r>
        <w:rPr>
          <w:color w:val="211F1F"/>
          <w:sz w:val="24"/>
        </w:rPr>
        <w:t>for</w:t>
      </w:r>
      <w:r>
        <w:rPr>
          <w:color w:val="211F1F"/>
          <w:spacing w:val="-3"/>
          <w:sz w:val="24"/>
        </w:rPr>
        <w:t xml:space="preserve"> </w:t>
      </w:r>
      <w:r>
        <w:rPr>
          <w:color w:val="211F1F"/>
          <w:sz w:val="24"/>
        </w:rPr>
        <w:t>submission</w:t>
      </w:r>
      <w:r>
        <w:rPr>
          <w:color w:val="211F1F"/>
          <w:spacing w:val="-4"/>
          <w:sz w:val="24"/>
        </w:rPr>
        <w:t xml:space="preserve"> </w:t>
      </w:r>
      <w:r>
        <w:rPr>
          <w:color w:val="211F1F"/>
          <w:sz w:val="24"/>
        </w:rPr>
        <w:t>of</w:t>
      </w:r>
      <w:r>
        <w:rPr>
          <w:color w:val="211F1F"/>
          <w:spacing w:val="-13"/>
          <w:sz w:val="24"/>
        </w:rPr>
        <w:t xml:space="preserve"> </w:t>
      </w:r>
      <w:r>
        <w:rPr>
          <w:color w:val="211F1F"/>
          <w:sz w:val="24"/>
        </w:rPr>
        <w:t>Tenders, shall be included in the rates and prices and the total</w:t>
      </w:r>
      <w:r>
        <w:rPr>
          <w:color w:val="211F1F"/>
          <w:spacing w:val="-1"/>
          <w:sz w:val="24"/>
        </w:rPr>
        <w:t xml:space="preserve"> </w:t>
      </w:r>
      <w:r>
        <w:rPr>
          <w:color w:val="211F1F"/>
          <w:sz w:val="24"/>
        </w:rPr>
        <w:t>Tender Price submitted by</w:t>
      </w:r>
      <w:r>
        <w:rPr>
          <w:color w:val="211F1F"/>
          <w:spacing w:val="-2"/>
          <w:sz w:val="24"/>
        </w:rPr>
        <w:t xml:space="preserve"> </w:t>
      </w:r>
      <w:r>
        <w:rPr>
          <w:color w:val="211F1F"/>
          <w:sz w:val="24"/>
        </w:rPr>
        <w:t xml:space="preserve">the </w:t>
      </w:r>
      <w:r>
        <w:rPr>
          <w:color w:val="211F1F"/>
          <w:spacing w:val="-2"/>
          <w:sz w:val="24"/>
        </w:rPr>
        <w:t>Tenderer.</w:t>
      </w:r>
    </w:p>
    <w:p w14:paraId="51CA67AD" w14:textId="77777777" w:rsidR="00BB77C0" w:rsidRDefault="00370BAA">
      <w:pPr>
        <w:pStyle w:val="Heading6"/>
        <w:numPr>
          <w:ilvl w:val="1"/>
          <w:numId w:val="98"/>
        </w:numPr>
        <w:tabs>
          <w:tab w:val="left" w:pos="720"/>
        </w:tabs>
        <w:spacing w:before="244"/>
        <w:ind w:hanging="720"/>
        <w:jc w:val="left"/>
      </w:pPr>
      <w:bookmarkStart w:id="44" w:name="17.0_Currencies_of_Tender_and_Payment"/>
      <w:bookmarkStart w:id="45" w:name="_bookmark21"/>
      <w:bookmarkEnd w:id="44"/>
      <w:bookmarkEnd w:id="45"/>
      <w:r>
        <w:t>Currencies</w:t>
      </w:r>
      <w:r>
        <w:rPr>
          <w:spacing w:val="-9"/>
        </w:rPr>
        <w:t xml:space="preserve"> </w:t>
      </w:r>
      <w:r>
        <w:t>of</w:t>
      </w:r>
      <w:r>
        <w:rPr>
          <w:spacing w:val="-8"/>
        </w:rPr>
        <w:t xml:space="preserve"> </w:t>
      </w:r>
      <w:r>
        <w:t>Tender</w:t>
      </w:r>
      <w:r>
        <w:rPr>
          <w:spacing w:val="-18"/>
        </w:rPr>
        <w:t xml:space="preserve"> </w:t>
      </w:r>
      <w:r>
        <w:t>and</w:t>
      </w:r>
      <w:r>
        <w:rPr>
          <w:spacing w:val="-3"/>
        </w:rPr>
        <w:t xml:space="preserve"> </w:t>
      </w:r>
      <w:r>
        <w:rPr>
          <w:spacing w:val="-2"/>
        </w:rPr>
        <w:t>Payment</w:t>
      </w:r>
    </w:p>
    <w:p w14:paraId="5CF849AA" w14:textId="77777777" w:rsidR="00BB77C0" w:rsidRDefault="00370BAA">
      <w:pPr>
        <w:pStyle w:val="ListParagraph"/>
        <w:numPr>
          <w:ilvl w:val="1"/>
          <w:numId w:val="98"/>
        </w:numPr>
        <w:tabs>
          <w:tab w:val="left" w:pos="1440"/>
        </w:tabs>
        <w:spacing w:before="79"/>
        <w:ind w:left="1440" w:hanging="720"/>
        <w:jc w:val="left"/>
        <w:rPr>
          <w:color w:val="211F1F"/>
          <w:sz w:val="24"/>
        </w:rPr>
      </w:pPr>
      <w:r>
        <w:rPr>
          <w:color w:val="211F1F"/>
          <w:sz w:val="24"/>
        </w:rPr>
        <w:t>The</w:t>
      </w:r>
      <w:r>
        <w:rPr>
          <w:color w:val="211F1F"/>
          <w:spacing w:val="-8"/>
          <w:sz w:val="24"/>
        </w:rPr>
        <w:t xml:space="preserve"> </w:t>
      </w:r>
      <w:r>
        <w:rPr>
          <w:color w:val="211F1F"/>
          <w:sz w:val="24"/>
        </w:rPr>
        <w:t>currency</w:t>
      </w:r>
      <w:r>
        <w:rPr>
          <w:color w:val="211F1F"/>
          <w:spacing w:val="-8"/>
          <w:sz w:val="24"/>
        </w:rPr>
        <w:t xml:space="preserve"> </w:t>
      </w:r>
      <w:r>
        <w:rPr>
          <w:color w:val="211F1F"/>
          <w:sz w:val="24"/>
        </w:rPr>
        <w:t>(ies)</w:t>
      </w:r>
      <w:r>
        <w:rPr>
          <w:color w:val="211F1F"/>
          <w:spacing w:val="-1"/>
          <w:sz w:val="24"/>
        </w:rPr>
        <w:t xml:space="preserve"> </w:t>
      </w:r>
      <w:r>
        <w:rPr>
          <w:color w:val="211F1F"/>
          <w:sz w:val="24"/>
        </w:rPr>
        <w:t>of</w:t>
      </w:r>
      <w:r>
        <w:rPr>
          <w:color w:val="211F1F"/>
          <w:spacing w:val="-13"/>
          <w:sz w:val="24"/>
        </w:rPr>
        <w:t xml:space="preserve"> </w:t>
      </w:r>
      <w:r>
        <w:rPr>
          <w:color w:val="211F1F"/>
          <w:sz w:val="24"/>
        </w:rPr>
        <w:t>the Tender</w:t>
      </w:r>
      <w:r>
        <w:rPr>
          <w:color w:val="211F1F"/>
          <w:spacing w:val="-2"/>
          <w:sz w:val="24"/>
        </w:rPr>
        <w:t xml:space="preserve"> </w:t>
      </w:r>
      <w:r>
        <w:rPr>
          <w:color w:val="211F1F"/>
          <w:sz w:val="24"/>
        </w:rPr>
        <w:t>and the</w:t>
      </w:r>
      <w:r>
        <w:rPr>
          <w:color w:val="211F1F"/>
          <w:spacing w:val="-5"/>
          <w:sz w:val="24"/>
        </w:rPr>
        <w:t xml:space="preserve"> </w:t>
      </w:r>
      <w:r>
        <w:rPr>
          <w:color w:val="211F1F"/>
          <w:sz w:val="24"/>
        </w:rPr>
        <w:t>currency</w:t>
      </w:r>
      <w:r>
        <w:rPr>
          <w:color w:val="211F1F"/>
          <w:spacing w:val="-8"/>
          <w:sz w:val="24"/>
        </w:rPr>
        <w:t xml:space="preserve"> </w:t>
      </w:r>
      <w:r>
        <w:rPr>
          <w:color w:val="211F1F"/>
          <w:sz w:val="24"/>
        </w:rPr>
        <w:t>(ies)</w:t>
      </w:r>
      <w:r>
        <w:rPr>
          <w:color w:val="211F1F"/>
          <w:spacing w:val="-2"/>
          <w:sz w:val="24"/>
        </w:rPr>
        <w:t xml:space="preserve"> </w:t>
      </w:r>
      <w:r>
        <w:rPr>
          <w:color w:val="211F1F"/>
          <w:sz w:val="24"/>
        </w:rPr>
        <w:t>of</w:t>
      </w:r>
      <w:r>
        <w:rPr>
          <w:color w:val="211F1F"/>
          <w:spacing w:val="-12"/>
          <w:sz w:val="24"/>
        </w:rPr>
        <w:t xml:space="preserve"> </w:t>
      </w:r>
      <w:r>
        <w:rPr>
          <w:color w:val="211F1F"/>
          <w:sz w:val="24"/>
        </w:rPr>
        <w:t>payments</w:t>
      </w:r>
      <w:r>
        <w:rPr>
          <w:color w:val="211F1F"/>
          <w:spacing w:val="-1"/>
          <w:sz w:val="24"/>
        </w:rPr>
        <w:t xml:space="preserve"> </w:t>
      </w:r>
      <w:r>
        <w:rPr>
          <w:color w:val="211F1F"/>
          <w:sz w:val="24"/>
        </w:rPr>
        <w:t>shall</w:t>
      </w:r>
      <w:r>
        <w:rPr>
          <w:color w:val="211F1F"/>
          <w:spacing w:val="-3"/>
          <w:sz w:val="24"/>
        </w:rPr>
        <w:t xml:space="preserve"> </w:t>
      </w:r>
      <w:r>
        <w:rPr>
          <w:color w:val="211F1F"/>
          <w:sz w:val="24"/>
        </w:rPr>
        <w:t>be</w:t>
      </w:r>
      <w:r>
        <w:rPr>
          <w:color w:val="211F1F"/>
          <w:spacing w:val="-6"/>
          <w:sz w:val="24"/>
        </w:rPr>
        <w:t xml:space="preserve"> </w:t>
      </w:r>
      <w:r>
        <w:rPr>
          <w:color w:val="211F1F"/>
          <w:sz w:val="24"/>
        </w:rPr>
        <w:t xml:space="preserve">the </w:t>
      </w:r>
      <w:r>
        <w:rPr>
          <w:color w:val="211F1F"/>
          <w:spacing w:val="-2"/>
          <w:sz w:val="24"/>
        </w:rPr>
        <w:t>same</w:t>
      </w:r>
      <w:r>
        <w:rPr>
          <w:b/>
          <w:color w:val="211F1F"/>
          <w:spacing w:val="-2"/>
          <w:sz w:val="24"/>
        </w:rPr>
        <w:t>.</w:t>
      </w:r>
    </w:p>
    <w:p w14:paraId="3C2ED53A" w14:textId="77777777" w:rsidR="00BB77C0" w:rsidRDefault="00370BAA">
      <w:pPr>
        <w:pStyle w:val="ListParagraph"/>
        <w:numPr>
          <w:ilvl w:val="1"/>
          <w:numId w:val="98"/>
        </w:numPr>
        <w:tabs>
          <w:tab w:val="left" w:pos="1441"/>
        </w:tabs>
        <w:spacing w:before="180" w:line="259" w:lineRule="auto"/>
        <w:ind w:left="1441" w:right="47"/>
        <w:jc w:val="left"/>
        <w:rPr>
          <w:color w:val="211F1F"/>
          <w:sz w:val="24"/>
        </w:rPr>
      </w:pPr>
      <w:r>
        <w:rPr>
          <w:color w:val="211F1F"/>
          <w:sz w:val="24"/>
        </w:rPr>
        <w:t>Tenderers shall quote entirely in Kenya Shillings. The unit rates and the prices shall be quoted by the Tenderer in the Bill of Quantities, entirely in Kenya shillings.A Tenderer expecting to incur expenditures in other currencies for inputs to the Works supplied</w:t>
      </w:r>
      <w:r>
        <w:rPr>
          <w:color w:val="211F1F"/>
          <w:spacing w:val="-2"/>
          <w:sz w:val="24"/>
        </w:rPr>
        <w:t xml:space="preserve"> </w:t>
      </w:r>
      <w:r>
        <w:rPr>
          <w:color w:val="211F1F"/>
          <w:sz w:val="24"/>
        </w:rPr>
        <w:t>from</w:t>
      </w:r>
      <w:r>
        <w:rPr>
          <w:color w:val="211F1F"/>
          <w:spacing w:val="-15"/>
          <w:sz w:val="24"/>
        </w:rPr>
        <w:t xml:space="preserve"> </w:t>
      </w:r>
      <w:r>
        <w:rPr>
          <w:color w:val="211F1F"/>
          <w:sz w:val="24"/>
        </w:rPr>
        <w:t>outside</w:t>
      </w:r>
      <w:r>
        <w:rPr>
          <w:color w:val="211F1F"/>
          <w:spacing w:val="-3"/>
          <w:sz w:val="24"/>
        </w:rPr>
        <w:t xml:space="preserve"> </w:t>
      </w:r>
      <w:r>
        <w:rPr>
          <w:color w:val="211F1F"/>
          <w:sz w:val="24"/>
        </w:rPr>
        <w:t>Kenya</w:t>
      </w:r>
      <w:r>
        <w:rPr>
          <w:color w:val="211F1F"/>
          <w:spacing w:val="-9"/>
          <w:sz w:val="24"/>
        </w:rPr>
        <w:t xml:space="preserve"> </w:t>
      </w:r>
      <w:r>
        <w:rPr>
          <w:color w:val="211F1F"/>
          <w:sz w:val="24"/>
        </w:rPr>
        <w:t>(referred</w:t>
      </w:r>
      <w:r>
        <w:rPr>
          <w:color w:val="211F1F"/>
          <w:spacing w:val="-7"/>
          <w:sz w:val="24"/>
        </w:rPr>
        <w:t xml:space="preserve"> </w:t>
      </w:r>
      <w:r>
        <w:rPr>
          <w:color w:val="211F1F"/>
          <w:sz w:val="24"/>
        </w:rPr>
        <w:t>to</w:t>
      </w:r>
      <w:r>
        <w:rPr>
          <w:color w:val="211F1F"/>
          <w:spacing w:val="-3"/>
          <w:sz w:val="24"/>
        </w:rPr>
        <w:t xml:space="preserve"> </w:t>
      </w:r>
      <w:r>
        <w:rPr>
          <w:color w:val="211F1F"/>
          <w:sz w:val="24"/>
        </w:rPr>
        <w:t>as</w:t>
      </w:r>
      <w:r>
        <w:rPr>
          <w:color w:val="211F1F"/>
          <w:spacing w:val="-5"/>
          <w:sz w:val="24"/>
        </w:rPr>
        <w:t xml:space="preserve"> </w:t>
      </w:r>
      <w:r>
        <w:rPr>
          <w:color w:val="211F1F"/>
          <w:sz w:val="24"/>
        </w:rPr>
        <w:t>“the</w:t>
      </w:r>
      <w:r>
        <w:rPr>
          <w:color w:val="211F1F"/>
          <w:spacing w:val="-9"/>
          <w:sz w:val="24"/>
        </w:rPr>
        <w:t xml:space="preserve"> </w:t>
      </w:r>
      <w:r>
        <w:rPr>
          <w:color w:val="211F1F"/>
          <w:sz w:val="24"/>
        </w:rPr>
        <w:t>foreign</w:t>
      </w:r>
      <w:r>
        <w:rPr>
          <w:color w:val="211F1F"/>
          <w:spacing w:val="-10"/>
          <w:sz w:val="24"/>
        </w:rPr>
        <w:t xml:space="preserve"> </w:t>
      </w:r>
      <w:r>
        <w:rPr>
          <w:color w:val="211F1F"/>
          <w:sz w:val="24"/>
        </w:rPr>
        <w:t>currency</w:t>
      </w:r>
      <w:r>
        <w:rPr>
          <w:color w:val="211F1F"/>
          <w:spacing w:val="-7"/>
          <w:sz w:val="24"/>
        </w:rPr>
        <w:t xml:space="preserve"> </w:t>
      </w:r>
      <w:r>
        <w:rPr>
          <w:color w:val="211F1F"/>
          <w:sz w:val="24"/>
        </w:rPr>
        <w:t>requirements”)</w:t>
      </w:r>
      <w:r>
        <w:rPr>
          <w:color w:val="211F1F"/>
          <w:spacing w:val="-4"/>
          <w:sz w:val="24"/>
        </w:rPr>
        <w:t xml:space="preserve"> </w:t>
      </w:r>
      <w:r>
        <w:rPr>
          <w:color w:val="211F1F"/>
          <w:sz w:val="24"/>
        </w:rPr>
        <w:t xml:space="preserve">shall </w:t>
      </w:r>
      <w:r>
        <w:rPr>
          <w:color w:val="201F1F"/>
        </w:rPr>
        <w:t>device own ways of getting foreign currency to meet those expenditures.</w:t>
      </w:r>
    </w:p>
    <w:p w14:paraId="6BB6DD12" w14:textId="77777777" w:rsidR="00BB77C0" w:rsidRDefault="00370BAA">
      <w:pPr>
        <w:pStyle w:val="Heading6"/>
        <w:numPr>
          <w:ilvl w:val="1"/>
          <w:numId w:val="97"/>
        </w:numPr>
        <w:tabs>
          <w:tab w:val="left" w:pos="720"/>
        </w:tabs>
        <w:spacing w:before="244"/>
        <w:ind w:hanging="720"/>
        <w:jc w:val="left"/>
      </w:pPr>
      <w:bookmarkStart w:id="46" w:name="18.0_Documents_Comprising_the_Technical_"/>
      <w:bookmarkStart w:id="47" w:name="_bookmark22"/>
      <w:bookmarkEnd w:id="46"/>
      <w:bookmarkEnd w:id="47"/>
      <w:r>
        <w:t>Documents</w:t>
      </w:r>
      <w:r>
        <w:rPr>
          <w:spacing w:val="-15"/>
        </w:rPr>
        <w:t xml:space="preserve"> </w:t>
      </w:r>
      <w:r>
        <w:t>Comprising</w:t>
      </w:r>
      <w:r>
        <w:rPr>
          <w:spacing w:val="-9"/>
        </w:rPr>
        <w:t xml:space="preserve"> </w:t>
      </w:r>
      <w:r>
        <w:t>the</w:t>
      </w:r>
      <w:r>
        <w:rPr>
          <w:spacing w:val="-10"/>
        </w:rPr>
        <w:t xml:space="preserve"> </w:t>
      </w:r>
      <w:r>
        <w:t>Technical</w:t>
      </w:r>
      <w:r>
        <w:rPr>
          <w:spacing w:val="-16"/>
        </w:rPr>
        <w:t xml:space="preserve"> </w:t>
      </w:r>
      <w:r>
        <w:rPr>
          <w:spacing w:val="-2"/>
        </w:rPr>
        <w:t>Proposal</w:t>
      </w:r>
    </w:p>
    <w:p w14:paraId="614BF4EC" w14:textId="77777777" w:rsidR="00BB77C0" w:rsidRDefault="00370BAA">
      <w:pPr>
        <w:pStyle w:val="ListParagraph"/>
        <w:numPr>
          <w:ilvl w:val="1"/>
          <w:numId w:val="97"/>
        </w:numPr>
        <w:tabs>
          <w:tab w:val="left" w:pos="1441"/>
        </w:tabs>
        <w:spacing w:before="74" w:line="259" w:lineRule="auto"/>
        <w:ind w:left="1441" w:right="300"/>
        <w:jc w:val="left"/>
        <w:rPr>
          <w:color w:val="211F1F"/>
          <w:sz w:val="24"/>
        </w:rPr>
      </w:pPr>
      <w:r>
        <w:rPr>
          <w:color w:val="211F1F"/>
          <w:sz w:val="24"/>
        </w:rPr>
        <w:t>The Tenderer shall furnish a technical proposal including a statement of work methods,</w:t>
      </w:r>
      <w:r>
        <w:rPr>
          <w:color w:val="211F1F"/>
          <w:spacing w:val="-2"/>
          <w:sz w:val="24"/>
        </w:rPr>
        <w:t xml:space="preserve"> </w:t>
      </w:r>
      <w:r>
        <w:rPr>
          <w:color w:val="211F1F"/>
          <w:sz w:val="24"/>
        </w:rPr>
        <w:t>equipment,</w:t>
      </w:r>
      <w:r>
        <w:rPr>
          <w:color w:val="211F1F"/>
          <w:spacing w:val="-2"/>
          <w:sz w:val="24"/>
        </w:rPr>
        <w:t xml:space="preserve"> </w:t>
      </w:r>
      <w:r>
        <w:rPr>
          <w:color w:val="211F1F"/>
          <w:sz w:val="24"/>
        </w:rPr>
        <w:t>personnel,</w:t>
      </w:r>
      <w:r>
        <w:rPr>
          <w:color w:val="211F1F"/>
          <w:spacing w:val="-2"/>
          <w:sz w:val="24"/>
        </w:rPr>
        <w:t xml:space="preserve"> </w:t>
      </w:r>
      <w:r>
        <w:rPr>
          <w:color w:val="211F1F"/>
          <w:sz w:val="24"/>
        </w:rPr>
        <w:t>schedule and</w:t>
      </w:r>
      <w:r>
        <w:rPr>
          <w:color w:val="211F1F"/>
          <w:spacing w:val="-4"/>
          <w:sz w:val="24"/>
        </w:rPr>
        <w:t xml:space="preserve"> </w:t>
      </w:r>
      <w:r>
        <w:rPr>
          <w:color w:val="211F1F"/>
          <w:sz w:val="24"/>
        </w:rPr>
        <w:t>any</w:t>
      </w:r>
      <w:r>
        <w:rPr>
          <w:color w:val="211F1F"/>
          <w:spacing w:val="-8"/>
          <w:sz w:val="24"/>
        </w:rPr>
        <w:t xml:space="preserve"> </w:t>
      </w:r>
      <w:r>
        <w:rPr>
          <w:color w:val="211F1F"/>
          <w:sz w:val="24"/>
        </w:rPr>
        <w:t>other information</w:t>
      </w:r>
      <w:r>
        <w:rPr>
          <w:color w:val="211F1F"/>
          <w:spacing w:val="-8"/>
          <w:sz w:val="24"/>
        </w:rPr>
        <w:t xml:space="preserve"> </w:t>
      </w:r>
      <w:r>
        <w:rPr>
          <w:color w:val="211F1F"/>
          <w:sz w:val="24"/>
        </w:rPr>
        <w:t>as</w:t>
      </w:r>
      <w:r>
        <w:rPr>
          <w:color w:val="211F1F"/>
          <w:spacing w:val="-6"/>
          <w:sz w:val="24"/>
        </w:rPr>
        <w:t xml:space="preserve"> </w:t>
      </w:r>
      <w:r>
        <w:rPr>
          <w:color w:val="211F1F"/>
          <w:sz w:val="24"/>
        </w:rPr>
        <w:t>stipulated</w:t>
      </w:r>
      <w:r>
        <w:rPr>
          <w:color w:val="211F1F"/>
          <w:spacing w:val="-4"/>
          <w:sz w:val="24"/>
        </w:rPr>
        <w:t xml:space="preserve"> </w:t>
      </w:r>
      <w:r>
        <w:rPr>
          <w:color w:val="211F1F"/>
          <w:sz w:val="24"/>
        </w:rPr>
        <w:t>in Section</w:t>
      </w:r>
      <w:r>
        <w:rPr>
          <w:color w:val="211F1F"/>
          <w:spacing w:val="-15"/>
          <w:sz w:val="24"/>
        </w:rPr>
        <w:t xml:space="preserve"> </w:t>
      </w:r>
      <w:r>
        <w:rPr>
          <w:color w:val="211F1F"/>
          <w:sz w:val="24"/>
        </w:rPr>
        <w:t>IV,</w:t>
      </w:r>
      <w:r>
        <w:rPr>
          <w:color w:val="211F1F"/>
          <w:spacing w:val="-20"/>
          <w:sz w:val="24"/>
        </w:rPr>
        <w:t xml:space="preserve"> </w:t>
      </w:r>
      <w:r>
        <w:rPr>
          <w:color w:val="211F1F"/>
          <w:sz w:val="24"/>
        </w:rPr>
        <w:t>Tender</w:t>
      </w:r>
      <w:r>
        <w:rPr>
          <w:color w:val="211F1F"/>
          <w:spacing w:val="-15"/>
          <w:sz w:val="24"/>
        </w:rPr>
        <w:t xml:space="preserve"> </w:t>
      </w:r>
      <w:r>
        <w:rPr>
          <w:color w:val="211F1F"/>
          <w:sz w:val="24"/>
        </w:rPr>
        <w:t>Forms,</w:t>
      </w:r>
      <w:r>
        <w:rPr>
          <w:color w:val="211F1F"/>
          <w:spacing w:val="-10"/>
          <w:sz w:val="24"/>
        </w:rPr>
        <w:t xml:space="preserve"> </w:t>
      </w:r>
      <w:r>
        <w:rPr>
          <w:color w:val="211F1F"/>
          <w:sz w:val="24"/>
        </w:rPr>
        <w:t>and</w:t>
      </w:r>
      <w:r>
        <w:rPr>
          <w:color w:val="211F1F"/>
          <w:spacing w:val="-2"/>
          <w:sz w:val="24"/>
        </w:rPr>
        <w:t xml:space="preserve"> </w:t>
      </w:r>
      <w:r>
        <w:rPr>
          <w:color w:val="211F1F"/>
          <w:sz w:val="24"/>
        </w:rPr>
        <w:t>insufficient</w:t>
      </w:r>
      <w:r>
        <w:rPr>
          <w:color w:val="211F1F"/>
          <w:spacing w:val="-1"/>
          <w:sz w:val="24"/>
        </w:rPr>
        <w:t xml:space="preserve"> </w:t>
      </w:r>
      <w:r>
        <w:rPr>
          <w:color w:val="211F1F"/>
          <w:sz w:val="24"/>
        </w:rPr>
        <w:t>detail</w:t>
      </w:r>
      <w:r>
        <w:rPr>
          <w:color w:val="211F1F"/>
          <w:spacing w:val="-15"/>
          <w:sz w:val="24"/>
        </w:rPr>
        <w:t xml:space="preserve"> </w:t>
      </w:r>
      <w:r>
        <w:rPr>
          <w:color w:val="211F1F"/>
          <w:sz w:val="24"/>
        </w:rPr>
        <w:t>to</w:t>
      </w:r>
      <w:r>
        <w:rPr>
          <w:color w:val="211F1F"/>
          <w:spacing w:val="-8"/>
          <w:sz w:val="24"/>
        </w:rPr>
        <w:t xml:space="preserve"> </w:t>
      </w:r>
      <w:r>
        <w:rPr>
          <w:color w:val="211F1F"/>
          <w:sz w:val="24"/>
        </w:rPr>
        <w:t>demonstrate</w:t>
      </w:r>
      <w:r>
        <w:rPr>
          <w:color w:val="211F1F"/>
          <w:spacing w:val="-15"/>
          <w:sz w:val="24"/>
        </w:rPr>
        <w:t xml:space="preserve"> </w:t>
      </w:r>
      <w:r>
        <w:rPr>
          <w:color w:val="211F1F"/>
          <w:sz w:val="24"/>
        </w:rPr>
        <w:t>the</w:t>
      </w:r>
      <w:r>
        <w:rPr>
          <w:color w:val="211F1F"/>
          <w:spacing w:val="-12"/>
          <w:sz w:val="24"/>
        </w:rPr>
        <w:t xml:space="preserve"> </w:t>
      </w:r>
      <w:r>
        <w:rPr>
          <w:color w:val="211F1F"/>
          <w:sz w:val="24"/>
        </w:rPr>
        <w:t>adequacy</w:t>
      </w:r>
      <w:r>
        <w:rPr>
          <w:color w:val="211F1F"/>
          <w:spacing w:val="-15"/>
          <w:sz w:val="24"/>
        </w:rPr>
        <w:t xml:space="preserve"> </w:t>
      </w:r>
      <w:r>
        <w:rPr>
          <w:color w:val="211F1F"/>
          <w:sz w:val="24"/>
        </w:rPr>
        <w:t>of</w:t>
      </w:r>
      <w:r>
        <w:rPr>
          <w:color w:val="211F1F"/>
          <w:spacing w:val="-16"/>
          <w:sz w:val="24"/>
        </w:rPr>
        <w:t xml:space="preserve"> </w:t>
      </w:r>
      <w:r>
        <w:rPr>
          <w:color w:val="211F1F"/>
          <w:sz w:val="24"/>
        </w:rPr>
        <w:t>the Tenderer's proposal to meet the work's requirements and the completion time.</w:t>
      </w:r>
    </w:p>
    <w:p w14:paraId="39FFE577" w14:textId="77777777" w:rsidR="00BB77C0" w:rsidRDefault="00370BAA">
      <w:pPr>
        <w:pStyle w:val="Heading6"/>
        <w:numPr>
          <w:ilvl w:val="1"/>
          <w:numId w:val="96"/>
        </w:numPr>
        <w:tabs>
          <w:tab w:val="left" w:pos="720"/>
        </w:tabs>
        <w:spacing w:before="244"/>
        <w:ind w:hanging="720"/>
        <w:jc w:val="left"/>
      </w:pPr>
      <w:bookmarkStart w:id="48" w:name="19.0_Documents_Establishing_the_Eligibil"/>
      <w:bookmarkStart w:id="49" w:name="_bookmark23"/>
      <w:bookmarkEnd w:id="48"/>
      <w:bookmarkEnd w:id="49"/>
      <w:r>
        <w:t>Documents</w:t>
      </w:r>
      <w:r>
        <w:rPr>
          <w:spacing w:val="-10"/>
        </w:rPr>
        <w:t xml:space="preserve"> </w:t>
      </w:r>
      <w:r>
        <w:t>Establishing</w:t>
      </w:r>
      <w:r>
        <w:rPr>
          <w:spacing w:val="-6"/>
        </w:rPr>
        <w:t xml:space="preserve"> </w:t>
      </w:r>
      <w:r>
        <w:t>the</w:t>
      </w:r>
      <w:r>
        <w:rPr>
          <w:spacing w:val="-7"/>
        </w:rPr>
        <w:t xml:space="preserve"> </w:t>
      </w:r>
      <w:r>
        <w:t>Eligibility</w:t>
      </w:r>
      <w:r>
        <w:rPr>
          <w:spacing w:val="-6"/>
        </w:rPr>
        <w:t xml:space="preserve"> </w:t>
      </w:r>
      <w:r>
        <w:t>and</w:t>
      </w:r>
      <w:r>
        <w:rPr>
          <w:spacing w:val="-6"/>
        </w:rPr>
        <w:t xml:space="preserve"> </w:t>
      </w:r>
      <w:r>
        <w:t>Qualifications</w:t>
      </w:r>
      <w:r>
        <w:rPr>
          <w:spacing w:val="-8"/>
        </w:rPr>
        <w:t xml:space="preserve"> </w:t>
      </w:r>
      <w:r>
        <w:t>of</w:t>
      </w:r>
      <w:r>
        <w:rPr>
          <w:spacing w:val="-9"/>
        </w:rPr>
        <w:t xml:space="preserve"> </w:t>
      </w:r>
      <w:r>
        <w:t>the</w:t>
      </w:r>
      <w:r>
        <w:rPr>
          <w:spacing w:val="-11"/>
        </w:rPr>
        <w:t xml:space="preserve"> </w:t>
      </w:r>
      <w:r>
        <w:rPr>
          <w:spacing w:val="-2"/>
        </w:rPr>
        <w:t>Tenderer</w:t>
      </w:r>
    </w:p>
    <w:p w14:paraId="2912D701" w14:textId="77777777" w:rsidR="00BB77C0" w:rsidRDefault="00370BAA">
      <w:pPr>
        <w:pStyle w:val="ListParagraph"/>
        <w:numPr>
          <w:ilvl w:val="1"/>
          <w:numId w:val="96"/>
        </w:numPr>
        <w:tabs>
          <w:tab w:val="left" w:pos="1441"/>
        </w:tabs>
        <w:spacing w:before="79" w:line="259" w:lineRule="auto"/>
        <w:ind w:left="1441" w:right="37"/>
        <w:jc w:val="left"/>
        <w:rPr>
          <w:color w:val="211F1F"/>
          <w:sz w:val="24"/>
        </w:rPr>
      </w:pPr>
      <w:r>
        <w:rPr>
          <w:color w:val="211F1F"/>
          <w:sz w:val="24"/>
        </w:rPr>
        <w:t>Tenderers</w:t>
      </w:r>
      <w:r>
        <w:rPr>
          <w:color w:val="211F1F"/>
          <w:spacing w:val="-15"/>
          <w:sz w:val="24"/>
        </w:rPr>
        <w:t xml:space="preserve"> </w:t>
      </w:r>
      <w:r>
        <w:rPr>
          <w:color w:val="211F1F"/>
          <w:sz w:val="24"/>
        </w:rPr>
        <w:t>shall</w:t>
      </w:r>
      <w:r>
        <w:rPr>
          <w:color w:val="211F1F"/>
          <w:spacing w:val="-15"/>
          <w:sz w:val="24"/>
        </w:rPr>
        <w:t xml:space="preserve"> </w:t>
      </w:r>
      <w:r>
        <w:rPr>
          <w:color w:val="211F1F"/>
          <w:sz w:val="24"/>
        </w:rPr>
        <w:t>complete</w:t>
      </w:r>
      <w:r>
        <w:rPr>
          <w:color w:val="211F1F"/>
          <w:spacing w:val="-13"/>
          <w:sz w:val="24"/>
        </w:rPr>
        <w:t xml:space="preserve"> </w:t>
      </w:r>
      <w:r>
        <w:rPr>
          <w:color w:val="211F1F"/>
          <w:sz w:val="24"/>
        </w:rPr>
        <w:t>the</w:t>
      </w:r>
      <w:r>
        <w:rPr>
          <w:color w:val="211F1F"/>
          <w:spacing w:val="-12"/>
          <w:sz w:val="24"/>
        </w:rPr>
        <w:t xml:space="preserve"> </w:t>
      </w:r>
      <w:r>
        <w:rPr>
          <w:color w:val="211F1F"/>
          <w:sz w:val="24"/>
        </w:rPr>
        <w:t>Form</w:t>
      </w:r>
      <w:r>
        <w:rPr>
          <w:color w:val="211F1F"/>
          <w:spacing w:val="-14"/>
          <w:sz w:val="24"/>
        </w:rPr>
        <w:t xml:space="preserve"> </w:t>
      </w:r>
      <w:r>
        <w:rPr>
          <w:color w:val="211F1F"/>
          <w:sz w:val="24"/>
        </w:rPr>
        <w:t>of</w:t>
      </w:r>
      <w:r>
        <w:rPr>
          <w:color w:val="211F1F"/>
          <w:spacing w:val="-14"/>
          <w:sz w:val="24"/>
        </w:rPr>
        <w:t xml:space="preserve"> </w:t>
      </w:r>
      <w:r>
        <w:rPr>
          <w:color w:val="211F1F"/>
          <w:sz w:val="24"/>
        </w:rPr>
        <w:t>Tender,</w:t>
      </w:r>
      <w:r>
        <w:rPr>
          <w:color w:val="211F1F"/>
          <w:spacing w:val="-13"/>
          <w:sz w:val="24"/>
        </w:rPr>
        <w:t xml:space="preserve"> </w:t>
      </w:r>
      <w:r>
        <w:rPr>
          <w:color w:val="211F1F"/>
          <w:sz w:val="24"/>
        </w:rPr>
        <w:t>included</w:t>
      </w:r>
      <w:r>
        <w:rPr>
          <w:color w:val="211F1F"/>
          <w:spacing w:val="-6"/>
          <w:sz w:val="24"/>
        </w:rPr>
        <w:t xml:space="preserve"> </w:t>
      </w:r>
      <w:r>
        <w:rPr>
          <w:color w:val="211F1F"/>
          <w:sz w:val="24"/>
        </w:rPr>
        <w:t>in</w:t>
      </w:r>
      <w:r>
        <w:rPr>
          <w:color w:val="211F1F"/>
          <w:spacing w:val="-11"/>
          <w:sz w:val="24"/>
        </w:rPr>
        <w:t xml:space="preserve"> </w:t>
      </w:r>
      <w:r>
        <w:rPr>
          <w:color w:val="211F1F"/>
          <w:sz w:val="24"/>
        </w:rPr>
        <w:t>Section</w:t>
      </w:r>
      <w:r>
        <w:rPr>
          <w:color w:val="211F1F"/>
          <w:spacing w:val="-11"/>
          <w:sz w:val="24"/>
        </w:rPr>
        <w:t xml:space="preserve"> </w:t>
      </w:r>
      <w:r>
        <w:rPr>
          <w:color w:val="211F1F"/>
          <w:sz w:val="24"/>
        </w:rPr>
        <w:t>IV,</w:t>
      </w:r>
      <w:r>
        <w:rPr>
          <w:color w:val="211F1F"/>
          <w:spacing w:val="-20"/>
          <w:sz w:val="24"/>
        </w:rPr>
        <w:t xml:space="preserve"> </w:t>
      </w:r>
      <w:r>
        <w:rPr>
          <w:color w:val="211F1F"/>
          <w:sz w:val="24"/>
        </w:rPr>
        <w:t>Tender</w:t>
      </w:r>
      <w:r>
        <w:rPr>
          <w:color w:val="211F1F"/>
          <w:spacing w:val="-13"/>
          <w:sz w:val="24"/>
        </w:rPr>
        <w:t xml:space="preserve"> </w:t>
      </w:r>
      <w:r>
        <w:rPr>
          <w:color w:val="211F1F"/>
          <w:sz w:val="24"/>
        </w:rPr>
        <w:t>Forms,</w:t>
      </w:r>
      <w:r>
        <w:rPr>
          <w:color w:val="211F1F"/>
          <w:spacing w:val="-8"/>
          <w:sz w:val="24"/>
        </w:rPr>
        <w:t xml:space="preserve"> </w:t>
      </w:r>
      <w:r>
        <w:rPr>
          <w:color w:val="211F1F"/>
          <w:sz w:val="24"/>
        </w:rPr>
        <w:t>to establish Tenderer's eligibility in accordance with ITT 4.</w:t>
      </w:r>
    </w:p>
    <w:p w14:paraId="52CF13DC" w14:textId="77777777" w:rsidR="00BB77C0" w:rsidRDefault="00370BAA">
      <w:pPr>
        <w:pStyle w:val="ListParagraph"/>
        <w:numPr>
          <w:ilvl w:val="1"/>
          <w:numId w:val="96"/>
        </w:numPr>
        <w:tabs>
          <w:tab w:val="left" w:pos="1441"/>
        </w:tabs>
        <w:spacing w:before="158" w:line="259" w:lineRule="auto"/>
        <w:ind w:left="1441" w:right="284"/>
        <w:jc w:val="left"/>
        <w:rPr>
          <w:color w:val="211F1F"/>
          <w:sz w:val="24"/>
        </w:rPr>
      </w:pPr>
      <w:r>
        <w:rPr>
          <w:color w:val="211F1F"/>
          <w:sz w:val="24"/>
        </w:rPr>
        <w:t>In</w:t>
      </w:r>
      <w:r>
        <w:rPr>
          <w:color w:val="211F1F"/>
          <w:spacing w:val="-8"/>
          <w:sz w:val="24"/>
        </w:rPr>
        <w:t xml:space="preserve"> </w:t>
      </w:r>
      <w:r>
        <w:rPr>
          <w:color w:val="211F1F"/>
          <w:sz w:val="24"/>
        </w:rPr>
        <w:t>accordance</w:t>
      </w:r>
      <w:r>
        <w:rPr>
          <w:color w:val="211F1F"/>
          <w:spacing w:val="-8"/>
          <w:sz w:val="24"/>
        </w:rPr>
        <w:t xml:space="preserve"> </w:t>
      </w:r>
      <w:r>
        <w:rPr>
          <w:color w:val="211F1F"/>
          <w:sz w:val="24"/>
        </w:rPr>
        <w:t>with</w:t>
      </w:r>
      <w:r>
        <w:rPr>
          <w:color w:val="211F1F"/>
          <w:spacing w:val="-11"/>
          <w:sz w:val="24"/>
        </w:rPr>
        <w:t xml:space="preserve"> </w:t>
      </w:r>
      <w:r>
        <w:rPr>
          <w:color w:val="211F1F"/>
          <w:sz w:val="24"/>
        </w:rPr>
        <w:t>Section</w:t>
      </w:r>
      <w:r>
        <w:rPr>
          <w:color w:val="211F1F"/>
          <w:spacing w:val="-11"/>
          <w:sz w:val="24"/>
        </w:rPr>
        <w:t xml:space="preserve"> </w:t>
      </w:r>
      <w:r>
        <w:rPr>
          <w:color w:val="211F1F"/>
          <w:sz w:val="24"/>
        </w:rPr>
        <w:t>III,</w:t>
      </w:r>
      <w:r>
        <w:rPr>
          <w:color w:val="211F1F"/>
          <w:spacing w:val="-5"/>
          <w:sz w:val="24"/>
        </w:rPr>
        <w:t xml:space="preserve"> </w:t>
      </w:r>
      <w:r>
        <w:rPr>
          <w:color w:val="211F1F"/>
          <w:sz w:val="24"/>
        </w:rPr>
        <w:t>Evaluation</w:t>
      </w:r>
      <w:r>
        <w:rPr>
          <w:color w:val="211F1F"/>
          <w:spacing w:val="-10"/>
          <w:sz w:val="24"/>
        </w:rPr>
        <w:t xml:space="preserve"> </w:t>
      </w:r>
      <w:r>
        <w:rPr>
          <w:color w:val="211F1F"/>
          <w:sz w:val="24"/>
        </w:rPr>
        <w:t>and</w:t>
      </w:r>
      <w:r>
        <w:rPr>
          <w:color w:val="211F1F"/>
          <w:spacing w:val="-7"/>
          <w:sz w:val="24"/>
        </w:rPr>
        <w:t xml:space="preserve"> </w:t>
      </w:r>
      <w:r>
        <w:rPr>
          <w:color w:val="211F1F"/>
          <w:sz w:val="24"/>
        </w:rPr>
        <w:t>Qualification</w:t>
      </w:r>
      <w:r>
        <w:rPr>
          <w:color w:val="211F1F"/>
          <w:spacing w:val="-10"/>
          <w:sz w:val="24"/>
        </w:rPr>
        <w:t xml:space="preserve"> </w:t>
      </w:r>
      <w:r>
        <w:rPr>
          <w:color w:val="211F1F"/>
          <w:sz w:val="24"/>
        </w:rPr>
        <w:t>Criteria,</w:t>
      </w:r>
      <w:r>
        <w:rPr>
          <w:color w:val="211F1F"/>
          <w:spacing w:val="-4"/>
          <w:sz w:val="24"/>
        </w:rPr>
        <w:t xml:space="preserve"> </w:t>
      </w:r>
      <w:r>
        <w:rPr>
          <w:color w:val="211F1F"/>
          <w:sz w:val="24"/>
        </w:rPr>
        <w:t>to</w:t>
      </w:r>
      <w:r>
        <w:rPr>
          <w:color w:val="211F1F"/>
          <w:spacing w:val="-3"/>
          <w:sz w:val="24"/>
        </w:rPr>
        <w:t xml:space="preserve"> </w:t>
      </w:r>
      <w:r>
        <w:rPr>
          <w:color w:val="211F1F"/>
          <w:sz w:val="24"/>
        </w:rPr>
        <w:t>establish</w:t>
      </w:r>
      <w:r>
        <w:rPr>
          <w:color w:val="211F1F"/>
          <w:spacing w:val="-7"/>
          <w:sz w:val="24"/>
        </w:rPr>
        <w:t xml:space="preserve"> </w:t>
      </w:r>
      <w:r>
        <w:rPr>
          <w:color w:val="211F1F"/>
          <w:sz w:val="24"/>
        </w:rPr>
        <w:t xml:space="preserve">its qualifications to perform the Contract the Tenderer shall provide the information requested in the corresponding information sheets included in Section IV, Tender </w:t>
      </w:r>
      <w:r>
        <w:rPr>
          <w:color w:val="211F1F"/>
          <w:spacing w:val="-2"/>
          <w:sz w:val="24"/>
        </w:rPr>
        <w:t>Forms.</w:t>
      </w:r>
    </w:p>
    <w:p w14:paraId="6D39B83C" w14:textId="77777777" w:rsidR="00BB77C0" w:rsidRDefault="00370BAA">
      <w:pPr>
        <w:pStyle w:val="ListParagraph"/>
        <w:numPr>
          <w:ilvl w:val="1"/>
          <w:numId w:val="96"/>
        </w:numPr>
        <w:tabs>
          <w:tab w:val="left" w:pos="1441"/>
        </w:tabs>
        <w:spacing w:before="157" w:line="259" w:lineRule="auto"/>
        <w:ind w:left="1441" w:right="374"/>
        <w:jc w:val="left"/>
        <w:rPr>
          <w:color w:val="211F1F"/>
          <w:sz w:val="24"/>
        </w:rPr>
      </w:pPr>
      <w:r>
        <w:rPr>
          <w:color w:val="211F1F"/>
          <w:sz w:val="24"/>
        </w:rPr>
        <w:t>If</w:t>
      </w:r>
      <w:r>
        <w:rPr>
          <w:color w:val="211F1F"/>
          <w:spacing w:val="-15"/>
          <w:sz w:val="24"/>
        </w:rPr>
        <w:t xml:space="preserve"> </w:t>
      </w:r>
      <w:r>
        <w:rPr>
          <w:color w:val="211F1F"/>
          <w:sz w:val="24"/>
        </w:rPr>
        <w:t>a</w:t>
      </w:r>
      <w:r>
        <w:rPr>
          <w:color w:val="211F1F"/>
          <w:spacing w:val="-3"/>
          <w:sz w:val="24"/>
        </w:rPr>
        <w:t xml:space="preserve"> </w:t>
      </w:r>
      <w:r>
        <w:rPr>
          <w:color w:val="211F1F"/>
          <w:sz w:val="24"/>
        </w:rPr>
        <w:t>margin</w:t>
      </w:r>
      <w:r>
        <w:rPr>
          <w:color w:val="211F1F"/>
          <w:spacing w:val="-6"/>
          <w:sz w:val="24"/>
        </w:rPr>
        <w:t xml:space="preserve"> </w:t>
      </w:r>
      <w:r>
        <w:rPr>
          <w:color w:val="211F1F"/>
          <w:sz w:val="24"/>
        </w:rPr>
        <w:t>of</w:t>
      </w:r>
      <w:r>
        <w:rPr>
          <w:color w:val="211F1F"/>
          <w:spacing w:val="-15"/>
          <w:sz w:val="24"/>
        </w:rPr>
        <w:t xml:space="preserve"> </w:t>
      </w:r>
      <w:r>
        <w:rPr>
          <w:color w:val="211F1F"/>
          <w:sz w:val="24"/>
        </w:rPr>
        <w:t>preference</w:t>
      </w:r>
      <w:r>
        <w:rPr>
          <w:color w:val="211F1F"/>
          <w:spacing w:val="-6"/>
          <w:sz w:val="24"/>
        </w:rPr>
        <w:t xml:space="preserve"> </w:t>
      </w:r>
      <w:r>
        <w:rPr>
          <w:color w:val="211F1F"/>
          <w:sz w:val="24"/>
        </w:rPr>
        <w:t>applies</w:t>
      </w:r>
      <w:r>
        <w:rPr>
          <w:color w:val="211F1F"/>
          <w:spacing w:val="-8"/>
          <w:sz w:val="24"/>
        </w:rPr>
        <w:t xml:space="preserve"> </w:t>
      </w:r>
      <w:r>
        <w:rPr>
          <w:color w:val="211F1F"/>
          <w:sz w:val="24"/>
        </w:rPr>
        <w:t>as</w:t>
      </w:r>
      <w:r>
        <w:rPr>
          <w:color w:val="211F1F"/>
          <w:spacing w:val="-4"/>
          <w:sz w:val="24"/>
        </w:rPr>
        <w:t xml:space="preserve"> </w:t>
      </w:r>
      <w:r>
        <w:rPr>
          <w:color w:val="211F1F"/>
          <w:sz w:val="24"/>
        </w:rPr>
        <w:t>specified</w:t>
      </w:r>
      <w:r>
        <w:rPr>
          <w:color w:val="211F1F"/>
          <w:spacing w:val="-1"/>
          <w:sz w:val="24"/>
        </w:rPr>
        <w:t xml:space="preserve"> </w:t>
      </w:r>
      <w:r>
        <w:rPr>
          <w:color w:val="211F1F"/>
          <w:sz w:val="24"/>
        </w:rPr>
        <w:t>in</w:t>
      </w:r>
      <w:r>
        <w:rPr>
          <w:color w:val="211F1F"/>
          <w:spacing w:val="-12"/>
          <w:sz w:val="24"/>
        </w:rPr>
        <w:t xml:space="preserve"> </w:t>
      </w:r>
      <w:r>
        <w:rPr>
          <w:color w:val="211F1F"/>
          <w:sz w:val="24"/>
        </w:rPr>
        <w:t>accordance</w:t>
      </w:r>
      <w:r>
        <w:rPr>
          <w:color w:val="211F1F"/>
          <w:spacing w:val="-6"/>
          <w:sz w:val="24"/>
        </w:rPr>
        <w:t xml:space="preserve"> </w:t>
      </w:r>
      <w:r>
        <w:rPr>
          <w:color w:val="211F1F"/>
          <w:sz w:val="24"/>
        </w:rPr>
        <w:t>with</w:t>
      </w:r>
      <w:r>
        <w:rPr>
          <w:color w:val="211F1F"/>
          <w:spacing w:val="-6"/>
          <w:sz w:val="24"/>
        </w:rPr>
        <w:t xml:space="preserve"> </w:t>
      </w:r>
      <w:r>
        <w:rPr>
          <w:color w:val="211F1F"/>
          <w:sz w:val="24"/>
        </w:rPr>
        <w:t>ITT33.</w:t>
      </w:r>
      <w:r>
        <w:rPr>
          <w:color w:val="211F1F"/>
          <w:spacing w:val="-8"/>
          <w:sz w:val="24"/>
        </w:rPr>
        <w:t xml:space="preserve"> </w:t>
      </w:r>
      <w:r>
        <w:rPr>
          <w:color w:val="211F1F"/>
          <w:sz w:val="24"/>
        </w:rPr>
        <w:t>1,</w:t>
      </w:r>
      <w:r>
        <w:rPr>
          <w:color w:val="211F1F"/>
          <w:spacing w:val="-4"/>
          <w:sz w:val="24"/>
        </w:rPr>
        <w:t xml:space="preserve"> </w:t>
      </w:r>
      <w:r>
        <w:rPr>
          <w:color w:val="211F1F"/>
          <w:sz w:val="24"/>
        </w:rPr>
        <w:t>national tenderers, individually or in joint ventures, applying for eligibility fornational preference</w:t>
      </w:r>
      <w:r>
        <w:rPr>
          <w:color w:val="211F1F"/>
          <w:spacing w:val="-1"/>
          <w:sz w:val="24"/>
        </w:rPr>
        <w:t xml:space="preserve"> </w:t>
      </w:r>
      <w:r>
        <w:rPr>
          <w:color w:val="211F1F"/>
          <w:sz w:val="24"/>
        </w:rPr>
        <w:t>shall</w:t>
      </w:r>
      <w:r>
        <w:rPr>
          <w:color w:val="211F1F"/>
          <w:spacing w:val="-4"/>
          <w:sz w:val="24"/>
        </w:rPr>
        <w:t xml:space="preserve"> </w:t>
      </w:r>
      <w:r>
        <w:rPr>
          <w:color w:val="211F1F"/>
          <w:sz w:val="24"/>
        </w:rPr>
        <w:t>supply</w:t>
      </w:r>
      <w:r>
        <w:rPr>
          <w:color w:val="211F1F"/>
          <w:spacing w:val="-9"/>
          <w:sz w:val="24"/>
        </w:rPr>
        <w:t xml:space="preserve"> </w:t>
      </w:r>
      <w:r>
        <w:rPr>
          <w:color w:val="211F1F"/>
          <w:sz w:val="24"/>
        </w:rPr>
        <w:t>all information</w:t>
      </w:r>
      <w:r>
        <w:rPr>
          <w:color w:val="211F1F"/>
          <w:spacing w:val="-5"/>
          <w:sz w:val="24"/>
        </w:rPr>
        <w:t xml:space="preserve"> </w:t>
      </w:r>
      <w:r>
        <w:rPr>
          <w:color w:val="211F1F"/>
          <w:sz w:val="24"/>
        </w:rPr>
        <w:t>required to satisfy</w:t>
      </w:r>
      <w:r>
        <w:rPr>
          <w:color w:val="211F1F"/>
          <w:spacing w:val="-10"/>
          <w:sz w:val="24"/>
        </w:rPr>
        <w:t xml:space="preserve"> </w:t>
      </w:r>
      <w:r>
        <w:rPr>
          <w:color w:val="211F1F"/>
          <w:sz w:val="24"/>
        </w:rPr>
        <w:t>the</w:t>
      </w:r>
      <w:r>
        <w:rPr>
          <w:color w:val="211F1F"/>
          <w:spacing w:val="-1"/>
          <w:sz w:val="24"/>
        </w:rPr>
        <w:t xml:space="preserve"> </w:t>
      </w:r>
      <w:r>
        <w:rPr>
          <w:color w:val="211F1F"/>
          <w:sz w:val="24"/>
        </w:rPr>
        <w:t>criteria for eligibility specified in accordance with ITT 33.1.</w:t>
      </w:r>
    </w:p>
    <w:p w14:paraId="5A5DC36A" w14:textId="77777777" w:rsidR="00BB77C0" w:rsidRDefault="00370BAA">
      <w:pPr>
        <w:pStyle w:val="ListParagraph"/>
        <w:numPr>
          <w:ilvl w:val="1"/>
          <w:numId w:val="96"/>
        </w:numPr>
        <w:tabs>
          <w:tab w:val="left" w:pos="1441"/>
        </w:tabs>
        <w:spacing w:before="162" w:line="259" w:lineRule="auto"/>
        <w:ind w:left="1441" w:right="57"/>
        <w:jc w:val="left"/>
        <w:rPr>
          <w:color w:val="211F1F"/>
          <w:sz w:val="24"/>
        </w:rPr>
      </w:pPr>
      <w:r>
        <w:rPr>
          <w:color w:val="211F1F"/>
          <w:sz w:val="24"/>
        </w:rPr>
        <w:t>Tenderers shall be asked to provide, as part of the data for qualification, such information, including</w:t>
      </w:r>
      <w:r>
        <w:rPr>
          <w:color w:val="211F1F"/>
          <w:spacing w:val="-7"/>
          <w:sz w:val="24"/>
        </w:rPr>
        <w:t xml:space="preserve"> </w:t>
      </w:r>
      <w:r>
        <w:rPr>
          <w:color w:val="211F1F"/>
          <w:sz w:val="24"/>
        </w:rPr>
        <w:t>details</w:t>
      </w:r>
      <w:r>
        <w:rPr>
          <w:color w:val="211F1F"/>
          <w:spacing w:val="-9"/>
          <w:sz w:val="24"/>
        </w:rPr>
        <w:t xml:space="preserve"> </w:t>
      </w:r>
      <w:r>
        <w:rPr>
          <w:color w:val="211F1F"/>
          <w:sz w:val="24"/>
        </w:rPr>
        <w:t>of</w:t>
      </w:r>
      <w:r>
        <w:rPr>
          <w:color w:val="211F1F"/>
          <w:spacing w:val="-14"/>
          <w:sz w:val="24"/>
        </w:rPr>
        <w:t xml:space="preserve"> </w:t>
      </w:r>
      <w:r>
        <w:rPr>
          <w:color w:val="211F1F"/>
          <w:sz w:val="24"/>
        </w:rPr>
        <w:t>ownership,</w:t>
      </w:r>
      <w:r>
        <w:rPr>
          <w:color w:val="211F1F"/>
          <w:spacing w:val="-4"/>
          <w:sz w:val="24"/>
        </w:rPr>
        <w:t xml:space="preserve"> </w:t>
      </w:r>
      <w:r>
        <w:rPr>
          <w:color w:val="211F1F"/>
          <w:sz w:val="24"/>
        </w:rPr>
        <w:t>as</w:t>
      </w:r>
      <w:r>
        <w:rPr>
          <w:color w:val="211F1F"/>
          <w:spacing w:val="-10"/>
          <w:sz w:val="24"/>
        </w:rPr>
        <w:t xml:space="preserve"> </w:t>
      </w:r>
      <w:r>
        <w:rPr>
          <w:color w:val="211F1F"/>
          <w:sz w:val="24"/>
        </w:rPr>
        <w:t>shall</w:t>
      </w:r>
      <w:r>
        <w:rPr>
          <w:color w:val="211F1F"/>
          <w:spacing w:val="-7"/>
          <w:sz w:val="24"/>
        </w:rPr>
        <w:t xml:space="preserve"> </w:t>
      </w:r>
      <w:r>
        <w:rPr>
          <w:color w:val="211F1F"/>
          <w:sz w:val="24"/>
        </w:rPr>
        <w:t>be</w:t>
      </w:r>
      <w:r>
        <w:rPr>
          <w:color w:val="211F1F"/>
          <w:spacing w:val="-8"/>
          <w:sz w:val="24"/>
        </w:rPr>
        <w:t xml:space="preserve"> </w:t>
      </w:r>
      <w:r>
        <w:rPr>
          <w:color w:val="211F1F"/>
          <w:sz w:val="24"/>
        </w:rPr>
        <w:t>required</w:t>
      </w:r>
      <w:r>
        <w:rPr>
          <w:color w:val="211F1F"/>
          <w:spacing w:val="-7"/>
          <w:sz w:val="24"/>
        </w:rPr>
        <w:t xml:space="preserve"> </w:t>
      </w:r>
      <w:r>
        <w:rPr>
          <w:color w:val="211F1F"/>
          <w:sz w:val="24"/>
        </w:rPr>
        <w:t>to</w:t>
      </w:r>
      <w:r>
        <w:rPr>
          <w:color w:val="211F1F"/>
          <w:spacing w:val="-3"/>
          <w:sz w:val="24"/>
        </w:rPr>
        <w:t xml:space="preserve"> </w:t>
      </w:r>
      <w:r>
        <w:rPr>
          <w:color w:val="211F1F"/>
          <w:sz w:val="24"/>
        </w:rPr>
        <w:t>determine</w:t>
      </w:r>
      <w:r>
        <w:rPr>
          <w:color w:val="211F1F"/>
          <w:spacing w:val="-8"/>
          <w:sz w:val="24"/>
        </w:rPr>
        <w:t xml:space="preserve"> </w:t>
      </w:r>
      <w:r>
        <w:rPr>
          <w:color w:val="211F1F"/>
          <w:sz w:val="24"/>
        </w:rPr>
        <w:t>whether, according</w:t>
      </w:r>
      <w:r>
        <w:rPr>
          <w:color w:val="211F1F"/>
          <w:spacing w:val="-9"/>
          <w:sz w:val="24"/>
        </w:rPr>
        <w:t xml:space="preserve"> </w:t>
      </w:r>
      <w:r>
        <w:rPr>
          <w:color w:val="211F1F"/>
          <w:sz w:val="24"/>
        </w:rPr>
        <w:t>to</w:t>
      </w:r>
      <w:r>
        <w:rPr>
          <w:color w:val="211F1F"/>
          <w:spacing w:val="-14"/>
          <w:sz w:val="24"/>
        </w:rPr>
        <w:t xml:space="preserve"> </w:t>
      </w:r>
      <w:r>
        <w:rPr>
          <w:color w:val="211F1F"/>
          <w:sz w:val="24"/>
        </w:rPr>
        <w:t>the</w:t>
      </w:r>
      <w:r>
        <w:rPr>
          <w:color w:val="211F1F"/>
          <w:spacing w:val="-10"/>
          <w:sz w:val="24"/>
        </w:rPr>
        <w:t xml:space="preserve"> </w:t>
      </w:r>
      <w:r>
        <w:rPr>
          <w:color w:val="211F1F"/>
          <w:sz w:val="24"/>
        </w:rPr>
        <w:t>classification</w:t>
      </w:r>
      <w:r>
        <w:rPr>
          <w:color w:val="211F1F"/>
          <w:spacing w:val="-11"/>
          <w:sz w:val="24"/>
        </w:rPr>
        <w:t xml:space="preserve"> </w:t>
      </w:r>
      <w:r>
        <w:rPr>
          <w:color w:val="211F1F"/>
          <w:sz w:val="24"/>
        </w:rPr>
        <w:t>established</w:t>
      </w:r>
      <w:r>
        <w:rPr>
          <w:color w:val="211F1F"/>
          <w:spacing w:val="-9"/>
          <w:sz w:val="24"/>
        </w:rPr>
        <w:t xml:space="preserve"> </w:t>
      </w:r>
      <w:r>
        <w:rPr>
          <w:color w:val="211F1F"/>
          <w:sz w:val="24"/>
        </w:rPr>
        <w:t>by</w:t>
      </w:r>
      <w:r>
        <w:rPr>
          <w:color w:val="211F1F"/>
          <w:spacing w:val="-13"/>
          <w:sz w:val="24"/>
        </w:rPr>
        <w:t xml:space="preserve"> </w:t>
      </w:r>
      <w:r>
        <w:rPr>
          <w:color w:val="211F1F"/>
          <w:sz w:val="24"/>
        </w:rPr>
        <w:t>the</w:t>
      </w:r>
      <w:r>
        <w:rPr>
          <w:color w:val="211F1F"/>
          <w:spacing w:val="-10"/>
          <w:sz w:val="24"/>
        </w:rPr>
        <w:t xml:space="preserve"> </w:t>
      </w:r>
      <w:r>
        <w:rPr>
          <w:color w:val="211F1F"/>
          <w:sz w:val="24"/>
        </w:rPr>
        <w:t>Procuring</w:t>
      </w:r>
      <w:r>
        <w:rPr>
          <w:color w:val="211F1F"/>
          <w:spacing w:val="-9"/>
          <w:sz w:val="24"/>
        </w:rPr>
        <w:t xml:space="preserve"> </w:t>
      </w:r>
      <w:r>
        <w:rPr>
          <w:color w:val="211F1F"/>
          <w:sz w:val="24"/>
        </w:rPr>
        <w:t>Entity,</w:t>
      </w:r>
      <w:r>
        <w:rPr>
          <w:color w:val="211F1F"/>
          <w:spacing w:val="-15"/>
          <w:sz w:val="24"/>
        </w:rPr>
        <w:t xml:space="preserve"> </w:t>
      </w:r>
      <w:r>
        <w:rPr>
          <w:color w:val="211F1F"/>
          <w:sz w:val="24"/>
          <w:u w:val="single" w:color="211F1F"/>
        </w:rPr>
        <w:t>a</w:t>
      </w:r>
      <w:r>
        <w:rPr>
          <w:color w:val="211F1F"/>
          <w:spacing w:val="-10"/>
          <w:sz w:val="24"/>
          <w:u w:val="single" w:color="211F1F"/>
        </w:rPr>
        <w:t xml:space="preserve"> </w:t>
      </w:r>
      <w:r>
        <w:rPr>
          <w:color w:val="211F1F"/>
          <w:sz w:val="24"/>
          <w:u w:val="single" w:color="211F1F"/>
        </w:rPr>
        <w:t>particular</w:t>
      </w:r>
      <w:r>
        <w:rPr>
          <w:color w:val="211F1F"/>
          <w:spacing w:val="-8"/>
          <w:sz w:val="24"/>
          <w:u w:val="single" w:color="211F1F"/>
        </w:rPr>
        <w:t xml:space="preserve"> </w:t>
      </w:r>
      <w:r>
        <w:rPr>
          <w:color w:val="211F1F"/>
          <w:sz w:val="24"/>
          <w:u w:val="single" w:color="211F1F"/>
        </w:rPr>
        <w:t>contract</w:t>
      </w:r>
      <w:r>
        <w:rPr>
          <w:color w:val="211F1F"/>
          <w:sz w:val="24"/>
        </w:rPr>
        <w:t xml:space="preserve"> </w:t>
      </w:r>
      <w:r>
        <w:rPr>
          <w:color w:val="211F1F"/>
          <w:sz w:val="24"/>
          <w:u w:val="single" w:color="211F1F"/>
        </w:rPr>
        <w:t>or</w:t>
      </w:r>
      <w:r>
        <w:rPr>
          <w:color w:val="211F1F"/>
          <w:spacing w:val="-14"/>
          <w:sz w:val="24"/>
          <w:u w:val="single" w:color="211F1F"/>
        </w:rPr>
        <w:t xml:space="preserve"> </w:t>
      </w:r>
      <w:r>
        <w:rPr>
          <w:color w:val="211F1F"/>
          <w:sz w:val="24"/>
          <w:u w:val="single" w:color="211F1F"/>
        </w:rPr>
        <w:t>or</w:t>
      </w:r>
      <w:r>
        <w:rPr>
          <w:color w:val="211F1F"/>
          <w:spacing w:val="-4"/>
          <w:sz w:val="24"/>
          <w:u w:val="single" w:color="211F1F"/>
        </w:rPr>
        <w:t xml:space="preserve"> </w:t>
      </w:r>
      <w:r>
        <w:rPr>
          <w:color w:val="211F1F"/>
          <w:sz w:val="24"/>
          <w:u w:val="single" w:color="211F1F"/>
        </w:rPr>
        <w:t>group</w:t>
      </w:r>
      <w:r>
        <w:rPr>
          <w:color w:val="211F1F"/>
          <w:spacing w:val="-10"/>
          <w:sz w:val="24"/>
          <w:u w:val="single" w:color="211F1F"/>
        </w:rPr>
        <w:t xml:space="preserve"> </w:t>
      </w:r>
      <w:r>
        <w:rPr>
          <w:color w:val="211F1F"/>
          <w:sz w:val="24"/>
          <w:u w:val="single" w:color="211F1F"/>
        </w:rPr>
        <w:t>of</w:t>
      </w:r>
      <w:r>
        <w:rPr>
          <w:color w:val="211F1F"/>
          <w:spacing w:val="-9"/>
          <w:sz w:val="24"/>
          <w:u w:val="single" w:color="211F1F"/>
        </w:rPr>
        <w:t xml:space="preserve"> </w:t>
      </w:r>
      <w:r>
        <w:rPr>
          <w:color w:val="211F1F"/>
          <w:sz w:val="24"/>
          <w:u w:val="single" w:color="211F1F"/>
        </w:rPr>
        <w:t>contractors</w:t>
      </w:r>
      <w:r>
        <w:rPr>
          <w:color w:val="211F1F"/>
          <w:spacing w:val="-6"/>
          <w:sz w:val="24"/>
        </w:rPr>
        <w:t xml:space="preserve"> </w:t>
      </w:r>
      <w:r>
        <w:rPr>
          <w:color w:val="211F1F"/>
          <w:sz w:val="24"/>
        </w:rPr>
        <w:t>qualifies</w:t>
      </w:r>
      <w:r>
        <w:rPr>
          <w:color w:val="211F1F"/>
          <w:spacing w:val="-2"/>
          <w:sz w:val="24"/>
        </w:rPr>
        <w:t xml:space="preserve"> </w:t>
      </w:r>
      <w:r>
        <w:rPr>
          <w:color w:val="211F1F"/>
          <w:sz w:val="24"/>
        </w:rPr>
        <w:t>for</w:t>
      </w:r>
      <w:r>
        <w:rPr>
          <w:color w:val="211F1F"/>
          <w:spacing w:val="-4"/>
          <w:sz w:val="24"/>
        </w:rPr>
        <w:t xml:space="preserve"> </w:t>
      </w:r>
      <w:r>
        <w:rPr>
          <w:color w:val="211F1F"/>
          <w:sz w:val="24"/>
        </w:rPr>
        <w:t>a</w:t>
      </w:r>
      <w:r>
        <w:rPr>
          <w:color w:val="211F1F"/>
          <w:spacing w:val="-2"/>
          <w:sz w:val="24"/>
        </w:rPr>
        <w:t xml:space="preserve"> </w:t>
      </w:r>
      <w:r>
        <w:rPr>
          <w:color w:val="211F1F"/>
          <w:sz w:val="24"/>
        </w:rPr>
        <w:t>margin</w:t>
      </w:r>
      <w:r>
        <w:rPr>
          <w:color w:val="211F1F"/>
          <w:spacing w:val="-10"/>
          <w:sz w:val="24"/>
        </w:rPr>
        <w:t xml:space="preserve"> </w:t>
      </w:r>
      <w:r>
        <w:rPr>
          <w:color w:val="211F1F"/>
          <w:sz w:val="24"/>
        </w:rPr>
        <w:t>of</w:t>
      </w:r>
      <w:r>
        <w:rPr>
          <w:color w:val="211F1F"/>
          <w:spacing w:val="-14"/>
          <w:sz w:val="24"/>
        </w:rPr>
        <w:t xml:space="preserve"> </w:t>
      </w:r>
      <w:r>
        <w:rPr>
          <w:color w:val="211F1F"/>
          <w:sz w:val="24"/>
        </w:rPr>
        <w:t>preference. Further</w:t>
      </w:r>
      <w:r>
        <w:rPr>
          <w:color w:val="211F1F"/>
          <w:spacing w:val="-8"/>
          <w:sz w:val="24"/>
        </w:rPr>
        <w:t xml:space="preserve"> </w:t>
      </w:r>
      <w:r>
        <w:rPr>
          <w:color w:val="211F1F"/>
          <w:sz w:val="24"/>
        </w:rPr>
        <w:t>the information will enable the Procuring Entity identify</w:t>
      </w:r>
      <w:r>
        <w:rPr>
          <w:color w:val="211F1F"/>
          <w:spacing w:val="-1"/>
          <w:sz w:val="24"/>
        </w:rPr>
        <w:t xml:space="preserve"> </w:t>
      </w:r>
      <w:r>
        <w:rPr>
          <w:color w:val="211F1F"/>
          <w:sz w:val="24"/>
        </w:rPr>
        <w:t>any actual or potential conflict of interest in relation to the procurement and/or contract management processes, orapossibility of collusion between tenderers, and there by help to prevent any</w:t>
      </w:r>
      <w:r>
        <w:rPr>
          <w:color w:val="211F1F"/>
          <w:spacing w:val="-1"/>
          <w:sz w:val="24"/>
        </w:rPr>
        <w:t xml:space="preserve"> </w:t>
      </w:r>
      <w:r>
        <w:rPr>
          <w:color w:val="211F1F"/>
          <w:sz w:val="24"/>
        </w:rPr>
        <w:t>corrupt influence in relation to the procurement process or contract management.</w:t>
      </w:r>
    </w:p>
    <w:p w14:paraId="5A1EAFD1" w14:textId="77777777" w:rsidR="00BB77C0" w:rsidRDefault="00370BAA">
      <w:pPr>
        <w:pStyle w:val="ListParagraph"/>
        <w:numPr>
          <w:ilvl w:val="1"/>
          <w:numId w:val="96"/>
        </w:numPr>
        <w:tabs>
          <w:tab w:val="left" w:pos="1479"/>
          <w:tab w:val="left" w:pos="1484"/>
        </w:tabs>
        <w:spacing w:before="155" w:line="259" w:lineRule="auto"/>
        <w:ind w:left="1484" w:right="128" w:hanging="725"/>
        <w:jc w:val="left"/>
        <w:rPr>
          <w:color w:val="211F1F"/>
          <w:sz w:val="24"/>
        </w:rPr>
      </w:pPr>
      <w:r>
        <w:rPr>
          <w:color w:val="211F1F"/>
          <w:sz w:val="24"/>
        </w:rPr>
        <w:t>The purpose</w:t>
      </w:r>
      <w:r>
        <w:rPr>
          <w:color w:val="211F1F"/>
          <w:spacing w:val="-3"/>
          <w:sz w:val="24"/>
        </w:rPr>
        <w:t xml:space="preserve"> </w:t>
      </w:r>
      <w:r>
        <w:rPr>
          <w:color w:val="211F1F"/>
          <w:sz w:val="24"/>
        </w:rPr>
        <w:t>of</w:t>
      </w:r>
      <w:r>
        <w:rPr>
          <w:color w:val="211F1F"/>
          <w:spacing w:val="-6"/>
          <w:sz w:val="24"/>
        </w:rPr>
        <w:t xml:space="preserve"> </w:t>
      </w:r>
      <w:r>
        <w:rPr>
          <w:color w:val="211F1F"/>
          <w:sz w:val="24"/>
        </w:rPr>
        <w:t>the information</w:t>
      </w:r>
      <w:r>
        <w:rPr>
          <w:color w:val="211F1F"/>
          <w:spacing w:val="-1"/>
          <w:sz w:val="24"/>
        </w:rPr>
        <w:t xml:space="preserve"> </w:t>
      </w:r>
      <w:r>
        <w:rPr>
          <w:color w:val="211F1F"/>
          <w:sz w:val="24"/>
        </w:rPr>
        <w:t xml:space="preserve">described </w:t>
      </w:r>
      <w:r>
        <w:rPr>
          <w:b/>
          <w:color w:val="211F1F"/>
          <w:sz w:val="24"/>
        </w:rPr>
        <w:t xml:space="preserve">in ITT 17.2 </w:t>
      </w:r>
      <w:r>
        <w:rPr>
          <w:color w:val="211F1F"/>
          <w:sz w:val="24"/>
        </w:rPr>
        <w:t>above</w:t>
      </w:r>
      <w:r>
        <w:rPr>
          <w:color w:val="211F1F"/>
          <w:spacing w:val="-3"/>
          <w:sz w:val="24"/>
        </w:rPr>
        <w:t xml:space="preserve"> </w:t>
      </w:r>
      <w:r>
        <w:rPr>
          <w:color w:val="211F1F"/>
          <w:sz w:val="24"/>
        </w:rPr>
        <w:t>overrides any</w:t>
      </w:r>
      <w:r>
        <w:rPr>
          <w:color w:val="211F1F"/>
          <w:spacing w:val="-3"/>
          <w:sz w:val="24"/>
        </w:rPr>
        <w:t xml:space="preserve"> </w:t>
      </w:r>
      <w:r>
        <w:rPr>
          <w:color w:val="211F1F"/>
          <w:sz w:val="24"/>
        </w:rPr>
        <w:t>claims to confidentiality</w:t>
      </w:r>
      <w:r>
        <w:rPr>
          <w:color w:val="211F1F"/>
          <w:spacing w:val="-13"/>
          <w:sz w:val="24"/>
        </w:rPr>
        <w:t xml:space="preserve"> </w:t>
      </w:r>
      <w:r>
        <w:rPr>
          <w:color w:val="211F1F"/>
          <w:sz w:val="24"/>
        </w:rPr>
        <w:t>which</w:t>
      </w:r>
      <w:r>
        <w:rPr>
          <w:color w:val="211F1F"/>
          <w:spacing w:val="-9"/>
          <w:sz w:val="24"/>
        </w:rPr>
        <w:t xml:space="preserve"> </w:t>
      </w:r>
      <w:r>
        <w:rPr>
          <w:color w:val="211F1F"/>
          <w:sz w:val="24"/>
        </w:rPr>
        <w:t>a</w:t>
      </w:r>
      <w:r>
        <w:rPr>
          <w:color w:val="211F1F"/>
          <w:spacing w:val="-11"/>
          <w:sz w:val="24"/>
        </w:rPr>
        <w:t xml:space="preserve"> </w:t>
      </w:r>
      <w:r>
        <w:rPr>
          <w:color w:val="211F1F"/>
          <w:sz w:val="24"/>
        </w:rPr>
        <w:t>tenderer</w:t>
      </w:r>
      <w:r>
        <w:rPr>
          <w:color w:val="211F1F"/>
          <w:spacing w:val="-7"/>
          <w:sz w:val="24"/>
        </w:rPr>
        <w:t xml:space="preserve"> </w:t>
      </w:r>
      <w:r>
        <w:rPr>
          <w:color w:val="211F1F"/>
          <w:sz w:val="24"/>
        </w:rPr>
        <w:t>may</w:t>
      </w:r>
      <w:r>
        <w:rPr>
          <w:color w:val="211F1F"/>
          <w:spacing w:val="-10"/>
          <w:sz w:val="24"/>
        </w:rPr>
        <w:t xml:space="preserve"> </w:t>
      </w:r>
      <w:r>
        <w:rPr>
          <w:color w:val="211F1F"/>
          <w:sz w:val="24"/>
        </w:rPr>
        <w:t>have.</w:t>
      </w:r>
      <w:r>
        <w:rPr>
          <w:color w:val="211F1F"/>
          <w:spacing w:val="-3"/>
          <w:sz w:val="24"/>
        </w:rPr>
        <w:t xml:space="preserve"> </w:t>
      </w:r>
      <w:r>
        <w:rPr>
          <w:color w:val="211F1F"/>
          <w:sz w:val="24"/>
        </w:rPr>
        <w:t>There</w:t>
      </w:r>
      <w:r>
        <w:rPr>
          <w:color w:val="211F1F"/>
          <w:spacing w:val="-10"/>
          <w:sz w:val="24"/>
        </w:rPr>
        <w:t xml:space="preserve"> </w:t>
      </w:r>
      <w:r>
        <w:rPr>
          <w:color w:val="211F1F"/>
          <w:sz w:val="24"/>
        </w:rPr>
        <w:t>can</w:t>
      </w:r>
      <w:r>
        <w:rPr>
          <w:color w:val="211F1F"/>
          <w:spacing w:val="-10"/>
          <w:sz w:val="24"/>
        </w:rPr>
        <w:t xml:space="preserve"> </w:t>
      </w:r>
      <w:r>
        <w:rPr>
          <w:color w:val="211F1F"/>
          <w:sz w:val="24"/>
        </w:rPr>
        <w:t>be</w:t>
      </w:r>
      <w:r>
        <w:rPr>
          <w:color w:val="211F1F"/>
          <w:spacing w:val="-5"/>
          <w:sz w:val="24"/>
        </w:rPr>
        <w:t xml:space="preserve"> </w:t>
      </w:r>
      <w:r>
        <w:rPr>
          <w:color w:val="211F1F"/>
          <w:sz w:val="24"/>
        </w:rPr>
        <w:t>no</w:t>
      </w:r>
      <w:r>
        <w:rPr>
          <w:color w:val="211F1F"/>
          <w:spacing w:val="-1"/>
          <w:sz w:val="24"/>
        </w:rPr>
        <w:t xml:space="preserve"> </w:t>
      </w:r>
      <w:r>
        <w:rPr>
          <w:color w:val="211F1F"/>
          <w:sz w:val="24"/>
        </w:rPr>
        <w:t>circumstances</w:t>
      </w:r>
      <w:r>
        <w:rPr>
          <w:color w:val="211F1F"/>
          <w:spacing w:val="-2"/>
          <w:sz w:val="24"/>
        </w:rPr>
        <w:t xml:space="preserve"> </w:t>
      </w:r>
      <w:r>
        <w:rPr>
          <w:color w:val="211F1F"/>
          <w:sz w:val="24"/>
        </w:rPr>
        <w:t>in</w:t>
      </w:r>
      <w:r>
        <w:rPr>
          <w:color w:val="211F1F"/>
          <w:spacing w:val="-14"/>
          <w:sz w:val="24"/>
        </w:rPr>
        <w:t xml:space="preserve"> </w:t>
      </w:r>
      <w:r>
        <w:rPr>
          <w:color w:val="211F1F"/>
          <w:sz w:val="24"/>
        </w:rPr>
        <w:t>which</w:t>
      </w:r>
      <w:r>
        <w:rPr>
          <w:color w:val="211F1F"/>
          <w:spacing w:val="-4"/>
          <w:sz w:val="24"/>
        </w:rPr>
        <w:t xml:space="preserve"> </w:t>
      </w:r>
      <w:r>
        <w:rPr>
          <w:color w:val="211F1F"/>
          <w:sz w:val="24"/>
        </w:rPr>
        <w:t>it</w:t>
      </w:r>
    </w:p>
    <w:p w14:paraId="664BDDDC" w14:textId="77777777" w:rsidR="00BB77C0" w:rsidRDefault="00BB77C0">
      <w:pPr>
        <w:pStyle w:val="ListParagraph"/>
        <w:spacing w:line="259" w:lineRule="auto"/>
        <w:rPr>
          <w:sz w:val="24"/>
        </w:rPr>
        <w:sectPr w:rsidR="00BB77C0">
          <w:pgSz w:w="11930" w:h="16870"/>
          <w:pgMar w:top="1340" w:right="1080" w:bottom="280" w:left="1080" w:header="720" w:footer="720" w:gutter="0"/>
          <w:cols w:space="720"/>
        </w:sectPr>
      </w:pPr>
    </w:p>
    <w:p w14:paraId="078B2135" w14:textId="77777777" w:rsidR="00BB77C0" w:rsidRDefault="00370BAA">
      <w:pPr>
        <w:spacing w:before="75" w:line="259" w:lineRule="auto"/>
        <w:ind w:left="1441" w:right="78"/>
        <w:rPr>
          <w:sz w:val="24"/>
        </w:rPr>
      </w:pPr>
      <w:r>
        <w:rPr>
          <w:color w:val="211F1F"/>
          <w:sz w:val="24"/>
        </w:rPr>
        <w:lastRenderedPageBreak/>
        <w:t>would be justified for a tenderer to keep information relating to its ownership and control</w:t>
      </w:r>
      <w:r>
        <w:rPr>
          <w:color w:val="211F1F"/>
          <w:spacing w:val="-9"/>
          <w:sz w:val="24"/>
        </w:rPr>
        <w:t xml:space="preserve"> </w:t>
      </w:r>
      <w:r>
        <w:rPr>
          <w:color w:val="211F1F"/>
          <w:sz w:val="24"/>
        </w:rPr>
        <w:t>confidential</w:t>
      </w:r>
      <w:r>
        <w:rPr>
          <w:color w:val="211F1F"/>
          <w:spacing w:val="-9"/>
          <w:sz w:val="24"/>
        </w:rPr>
        <w:t xml:space="preserve"> </w:t>
      </w:r>
      <w:r>
        <w:rPr>
          <w:color w:val="211F1F"/>
          <w:sz w:val="24"/>
        </w:rPr>
        <w:t>where it is</w:t>
      </w:r>
      <w:r>
        <w:rPr>
          <w:color w:val="211F1F"/>
          <w:spacing w:val="-2"/>
          <w:sz w:val="24"/>
        </w:rPr>
        <w:t xml:space="preserve"> </w:t>
      </w:r>
      <w:r>
        <w:rPr>
          <w:color w:val="211F1F"/>
          <w:sz w:val="24"/>
        </w:rPr>
        <w:t>tendering to undertake</w:t>
      </w:r>
      <w:r>
        <w:rPr>
          <w:color w:val="211F1F"/>
          <w:spacing w:val="-2"/>
          <w:sz w:val="24"/>
        </w:rPr>
        <w:t xml:space="preserve"> </w:t>
      </w:r>
      <w:r>
        <w:rPr>
          <w:color w:val="211F1F"/>
          <w:sz w:val="24"/>
        </w:rPr>
        <w:t>public</w:t>
      </w:r>
      <w:r>
        <w:rPr>
          <w:color w:val="211F1F"/>
          <w:spacing w:val="-1"/>
          <w:sz w:val="24"/>
        </w:rPr>
        <w:t xml:space="preserve"> </w:t>
      </w:r>
      <w:r>
        <w:rPr>
          <w:color w:val="211F1F"/>
          <w:sz w:val="24"/>
        </w:rPr>
        <w:t>sector</w:t>
      </w:r>
      <w:r>
        <w:rPr>
          <w:color w:val="211F1F"/>
          <w:spacing w:val="-3"/>
          <w:sz w:val="24"/>
        </w:rPr>
        <w:t xml:space="preserve"> </w:t>
      </w:r>
      <w:r>
        <w:rPr>
          <w:color w:val="211F1F"/>
          <w:sz w:val="24"/>
        </w:rPr>
        <w:t>work</w:t>
      </w:r>
      <w:r>
        <w:rPr>
          <w:color w:val="211F1F"/>
          <w:spacing w:val="-5"/>
          <w:sz w:val="24"/>
        </w:rPr>
        <w:t xml:space="preserve"> </w:t>
      </w:r>
      <w:r>
        <w:rPr>
          <w:color w:val="211F1F"/>
          <w:sz w:val="24"/>
        </w:rPr>
        <w:t>and receive public</w:t>
      </w:r>
      <w:r>
        <w:rPr>
          <w:color w:val="211F1F"/>
          <w:spacing w:val="-7"/>
          <w:sz w:val="24"/>
        </w:rPr>
        <w:t xml:space="preserve"> </w:t>
      </w:r>
      <w:r>
        <w:rPr>
          <w:color w:val="211F1F"/>
          <w:sz w:val="24"/>
        </w:rPr>
        <w:t>sector</w:t>
      </w:r>
      <w:r>
        <w:rPr>
          <w:color w:val="211F1F"/>
          <w:spacing w:val="-5"/>
          <w:sz w:val="24"/>
        </w:rPr>
        <w:t xml:space="preserve"> </w:t>
      </w:r>
      <w:r>
        <w:rPr>
          <w:color w:val="211F1F"/>
          <w:sz w:val="24"/>
        </w:rPr>
        <w:t>funds.</w:t>
      </w:r>
      <w:r>
        <w:rPr>
          <w:color w:val="211F1F"/>
          <w:spacing w:val="-4"/>
          <w:sz w:val="24"/>
        </w:rPr>
        <w:t xml:space="preserve"> </w:t>
      </w:r>
      <w:r>
        <w:rPr>
          <w:color w:val="211F1F"/>
          <w:sz w:val="24"/>
        </w:rPr>
        <w:t>Thus,</w:t>
      </w:r>
      <w:r>
        <w:rPr>
          <w:color w:val="211F1F"/>
          <w:spacing w:val="-4"/>
          <w:sz w:val="24"/>
        </w:rPr>
        <w:t xml:space="preserve"> </w:t>
      </w:r>
      <w:r>
        <w:rPr>
          <w:color w:val="211F1F"/>
          <w:sz w:val="24"/>
        </w:rPr>
        <w:t>confidentiality</w:t>
      </w:r>
      <w:r>
        <w:rPr>
          <w:color w:val="211F1F"/>
          <w:spacing w:val="-10"/>
          <w:sz w:val="24"/>
        </w:rPr>
        <w:t xml:space="preserve"> </w:t>
      </w:r>
      <w:r>
        <w:rPr>
          <w:color w:val="211F1F"/>
          <w:sz w:val="24"/>
        </w:rPr>
        <w:t>will</w:t>
      </w:r>
      <w:r>
        <w:rPr>
          <w:color w:val="211F1F"/>
          <w:spacing w:val="-5"/>
          <w:sz w:val="24"/>
        </w:rPr>
        <w:t xml:space="preserve"> </w:t>
      </w:r>
      <w:r>
        <w:rPr>
          <w:color w:val="211F1F"/>
          <w:sz w:val="24"/>
        </w:rPr>
        <w:t>not</w:t>
      </w:r>
      <w:r>
        <w:rPr>
          <w:color w:val="211F1F"/>
          <w:spacing w:val="-2"/>
          <w:sz w:val="24"/>
        </w:rPr>
        <w:t xml:space="preserve"> </w:t>
      </w:r>
      <w:r>
        <w:rPr>
          <w:color w:val="211F1F"/>
          <w:sz w:val="24"/>
        </w:rPr>
        <w:t>be</w:t>
      </w:r>
      <w:r>
        <w:rPr>
          <w:color w:val="211F1F"/>
          <w:spacing w:val="-8"/>
          <w:sz w:val="24"/>
        </w:rPr>
        <w:t xml:space="preserve"> </w:t>
      </w:r>
      <w:r>
        <w:rPr>
          <w:color w:val="211F1F"/>
          <w:sz w:val="24"/>
        </w:rPr>
        <w:t>accepted</w:t>
      </w:r>
      <w:r>
        <w:rPr>
          <w:color w:val="211F1F"/>
          <w:spacing w:val="-6"/>
          <w:sz w:val="24"/>
        </w:rPr>
        <w:t xml:space="preserve"> </w:t>
      </w:r>
      <w:r>
        <w:rPr>
          <w:color w:val="211F1F"/>
          <w:sz w:val="24"/>
        </w:rPr>
        <w:t>by</w:t>
      </w:r>
      <w:r>
        <w:rPr>
          <w:color w:val="211F1F"/>
          <w:spacing w:val="-15"/>
          <w:sz w:val="24"/>
        </w:rPr>
        <w:t xml:space="preserve"> </w:t>
      </w:r>
      <w:r>
        <w:rPr>
          <w:color w:val="211F1F"/>
          <w:sz w:val="24"/>
        </w:rPr>
        <w:t>the</w:t>
      </w:r>
      <w:r>
        <w:rPr>
          <w:color w:val="211F1F"/>
          <w:spacing w:val="-7"/>
          <w:sz w:val="24"/>
        </w:rPr>
        <w:t xml:space="preserve"> </w:t>
      </w:r>
      <w:r>
        <w:rPr>
          <w:color w:val="211F1F"/>
          <w:sz w:val="24"/>
        </w:rPr>
        <w:t>Procuring</w:t>
      </w:r>
      <w:r>
        <w:rPr>
          <w:color w:val="211F1F"/>
          <w:spacing w:val="-6"/>
          <w:sz w:val="24"/>
        </w:rPr>
        <w:t xml:space="preserve"> </w:t>
      </w:r>
      <w:r>
        <w:rPr>
          <w:color w:val="211F1F"/>
          <w:sz w:val="24"/>
        </w:rPr>
        <w:t>Entity as a justification for a Tenderer's failure to disclose, or failure to provide required information on its ownership and control.</w:t>
      </w:r>
    </w:p>
    <w:p w14:paraId="7F85B163" w14:textId="77777777" w:rsidR="00BB77C0" w:rsidRDefault="00370BAA">
      <w:pPr>
        <w:pStyle w:val="ListParagraph"/>
        <w:numPr>
          <w:ilvl w:val="1"/>
          <w:numId w:val="96"/>
        </w:numPr>
        <w:tabs>
          <w:tab w:val="left" w:pos="1441"/>
        </w:tabs>
        <w:spacing w:before="162" w:line="259" w:lineRule="auto"/>
        <w:ind w:left="1441" w:right="72"/>
        <w:jc w:val="left"/>
        <w:rPr>
          <w:color w:val="211F1F"/>
          <w:sz w:val="24"/>
        </w:rPr>
      </w:pPr>
      <w:r>
        <w:rPr>
          <w:color w:val="211F1F"/>
          <w:sz w:val="24"/>
        </w:rPr>
        <w:t>The Tenderer shall</w:t>
      </w:r>
      <w:r>
        <w:rPr>
          <w:color w:val="211F1F"/>
          <w:spacing w:val="-1"/>
          <w:sz w:val="24"/>
        </w:rPr>
        <w:t xml:space="preserve"> </w:t>
      </w:r>
      <w:r>
        <w:rPr>
          <w:color w:val="211F1F"/>
          <w:sz w:val="24"/>
        </w:rPr>
        <w:t>provide further documentary</w:t>
      </w:r>
      <w:r>
        <w:rPr>
          <w:color w:val="211F1F"/>
          <w:spacing w:val="-2"/>
          <w:sz w:val="24"/>
        </w:rPr>
        <w:t xml:space="preserve"> </w:t>
      </w:r>
      <w:r>
        <w:rPr>
          <w:color w:val="211F1F"/>
          <w:sz w:val="24"/>
        </w:rPr>
        <w:t>proof, information or authorizations that the Procuring Entity may request in relation to ownership and control which information on any changes to the information which was provided by the tenderer under ITT 6.4. The obligations to require this information shall continue for the duration</w:t>
      </w:r>
      <w:r>
        <w:rPr>
          <w:color w:val="211F1F"/>
          <w:spacing w:val="-10"/>
          <w:sz w:val="24"/>
        </w:rPr>
        <w:t xml:space="preserve"> </w:t>
      </w:r>
      <w:r>
        <w:rPr>
          <w:color w:val="211F1F"/>
          <w:sz w:val="24"/>
        </w:rPr>
        <w:t>of</w:t>
      </w:r>
      <w:r>
        <w:rPr>
          <w:color w:val="211F1F"/>
          <w:spacing w:val="-15"/>
          <w:sz w:val="24"/>
        </w:rPr>
        <w:t xml:space="preserve"> </w:t>
      </w:r>
      <w:r>
        <w:rPr>
          <w:color w:val="211F1F"/>
          <w:sz w:val="24"/>
        </w:rPr>
        <w:t>the</w:t>
      </w:r>
      <w:r>
        <w:rPr>
          <w:color w:val="211F1F"/>
          <w:spacing w:val="-8"/>
          <w:sz w:val="24"/>
        </w:rPr>
        <w:t xml:space="preserve"> </w:t>
      </w:r>
      <w:r>
        <w:rPr>
          <w:color w:val="211F1F"/>
          <w:sz w:val="24"/>
        </w:rPr>
        <w:t>procurement</w:t>
      </w:r>
      <w:r>
        <w:rPr>
          <w:color w:val="211F1F"/>
          <w:spacing w:val="-1"/>
          <w:sz w:val="24"/>
        </w:rPr>
        <w:t xml:space="preserve"> </w:t>
      </w:r>
      <w:r>
        <w:rPr>
          <w:color w:val="211F1F"/>
          <w:sz w:val="24"/>
        </w:rPr>
        <w:t>process</w:t>
      </w:r>
      <w:r>
        <w:rPr>
          <w:color w:val="211F1F"/>
          <w:spacing w:val="-8"/>
          <w:sz w:val="24"/>
        </w:rPr>
        <w:t xml:space="preserve"> </w:t>
      </w:r>
      <w:r>
        <w:rPr>
          <w:color w:val="211F1F"/>
          <w:sz w:val="24"/>
        </w:rPr>
        <w:t>and</w:t>
      </w:r>
      <w:r>
        <w:rPr>
          <w:color w:val="211F1F"/>
          <w:spacing w:val="-7"/>
          <w:sz w:val="24"/>
        </w:rPr>
        <w:t xml:space="preserve"> </w:t>
      </w:r>
      <w:r>
        <w:rPr>
          <w:color w:val="211F1F"/>
          <w:sz w:val="24"/>
        </w:rPr>
        <w:t>contract</w:t>
      </w:r>
      <w:r>
        <w:rPr>
          <w:color w:val="211F1F"/>
          <w:spacing w:val="-1"/>
          <w:sz w:val="24"/>
        </w:rPr>
        <w:t xml:space="preserve"> </w:t>
      </w:r>
      <w:r>
        <w:rPr>
          <w:color w:val="211F1F"/>
          <w:sz w:val="24"/>
        </w:rPr>
        <w:t>performance</w:t>
      </w:r>
      <w:r>
        <w:rPr>
          <w:color w:val="211F1F"/>
          <w:spacing w:val="-2"/>
          <w:sz w:val="24"/>
        </w:rPr>
        <w:t xml:space="preserve"> </w:t>
      </w:r>
      <w:r>
        <w:rPr>
          <w:color w:val="211F1F"/>
          <w:sz w:val="24"/>
        </w:rPr>
        <w:t>and</w:t>
      </w:r>
      <w:r>
        <w:rPr>
          <w:color w:val="211F1F"/>
          <w:spacing w:val="-7"/>
          <w:sz w:val="24"/>
        </w:rPr>
        <w:t xml:space="preserve"> </w:t>
      </w:r>
      <w:r>
        <w:rPr>
          <w:color w:val="211F1F"/>
          <w:sz w:val="24"/>
        </w:rPr>
        <w:t>after</w:t>
      </w:r>
      <w:r>
        <w:rPr>
          <w:color w:val="211F1F"/>
          <w:spacing w:val="-4"/>
          <w:sz w:val="24"/>
        </w:rPr>
        <w:t xml:space="preserve"> </w:t>
      </w:r>
      <w:r>
        <w:rPr>
          <w:color w:val="211F1F"/>
          <w:sz w:val="24"/>
        </w:rPr>
        <w:t>completion</w:t>
      </w:r>
      <w:r>
        <w:rPr>
          <w:color w:val="211F1F"/>
          <w:spacing w:val="-10"/>
          <w:sz w:val="24"/>
        </w:rPr>
        <w:t xml:space="preserve"> </w:t>
      </w:r>
      <w:r>
        <w:rPr>
          <w:color w:val="211F1F"/>
          <w:sz w:val="24"/>
        </w:rPr>
        <w:t>of the contract, if any change to the information previously provided may reveal a conflict of interest in relation to the award or management of the contract.</w:t>
      </w:r>
    </w:p>
    <w:p w14:paraId="46F31994" w14:textId="77777777" w:rsidR="00BB77C0" w:rsidRDefault="00370BAA">
      <w:pPr>
        <w:pStyle w:val="ListParagraph"/>
        <w:numPr>
          <w:ilvl w:val="1"/>
          <w:numId w:val="96"/>
        </w:numPr>
        <w:tabs>
          <w:tab w:val="left" w:pos="1441"/>
        </w:tabs>
        <w:spacing w:before="155" w:line="259" w:lineRule="auto"/>
        <w:ind w:left="1441" w:right="71"/>
        <w:jc w:val="left"/>
        <w:rPr>
          <w:color w:val="211F1F"/>
          <w:sz w:val="24"/>
        </w:rPr>
      </w:pPr>
      <w:r>
        <w:rPr>
          <w:color w:val="211F1F"/>
          <w:sz w:val="24"/>
        </w:rPr>
        <w:t>All information provided by the tenderer pursuant to these requirements must be complete, current and accurate as at the date of provision to the Procuring Entity. In submitting</w:t>
      </w:r>
      <w:r>
        <w:rPr>
          <w:color w:val="211F1F"/>
          <w:spacing w:val="-8"/>
          <w:sz w:val="24"/>
        </w:rPr>
        <w:t xml:space="preserve"> </w:t>
      </w:r>
      <w:r>
        <w:rPr>
          <w:color w:val="211F1F"/>
          <w:sz w:val="24"/>
        </w:rPr>
        <w:t>the</w:t>
      </w:r>
      <w:r>
        <w:rPr>
          <w:color w:val="211F1F"/>
          <w:spacing w:val="-5"/>
          <w:sz w:val="24"/>
        </w:rPr>
        <w:t xml:space="preserve"> </w:t>
      </w:r>
      <w:r>
        <w:rPr>
          <w:color w:val="211F1F"/>
          <w:sz w:val="24"/>
        </w:rPr>
        <w:t>information</w:t>
      </w:r>
      <w:r>
        <w:rPr>
          <w:color w:val="211F1F"/>
          <w:spacing w:val="-11"/>
          <w:sz w:val="24"/>
        </w:rPr>
        <w:t xml:space="preserve"> </w:t>
      </w:r>
      <w:r>
        <w:rPr>
          <w:color w:val="211F1F"/>
          <w:sz w:val="24"/>
        </w:rPr>
        <w:t>required</w:t>
      </w:r>
      <w:r>
        <w:rPr>
          <w:color w:val="211F1F"/>
          <w:spacing w:val="-8"/>
          <w:sz w:val="24"/>
        </w:rPr>
        <w:t xml:space="preserve"> </w:t>
      </w:r>
      <w:r>
        <w:rPr>
          <w:color w:val="211F1F"/>
          <w:sz w:val="24"/>
        </w:rPr>
        <w:t>pursuant</w:t>
      </w:r>
      <w:r>
        <w:rPr>
          <w:color w:val="211F1F"/>
          <w:spacing w:val="-3"/>
          <w:sz w:val="24"/>
        </w:rPr>
        <w:t xml:space="preserve"> </w:t>
      </w:r>
      <w:r>
        <w:rPr>
          <w:color w:val="211F1F"/>
          <w:sz w:val="24"/>
        </w:rPr>
        <w:t>to</w:t>
      </w:r>
      <w:r>
        <w:rPr>
          <w:color w:val="211F1F"/>
          <w:spacing w:val="-9"/>
          <w:sz w:val="24"/>
        </w:rPr>
        <w:t xml:space="preserve"> </w:t>
      </w:r>
      <w:r>
        <w:rPr>
          <w:color w:val="211F1F"/>
          <w:sz w:val="24"/>
        </w:rPr>
        <w:t>these</w:t>
      </w:r>
      <w:r>
        <w:rPr>
          <w:color w:val="211F1F"/>
          <w:spacing w:val="-9"/>
          <w:sz w:val="24"/>
        </w:rPr>
        <w:t xml:space="preserve"> </w:t>
      </w:r>
      <w:r>
        <w:rPr>
          <w:color w:val="211F1F"/>
          <w:sz w:val="24"/>
        </w:rPr>
        <w:t>requirements,</w:t>
      </w:r>
      <w:r>
        <w:rPr>
          <w:color w:val="211F1F"/>
          <w:spacing w:val="-4"/>
          <w:sz w:val="24"/>
        </w:rPr>
        <w:t xml:space="preserve"> </w:t>
      </w:r>
      <w:r>
        <w:rPr>
          <w:color w:val="211F1F"/>
          <w:sz w:val="24"/>
        </w:rPr>
        <w:t>the</w:t>
      </w:r>
      <w:r>
        <w:rPr>
          <w:color w:val="211F1F"/>
          <w:spacing w:val="-9"/>
          <w:sz w:val="24"/>
        </w:rPr>
        <w:t xml:space="preserve"> </w:t>
      </w:r>
      <w:r>
        <w:rPr>
          <w:color w:val="211F1F"/>
          <w:sz w:val="24"/>
        </w:rPr>
        <w:t>Tenderer</w:t>
      </w:r>
      <w:r>
        <w:rPr>
          <w:color w:val="211F1F"/>
          <w:spacing w:val="-6"/>
          <w:sz w:val="24"/>
        </w:rPr>
        <w:t xml:space="preserve"> </w:t>
      </w:r>
      <w:r>
        <w:rPr>
          <w:color w:val="211F1F"/>
          <w:sz w:val="24"/>
        </w:rPr>
        <w:t>shall warrant</w:t>
      </w:r>
      <w:r>
        <w:rPr>
          <w:color w:val="211F1F"/>
          <w:spacing w:val="-1"/>
          <w:sz w:val="24"/>
        </w:rPr>
        <w:t xml:space="preserve"> </w:t>
      </w:r>
      <w:r>
        <w:rPr>
          <w:color w:val="211F1F"/>
          <w:sz w:val="24"/>
        </w:rPr>
        <w:t>that</w:t>
      </w:r>
      <w:r>
        <w:rPr>
          <w:color w:val="211F1F"/>
          <w:spacing w:val="-1"/>
          <w:sz w:val="24"/>
        </w:rPr>
        <w:t xml:space="preserve"> </w:t>
      </w:r>
      <w:r>
        <w:rPr>
          <w:color w:val="211F1F"/>
          <w:sz w:val="24"/>
        </w:rPr>
        <w:t>the</w:t>
      </w:r>
      <w:r>
        <w:rPr>
          <w:color w:val="211F1F"/>
          <w:spacing w:val="-2"/>
          <w:sz w:val="24"/>
        </w:rPr>
        <w:t xml:space="preserve"> </w:t>
      </w:r>
      <w:r>
        <w:rPr>
          <w:color w:val="211F1F"/>
          <w:sz w:val="24"/>
        </w:rPr>
        <w:t>information</w:t>
      </w:r>
      <w:r>
        <w:rPr>
          <w:color w:val="211F1F"/>
          <w:spacing w:val="-6"/>
          <w:sz w:val="24"/>
        </w:rPr>
        <w:t xml:space="preserve"> </w:t>
      </w:r>
      <w:r>
        <w:rPr>
          <w:color w:val="211F1F"/>
          <w:sz w:val="24"/>
        </w:rPr>
        <w:t>submitted</w:t>
      </w:r>
      <w:r>
        <w:rPr>
          <w:color w:val="211F1F"/>
          <w:spacing w:val="-1"/>
          <w:sz w:val="24"/>
        </w:rPr>
        <w:t xml:space="preserve"> </w:t>
      </w:r>
      <w:r>
        <w:rPr>
          <w:color w:val="211F1F"/>
          <w:sz w:val="24"/>
        </w:rPr>
        <w:t>is</w:t>
      </w:r>
      <w:r>
        <w:rPr>
          <w:color w:val="211F1F"/>
          <w:spacing w:val="-3"/>
          <w:sz w:val="24"/>
        </w:rPr>
        <w:t xml:space="preserve"> </w:t>
      </w:r>
      <w:r>
        <w:rPr>
          <w:color w:val="211F1F"/>
          <w:sz w:val="24"/>
        </w:rPr>
        <w:t>complete, current and</w:t>
      </w:r>
      <w:r>
        <w:rPr>
          <w:color w:val="211F1F"/>
          <w:spacing w:val="-1"/>
          <w:sz w:val="24"/>
        </w:rPr>
        <w:t xml:space="preserve"> </w:t>
      </w:r>
      <w:r>
        <w:rPr>
          <w:color w:val="211F1F"/>
          <w:sz w:val="24"/>
        </w:rPr>
        <w:t>accurate</w:t>
      </w:r>
      <w:r>
        <w:rPr>
          <w:color w:val="211F1F"/>
          <w:spacing w:val="-2"/>
          <w:sz w:val="24"/>
        </w:rPr>
        <w:t xml:space="preserve"> </w:t>
      </w:r>
      <w:r>
        <w:rPr>
          <w:color w:val="211F1F"/>
          <w:sz w:val="24"/>
        </w:rPr>
        <w:t>as</w:t>
      </w:r>
      <w:r>
        <w:rPr>
          <w:color w:val="211F1F"/>
          <w:spacing w:val="-3"/>
          <w:sz w:val="24"/>
        </w:rPr>
        <w:t xml:space="preserve"> </w:t>
      </w:r>
      <w:r>
        <w:rPr>
          <w:color w:val="211F1F"/>
          <w:sz w:val="24"/>
        </w:rPr>
        <w:t>at</w:t>
      </w:r>
      <w:r>
        <w:rPr>
          <w:color w:val="211F1F"/>
          <w:spacing w:val="-5"/>
          <w:sz w:val="24"/>
        </w:rPr>
        <w:t xml:space="preserve"> </w:t>
      </w:r>
      <w:r>
        <w:rPr>
          <w:color w:val="211F1F"/>
          <w:sz w:val="24"/>
        </w:rPr>
        <w:t>the</w:t>
      </w:r>
      <w:r>
        <w:rPr>
          <w:color w:val="211F1F"/>
          <w:spacing w:val="-2"/>
          <w:sz w:val="24"/>
        </w:rPr>
        <w:t xml:space="preserve"> </w:t>
      </w:r>
      <w:r>
        <w:rPr>
          <w:color w:val="211F1F"/>
          <w:sz w:val="24"/>
        </w:rPr>
        <w:t>date of submission to the Procuring Entity.</w:t>
      </w:r>
    </w:p>
    <w:p w14:paraId="77290AEB" w14:textId="77777777" w:rsidR="00BB77C0" w:rsidRDefault="00370BAA">
      <w:pPr>
        <w:pStyle w:val="ListParagraph"/>
        <w:numPr>
          <w:ilvl w:val="1"/>
          <w:numId w:val="96"/>
        </w:numPr>
        <w:tabs>
          <w:tab w:val="left" w:pos="1441"/>
        </w:tabs>
        <w:spacing w:before="162" w:line="259" w:lineRule="auto"/>
        <w:ind w:left="1441" w:right="611"/>
        <w:jc w:val="left"/>
        <w:rPr>
          <w:color w:val="211F1F"/>
          <w:sz w:val="24"/>
        </w:rPr>
      </w:pPr>
      <w:r>
        <w:rPr>
          <w:color w:val="211F1F"/>
          <w:sz w:val="24"/>
        </w:rPr>
        <w:t>If a tenderer fails to submit the information required by</w:t>
      </w:r>
      <w:r>
        <w:rPr>
          <w:color w:val="211F1F"/>
          <w:spacing w:val="-1"/>
          <w:sz w:val="24"/>
        </w:rPr>
        <w:t xml:space="preserve"> </w:t>
      </w:r>
      <w:r>
        <w:rPr>
          <w:color w:val="211F1F"/>
          <w:sz w:val="24"/>
        </w:rPr>
        <w:t>these requirements, its tenderer</w:t>
      </w:r>
      <w:r>
        <w:rPr>
          <w:color w:val="211F1F"/>
          <w:spacing w:val="-5"/>
          <w:sz w:val="24"/>
        </w:rPr>
        <w:t xml:space="preserve"> </w:t>
      </w:r>
      <w:r>
        <w:rPr>
          <w:color w:val="211F1F"/>
          <w:sz w:val="24"/>
        </w:rPr>
        <w:t>will</w:t>
      </w:r>
      <w:r>
        <w:rPr>
          <w:color w:val="211F1F"/>
          <w:spacing w:val="-7"/>
          <w:sz w:val="24"/>
        </w:rPr>
        <w:t xml:space="preserve"> </w:t>
      </w:r>
      <w:r>
        <w:rPr>
          <w:color w:val="211F1F"/>
          <w:sz w:val="24"/>
        </w:rPr>
        <w:t>be</w:t>
      </w:r>
      <w:r>
        <w:rPr>
          <w:color w:val="211F1F"/>
          <w:spacing w:val="-9"/>
          <w:sz w:val="24"/>
        </w:rPr>
        <w:t xml:space="preserve"> </w:t>
      </w:r>
      <w:r>
        <w:rPr>
          <w:color w:val="211F1F"/>
          <w:sz w:val="24"/>
        </w:rPr>
        <w:t>rejected. Similarly, if</w:t>
      </w:r>
      <w:r>
        <w:rPr>
          <w:color w:val="211F1F"/>
          <w:spacing w:val="-11"/>
          <w:sz w:val="24"/>
        </w:rPr>
        <w:t xml:space="preserve"> </w:t>
      </w:r>
      <w:r>
        <w:rPr>
          <w:color w:val="211F1F"/>
          <w:sz w:val="24"/>
        </w:rPr>
        <w:t>the</w:t>
      </w:r>
      <w:r>
        <w:rPr>
          <w:color w:val="211F1F"/>
          <w:spacing w:val="-9"/>
          <w:sz w:val="24"/>
        </w:rPr>
        <w:t xml:space="preserve"> </w:t>
      </w:r>
      <w:r>
        <w:rPr>
          <w:color w:val="211F1F"/>
          <w:sz w:val="24"/>
        </w:rPr>
        <w:t>Procuring</w:t>
      </w:r>
      <w:r>
        <w:rPr>
          <w:color w:val="211F1F"/>
          <w:spacing w:val="-6"/>
          <w:sz w:val="24"/>
        </w:rPr>
        <w:t xml:space="preserve"> </w:t>
      </w:r>
      <w:r>
        <w:rPr>
          <w:color w:val="211F1F"/>
          <w:sz w:val="24"/>
        </w:rPr>
        <w:t>Entity</w:t>
      </w:r>
      <w:r>
        <w:rPr>
          <w:color w:val="211F1F"/>
          <w:spacing w:val="-11"/>
          <w:sz w:val="24"/>
        </w:rPr>
        <w:t xml:space="preserve"> </w:t>
      </w:r>
      <w:r>
        <w:rPr>
          <w:color w:val="211F1F"/>
          <w:sz w:val="24"/>
        </w:rPr>
        <w:t>is</w:t>
      </w:r>
      <w:r>
        <w:rPr>
          <w:color w:val="211F1F"/>
          <w:spacing w:val="-10"/>
          <w:sz w:val="24"/>
        </w:rPr>
        <w:t xml:space="preserve"> </w:t>
      </w:r>
      <w:r>
        <w:rPr>
          <w:color w:val="211F1F"/>
          <w:sz w:val="24"/>
        </w:rPr>
        <w:t>unable,</w:t>
      </w:r>
      <w:r>
        <w:rPr>
          <w:color w:val="211F1F"/>
          <w:spacing w:val="-4"/>
          <w:sz w:val="24"/>
        </w:rPr>
        <w:t xml:space="preserve"> </w:t>
      </w:r>
      <w:r>
        <w:rPr>
          <w:color w:val="211F1F"/>
          <w:sz w:val="24"/>
        </w:rPr>
        <w:t>after</w:t>
      </w:r>
      <w:r>
        <w:rPr>
          <w:color w:val="211F1F"/>
          <w:spacing w:val="-6"/>
          <w:sz w:val="24"/>
        </w:rPr>
        <w:t xml:space="preserve"> </w:t>
      </w:r>
      <w:r>
        <w:rPr>
          <w:color w:val="211F1F"/>
          <w:sz w:val="24"/>
        </w:rPr>
        <w:t>taking reasonable</w:t>
      </w:r>
      <w:r>
        <w:rPr>
          <w:color w:val="211F1F"/>
          <w:spacing w:val="-3"/>
          <w:sz w:val="24"/>
        </w:rPr>
        <w:t xml:space="preserve"> </w:t>
      </w:r>
      <w:r>
        <w:rPr>
          <w:color w:val="211F1F"/>
          <w:sz w:val="24"/>
        </w:rPr>
        <w:t>steps,</w:t>
      </w:r>
      <w:r>
        <w:rPr>
          <w:color w:val="211F1F"/>
          <w:spacing w:val="-5"/>
          <w:sz w:val="24"/>
        </w:rPr>
        <w:t xml:space="preserve"> </w:t>
      </w:r>
      <w:r>
        <w:rPr>
          <w:color w:val="211F1F"/>
          <w:sz w:val="24"/>
        </w:rPr>
        <w:t>to</w:t>
      </w:r>
      <w:r>
        <w:rPr>
          <w:color w:val="211F1F"/>
          <w:spacing w:val="-3"/>
          <w:sz w:val="24"/>
        </w:rPr>
        <w:t xml:space="preserve"> </w:t>
      </w:r>
      <w:r>
        <w:rPr>
          <w:color w:val="211F1F"/>
          <w:sz w:val="24"/>
        </w:rPr>
        <w:t>verify</w:t>
      </w:r>
      <w:r>
        <w:rPr>
          <w:color w:val="211F1F"/>
          <w:spacing w:val="-12"/>
          <w:sz w:val="24"/>
        </w:rPr>
        <w:t xml:space="preserve"> </w:t>
      </w:r>
      <w:r>
        <w:rPr>
          <w:color w:val="211F1F"/>
          <w:sz w:val="24"/>
        </w:rPr>
        <w:t>to a</w:t>
      </w:r>
      <w:r>
        <w:rPr>
          <w:color w:val="211F1F"/>
          <w:spacing w:val="-5"/>
          <w:sz w:val="24"/>
        </w:rPr>
        <w:t xml:space="preserve"> </w:t>
      </w:r>
      <w:r>
        <w:rPr>
          <w:color w:val="211F1F"/>
          <w:sz w:val="24"/>
        </w:rPr>
        <w:t>reasonable</w:t>
      </w:r>
      <w:r>
        <w:rPr>
          <w:color w:val="211F1F"/>
          <w:spacing w:val="-3"/>
          <w:sz w:val="24"/>
        </w:rPr>
        <w:t xml:space="preserve"> </w:t>
      </w:r>
      <w:r>
        <w:rPr>
          <w:color w:val="211F1F"/>
          <w:sz w:val="24"/>
        </w:rPr>
        <w:t>degree</w:t>
      </w:r>
      <w:r>
        <w:rPr>
          <w:color w:val="211F1F"/>
          <w:spacing w:val="-3"/>
          <w:sz w:val="24"/>
        </w:rPr>
        <w:t xml:space="preserve"> </w:t>
      </w:r>
      <w:r>
        <w:rPr>
          <w:color w:val="211F1F"/>
          <w:sz w:val="24"/>
        </w:rPr>
        <w:t>the information</w:t>
      </w:r>
      <w:r>
        <w:rPr>
          <w:color w:val="211F1F"/>
          <w:spacing w:val="-7"/>
          <w:sz w:val="24"/>
        </w:rPr>
        <w:t xml:space="preserve"> </w:t>
      </w:r>
      <w:r>
        <w:rPr>
          <w:color w:val="211F1F"/>
          <w:sz w:val="24"/>
        </w:rPr>
        <w:t>submitted</w:t>
      </w:r>
      <w:r>
        <w:rPr>
          <w:color w:val="211F1F"/>
          <w:spacing w:val="-3"/>
          <w:sz w:val="24"/>
        </w:rPr>
        <w:t xml:space="preserve"> </w:t>
      </w:r>
      <w:r>
        <w:rPr>
          <w:color w:val="211F1F"/>
          <w:sz w:val="24"/>
        </w:rPr>
        <w:t>by</w:t>
      </w:r>
      <w:r>
        <w:rPr>
          <w:color w:val="211F1F"/>
          <w:spacing w:val="-12"/>
          <w:sz w:val="24"/>
        </w:rPr>
        <w:t xml:space="preserve"> </w:t>
      </w:r>
      <w:r>
        <w:rPr>
          <w:color w:val="211F1F"/>
          <w:sz w:val="24"/>
        </w:rPr>
        <w:t>a tenderer pursuant to these requirements, then the tender will be rejected.</w:t>
      </w:r>
    </w:p>
    <w:p w14:paraId="7C94D67F" w14:textId="77777777" w:rsidR="00BB77C0" w:rsidRDefault="00370BAA">
      <w:pPr>
        <w:pStyle w:val="ListParagraph"/>
        <w:numPr>
          <w:ilvl w:val="1"/>
          <w:numId w:val="96"/>
        </w:numPr>
        <w:tabs>
          <w:tab w:val="left" w:pos="1441"/>
        </w:tabs>
        <w:spacing w:before="157" w:line="259" w:lineRule="auto"/>
        <w:ind w:left="1441" w:right="91"/>
        <w:jc w:val="left"/>
        <w:rPr>
          <w:color w:val="211F1F"/>
          <w:sz w:val="24"/>
        </w:rPr>
      </w:pPr>
      <w:r>
        <w:rPr>
          <w:color w:val="211F1F"/>
          <w:sz w:val="24"/>
        </w:rPr>
        <w:t>If information</w:t>
      </w:r>
      <w:r>
        <w:rPr>
          <w:color w:val="211F1F"/>
          <w:spacing w:val="-2"/>
          <w:sz w:val="24"/>
        </w:rPr>
        <w:t xml:space="preserve"> </w:t>
      </w:r>
      <w:r>
        <w:rPr>
          <w:color w:val="211F1F"/>
          <w:sz w:val="24"/>
        </w:rPr>
        <w:t>submitted by</w:t>
      </w:r>
      <w:r>
        <w:rPr>
          <w:color w:val="211F1F"/>
          <w:spacing w:val="-3"/>
          <w:sz w:val="24"/>
        </w:rPr>
        <w:t xml:space="preserve"> </w:t>
      </w:r>
      <w:r>
        <w:rPr>
          <w:color w:val="211F1F"/>
          <w:sz w:val="24"/>
        </w:rPr>
        <w:t>a tenderer pursuant to</w:t>
      </w:r>
      <w:r>
        <w:rPr>
          <w:color w:val="211F1F"/>
          <w:spacing w:val="-1"/>
          <w:sz w:val="24"/>
        </w:rPr>
        <w:t xml:space="preserve"> </w:t>
      </w:r>
      <w:r>
        <w:rPr>
          <w:color w:val="211F1F"/>
          <w:sz w:val="24"/>
        </w:rPr>
        <w:t>these requirements, or</w:t>
      </w:r>
      <w:r>
        <w:rPr>
          <w:color w:val="211F1F"/>
          <w:spacing w:val="-5"/>
          <w:sz w:val="24"/>
        </w:rPr>
        <w:t xml:space="preserve"> </w:t>
      </w:r>
      <w:r>
        <w:rPr>
          <w:color w:val="211F1F"/>
          <w:sz w:val="24"/>
        </w:rPr>
        <w:t>obtained by the Procuring Entity (whether through its own enquiries, through notification by the public or otherwise), shows any conflict of interest which could materially and improperly</w:t>
      </w:r>
      <w:r>
        <w:rPr>
          <w:color w:val="211F1F"/>
          <w:spacing w:val="-8"/>
          <w:sz w:val="24"/>
        </w:rPr>
        <w:t xml:space="preserve"> </w:t>
      </w:r>
      <w:r>
        <w:rPr>
          <w:color w:val="211F1F"/>
          <w:sz w:val="24"/>
        </w:rPr>
        <w:t>benefit</w:t>
      </w:r>
      <w:r>
        <w:rPr>
          <w:color w:val="211F1F"/>
          <w:spacing w:val="-2"/>
          <w:sz w:val="24"/>
        </w:rPr>
        <w:t xml:space="preserve"> </w:t>
      </w:r>
      <w:r>
        <w:rPr>
          <w:color w:val="211F1F"/>
          <w:sz w:val="24"/>
        </w:rPr>
        <w:t>the</w:t>
      </w:r>
      <w:r>
        <w:rPr>
          <w:color w:val="211F1F"/>
          <w:spacing w:val="-10"/>
          <w:sz w:val="24"/>
        </w:rPr>
        <w:t xml:space="preserve"> </w:t>
      </w:r>
      <w:r>
        <w:rPr>
          <w:color w:val="211F1F"/>
          <w:sz w:val="24"/>
        </w:rPr>
        <w:t>tenderer</w:t>
      </w:r>
      <w:r>
        <w:rPr>
          <w:color w:val="211F1F"/>
          <w:spacing w:val="-6"/>
          <w:sz w:val="24"/>
        </w:rPr>
        <w:t xml:space="preserve"> </w:t>
      </w:r>
      <w:r>
        <w:rPr>
          <w:color w:val="211F1F"/>
          <w:sz w:val="24"/>
        </w:rPr>
        <w:t>in</w:t>
      </w:r>
      <w:r>
        <w:rPr>
          <w:color w:val="211F1F"/>
          <w:spacing w:val="-13"/>
          <w:sz w:val="24"/>
        </w:rPr>
        <w:t xml:space="preserve"> </w:t>
      </w:r>
      <w:r>
        <w:rPr>
          <w:color w:val="211F1F"/>
          <w:sz w:val="24"/>
        </w:rPr>
        <w:t>relation</w:t>
      </w:r>
      <w:r>
        <w:rPr>
          <w:color w:val="211F1F"/>
          <w:spacing w:val="-12"/>
          <w:sz w:val="24"/>
        </w:rPr>
        <w:t xml:space="preserve"> </w:t>
      </w:r>
      <w:r>
        <w:rPr>
          <w:color w:val="211F1F"/>
          <w:sz w:val="24"/>
        </w:rPr>
        <w:t>to</w:t>
      </w:r>
      <w:r>
        <w:rPr>
          <w:color w:val="211F1F"/>
          <w:spacing w:val="-12"/>
          <w:sz w:val="24"/>
        </w:rPr>
        <w:t xml:space="preserve"> </w:t>
      </w:r>
      <w:r>
        <w:rPr>
          <w:color w:val="211F1F"/>
          <w:sz w:val="24"/>
        </w:rPr>
        <w:t>the</w:t>
      </w:r>
      <w:r>
        <w:rPr>
          <w:color w:val="211F1F"/>
          <w:spacing w:val="-10"/>
          <w:sz w:val="24"/>
        </w:rPr>
        <w:t xml:space="preserve"> </w:t>
      </w:r>
      <w:r>
        <w:rPr>
          <w:color w:val="211F1F"/>
          <w:sz w:val="24"/>
        </w:rPr>
        <w:t>procurement</w:t>
      </w:r>
      <w:r>
        <w:rPr>
          <w:color w:val="211F1F"/>
          <w:spacing w:val="-2"/>
          <w:sz w:val="24"/>
        </w:rPr>
        <w:t xml:space="preserve"> </w:t>
      </w:r>
      <w:r>
        <w:rPr>
          <w:color w:val="211F1F"/>
          <w:sz w:val="24"/>
        </w:rPr>
        <w:t>or</w:t>
      </w:r>
      <w:r>
        <w:rPr>
          <w:color w:val="211F1F"/>
          <w:spacing w:val="-7"/>
          <w:sz w:val="24"/>
        </w:rPr>
        <w:t xml:space="preserve"> </w:t>
      </w:r>
      <w:r>
        <w:rPr>
          <w:color w:val="211F1F"/>
          <w:sz w:val="24"/>
        </w:rPr>
        <w:t>contract</w:t>
      </w:r>
      <w:r>
        <w:rPr>
          <w:color w:val="211F1F"/>
          <w:spacing w:val="-7"/>
          <w:sz w:val="24"/>
        </w:rPr>
        <w:t xml:space="preserve"> </w:t>
      </w:r>
      <w:r>
        <w:rPr>
          <w:color w:val="211F1F"/>
          <w:sz w:val="24"/>
        </w:rPr>
        <w:t>management process, then:</w:t>
      </w:r>
    </w:p>
    <w:p w14:paraId="74F5D386" w14:textId="77777777" w:rsidR="00BB77C0" w:rsidRDefault="00370BAA">
      <w:pPr>
        <w:pStyle w:val="ListParagraph"/>
        <w:numPr>
          <w:ilvl w:val="2"/>
          <w:numId w:val="96"/>
        </w:numPr>
        <w:tabs>
          <w:tab w:val="left" w:pos="2159"/>
          <w:tab w:val="left" w:pos="2161"/>
        </w:tabs>
        <w:spacing w:before="248"/>
        <w:ind w:right="364"/>
        <w:jc w:val="left"/>
        <w:rPr>
          <w:sz w:val="24"/>
        </w:rPr>
      </w:pPr>
      <w:r>
        <w:rPr>
          <w:color w:val="211F1F"/>
          <w:sz w:val="24"/>
        </w:rPr>
        <w:t>If</w:t>
      </w:r>
      <w:r>
        <w:rPr>
          <w:color w:val="211F1F"/>
          <w:spacing w:val="-15"/>
          <w:sz w:val="24"/>
        </w:rPr>
        <w:t xml:space="preserve"> </w:t>
      </w:r>
      <w:r>
        <w:rPr>
          <w:color w:val="211F1F"/>
          <w:sz w:val="24"/>
        </w:rPr>
        <w:t>the</w:t>
      </w:r>
      <w:r>
        <w:rPr>
          <w:color w:val="211F1F"/>
          <w:spacing w:val="-7"/>
          <w:sz w:val="24"/>
        </w:rPr>
        <w:t xml:space="preserve"> </w:t>
      </w:r>
      <w:r>
        <w:rPr>
          <w:color w:val="211F1F"/>
          <w:sz w:val="24"/>
        </w:rPr>
        <w:t>procurement process</w:t>
      </w:r>
      <w:r>
        <w:rPr>
          <w:color w:val="211F1F"/>
          <w:spacing w:val="-7"/>
          <w:sz w:val="24"/>
        </w:rPr>
        <w:t xml:space="preserve"> </w:t>
      </w:r>
      <w:r>
        <w:rPr>
          <w:color w:val="211F1F"/>
          <w:sz w:val="24"/>
        </w:rPr>
        <w:t>is</w:t>
      </w:r>
      <w:r>
        <w:rPr>
          <w:color w:val="211F1F"/>
          <w:spacing w:val="-7"/>
          <w:sz w:val="24"/>
        </w:rPr>
        <w:t xml:space="preserve"> </w:t>
      </w:r>
      <w:r>
        <w:rPr>
          <w:color w:val="211F1F"/>
          <w:sz w:val="24"/>
        </w:rPr>
        <w:t>still</w:t>
      </w:r>
      <w:r>
        <w:rPr>
          <w:color w:val="211F1F"/>
          <w:spacing w:val="-12"/>
          <w:sz w:val="24"/>
        </w:rPr>
        <w:t xml:space="preserve"> </w:t>
      </w:r>
      <w:r>
        <w:rPr>
          <w:color w:val="211F1F"/>
          <w:sz w:val="24"/>
        </w:rPr>
        <w:t>on</w:t>
      </w:r>
      <w:r>
        <w:rPr>
          <w:color w:val="211F1F"/>
          <w:spacing w:val="-8"/>
          <w:sz w:val="24"/>
        </w:rPr>
        <w:t xml:space="preserve"> </w:t>
      </w:r>
      <w:r>
        <w:rPr>
          <w:color w:val="211F1F"/>
          <w:sz w:val="24"/>
        </w:rPr>
        <w:t>going,</w:t>
      </w:r>
      <w:r>
        <w:rPr>
          <w:color w:val="211F1F"/>
          <w:spacing w:val="-2"/>
          <w:sz w:val="24"/>
        </w:rPr>
        <w:t xml:space="preserve"> </w:t>
      </w:r>
      <w:r>
        <w:rPr>
          <w:color w:val="211F1F"/>
          <w:sz w:val="24"/>
        </w:rPr>
        <w:t>the</w:t>
      </w:r>
      <w:r>
        <w:rPr>
          <w:color w:val="211F1F"/>
          <w:spacing w:val="-10"/>
          <w:sz w:val="24"/>
        </w:rPr>
        <w:t xml:space="preserve"> </w:t>
      </w:r>
      <w:r>
        <w:rPr>
          <w:color w:val="211F1F"/>
          <w:sz w:val="24"/>
        </w:rPr>
        <w:t>tenderer</w:t>
      </w:r>
      <w:r>
        <w:rPr>
          <w:color w:val="211F1F"/>
          <w:spacing w:val="-4"/>
          <w:sz w:val="24"/>
        </w:rPr>
        <w:t xml:space="preserve"> </w:t>
      </w:r>
      <w:r>
        <w:rPr>
          <w:color w:val="211F1F"/>
          <w:sz w:val="24"/>
        </w:rPr>
        <w:t>will</w:t>
      </w:r>
      <w:r>
        <w:rPr>
          <w:color w:val="211F1F"/>
          <w:spacing w:val="-7"/>
          <w:sz w:val="24"/>
        </w:rPr>
        <w:t xml:space="preserve"> </w:t>
      </w:r>
      <w:r>
        <w:rPr>
          <w:color w:val="211F1F"/>
          <w:sz w:val="24"/>
        </w:rPr>
        <w:t>be</w:t>
      </w:r>
      <w:r>
        <w:rPr>
          <w:color w:val="211F1F"/>
          <w:spacing w:val="-6"/>
          <w:sz w:val="24"/>
        </w:rPr>
        <w:t xml:space="preserve"> </w:t>
      </w:r>
      <w:r>
        <w:rPr>
          <w:color w:val="211F1F"/>
          <w:sz w:val="24"/>
        </w:rPr>
        <w:t>disqualified from the procurement process,</w:t>
      </w:r>
    </w:p>
    <w:p w14:paraId="15C0B298" w14:textId="77777777" w:rsidR="00BB77C0" w:rsidRDefault="00370BAA">
      <w:pPr>
        <w:pStyle w:val="ListParagraph"/>
        <w:numPr>
          <w:ilvl w:val="2"/>
          <w:numId w:val="96"/>
        </w:numPr>
        <w:tabs>
          <w:tab w:val="left" w:pos="2161"/>
        </w:tabs>
        <w:spacing w:before="247" w:line="237" w:lineRule="auto"/>
        <w:ind w:right="75" w:hanging="375"/>
        <w:jc w:val="left"/>
        <w:rPr>
          <w:sz w:val="24"/>
        </w:rPr>
      </w:pPr>
      <w:r>
        <w:rPr>
          <w:color w:val="211F1F"/>
          <w:sz w:val="24"/>
        </w:rPr>
        <w:t>If</w:t>
      </w:r>
      <w:r>
        <w:rPr>
          <w:color w:val="211F1F"/>
          <w:spacing w:val="-14"/>
          <w:sz w:val="24"/>
        </w:rPr>
        <w:t xml:space="preserve"> </w:t>
      </w:r>
      <w:r>
        <w:rPr>
          <w:color w:val="211F1F"/>
          <w:sz w:val="24"/>
        </w:rPr>
        <w:t>the</w:t>
      </w:r>
      <w:r>
        <w:rPr>
          <w:color w:val="211F1F"/>
          <w:spacing w:val="-8"/>
          <w:sz w:val="24"/>
        </w:rPr>
        <w:t xml:space="preserve"> </w:t>
      </w:r>
      <w:r>
        <w:rPr>
          <w:color w:val="211F1F"/>
          <w:sz w:val="24"/>
        </w:rPr>
        <w:t>contract has</w:t>
      </w:r>
      <w:r>
        <w:rPr>
          <w:color w:val="211F1F"/>
          <w:spacing w:val="-4"/>
          <w:sz w:val="24"/>
        </w:rPr>
        <w:t xml:space="preserve"> </w:t>
      </w:r>
      <w:r>
        <w:rPr>
          <w:color w:val="211F1F"/>
          <w:sz w:val="24"/>
        </w:rPr>
        <w:t>been</w:t>
      </w:r>
      <w:r>
        <w:rPr>
          <w:color w:val="211F1F"/>
          <w:spacing w:val="-6"/>
          <w:sz w:val="24"/>
        </w:rPr>
        <w:t xml:space="preserve"> </w:t>
      </w:r>
      <w:r>
        <w:rPr>
          <w:color w:val="211F1F"/>
          <w:sz w:val="24"/>
        </w:rPr>
        <w:t>awarded</w:t>
      </w:r>
      <w:r>
        <w:rPr>
          <w:color w:val="211F1F"/>
          <w:spacing w:val="-2"/>
          <w:sz w:val="24"/>
        </w:rPr>
        <w:t xml:space="preserve"> </w:t>
      </w:r>
      <w:r>
        <w:rPr>
          <w:color w:val="211F1F"/>
          <w:sz w:val="24"/>
        </w:rPr>
        <w:t>to</w:t>
      </w:r>
      <w:r>
        <w:rPr>
          <w:color w:val="211F1F"/>
          <w:spacing w:val="-6"/>
          <w:sz w:val="24"/>
        </w:rPr>
        <w:t xml:space="preserve"> </w:t>
      </w:r>
      <w:r>
        <w:rPr>
          <w:color w:val="211F1F"/>
          <w:sz w:val="24"/>
        </w:rPr>
        <w:t>that</w:t>
      </w:r>
      <w:r>
        <w:rPr>
          <w:color w:val="211F1F"/>
          <w:spacing w:val="-6"/>
          <w:sz w:val="24"/>
        </w:rPr>
        <w:t xml:space="preserve"> </w:t>
      </w:r>
      <w:r>
        <w:rPr>
          <w:color w:val="211F1F"/>
          <w:sz w:val="24"/>
        </w:rPr>
        <w:t>tenderer,</w:t>
      </w:r>
      <w:r>
        <w:rPr>
          <w:color w:val="211F1F"/>
          <w:spacing w:val="-8"/>
          <w:sz w:val="24"/>
        </w:rPr>
        <w:t xml:space="preserve"> </w:t>
      </w:r>
      <w:r>
        <w:rPr>
          <w:color w:val="211F1F"/>
          <w:sz w:val="24"/>
        </w:rPr>
        <w:t>the</w:t>
      </w:r>
      <w:r>
        <w:rPr>
          <w:color w:val="211F1F"/>
          <w:spacing w:val="-8"/>
          <w:sz w:val="24"/>
        </w:rPr>
        <w:t xml:space="preserve"> </w:t>
      </w:r>
      <w:r>
        <w:rPr>
          <w:color w:val="211F1F"/>
          <w:sz w:val="24"/>
        </w:rPr>
        <w:t>contract award</w:t>
      </w:r>
      <w:r>
        <w:rPr>
          <w:color w:val="211F1F"/>
          <w:spacing w:val="-7"/>
          <w:sz w:val="24"/>
        </w:rPr>
        <w:t xml:space="preserve"> </w:t>
      </w:r>
      <w:r>
        <w:rPr>
          <w:color w:val="211F1F"/>
          <w:sz w:val="24"/>
        </w:rPr>
        <w:t>will</w:t>
      </w:r>
      <w:r>
        <w:rPr>
          <w:color w:val="211F1F"/>
          <w:spacing w:val="-6"/>
          <w:sz w:val="24"/>
        </w:rPr>
        <w:t xml:space="preserve"> </w:t>
      </w:r>
      <w:r>
        <w:rPr>
          <w:color w:val="211F1F"/>
          <w:sz w:val="24"/>
        </w:rPr>
        <w:t>be</w:t>
      </w:r>
      <w:r>
        <w:rPr>
          <w:color w:val="211F1F"/>
          <w:spacing w:val="-2"/>
          <w:sz w:val="24"/>
        </w:rPr>
        <w:t xml:space="preserve"> </w:t>
      </w:r>
      <w:r>
        <w:rPr>
          <w:color w:val="211F1F"/>
          <w:sz w:val="24"/>
        </w:rPr>
        <w:t xml:space="preserve">set </w:t>
      </w:r>
      <w:r>
        <w:rPr>
          <w:color w:val="211F1F"/>
          <w:spacing w:val="-2"/>
          <w:sz w:val="24"/>
        </w:rPr>
        <w:t>aside,</w:t>
      </w:r>
    </w:p>
    <w:p w14:paraId="1C902EE3" w14:textId="77777777" w:rsidR="00BB77C0" w:rsidRDefault="00370BAA">
      <w:pPr>
        <w:spacing w:line="259" w:lineRule="auto"/>
        <w:ind w:left="2161" w:right="78"/>
        <w:rPr>
          <w:sz w:val="24"/>
        </w:rPr>
      </w:pPr>
      <w:r>
        <w:rPr>
          <w:color w:val="211F1F"/>
          <w:sz w:val="24"/>
        </w:rPr>
        <w:t>the tenderer will be referred to the relevant law enforcement authorities for investigation</w:t>
      </w:r>
      <w:r>
        <w:rPr>
          <w:color w:val="211F1F"/>
          <w:spacing w:val="-10"/>
          <w:sz w:val="24"/>
        </w:rPr>
        <w:t xml:space="preserve"> </w:t>
      </w:r>
      <w:r>
        <w:rPr>
          <w:color w:val="211F1F"/>
          <w:sz w:val="24"/>
        </w:rPr>
        <w:t>of</w:t>
      </w:r>
      <w:r>
        <w:rPr>
          <w:color w:val="211F1F"/>
          <w:spacing w:val="-14"/>
          <w:sz w:val="24"/>
        </w:rPr>
        <w:t xml:space="preserve"> </w:t>
      </w:r>
      <w:r>
        <w:rPr>
          <w:color w:val="211F1F"/>
          <w:sz w:val="24"/>
        </w:rPr>
        <w:t>whether</w:t>
      </w:r>
      <w:r>
        <w:rPr>
          <w:color w:val="211F1F"/>
          <w:spacing w:val="-4"/>
          <w:sz w:val="24"/>
        </w:rPr>
        <w:t xml:space="preserve"> </w:t>
      </w:r>
      <w:r>
        <w:rPr>
          <w:color w:val="211F1F"/>
          <w:sz w:val="24"/>
        </w:rPr>
        <w:t>the</w:t>
      </w:r>
      <w:r>
        <w:rPr>
          <w:color w:val="211F1F"/>
          <w:spacing w:val="-8"/>
          <w:sz w:val="24"/>
        </w:rPr>
        <w:t xml:space="preserve"> </w:t>
      </w:r>
      <w:r>
        <w:rPr>
          <w:color w:val="211F1F"/>
          <w:sz w:val="24"/>
        </w:rPr>
        <w:t>tenderer</w:t>
      </w:r>
      <w:r>
        <w:rPr>
          <w:color w:val="211F1F"/>
          <w:spacing w:val="-4"/>
          <w:sz w:val="24"/>
        </w:rPr>
        <w:t xml:space="preserve"> </w:t>
      </w:r>
      <w:r>
        <w:rPr>
          <w:color w:val="211F1F"/>
          <w:sz w:val="24"/>
        </w:rPr>
        <w:t>or</w:t>
      </w:r>
      <w:r>
        <w:rPr>
          <w:color w:val="211F1F"/>
          <w:spacing w:val="-5"/>
          <w:sz w:val="24"/>
        </w:rPr>
        <w:t xml:space="preserve"> </w:t>
      </w:r>
      <w:r>
        <w:rPr>
          <w:color w:val="211F1F"/>
          <w:sz w:val="24"/>
        </w:rPr>
        <w:t>any</w:t>
      </w:r>
      <w:r>
        <w:rPr>
          <w:color w:val="211F1F"/>
          <w:spacing w:val="-15"/>
          <w:sz w:val="24"/>
        </w:rPr>
        <w:t xml:space="preserve"> </w:t>
      </w:r>
      <w:r>
        <w:rPr>
          <w:color w:val="211F1F"/>
          <w:sz w:val="24"/>
        </w:rPr>
        <w:t>other persons</w:t>
      </w:r>
      <w:r>
        <w:rPr>
          <w:color w:val="211F1F"/>
          <w:spacing w:val="-4"/>
          <w:sz w:val="24"/>
        </w:rPr>
        <w:t xml:space="preserve"> </w:t>
      </w:r>
      <w:r>
        <w:rPr>
          <w:color w:val="211F1F"/>
          <w:sz w:val="24"/>
        </w:rPr>
        <w:t>have</w:t>
      </w:r>
      <w:r>
        <w:rPr>
          <w:color w:val="211F1F"/>
          <w:spacing w:val="-2"/>
          <w:sz w:val="24"/>
        </w:rPr>
        <w:t xml:space="preserve"> </w:t>
      </w:r>
      <w:r>
        <w:rPr>
          <w:color w:val="211F1F"/>
          <w:sz w:val="24"/>
        </w:rPr>
        <w:t>committed</w:t>
      </w:r>
      <w:r>
        <w:rPr>
          <w:color w:val="211F1F"/>
          <w:spacing w:val="-5"/>
          <w:sz w:val="24"/>
        </w:rPr>
        <w:t xml:space="preserve"> </w:t>
      </w:r>
      <w:r>
        <w:rPr>
          <w:color w:val="211F1F"/>
          <w:sz w:val="24"/>
        </w:rPr>
        <w:t>any criminal offence.</w:t>
      </w:r>
    </w:p>
    <w:p w14:paraId="626380BF" w14:textId="77777777" w:rsidR="00BB77C0" w:rsidRDefault="00370BAA">
      <w:pPr>
        <w:pStyle w:val="ListParagraph"/>
        <w:numPr>
          <w:ilvl w:val="1"/>
          <w:numId w:val="96"/>
        </w:numPr>
        <w:tabs>
          <w:tab w:val="left" w:pos="1439"/>
          <w:tab w:val="left" w:pos="1441"/>
        </w:tabs>
        <w:spacing w:before="156" w:line="259" w:lineRule="auto"/>
        <w:ind w:left="1441" w:right="277"/>
        <w:jc w:val="left"/>
        <w:rPr>
          <w:color w:val="211F1F"/>
          <w:sz w:val="24"/>
        </w:rPr>
      </w:pPr>
      <w:r>
        <w:rPr>
          <w:color w:val="211F1F"/>
          <w:sz w:val="24"/>
        </w:rPr>
        <w:t>If</w:t>
      </w:r>
      <w:r>
        <w:rPr>
          <w:color w:val="211F1F"/>
          <w:spacing w:val="-7"/>
          <w:sz w:val="24"/>
        </w:rPr>
        <w:t xml:space="preserve"> </w:t>
      </w:r>
      <w:r>
        <w:rPr>
          <w:color w:val="211F1F"/>
          <w:sz w:val="24"/>
        </w:rPr>
        <w:t>a tenderer submits information</w:t>
      </w:r>
      <w:r>
        <w:rPr>
          <w:color w:val="211F1F"/>
          <w:spacing w:val="-4"/>
          <w:sz w:val="24"/>
        </w:rPr>
        <w:t xml:space="preserve"> </w:t>
      </w:r>
      <w:r>
        <w:rPr>
          <w:color w:val="211F1F"/>
          <w:sz w:val="24"/>
        </w:rPr>
        <w:t>pursuant to</w:t>
      </w:r>
      <w:r>
        <w:rPr>
          <w:color w:val="211F1F"/>
          <w:spacing w:val="-3"/>
          <w:sz w:val="24"/>
        </w:rPr>
        <w:t xml:space="preserve"> </w:t>
      </w:r>
      <w:r>
        <w:rPr>
          <w:color w:val="211F1F"/>
          <w:sz w:val="24"/>
        </w:rPr>
        <w:t>these requirements</w:t>
      </w:r>
      <w:r>
        <w:rPr>
          <w:color w:val="211F1F"/>
          <w:spacing w:val="-1"/>
          <w:sz w:val="24"/>
        </w:rPr>
        <w:t xml:space="preserve"> </w:t>
      </w:r>
      <w:r>
        <w:rPr>
          <w:color w:val="211F1F"/>
          <w:sz w:val="24"/>
        </w:rPr>
        <w:t>that is incomplete, inaccurate or out-of-date, or attempts to obstruct the verification process, then the consequences ITT 17.8 will ensue unless the tenderer can show to the reasonable satisfaction</w:t>
      </w:r>
      <w:r>
        <w:rPr>
          <w:color w:val="211F1F"/>
          <w:spacing w:val="-4"/>
          <w:sz w:val="24"/>
        </w:rPr>
        <w:t xml:space="preserve"> </w:t>
      </w:r>
      <w:r>
        <w:rPr>
          <w:color w:val="211F1F"/>
          <w:sz w:val="24"/>
        </w:rPr>
        <w:t>of</w:t>
      </w:r>
      <w:r>
        <w:rPr>
          <w:color w:val="211F1F"/>
          <w:spacing w:val="-14"/>
          <w:sz w:val="24"/>
        </w:rPr>
        <w:t xml:space="preserve"> </w:t>
      </w:r>
      <w:r>
        <w:rPr>
          <w:color w:val="211F1F"/>
          <w:sz w:val="24"/>
        </w:rPr>
        <w:t>the</w:t>
      </w:r>
      <w:r>
        <w:rPr>
          <w:color w:val="211F1F"/>
          <w:spacing w:val="-6"/>
          <w:sz w:val="24"/>
        </w:rPr>
        <w:t xml:space="preserve"> </w:t>
      </w:r>
      <w:r>
        <w:rPr>
          <w:color w:val="211F1F"/>
          <w:sz w:val="24"/>
        </w:rPr>
        <w:t>Procuring</w:t>
      </w:r>
      <w:r>
        <w:rPr>
          <w:color w:val="211F1F"/>
          <w:spacing w:val="-1"/>
          <w:sz w:val="24"/>
        </w:rPr>
        <w:t xml:space="preserve"> </w:t>
      </w:r>
      <w:r>
        <w:rPr>
          <w:color w:val="211F1F"/>
          <w:sz w:val="24"/>
        </w:rPr>
        <w:t>Entity</w:t>
      </w:r>
      <w:r>
        <w:rPr>
          <w:color w:val="211F1F"/>
          <w:spacing w:val="-9"/>
          <w:sz w:val="24"/>
        </w:rPr>
        <w:t xml:space="preserve"> </w:t>
      </w:r>
      <w:r>
        <w:rPr>
          <w:color w:val="211F1F"/>
          <w:sz w:val="24"/>
        </w:rPr>
        <w:t>that</w:t>
      </w:r>
      <w:r>
        <w:rPr>
          <w:color w:val="211F1F"/>
          <w:spacing w:val="-1"/>
          <w:sz w:val="24"/>
        </w:rPr>
        <w:t xml:space="preserve"> </w:t>
      </w:r>
      <w:r>
        <w:rPr>
          <w:color w:val="211F1F"/>
          <w:sz w:val="24"/>
        </w:rPr>
        <w:t>any</w:t>
      </w:r>
      <w:r>
        <w:rPr>
          <w:color w:val="211F1F"/>
          <w:spacing w:val="-10"/>
          <w:sz w:val="24"/>
        </w:rPr>
        <w:t xml:space="preserve"> </w:t>
      </w:r>
      <w:r>
        <w:rPr>
          <w:color w:val="211F1F"/>
          <w:sz w:val="24"/>
        </w:rPr>
        <w:t>such</w:t>
      </w:r>
      <w:r>
        <w:rPr>
          <w:color w:val="211F1F"/>
          <w:spacing w:val="-6"/>
          <w:sz w:val="24"/>
        </w:rPr>
        <w:t xml:space="preserve"> </w:t>
      </w:r>
      <w:r>
        <w:rPr>
          <w:color w:val="211F1F"/>
          <w:sz w:val="24"/>
        </w:rPr>
        <w:t>act</w:t>
      </w:r>
      <w:r>
        <w:rPr>
          <w:color w:val="211F1F"/>
          <w:spacing w:val="-1"/>
          <w:sz w:val="24"/>
        </w:rPr>
        <w:t xml:space="preserve"> </w:t>
      </w:r>
      <w:r>
        <w:rPr>
          <w:color w:val="211F1F"/>
          <w:sz w:val="24"/>
        </w:rPr>
        <w:t>was</w:t>
      </w:r>
      <w:r>
        <w:rPr>
          <w:color w:val="211F1F"/>
          <w:spacing w:val="-3"/>
          <w:sz w:val="24"/>
        </w:rPr>
        <w:t xml:space="preserve"> </w:t>
      </w:r>
      <w:r>
        <w:rPr>
          <w:color w:val="211F1F"/>
          <w:sz w:val="24"/>
        </w:rPr>
        <w:t>not</w:t>
      </w:r>
      <w:r>
        <w:rPr>
          <w:color w:val="211F1F"/>
          <w:spacing w:val="-2"/>
          <w:sz w:val="24"/>
        </w:rPr>
        <w:t xml:space="preserve"> </w:t>
      </w:r>
      <w:r>
        <w:rPr>
          <w:color w:val="211F1F"/>
          <w:sz w:val="24"/>
        </w:rPr>
        <w:t>material, or</w:t>
      </w:r>
      <w:r>
        <w:rPr>
          <w:color w:val="211F1F"/>
          <w:spacing w:val="-4"/>
          <w:sz w:val="24"/>
        </w:rPr>
        <w:t xml:space="preserve"> </w:t>
      </w:r>
      <w:r>
        <w:rPr>
          <w:color w:val="211F1F"/>
          <w:sz w:val="24"/>
        </w:rPr>
        <w:t>was</w:t>
      </w:r>
      <w:r>
        <w:rPr>
          <w:color w:val="211F1F"/>
          <w:spacing w:val="-3"/>
          <w:sz w:val="24"/>
        </w:rPr>
        <w:t xml:space="preserve"> </w:t>
      </w:r>
      <w:r>
        <w:rPr>
          <w:color w:val="211F1F"/>
          <w:sz w:val="24"/>
        </w:rPr>
        <w:t>due</w:t>
      </w:r>
      <w:r>
        <w:rPr>
          <w:color w:val="211F1F"/>
          <w:spacing w:val="-11"/>
          <w:sz w:val="24"/>
        </w:rPr>
        <w:t xml:space="preserve"> </w:t>
      </w:r>
      <w:r>
        <w:rPr>
          <w:color w:val="211F1F"/>
          <w:sz w:val="24"/>
        </w:rPr>
        <w:t>to genuine error which was not attributable to the intentional act, negligence or recklessness of the tender.</w:t>
      </w:r>
    </w:p>
    <w:p w14:paraId="1E4F07C4" w14:textId="77777777" w:rsidR="00BB77C0" w:rsidRDefault="00BB77C0">
      <w:pPr>
        <w:pStyle w:val="ListParagraph"/>
        <w:spacing w:line="259" w:lineRule="auto"/>
        <w:rPr>
          <w:sz w:val="24"/>
        </w:rPr>
        <w:sectPr w:rsidR="00BB77C0">
          <w:pgSz w:w="11930" w:h="16870"/>
          <w:pgMar w:top="1340" w:right="1080" w:bottom="280" w:left="1080" w:header="720" w:footer="720" w:gutter="0"/>
          <w:cols w:space="720"/>
        </w:sectPr>
      </w:pPr>
    </w:p>
    <w:p w14:paraId="58E99EA7" w14:textId="77777777" w:rsidR="00BB77C0" w:rsidRDefault="00370BAA">
      <w:pPr>
        <w:pStyle w:val="Heading6"/>
        <w:numPr>
          <w:ilvl w:val="1"/>
          <w:numId w:val="95"/>
        </w:numPr>
        <w:tabs>
          <w:tab w:val="left" w:pos="720"/>
        </w:tabs>
        <w:spacing w:before="65"/>
        <w:ind w:hanging="720"/>
        <w:jc w:val="left"/>
      </w:pPr>
      <w:bookmarkStart w:id="50" w:name="20.0_Period_of_Validity_of_Tenders"/>
      <w:bookmarkStart w:id="51" w:name="_bookmark24"/>
      <w:bookmarkEnd w:id="50"/>
      <w:bookmarkEnd w:id="51"/>
      <w:r>
        <w:lastRenderedPageBreak/>
        <w:t>Period</w:t>
      </w:r>
      <w:r>
        <w:rPr>
          <w:spacing w:val="-4"/>
        </w:rPr>
        <w:t xml:space="preserve"> </w:t>
      </w:r>
      <w:r>
        <w:t>of</w:t>
      </w:r>
      <w:r>
        <w:rPr>
          <w:spacing w:val="-8"/>
        </w:rPr>
        <w:t xml:space="preserve"> </w:t>
      </w:r>
      <w:r>
        <w:t>Validity</w:t>
      </w:r>
      <w:r>
        <w:rPr>
          <w:spacing w:val="-9"/>
        </w:rPr>
        <w:t xml:space="preserve"> </w:t>
      </w:r>
      <w:r>
        <w:t>of</w:t>
      </w:r>
      <w:r>
        <w:rPr>
          <w:spacing w:val="-8"/>
        </w:rPr>
        <w:t xml:space="preserve"> </w:t>
      </w:r>
      <w:r>
        <w:rPr>
          <w:spacing w:val="-2"/>
        </w:rPr>
        <w:t>Tenders</w:t>
      </w:r>
    </w:p>
    <w:p w14:paraId="15784C34" w14:textId="77777777" w:rsidR="00BB77C0" w:rsidRDefault="00370BAA">
      <w:pPr>
        <w:pStyle w:val="ListParagraph"/>
        <w:numPr>
          <w:ilvl w:val="1"/>
          <w:numId w:val="95"/>
        </w:numPr>
        <w:tabs>
          <w:tab w:val="left" w:pos="1441"/>
        </w:tabs>
        <w:spacing w:before="74" w:line="259" w:lineRule="auto"/>
        <w:ind w:left="1441" w:right="110"/>
        <w:jc w:val="left"/>
        <w:rPr>
          <w:color w:val="211F1F"/>
          <w:sz w:val="24"/>
        </w:rPr>
      </w:pPr>
      <w:r>
        <w:rPr>
          <w:color w:val="211F1F"/>
          <w:sz w:val="24"/>
        </w:rPr>
        <w:t>Tenders shall</w:t>
      </w:r>
      <w:r>
        <w:rPr>
          <w:color w:val="211F1F"/>
          <w:spacing w:val="-1"/>
          <w:sz w:val="24"/>
        </w:rPr>
        <w:t xml:space="preserve"> </w:t>
      </w:r>
      <w:r>
        <w:rPr>
          <w:color w:val="211F1F"/>
          <w:sz w:val="24"/>
        </w:rPr>
        <w:t>remain valid for the Tender Validity</w:t>
      </w:r>
      <w:r>
        <w:rPr>
          <w:color w:val="211F1F"/>
          <w:spacing w:val="-1"/>
          <w:sz w:val="24"/>
        </w:rPr>
        <w:t xml:space="preserve"> </w:t>
      </w:r>
      <w:r>
        <w:rPr>
          <w:color w:val="211F1F"/>
          <w:sz w:val="24"/>
        </w:rPr>
        <w:t xml:space="preserve">period specified in the </w:t>
      </w:r>
      <w:r>
        <w:rPr>
          <w:b/>
          <w:color w:val="211F1F"/>
          <w:sz w:val="24"/>
        </w:rPr>
        <w:t>TDS</w:t>
      </w:r>
      <w:r>
        <w:rPr>
          <w:color w:val="211F1F"/>
          <w:sz w:val="24"/>
        </w:rPr>
        <w:t>. The Tender Validity</w:t>
      </w:r>
      <w:r>
        <w:rPr>
          <w:color w:val="211F1F"/>
          <w:spacing w:val="-7"/>
          <w:sz w:val="24"/>
        </w:rPr>
        <w:t xml:space="preserve"> </w:t>
      </w:r>
      <w:r>
        <w:rPr>
          <w:color w:val="211F1F"/>
          <w:sz w:val="24"/>
        </w:rPr>
        <w:t>period starts from</w:t>
      </w:r>
      <w:r>
        <w:rPr>
          <w:color w:val="211F1F"/>
          <w:spacing w:val="-2"/>
          <w:sz w:val="24"/>
        </w:rPr>
        <w:t xml:space="preserve"> </w:t>
      </w:r>
      <w:r>
        <w:rPr>
          <w:color w:val="211F1F"/>
          <w:sz w:val="24"/>
        </w:rPr>
        <w:t>the date fixed for the Tender submission deadline (as</w:t>
      </w:r>
      <w:r>
        <w:rPr>
          <w:color w:val="211F1F"/>
          <w:spacing w:val="-4"/>
          <w:sz w:val="24"/>
        </w:rPr>
        <w:t xml:space="preserve"> </w:t>
      </w:r>
      <w:r>
        <w:rPr>
          <w:color w:val="211F1F"/>
          <w:sz w:val="24"/>
        </w:rPr>
        <w:t>prescribed</w:t>
      </w:r>
      <w:r>
        <w:rPr>
          <w:color w:val="211F1F"/>
          <w:spacing w:val="-1"/>
          <w:sz w:val="24"/>
        </w:rPr>
        <w:t xml:space="preserve"> </w:t>
      </w:r>
      <w:r>
        <w:rPr>
          <w:color w:val="211F1F"/>
          <w:sz w:val="24"/>
        </w:rPr>
        <w:t>by</w:t>
      </w:r>
      <w:r>
        <w:rPr>
          <w:color w:val="211F1F"/>
          <w:spacing w:val="-11"/>
          <w:sz w:val="24"/>
        </w:rPr>
        <w:t xml:space="preserve"> </w:t>
      </w:r>
      <w:r>
        <w:rPr>
          <w:color w:val="211F1F"/>
          <w:sz w:val="24"/>
        </w:rPr>
        <w:t>the</w:t>
      </w:r>
      <w:r>
        <w:rPr>
          <w:color w:val="211F1F"/>
          <w:spacing w:val="-8"/>
          <w:sz w:val="24"/>
        </w:rPr>
        <w:t xml:space="preserve"> </w:t>
      </w:r>
      <w:r>
        <w:rPr>
          <w:color w:val="211F1F"/>
          <w:sz w:val="24"/>
        </w:rPr>
        <w:t>Procuring</w:t>
      </w:r>
      <w:r>
        <w:rPr>
          <w:color w:val="211F1F"/>
          <w:spacing w:val="-1"/>
          <w:sz w:val="24"/>
        </w:rPr>
        <w:t xml:space="preserve"> </w:t>
      </w:r>
      <w:r>
        <w:rPr>
          <w:color w:val="211F1F"/>
          <w:sz w:val="24"/>
        </w:rPr>
        <w:t>Entity</w:t>
      </w:r>
      <w:r>
        <w:rPr>
          <w:color w:val="211F1F"/>
          <w:spacing w:val="-6"/>
          <w:sz w:val="24"/>
        </w:rPr>
        <w:t xml:space="preserve"> </w:t>
      </w:r>
      <w:r>
        <w:rPr>
          <w:color w:val="211F1F"/>
          <w:sz w:val="24"/>
        </w:rPr>
        <w:t>in</w:t>
      </w:r>
      <w:r>
        <w:rPr>
          <w:color w:val="211F1F"/>
          <w:spacing w:val="-7"/>
          <w:sz w:val="24"/>
        </w:rPr>
        <w:t xml:space="preserve"> </w:t>
      </w:r>
      <w:r>
        <w:rPr>
          <w:color w:val="211F1F"/>
          <w:sz w:val="24"/>
        </w:rPr>
        <w:t>accordance</w:t>
      </w:r>
      <w:r>
        <w:rPr>
          <w:color w:val="211F1F"/>
          <w:spacing w:val="-7"/>
          <w:sz w:val="24"/>
        </w:rPr>
        <w:t xml:space="preserve"> </w:t>
      </w:r>
      <w:r>
        <w:rPr>
          <w:color w:val="211F1F"/>
          <w:sz w:val="24"/>
        </w:rPr>
        <w:t>with</w:t>
      </w:r>
      <w:r>
        <w:rPr>
          <w:color w:val="211F1F"/>
          <w:spacing w:val="-6"/>
          <w:sz w:val="24"/>
        </w:rPr>
        <w:t xml:space="preserve"> </w:t>
      </w:r>
      <w:r>
        <w:rPr>
          <w:color w:val="211F1F"/>
          <w:sz w:val="24"/>
        </w:rPr>
        <w:t>ITT</w:t>
      </w:r>
      <w:r>
        <w:rPr>
          <w:color w:val="211F1F"/>
          <w:spacing w:val="-4"/>
          <w:sz w:val="24"/>
        </w:rPr>
        <w:t xml:space="preserve"> </w:t>
      </w:r>
      <w:r>
        <w:rPr>
          <w:color w:val="211F1F"/>
          <w:sz w:val="24"/>
        </w:rPr>
        <w:t>22).</w:t>
      </w:r>
      <w:r>
        <w:rPr>
          <w:color w:val="211F1F"/>
          <w:spacing w:val="-4"/>
          <w:sz w:val="24"/>
        </w:rPr>
        <w:t xml:space="preserve"> </w:t>
      </w:r>
      <w:r>
        <w:rPr>
          <w:color w:val="211F1F"/>
          <w:sz w:val="24"/>
        </w:rPr>
        <w:t>A</w:t>
      </w:r>
      <w:r>
        <w:rPr>
          <w:color w:val="211F1F"/>
          <w:spacing w:val="-12"/>
          <w:sz w:val="24"/>
        </w:rPr>
        <w:t xml:space="preserve"> </w:t>
      </w:r>
      <w:r>
        <w:rPr>
          <w:color w:val="211F1F"/>
          <w:sz w:val="24"/>
        </w:rPr>
        <w:t>Tender valid</w:t>
      </w:r>
      <w:r>
        <w:rPr>
          <w:color w:val="211F1F"/>
          <w:spacing w:val="-1"/>
          <w:sz w:val="24"/>
        </w:rPr>
        <w:t xml:space="preserve"> </w:t>
      </w:r>
      <w:r>
        <w:rPr>
          <w:color w:val="211F1F"/>
          <w:sz w:val="24"/>
        </w:rPr>
        <w:t>for a shorter period shall be rejected by the Procuring Entity as non-responsive.</w:t>
      </w:r>
    </w:p>
    <w:p w14:paraId="43103112" w14:textId="77777777" w:rsidR="00BB77C0" w:rsidRDefault="00370BAA">
      <w:pPr>
        <w:pStyle w:val="ListParagraph"/>
        <w:numPr>
          <w:ilvl w:val="1"/>
          <w:numId w:val="95"/>
        </w:numPr>
        <w:tabs>
          <w:tab w:val="left" w:pos="1441"/>
        </w:tabs>
        <w:spacing w:before="157" w:line="259" w:lineRule="auto"/>
        <w:ind w:left="1441" w:right="51"/>
        <w:jc w:val="left"/>
        <w:rPr>
          <w:color w:val="211F1F"/>
          <w:sz w:val="24"/>
        </w:rPr>
      </w:pPr>
      <w:r>
        <w:rPr>
          <w:color w:val="211F1F"/>
          <w:sz w:val="24"/>
        </w:rPr>
        <w:t>In</w:t>
      </w:r>
      <w:r>
        <w:rPr>
          <w:color w:val="211F1F"/>
          <w:spacing w:val="-2"/>
          <w:sz w:val="24"/>
        </w:rPr>
        <w:t xml:space="preserve"> </w:t>
      </w:r>
      <w:r>
        <w:rPr>
          <w:color w:val="211F1F"/>
          <w:sz w:val="24"/>
        </w:rPr>
        <w:t>exceptional</w:t>
      </w:r>
      <w:r>
        <w:rPr>
          <w:color w:val="211F1F"/>
          <w:spacing w:val="-5"/>
          <w:sz w:val="24"/>
        </w:rPr>
        <w:t xml:space="preserve"> </w:t>
      </w:r>
      <w:r>
        <w:rPr>
          <w:color w:val="211F1F"/>
          <w:sz w:val="24"/>
        </w:rPr>
        <w:t>circumstances, prior to</w:t>
      </w:r>
      <w:r>
        <w:rPr>
          <w:color w:val="211F1F"/>
          <w:spacing w:val="-1"/>
          <w:sz w:val="24"/>
        </w:rPr>
        <w:t xml:space="preserve"> </w:t>
      </w:r>
      <w:r>
        <w:rPr>
          <w:color w:val="211F1F"/>
          <w:sz w:val="24"/>
        </w:rPr>
        <w:t>the expiration</w:t>
      </w:r>
      <w:r>
        <w:rPr>
          <w:color w:val="211F1F"/>
          <w:spacing w:val="-2"/>
          <w:sz w:val="24"/>
        </w:rPr>
        <w:t xml:space="preserve"> </w:t>
      </w:r>
      <w:r>
        <w:rPr>
          <w:color w:val="211F1F"/>
          <w:sz w:val="24"/>
        </w:rPr>
        <w:t>of</w:t>
      </w:r>
      <w:r>
        <w:rPr>
          <w:color w:val="211F1F"/>
          <w:spacing w:val="-6"/>
          <w:sz w:val="24"/>
        </w:rPr>
        <w:t xml:space="preserve"> </w:t>
      </w:r>
      <w:r>
        <w:rPr>
          <w:color w:val="211F1F"/>
          <w:sz w:val="24"/>
        </w:rPr>
        <w:t>the Tender validity</w:t>
      </w:r>
      <w:r>
        <w:rPr>
          <w:color w:val="211F1F"/>
          <w:spacing w:val="-8"/>
          <w:sz w:val="24"/>
        </w:rPr>
        <w:t xml:space="preserve"> </w:t>
      </w:r>
      <w:r>
        <w:rPr>
          <w:color w:val="211F1F"/>
          <w:sz w:val="24"/>
        </w:rPr>
        <w:t>period, the Procuring Entity may request Tenderers to extend the period of validity of their Tenders. The request and the responses shall</w:t>
      </w:r>
      <w:r>
        <w:rPr>
          <w:color w:val="211F1F"/>
          <w:spacing w:val="-2"/>
          <w:sz w:val="24"/>
        </w:rPr>
        <w:t xml:space="preserve"> </w:t>
      </w:r>
      <w:r>
        <w:rPr>
          <w:color w:val="211F1F"/>
          <w:sz w:val="24"/>
        </w:rPr>
        <w:t>be made in</w:t>
      </w:r>
      <w:r>
        <w:rPr>
          <w:color w:val="211F1F"/>
          <w:spacing w:val="-3"/>
          <w:sz w:val="24"/>
        </w:rPr>
        <w:t xml:space="preserve"> </w:t>
      </w:r>
      <w:r>
        <w:rPr>
          <w:color w:val="211F1F"/>
          <w:sz w:val="24"/>
        </w:rPr>
        <w:t>writing. If</w:t>
      </w:r>
      <w:r>
        <w:rPr>
          <w:color w:val="211F1F"/>
          <w:spacing w:val="-6"/>
          <w:sz w:val="24"/>
        </w:rPr>
        <w:t xml:space="preserve"> </w:t>
      </w:r>
      <w:r>
        <w:rPr>
          <w:color w:val="211F1F"/>
          <w:sz w:val="24"/>
        </w:rPr>
        <w:t>a Tender Security is requested in accordance with ITT 19, it shall also be extended for thirty</w:t>
      </w:r>
      <w:r>
        <w:rPr>
          <w:color w:val="211F1F"/>
          <w:spacing w:val="-2"/>
          <w:sz w:val="24"/>
        </w:rPr>
        <w:t xml:space="preserve"> </w:t>
      </w:r>
      <w:r>
        <w:rPr>
          <w:color w:val="211F1F"/>
          <w:sz w:val="24"/>
        </w:rPr>
        <w:t>(30) days beyond the deadline of the extended validity period. A Tenderer may refuse the request</w:t>
      </w:r>
      <w:r>
        <w:rPr>
          <w:color w:val="211F1F"/>
          <w:spacing w:val="-4"/>
          <w:sz w:val="24"/>
        </w:rPr>
        <w:t xml:space="preserve"> </w:t>
      </w:r>
      <w:r>
        <w:rPr>
          <w:color w:val="211F1F"/>
          <w:sz w:val="24"/>
        </w:rPr>
        <w:t>without</w:t>
      </w:r>
      <w:r>
        <w:rPr>
          <w:color w:val="211F1F"/>
          <w:spacing w:val="-9"/>
          <w:sz w:val="24"/>
        </w:rPr>
        <w:t xml:space="preserve"> </w:t>
      </w:r>
      <w:r>
        <w:rPr>
          <w:color w:val="211F1F"/>
          <w:sz w:val="24"/>
        </w:rPr>
        <w:t>forfeiting</w:t>
      </w:r>
      <w:r>
        <w:rPr>
          <w:color w:val="211F1F"/>
          <w:spacing w:val="-3"/>
          <w:sz w:val="24"/>
        </w:rPr>
        <w:t xml:space="preserve"> </w:t>
      </w:r>
      <w:r>
        <w:rPr>
          <w:color w:val="211F1F"/>
          <w:sz w:val="24"/>
        </w:rPr>
        <w:t>its</w:t>
      </w:r>
      <w:r>
        <w:rPr>
          <w:color w:val="211F1F"/>
          <w:spacing w:val="-11"/>
          <w:sz w:val="24"/>
        </w:rPr>
        <w:t xml:space="preserve"> </w:t>
      </w:r>
      <w:r>
        <w:rPr>
          <w:color w:val="211F1F"/>
          <w:sz w:val="24"/>
        </w:rPr>
        <w:t>Tender</w:t>
      </w:r>
      <w:r>
        <w:rPr>
          <w:color w:val="211F1F"/>
          <w:spacing w:val="-11"/>
          <w:sz w:val="24"/>
        </w:rPr>
        <w:t xml:space="preserve"> </w:t>
      </w:r>
      <w:r>
        <w:rPr>
          <w:color w:val="211F1F"/>
          <w:sz w:val="24"/>
        </w:rPr>
        <w:t>security.</w:t>
      </w:r>
      <w:r>
        <w:rPr>
          <w:color w:val="211F1F"/>
          <w:spacing w:val="-3"/>
          <w:sz w:val="24"/>
        </w:rPr>
        <w:t xml:space="preserve"> </w:t>
      </w:r>
      <w:r>
        <w:rPr>
          <w:color w:val="211F1F"/>
          <w:sz w:val="24"/>
        </w:rPr>
        <w:t>A</w:t>
      </w:r>
      <w:r>
        <w:rPr>
          <w:color w:val="211F1F"/>
          <w:spacing w:val="-14"/>
          <w:sz w:val="24"/>
        </w:rPr>
        <w:t xml:space="preserve"> </w:t>
      </w:r>
      <w:r>
        <w:rPr>
          <w:color w:val="211F1F"/>
          <w:sz w:val="24"/>
        </w:rPr>
        <w:t>Tenderer</w:t>
      </w:r>
      <w:r>
        <w:rPr>
          <w:color w:val="211F1F"/>
          <w:spacing w:val="-7"/>
          <w:sz w:val="24"/>
        </w:rPr>
        <w:t xml:space="preserve"> </w:t>
      </w:r>
      <w:r>
        <w:rPr>
          <w:color w:val="211F1F"/>
          <w:sz w:val="24"/>
        </w:rPr>
        <w:t>granting</w:t>
      </w:r>
      <w:r>
        <w:rPr>
          <w:color w:val="211F1F"/>
          <w:spacing w:val="-9"/>
          <w:sz w:val="24"/>
        </w:rPr>
        <w:t xml:space="preserve"> </w:t>
      </w:r>
      <w:r>
        <w:rPr>
          <w:color w:val="211F1F"/>
          <w:sz w:val="24"/>
        </w:rPr>
        <w:t>their</w:t>
      </w:r>
      <w:r>
        <w:rPr>
          <w:color w:val="211F1F"/>
          <w:spacing w:val="-7"/>
          <w:sz w:val="24"/>
        </w:rPr>
        <w:t xml:space="preserve"> </w:t>
      </w:r>
      <w:r>
        <w:rPr>
          <w:color w:val="211F1F"/>
          <w:sz w:val="24"/>
        </w:rPr>
        <w:t>quest</w:t>
      </w:r>
      <w:r>
        <w:rPr>
          <w:color w:val="211F1F"/>
          <w:spacing w:val="-5"/>
          <w:sz w:val="24"/>
        </w:rPr>
        <w:t xml:space="preserve"> </w:t>
      </w:r>
      <w:r>
        <w:rPr>
          <w:color w:val="211F1F"/>
          <w:sz w:val="24"/>
        </w:rPr>
        <w:t>shall</w:t>
      </w:r>
      <w:r>
        <w:rPr>
          <w:color w:val="211F1F"/>
          <w:spacing w:val="-8"/>
          <w:sz w:val="24"/>
        </w:rPr>
        <w:t xml:space="preserve"> </w:t>
      </w:r>
      <w:r>
        <w:rPr>
          <w:color w:val="211F1F"/>
          <w:sz w:val="24"/>
        </w:rPr>
        <w:t>not be required or permitted to modify its Tender.</w:t>
      </w:r>
    </w:p>
    <w:p w14:paraId="5F3752A2" w14:textId="77777777" w:rsidR="00BB77C0" w:rsidRDefault="00370BAA">
      <w:pPr>
        <w:pStyle w:val="ListParagraph"/>
        <w:numPr>
          <w:ilvl w:val="1"/>
          <w:numId w:val="95"/>
        </w:numPr>
        <w:tabs>
          <w:tab w:val="left" w:pos="1439"/>
          <w:tab w:val="left" w:pos="1441"/>
        </w:tabs>
        <w:spacing w:before="161" w:line="259" w:lineRule="auto"/>
        <w:ind w:left="1441" w:right="1103"/>
        <w:jc w:val="both"/>
        <w:rPr>
          <w:color w:val="211F1F"/>
          <w:sz w:val="24"/>
        </w:rPr>
      </w:pPr>
      <w:r>
        <w:rPr>
          <w:color w:val="201F1F"/>
          <w:sz w:val="24"/>
        </w:rPr>
        <w:t>If the award is delayed by a period exceeding the number of days to be specified in the TDS days beyond the expiry of the initial tender validity period, the Contract price shall be determined as follows:</w:t>
      </w:r>
    </w:p>
    <w:p w14:paraId="6869FB8C" w14:textId="77777777" w:rsidR="00BB77C0" w:rsidRDefault="00370BAA">
      <w:pPr>
        <w:pStyle w:val="ListParagraph"/>
        <w:numPr>
          <w:ilvl w:val="2"/>
          <w:numId w:val="95"/>
        </w:numPr>
        <w:tabs>
          <w:tab w:val="left" w:pos="2101"/>
          <w:tab w:val="left" w:pos="2103"/>
        </w:tabs>
        <w:spacing w:before="57" w:line="254" w:lineRule="auto"/>
        <w:ind w:right="1109"/>
        <w:jc w:val="both"/>
        <w:rPr>
          <w:sz w:val="24"/>
        </w:rPr>
      </w:pPr>
      <w:r>
        <w:rPr>
          <w:color w:val="201F1F"/>
          <w:sz w:val="24"/>
        </w:rPr>
        <w:t xml:space="preserve">in the case of </w:t>
      </w:r>
      <w:r>
        <w:rPr>
          <w:b/>
          <w:color w:val="201F1F"/>
          <w:sz w:val="24"/>
        </w:rPr>
        <w:t>fi</w:t>
      </w:r>
      <w:r>
        <w:rPr>
          <w:color w:val="201F1F"/>
          <w:sz w:val="24"/>
        </w:rPr>
        <w:t>xed price contracts, the Contract price shall be the tender price adjusted by the factor specified in</w:t>
      </w:r>
      <w:r>
        <w:rPr>
          <w:color w:val="201F1F"/>
          <w:spacing w:val="-1"/>
          <w:sz w:val="24"/>
        </w:rPr>
        <w:t xml:space="preserve"> </w:t>
      </w:r>
      <w:r>
        <w:rPr>
          <w:color w:val="201F1F"/>
          <w:sz w:val="24"/>
        </w:rPr>
        <w:t>the TDS;</w:t>
      </w:r>
    </w:p>
    <w:p w14:paraId="44E41CE0" w14:textId="77777777" w:rsidR="00BB77C0" w:rsidRDefault="00370BAA">
      <w:pPr>
        <w:pStyle w:val="ListParagraph"/>
        <w:numPr>
          <w:ilvl w:val="2"/>
          <w:numId w:val="95"/>
        </w:numPr>
        <w:tabs>
          <w:tab w:val="left" w:pos="2103"/>
        </w:tabs>
        <w:spacing w:before="48" w:line="259" w:lineRule="auto"/>
        <w:ind w:right="1092"/>
        <w:jc w:val="both"/>
        <w:rPr>
          <w:sz w:val="24"/>
        </w:rPr>
      </w:pPr>
      <w:r>
        <w:rPr>
          <w:color w:val="201F1F"/>
          <w:sz w:val="24"/>
        </w:rPr>
        <w:t>In</w:t>
      </w:r>
      <w:r>
        <w:rPr>
          <w:color w:val="201F1F"/>
          <w:spacing w:val="-15"/>
          <w:sz w:val="24"/>
        </w:rPr>
        <w:t xml:space="preserve"> </w:t>
      </w:r>
      <w:r>
        <w:rPr>
          <w:color w:val="201F1F"/>
          <w:sz w:val="24"/>
        </w:rPr>
        <w:t>the</w:t>
      </w:r>
      <w:r>
        <w:rPr>
          <w:color w:val="201F1F"/>
          <w:spacing w:val="-15"/>
          <w:sz w:val="24"/>
        </w:rPr>
        <w:t xml:space="preserve"> </w:t>
      </w:r>
      <w:r>
        <w:rPr>
          <w:color w:val="201F1F"/>
          <w:sz w:val="24"/>
        </w:rPr>
        <w:t>case</w:t>
      </w:r>
      <w:r>
        <w:rPr>
          <w:color w:val="201F1F"/>
          <w:spacing w:val="-15"/>
          <w:sz w:val="24"/>
        </w:rPr>
        <w:t xml:space="preserve"> </w:t>
      </w:r>
      <w:r>
        <w:rPr>
          <w:color w:val="201F1F"/>
          <w:sz w:val="24"/>
        </w:rPr>
        <w:t>of</w:t>
      </w:r>
      <w:r>
        <w:rPr>
          <w:color w:val="201F1F"/>
          <w:spacing w:val="-15"/>
          <w:sz w:val="24"/>
        </w:rPr>
        <w:t xml:space="preserve"> </w:t>
      </w:r>
      <w:r>
        <w:rPr>
          <w:color w:val="201F1F"/>
          <w:sz w:val="24"/>
        </w:rPr>
        <w:t>adjustable</w:t>
      </w:r>
      <w:r>
        <w:rPr>
          <w:color w:val="201F1F"/>
          <w:spacing w:val="-15"/>
          <w:sz w:val="24"/>
        </w:rPr>
        <w:t xml:space="preserve"> </w:t>
      </w:r>
      <w:r>
        <w:rPr>
          <w:color w:val="201F1F"/>
          <w:sz w:val="24"/>
        </w:rPr>
        <w:t>price</w:t>
      </w:r>
      <w:r>
        <w:rPr>
          <w:color w:val="201F1F"/>
          <w:spacing w:val="-15"/>
          <w:sz w:val="24"/>
        </w:rPr>
        <w:t xml:space="preserve"> </w:t>
      </w:r>
      <w:r>
        <w:rPr>
          <w:color w:val="201F1F"/>
          <w:sz w:val="24"/>
        </w:rPr>
        <w:t>contracts,</w:t>
      </w:r>
      <w:r>
        <w:rPr>
          <w:color w:val="201F1F"/>
          <w:spacing w:val="-15"/>
          <w:sz w:val="24"/>
        </w:rPr>
        <w:t xml:space="preserve"> </w:t>
      </w:r>
      <w:r>
        <w:rPr>
          <w:color w:val="201F1F"/>
          <w:sz w:val="24"/>
        </w:rPr>
        <w:t>no</w:t>
      </w:r>
      <w:r>
        <w:rPr>
          <w:color w:val="201F1F"/>
          <w:spacing w:val="-15"/>
          <w:sz w:val="24"/>
        </w:rPr>
        <w:t xml:space="preserve"> </w:t>
      </w:r>
      <w:r>
        <w:rPr>
          <w:color w:val="201F1F"/>
          <w:sz w:val="24"/>
        </w:rPr>
        <w:t>adjustment</w:t>
      </w:r>
      <w:r>
        <w:rPr>
          <w:color w:val="201F1F"/>
          <w:spacing w:val="-15"/>
          <w:sz w:val="24"/>
        </w:rPr>
        <w:t xml:space="preserve"> </w:t>
      </w:r>
      <w:r>
        <w:rPr>
          <w:color w:val="201F1F"/>
          <w:sz w:val="24"/>
        </w:rPr>
        <w:t>shall</w:t>
      </w:r>
      <w:r>
        <w:rPr>
          <w:color w:val="201F1F"/>
          <w:spacing w:val="-15"/>
          <w:sz w:val="24"/>
        </w:rPr>
        <w:t xml:space="preserve"> </w:t>
      </w:r>
      <w:r>
        <w:rPr>
          <w:color w:val="201F1F"/>
          <w:sz w:val="24"/>
        </w:rPr>
        <w:t>be</w:t>
      </w:r>
      <w:r>
        <w:rPr>
          <w:color w:val="201F1F"/>
          <w:spacing w:val="-15"/>
          <w:sz w:val="24"/>
        </w:rPr>
        <w:t xml:space="preserve"> </w:t>
      </w:r>
      <w:r>
        <w:rPr>
          <w:color w:val="201F1F"/>
          <w:sz w:val="24"/>
        </w:rPr>
        <w:t xml:space="preserve">made; or in any case, tender evaluation shall be based on the tender price </w:t>
      </w:r>
      <w:r>
        <w:rPr>
          <w:color w:val="201F1F"/>
          <w:spacing w:val="-2"/>
          <w:sz w:val="24"/>
        </w:rPr>
        <w:t>without</w:t>
      </w:r>
      <w:r>
        <w:rPr>
          <w:color w:val="201F1F"/>
          <w:spacing w:val="-9"/>
          <w:sz w:val="24"/>
        </w:rPr>
        <w:t xml:space="preserve"> </w:t>
      </w:r>
      <w:r>
        <w:rPr>
          <w:color w:val="201F1F"/>
          <w:spacing w:val="-2"/>
          <w:sz w:val="24"/>
        </w:rPr>
        <w:t>taking</w:t>
      </w:r>
      <w:r>
        <w:rPr>
          <w:color w:val="201F1F"/>
          <w:spacing w:val="-4"/>
          <w:sz w:val="24"/>
        </w:rPr>
        <w:t xml:space="preserve"> </w:t>
      </w:r>
      <w:r>
        <w:rPr>
          <w:color w:val="201F1F"/>
          <w:spacing w:val="-2"/>
          <w:sz w:val="24"/>
        </w:rPr>
        <w:t>into</w:t>
      </w:r>
      <w:r>
        <w:rPr>
          <w:color w:val="201F1F"/>
          <w:spacing w:val="-4"/>
          <w:sz w:val="24"/>
        </w:rPr>
        <w:t xml:space="preserve"> </w:t>
      </w:r>
      <w:r>
        <w:rPr>
          <w:color w:val="201F1F"/>
          <w:spacing w:val="-2"/>
          <w:sz w:val="24"/>
        </w:rPr>
        <w:t>consideration</w:t>
      </w:r>
      <w:r>
        <w:rPr>
          <w:color w:val="201F1F"/>
          <w:spacing w:val="-8"/>
          <w:sz w:val="24"/>
        </w:rPr>
        <w:t xml:space="preserve"> </w:t>
      </w:r>
      <w:r>
        <w:rPr>
          <w:color w:val="201F1F"/>
          <w:spacing w:val="-2"/>
          <w:sz w:val="24"/>
        </w:rPr>
        <w:t>the</w:t>
      </w:r>
      <w:r>
        <w:rPr>
          <w:color w:val="201F1F"/>
          <w:spacing w:val="-5"/>
          <w:sz w:val="24"/>
        </w:rPr>
        <w:t xml:space="preserve"> </w:t>
      </w:r>
      <w:r>
        <w:rPr>
          <w:color w:val="201F1F"/>
          <w:spacing w:val="-2"/>
          <w:sz w:val="24"/>
        </w:rPr>
        <w:t>applicable correction</w:t>
      </w:r>
      <w:r>
        <w:rPr>
          <w:color w:val="201F1F"/>
          <w:spacing w:val="-3"/>
          <w:sz w:val="24"/>
        </w:rPr>
        <w:t xml:space="preserve"> </w:t>
      </w:r>
      <w:r>
        <w:rPr>
          <w:color w:val="201F1F"/>
          <w:spacing w:val="-2"/>
          <w:sz w:val="24"/>
        </w:rPr>
        <w:t>from</w:t>
      </w:r>
      <w:r>
        <w:rPr>
          <w:color w:val="201F1F"/>
          <w:spacing w:val="-13"/>
          <w:sz w:val="24"/>
        </w:rPr>
        <w:t xml:space="preserve"> </w:t>
      </w:r>
      <w:r>
        <w:rPr>
          <w:color w:val="201F1F"/>
          <w:spacing w:val="-2"/>
          <w:sz w:val="24"/>
        </w:rPr>
        <w:t xml:space="preserve">those </w:t>
      </w:r>
      <w:r>
        <w:rPr>
          <w:color w:val="201F1F"/>
          <w:sz w:val="24"/>
        </w:rPr>
        <w:t>indicated above.</w:t>
      </w:r>
    </w:p>
    <w:p w14:paraId="7E34903E" w14:textId="77777777" w:rsidR="00BB77C0" w:rsidRDefault="00BB77C0">
      <w:pPr>
        <w:pStyle w:val="BodyText"/>
        <w:spacing w:before="265"/>
        <w:rPr>
          <w:sz w:val="24"/>
        </w:rPr>
      </w:pPr>
    </w:p>
    <w:p w14:paraId="418E96AE" w14:textId="77777777" w:rsidR="00BB77C0" w:rsidRDefault="00370BAA">
      <w:pPr>
        <w:pStyle w:val="Heading6"/>
        <w:numPr>
          <w:ilvl w:val="1"/>
          <w:numId w:val="94"/>
        </w:numPr>
        <w:tabs>
          <w:tab w:val="left" w:pos="720"/>
        </w:tabs>
        <w:spacing w:before="1"/>
        <w:ind w:hanging="720"/>
        <w:jc w:val="left"/>
      </w:pPr>
      <w:bookmarkStart w:id="52" w:name="21.0_Tender_Security"/>
      <w:bookmarkStart w:id="53" w:name="_bookmark25"/>
      <w:bookmarkEnd w:id="52"/>
      <w:bookmarkEnd w:id="53"/>
      <w:r>
        <w:t>Tender</w:t>
      </w:r>
      <w:r>
        <w:rPr>
          <w:spacing w:val="-8"/>
        </w:rPr>
        <w:t xml:space="preserve"> </w:t>
      </w:r>
      <w:r>
        <w:rPr>
          <w:spacing w:val="-2"/>
        </w:rPr>
        <w:t>Security</w:t>
      </w:r>
    </w:p>
    <w:p w14:paraId="16376A4E" w14:textId="77777777" w:rsidR="00BB77C0" w:rsidRDefault="00370BAA">
      <w:pPr>
        <w:pStyle w:val="ListParagraph"/>
        <w:numPr>
          <w:ilvl w:val="1"/>
          <w:numId w:val="94"/>
        </w:numPr>
        <w:tabs>
          <w:tab w:val="left" w:pos="1441"/>
        </w:tabs>
        <w:spacing w:before="84" w:line="259" w:lineRule="auto"/>
        <w:ind w:left="1441" w:right="168"/>
        <w:jc w:val="left"/>
        <w:rPr>
          <w:color w:val="211F1F"/>
          <w:sz w:val="24"/>
        </w:rPr>
      </w:pPr>
      <w:r>
        <w:rPr>
          <w:color w:val="211F1F"/>
          <w:sz w:val="24"/>
        </w:rPr>
        <w:t>The</w:t>
      </w:r>
      <w:r>
        <w:rPr>
          <w:color w:val="211F1F"/>
          <w:spacing w:val="-9"/>
          <w:sz w:val="24"/>
        </w:rPr>
        <w:t xml:space="preserve"> </w:t>
      </w:r>
      <w:r>
        <w:rPr>
          <w:color w:val="211F1F"/>
          <w:sz w:val="24"/>
        </w:rPr>
        <w:t>Tenderer</w:t>
      </w:r>
      <w:r>
        <w:rPr>
          <w:color w:val="211F1F"/>
          <w:spacing w:val="-5"/>
          <w:sz w:val="24"/>
        </w:rPr>
        <w:t xml:space="preserve"> </w:t>
      </w:r>
      <w:r>
        <w:rPr>
          <w:color w:val="211F1F"/>
          <w:sz w:val="24"/>
        </w:rPr>
        <w:t>shall</w:t>
      </w:r>
      <w:r>
        <w:rPr>
          <w:color w:val="211F1F"/>
          <w:spacing w:val="-6"/>
          <w:sz w:val="24"/>
        </w:rPr>
        <w:t xml:space="preserve"> </w:t>
      </w:r>
      <w:r>
        <w:rPr>
          <w:color w:val="211F1F"/>
          <w:sz w:val="24"/>
        </w:rPr>
        <w:t>furnish</w:t>
      </w:r>
      <w:r>
        <w:rPr>
          <w:color w:val="211F1F"/>
          <w:spacing w:val="-7"/>
          <w:sz w:val="24"/>
        </w:rPr>
        <w:t xml:space="preserve"> </w:t>
      </w:r>
      <w:r>
        <w:rPr>
          <w:color w:val="211F1F"/>
          <w:sz w:val="24"/>
        </w:rPr>
        <w:t>as</w:t>
      </w:r>
      <w:r>
        <w:rPr>
          <w:color w:val="211F1F"/>
          <w:spacing w:val="-10"/>
          <w:sz w:val="24"/>
        </w:rPr>
        <w:t xml:space="preserve"> </w:t>
      </w:r>
      <w:r>
        <w:rPr>
          <w:color w:val="211F1F"/>
          <w:sz w:val="24"/>
        </w:rPr>
        <w:t>part</w:t>
      </w:r>
      <w:r>
        <w:rPr>
          <w:color w:val="211F1F"/>
          <w:spacing w:val="-7"/>
          <w:sz w:val="24"/>
        </w:rPr>
        <w:t xml:space="preserve"> </w:t>
      </w:r>
      <w:r>
        <w:rPr>
          <w:color w:val="211F1F"/>
          <w:sz w:val="24"/>
        </w:rPr>
        <w:t>of</w:t>
      </w:r>
      <w:r>
        <w:rPr>
          <w:color w:val="211F1F"/>
          <w:spacing w:val="-11"/>
          <w:sz w:val="24"/>
        </w:rPr>
        <w:t xml:space="preserve"> </w:t>
      </w:r>
      <w:r>
        <w:rPr>
          <w:color w:val="211F1F"/>
          <w:sz w:val="24"/>
        </w:rPr>
        <w:t>its</w:t>
      </w:r>
      <w:r>
        <w:rPr>
          <w:color w:val="211F1F"/>
          <w:spacing w:val="-10"/>
          <w:sz w:val="24"/>
        </w:rPr>
        <w:t xml:space="preserve"> </w:t>
      </w:r>
      <w:r>
        <w:rPr>
          <w:color w:val="211F1F"/>
          <w:sz w:val="24"/>
        </w:rPr>
        <w:t>Tender,</w:t>
      </w:r>
      <w:r>
        <w:rPr>
          <w:color w:val="211F1F"/>
          <w:spacing w:val="-14"/>
          <w:sz w:val="24"/>
        </w:rPr>
        <w:t xml:space="preserve"> </w:t>
      </w:r>
      <w:r>
        <w:rPr>
          <w:color w:val="211F1F"/>
          <w:sz w:val="24"/>
        </w:rPr>
        <w:t>either</w:t>
      </w:r>
      <w:r>
        <w:rPr>
          <w:color w:val="211F1F"/>
          <w:spacing w:val="-6"/>
          <w:sz w:val="24"/>
        </w:rPr>
        <w:t xml:space="preserve"> </w:t>
      </w:r>
      <w:r>
        <w:rPr>
          <w:color w:val="211F1F"/>
          <w:sz w:val="24"/>
        </w:rPr>
        <w:t>a</w:t>
      </w:r>
      <w:r>
        <w:rPr>
          <w:color w:val="211F1F"/>
          <w:spacing w:val="-8"/>
          <w:sz w:val="24"/>
        </w:rPr>
        <w:t xml:space="preserve"> </w:t>
      </w:r>
      <w:r>
        <w:rPr>
          <w:color w:val="211F1F"/>
          <w:sz w:val="24"/>
        </w:rPr>
        <w:t>Tender-Securing</w:t>
      </w:r>
      <w:r>
        <w:rPr>
          <w:color w:val="211F1F"/>
          <w:spacing w:val="-7"/>
          <w:sz w:val="24"/>
        </w:rPr>
        <w:t xml:space="preserve"> </w:t>
      </w:r>
      <w:r>
        <w:rPr>
          <w:color w:val="211F1F"/>
          <w:sz w:val="24"/>
        </w:rPr>
        <w:t>Declaration or a Tender Security</w:t>
      </w:r>
      <w:r>
        <w:rPr>
          <w:color w:val="211F1F"/>
          <w:spacing w:val="-2"/>
          <w:sz w:val="24"/>
        </w:rPr>
        <w:t xml:space="preserve"> </w:t>
      </w:r>
      <w:r>
        <w:rPr>
          <w:color w:val="211F1F"/>
          <w:sz w:val="24"/>
        </w:rPr>
        <w:t xml:space="preserve">as specified in the </w:t>
      </w:r>
      <w:r>
        <w:rPr>
          <w:b/>
          <w:color w:val="211F1F"/>
          <w:sz w:val="24"/>
        </w:rPr>
        <w:t>TDS</w:t>
      </w:r>
      <w:r>
        <w:rPr>
          <w:color w:val="211F1F"/>
          <w:sz w:val="24"/>
        </w:rPr>
        <w:t>, in original form</w:t>
      </w:r>
      <w:r>
        <w:rPr>
          <w:color w:val="211F1F"/>
          <w:spacing w:val="-1"/>
          <w:sz w:val="24"/>
        </w:rPr>
        <w:t xml:space="preserve"> </w:t>
      </w:r>
      <w:r>
        <w:rPr>
          <w:color w:val="211F1F"/>
          <w:sz w:val="24"/>
        </w:rPr>
        <w:t xml:space="preserve">and, in the case of a Tender Security, in the amount and currency </w:t>
      </w:r>
      <w:r>
        <w:rPr>
          <w:b/>
          <w:color w:val="211F1F"/>
          <w:sz w:val="24"/>
        </w:rPr>
        <w:t>specified in the TDS</w:t>
      </w:r>
      <w:r>
        <w:rPr>
          <w:color w:val="211F1F"/>
          <w:sz w:val="24"/>
        </w:rPr>
        <w:t>. A Tender- Securing Declaration shall use the form included in Section IV, Tender Forms.</w:t>
      </w:r>
    </w:p>
    <w:p w14:paraId="66F5E4B0" w14:textId="77777777" w:rsidR="00BB77C0" w:rsidRDefault="00370BAA">
      <w:pPr>
        <w:pStyle w:val="ListParagraph"/>
        <w:numPr>
          <w:ilvl w:val="1"/>
          <w:numId w:val="94"/>
        </w:numPr>
        <w:tabs>
          <w:tab w:val="left" w:pos="1441"/>
        </w:tabs>
        <w:spacing w:before="157" w:line="259" w:lineRule="auto"/>
        <w:ind w:left="1441" w:right="376"/>
        <w:jc w:val="left"/>
        <w:rPr>
          <w:color w:val="211F1F"/>
          <w:sz w:val="24"/>
        </w:rPr>
      </w:pPr>
      <w:r>
        <w:rPr>
          <w:color w:val="211F1F"/>
          <w:sz w:val="24"/>
        </w:rPr>
        <w:t>If</w:t>
      </w:r>
      <w:r>
        <w:rPr>
          <w:color w:val="211F1F"/>
          <w:spacing w:val="-15"/>
          <w:sz w:val="24"/>
        </w:rPr>
        <w:t xml:space="preserve"> </w:t>
      </w:r>
      <w:r>
        <w:rPr>
          <w:color w:val="211F1F"/>
          <w:sz w:val="24"/>
        </w:rPr>
        <w:t>a</w:t>
      </w:r>
      <w:r>
        <w:rPr>
          <w:color w:val="211F1F"/>
          <w:spacing w:val="-8"/>
          <w:sz w:val="24"/>
        </w:rPr>
        <w:t xml:space="preserve"> </w:t>
      </w:r>
      <w:r>
        <w:rPr>
          <w:color w:val="211F1F"/>
          <w:sz w:val="24"/>
        </w:rPr>
        <w:t>Tender</w:t>
      </w:r>
      <w:r>
        <w:rPr>
          <w:color w:val="211F1F"/>
          <w:spacing w:val="-9"/>
          <w:sz w:val="24"/>
        </w:rPr>
        <w:t xml:space="preserve"> </w:t>
      </w:r>
      <w:r>
        <w:rPr>
          <w:color w:val="211F1F"/>
          <w:sz w:val="24"/>
        </w:rPr>
        <w:t>Security</w:t>
      </w:r>
      <w:r>
        <w:rPr>
          <w:color w:val="211F1F"/>
          <w:spacing w:val="-10"/>
          <w:sz w:val="24"/>
        </w:rPr>
        <w:t xml:space="preserve"> </w:t>
      </w:r>
      <w:r>
        <w:rPr>
          <w:color w:val="211F1F"/>
          <w:sz w:val="24"/>
        </w:rPr>
        <w:t>is</w:t>
      </w:r>
      <w:r>
        <w:rPr>
          <w:color w:val="211F1F"/>
          <w:spacing w:val="-9"/>
          <w:sz w:val="24"/>
        </w:rPr>
        <w:t xml:space="preserve"> </w:t>
      </w:r>
      <w:r>
        <w:rPr>
          <w:color w:val="211F1F"/>
          <w:sz w:val="24"/>
        </w:rPr>
        <w:t>specified</w:t>
      </w:r>
      <w:r>
        <w:rPr>
          <w:color w:val="211F1F"/>
          <w:spacing w:val="-7"/>
          <w:sz w:val="24"/>
        </w:rPr>
        <w:t xml:space="preserve"> </w:t>
      </w:r>
      <w:r>
        <w:rPr>
          <w:color w:val="211F1F"/>
          <w:sz w:val="24"/>
        </w:rPr>
        <w:t>pursuant</w:t>
      </w:r>
      <w:r>
        <w:rPr>
          <w:color w:val="211F1F"/>
          <w:spacing w:val="-7"/>
          <w:sz w:val="24"/>
        </w:rPr>
        <w:t xml:space="preserve"> </w:t>
      </w:r>
      <w:r>
        <w:rPr>
          <w:color w:val="211F1F"/>
          <w:sz w:val="24"/>
        </w:rPr>
        <w:t>to</w:t>
      </w:r>
      <w:r>
        <w:rPr>
          <w:color w:val="211F1F"/>
          <w:spacing w:val="-7"/>
          <w:sz w:val="24"/>
        </w:rPr>
        <w:t xml:space="preserve"> </w:t>
      </w:r>
      <w:r>
        <w:rPr>
          <w:color w:val="211F1F"/>
          <w:sz w:val="24"/>
        </w:rPr>
        <w:t>ITT19.1,</w:t>
      </w:r>
      <w:r>
        <w:rPr>
          <w:color w:val="211F1F"/>
          <w:spacing w:val="-8"/>
          <w:sz w:val="24"/>
        </w:rPr>
        <w:t xml:space="preserve"> </w:t>
      </w:r>
      <w:r>
        <w:rPr>
          <w:color w:val="211F1F"/>
          <w:sz w:val="24"/>
        </w:rPr>
        <w:t>the</w:t>
      </w:r>
      <w:r>
        <w:rPr>
          <w:color w:val="211F1F"/>
          <w:spacing w:val="-8"/>
          <w:sz w:val="24"/>
        </w:rPr>
        <w:t xml:space="preserve"> </w:t>
      </w:r>
      <w:r>
        <w:rPr>
          <w:color w:val="211F1F"/>
          <w:sz w:val="24"/>
        </w:rPr>
        <w:t>Tender</w:t>
      </w:r>
      <w:r>
        <w:rPr>
          <w:color w:val="211F1F"/>
          <w:spacing w:val="-10"/>
          <w:sz w:val="24"/>
        </w:rPr>
        <w:t xml:space="preserve"> </w:t>
      </w:r>
      <w:r>
        <w:rPr>
          <w:color w:val="211F1F"/>
          <w:sz w:val="24"/>
        </w:rPr>
        <w:t>Security</w:t>
      </w:r>
      <w:r>
        <w:rPr>
          <w:color w:val="211F1F"/>
          <w:spacing w:val="-15"/>
          <w:sz w:val="24"/>
        </w:rPr>
        <w:t xml:space="preserve"> </w:t>
      </w:r>
      <w:r>
        <w:rPr>
          <w:color w:val="211F1F"/>
          <w:sz w:val="24"/>
        </w:rPr>
        <w:t>shall</w:t>
      </w:r>
      <w:r>
        <w:rPr>
          <w:color w:val="211F1F"/>
          <w:spacing w:val="-10"/>
          <w:sz w:val="24"/>
        </w:rPr>
        <w:t xml:space="preserve"> </w:t>
      </w:r>
      <w:r>
        <w:rPr>
          <w:color w:val="211F1F"/>
          <w:sz w:val="24"/>
        </w:rPr>
        <w:t>be</w:t>
      </w:r>
      <w:r>
        <w:rPr>
          <w:color w:val="211F1F"/>
          <w:spacing w:val="-8"/>
          <w:sz w:val="24"/>
        </w:rPr>
        <w:t xml:space="preserve"> </w:t>
      </w:r>
      <w:r>
        <w:rPr>
          <w:color w:val="211F1F"/>
          <w:sz w:val="24"/>
        </w:rPr>
        <w:t>a demand guarantee in any of the following forms at the Tenderer's option:</w:t>
      </w:r>
    </w:p>
    <w:p w14:paraId="0253102E" w14:textId="77777777" w:rsidR="00BB77C0" w:rsidRDefault="00370BAA">
      <w:pPr>
        <w:pStyle w:val="ListParagraph"/>
        <w:numPr>
          <w:ilvl w:val="2"/>
          <w:numId w:val="94"/>
        </w:numPr>
        <w:tabs>
          <w:tab w:val="left" w:pos="2881"/>
        </w:tabs>
        <w:spacing w:before="244"/>
        <w:jc w:val="left"/>
        <w:rPr>
          <w:sz w:val="24"/>
        </w:rPr>
      </w:pPr>
      <w:r>
        <w:rPr>
          <w:color w:val="211F1F"/>
          <w:spacing w:val="-2"/>
          <w:sz w:val="24"/>
        </w:rPr>
        <w:t>cash;</w:t>
      </w:r>
    </w:p>
    <w:p w14:paraId="47A058D4" w14:textId="77777777" w:rsidR="00BB77C0" w:rsidRDefault="00370BAA">
      <w:pPr>
        <w:pStyle w:val="ListParagraph"/>
        <w:numPr>
          <w:ilvl w:val="2"/>
          <w:numId w:val="94"/>
        </w:numPr>
        <w:tabs>
          <w:tab w:val="left" w:pos="2881"/>
        </w:tabs>
        <w:spacing w:before="247"/>
        <w:ind w:hanging="557"/>
        <w:jc w:val="left"/>
        <w:rPr>
          <w:sz w:val="24"/>
        </w:rPr>
      </w:pPr>
      <w:r>
        <w:rPr>
          <w:color w:val="211F1F"/>
          <w:sz w:val="24"/>
        </w:rPr>
        <w:t>a</w:t>
      </w:r>
      <w:r>
        <w:rPr>
          <w:color w:val="211F1F"/>
          <w:spacing w:val="-5"/>
          <w:sz w:val="24"/>
        </w:rPr>
        <w:t xml:space="preserve"> </w:t>
      </w:r>
      <w:r>
        <w:rPr>
          <w:color w:val="211F1F"/>
          <w:sz w:val="24"/>
        </w:rPr>
        <w:t>bank</w:t>
      </w:r>
      <w:r>
        <w:rPr>
          <w:color w:val="211F1F"/>
          <w:spacing w:val="-2"/>
          <w:sz w:val="24"/>
        </w:rPr>
        <w:t xml:space="preserve"> guarantee;</w:t>
      </w:r>
    </w:p>
    <w:p w14:paraId="6D7C859F" w14:textId="77777777" w:rsidR="00BB77C0" w:rsidRDefault="00370BAA">
      <w:pPr>
        <w:pStyle w:val="ListParagraph"/>
        <w:numPr>
          <w:ilvl w:val="2"/>
          <w:numId w:val="94"/>
        </w:numPr>
        <w:tabs>
          <w:tab w:val="left" w:pos="2881"/>
        </w:tabs>
        <w:spacing w:before="250" w:line="237" w:lineRule="auto"/>
        <w:ind w:right="401" w:hanging="620"/>
        <w:jc w:val="left"/>
        <w:rPr>
          <w:sz w:val="24"/>
        </w:rPr>
      </w:pPr>
      <w:r>
        <w:rPr>
          <w:color w:val="211F1F"/>
          <w:sz w:val="24"/>
        </w:rPr>
        <w:t>a</w:t>
      </w:r>
      <w:r>
        <w:rPr>
          <w:color w:val="211F1F"/>
          <w:spacing w:val="-8"/>
          <w:sz w:val="24"/>
        </w:rPr>
        <w:t xml:space="preserve"> </w:t>
      </w:r>
      <w:r>
        <w:rPr>
          <w:color w:val="211F1F"/>
          <w:sz w:val="24"/>
        </w:rPr>
        <w:t>guarantee</w:t>
      </w:r>
      <w:r>
        <w:rPr>
          <w:color w:val="211F1F"/>
          <w:spacing w:val="-7"/>
          <w:sz w:val="24"/>
        </w:rPr>
        <w:t xml:space="preserve"> </w:t>
      </w:r>
      <w:r>
        <w:rPr>
          <w:color w:val="211F1F"/>
          <w:sz w:val="24"/>
        </w:rPr>
        <w:t>by</w:t>
      </w:r>
      <w:r>
        <w:rPr>
          <w:color w:val="211F1F"/>
          <w:spacing w:val="-12"/>
          <w:sz w:val="24"/>
        </w:rPr>
        <w:t xml:space="preserve"> </w:t>
      </w:r>
      <w:r>
        <w:rPr>
          <w:color w:val="211F1F"/>
          <w:sz w:val="24"/>
        </w:rPr>
        <w:t>an</w:t>
      </w:r>
      <w:r>
        <w:rPr>
          <w:color w:val="211F1F"/>
          <w:spacing w:val="-6"/>
          <w:sz w:val="24"/>
        </w:rPr>
        <w:t xml:space="preserve"> </w:t>
      </w:r>
      <w:r>
        <w:rPr>
          <w:color w:val="211F1F"/>
          <w:sz w:val="24"/>
        </w:rPr>
        <w:t>insurance</w:t>
      </w:r>
      <w:r>
        <w:rPr>
          <w:color w:val="211F1F"/>
          <w:spacing w:val="-7"/>
          <w:sz w:val="24"/>
        </w:rPr>
        <w:t xml:space="preserve"> </w:t>
      </w:r>
      <w:r>
        <w:rPr>
          <w:color w:val="211F1F"/>
          <w:sz w:val="24"/>
        </w:rPr>
        <w:t>company</w:t>
      </w:r>
      <w:r>
        <w:rPr>
          <w:color w:val="211F1F"/>
          <w:spacing w:val="-11"/>
          <w:sz w:val="24"/>
        </w:rPr>
        <w:t xml:space="preserve"> </w:t>
      </w:r>
      <w:r>
        <w:rPr>
          <w:color w:val="211F1F"/>
          <w:sz w:val="24"/>
        </w:rPr>
        <w:t>registered</w:t>
      </w:r>
      <w:r>
        <w:rPr>
          <w:color w:val="211F1F"/>
          <w:spacing w:val="-5"/>
          <w:sz w:val="24"/>
        </w:rPr>
        <w:t xml:space="preserve"> </w:t>
      </w:r>
      <w:r>
        <w:rPr>
          <w:color w:val="211F1F"/>
          <w:sz w:val="24"/>
        </w:rPr>
        <w:t>and</w:t>
      </w:r>
      <w:r>
        <w:rPr>
          <w:color w:val="211F1F"/>
          <w:spacing w:val="-2"/>
          <w:sz w:val="24"/>
        </w:rPr>
        <w:t xml:space="preserve"> </w:t>
      </w:r>
      <w:r>
        <w:rPr>
          <w:color w:val="211F1F"/>
          <w:sz w:val="24"/>
        </w:rPr>
        <w:t>licensed</w:t>
      </w:r>
      <w:r>
        <w:rPr>
          <w:color w:val="211F1F"/>
          <w:spacing w:val="-1"/>
          <w:sz w:val="24"/>
        </w:rPr>
        <w:t xml:space="preserve"> </w:t>
      </w:r>
      <w:r>
        <w:rPr>
          <w:color w:val="211F1F"/>
          <w:sz w:val="24"/>
        </w:rPr>
        <w:t>by</w:t>
      </w:r>
      <w:r>
        <w:rPr>
          <w:color w:val="211F1F"/>
          <w:spacing w:val="-15"/>
          <w:sz w:val="24"/>
        </w:rPr>
        <w:t xml:space="preserve"> </w:t>
      </w:r>
      <w:r>
        <w:rPr>
          <w:color w:val="211F1F"/>
          <w:sz w:val="24"/>
        </w:rPr>
        <w:t>the Insurance Regulatory Authority listed by the Authority; or</w:t>
      </w:r>
    </w:p>
    <w:p w14:paraId="5D1F15FA" w14:textId="77777777" w:rsidR="00BB77C0" w:rsidRDefault="00370BAA">
      <w:pPr>
        <w:pStyle w:val="ListParagraph"/>
        <w:numPr>
          <w:ilvl w:val="2"/>
          <w:numId w:val="94"/>
        </w:numPr>
        <w:tabs>
          <w:tab w:val="left" w:pos="2881"/>
        </w:tabs>
        <w:spacing w:before="250" w:line="237" w:lineRule="auto"/>
        <w:ind w:right="267" w:hanging="610"/>
        <w:jc w:val="left"/>
        <w:rPr>
          <w:sz w:val="24"/>
        </w:rPr>
      </w:pPr>
      <w:r>
        <w:rPr>
          <w:color w:val="211F1F"/>
          <w:sz w:val="24"/>
        </w:rPr>
        <w:t>a</w:t>
      </w:r>
      <w:r>
        <w:rPr>
          <w:color w:val="211F1F"/>
          <w:spacing w:val="-11"/>
          <w:sz w:val="24"/>
        </w:rPr>
        <w:t xml:space="preserve"> </w:t>
      </w:r>
      <w:r>
        <w:rPr>
          <w:color w:val="211F1F"/>
          <w:sz w:val="24"/>
        </w:rPr>
        <w:t>guarantee</w:t>
      </w:r>
      <w:r>
        <w:rPr>
          <w:color w:val="211F1F"/>
          <w:spacing w:val="-10"/>
          <w:sz w:val="24"/>
        </w:rPr>
        <w:t xml:space="preserve"> </w:t>
      </w:r>
      <w:r>
        <w:rPr>
          <w:color w:val="211F1F"/>
          <w:sz w:val="24"/>
        </w:rPr>
        <w:t>issued</w:t>
      </w:r>
      <w:r>
        <w:rPr>
          <w:color w:val="211F1F"/>
          <w:spacing w:val="-9"/>
          <w:sz w:val="24"/>
        </w:rPr>
        <w:t xml:space="preserve"> </w:t>
      </w:r>
      <w:r>
        <w:rPr>
          <w:color w:val="211F1F"/>
          <w:sz w:val="24"/>
        </w:rPr>
        <w:t>by</w:t>
      </w:r>
      <w:r>
        <w:rPr>
          <w:color w:val="211F1F"/>
          <w:spacing w:val="-14"/>
          <w:sz w:val="24"/>
        </w:rPr>
        <w:t xml:space="preserve"> </w:t>
      </w:r>
      <w:r>
        <w:rPr>
          <w:color w:val="211F1F"/>
          <w:sz w:val="24"/>
        </w:rPr>
        <w:t>a</w:t>
      </w:r>
      <w:r>
        <w:rPr>
          <w:color w:val="211F1F"/>
          <w:spacing w:val="-6"/>
          <w:sz w:val="24"/>
        </w:rPr>
        <w:t xml:space="preserve"> </w:t>
      </w:r>
      <w:r>
        <w:rPr>
          <w:color w:val="211F1F"/>
          <w:sz w:val="24"/>
        </w:rPr>
        <w:t>financial</w:t>
      </w:r>
      <w:r>
        <w:rPr>
          <w:color w:val="211F1F"/>
          <w:spacing w:val="-8"/>
          <w:sz w:val="24"/>
        </w:rPr>
        <w:t xml:space="preserve"> </w:t>
      </w:r>
      <w:r>
        <w:rPr>
          <w:color w:val="211F1F"/>
          <w:sz w:val="24"/>
        </w:rPr>
        <w:t>institution</w:t>
      </w:r>
      <w:r>
        <w:rPr>
          <w:color w:val="211F1F"/>
          <w:spacing w:val="-12"/>
          <w:sz w:val="24"/>
        </w:rPr>
        <w:t xml:space="preserve"> </w:t>
      </w:r>
      <w:r>
        <w:rPr>
          <w:color w:val="211F1F"/>
          <w:sz w:val="24"/>
        </w:rPr>
        <w:t>approved</w:t>
      </w:r>
      <w:r>
        <w:rPr>
          <w:color w:val="211F1F"/>
          <w:spacing w:val="-9"/>
          <w:sz w:val="24"/>
        </w:rPr>
        <w:t xml:space="preserve"> </w:t>
      </w:r>
      <w:r>
        <w:rPr>
          <w:color w:val="211F1F"/>
          <w:sz w:val="24"/>
        </w:rPr>
        <w:t>and</w:t>
      </w:r>
      <w:r>
        <w:rPr>
          <w:color w:val="211F1F"/>
          <w:spacing w:val="-5"/>
          <w:sz w:val="24"/>
        </w:rPr>
        <w:t xml:space="preserve"> </w:t>
      </w:r>
      <w:r>
        <w:rPr>
          <w:color w:val="211F1F"/>
          <w:sz w:val="24"/>
        </w:rPr>
        <w:t>licensed</w:t>
      </w:r>
      <w:r>
        <w:rPr>
          <w:color w:val="211F1F"/>
          <w:spacing w:val="-4"/>
          <w:sz w:val="24"/>
        </w:rPr>
        <w:t xml:space="preserve"> </w:t>
      </w:r>
      <w:r>
        <w:rPr>
          <w:color w:val="211F1F"/>
          <w:sz w:val="24"/>
        </w:rPr>
        <w:t xml:space="preserve">by the Central Bank of Kenya, from a reputable source, and an eligible </w:t>
      </w:r>
      <w:r>
        <w:rPr>
          <w:color w:val="211F1F"/>
          <w:spacing w:val="-2"/>
          <w:sz w:val="24"/>
        </w:rPr>
        <w:t>country.</w:t>
      </w:r>
    </w:p>
    <w:p w14:paraId="0C9B0359" w14:textId="77777777" w:rsidR="00BB77C0" w:rsidRDefault="00BB77C0">
      <w:pPr>
        <w:pStyle w:val="BodyText"/>
        <w:spacing w:before="184"/>
        <w:rPr>
          <w:sz w:val="24"/>
        </w:rPr>
      </w:pPr>
    </w:p>
    <w:p w14:paraId="31DC138C" w14:textId="77777777" w:rsidR="00BB77C0" w:rsidRDefault="00370BAA">
      <w:pPr>
        <w:pStyle w:val="ListParagraph"/>
        <w:numPr>
          <w:ilvl w:val="1"/>
          <w:numId w:val="94"/>
        </w:numPr>
        <w:tabs>
          <w:tab w:val="left" w:pos="1441"/>
        </w:tabs>
        <w:spacing w:before="1" w:line="264" w:lineRule="auto"/>
        <w:ind w:left="1441" w:right="83"/>
        <w:jc w:val="left"/>
        <w:rPr>
          <w:color w:val="211F1F"/>
          <w:sz w:val="24"/>
        </w:rPr>
      </w:pPr>
      <w:r>
        <w:rPr>
          <w:color w:val="211F1F"/>
          <w:sz w:val="24"/>
        </w:rPr>
        <w:t>If an unconditional bank guarantee is issued by</w:t>
      </w:r>
      <w:r>
        <w:rPr>
          <w:color w:val="211F1F"/>
          <w:spacing w:val="-2"/>
          <w:sz w:val="24"/>
        </w:rPr>
        <w:t xml:space="preserve"> </w:t>
      </w:r>
      <w:r>
        <w:rPr>
          <w:color w:val="211F1F"/>
          <w:sz w:val="24"/>
        </w:rPr>
        <w:t>a bank located outside Kenya, the issuing</w:t>
      </w:r>
      <w:r>
        <w:rPr>
          <w:color w:val="211F1F"/>
          <w:spacing w:val="-5"/>
          <w:sz w:val="24"/>
        </w:rPr>
        <w:t xml:space="preserve"> </w:t>
      </w:r>
      <w:r>
        <w:rPr>
          <w:color w:val="211F1F"/>
          <w:sz w:val="24"/>
        </w:rPr>
        <w:t>bank</w:t>
      </w:r>
      <w:r>
        <w:rPr>
          <w:color w:val="211F1F"/>
          <w:spacing w:val="-10"/>
          <w:sz w:val="24"/>
        </w:rPr>
        <w:t xml:space="preserve"> </w:t>
      </w:r>
      <w:r>
        <w:rPr>
          <w:color w:val="211F1F"/>
          <w:sz w:val="24"/>
        </w:rPr>
        <w:t>shall</w:t>
      </w:r>
      <w:r>
        <w:rPr>
          <w:color w:val="211F1F"/>
          <w:spacing w:val="-8"/>
          <w:sz w:val="24"/>
        </w:rPr>
        <w:t xml:space="preserve"> </w:t>
      </w:r>
      <w:r>
        <w:rPr>
          <w:color w:val="211F1F"/>
          <w:sz w:val="24"/>
        </w:rPr>
        <w:t>have</w:t>
      </w:r>
      <w:r>
        <w:rPr>
          <w:color w:val="211F1F"/>
          <w:spacing w:val="-11"/>
          <w:sz w:val="24"/>
        </w:rPr>
        <w:t xml:space="preserve"> </w:t>
      </w:r>
      <w:r>
        <w:rPr>
          <w:color w:val="211F1F"/>
          <w:sz w:val="24"/>
        </w:rPr>
        <w:t>a</w:t>
      </w:r>
      <w:r>
        <w:rPr>
          <w:color w:val="211F1F"/>
          <w:spacing w:val="-6"/>
          <w:sz w:val="24"/>
        </w:rPr>
        <w:t xml:space="preserve"> </w:t>
      </w:r>
      <w:r>
        <w:rPr>
          <w:color w:val="211F1F"/>
          <w:sz w:val="24"/>
        </w:rPr>
        <w:t>correspondent</w:t>
      </w:r>
      <w:r>
        <w:rPr>
          <w:color w:val="211F1F"/>
          <w:spacing w:val="-4"/>
          <w:sz w:val="24"/>
        </w:rPr>
        <w:t xml:space="preserve"> </w:t>
      </w:r>
      <w:r>
        <w:rPr>
          <w:color w:val="211F1F"/>
          <w:sz w:val="24"/>
        </w:rPr>
        <w:t>bank</w:t>
      </w:r>
      <w:r>
        <w:rPr>
          <w:color w:val="211F1F"/>
          <w:spacing w:val="-5"/>
          <w:sz w:val="24"/>
        </w:rPr>
        <w:t xml:space="preserve"> </w:t>
      </w:r>
      <w:r>
        <w:rPr>
          <w:color w:val="211F1F"/>
          <w:sz w:val="24"/>
        </w:rPr>
        <w:t>located</w:t>
      </w:r>
      <w:r>
        <w:rPr>
          <w:color w:val="211F1F"/>
          <w:spacing w:val="-5"/>
          <w:sz w:val="24"/>
        </w:rPr>
        <w:t xml:space="preserve"> </w:t>
      </w:r>
      <w:r>
        <w:rPr>
          <w:color w:val="211F1F"/>
          <w:sz w:val="24"/>
        </w:rPr>
        <w:t>in</w:t>
      </w:r>
      <w:r>
        <w:rPr>
          <w:color w:val="211F1F"/>
          <w:spacing w:val="-9"/>
          <w:sz w:val="24"/>
        </w:rPr>
        <w:t xml:space="preserve"> </w:t>
      </w:r>
      <w:r>
        <w:rPr>
          <w:color w:val="211F1F"/>
          <w:sz w:val="24"/>
        </w:rPr>
        <w:t>Kenya</w:t>
      </w:r>
      <w:r>
        <w:rPr>
          <w:color w:val="211F1F"/>
          <w:spacing w:val="-11"/>
          <w:sz w:val="24"/>
        </w:rPr>
        <w:t xml:space="preserve"> </w:t>
      </w:r>
      <w:r>
        <w:rPr>
          <w:color w:val="211F1F"/>
          <w:sz w:val="24"/>
        </w:rPr>
        <w:t>to</w:t>
      </w:r>
      <w:r>
        <w:rPr>
          <w:color w:val="211F1F"/>
          <w:spacing w:val="-5"/>
          <w:sz w:val="24"/>
        </w:rPr>
        <w:t xml:space="preserve"> </w:t>
      </w:r>
      <w:r>
        <w:rPr>
          <w:color w:val="211F1F"/>
          <w:sz w:val="24"/>
        </w:rPr>
        <w:t>make</w:t>
      </w:r>
      <w:r>
        <w:rPr>
          <w:color w:val="211F1F"/>
          <w:spacing w:val="-6"/>
          <w:sz w:val="24"/>
        </w:rPr>
        <w:t xml:space="preserve"> </w:t>
      </w:r>
      <w:r>
        <w:rPr>
          <w:color w:val="211F1F"/>
          <w:sz w:val="24"/>
        </w:rPr>
        <w:t>it</w:t>
      </w:r>
      <w:r>
        <w:rPr>
          <w:color w:val="211F1F"/>
          <w:spacing w:val="-5"/>
          <w:sz w:val="24"/>
        </w:rPr>
        <w:t xml:space="preserve"> </w:t>
      </w:r>
      <w:r>
        <w:rPr>
          <w:color w:val="211F1F"/>
          <w:sz w:val="24"/>
        </w:rPr>
        <w:t>enforceable.</w:t>
      </w:r>
    </w:p>
    <w:p w14:paraId="62E6ADC3" w14:textId="77777777" w:rsidR="00BB77C0" w:rsidRDefault="00BB77C0">
      <w:pPr>
        <w:pStyle w:val="ListParagraph"/>
        <w:spacing w:line="264" w:lineRule="auto"/>
        <w:rPr>
          <w:sz w:val="24"/>
        </w:rPr>
        <w:sectPr w:rsidR="00BB77C0">
          <w:pgSz w:w="11930" w:h="16870"/>
          <w:pgMar w:top="1360" w:right="1080" w:bottom="280" w:left="1080" w:header="720" w:footer="720" w:gutter="0"/>
          <w:cols w:space="720"/>
        </w:sectPr>
      </w:pPr>
    </w:p>
    <w:p w14:paraId="46A4EBC1" w14:textId="77777777" w:rsidR="00BB77C0" w:rsidRDefault="00370BAA">
      <w:pPr>
        <w:spacing w:before="75" w:line="264" w:lineRule="auto"/>
        <w:ind w:left="1441"/>
        <w:rPr>
          <w:sz w:val="24"/>
        </w:rPr>
      </w:pPr>
      <w:r>
        <w:rPr>
          <w:color w:val="211F1F"/>
          <w:sz w:val="24"/>
        </w:rPr>
        <w:lastRenderedPageBreak/>
        <w:t>The Tender Security shall be valid for thirty (30) days beyond the original validity period</w:t>
      </w:r>
      <w:r>
        <w:rPr>
          <w:color w:val="211F1F"/>
          <w:spacing w:val="-9"/>
          <w:sz w:val="24"/>
        </w:rPr>
        <w:t xml:space="preserve"> </w:t>
      </w:r>
      <w:r>
        <w:rPr>
          <w:color w:val="211F1F"/>
          <w:sz w:val="24"/>
        </w:rPr>
        <w:t>of</w:t>
      </w:r>
      <w:r>
        <w:rPr>
          <w:color w:val="211F1F"/>
          <w:spacing w:val="-13"/>
          <w:sz w:val="24"/>
        </w:rPr>
        <w:t xml:space="preserve"> </w:t>
      </w:r>
      <w:r>
        <w:rPr>
          <w:color w:val="211F1F"/>
          <w:sz w:val="24"/>
        </w:rPr>
        <w:t>the</w:t>
      </w:r>
      <w:r>
        <w:rPr>
          <w:color w:val="211F1F"/>
          <w:spacing w:val="-6"/>
          <w:sz w:val="24"/>
        </w:rPr>
        <w:t xml:space="preserve"> </w:t>
      </w:r>
      <w:r>
        <w:rPr>
          <w:color w:val="211F1F"/>
          <w:sz w:val="24"/>
        </w:rPr>
        <w:t>Tender,</w:t>
      </w:r>
      <w:r>
        <w:rPr>
          <w:color w:val="211F1F"/>
          <w:spacing w:val="-11"/>
          <w:sz w:val="24"/>
        </w:rPr>
        <w:t xml:space="preserve"> </w:t>
      </w:r>
      <w:r>
        <w:rPr>
          <w:color w:val="211F1F"/>
          <w:sz w:val="24"/>
        </w:rPr>
        <w:t>or</w:t>
      </w:r>
      <w:r>
        <w:rPr>
          <w:color w:val="211F1F"/>
          <w:spacing w:val="-8"/>
          <w:sz w:val="24"/>
        </w:rPr>
        <w:t xml:space="preserve"> </w:t>
      </w:r>
      <w:r>
        <w:rPr>
          <w:color w:val="211F1F"/>
          <w:sz w:val="24"/>
        </w:rPr>
        <w:t>beyond</w:t>
      </w:r>
      <w:r>
        <w:rPr>
          <w:color w:val="211F1F"/>
          <w:spacing w:val="-4"/>
          <w:sz w:val="24"/>
        </w:rPr>
        <w:t xml:space="preserve"> </w:t>
      </w:r>
      <w:r>
        <w:rPr>
          <w:color w:val="211F1F"/>
          <w:sz w:val="24"/>
        </w:rPr>
        <w:t>any</w:t>
      </w:r>
      <w:r>
        <w:rPr>
          <w:color w:val="211F1F"/>
          <w:spacing w:val="-10"/>
          <w:sz w:val="24"/>
        </w:rPr>
        <w:t xml:space="preserve"> </w:t>
      </w:r>
      <w:r>
        <w:rPr>
          <w:color w:val="211F1F"/>
          <w:sz w:val="24"/>
        </w:rPr>
        <w:t>period</w:t>
      </w:r>
      <w:r>
        <w:rPr>
          <w:color w:val="211F1F"/>
          <w:spacing w:val="-4"/>
          <w:sz w:val="24"/>
        </w:rPr>
        <w:t xml:space="preserve"> </w:t>
      </w:r>
      <w:r>
        <w:rPr>
          <w:color w:val="211F1F"/>
          <w:sz w:val="24"/>
        </w:rPr>
        <w:t>of</w:t>
      </w:r>
      <w:r>
        <w:rPr>
          <w:color w:val="211F1F"/>
          <w:spacing w:val="-13"/>
          <w:sz w:val="24"/>
        </w:rPr>
        <w:t xml:space="preserve"> </w:t>
      </w:r>
      <w:r>
        <w:rPr>
          <w:color w:val="211F1F"/>
          <w:sz w:val="24"/>
        </w:rPr>
        <w:t>extension</w:t>
      </w:r>
      <w:r>
        <w:rPr>
          <w:color w:val="211F1F"/>
          <w:spacing w:val="-3"/>
          <w:sz w:val="24"/>
        </w:rPr>
        <w:t xml:space="preserve"> </w:t>
      </w:r>
      <w:r>
        <w:rPr>
          <w:color w:val="211F1F"/>
          <w:sz w:val="24"/>
        </w:rPr>
        <w:t>if</w:t>
      </w:r>
      <w:r>
        <w:rPr>
          <w:color w:val="211F1F"/>
          <w:spacing w:val="-13"/>
          <w:sz w:val="24"/>
        </w:rPr>
        <w:t xml:space="preserve"> </w:t>
      </w:r>
      <w:r>
        <w:rPr>
          <w:color w:val="211F1F"/>
          <w:sz w:val="24"/>
        </w:rPr>
        <w:t>requested</w:t>
      </w:r>
      <w:r>
        <w:rPr>
          <w:color w:val="211F1F"/>
          <w:spacing w:val="-4"/>
          <w:sz w:val="24"/>
        </w:rPr>
        <w:t xml:space="preserve"> </w:t>
      </w:r>
      <w:r>
        <w:rPr>
          <w:color w:val="211F1F"/>
          <w:sz w:val="24"/>
        </w:rPr>
        <w:t>under</w:t>
      </w:r>
      <w:r>
        <w:rPr>
          <w:color w:val="211F1F"/>
          <w:spacing w:val="-3"/>
          <w:sz w:val="24"/>
        </w:rPr>
        <w:t xml:space="preserve"> </w:t>
      </w:r>
      <w:r>
        <w:rPr>
          <w:color w:val="211F1F"/>
          <w:sz w:val="24"/>
        </w:rPr>
        <w:t>ITT</w:t>
      </w:r>
      <w:r>
        <w:rPr>
          <w:color w:val="211F1F"/>
          <w:spacing w:val="-2"/>
          <w:sz w:val="24"/>
        </w:rPr>
        <w:t xml:space="preserve"> </w:t>
      </w:r>
      <w:r>
        <w:rPr>
          <w:color w:val="211F1F"/>
          <w:sz w:val="24"/>
        </w:rPr>
        <w:t>18.2.</w:t>
      </w:r>
    </w:p>
    <w:p w14:paraId="3FF523C1" w14:textId="77777777" w:rsidR="00BB77C0" w:rsidRDefault="00370BAA">
      <w:pPr>
        <w:pStyle w:val="ListParagraph"/>
        <w:numPr>
          <w:ilvl w:val="1"/>
          <w:numId w:val="94"/>
        </w:numPr>
        <w:tabs>
          <w:tab w:val="left" w:pos="1439"/>
          <w:tab w:val="left" w:pos="1441"/>
        </w:tabs>
        <w:spacing w:before="152" w:line="259" w:lineRule="auto"/>
        <w:ind w:left="1441" w:right="53"/>
        <w:jc w:val="both"/>
        <w:rPr>
          <w:color w:val="211F1F"/>
          <w:sz w:val="24"/>
        </w:rPr>
      </w:pPr>
      <w:r>
        <w:rPr>
          <w:color w:val="211F1F"/>
          <w:sz w:val="24"/>
        </w:rPr>
        <w:t>If</w:t>
      </w:r>
      <w:r>
        <w:rPr>
          <w:color w:val="211F1F"/>
          <w:spacing w:val="-10"/>
          <w:sz w:val="24"/>
        </w:rPr>
        <w:t xml:space="preserve"> </w:t>
      </w:r>
      <w:r>
        <w:rPr>
          <w:color w:val="211F1F"/>
          <w:sz w:val="24"/>
        </w:rPr>
        <w:t>a</w:t>
      </w:r>
      <w:r>
        <w:rPr>
          <w:color w:val="211F1F"/>
          <w:spacing w:val="-4"/>
          <w:sz w:val="24"/>
        </w:rPr>
        <w:t xml:space="preserve"> </w:t>
      </w:r>
      <w:r>
        <w:rPr>
          <w:color w:val="211F1F"/>
          <w:sz w:val="24"/>
        </w:rPr>
        <w:t>Tender</w:t>
      </w:r>
      <w:r>
        <w:rPr>
          <w:color w:val="211F1F"/>
          <w:spacing w:val="-5"/>
          <w:sz w:val="24"/>
        </w:rPr>
        <w:t xml:space="preserve"> </w:t>
      </w:r>
      <w:r>
        <w:rPr>
          <w:color w:val="211F1F"/>
          <w:sz w:val="24"/>
        </w:rPr>
        <w:t>Security</w:t>
      </w:r>
      <w:r>
        <w:rPr>
          <w:color w:val="211F1F"/>
          <w:spacing w:val="-10"/>
          <w:sz w:val="24"/>
        </w:rPr>
        <w:t xml:space="preserve"> </w:t>
      </w:r>
      <w:r>
        <w:rPr>
          <w:color w:val="211F1F"/>
          <w:sz w:val="24"/>
        </w:rPr>
        <w:t>or</w:t>
      </w:r>
      <w:r>
        <w:rPr>
          <w:color w:val="211F1F"/>
          <w:spacing w:val="-10"/>
          <w:sz w:val="24"/>
        </w:rPr>
        <w:t xml:space="preserve"> </w:t>
      </w:r>
      <w:r>
        <w:rPr>
          <w:color w:val="211F1F"/>
          <w:sz w:val="24"/>
        </w:rPr>
        <w:t>Tender-Securing</w:t>
      </w:r>
      <w:r>
        <w:rPr>
          <w:color w:val="211F1F"/>
          <w:spacing w:val="-3"/>
          <w:sz w:val="24"/>
        </w:rPr>
        <w:t xml:space="preserve"> </w:t>
      </w:r>
      <w:r>
        <w:rPr>
          <w:color w:val="211F1F"/>
          <w:sz w:val="24"/>
        </w:rPr>
        <w:t>Declaration</w:t>
      </w:r>
      <w:r>
        <w:rPr>
          <w:color w:val="211F1F"/>
          <w:spacing w:val="-2"/>
          <w:sz w:val="24"/>
        </w:rPr>
        <w:t xml:space="preserve"> </w:t>
      </w:r>
      <w:r>
        <w:rPr>
          <w:color w:val="211F1F"/>
          <w:sz w:val="24"/>
        </w:rPr>
        <w:t>is</w:t>
      </w:r>
      <w:r>
        <w:rPr>
          <w:color w:val="211F1F"/>
          <w:spacing w:val="-5"/>
          <w:sz w:val="24"/>
        </w:rPr>
        <w:t xml:space="preserve"> </w:t>
      </w:r>
      <w:r>
        <w:rPr>
          <w:color w:val="211F1F"/>
          <w:sz w:val="24"/>
        </w:rPr>
        <w:t>specified</w:t>
      </w:r>
      <w:r>
        <w:rPr>
          <w:color w:val="211F1F"/>
          <w:spacing w:val="-2"/>
          <w:sz w:val="24"/>
        </w:rPr>
        <w:t xml:space="preserve"> </w:t>
      </w:r>
      <w:r>
        <w:rPr>
          <w:color w:val="211F1F"/>
          <w:sz w:val="24"/>
        </w:rPr>
        <w:t>pursuant</w:t>
      </w:r>
      <w:r>
        <w:rPr>
          <w:color w:val="211F1F"/>
          <w:spacing w:val="-2"/>
          <w:sz w:val="24"/>
        </w:rPr>
        <w:t xml:space="preserve"> </w:t>
      </w:r>
      <w:r>
        <w:rPr>
          <w:color w:val="211F1F"/>
          <w:sz w:val="24"/>
        </w:rPr>
        <w:t>to</w:t>
      </w:r>
      <w:r>
        <w:rPr>
          <w:color w:val="211F1F"/>
          <w:spacing w:val="-3"/>
          <w:sz w:val="24"/>
        </w:rPr>
        <w:t xml:space="preserve"> </w:t>
      </w:r>
      <w:r>
        <w:rPr>
          <w:color w:val="211F1F"/>
          <w:sz w:val="24"/>
        </w:rPr>
        <w:t>ITT</w:t>
      </w:r>
      <w:r>
        <w:rPr>
          <w:color w:val="211F1F"/>
          <w:spacing w:val="-5"/>
          <w:sz w:val="24"/>
        </w:rPr>
        <w:t xml:space="preserve"> </w:t>
      </w:r>
      <w:r>
        <w:rPr>
          <w:color w:val="211F1F"/>
          <w:sz w:val="24"/>
        </w:rPr>
        <w:t>19.1, any</w:t>
      </w:r>
      <w:r>
        <w:rPr>
          <w:color w:val="211F1F"/>
          <w:spacing w:val="-8"/>
          <w:sz w:val="24"/>
        </w:rPr>
        <w:t xml:space="preserve"> </w:t>
      </w:r>
      <w:r>
        <w:rPr>
          <w:color w:val="211F1F"/>
          <w:sz w:val="24"/>
        </w:rPr>
        <w:t>Tender</w:t>
      </w:r>
      <w:r>
        <w:rPr>
          <w:color w:val="211F1F"/>
          <w:spacing w:val="-5"/>
          <w:sz w:val="24"/>
        </w:rPr>
        <w:t xml:space="preserve"> </w:t>
      </w:r>
      <w:r>
        <w:rPr>
          <w:color w:val="211F1F"/>
          <w:sz w:val="24"/>
        </w:rPr>
        <w:t>not accompanied by</w:t>
      </w:r>
      <w:r>
        <w:rPr>
          <w:color w:val="211F1F"/>
          <w:spacing w:val="-11"/>
          <w:sz w:val="24"/>
        </w:rPr>
        <w:t xml:space="preserve"> </w:t>
      </w:r>
      <w:r>
        <w:rPr>
          <w:color w:val="211F1F"/>
          <w:sz w:val="24"/>
        </w:rPr>
        <w:t>a</w:t>
      </w:r>
      <w:r>
        <w:rPr>
          <w:color w:val="211F1F"/>
          <w:spacing w:val="-4"/>
          <w:sz w:val="24"/>
        </w:rPr>
        <w:t xml:space="preserve"> </w:t>
      </w:r>
      <w:r>
        <w:rPr>
          <w:color w:val="211F1F"/>
          <w:sz w:val="24"/>
        </w:rPr>
        <w:t>substantially</w:t>
      </w:r>
      <w:r>
        <w:rPr>
          <w:color w:val="211F1F"/>
          <w:spacing w:val="-6"/>
          <w:sz w:val="24"/>
        </w:rPr>
        <w:t xml:space="preserve"> </w:t>
      </w:r>
      <w:r>
        <w:rPr>
          <w:color w:val="211F1F"/>
          <w:sz w:val="24"/>
        </w:rPr>
        <w:t>responsive</w:t>
      </w:r>
      <w:r>
        <w:rPr>
          <w:color w:val="211F1F"/>
          <w:spacing w:val="-2"/>
          <w:sz w:val="24"/>
        </w:rPr>
        <w:t xml:space="preserve"> </w:t>
      </w:r>
      <w:r>
        <w:rPr>
          <w:color w:val="211F1F"/>
          <w:sz w:val="24"/>
        </w:rPr>
        <w:t>Tender</w:t>
      </w:r>
      <w:r>
        <w:rPr>
          <w:color w:val="211F1F"/>
          <w:spacing w:val="-6"/>
          <w:sz w:val="24"/>
        </w:rPr>
        <w:t xml:space="preserve"> </w:t>
      </w:r>
      <w:r>
        <w:rPr>
          <w:color w:val="211F1F"/>
          <w:sz w:val="24"/>
        </w:rPr>
        <w:t>Security</w:t>
      </w:r>
      <w:r>
        <w:rPr>
          <w:color w:val="211F1F"/>
          <w:spacing w:val="-10"/>
          <w:sz w:val="24"/>
        </w:rPr>
        <w:t xml:space="preserve"> </w:t>
      </w:r>
      <w:r>
        <w:rPr>
          <w:color w:val="211F1F"/>
          <w:sz w:val="24"/>
        </w:rPr>
        <w:t>or</w:t>
      </w:r>
      <w:r>
        <w:rPr>
          <w:color w:val="211F1F"/>
          <w:spacing w:val="-6"/>
          <w:sz w:val="24"/>
        </w:rPr>
        <w:t xml:space="preserve"> </w:t>
      </w:r>
      <w:r>
        <w:rPr>
          <w:color w:val="211F1F"/>
          <w:sz w:val="24"/>
        </w:rPr>
        <w:t>Tender- Securing Declaration shall be rejected by the Procuring Entity as non-responsive.</w:t>
      </w:r>
    </w:p>
    <w:p w14:paraId="3A697862" w14:textId="77777777" w:rsidR="00BB77C0" w:rsidRDefault="00370BAA">
      <w:pPr>
        <w:pStyle w:val="ListParagraph"/>
        <w:numPr>
          <w:ilvl w:val="1"/>
          <w:numId w:val="94"/>
        </w:numPr>
        <w:tabs>
          <w:tab w:val="left" w:pos="1441"/>
        </w:tabs>
        <w:spacing w:before="157" w:line="259" w:lineRule="auto"/>
        <w:ind w:left="1441" w:right="55"/>
        <w:jc w:val="left"/>
        <w:rPr>
          <w:color w:val="211F1F"/>
          <w:sz w:val="24"/>
        </w:rPr>
      </w:pPr>
      <w:r>
        <w:rPr>
          <w:color w:val="211F1F"/>
          <w:sz w:val="24"/>
        </w:rPr>
        <w:t>If a Tender Security is specified pursuant to ITT 19.1, the Tender Security of unsuccessful Tenderers shall be returned as promptly</w:t>
      </w:r>
      <w:r>
        <w:rPr>
          <w:color w:val="211F1F"/>
          <w:spacing w:val="-1"/>
          <w:sz w:val="24"/>
        </w:rPr>
        <w:t xml:space="preserve"> </w:t>
      </w:r>
      <w:r>
        <w:rPr>
          <w:color w:val="211F1F"/>
          <w:sz w:val="24"/>
        </w:rPr>
        <w:t>as possible upon the successful Tenderer's signing the Contract and furnishing the Performance Security and any other documents required in the TDS.The Procuring Entity</w:t>
      </w:r>
      <w:r>
        <w:rPr>
          <w:color w:val="211F1F"/>
          <w:spacing w:val="-5"/>
          <w:sz w:val="24"/>
        </w:rPr>
        <w:t xml:space="preserve"> </w:t>
      </w:r>
      <w:r>
        <w:rPr>
          <w:color w:val="211F1F"/>
          <w:sz w:val="24"/>
        </w:rPr>
        <w:t>shall</w:t>
      </w:r>
      <w:r>
        <w:rPr>
          <w:color w:val="211F1F"/>
          <w:spacing w:val="-4"/>
          <w:sz w:val="24"/>
        </w:rPr>
        <w:t xml:space="preserve"> </w:t>
      </w:r>
      <w:r>
        <w:rPr>
          <w:color w:val="211F1F"/>
          <w:sz w:val="24"/>
        </w:rPr>
        <w:t>also promptly return the</w:t>
      </w:r>
      <w:r>
        <w:rPr>
          <w:color w:val="211F1F"/>
          <w:spacing w:val="-8"/>
          <w:sz w:val="24"/>
        </w:rPr>
        <w:t xml:space="preserve"> </w:t>
      </w:r>
      <w:r>
        <w:rPr>
          <w:color w:val="211F1F"/>
          <w:sz w:val="24"/>
        </w:rPr>
        <w:t>tender</w:t>
      </w:r>
      <w:r>
        <w:rPr>
          <w:color w:val="211F1F"/>
          <w:spacing w:val="-4"/>
          <w:sz w:val="24"/>
        </w:rPr>
        <w:t xml:space="preserve"> </w:t>
      </w:r>
      <w:r>
        <w:rPr>
          <w:color w:val="211F1F"/>
          <w:sz w:val="24"/>
        </w:rPr>
        <w:t>security</w:t>
      </w:r>
      <w:r>
        <w:rPr>
          <w:color w:val="211F1F"/>
          <w:spacing w:val="-14"/>
          <w:sz w:val="24"/>
        </w:rPr>
        <w:t xml:space="preserve"> </w:t>
      </w:r>
      <w:r>
        <w:rPr>
          <w:color w:val="211F1F"/>
          <w:sz w:val="24"/>
        </w:rPr>
        <w:t>to</w:t>
      </w:r>
      <w:r>
        <w:rPr>
          <w:color w:val="211F1F"/>
          <w:spacing w:val="-7"/>
          <w:sz w:val="24"/>
        </w:rPr>
        <w:t xml:space="preserve"> </w:t>
      </w:r>
      <w:r>
        <w:rPr>
          <w:color w:val="211F1F"/>
          <w:sz w:val="24"/>
        </w:rPr>
        <w:t>the</w:t>
      </w:r>
      <w:r>
        <w:rPr>
          <w:color w:val="211F1F"/>
          <w:spacing w:val="-8"/>
          <w:sz w:val="24"/>
        </w:rPr>
        <w:t xml:space="preserve"> </w:t>
      </w:r>
      <w:r>
        <w:rPr>
          <w:color w:val="211F1F"/>
          <w:sz w:val="24"/>
        </w:rPr>
        <w:t>tenderers</w:t>
      </w:r>
      <w:r>
        <w:rPr>
          <w:color w:val="211F1F"/>
          <w:spacing w:val="-8"/>
          <w:sz w:val="24"/>
        </w:rPr>
        <w:t xml:space="preserve"> </w:t>
      </w:r>
      <w:r>
        <w:rPr>
          <w:color w:val="211F1F"/>
          <w:sz w:val="24"/>
        </w:rPr>
        <w:t>where</w:t>
      </w:r>
      <w:r>
        <w:rPr>
          <w:color w:val="211F1F"/>
          <w:spacing w:val="-7"/>
          <w:sz w:val="24"/>
        </w:rPr>
        <w:t xml:space="preserve"> </w:t>
      </w:r>
      <w:r>
        <w:rPr>
          <w:color w:val="211F1F"/>
          <w:sz w:val="24"/>
        </w:rPr>
        <w:t>the</w:t>
      </w:r>
      <w:r>
        <w:rPr>
          <w:color w:val="211F1F"/>
          <w:spacing w:val="-7"/>
          <w:sz w:val="24"/>
        </w:rPr>
        <w:t xml:space="preserve"> </w:t>
      </w:r>
      <w:r>
        <w:rPr>
          <w:color w:val="211F1F"/>
          <w:sz w:val="24"/>
        </w:rPr>
        <w:t>procurement proceedings</w:t>
      </w:r>
      <w:r>
        <w:rPr>
          <w:color w:val="211F1F"/>
          <w:spacing w:val="-8"/>
          <w:sz w:val="24"/>
        </w:rPr>
        <w:t xml:space="preserve"> </w:t>
      </w:r>
      <w:r>
        <w:rPr>
          <w:color w:val="211F1F"/>
          <w:sz w:val="24"/>
        </w:rPr>
        <w:t>are</w:t>
      </w:r>
      <w:r>
        <w:rPr>
          <w:color w:val="211F1F"/>
          <w:spacing w:val="-3"/>
          <w:sz w:val="24"/>
        </w:rPr>
        <w:t xml:space="preserve"> </w:t>
      </w:r>
      <w:r>
        <w:rPr>
          <w:color w:val="211F1F"/>
          <w:sz w:val="24"/>
        </w:rPr>
        <w:t>terminated, all tenders were determined non-responsive or a bidder declines to extend tender validity period.</w:t>
      </w:r>
    </w:p>
    <w:p w14:paraId="7B3C1633" w14:textId="77777777" w:rsidR="00BB77C0" w:rsidRDefault="00370BAA">
      <w:pPr>
        <w:pStyle w:val="ListParagraph"/>
        <w:numPr>
          <w:ilvl w:val="1"/>
          <w:numId w:val="94"/>
        </w:numPr>
        <w:tabs>
          <w:tab w:val="left" w:pos="1439"/>
          <w:tab w:val="left" w:pos="1441"/>
        </w:tabs>
        <w:spacing w:before="161" w:line="259" w:lineRule="auto"/>
        <w:ind w:left="1441" w:right="654"/>
        <w:jc w:val="both"/>
        <w:rPr>
          <w:color w:val="211F1F"/>
          <w:sz w:val="24"/>
        </w:rPr>
      </w:pPr>
      <w:r>
        <w:rPr>
          <w:color w:val="211F1F"/>
          <w:sz w:val="24"/>
        </w:rPr>
        <w:t>The</w:t>
      </w:r>
      <w:r>
        <w:rPr>
          <w:color w:val="211F1F"/>
          <w:spacing w:val="-3"/>
          <w:sz w:val="24"/>
        </w:rPr>
        <w:t xml:space="preserve"> </w:t>
      </w:r>
      <w:r>
        <w:rPr>
          <w:color w:val="211F1F"/>
          <w:sz w:val="24"/>
        </w:rPr>
        <w:t>Tender</w:t>
      </w:r>
      <w:r>
        <w:rPr>
          <w:color w:val="211F1F"/>
          <w:spacing w:val="-4"/>
          <w:sz w:val="24"/>
        </w:rPr>
        <w:t xml:space="preserve"> </w:t>
      </w:r>
      <w:r>
        <w:rPr>
          <w:color w:val="211F1F"/>
          <w:sz w:val="24"/>
        </w:rPr>
        <w:t>Security</w:t>
      </w:r>
      <w:r>
        <w:rPr>
          <w:color w:val="211F1F"/>
          <w:spacing w:val="-10"/>
          <w:sz w:val="24"/>
        </w:rPr>
        <w:t xml:space="preserve"> </w:t>
      </w:r>
      <w:r>
        <w:rPr>
          <w:color w:val="211F1F"/>
          <w:sz w:val="24"/>
        </w:rPr>
        <w:t>of</w:t>
      </w:r>
      <w:r>
        <w:rPr>
          <w:color w:val="211F1F"/>
          <w:spacing w:val="-10"/>
          <w:sz w:val="24"/>
        </w:rPr>
        <w:t xml:space="preserve"> </w:t>
      </w:r>
      <w:r>
        <w:rPr>
          <w:color w:val="211F1F"/>
          <w:sz w:val="24"/>
        </w:rPr>
        <w:t>the</w:t>
      </w:r>
      <w:r>
        <w:rPr>
          <w:color w:val="211F1F"/>
          <w:spacing w:val="-3"/>
          <w:sz w:val="24"/>
        </w:rPr>
        <w:t xml:space="preserve"> </w:t>
      </w:r>
      <w:r>
        <w:rPr>
          <w:color w:val="211F1F"/>
          <w:sz w:val="24"/>
        </w:rPr>
        <w:t>successful</w:t>
      </w:r>
      <w:r>
        <w:rPr>
          <w:color w:val="211F1F"/>
          <w:spacing w:val="-5"/>
          <w:sz w:val="24"/>
        </w:rPr>
        <w:t xml:space="preserve"> </w:t>
      </w:r>
      <w:r>
        <w:rPr>
          <w:color w:val="211F1F"/>
          <w:sz w:val="24"/>
        </w:rPr>
        <w:t>Tenderer shall</w:t>
      </w:r>
      <w:r>
        <w:rPr>
          <w:color w:val="211F1F"/>
          <w:spacing w:val="-1"/>
          <w:sz w:val="24"/>
        </w:rPr>
        <w:t xml:space="preserve"> </w:t>
      </w:r>
      <w:r>
        <w:rPr>
          <w:color w:val="211F1F"/>
          <w:sz w:val="24"/>
        </w:rPr>
        <w:t>be</w:t>
      </w:r>
      <w:r>
        <w:rPr>
          <w:color w:val="211F1F"/>
          <w:spacing w:val="-2"/>
          <w:sz w:val="24"/>
        </w:rPr>
        <w:t xml:space="preserve"> </w:t>
      </w:r>
      <w:r>
        <w:rPr>
          <w:color w:val="211F1F"/>
          <w:sz w:val="24"/>
        </w:rPr>
        <w:t>returned</w:t>
      </w:r>
      <w:r>
        <w:rPr>
          <w:color w:val="211F1F"/>
          <w:spacing w:val="-1"/>
          <w:sz w:val="24"/>
        </w:rPr>
        <w:t xml:space="preserve"> </w:t>
      </w:r>
      <w:r>
        <w:rPr>
          <w:color w:val="211F1F"/>
          <w:sz w:val="24"/>
        </w:rPr>
        <w:t>as</w:t>
      </w:r>
      <w:r>
        <w:rPr>
          <w:color w:val="211F1F"/>
          <w:spacing w:val="-4"/>
          <w:sz w:val="24"/>
        </w:rPr>
        <w:t xml:space="preserve"> </w:t>
      </w:r>
      <w:r>
        <w:rPr>
          <w:color w:val="211F1F"/>
          <w:sz w:val="24"/>
        </w:rPr>
        <w:t>promptly</w:t>
      </w:r>
      <w:r>
        <w:rPr>
          <w:color w:val="211F1F"/>
          <w:spacing w:val="-6"/>
          <w:sz w:val="24"/>
        </w:rPr>
        <w:t xml:space="preserve"> </w:t>
      </w:r>
      <w:r>
        <w:rPr>
          <w:color w:val="211F1F"/>
          <w:sz w:val="24"/>
        </w:rPr>
        <w:t>as possible</w:t>
      </w:r>
      <w:r>
        <w:rPr>
          <w:color w:val="211F1F"/>
          <w:spacing w:val="-4"/>
          <w:sz w:val="24"/>
        </w:rPr>
        <w:t xml:space="preserve"> </w:t>
      </w:r>
      <w:r>
        <w:rPr>
          <w:color w:val="211F1F"/>
          <w:sz w:val="24"/>
        </w:rPr>
        <w:t>once</w:t>
      </w:r>
      <w:r>
        <w:rPr>
          <w:color w:val="211F1F"/>
          <w:spacing w:val="-5"/>
          <w:sz w:val="24"/>
        </w:rPr>
        <w:t xml:space="preserve"> </w:t>
      </w:r>
      <w:r>
        <w:rPr>
          <w:color w:val="211F1F"/>
          <w:sz w:val="24"/>
        </w:rPr>
        <w:t>the</w:t>
      </w:r>
      <w:r>
        <w:rPr>
          <w:color w:val="211F1F"/>
          <w:spacing w:val="-4"/>
          <w:sz w:val="24"/>
        </w:rPr>
        <w:t xml:space="preserve"> </w:t>
      </w:r>
      <w:r>
        <w:rPr>
          <w:color w:val="211F1F"/>
          <w:sz w:val="24"/>
        </w:rPr>
        <w:t>successful</w:t>
      </w:r>
      <w:r>
        <w:rPr>
          <w:color w:val="211F1F"/>
          <w:spacing w:val="-7"/>
          <w:sz w:val="24"/>
        </w:rPr>
        <w:t xml:space="preserve"> </w:t>
      </w:r>
      <w:r>
        <w:rPr>
          <w:color w:val="211F1F"/>
          <w:sz w:val="24"/>
        </w:rPr>
        <w:t>Tenderer</w:t>
      </w:r>
      <w:r>
        <w:rPr>
          <w:color w:val="211F1F"/>
          <w:spacing w:val="-1"/>
          <w:sz w:val="24"/>
        </w:rPr>
        <w:t xml:space="preserve"> </w:t>
      </w:r>
      <w:r>
        <w:rPr>
          <w:color w:val="211F1F"/>
          <w:sz w:val="24"/>
        </w:rPr>
        <w:t>has</w:t>
      </w:r>
      <w:r>
        <w:rPr>
          <w:color w:val="211F1F"/>
          <w:spacing w:val="-1"/>
          <w:sz w:val="24"/>
        </w:rPr>
        <w:t xml:space="preserve"> </w:t>
      </w:r>
      <w:r>
        <w:rPr>
          <w:color w:val="211F1F"/>
          <w:sz w:val="24"/>
        </w:rPr>
        <w:t>signed</w:t>
      </w:r>
      <w:r>
        <w:rPr>
          <w:color w:val="211F1F"/>
          <w:spacing w:val="-3"/>
          <w:sz w:val="24"/>
        </w:rPr>
        <w:t xml:space="preserve"> </w:t>
      </w:r>
      <w:r>
        <w:rPr>
          <w:color w:val="211F1F"/>
          <w:sz w:val="24"/>
        </w:rPr>
        <w:t>the</w:t>
      </w:r>
      <w:r>
        <w:rPr>
          <w:color w:val="211F1F"/>
          <w:spacing w:val="-5"/>
          <w:sz w:val="24"/>
        </w:rPr>
        <w:t xml:space="preserve"> </w:t>
      </w:r>
      <w:r>
        <w:rPr>
          <w:color w:val="211F1F"/>
          <w:sz w:val="24"/>
        </w:rPr>
        <w:t>Contract and furnished</w:t>
      </w:r>
      <w:r>
        <w:rPr>
          <w:color w:val="211F1F"/>
          <w:spacing w:val="-3"/>
          <w:sz w:val="24"/>
        </w:rPr>
        <w:t xml:space="preserve"> </w:t>
      </w:r>
      <w:r>
        <w:rPr>
          <w:color w:val="211F1F"/>
          <w:sz w:val="24"/>
        </w:rPr>
        <w:t>the required Performance Security, and any other documents required in the TDS.</w:t>
      </w:r>
    </w:p>
    <w:p w14:paraId="4B2C911F" w14:textId="77777777" w:rsidR="00BB77C0" w:rsidRDefault="00370BAA">
      <w:pPr>
        <w:pStyle w:val="ListParagraph"/>
        <w:numPr>
          <w:ilvl w:val="1"/>
          <w:numId w:val="94"/>
        </w:numPr>
        <w:tabs>
          <w:tab w:val="left" w:pos="1440"/>
        </w:tabs>
        <w:spacing w:before="157"/>
        <w:ind w:left="1440" w:hanging="720"/>
        <w:jc w:val="left"/>
        <w:rPr>
          <w:color w:val="211F1F"/>
          <w:sz w:val="24"/>
        </w:rPr>
      </w:pPr>
      <w:r>
        <w:rPr>
          <w:color w:val="211F1F"/>
          <w:sz w:val="24"/>
        </w:rPr>
        <w:t>The</w:t>
      </w:r>
      <w:r>
        <w:rPr>
          <w:color w:val="211F1F"/>
          <w:spacing w:val="-10"/>
          <w:sz w:val="24"/>
        </w:rPr>
        <w:t xml:space="preserve"> </w:t>
      </w:r>
      <w:r>
        <w:rPr>
          <w:color w:val="211F1F"/>
          <w:sz w:val="24"/>
        </w:rPr>
        <w:t>Tender</w:t>
      </w:r>
      <w:r>
        <w:rPr>
          <w:color w:val="211F1F"/>
          <w:spacing w:val="-8"/>
          <w:sz w:val="24"/>
        </w:rPr>
        <w:t xml:space="preserve"> </w:t>
      </w:r>
      <w:r>
        <w:rPr>
          <w:color w:val="211F1F"/>
          <w:sz w:val="24"/>
        </w:rPr>
        <w:t>Security</w:t>
      </w:r>
      <w:r>
        <w:rPr>
          <w:color w:val="211F1F"/>
          <w:spacing w:val="-10"/>
          <w:sz w:val="24"/>
        </w:rPr>
        <w:t xml:space="preserve"> </w:t>
      </w:r>
      <w:r>
        <w:rPr>
          <w:color w:val="211F1F"/>
          <w:sz w:val="24"/>
        </w:rPr>
        <w:t>may</w:t>
      </w:r>
      <w:r>
        <w:rPr>
          <w:color w:val="211F1F"/>
          <w:spacing w:val="-6"/>
          <w:sz w:val="24"/>
        </w:rPr>
        <w:t xml:space="preserve"> </w:t>
      </w:r>
      <w:r>
        <w:rPr>
          <w:color w:val="211F1F"/>
          <w:sz w:val="24"/>
        </w:rPr>
        <w:t>be</w:t>
      </w:r>
      <w:r>
        <w:rPr>
          <w:color w:val="211F1F"/>
          <w:spacing w:val="-3"/>
          <w:sz w:val="24"/>
        </w:rPr>
        <w:t xml:space="preserve"> </w:t>
      </w:r>
      <w:r>
        <w:rPr>
          <w:color w:val="211F1F"/>
          <w:sz w:val="24"/>
        </w:rPr>
        <w:t>forfeited</w:t>
      </w:r>
      <w:r>
        <w:rPr>
          <w:color w:val="211F1F"/>
          <w:spacing w:val="-6"/>
          <w:sz w:val="24"/>
        </w:rPr>
        <w:t xml:space="preserve"> </w:t>
      </w:r>
      <w:r>
        <w:rPr>
          <w:color w:val="211F1F"/>
          <w:sz w:val="24"/>
        </w:rPr>
        <w:t>or</w:t>
      </w:r>
      <w:r>
        <w:rPr>
          <w:color w:val="211F1F"/>
          <w:spacing w:val="-9"/>
          <w:sz w:val="24"/>
        </w:rPr>
        <w:t xml:space="preserve"> </w:t>
      </w:r>
      <w:r>
        <w:rPr>
          <w:color w:val="211F1F"/>
          <w:sz w:val="24"/>
        </w:rPr>
        <w:t>the</w:t>
      </w:r>
      <w:r>
        <w:rPr>
          <w:color w:val="211F1F"/>
          <w:spacing w:val="-7"/>
          <w:sz w:val="24"/>
        </w:rPr>
        <w:t xml:space="preserve"> </w:t>
      </w:r>
      <w:r>
        <w:rPr>
          <w:color w:val="211F1F"/>
          <w:sz w:val="24"/>
        </w:rPr>
        <w:t>Tender-Securing</w:t>
      </w:r>
      <w:r>
        <w:rPr>
          <w:color w:val="211F1F"/>
          <w:spacing w:val="-5"/>
          <w:sz w:val="24"/>
        </w:rPr>
        <w:t xml:space="preserve"> </w:t>
      </w:r>
      <w:r>
        <w:rPr>
          <w:color w:val="211F1F"/>
          <w:sz w:val="24"/>
        </w:rPr>
        <w:t>Declaration</w:t>
      </w:r>
      <w:r>
        <w:rPr>
          <w:color w:val="211F1F"/>
          <w:spacing w:val="-9"/>
          <w:sz w:val="24"/>
        </w:rPr>
        <w:t xml:space="preserve"> </w:t>
      </w:r>
      <w:r>
        <w:rPr>
          <w:color w:val="211F1F"/>
          <w:spacing w:val="-2"/>
          <w:sz w:val="24"/>
        </w:rPr>
        <w:t>executed:</w:t>
      </w:r>
    </w:p>
    <w:p w14:paraId="07C83000" w14:textId="77777777" w:rsidR="00BB77C0" w:rsidRDefault="00370BAA">
      <w:pPr>
        <w:pStyle w:val="ListParagraph"/>
        <w:numPr>
          <w:ilvl w:val="0"/>
          <w:numId w:val="93"/>
        </w:numPr>
        <w:tabs>
          <w:tab w:val="left" w:pos="2161"/>
          <w:tab w:val="left" w:pos="2881"/>
        </w:tabs>
        <w:spacing w:before="274" w:line="237" w:lineRule="auto"/>
        <w:ind w:right="124" w:hanging="178"/>
        <w:rPr>
          <w:sz w:val="24"/>
        </w:rPr>
      </w:pPr>
      <w:r>
        <w:rPr>
          <w:color w:val="211F1F"/>
          <w:sz w:val="24"/>
        </w:rPr>
        <w:t>if</w:t>
      </w:r>
      <w:r>
        <w:rPr>
          <w:color w:val="211F1F"/>
          <w:spacing w:val="-15"/>
          <w:sz w:val="24"/>
        </w:rPr>
        <w:t xml:space="preserve"> </w:t>
      </w:r>
      <w:r>
        <w:rPr>
          <w:color w:val="211F1F"/>
          <w:sz w:val="24"/>
        </w:rPr>
        <w:t>a</w:t>
      </w:r>
      <w:r>
        <w:rPr>
          <w:color w:val="211F1F"/>
          <w:spacing w:val="-9"/>
          <w:sz w:val="24"/>
        </w:rPr>
        <w:t xml:space="preserve"> </w:t>
      </w:r>
      <w:r>
        <w:rPr>
          <w:color w:val="211F1F"/>
          <w:sz w:val="24"/>
        </w:rPr>
        <w:t>Tenderer</w:t>
      </w:r>
      <w:r>
        <w:rPr>
          <w:color w:val="211F1F"/>
          <w:spacing w:val="-7"/>
          <w:sz w:val="24"/>
        </w:rPr>
        <w:t xml:space="preserve"> </w:t>
      </w:r>
      <w:r>
        <w:rPr>
          <w:color w:val="211F1F"/>
          <w:sz w:val="24"/>
        </w:rPr>
        <w:t>withdraws</w:t>
      </w:r>
      <w:r>
        <w:rPr>
          <w:color w:val="211F1F"/>
          <w:spacing w:val="-5"/>
          <w:sz w:val="24"/>
        </w:rPr>
        <w:t xml:space="preserve"> </w:t>
      </w:r>
      <w:r>
        <w:rPr>
          <w:color w:val="211F1F"/>
          <w:sz w:val="24"/>
        </w:rPr>
        <w:t>its</w:t>
      </w:r>
      <w:r>
        <w:rPr>
          <w:color w:val="211F1F"/>
          <w:spacing w:val="-10"/>
          <w:sz w:val="24"/>
        </w:rPr>
        <w:t xml:space="preserve"> </w:t>
      </w:r>
      <w:r>
        <w:rPr>
          <w:color w:val="211F1F"/>
          <w:sz w:val="24"/>
        </w:rPr>
        <w:t>Tender</w:t>
      </w:r>
      <w:r>
        <w:rPr>
          <w:color w:val="211F1F"/>
          <w:spacing w:val="-10"/>
          <w:sz w:val="24"/>
        </w:rPr>
        <w:t xml:space="preserve"> </w:t>
      </w:r>
      <w:r>
        <w:rPr>
          <w:color w:val="211F1F"/>
          <w:sz w:val="24"/>
        </w:rPr>
        <w:t>during</w:t>
      </w:r>
      <w:r>
        <w:rPr>
          <w:color w:val="211F1F"/>
          <w:spacing w:val="-8"/>
          <w:sz w:val="24"/>
        </w:rPr>
        <w:t xml:space="preserve"> </w:t>
      </w:r>
      <w:r>
        <w:rPr>
          <w:color w:val="211F1F"/>
          <w:sz w:val="24"/>
        </w:rPr>
        <w:t>the</w:t>
      </w:r>
      <w:r>
        <w:rPr>
          <w:color w:val="211F1F"/>
          <w:spacing w:val="-9"/>
          <w:sz w:val="24"/>
        </w:rPr>
        <w:t xml:space="preserve"> </w:t>
      </w:r>
      <w:r>
        <w:rPr>
          <w:color w:val="211F1F"/>
          <w:sz w:val="24"/>
        </w:rPr>
        <w:t>period</w:t>
      </w:r>
      <w:r>
        <w:rPr>
          <w:color w:val="211F1F"/>
          <w:spacing w:val="-12"/>
          <w:sz w:val="24"/>
        </w:rPr>
        <w:t xml:space="preserve"> </w:t>
      </w:r>
      <w:r>
        <w:rPr>
          <w:color w:val="211F1F"/>
          <w:sz w:val="24"/>
        </w:rPr>
        <w:t>of</w:t>
      </w:r>
      <w:r>
        <w:rPr>
          <w:color w:val="211F1F"/>
          <w:spacing w:val="-15"/>
          <w:sz w:val="24"/>
        </w:rPr>
        <w:t xml:space="preserve"> </w:t>
      </w:r>
      <w:r>
        <w:rPr>
          <w:color w:val="211F1F"/>
          <w:sz w:val="24"/>
        </w:rPr>
        <w:t>Tender</w:t>
      </w:r>
      <w:r>
        <w:rPr>
          <w:color w:val="211F1F"/>
          <w:spacing w:val="-11"/>
          <w:sz w:val="24"/>
        </w:rPr>
        <w:t xml:space="preserve"> </w:t>
      </w:r>
      <w:r>
        <w:rPr>
          <w:color w:val="211F1F"/>
          <w:sz w:val="24"/>
        </w:rPr>
        <w:t>validity specified by the Tenderer on the Form of Tender, or any extension there to provide by the Tenderer; or</w:t>
      </w:r>
    </w:p>
    <w:p w14:paraId="25E62C65" w14:textId="77777777" w:rsidR="00BB77C0" w:rsidRDefault="00370BAA">
      <w:pPr>
        <w:pStyle w:val="ListParagraph"/>
        <w:numPr>
          <w:ilvl w:val="0"/>
          <w:numId w:val="93"/>
        </w:numPr>
        <w:tabs>
          <w:tab w:val="left" w:pos="2881"/>
        </w:tabs>
        <w:spacing w:before="249"/>
        <w:ind w:left="2881"/>
        <w:rPr>
          <w:sz w:val="24"/>
        </w:rPr>
      </w:pPr>
      <w:r>
        <w:rPr>
          <w:color w:val="211F1F"/>
          <w:sz w:val="24"/>
        </w:rPr>
        <w:t>if</w:t>
      </w:r>
      <w:r>
        <w:rPr>
          <w:color w:val="211F1F"/>
          <w:spacing w:val="-10"/>
          <w:sz w:val="24"/>
        </w:rPr>
        <w:t xml:space="preserve"> </w:t>
      </w:r>
      <w:r>
        <w:rPr>
          <w:color w:val="211F1F"/>
          <w:sz w:val="24"/>
        </w:rPr>
        <w:t>the</w:t>
      </w:r>
      <w:r>
        <w:rPr>
          <w:color w:val="211F1F"/>
          <w:spacing w:val="-3"/>
          <w:sz w:val="24"/>
        </w:rPr>
        <w:t xml:space="preserve"> </w:t>
      </w:r>
      <w:r>
        <w:rPr>
          <w:color w:val="211F1F"/>
          <w:sz w:val="24"/>
        </w:rPr>
        <w:t>successful</w:t>
      </w:r>
      <w:r>
        <w:rPr>
          <w:color w:val="211F1F"/>
          <w:spacing w:val="-5"/>
          <w:sz w:val="24"/>
        </w:rPr>
        <w:t xml:space="preserve"> </w:t>
      </w:r>
      <w:r>
        <w:rPr>
          <w:color w:val="211F1F"/>
          <w:sz w:val="24"/>
        </w:rPr>
        <w:t>Tenderer</w:t>
      </w:r>
      <w:r>
        <w:rPr>
          <w:color w:val="211F1F"/>
          <w:spacing w:val="5"/>
          <w:sz w:val="24"/>
        </w:rPr>
        <w:t xml:space="preserve"> </w:t>
      </w:r>
      <w:r>
        <w:rPr>
          <w:color w:val="211F1F"/>
          <w:sz w:val="24"/>
        </w:rPr>
        <w:t>fails</w:t>
      </w:r>
      <w:r>
        <w:rPr>
          <w:color w:val="211F1F"/>
          <w:spacing w:val="-4"/>
          <w:sz w:val="24"/>
        </w:rPr>
        <w:t xml:space="preserve"> </w:t>
      </w:r>
      <w:r>
        <w:rPr>
          <w:color w:val="211F1F"/>
          <w:spacing w:val="-5"/>
          <w:sz w:val="24"/>
        </w:rPr>
        <w:t>to:</w:t>
      </w:r>
    </w:p>
    <w:p w14:paraId="0A41E19B" w14:textId="77777777" w:rsidR="00BB77C0" w:rsidRDefault="00370BAA">
      <w:pPr>
        <w:pStyle w:val="ListParagraph"/>
        <w:numPr>
          <w:ilvl w:val="1"/>
          <w:numId w:val="93"/>
        </w:numPr>
        <w:tabs>
          <w:tab w:val="left" w:pos="3601"/>
        </w:tabs>
        <w:spacing w:before="242"/>
        <w:ind w:left="3601" w:hanging="490"/>
        <w:jc w:val="left"/>
        <w:rPr>
          <w:sz w:val="24"/>
        </w:rPr>
      </w:pPr>
      <w:r>
        <w:rPr>
          <w:color w:val="211F1F"/>
          <w:sz w:val="24"/>
        </w:rPr>
        <w:t>sign</w:t>
      </w:r>
      <w:r>
        <w:rPr>
          <w:color w:val="211F1F"/>
          <w:spacing w:val="-9"/>
          <w:sz w:val="24"/>
        </w:rPr>
        <w:t xml:space="preserve"> </w:t>
      </w:r>
      <w:r>
        <w:rPr>
          <w:color w:val="211F1F"/>
          <w:sz w:val="24"/>
        </w:rPr>
        <w:t>the</w:t>
      </w:r>
      <w:r>
        <w:rPr>
          <w:color w:val="211F1F"/>
          <w:spacing w:val="-4"/>
          <w:sz w:val="24"/>
        </w:rPr>
        <w:t xml:space="preserve"> </w:t>
      </w:r>
      <w:r>
        <w:rPr>
          <w:color w:val="211F1F"/>
          <w:sz w:val="24"/>
        </w:rPr>
        <w:t>Contract</w:t>
      </w:r>
      <w:r>
        <w:rPr>
          <w:color w:val="211F1F"/>
          <w:spacing w:val="1"/>
          <w:sz w:val="24"/>
        </w:rPr>
        <w:t xml:space="preserve"> </w:t>
      </w:r>
      <w:r>
        <w:rPr>
          <w:color w:val="211F1F"/>
          <w:sz w:val="24"/>
        </w:rPr>
        <w:t>in</w:t>
      </w:r>
      <w:r>
        <w:rPr>
          <w:color w:val="211F1F"/>
          <w:spacing w:val="-4"/>
          <w:sz w:val="24"/>
        </w:rPr>
        <w:t xml:space="preserve"> </w:t>
      </w:r>
      <w:r>
        <w:rPr>
          <w:color w:val="211F1F"/>
          <w:sz w:val="24"/>
        </w:rPr>
        <w:t>accordance with</w:t>
      </w:r>
      <w:r>
        <w:rPr>
          <w:color w:val="211F1F"/>
          <w:spacing w:val="-3"/>
          <w:sz w:val="24"/>
        </w:rPr>
        <w:t xml:space="preserve"> </w:t>
      </w:r>
      <w:r>
        <w:rPr>
          <w:color w:val="211F1F"/>
          <w:sz w:val="24"/>
        </w:rPr>
        <w:t>ITT</w:t>
      </w:r>
      <w:r>
        <w:rPr>
          <w:color w:val="211F1F"/>
          <w:spacing w:val="-2"/>
          <w:sz w:val="24"/>
        </w:rPr>
        <w:t xml:space="preserve"> </w:t>
      </w:r>
      <w:r>
        <w:rPr>
          <w:color w:val="211F1F"/>
          <w:sz w:val="24"/>
        </w:rPr>
        <w:t>47;</w:t>
      </w:r>
      <w:r>
        <w:rPr>
          <w:color w:val="211F1F"/>
          <w:spacing w:val="-3"/>
          <w:sz w:val="24"/>
        </w:rPr>
        <w:t xml:space="preserve"> </w:t>
      </w:r>
      <w:r>
        <w:rPr>
          <w:color w:val="211F1F"/>
          <w:spacing w:val="-5"/>
          <w:sz w:val="24"/>
        </w:rPr>
        <w:t>or</w:t>
      </w:r>
    </w:p>
    <w:p w14:paraId="1C78B2A8" w14:textId="77777777" w:rsidR="00BB77C0" w:rsidRDefault="00370BAA">
      <w:pPr>
        <w:pStyle w:val="ListParagraph"/>
        <w:numPr>
          <w:ilvl w:val="1"/>
          <w:numId w:val="93"/>
        </w:numPr>
        <w:tabs>
          <w:tab w:val="left" w:pos="3600"/>
          <w:tab w:val="left" w:pos="3602"/>
        </w:tabs>
        <w:spacing w:before="255" w:line="237" w:lineRule="auto"/>
        <w:ind w:right="108" w:hanging="558"/>
        <w:jc w:val="both"/>
        <w:rPr>
          <w:sz w:val="24"/>
        </w:rPr>
      </w:pPr>
      <w:r>
        <w:rPr>
          <w:color w:val="211F1F"/>
          <w:sz w:val="24"/>
        </w:rPr>
        <w:t>furnish</w:t>
      </w:r>
      <w:r>
        <w:rPr>
          <w:color w:val="211F1F"/>
          <w:spacing w:val="-2"/>
          <w:sz w:val="24"/>
        </w:rPr>
        <w:t xml:space="preserve"> </w:t>
      </w:r>
      <w:r>
        <w:rPr>
          <w:color w:val="211F1F"/>
          <w:sz w:val="24"/>
        </w:rPr>
        <w:t>a</w:t>
      </w:r>
      <w:r>
        <w:rPr>
          <w:color w:val="211F1F"/>
          <w:spacing w:val="-4"/>
          <w:sz w:val="24"/>
        </w:rPr>
        <w:t xml:space="preserve"> </w:t>
      </w:r>
      <w:r>
        <w:rPr>
          <w:color w:val="211F1F"/>
          <w:sz w:val="24"/>
        </w:rPr>
        <w:t>Performance</w:t>
      </w:r>
      <w:r>
        <w:rPr>
          <w:color w:val="211F1F"/>
          <w:spacing w:val="-2"/>
          <w:sz w:val="24"/>
        </w:rPr>
        <w:t xml:space="preserve"> </w:t>
      </w:r>
      <w:r>
        <w:rPr>
          <w:color w:val="211F1F"/>
          <w:sz w:val="24"/>
        </w:rPr>
        <w:t>Security</w:t>
      </w:r>
      <w:r>
        <w:rPr>
          <w:color w:val="211F1F"/>
          <w:spacing w:val="-11"/>
          <w:sz w:val="24"/>
        </w:rPr>
        <w:t xml:space="preserve"> </w:t>
      </w:r>
      <w:r>
        <w:rPr>
          <w:color w:val="211F1F"/>
          <w:sz w:val="24"/>
        </w:rPr>
        <w:t>and if</w:t>
      </w:r>
      <w:r>
        <w:rPr>
          <w:color w:val="211F1F"/>
          <w:spacing w:val="-5"/>
          <w:sz w:val="24"/>
        </w:rPr>
        <w:t xml:space="preserve"> </w:t>
      </w:r>
      <w:r>
        <w:rPr>
          <w:color w:val="211F1F"/>
          <w:sz w:val="24"/>
        </w:rPr>
        <w:t>required in</w:t>
      </w:r>
      <w:r>
        <w:rPr>
          <w:color w:val="211F1F"/>
          <w:spacing w:val="-7"/>
          <w:sz w:val="24"/>
        </w:rPr>
        <w:t xml:space="preserve"> </w:t>
      </w:r>
      <w:r>
        <w:rPr>
          <w:color w:val="211F1F"/>
          <w:sz w:val="24"/>
        </w:rPr>
        <w:t>the</w:t>
      </w:r>
      <w:r>
        <w:rPr>
          <w:color w:val="211F1F"/>
          <w:spacing w:val="-4"/>
          <w:sz w:val="24"/>
        </w:rPr>
        <w:t xml:space="preserve"> </w:t>
      </w:r>
      <w:r>
        <w:rPr>
          <w:color w:val="211F1F"/>
          <w:sz w:val="24"/>
        </w:rPr>
        <w:t>TDS, and any other documents required in the TDS.</w:t>
      </w:r>
    </w:p>
    <w:p w14:paraId="5D6A851C" w14:textId="77777777" w:rsidR="00BB77C0" w:rsidRDefault="00370BAA">
      <w:pPr>
        <w:pStyle w:val="ListParagraph"/>
        <w:numPr>
          <w:ilvl w:val="1"/>
          <w:numId w:val="94"/>
        </w:numPr>
        <w:tabs>
          <w:tab w:val="left" w:pos="1439"/>
          <w:tab w:val="left" w:pos="1441"/>
        </w:tabs>
        <w:spacing w:line="261" w:lineRule="auto"/>
        <w:ind w:left="1441" w:right="95"/>
        <w:jc w:val="both"/>
        <w:rPr>
          <w:color w:val="211F1F"/>
          <w:sz w:val="24"/>
        </w:rPr>
      </w:pPr>
      <w:r>
        <w:rPr>
          <w:color w:val="211F1F"/>
          <w:sz w:val="24"/>
        </w:rPr>
        <w:t>Where</w:t>
      </w:r>
      <w:r>
        <w:rPr>
          <w:color w:val="211F1F"/>
          <w:spacing w:val="-1"/>
          <w:sz w:val="24"/>
        </w:rPr>
        <w:t xml:space="preserve"> </w:t>
      </w:r>
      <w:r>
        <w:rPr>
          <w:color w:val="211F1F"/>
          <w:sz w:val="24"/>
        </w:rPr>
        <w:t>tender securing declaration is</w:t>
      </w:r>
      <w:r>
        <w:rPr>
          <w:color w:val="211F1F"/>
          <w:spacing w:val="-1"/>
          <w:sz w:val="24"/>
        </w:rPr>
        <w:t xml:space="preserve"> </w:t>
      </w:r>
      <w:r>
        <w:rPr>
          <w:color w:val="211F1F"/>
          <w:sz w:val="24"/>
        </w:rPr>
        <w:t>executed,</w:t>
      </w:r>
      <w:r>
        <w:rPr>
          <w:color w:val="211F1F"/>
          <w:spacing w:val="-1"/>
          <w:sz w:val="24"/>
        </w:rPr>
        <w:t xml:space="preserve"> </w:t>
      </w:r>
      <w:r>
        <w:rPr>
          <w:color w:val="211F1F"/>
          <w:sz w:val="24"/>
        </w:rPr>
        <w:t>the</w:t>
      </w:r>
      <w:r>
        <w:rPr>
          <w:color w:val="211F1F"/>
          <w:spacing w:val="-1"/>
          <w:sz w:val="24"/>
        </w:rPr>
        <w:t xml:space="preserve"> </w:t>
      </w:r>
      <w:r>
        <w:rPr>
          <w:color w:val="211F1F"/>
          <w:sz w:val="24"/>
        </w:rPr>
        <w:t>Procuring Entity</w:t>
      </w:r>
      <w:r>
        <w:rPr>
          <w:color w:val="211F1F"/>
          <w:spacing w:val="-8"/>
          <w:sz w:val="24"/>
        </w:rPr>
        <w:t xml:space="preserve"> </w:t>
      </w:r>
      <w:r>
        <w:rPr>
          <w:color w:val="211F1F"/>
          <w:sz w:val="24"/>
        </w:rPr>
        <w:t>shall</w:t>
      </w:r>
      <w:r>
        <w:rPr>
          <w:color w:val="211F1F"/>
          <w:spacing w:val="-7"/>
          <w:sz w:val="24"/>
        </w:rPr>
        <w:t xml:space="preserve"> </w:t>
      </w:r>
      <w:r>
        <w:rPr>
          <w:color w:val="211F1F"/>
          <w:sz w:val="24"/>
        </w:rPr>
        <w:t>recommend to</w:t>
      </w:r>
      <w:r>
        <w:rPr>
          <w:color w:val="211F1F"/>
          <w:spacing w:val="-2"/>
          <w:sz w:val="24"/>
        </w:rPr>
        <w:t xml:space="preserve"> </w:t>
      </w:r>
      <w:r>
        <w:rPr>
          <w:color w:val="211F1F"/>
          <w:sz w:val="24"/>
        </w:rPr>
        <w:t>the</w:t>
      </w:r>
      <w:r>
        <w:rPr>
          <w:color w:val="211F1F"/>
          <w:spacing w:val="-2"/>
          <w:sz w:val="24"/>
        </w:rPr>
        <w:t xml:space="preserve"> </w:t>
      </w:r>
      <w:r>
        <w:rPr>
          <w:color w:val="211F1F"/>
          <w:sz w:val="24"/>
        </w:rPr>
        <w:t>PPRA</w:t>
      </w:r>
      <w:r>
        <w:rPr>
          <w:color w:val="211F1F"/>
          <w:spacing w:val="-7"/>
          <w:sz w:val="24"/>
        </w:rPr>
        <w:t xml:space="preserve"> </w:t>
      </w:r>
      <w:r>
        <w:rPr>
          <w:color w:val="211F1F"/>
          <w:sz w:val="24"/>
        </w:rPr>
        <w:t>that</w:t>
      </w:r>
      <w:r>
        <w:rPr>
          <w:color w:val="211F1F"/>
          <w:spacing w:val="-1"/>
          <w:sz w:val="24"/>
        </w:rPr>
        <w:t xml:space="preserve"> </w:t>
      </w:r>
      <w:r>
        <w:rPr>
          <w:color w:val="211F1F"/>
          <w:sz w:val="24"/>
        </w:rPr>
        <w:t>PPRA</w:t>
      </w:r>
      <w:r>
        <w:rPr>
          <w:color w:val="211F1F"/>
          <w:spacing w:val="-7"/>
          <w:sz w:val="24"/>
        </w:rPr>
        <w:t xml:space="preserve"> </w:t>
      </w:r>
      <w:r>
        <w:rPr>
          <w:color w:val="211F1F"/>
          <w:sz w:val="24"/>
        </w:rPr>
        <w:t>debars</w:t>
      </w:r>
      <w:r>
        <w:rPr>
          <w:color w:val="211F1F"/>
          <w:spacing w:val="-4"/>
          <w:sz w:val="24"/>
        </w:rPr>
        <w:t xml:space="preserve"> </w:t>
      </w:r>
      <w:r>
        <w:rPr>
          <w:color w:val="211F1F"/>
          <w:sz w:val="24"/>
        </w:rPr>
        <w:t>the</w:t>
      </w:r>
      <w:r>
        <w:rPr>
          <w:color w:val="211F1F"/>
          <w:spacing w:val="-3"/>
          <w:sz w:val="24"/>
        </w:rPr>
        <w:t xml:space="preserve"> </w:t>
      </w:r>
      <w:r>
        <w:rPr>
          <w:color w:val="211F1F"/>
          <w:sz w:val="24"/>
        </w:rPr>
        <w:t>Tenderer from</w:t>
      </w:r>
      <w:r>
        <w:rPr>
          <w:color w:val="211F1F"/>
          <w:spacing w:val="-6"/>
          <w:sz w:val="24"/>
        </w:rPr>
        <w:t xml:space="preserve"> </w:t>
      </w:r>
      <w:r>
        <w:rPr>
          <w:color w:val="211F1F"/>
          <w:sz w:val="24"/>
        </w:rPr>
        <w:t>participating in</w:t>
      </w:r>
      <w:r>
        <w:rPr>
          <w:color w:val="211F1F"/>
          <w:spacing w:val="-7"/>
          <w:sz w:val="24"/>
        </w:rPr>
        <w:t xml:space="preserve"> </w:t>
      </w:r>
      <w:r>
        <w:rPr>
          <w:color w:val="211F1F"/>
          <w:sz w:val="24"/>
        </w:rPr>
        <w:t>public</w:t>
      </w:r>
      <w:r>
        <w:rPr>
          <w:color w:val="211F1F"/>
          <w:spacing w:val="-2"/>
          <w:sz w:val="24"/>
        </w:rPr>
        <w:t xml:space="preserve"> </w:t>
      </w:r>
      <w:r>
        <w:rPr>
          <w:color w:val="211F1F"/>
          <w:sz w:val="24"/>
        </w:rPr>
        <w:t>procurement as provided in the law.</w:t>
      </w:r>
    </w:p>
    <w:p w14:paraId="5A817835" w14:textId="77777777" w:rsidR="00BB77C0" w:rsidRDefault="00370BAA">
      <w:pPr>
        <w:pStyle w:val="ListParagraph"/>
        <w:numPr>
          <w:ilvl w:val="1"/>
          <w:numId w:val="94"/>
        </w:numPr>
        <w:tabs>
          <w:tab w:val="left" w:pos="1441"/>
        </w:tabs>
        <w:spacing w:before="152" w:line="259" w:lineRule="auto"/>
        <w:ind w:left="1441" w:right="219"/>
        <w:jc w:val="left"/>
        <w:rPr>
          <w:color w:val="211F1F"/>
          <w:sz w:val="24"/>
        </w:rPr>
      </w:pPr>
      <w:r>
        <w:rPr>
          <w:color w:val="211F1F"/>
          <w:sz w:val="24"/>
        </w:rPr>
        <w:t>The</w:t>
      </w:r>
      <w:r>
        <w:rPr>
          <w:color w:val="211F1F"/>
          <w:spacing w:val="-7"/>
          <w:sz w:val="24"/>
        </w:rPr>
        <w:t xml:space="preserve"> </w:t>
      </w:r>
      <w:r>
        <w:rPr>
          <w:color w:val="211F1F"/>
          <w:sz w:val="24"/>
        </w:rPr>
        <w:t>Tender</w:t>
      </w:r>
      <w:r>
        <w:rPr>
          <w:color w:val="211F1F"/>
          <w:spacing w:val="-8"/>
          <w:sz w:val="24"/>
        </w:rPr>
        <w:t xml:space="preserve"> </w:t>
      </w:r>
      <w:r>
        <w:rPr>
          <w:color w:val="211F1F"/>
          <w:sz w:val="24"/>
        </w:rPr>
        <w:t>Security</w:t>
      </w:r>
      <w:r>
        <w:rPr>
          <w:color w:val="211F1F"/>
          <w:spacing w:val="-14"/>
          <w:sz w:val="24"/>
        </w:rPr>
        <w:t xml:space="preserve"> </w:t>
      </w:r>
      <w:r>
        <w:rPr>
          <w:color w:val="211F1F"/>
          <w:sz w:val="24"/>
        </w:rPr>
        <w:t>or</w:t>
      </w:r>
      <w:r>
        <w:rPr>
          <w:color w:val="211F1F"/>
          <w:spacing w:val="-9"/>
          <w:sz w:val="24"/>
        </w:rPr>
        <w:t xml:space="preserve"> </w:t>
      </w:r>
      <w:r>
        <w:rPr>
          <w:color w:val="211F1F"/>
          <w:sz w:val="24"/>
        </w:rPr>
        <w:t>the</w:t>
      </w:r>
      <w:r>
        <w:rPr>
          <w:color w:val="211F1F"/>
          <w:spacing w:val="-7"/>
          <w:sz w:val="24"/>
        </w:rPr>
        <w:t xml:space="preserve"> </w:t>
      </w:r>
      <w:r>
        <w:rPr>
          <w:color w:val="211F1F"/>
          <w:sz w:val="24"/>
        </w:rPr>
        <w:t>Tender-Securing</w:t>
      </w:r>
      <w:r>
        <w:rPr>
          <w:color w:val="211F1F"/>
          <w:spacing w:val="-5"/>
          <w:sz w:val="24"/>
        </w:rPr>
        <w:t xml:space="preserve"> </w:t>
      </w:r>
      <w:r>
        <w:rPr>
          <w:color w:val="211F1F"/>
          <w:sz w:val="24"/>
        </w:rPr>
        <w:t>Declaration</w:t>
      </w:r>
      <w:r>
        <w:rPr>
          <w:color w:val="211F1F"/>
          <w:spacing w:val="-9"/>
          <w:sz w:val="24"/>
        </w:rPr>
        <w:t xml:space="preserve"> </w:t>
      </w:r>
      <w:r>
        <w:rPr>
          <w:color w:val="211F1F"/>
          <w:sz w:val="24"/>
        </w:rPr>
        <w:t>of</w:t>
      </w:r>
      <w:r>
        <w:rPr>
          <w:color w:val="211F1F"/>
          <w:spacing w:val="-14"/>
          <w:sz w:val="24"/>
        </w:rPr>
        <w:t xml:space="preserve"> </w:t>
      </w:r>
      <w:r>
        <w:rPr>
          <w:color w:val="211F1F"/>
          <w:sz w:val="24"/>
        </w:rPr>
        <w:t>a</w:t>
      </w:r>
      <w:r>
        <w:rPr>
          <w:color w:val="211F1F"/>
          <w:spacing w:val="-7"/>
          <w:sz w:val="24"/>
        </w:rPr>
        <w:t xml:space="preserve"> </w:t>
      </w:r>
      <w:r>
        <w:rPr>
          <w:color w:val="211F1F"/>
          <w:sz w:val="24"/>
        </w:rPr>
        <w:t>JV</w:t>
      </w:r>
      <w:r>
        <w:rPr>
          <w:color w:val="211F1F"/>
          <w:spacing w:val="-6"/>
          <w:sz w:val="24"/>
        </w:rPr>
        <w:t xml:space="preserve"> </w:t>
      </w:r>
      <w:r>
        <w:rPr>
          <w:color w:val="211F1F"/>
          <w:sz w:val="24"/>
        </w:rPr>
        <w:t>shall</w:t>
      </w:r>
      <w:r>
        <w:rPr>
          <w:color w:val="211F1F"/>
          <w:spacing w:val="-4"/>
          <w:sz w:val="24"/>
        </w:rPr>
        <w:t xml:space="preserve"> </w:t>
      </w:r>
      <w:r>
        <w:rPr>
          <w:color w:val="211F1F"/>
          <w:sz w:val="24"/>
        </w:rPr>
        <w:t>be</w:t>
      </w:r>
      <w:r>
        <w:rPr>
          <w:color w:val="211F1F"/>
          <w:spacing w:val="-2"/>
          <w:sz w:val="24"/>
        </w:rPr>
        <w:t xml:space="preserve"> </w:t>
      </w:r>
      <w:r>
        <w:rPr>
          <w:color w:val="211F1F"/>
          <w:sz w:val="24"/>
        </w:rPr>
        <w:t>in</w:t>
      </w:r>
      <w:r>
        <w:rPr>
          <w:color w:val="211F1F"/>
          <w:spacing w:val="-6"/>
          <w:sz w:val="24"/>
        </w:rPr>
        <w:t xml:space="preserve"> </w:t>
      </w:r>
      <w:r>
        <w:rPr>
          <w:color w:val="211F1F"/>
          <w:sz w:val="24"/>
        </w:rPr>
        <w:t>the</w:t>
      </w:r>
      <w:r>
        <w:rPr>
          <w:color w:val="211F1F"/>
          <w:spacing w:val="-7"/>
          <w:sz w:val="24"/>
        </w:rPr>
        <w:t xml:space="preserve"> </w:t>
      </w:r>
      <w:r>
        <w:rPr>
          <w:color w:val="211F1F"/>
          <w:sz w:val="24"/>
        </w:rPr>
        <w:t>name of the JV that submits the Tender. If the JV has not been legally constituted into a legally enforceable JV at the time of tendering, the Tender Security or the Tender- Securing Declaration shall be in the names of all future members as named in the letter of intent referred to in ITT 4.1 and ITT 11.2.</w:t>
      </w:r>
    </w:p>
    <w:p w14:paraId="33ED7ED1" w14:textId="77777777" w:rsidR="00BB77C0" w:rsidRDefault="00370BAA">
      <w:pPr>
        <w:pStyle w:val="ListParagraph"/>
        <w:numPr>
          <w:ilvl w:val="1"/>
          <w:numId w:val="94"/>
        </w:numPr>
        <w:tabs>
          <w:tab w:val="left" w:pos="1439"/>
        </w:tabs>
        <w:spacing w:before="162"/>
        <w:ind w:left="1439" w:hanging="719"/>
        <w:jc w:val="left"/>
        <w:rPr>
          <w:color w:val="211F1F"/>
          <w:sz w:val="24"/>
        </w:rPr>
      </w:pPr>
      <w:r>
        <w:rPr>
          <w:color w:val="211F1F"/>
          <w:sz w:val="24"/>
        </w:rPr>
        <w:t>A</w:t>
      </w:r>
      <w:r>
        <w:rPr>
          <w:color w:val="211F1F"/>
          <w:spacing w:val="-13"/>
          <w:sz w:val="24"/>
        </w:rPr>
        <w:t xml:space="preserve"> </w:t>
      </w:r>
      <w:r>
        <w:rPr>
          <w:color w:val="211F1F"/>
          <w:sz w:val="24"/>
        </w:rPr>
        <w:t>tenderer</w:t>
      </w:r>
      <w:r>
        <w:rPr>
          <w:color w:val="211F1F"/>
          <w:spacing w:val="1"/>
          <w:sz w:val="24"/>
        </w:rPr>
        <w:t xml:space="preserve"> </w:t>
      </w:r>
      <w:r>
        <w:rPr>
          <w:color w:val="211F1F"/>
          <w:sz w:val="24"/>
        </w:rPr>
        <w:t>shall</w:t>
      </w:r>
      <w:r>
        <w:rPr>
          <w:color w:val="211F1F"/>
          <w:spacing w:val="-5"/>
          <w:sz w:val="24"/>
        </w:rPr>
        <w:t xml:space="preserve"> </w:t>
      </w:r>
      <w:r>
        <w:rPr>
          <w:color w:val="211F1F"/>
          <w:sz w:val="24"/>
        </w:rPr>
        <w:t>not</w:t>
      </w:r>
      <w:r>
        <w:rPr>
          <w:color w:val="211F1F"/>
          <w:spacing w:val="-1"/>
          <w:sz w:val="24"/>
        </w:rPr>
        <w:t xml:space="preserve"> </w:t>
      </w:r>
      <w:r>
        <w:rPr>
          <w:color w:val="211F1F"/>
          <w:sz w:val="24"/>
        </w:rPr>
        <w:t>issue</w:t>
      </w:r>
      <w:r>
        <w:rPr>
          <w:color w:val="211F1F"/>
          <w:spacing w:val="-3"/>
          <w:sz w:val="24"/>
        </w:rPr>
        <w:t xml:space="preserve"> </w:t>
      </w:r>
      <w:r>
        <w:rPr>
          <w:color w:val="211F1F"/>
          <w:sz w:val="24"/>
        </w:rPr>
        <w:t>a</w:t>
      </w:r>
      <w:r>
        <w:rPr>
          <w:color w:val="211F1F"/>
          <w:spacing w:val="-2"/>
          <w:sz w:val="24"/>
        </w:rPr>
        <w:t xml:space="preserve"> </w:t>
      </w:r>
      <w:r>
        <w:rPr>
          <w:color w:val="211F1F"/>
          <w:sz w:val="24"/>
        </w:rPr>
        <w:t>tender security</w:t>
      </w:r>
      <w:r>
        <w:rPr>
          <w:color w:val="211F1F"/>
          <w:spacing w:val="-9"/>
          <w:sz w:val="24"/>
        </w:rPr>
        <w:t xml:space="preserve"> </w:t>
      </w:r>
      <w:r>
        <w:rPr>
          <w:color w:val="211F1F"/>
          <w:sz w:val="24"/>
        </w:rPr>
        <w:t>to</w:t>
      </w:r>
      <w:r>
        <w:rPr>
          <w:color w:val="211F1F"/>
          <w:spacing w:val="3"/>
          <w:sz w:val="24"/>
        </w:rPr>
        <w:t xml:space="preserve"> </w:t>
      </w:r>
      <w:r>
        <w:rPr>
          <w:color w:val="211F1F"/>
          <w:sz w:val="24"/>
        </w:rPr>
        <w:t>guarantee</w:t>
      </w:r>
      <w:r>
        <w:rPr>
          <w:color w:val="211F1F"/>
          <w:spacing w:val="-1"/>
          <w:sz w:val="24"/>
        </w:rPr>
        <w:t xml:space="preserve"> </w:t>
      </w:r>
      <w:r>
        <w:rPr>
          <w:color w:val="211F1F"/>
          <w:spacing w:val="-2"/>
          <w:sz w:val="24"/>
        </w:rPr>
        <w:t>itself.</w:t>
      </w:r>
    </w:p>
    <w:p w14:paraId="3926F18A" w14:textId="77777777" w:rsidR="00BB77C0" w:rsidRDefault="00BB77C0">
      <w:pPr>
        <w:pStyle w:val="BodyText"/>
        <w:rPr>
          <w:sz w:val="24"/>
        </w:rPr>
      </w:pPr>
    </w:p>
    <w:p w14:paraId="260D1E44" w14:textId="77777777" w:rsidR="00BB77C0" w:rsidRDefault="00BB77C0">
      <w:pPr>
        <w:pStyle w:val="BodyText"/>
        <w:spacing w:before="170"/>
        <w:rPr>
          <w:sz w:val="24"/>
        </w:rPr>
      </w:pPr>
    </w:p>
    <w:p w14:paraId="604ED617" w14:textId="77777777" w:rsidR="00BB77C0" w:rsidRDefault="00370BAA">
      <w:pPr>
        <w:pStyle w:val="Heading6"/>
        <w:numPr>
          <w:ilvl w:val="1"/>
          <w:numId w:val="92"/>
        </w:numPr>
        <w:tabs>
          <w:tab w:val="left" w:pos="720"/>
        </w:tabs>
        <w:ind w:hanging="720"/>
        <w:jc w:val="left"/>
      </w:pPr>
      <w:bookmarkStart w:id="54" w:name="22.0_Format_and_Signing_of_Tender"/>
      <w:bookmarkStart w:id="55" w:name="_bookmark26"/>
      <w:bookmarkEnd w:id="54"/>
      <w:bookmarkEnd w:id="55"/>
      <w:r>
        <w:t>Format</w:t>
      </w:r>
      <w:r>
        <w:rPr>
          <w:spacing w:val="-3"/>
        </w:rPr>
        <w:t xml:space="preserve"> </w:t>
      </w:r>
      <w:r>
        <w:t>and</w:t>
      </w:r>
      <w:r>
        <w:rPr>
          <w:spacing w:val="1"/>
        </w:rPr>
        <w:t xml:space="preserve"> </w:t>
      </w:r>
      <w:r>
        <w:t>Signing</w:t>
      </w:r>
      <w:r>
        <w:rPr>
          <w:spacing w:val="-4"/>
        </w:rPr>
        <w:t xml:space="preserve"> </w:t>
      </w:r>
      <w:r>
        <w:t>of</w:t>
      </w:r>
      <w:r>
        <w:rPr>
          <w:spacing w:val="-7"/>
        </w:rPr>
        <w:t xml:space="preserve"> </w:t>
      </w:r>
      <w:r>
        <w:rPr>
          <w:spacing w:val="-2"/>
        </w:rPr>
        <w:t>Tender</w:t>
      </w:r>
    </w:p>
    <w:p w14:paraId="4B7823D2" w14:textId="77777777" w:rsidR="00BB77C0" w:rsidRDefault="00370BAA">
      <w:pPr>
        <w:pStyle w:val="ListParagraph"/>
        <w:numPr>
          <w:ilvl w:val="1"/>
          <w:numId w:val="92"/>
        </w:numPr>
        <w:tabs>
          <w:tab w:val="left" w:pos="1441"/>
        </w:tabs>
        <w:spacing w:before="75" w:line="259" w:lineRule="auto"/>
        <w:ind w:left="1441" w:right="277"/>
        <w:jc w:val="left"/>
        <w:rPr>
          <w:color w:val="211F1F"/>
          <w:sz w:val="24"/>
        </w:rPr>
      </w:pPr>
      <w:r>
        <w:rPr>
          <w:color w:val="211F1F"/>
          <w:sz w:val="24"/>
        </w:rPr>
        <w:t>The Tenderer shall</w:t>
      </w:r>
      <w:r>
        <w:rPr>
          <w:color w:val="211F1F"/>
          <w:spacing w:val="-8"/>
          <w:sz w:val="24"/>
        </w:rPr>
        <w:t xml:space="preserve"> </w:t>
      </w:r>
      <w:r>
        <w:rPr>
          <w:color w:val="211F1F"/>
          <w:sz w:val="24"/>
        </w:rPr>
        <w:t>prepare one original</w:t>
      </w:r>
      <w:r>
        <w:rPr>
          <w:color w:val="211F1F"/>
          <w:spacing w:val="-8"/>
          <w:sz w:val="24"/>
        </w:rPr>
        <w:t xml:space="preserve"> </w:t>
      </w:r>
      <w:r>
        <w:rPr>
          <w:color w:val="211F1F"/>
          <w:sz w:val="24"/>
        </w:rPr>
        <w:t>of</w:t>
      </w:r>
      <w:r>
        <w:rPr>
          <w:color w:val="211F1F"/>
          <w:spacing w:val="-7"/>
          <w:sz w:val="24"/>
        </w:rPr>
        <w:t xml:space="preserve"> </w:t>
      </w:r>
      <w:r>
        <w:rPr>
          <w:color w:val="211F1F"/>
          <w:sz w:val="24"/>
        </w:rPr>
        <w:t>the documents</w:t>
      </w:r>
      <w:r>
        <w:rPr>
          <w:color w:val="211F1F"/>
          <w:spacing w:val="-1"/>
          <w:sz w:val="24"/>
        </w:rPr>
        <w:t xml:space="preserve"> </w:t>
      </w:r>
      <w:r>
        <w:rPr>
          <w:color w:val="211F1F"/>
          <w:sz w:val="24"/>
        </w:rPr>
        <w:t>comprising the Tender as described in ITT 11 and clearly mark it “ORIGINAL.” Alternative Tenders, if permitted</w:t>
      </w:r>
      <w:r>
        <w:rPr>
          <w:color w:val="211F1F"/>
          <w:spacing w:val="-11"/>
          <w:sz w:val="24"/>
        </w:rPr>
        <w:t xml:space="preserve"> </w:t>
      </w:r>
      <w:r>
        <w:rPr>
          <w:color w:val="211F1F"/>
          <w:sz w:val="24"/>
        </w:rPr>
        <w:t>in</w:t>
      </w:r>
      <w:r>
        <w:rPr>
          <w:color w:val="211F1F"/>
          <w:spacing w:val="-15"/>
          <w:sz w:val="24"/>
        </w:rPr>
        <w:t xml:space="preserve"> </w:t>
      </w:r>
      <w:r>
        <w:rPr>
          <w:color w:val="211F1F"/>
          <w:sz w:val="24"/>
        </w:rPr>
        <w:t>accordance</w:t>
      </w:r>
      <w:r>
        <w:rPr>
          <w:color w:val="211F1F"/>
          <w:spacing w:val="-11"/>
          <w:sz w:val="24"/>
        </w:rPr>
        <w:t xml:space="preserve"> </w:t>
      </w:r>
      <w:r>
        <w:rPr>
          <w:color w:val="211F1F"/>
          <w:sz w:val="24"/>
        </w:rPr>
        <w:t>with</w:t>
      </w:r>
      <w:r>
        <w:rPr>
          <w:color w:val="211F1F"/>
          <w:spacing w:val="-15"/>
          <w:sz w:val="24"/>
        </w:rPr>
        <w:t xml:space="preserve"> </w:t>
      </w:r>
      <w:r>
        <w:rPr>
          <w:color w:val="211F1F"/>
          <w:sz w:val="24"/>
        </w:rPr>
        <w:t>ITT</w:t>
      </w:r>
      <w:r>
        <w:rPr>
          <w:color w:val="211F1F"/>
          <w:spacing w:val="-9"/>
          <w:sz w:val="24"/>
        </w:rPr>
        <w:t xml:space="preserve"> </w:t>
      </w:r>
      <w:r>
        <w:rPr>
          <w:color w:val="211F1F"/>
          <w:sz w:val="24"/>
        </w:rPr>
        <w:t>13,</w:t>
      </w:r>
      <w:r>
        <w:rPr>
          <w:color w:val="211F1F"/>
          <w:spacing w:val="-9"/>
          <w:sz w:val="24"/>
        </w:rPr>
        <w:t xml:space="preserve"> </w:t>
      </w:r>
      <w:r>
        <w:rPr>
          <w:color w:val="211F1F"/>
          <w:sz w:val="24"/>
        </w:rPr>
        <w:t>shall</w:t>
      </w:r>
      <w:r>
        <w:rPr>
          <w:color w:val="211F1F"/>
          <w:spacing w:val="-15"/>
          <w:sz w:val="24"/>
        </w:rPr>
        <w:t xml:space="preserve"> </w:t>
      </w:r>
      <w:r>
        <w:rPr>
          <w:color w:val="211F1F"/>
          <w:sz w:val="24"/>
        </w:rPr>
        <w:t>be</w:t>
      </w:r>
      <w:r>
        <w:rPr>
          <w:color w:val="211F1F"/>
          <w:spacing w:val="-12"/>
          <w:sz w:val="24"/>
        </w:rPr>
        <w:t xml:space="preserve"> </w:t>
      </w:r>
      <w:r>
        <w:rPr>
          <w:color w:val="211F1F"/>
          <w:sz w:val="24"/>
        </w:rPr>
        <w:t>clearly</w:t>
      </w:r>
      <w:r>
        <w:rPr>
          <w:color w:val="211F1F"/>
          <w:spacing w:val="-11"/>
          <w:sz w:val="24"/>
        </w:rPr>
        <w:t xml:space="preserve"> </w:t>
      </w:r>
      <w:r>
        <w:rPr>
          <w:color w:val="211F1F"/>
          <w:sz w:val="24"/>
        </w:rPr>
        <w:t>marked</w:t>
      </w:r>
      <w:r>
        <w:rPr>
          <w:color w:val="211F1F"/>
          <w:spacing w:val="-6"/>
          <w:sz w:val="24"/>
        </w:rPr>
        <w:t xml:space="preserve"> </w:t>
      </w:r>
      <w:r>
        <w:rPr>
          <w:color w:val="211F1F"/>
          <w:sz w:val="24"/>
        </w:rPr>
        <w:t>“ALTERNATIVE.”</w:t>
      </w:r>
      <w:r>
        <w:rPr>
          <w:color w:val="211F1F"/>
          <w:spacing w:val="-15"/>
          <w:sz w:val="24"/>
        </w:rPr>
        <w:t xml:space="preserve"> </w:t>
      </w:r>
      <w:r>
        <w:rPr>
          <w:color w:val="211F1F"/>
          <w:sz w:val="24"/>
        </w:rPr>
        <w:t>In addition,</w:t>
      </w:r>
      <w:r>
        <w:rPr>
          <w:color w:val="211F1F"/>
          <w:spacing w:val="-1"/>
          <w:sz w:val="24"/>
        </w:rPr>
        <w:t xml:space="preserve"> </w:t>
      </w:r>
      <w:r>
        <w:rPr>
          <w:color w:val="211F1F"/>
          <w:sz w:val="24"/>
        </w:rPr>
        <w:t>the</w:t>
      </w:r>
      <w:r>
        <w:rPr>
          <w:color w:val="211F1F"/>
          <w:spacing w:val="-4"/>
          <w:sz w:val="24"/>
        </w:rPr>
        <w:t xml:space="preserve"> </w:t>
      </w:r>
      <w:r>
        <w:rPr>
          <w:color w:val="211F1F"/>
          <w:sz w:val="24"/>
        </w:rPr>
        <w:t>Tenderer</w:t>
      </w:r>
      <w:r>
        <w:rPr>
          <w:color w:val="211F1F"/>
          <w:spacing w:val="-2"/>
          <w:sz w:val="24"/>
        </w:rPr>
        <w:t xml:space="preserve"> </w:t>
      </w:r>
      <w:r>
        <w:rPr>
          <w:color w:val="211F1F"/>
          <w:sz w:val="24"/>
        </w:rPr>
        <w:t>shall</w:t>
      </w:r>
      <w:r>
        <w:rPr>
          <w:color w:val="211F1F"/>
          <w:spacing w:val="-6"/>
          <w:sz w:val="24"/>
        </w:rPr>
        <w:t xml:space="preserve"> </w:t>
      </w:r>
      <w:r>
        <w:rPr>
          <w:color w:val="211F1F"/>
          <w:sz w:val="24"/>
        </w:rPr>
        <w:t>submit copies</w:t>
      </w:r>
      <w:r>
        <w:rPr>
          <w:color w:val="211F1F"/>
          <w:spacing w:val="-5"/>
          <w:sz w:val="24"/>
        </w:rPr>
        <w:t xml:space="preserve"> </w:t>
      </w:r>
      <w:r>
        <w:rPr>
          <w:color w:val="211F1F"/>
          <w:sz w:val="24"/>
        </w:rPr>
        <w:t>of</w:t>
      </w:r>
      <w:r>
        <w:rPr>
          <w:color w:val="211F1F"/>
          <w:spacing w:val="-10"/>
          <w:sz w:val="24"/>
        </w:rPr>
        <w:t xml:space="preserve"> </w:t>
      </w:r>
      <w:r>
        <w:rPr>
          <w:color w:val="211F1F"/>
          <w:sz w:val="24"/>
        </w:rPr>
        <w:t>the</w:t>
      </w:r>
      <w:r>
        <w:rPr>
          <w:color w:val="211F1F"/>
          <w:spacing w:val="-4"/>
          <w:sz w:val="24"/>
        </w:rPr>
        <w:t xml:space="preserve"> </w:t>
      </w:r>
      <w:r>
        <w:rPr>
          <w:color w:val="211F1F"/>
          <w:sz w:val="24"/>
        </w:rPr>
        <w:t>Tender, in</w:t>
      </w:r>
      <w:r>
        <w:rPr>
          <w:color w:val="211F1F"/>
          <w:spacing w:val="-7"/>
          <w:sz w:val="24"/>
        </w:rPr>
        <w:t xml:space="preserve"> </w:t>
      </w:r>
      <w:r>
        <w:rPr>
          <w:color w:val="211F1F"/>
          <w:sz w:val="24"/>
        </w:rPr>
        <w:t>the</w:t>
      </w:r>
      <w:r>
        <w:rPr>
          <w:color w:val="211F1F"/>
          <w:spacing w:val="-4"/>
          <w:sz w:val="24"/>
        </w:rPr>
        <w:t xml:space="preserve"> </w:t>
      </w:r>
      <w:r>
        <w:rPr>
          <w:color w:val="211F1F"/>
          <w:sz w:val="24"/>
        </w:rPr>
        <w:t xml:space="preserve">number </w:t>
      </w:r>
      <w:r>
        <w:rPr>
          <w:b/>
          <w:color w:val="211F1F"/>
          <w:sz w:val="24"/>
        </w:rPr>
        <w:t>specified</w:t>
      </w:r>
      <w:r>
        <w:rPr>
          <w:b/>
          <w:color w:val="211F1F"/>
          <w:spacing w:val="-3"/>
          <w:sz w:val="24"/>
        </w:rPr>
        <w:t xml:space="preserve"> </w:t>
      </w:r>
      <w:r>
        <w:rPr>
          <w:b/>
          <w:color w:val="211F1F"/>
          <w:sz w:val="24"/>
        </w:rPr>
        <w:t>in</w:t>
      </w:r>
    </w:p>
    <w:p w14:paraId="5B03059B" w14:textId="77777777" w:rsidR="00BB77C0" w:rsidRDefault="00BB77C0">
      <w:pPr>
        <w:pStyle w:val="ListParagraph"/>
        <w:spacing w:line="259" w:lineRule="auto"/>
        <w:rPr>
          <w:sz w:val="24"/>
        </w:rPr>
        <w:sectPr w:rsidR="00BB77C0">
          <w:pgSz w:w="11930" w:h="16870"/>
          <w:pgMar w:top="1340" w:right="1080" w:bottom="280" w:left="1080" w:header="720" w:footer="720" w:gutter="0"/>
          <w:cols w:space="720"/>
        </w:sectPr>
      </w:pPr>
    </w:p>
    <w:p w14:paraId="1DFAEEBE" w14:textId="77777777" w:rsidR="00BB77C0" w:rsidRDefault="00370BAA">
      <w:pPr>
        <w:spacing w:before="75" w:line="264" w:lineRule="auto"/>
        <w:ind w:left="1441"/>
        <w:rPr>
          <w:sz w:val="24"/>
        </w:rPr>
      </w:pPr>
      <w:r>
        <w:rPr>
          <w:b/>
          <w:color w:val="211F1F"/>
          <w:sz w:val="24"/>
        </w:rPr>
        <w:lastRenderedPageBreak/>
        <w:t>the</w:t>
      </w:r>
      <w:r>
        <w:rPr>
          <w:b/>
          <w:color w:val="211F1F"/>
          <w:spacing w:val="-7"/>
          <w:sz w:val="24"/>
        </w:rPr>
        <w:t xml:space="preserve"> </w:t>
      </w:r>
      <w:r>
        <w:rPr>
          <w:b/>
          <w:color w:val="211F1F"/>
          <w:sz w:val="24"/>
        </w:rPr>
        <w:t>TDS</w:t>
      </w:r>
      <w:r>
        <w:rPr>
          <w:b/>
          <w:color w:val="211F1F"/>
          <w:spacing w:val="-6"/>
          <w:sz w:val="24"/>
        </w:rPr>
        <w:t xml:space="preserve"> </w:t>
      </w:r>
      <w:r>
        <w:rPr>
          <w:color w:val="211F1F"/>
          <w:sz w:val="24"/>
        </w:rPr>
        <w:t>and</w:t>
      </w:r>
      <w:r>
        <w:rPr>
          <w:color w:val="211F1F"/>
          <w:spacing w:val="-6"/>
          <w:sz w:val="24"/>
        </w:rPr>
        <w:t xml:space="preserve"> </w:t>
      </w:r>
      <w:r>
        <w:rPr>
          <w:color w:val="211F1F"/>
          <w:sz w:val="24"/>
        </w:rPr>
        <w:t>clearly</w:t>
      </w:r>
      <w:r>
        <w:rPr>
          <w:color w:val="211F1F"/>
          <w:spacing w:val="-6"/>
          <w:sz w:val="24"/>
        </w:rPr>
        <w:t xml:space="preserve"> </w:t>
      </w:r>
      <w:r>
        <w:rPr>
          <w:color w:val="211F1F"/>
          <w:sz w:val="24"/>
        </w:rPr>
        <w:t>mark</w:t>
      </w:r>
      <w:r>
        <w:rPr>
          <w:color w:val="211F1F"/>
          <w:spacing w:val="-6"/>
          <w:sz w:val="24"/>
        </w:rPr>
        <w:t xml:space="preserve"> </w:t>
      </w:r>
      <w:r>
        <w:rPr>
          <w:color w:val="211F1F"/>
          <w:sz w:val="24"/>
        </w:rPr>
        <w:t>them</w:t>
      </w:r>
      <w:r>
        <w:rPr>
          <w:color w:val="211F1F"/>
          <w:spacing w:val="-14"/>
          <w:sz w:val="24"/>
        </w:rPr>
        <w:t xml:space="preserve"> </w:t>
      </w:r>
      <w:r>
        <w:rPr>
          <w:color w:val="211F1F"/>
          <w:sz w:val="24"/>
        </w:rPr>
        <w:t>“COPY.”</w:t>
      </w:r>
      <w:r>
        <w:rPr>
          <w:color w:val="211F1F"/>
          <w:spacing w:val="-15"/>
          <w:sz w:val="24"/>
        </w:rPr>
        <w:t xml:space="preserve"> </w:t>
      </w:r>
      <w:r>
        <w:rPr>
          <w:color w:val="211F1F"/>
          <w:sz w:val="24"/>
        </w:rPr>
        <w:t>In</w:t>
      </w:r>
      <w:r>
        <w:rPr>
          <w:color w:val="211F1F"/>
          <w:spacing w:val="-10"/>
          <w:sz w:val="24"/>
        </w:rPr>
        <w:t xml:space="preserve"> </w:t>
      </w:r>
      <w:r>
        <w:rPr>
          <w:color w:val="211F1F"/>
          <w:sz w:val="24"/>
        </w:rPr>
        <w:t>the</w:t>
      </w:r>
      <w:r>
        <w:rPr>
          <w:color w:val="211F1F"/>
          <w:spacing w:val="-7"/>
          <w:sz w:val="24"/>
        </w:rPr>
        <w:t xml:space="preserve"> </w:t>
      </w:r>
      <w:r>
        <w:rPr>
          <w:color w:val="211F1F"/>
          <w:sz w:val="24"/>
        </w:rPr>
        <w:t>event</w:t>
      </w:r>
      <w:r>
        <w:rPr>
          <w:color w:val="211F1F"/>
          <w:spacing w:val="-1"/>
          <w:sz w:val="24"/>
        </w:rPr>
        <w:t xml:space="preserve"> </w:t>
      </w:r>
      <w:r>
        <w:rPr>
          <w:color w:val="211F1F"/>
          <w:sz w:val="24"/>
        </w:rPr>
        <w:t>of</w:t>
      </w:r>
      <w:r>
        <w:rPr>
          <w:color w:val="211F1F"/>
          <w:spacing w:val="-13"/>
          <w:sz w:val="24"/>
        </w:rPr>
        <w:t xml:space="preserve"> </w:t>
      </w:r>
      <w:r>
        <w:rPr>
          <w:color w:val="211F1F"/>
          <w:sz w:val="24"/>
        </w:rPr>
        <w:t>any</w:t>
      </w:r>
      <w:r>
        <w:rPr>
          <w:color w:val="211F1F"/>
          <w:spacing w:val="-15"/>
          <w:sz w:val="24"/>
        </w:rPr>
        <w:t xml:space="preserve"> </w:t>
      </w:r>
      <w:r>
        <w:rPr>
          <w:color w:val="211F1F"/>
          <w:sz w:val="24"/>
        </w:rPr>
        <w:t>discrepancy</w:t>
      </w:r>
      <w:r>
        <w:rPr>
          <w:color w:val="211F1F"/>
          <w:spacing w:val="-5"/>
          <w:sz w:val="24"/>
        </w:rPr>
        <w:t xml:space="preserve"> </w:t>
      </w:r>
      <w:r>
        <w:rPr>
          <w:color w:val="211F1F"/>
          <w:sz w:val="24"/>
        </w:rPr>
        <w:t>between</w:t>
      </w:r>
      <w:r>
        <w:rPr>
          <w:color w:val="211F1F"/>
          <w:spacing w:val="-10"/>
          <w:sz w:val="24"/>
        </w:rPr>
        <w:t xml:space="preserve"> </w:t>
      </w:r>
      <w:r>
        <w:rPr>
          <w:color w:val="211F1F"/>
          <w:sz w:val="24"/>
        </w:rPr>
        <w:t>the original and the copies, the original shall prevail.</w:t>
      </w:r>
    </w:p>
    <w:p w14:paraId="3EA5A3EC" w14:textId="77777777" w:rsidR="00BB77C0" w:rsidRDefault="00370BAA">
      <w:pPr>
        <w:pStyle w:val="ListParagraph"/>
        <w:numPr>
          <w:ilvl w:val="1"/>
          <w:numId w:val="92"/>
        </w:numPr>
        <w:tabs>
          <w:tab w:val="left" w:pos="1439"/>
          <w:tab w:val="left" w:pos="1441"/>
        </w:tabs>
        <w:spacing w:before="152" w:line="259" w:lineRule="auto"/>
        <w:ind w:left="1441" w:right="73"/>
        <w:jc w:val="both"/>
        <w:rPr>
          <w:color w:val="211F1F"/>
          <w:sz w:val="24"/>
        </w:rPr>
      </w:pPr>
      <w:r>
        <w:rPr>
          <w:color w:val="211F1F"/>
          <w:sz w:val="24"/>
        </w:rPr>
        <w:t>Tenderers</w:t>
      </w:r>
      <w:r>
        <w:rPr>
          <w:color w:val="211F1F"/>
          <w:spacing w:val="-4"/>
          <w:sz w:val="24"/>
        </w:rPr>
        <w:t xml:space="preserve"> </w:t>
      </w:r>
      <w:r>
        <w:rPr>
          <w:color w:val="211F1F"/>
          <w:sz w:val="24"/>
        </w:rPr>
        <w:t>shall</w:t>
      </w:r>
      <w:r>
        <w:rPr>
          <w:color w:val="211F1F"/>
          <w:spacing w:val="-6"/>
          <w:sz w:val="24"/>
        </w:rPr>
        <w:t xml:space="preserve"> </w:t>
      </w:r>
      <w:r>
        <w:rPr>
          <w:color w:val="211F1F"/>
          <w:sz w:val="24"/>
        </w:rPr>
        <w:t>mark</w:t>
      </w:r>
      <w:r>
        <w:rPr>
          <w:color w:val="211F1F"/>
          <w:spacing w:val="-3"/>
          <w:sz w:val="24"/>
        </w:rPr>
        <w:t xml:space="preserve"> </w:t>
      </w:r>
      <w:r>
        <w:rPr>
          <w:color w:val="211F1F"/>
          <w:sz w:val="24"/>
        </w:rPr>
        <w:t>as</w:t>
      </w:r>
      <w:r>
        <w:rPr>
          <w:color w:val="211F1F"/>
          <w:spacing w:val="-1"/>
          <w:sz w:val="24"/>
        </w:rPr>
        <w:t xml:space="preserve"> </w:t>
      </w:r>
      <w:r>
        <w:rPr>
          <w:color w:val="211F1F"/>
          <w:sz w:val="24"/>
        </w:rPr>
        <w:t>“CONFIDENTIAL”</w:t>
      </w:r>
      <w:r>
        <w:rPr>
          <w:color w:val="211F1F"/>
          <w:spacing w:val="-3"/>
          <w:sz w:val="24"/>
        </w:rPr>
        <w:t xml:space="preserve"> </w:t>
      </w:r>
      <w:r>
        <w:rPr>
          <w:color w:val="211F1F"/>
          <w:sz w:val="24"/>
        </w:rPr>
        <w:t>all</w:t>
      </w:r>
      <w:r>
        <w:rPr>
          <w:color w:val="211F1F"/>
          <w:spacing w:val="-7"/>
          <w:sz w:val="24"/>
        </w:rPr>
        <w:t xml:space="preserve"> </w:t>
      </w:r>
      <w:r>
        <w:rPr>
          <w:color w:val="211F1F"/>
          <w:sz w:val="24"/>
        </w:rPr>
        <w:t>information</w:t>
      </w:r>
      <w:r>
        <w:rPr>
          <w:color w:val="211F1F"/>
          <w:spacing w:val="-2"/>
          <w:sz w:val="24"/>
        </w:rPr>
        <w:t xml:space="preserve"> </w:t>
      </w:r>
      <w:r>
        <w:rPr>
          <w:color w:val="211F1F"/>
          <w:sz w:val="24"/>
        </w:rPr>
        <w:t>in</w:t>
      </w:r>
      <w:r>
        <w:rPr>
          <w:color w:val="211F1F"/>
          <w:spacing w:val="-8"/>
          <w:sz w:val="24"/>
        </w:rPr>
        <w:t xml:space="preserve"> </w:t>
      </w:r>
      <w:r>
        <w:rPr>
          <w:color w:val="211F1F"/>
          <w:sz w:val="24"/>
        </w:rPr>
        <w:t>their</w:t>
      </w:r>
      <w:r>
        <w:rPr>
          <w:color w:val="211F1F"/>
          <w:spacing w:val="-1"/>
          <w:sz w:val="24"/>
        </w:rPr>
        <w:t xml:space="preserve"> </w:t>
      </w:r>
      <w:r>
        <w:rPr>
          <w:color w:val="211F1F"/>
          <w:sz w:val="24"/>
        </w:rPr>
        <w:t>Tenders</w:t>
      </w:r>
      <w:r>
        <w:rPr>
          <w:color w:val="211F1F"/>
          <w:spacing w:val="-9"/>
          <w:sz w:val="24"/>
        </w:rPr>
        <w:t xml:space="preserve"> </w:t>
      </w:r>
      <w:r>
        <w:rPr>
          <w:color w:val="211F1F"/>
          <w:sz w:val="24"/>
        </w:rPr>
        <w:t>which</w:t>
      </w:r>
      <w:r>
        <w:rPr>
          <w:color w:val="211F1F"/>
          <w:spacing w:val="-3"/>
          <w:sz w:val="24"/>
        </w:rPr>
        <w:t xml:space="preserve"> </w:t>
      </w:r>
      <w:r>
        <w:rPr>
          <w:color w:val="211F1F"/>
          <w:sz w:val="24"/>
        </w:rPr>
        <w:t>is confidential</w:t>
      </w:r>
      <w:r>
        <w:rPr>
          <w:color w:val="211F1F"/>
          <w:spacing w:val="-10"/>
          <w:sz w:val="24"/>
        </w:rPr>
        <w:t xml:space="preserve"> </w:t>
      </w:r>
      <w:r>
        <w:rPr>
          <w:color w:val="211F1F"/>
          <w:sz w:val="24"/>
        </w:rPr>
        <w:t>to</w:t>
      </w:r>
      <w:r>
        <w:rPr>
          <w:color w:val="211F1F"/>
          <w:spacing w:val="-3"/>
          <w:sz w:val="24"/>
        </w:rPr>
        <w:t xml:space="preserve"> </w:t>
      </w:r>
      <w:r>
        <w:rPr>
          <w:color w:val="211F1F"/>
          <w:sz w:val="24"/>
        </w:rPr>
        <w:t>their business. This may</w:t>
      </w:r>
      <w:r>
        <w:rPr>
          <w:color w:val="211F1F"/>
          <w:spacing w:val="-3"/>
          <w:sz w:val="24"/>
        </w:rPr>
        <w:t xml:space="preserve"> </w:t>
      </w:r>
      <w:r>
        <w:rPr>
          <w:color w:val="211F1F"/>
          <w:sz w:val="24"/>
        </w:rPr>
        <w:t>include</w:t>
      </w:r>
      <w:r>
        <w:rPr>
          <w:color w:val="211F1F"/>
          <w:spacing w:val="-3"/>
          <w:sz w:val="24"/>
        </w:rPr>
        <w:t xml:space="preserve"> </w:t>
      </w:r>
      <w:r>
        <w:rPr>
          <w:color w:val="211F1F"/>
          <w:sz w:val="24"/>
        </w:rPr>
        <w:t>proprietary</w:t>
      </w:r>
      <w:r>
        <w:rPr>
          <w:color w:val="211F1F"/>
          <w:spacing w:val="-6"/>
          <w:sz w:val="24"/>
        </w:rPr>
        <w:t xml:space="preserve"> </w:t>
      </w:r>
      <w:r>
        <w:rPr>
          <w:color w:val="211F1F"/>
          <w:sz w:val="24"/>
        </w:rPr>
        <w:t>information, trade</w:t>
      </w:r>
      <w:r>
        <w:rPr>
          <w:color w:val="211F1F"/>
          <w:spacing w:val="-8"/>
          <w:sz w:val="24"/>
        </w:rPr>
        <w:t xml:space="preserve"> </w:t>
      </w:r>
      <w:r>
        <w:rPr>
          <w:color w:val="211F1F"/>
          <w:sz w:val="24"/>
        </w:rPr>
        <w:t>secrets, or commercial or financially sensitive information.</w:t>
      </w:r>
    </w:p>
    <w:p w14:paraId="738E77B6" w14:textId="77777777" w:rsidR="00BB77C0" w:rsidRDefault="00370BAA">
      <w:pPr>
        <w:pStyle w:val="ListParagraph"/>
        <w:numPr>
          <w:ilvl w:val="1"/>
          <w:numId w:val="92"/>
        </w:numPr>
        <w:tabs>
          <w:tab w:val="left" w:pos="1441"/>
        </w:tabs>
        <w:spacing w:before="157" w:line="259" w:lineRule="auto"/>
        <w:ind w:left="1441" w:right="149"/>
        <w:jc w:val="left"/>
        <w:rPr>
          <w:color w:val="211F1F"/>
          <w:sz w:val="24"/>
        </w:rPr>
      </w:pPr>
      <w:r>
        <w:rPr>
          <w:color w:val="211F1F"/>
          <w:sz w:val="24"/>
        </w:rPr>
        <w:t>The</w:t>
      </w:r>
      <w:r>
        <w:rPr>
          <w:color w:val="211F1F"/>
          <w:spacing w:val="-7"/>
          <w:sz w:val="24"/>
        </w:rPr>
        <w:t xml:space="preserve"> </w:t>
      </w:r>
      <w:r>
        <w:rPr>
          <w:color w:val="211F1F"/>
          <w:sz w:val="24"/>
        </w:rPr>
        <w:t>original</w:t>
      </w:r>
      <w:r>
        <w:rPr>
          <w:color w:val="211F1F"/>
          <w:spacing w:val="-9"/>
          <w:sz w:val="24"/>
        </w:rPr>
        <w:t xml:space="preserve"> </w:t>
      </w:r>
      <w:r>
        <w:rPr>
          <w:color w:val="211F1F"/>
          <w:sz w:val="24"/>
        </w:rPr>
        <w:t>and</w:t>
      </w:r>
      <w:r>
        <w:rPr>
          <w:color w:val="211F1F"/>
          <w:spacing w:val="-6"/>
          <w:sz w:val="24"/>
        </w:rPr>
        <w:t xml:space="preserve"> </w:t>
      </w:r>
      <w:r>
        <w:rPr>
          <w:color w:val="211F1F"/>
          <w:sz w:val="24"/>
        </w:rPr>
        <w:t>all</w:t>
      </w:r>
      <w:r>
        <w:rPr>
          <w:color w:val="211F1F"/>
          <w:spacing w:val="-9"/>
          <w:sz w:val="24"/>
        </w:rPr>
        <w:t xml:space="preserve"> </w:t>
      </w:r>
      <w:r>
        <w:rPr>
          <w:color w:val="211F1F"/>
          <w:sz w:val="24"/>
        </w:rPr>
        <w:t>copies</w:t>
      </w:r>
      <w:r>
        <w:rPr>
          <w:color w:val="211F1F"/>
          <w:spacing w:val="-7"/>
          <w:sz w:val="24"/>
        </w:rPr>
        <w:t xml:space="preserve"> </w:t>
      </w:r>
      <w:r>
        <w:rPr>
          <w:color w:val="211F1F"/>
          <w:sz w:val="24"/>
        </w:rPr>
        <w:t>of</w:t>
      </w:r>
      <w:r>
        <w:rPr>
          <w:color w:val="211F1F"/>
          <w:spacing w:val="-13"/>
          <w:sz w:val="24"/>
        </w:rPr>
        <w:t xml:space="preserve"> </w:t>
      </w:r>
      <w:r>
        <w:rPr>
          <w:color w:val="211F1F"/>
          <w:sz w:val="24"/>
        </w:rPr>
        <w:t>the</w:t>
      </w:r>
      <w:r>
        <w:rPr>
          <w:color w:val="211F1F"/>
          <w:spacing w:val="-6"/>
          <w:sz w:val="24"/>
        </w:rPr>
        <w:t xml:space="preserve"> </w:t>
      </w:r>
      <w:r>
        <w:rPr>
          <w:color w:val="211F1F"/>
          <w:sz w:val="24"/>
        </w:rPr>
        <w:t>Tender</w:t>
      </w:r>
      <w:r>
        <w:rPr>
          <w:color w:val="211F1F"/>
          <w:spacing w:val="-9"/>
          <w:sz w:val="24"/>
        </w:rPr>
        <w:t xml:space="preserve"> </w:t>
      </w:r>
      <w:r>
        <w:rPr>
          <w:color w:val="211F1F"/>
          <w:sz w:val="24"/>
        </w:rPr>
        <w:t>shall</w:t>
      </w:r>
      <w:r>
        <w:rPr>
          <w:color w:val="211F1F"/>
          <w:spacing w:val="-4"/>
          <w:sz w:val="24"/>
        </w:rPr>
        <w:t xml:space="preserve"> </w:t>
      </w:r>
      <w:r>
        <w:rPr>
          <w:color w:val="211F1F"/>
          <w:sz w:val="24"/>
        </w:rPr>
        <w:t>be</w:t>
      </w:r>
      <w:r>
        <w:rPr>
          <w:color w:val="211F1F"/>
          <w:spacing w:val="-2"/>
          <w:sz w:val="24"/>
        </w:rPr>
        <w:t xml:space="preserve"> </w:t>
      </w:r>
      <w:r>
        <w:rPr>
          <w:color w:val="211F1F"/>
          <w:sz w:val="24"/>
        </w:rPr>
        <w:t>typed</w:t>
      </w:r>
      <w:r>
        <w:rPr>
          <w:color w:val="211F1F"/>
          <w:spacing w:val="-5"/>
          <w:sz w:val="24"/>
        </w:rPr>
        <w:t xml:space="preserve"> </w:t>
      </w:r>
      <w:r>
        <w:rPr>
          <w:color w:val="211F1F"/>
          <w:sz w:val="24"/>
        </w:rPr>
        <w:t>or</w:t>
      </w:r>
      <w:r>
        <w:rPr>
          <w:color w:val="211F1F"/>
          <w:spacing w:val="-4"/>
          <w:sz w:val="24"/>
        </w:rPr>
        <w:t xml:space="preserve"> </w:t>
      </w:r>
      <w:r>
        <w:rPr>
          <w:color w:val="211F1F"/>
          <w:sz w:val="24"/>
        </w:rPr>
        <w:t>written</w:t>
      </w:r>
      <w:r>
        <w:rPr>
          <w:color w:val="211F1F"/>
          <w:spacing w:val="-5"/>
          <w:sz w:val="24"/>
        </w:rPr>
        <w:t xml:space="preserve"> </w:t>
      </w:r>
      <w:r>
        <w:rPr>
          <w:color w:val="211F1F"/>
          <w:sz w:val="24"/>
        </w:rPr>
        <w:t>in</w:t>
      </w:r>
      <w:r>
        <w:rPr>
          <w:color w:val="211F1F"/>
          <w:spacing w:val="-5"/>
          <w:sz w:val="24"/>
        </w:rPr>
        <w:t xml:space="preserve"> </w:t>
      </w:r>
      <w:r>
        <w:rPr>
          <w:color w:val="211F1F"/>
          <w:sz w:val="24"/>
        </w:rPr>
        <w:t>indelible</w:t>
      </w:r>
      <w:r>
        <w:rPr>
          <w:color w:val="211F1F"/>
          <w:spacing w:val="-1"/>
          <w:sz w:val="24"/>
        </w:rPr>
        <w:t xml:space="preserve"> </w:t>
      </w:r>
      <w:r>
        <w:rPr>
          <w:color w:val="211F1F"/>
          <w:sz w:val="24"/>
        </w:rPr>
        <w:t>ink</w:t>
      </w:r>
      <w:r>
        <w:rPr>
          <w:color w:val="211F1F"/>
          <w:spacing w:val="-5"/>
          <w:sz w:val="24"/>
        </w:rPr>
        <w:t xml:space="preserve"> </w:t>
      </w:r>
      <w:r>
        <w:rPr>
          <w:color w:val="211F1F"/>
          <w:sz w:val="24"/>
        </w:rPr>
        <w:t>and shall be signed by</w:t>
      </w:r>
      <w:r>
        <w:rPr>
          <w:color w:val="211F1F"/>
          <w:spacing w:val="-1"/>
          <w:sz w:val="24"/>
        </w:rPr>
        <w:t xml:space="preserve"> </w:t>
      </w:r>
      <w:r>
        <w:rPr>
          <w:color w:val="211F1F"/>
          <w:sz w:val="24"/>
        </w:rPr>
        <w:t>a person duly authorized to sign on behalf of the Tenderer. This authorization</w:t>
      </w:r>
      <w:r>
        <w:rPr>
          <w:color w:val="211F1F"/>
          <w:spacing w:val="-5"/>
          <w:sz w:val="24"/>
        </w:rPr>
        <w:t xml:space="preserve"> </w:t>
      </w:r>
      <w:r>
        <w:rPr>
          <w:color w:val="211F1F"/>
          <w:sz w:val="24"/>
        </w:rPr>
        <w:t>shall</w:t>
      </w:r>
      <w:r>
        <w:rPr>
          <w:color w:val="211F1F"/>
          <w:spacing w:val="-9"/>
          <w:sz w:val="24"/>
        </w:rPr>
        <w:t xml:space="preserve"> </w:t>
      </w:r>
      <w:r>
        <w:rPr>
          <w:color w:val="211F1F"/>
          <w:sz w:val="24"/>
        </w:rPr>
        <w:t>consist</w:t>
      </w:r>
      <w:r>
        <w:rPr>
          <w:color w:val="211F1F"/>
          <w:spacing w:val="-1"/>
          <w:sz w:val="24"/>
        </w:rPr>
        <w:t xml:space="preserve"> </w:t>
      </w:r>
      <w:r>
        <w:rPr>
          <w:color w:val="211F1F"/>
          <w:sz w:val="24"/>
        </w:rPr>
        <w:t>of</w:t>
      </w:r>
      <w:r>
        <w:rPr>
          <w:color w:val="211F1F"/>
          <w:spacing w:val="-14"/>
          <w:sz w:val="24"/>
        </w:rPr>
        <w:t xml:space="preserve"> </w:t>
      </w:r>
      <w:r>
        <w:rPr>
          <w:color w:val="211F1F"/>
          <w:sz w:val="24"/>
        </w:rPr>
        <w:t>a</w:t>
      </w:r>
      <w:r>
        <w:rPr>
          <w:color w:val="211F1F"/>
          <w:spacing w:val="-7"/>
          <w:sz w:val="24"/>
        </w:rPr>
        <w:t xml:space="preserve"> </w:t>
      </w:r>
      <w:r>
        <w:rPr>
          <w:color w:val="211F1F"/>
          <w:sz w:val="24"/>
        </w:rPr>
        <w:t>written</w:t>
      </w:r>
      <w:r>
        <w:rPr>
          <w:color w:val="211F1F"/>
          <w:spacing w:val="-6"/>
          <w:sz w:val="24"/>
        </w:rPr>
        <w:t xml:space="preserve"> </w:t>
      </w:r>
      <w:r>
        <w:rPr>
          <w:color w:val="211F1F"/>
          <w:sz w:val="24"/>
        </w:rPr>
        <w:t>confirmation</w:t>
      </w:r>
      <w:r>
        <w:rPr>
          <w:color w:val="211F1F"/>
          <w:spacing w:val="-9"/>
          <w:sz w:val="24"/>
        </w:rPr>
        <w:t xml:space="preserve"> </w:t>
      </w:r>
      <w:r>
        <w:rPr>
          <w:color w:val="211F1F"/>
          <w:sz w:val="24"/>
        </w:rPr>
        <w:t>as</w:t>
      </w:r>
      <w:r>
        <w:rPr>
          <w:color w:val="211F1F"/>
          <w:spacing w:val="-4"/>
          <w:sz w:val="24"/>
        </w:rPr>
        <w:t xml:space="preserve"> </w:t>
      </w:r>
      <w:r>
        <w:rPr>
          <w:color w:val="211F1F"/>
          <w:sz w:val="24"/>
        </w:rPr>
        <w:t>specified</w:t>
      </w:r>
      <w:r>
        <w:rPr>
          <w:color w:val="211F1F"/>
          <w:spacing w:val="-1"/>
          <w:sz w:val="24"/>
        </w:rPr>
        <w:t xml:space="preserve"> </w:t>
      </w:r>
      <w:r>
        <w:rPr>
          <w:color w:val="211F1F"/>
          <w:sz w:val="24"/>
        </w:rPr>
        <w:t>in</w:t>
      </w:r>
      <w:r>
        <w:rPr>
          <w:color w:val="211F1F"/>
          <w:spacing w:val="-7"/>
          <w:sz w:val="24"/>
        </w:rPr>
        <w:t xml:space="preserve"> </w:t>
      </w:r>
      <w:r>
        <w:rPr>
          <w:color w:val="211F1F"/>
          <w:sz w:val="24"/>
        </w:rPr>
        <w:t>the</w:t>
      </w:r>
      <w:r>
        <w:rPr>
          <w:color w:val="211F1F"/>
          <w:spacing w:val="-7"/>
          <w:sz w:val="24"/>
        </w:rPr>
        <w:t xml:space="preserve"> </w:t>
      </w:r>
      <w:r>
        <w:rPr>
          <w:b/>
          <w:color w:val="211F1F"/>
          <w:sz w:val="24"/>
        </w:rPr>
        <w:t>TDS</w:t>
      </w:r>
      <w:r>
        <w:rPr>
          <w:b/>
          <w:color w:val="211F1F"/>
          <w:spacing w:val="-2"/>
          <w:sz w:val="24"/>
        </w:rPr>
        <w:t xml:space="preserve"> </w:t>
      </w:r>
      <w:r>
        <w:rPr>
          <w:color w:val="211F1F"/>
          <w:sz w:val="24"/>
        </w:rPr>
        <w:t>and</w:t>
      </w:r>
      <w:r>
        <w:rPr>
          <w:color w:val="211F1F"/>
          <w:spacing w:val="-2"/>
          <w:sz w:val="24"/>
        </w:rPr>
        <w:t xml:space="preserve"> </w:t>
      </w:r>
      <w:r>
        <w:rPr>
          <w:color w:val="211F1F"/>
          <w:sz w:val="24"/>
        </w:rPr>
        <w:t>shall be attached to the Tender. The name and position held bye ach person signing the authorization must be typed or printed below the signature. All pages of the Tender where entries or amendments have been made shall be signed or initialed by</w:t>
      </w:r>
      <w:r>
        <w:rPr>
          <w:color w:val="211F1F"/>
          <w:spacing w:val="-1"/>
          <w:sz w:val="24"/>
        </w:rPr>
        <w:t xml:space="preserve"> </w:t>
      </w:r>
      <w:r>
        <w:rPr>
          <w:color w:val="211F1F"/>
          <w:sz w:val="24"/>
        </w:rPr>
        <w:t>the person signing the Tender.</w:t>
      </w:r>
    </w:p>
    <w:p w14:paraId="3B937F4C" w14:textId="77777777" w:rsidR="00BB77C0" w:rsidRDefault="00370BAA">
      <w:pPr>
        <w:pStyle w:val="ListParagraph"/>
        <w:numPr>
          <w:ilvl w:val="1"/>
          <w:numId w:val="92"/>
        </w:numPr>
        <w:tabs>
          <w:tab w:val="left" w:pos="1441"/>
        </w:tabs>
        <w:spacing w:before="161" w:line="259" w:lineRule="auto"/>
        <w:ind w:left="1441" w:right="52"/>
        <w:jc w:val="left"/>
        <w:rPr>
          <w:color w:val="211F1F"/>
          <w:sz w:val="24"/>
        </w:rPr>
      </w:pPr>
      <w:r>
        <w:rPr>
          <w:color w:val="211F1F"/>
          <w:sz w:val="24"/>
        </w:rPr>
        <w:t>In</w:t>
      </w:r>
      <w:r>
        <w:rPr>
          <w:color w:val="211F1F"/>
          <w:spacing w:val="-15"/>
          <w:sz w:val="24"/>
        </w:rPr>
        <w:t xml:space="preserve"> </w:t>
      </w:r>
      <w:r>
        <w:rPr>
          <w:color w:val="211F1F"/>
          <w:sz w:val="24"/>
        </w:rPr>
        <w:t>case</w:t>
      </w:r>
      <w:r>
        <w:rPr>
          <w:color w:val="211F1F"/>
          <w:spacing w:val="-8"/>
          <w:sz w:val="24"/>
        </w:rPr>
        <w:t xml:space="preserve"> </w:t>
      </w:r>
      <w:r>
        <w:rPr>
          <w:color w:val="211F1F"/>
          <w:sz w:val="24"/>
        </w:rPr>
        <w:t>the</w:t>
      </w:r>
      <w:r>
        <w:rPr>
          <w:color w:val="211F1F"/>
          <w:spacing w:val="-8"/>
          <w:sz w:val="24"/>
        </w:rPr>
        <w:t xml:space="preserve"> </w:t>
      </w:r>
      <w:r>
        <w:rPr>
          <w:color w:val="211F1F"/>
          <w:sz w:val="24"/>
        </w:rPr>
        <w:t>Tenderer</w:t>
      </w:r>
      <w:r>
        <w:rPr>
          <w:color w:val="211F1F"/>
          <w:spacing w:val="-5"/>
          <w:sz w:val="24"/>
        </w:rPr>
        <w:t xml:space="preserve"> </w:t>
      </w:r>
      <w:r>
        <w:rPr>
          <w:color w:val="211F1F"/>
          <w:sz w:val="24"/>
        </w:rPr>
        <w:t>is</w:t>
      </w:r>
      <w:r>
        <w:rPr>
          <w:color w:val="211F1F"/>
          <w:spacing w:val="-5"/>
          <w:sz w:val="24"/>
        </w:rPr>
        <w:t xml:space="preserve"> </w:t>
      </w:r>
      <w:r>
        <w:rPr>
          <w:color w:val="211F1F"/>
          <w:sz w:val="24"/>
        </w:rPr>
        <w:t>a</w:t>
      </w:r>
      <w:r>
        <w:rPr>
          <w:color w:val="211F1F"/>
          <w:spacing w:val="-8"/>
          <w:sz w:val="24"/>
        </w:rPr>
        <w:t xml:space="preserve"> </w:t>
      </w:r>
      <w:r>
        <w:rPr>
          <w:color w:val="211F1F"/>
          <w:sz w:val="24"/>
        </w:rPr>
        <w:t>JV,</w:t>
      </w:r>
      <w:r>
        <w:rPr>
          <w:color w:val="211F1F"/>
          <w:spacing w:val="-20"/>
          <w:sz w:val="24"/>
        </w:rPr>
        <w:t xml:space="preserve"> </w:t>
      </w:r>
      <w:r>
        <w:rPr>
          <w:color w:val="211F1F"/>
          <w:sz w:val="24"/>
        </w:rPr>
        <w:t>the</w:t>
      </w:r>
      <w:r>
        <w:rPr>
          <w:color w:val="211F1F"/>
          <w:spacing w:val="-8"/>
          <w:sz w:val="24"/>
        </w:rPr>
        <w:t xml:space="preserve"> </w:t>
      </w:r>
      <w:r>
        <w:rPr>
          <w:color w:val="211F1F"/>
          <w:sz w:val="24"/>
        </w:rPr>
        <w:t>Tender</w:t>
      </w:r>
      <w:r>
        <w:rPr>
          <w:color w:val="211F1F"/>
          <w:spacing w:val="-10"/>
          <w:sz w:val="24"/>
        </w:rPr>
        <w:t xml:space="preserve"> </w:t>
      </w:r>
      <w:r>
        <w:rPr>
          <w:color w:val="211F1F"/>
          <w:sz w:val="24"/>
        </w:rPr>
        <w:t>shall</w:t>
      </w:r>
      <w:r>
        <w:rPr>
          <w:color w:val="211F1F"/>
          <w:spacing w:val="-7"/>
          <w:sz w:val="24"/>
        </w:rPr>
        <w:t xml:space="preserve"> </w:t>
      </w:r>
      <w:r>
        <w:rPr>
          <w:color w:val="211F1F"/>
          <w:sz w:val="24"/>
        </w:rPr>
        <w:t>be</w:t>
      </w:r>
      <w:r>
        <w:rPr>
          <w:color w:val="211F1F"/>
          <w:spacing w:val="-8"/>
          <w:sz w:val="24"/>
        </w:rPr>
        <w:t xml:space="preserve"> </w:t>
      </w:r>
      <w:r>
        <w:rPr>
          <w:color w:val="211F1F"/>
          <w:sz w:val="24"/>
        </w:rPr>
        <w:t>signed</w:t>
      </w:r>
      <w:r>
        <w:rPr>
          <w:color w:val="211F1F"/>
          <w:spacing w:val="-3"/>
          <w:sz w:val="24"/>
        </w:rPr>
        <w:t xml:space="preserve"> </w:t>
      </w:r>
      <w:r>
        <w:rPr>
          <w:color w:val="211F1F"/>
          <w:sz w:val="24"/>
        </w:rPr>
        <w:t>by</w:t>
      </w:r>
      <w:r>
        <w:rPr>
          <w:color w:val="211F1F"/>
          <w:spacing w:val="-15"/>
          <w:sz w:val="24"/>
        </w:rPr>
        <w:t xml:space="preserve"> </w:t>
      </w:r>
      <w:r>
        <w:rPr>
          <w:color w:val="211F1F"/>
          <w:sz w:val="24"/>
        </w:rPr>
        <w:t>an</w:t>
      </w:r>
      <w:r>
        <w:rPr>
          <w:color w:val="211F1F"/>
          <w:spacing w:val="-12"/>
          <w:sz w:val="24"/>
        </w:rPr>
        <w:t xml:space="preserve"> </w:t>
      </w:r>
      <w:r>
        <w:rPr>
          <w:color w:val="211F1F"/>
          <w:sz w:val="24"/>
        </w:rPr>
        <w:t>authorized</w:t>
      </w:r>
      <w:r>
        <w:rPr>
          <w:color w:val="211F1F"/>
          <w:spacing w:val="-7"/>
          <w:sz w:val="24"/>
        </w:rPr>
        <w:t xml:space="preserve"> </w:t>
      </w:r>
      <w:r>
        <w:rPr>
          <w:color w:val="211F1F"/>
          <w:sz w:val="24"/>
        </w:rPr>
        <w:t>representative of</w:t>
      </w:r>
      <w:r>
        <w:rPr>
          <w:color w:val="211F1F"/>
          <w:spacing w:val="-1"/>
          <w:sz w:val="24"/>
        </w:rPr>
        <w:t xml:space="preserve"> </w:t>
      </w:r>
      <w:r>
        <w:rPr>
          <w:color w:val="211F1F"/>
          <w:sz w:val="24"/>
        </w:rPr>
        <w:t>the JV on behalf of</w:t>
      </w:r>
      <w:r>
        <w:rPr>
          <w:color w:val="211F1F"/>
          <w:spacing w:val="-1"/>
          <w:sz w:val="24"/>
        </w:rPr>
        <w:t xml:space="preserve"> </w:t>
      </w:r>
      <w:r>
        <w:rPr>
          <w:color w:val="211F1F"/>
          <w:sz w:val="24"/>
        </w:rPr>
        <w:t>the JV,</w:t>
      </w:r>
      <w:r>
        <w:rPr>
          <w:color w:val="211F1F"/>
          <w:spacing w:val="-1"/>
          <w:sz w:val="24"/>
        </w:rPr>
        <w:t xml:space="preserve"> </w:t>
      </w:r>
      <w:r>
        <w:rPr>
          <w:color w:val="211F1F"/>
          <w:sz w:val="24"/>
        </w:rPr>
        <w:t>and so as to be legally binding on all the members as evidenced by a power of attorney signed by their legally authorized representatives.</w:t>
      </w:r>
    </w:p>
    <w:p w14:paraId="24875BF4" w14:textId="77777777" w:rsidR="00BB77C0" w:rsidRDefault="00370BAA">
      <w:pPr>
        <w:pStyle w:val="ListParagraph"/>
        <w:numPr>
          <w:ilvl w:val="1"/>
          <w:numId w:val="92"/>
        </w:numPr>
        <w:tabs>
          <w:tab w:val="left" w:pos="1441"/>
        </w:tabs>
        <w:spacing w:before="157" w:line="259" w:lineRule="auto"/>
        <w:ind w:left="1441" w:right="302"/>
        <w:jc w:val="left"/>
        <w:rPr>
          <w:color w:val="211F1F"/>
          <w:sz w:val="24"/>
        </w:rPr>
      </w:pPr>
      <w:r>
        <w:rPr>
          <w:color w:val="211F1F"/>
          <w:sz w:val="24"/>
        </w:rPr>
        <w:t>Any</w:t>
      </w:r>
      <w:r>
        <w:rPr>
          <w:color w:val="211F1F"/>
          <w:spacing w:val="-7"/>
          <w:sz w:val="24"/>
        </w:rPr>
        <w:t xml:space="preserve"> </w:t>
      </w:r>
      <w:r>
        <w:rPr>
          <w:color w:val="211F1F"/>
          <w:sz w:val="24"/>
        </w:rPr>
        <w:t>inter-lineation, erasures,</w:t>
      </w:r>
      <w:r>
        <w:rPr>
          <w:color w:val="211F1F"/>
          <w:spacing w:val="-4"/>
          <w:sz w:val="24"/>
        </w:rPr>
        <w:t xml:space="preserve"> </w:t>
      </w:r>
      <w:r>
        <w:rPr>
          <w:color w:val="211F1F"/>
          <w:sz w:val="24"/>
        </w:rPr>
        <w:t>or</w:t>
      </w:r>
      <w:r>
        <w:rPr>
          <w:color w:val="211F1F"/>
          <w:spacing w:val="-10"/>
          <w:sz w:val="24"/>
        </w:rPr>
        <w:t xml:space="preserve"> </w:t>
      </w:r>
      <w:r>
        <w:rPr>
          <w:color w:val="211F1F"/>
          <w:sz w:val="24"/>
        </w:rPr>
        <w:t>overwriting</w:t>
      </w:r>
      <w:r>
        <w:rPr>
          <w:color w:val="211F1F"/>
          <w:spacing w:val="-1"/>
          <w:sz w:val="24"/>
        </w:rPr>
        <w:t xml:space="preserve"> </w:t>
      </w:r>
      <w:r>
        <w:rPr>
          <w:color w:val="211F1F"/>
          <w:sz w:val="24"/>
        </w:rPr>
        <w:t>shall</w:t>
      </w:r>
      <w:r>
        <w:rPr>
          <w:color w:val="211F1F"/>
          <w:spacing w:val="-5"/>
          <w:sz w:val="24"/>
        </w:rPr>
        <w:t xml:space="preserve"> </w:t>
      </w:r>
      <w:r>
        <w:rPr>
          <w:color w:val="211F1F"/>
          <w:sz w:val="24"/>
        </w:rPr>
        <w:t>be</w:t>
      </w:r>
      <w:r>
        <w:rPr>
          <w:color w:val="211F1F"/>
          <w:spacing w:val="-3"/>
          <w:sz w:val="24"/>
        </w:rPr>
        <w:t xml:space="preserve"> </w:t>
      </w:r>
      <w:r>
        <w:rPr>
          <w:color w:val="211F1F"/>
          <w:sz w:val="24"/>
        </w:rPr>
        <w:t>valid</w:t>
      </w:r>
      <w:r>
        <w:rPr>
          <w:color w:val="211F1F"/>
          <w:spacing w:val="-1"/>
          <w:sz w:val="24"/>
        </w:rPr>
        <w:t xml:space="preserve"> </w:t>
      </w:r>
      <w:r>
        <w:rPr>
          <w:color w:val="211F1F"/>
          <w:sz w:val="24"/>
        </w:rPr>
        <w:t>only</w:t>
      </w:r>
      <w:r>
        <w:rPr>
          <w:color w:val="211F1F"/>
          <w:spacing w:val="-7"/>
          <w:sz w:val="24"/>
        </w:rPr>
        <w:t xml:space="preserve"> </w:t>
      </w:r>
      <w:r>
        <w:rPr>
          <w:color w:val="211F1F"/>
          <w:sz w:val="24"/>
        </w:rPr>
        <w:t>if</w:t>
      </w:r>
      <w:r>
        <w:rPr>
          <w:color w:val="211F1F"/>
          <w:spacing w:val="-14"/>
          <w:sz w:val="24"/>
        </w:rPr>
        <w:t xml:space="preserve"> </w:t>
      </w:r>
      <w:r>
        <w:rPr>
          <w:color w:val="211F1F"/>
          <w:sz w:val="24"/>
        </w:rPr>
        <w:t>they</w:t>
      </w:r>
      <w:r>
        <w:rPr>
          <w:color w:val="211F1F"/>
          <w:spacing w:val="-11"/>
          <w:sz w:val="24"/>
        </w:rPr>
        <w:t xml:space="preserve"> </w:t>
      </w:r>
      <w:r>
        <w:rPr>
          <w:color w:val="211F1F"/>
          <w:sz w:val="24"/>
        </w:rPr>
        <w:t>are</w:t>
      </w:r>
      <w:r>
        <w:rPr>
          <w:color w:val="211F1F"/>
          <w:spacing w:val="-3"/>
          <w:sz w:val="24"/>
        </w:rPr>
        <w:t xml:space="preserve"> </w:t>
      </w:r>
      <w:r>
        <w:rPr>
          <w:color w:val="211F1F"/>
          <w:sz w:val="24"/>
        </w:rPr>
        <w:t>signed</w:t>
      </w:r>
      <w:r>
        <w:rPr>
          <w:color w:val="211F1F"/>
          <w:spacing w:val="-1"/>
          <w:sz w:val="24"/>
        </w:rPr>
        <w:t xml:space="preserve"> </w:t>
      </w:r>
      <w:r>
        <w:rPr>
          <w:color w:val="211F1F"/>
          <w:sz w:val="24"/>
        </w:rPr>
        <w:t>or initialed by the person signing the Tender.</w:t>
      </w:r>
    </w:p>
    <w:p w14:paraId="77DF7535" w14:textId="77777777" w:rsidR="00BB77C0" w:rsidRDefault="00370BAA">
      <w:pPr>
        <w:pStyle w:val="Heading5"/>
        <w:numPr>
          <w:ilvl w:val="0"/>
          <w:numId w:val="110"/>
        </w:numPr>
        <w:tabs>
          <w:tab w:val="left" w:pos="291"/>
        </w:tabs>
        <w:spacing w:before="244"/>
        <w:ind w:left="291" w:hanging="291"/>
        <w:jc w:val="left"/>
      </w:pPr>
      <w:bookmarkStart w:id="56" w:name="D._SUBMISSION_AND_OPENING_OF_TENDERS"/>
      <w:bookmarkStart w:id="57" w:name="_bookmark27"/>
      <w:bookmarkEnd w:id="56"/>
      <w:bookmarkEnd w:id="57"/>
      <w:r>
        <w:t>SUBMISSION</w:t>
      </w:r>
      <w:r>
        <w:rPr>
          <w:spacing w:val="-6"/>
        </w:rPr>
        <w:t xml:space="preserve"> </w:t>
      </w:r>
      <w:r>
        <w:t>AND</w:t>
      </w:r>
      <w:r>
        <w:rPr>
          <w:spacing w:val="-7"/>
        </w:rPr>
        <w:t xml:space="preserve"> </w:t>
      </w:r>
      <w:r>
        <w:t>OPENING</w:t>
      </w:r>
      <w:r>
        <w:rPr>
          <w:spacing w:val="-2"/>
        </w:rPr>
        <w:t xml:space="preserve"> </w:t>
      </w:r>
      <w:r>
        <w:t>OF</w:t>
      </w:r>
      <w:r>
        <w:rPr>
          <w:spacing w:val="-4"/>
        </w:rPr>
        <w:t xml:space="preserve"> </w:t>
      </w:r>
      <w:r>
        <w:rPr>
          <w:spacing w:val="-2"/>
        </w:rPr>
        <w:t>TENDERS</w:t>
      </w:r>
    </w:p>
    <w:p w14:paraId="52A05CBA" w14:textId="77777777" w:rsidR="00BB77C0" w:rsidRDefault="00370BAA">
      <w:pPr>
        <w:pStyle w:val="Heading6"/>
        <w:numPr>
          <w:ilvl w:val="1"/>
          <w:numId w:val="91"/>
        </w:numPr>
        <w:tabs>
          <w:tab w:val="left" w:pos="720"/>
        </w:tabs>
        <w:spacing w:before="262"/>
        <w:ind w:hanging="720"/>
        <w:jc w:val="left"/>
      </w:pPr>
      <w:bookmarkStart w:id="58" w:name="23.0_Sealing_and_Marking_of_Tenders"/>
      <w:bookmarkStart w:id="59" w:name="_bookmark28"/>
      <w:bookmarkEnd w:id="58"/>
      <w:bookmarkEnd w:id="59"/>
      <w:r>
        <w:t>Sealing</w:t>
      </w:r>
      <w:r>
        <w:rPr>
          <w:spacing w:val="-1"/>
        </w:rPr>
        <w:t xml:space="preserve"> </w:t>
      </w:r>
      <w:r>
        <w:t>and</w:t>
      </w:r>
      <w:r>
        <w:rPr>
          <w:spacing w:val="-4"/>
        </w:rPr>
        <w:t xml:space="preserve"> </w:t>
      </w:r>
      <w:r>
        <w:t>Marking</w:t>
      </w:r>
      <w:r>
        <w:rPr>
          <w:spacing w:val="-1"/>
        </w:rPr>
        <w:t xml:space="preserve"> </w:t>
      </w:r>
      <w:r>
        <w:t>of</w:t>
      </w:r>
      <w:r>
        <w:rPr>
          <w:spacing w:val="-3"/>
        </w:rPr>
        <w:t xml:space="preserve"> </w:t>
      </w:r>
      <w:r>
        <w:rPr>
          <w:spacing w:val="-2"/>
        </w:rPr>
        <w:t>Tenders</w:t>
      </w:r>
    </w:p>
    <w:p w14:paraId="6D1229C1" w14:textId="77777777" w:rsidR="00BB77C0" w:rsidRDefault="00370BAA">
      <w:pPr>
        <w:pStyle w:val="ListParagraph"/>
        <w:numPr>
          <w:ilvl w:val="1"/>
          <w:numId w:val="91"/>
        </w:numPr>
        <w:tabs>
          <w:tab w:val="left" w:pos="1441"/>
        </w:tabs>
        <w:spacing w:before="75" w:line="259" w:lineRule="auto"/>
        <w:ind w:left="1441" w:right="100"/>
        <w:jc w:val="left"/>
        <w:rPr>
          <w:color w:val="211F1F"/>
          <w:sz w:val="24"/>
        </w:rPr>
      </w:pPr>
      <w:r>
        <w:rPr>
          <w:color w:val="211F1F"/>
          <w:sz w:val="24"/>
        </w:rPr>
        <w:t>The</w:t>
      </w:r>
      <w:r>
        <w:rPr>
          <w:color w:val="211F1F"/>
          <w:spacing w:val="-8"/>
          <w:sz w:val="24"/>
        </w:rPr>
        <w:t xml:space="preserve"> </w:t>
      </w:r>
      <w:r>
        <w:rPr>
          <w:color w:val="211F1F"/>
          <w:sz w:val="24"/>
        </w:rPr>
        <w:t>Tenderer</w:t>
      </w:r>
      <w:r>
        <w:rPr>
          <w:color w:val="211F1F"/>
          <w:spacing w:val="-4"/>
          <w:sz w:val="24"/>
        </w:rPr>
        <w:t xml:space="preserve"> </w:t>
      </w:r>
      <w:r>
        <w:rPr>
          <w:color w:val="211F1F"/>
          <w:sz w:val="24"/>
        </w:rPr>
        <w:t>shall</w:t>
      </w:r>
      <w:r>
        <w:rPr>
          <w:color w:val="211F1F"/>
          <w:spacing w:val="-10"/>
          <w:sz w:val="24"/>
        </w:rPr>
        <w:t xml:space="preserve"> </w:t>
      </w:r>
      <w:r>
        <w:rPr>
          <w:color w:val="211F1F"/>
          <w:sz w:val="24"/>
        </w:rPr>
        <w:t>deliver</w:t>
      </w:r>
      <w:r>
        <w:rPr>
          <w:color w:val="211F1F"/>
          <w:spacing w:val="-5"/>
          <w:sz w:val="24"/>
        </w:rPr>
        <w:t xml:space="preserve"> </w:t>
      </w:r>
      <w:r>
        <w:rPr>
          <w:color w:val="211F1F"/>
          <w:sz w:val="24"/>
        </w:rPr>
        <w:t>the</w:t>
      </w:r>
      <w:r>
        <w:rPr>
          <w:color w:val="211F1F"/>
          <w:spacing w:val="-7"/>
          <w:sz w:val="24"/>
        </w:rPr>
        <w:t xml:space="preserve"> </w:t>
      </w:r>
      <w:r>
        <w:rPr>
          <w:color w:val="211F1F"/>
          <w:sz w:val="24"/>
        </w:rPr>
        <w:t>Tender</w:t>
      </w:r>
      <w:r>
        <w:rPr>
          <w:color w:val="211F1F"/>
          <w:spacing w:val="-5"/>
          <w:sz w:val="24"/>
        </w:rPr>
        <w:t xml:space="preserve"> </w:t>
      </w:r>
      <w:r>
        <w:rPr>
          <w:color w:val="211F1F"/>
          <w:sz w:val="24"/>
        </w:rPr>
        <w:t>in</w:t>
      </w:r>
      <w:r>
        <w:rPr>
          <w:color w:val="211F1F"/>
          <w:spacing w:val="-11"/>
          <w:sz w:val="24"/>
        </w:rPr>
        <w:t xml:space="preserve"> </w:t>
      </w:r>
      <w:r>
        <w:rPr>
          <w:color w:val="211F1F"/>
          <w:sz w:val="24"/>
        </w:rPr>
        <w:t>a</w:t>
      </w:r>
      <w:r>
        <w:rPr>
          <w:color w:val="211F1F"/>
          <w:spacing w:val="-8"/>
          <w:sz w:val="24"/>
        </w:rPr>
        <w:t xml:space="preserve"> </w:t>
      </w:r>
      <w:r>
        <w:rPr>
          <w:color w:val="211F1F"/>
          <w:sz w:val="24"/>
        </w:rPr>
        <w:t>single</w:t>
      </w:r>
      <w:r>
        <w:rPr>
          <w:color w:val="211F1F"/>
          <w:spacing w:val="-7"/>
          <w:sz w:val="24"/>
        </w:rPr>
        <w:t xml:space="preserve"> </w:t>
      </w:r>
      <w:r>
        <w:rPr>
          <w:color w:val="211F1F"/>
          <w:sz w:val="24"/>
        </w:rPr>
        <w:t>sealed</w:t>
      </w:r>
      <w:r>
        <w:rPr>
          <w:color w:val="211F1F"/>
          <w:spacing w:val="-6"/>
          <w:sz w:val="24"/>
        </w:rPr>
        <w:t xml:space="preserve"> </w:t>
      </w:r>
      <w:r>
        <w:rPr>
          <w:color w:val="211F1F"/>
          <w:sz w:val="24"/>
        </w:rPr>
        <w:t>envelope,</w:t>
      </w:r>
      <w:r>
        <w:rPr>
          <w:color w:val="211F1F"/>
          <w:spacing w:val="-4"/>
          <w:sz w:val="24"/>
        </w:rPr>
        <w:t xml:space="preserve"> </w:t>
      </w:r>
      <w:r>
        <w:rPr>
          <w:color w:val="211F1F"/>
          <w:sz w:val="24"/>
        </w:rPr>
        <w:t>or</w:t>
      </w:r>
      <w:r>
        <w:rPr>
          <w:color w:val="211F1F"/>
          <w:spacing w:val="-10"/>
          <w:sz w:val="24"/>
        </w:rPr>
        <w:t xml:space="preserve"> </w:t>
      </w:r>
      <w:r>
        <w:rPr>
          <w:color w:val="211F1F"/>
          <w:sz w:val="24"/>
        </w:rPr>
        <w:t>in</w:t>
      </w:r>
      <w:r>
        <w:rPr>
          <w:color w:val="211F1F"/>
          <w:spacing w:val="-11"/>
          <w:sz w:val="24"/>
        </w:rPr>
        <w:t xml:space="preserve"> </w:t>
      </w:r>
      <w:r>
        <w:rPr>
          <w:color w:val="211F1F"/>
          <w:sz w:val="24"/>
        </w:rPr>
        <w:t>a</w:t>
      </w:r>
      <w:r>
        <w:rPr>
          <w:color w:val="211F1F"/>
          <w:spacing w:val="-8"/>
          <w:sz w:val="24"/>
        </w:rPr>
        <w:t xml:space="preserve"> </w:t>
      </w:r>
      <w:r>
        <w:rPr>
          <w:color w:val="211F1F"/>
          <w:sz w:val="24"/>
        </w:rPr>
        <w:t>single</w:t>
      </w:r>
      <w:r>
        <w:rPr>
          <w:color w:val="211F1F"/>
          <w:spacing w:val="-7"/>
          <w:sz w:val="24"/>
        </w:rPr>
        <w:t xml:space="preserve"> </w:t>
      </w:r>
      <w:r>
        <w:rPr>
          <w:color w:val="211F1F"/>
          <w:sz w:val="24"/>
        </w:rPr>
        <w:t>sealed package, or in a single sealed container bearing the name and Reference number of the Tender, addressed to the Procuring Entity and a warning not to open before the time and date for Tender opening date. Within the single envelope, package or container, the Tenderer shall place the following separate, sealed envelopes:</w:t>
      </w:r>
    </w:p>
    <w:p w14:paraId="6CD8B750" w14:textId="77777777" w:rsidR="00BB77C0" w:rsidRDefault="00370BAA">
      <w:pPr>
        <w:pStyle w:val="ListParagraph"/>
        <w:numPr>
          <w:ilvl w:val="2"/>
          <w:numId w:val="91"/>
        </w:numPr>
        <w:tabs>
          <w:tab w:val="left" w:pos="2159"/>
          <w:tab w:val="left" w:pos="2161"/>
        </w:tabs>
        <w:spacing w:before="161" w:line="242" w:lineRule="auto"/>
        <w:ind w:right="242"/>
        <w:jc w:val="left"/>
        <w:rPr>
          <w:sz w:val="24"/>
        </w:rPr>
      </w:pPr>
      <w:r>
        <w:rPr>
          <w:color w:val="211F1F"/>
          <w:sz w:val="24"/>
        </w:rPr>
        <w:t>in</w:t>
      </w:r>
      <w:r>
        <w:rPr>
          <w:color w:val="211F1F"/>
          <w:spacing w:val="-9"/>
          <w:sz w:val="24"/>
        </w:rPr>
        <w:t xml:space="preserve"> </w:t>
      </w:r>
      <w:r>
        <w:rPr>
          <w:color w:val="211F1F"/>
          <w:sz w:val="24"/>
        </w:rPr>
        <w:t>an</w:t>
      </w:r>
      <w:r>
        <w:rPr>
          <w:color w:val="211F1F"/>
          <w:spacing w:val="-12"/>
          <w:sz w:val="24"/>
        </w:rPr>
        <w:t xml:space="preserve"> </w:t>
      </w:r>
      <w:r>
        <w:rPr>
          <w:color w:val="211F1F"/>
          <w:sz w:val="24"/>
        </w:rPr>
        <w:t>envelope</w:t>
      </w:r>
      <w:r>
        <w:rPr>
          <w:color w:val="211F1F"/>
          <w:spacing w:val="-7"/>
          <w:sz w:val="24"/>
        </w:rPr>
        <w:t xml:space="preserve"> </w:t>
      </w:r>
      <w:r>
        <w:rPr>
          <w:color w:val="211F1F"/>
          <w:sz w:val="24"/>
        </w:rPr>
        <w:t>or</w:t>
      </w:r>
      <w:r>
        <w:rPr>
          <w:color w:val="211F1F"/>
          <w:spacing w:val="-6"/>
          <w:sz w:val="24"/>
        </w:rPr>
        <w:t xml:space="preserve"> </w:t>
      </w:r>
      <w:r>
        <w:rPr>
          <w:color w:val="211F1F"/>
          <w:sz w:val="24"/>
        </w:rPr>
        <w:t>package</w:t>
      </w:r>
      <w:r>
        <w:rPr>
          <w:color w:val="211F1F"/>
          <w:spacing w:val="-8"/>
          <w:sz w:val="24"/>
        </w:rPr>
        <w:t xml:space="preserve"> </w:t>
      </w:r>
      <w:r>
        <w:rPr>
          <w:color w:val="211F1F"/>
          <w:sz w:val="24"/>
        </w:rPr>
        <w:t>or</w:t>
      </w:r>
      <w:r>
        <w:rPr>
          <w:color w:val="211F1F"/>
          <w:spacing w:val="-6"/>
          <w:sz w:val="24"/>
        </w:rPr>
        <w:t xml:space="preserve"> </w:t>
      </w:r>
      <w:r>
        <w:rPr>
          <w:color w:val="211F1F"/>
          <w:sz w:val="24"/>
        </w:rPr>
        <w:t>container marked</w:t>
      </w:r>
      <w:r>
        <w:rPr>
          <w:color w:val="211F1F"/>
          <w:spacing w:val="-3"/>
          <w:sz w:val="24"/>
        </w:rPr>
        <w:t xml:space="preserve"> </w:t>
      </w:r>
      <w:r>
        <w:rPr>
          <w:color w:val="211F1F"/>
          <w:sz w:val="24"/>
        </w:rPr>
        <w:t>“ORIGINAL”, all</w:t>
      </w:r>
      <w:r>
        <w:rPr>
          <w:color w:val="211F1F"/>
          <w:spacing w:val="-15"/>
          <w:sz w:val="24"/>
        </w:rPr>
        <w:t xml:space="preserve"> </w:t>
      </w:r>
      <w:r>
        <w:rPr>
          <w:color w:val="211F1F"/>
          <w:sz w:val="24"/>
        </w:rPr>
        <w:t>documents comprising the Tender, as describedinITT11; and</w:t>
      </w:r>
    </w:p>
    <w:p w14:paraId="50FD6EF9" w14:textId="77777777" w:rsidR="00BB77C0" w:rsidRDefault="00370BAA">
      <w:pPr>
        <w:pStyle w:val="ListParagraph"/>
        <w:numPr>
          <w:ilvl w:val="2"/>
          <w:numId w:val="91"/>
        </w:numPr>
        <w:tabs>
          <w:tab w:val="left" w:pos="2161"/>
        </w:tabs>
        <w:spacing w:line="242" w:lineRule="auto"/>
        <w:ind w:right="208" w:hanging="375"/>
        <w:jc w:val="left"/>
        <w:rPr>
          <w:sz w:val="24"/>
        </w:rPr>
      </w:pPr>
      <w:r>
        <w:rPr>
          <w:color w:val="211F1F"/>
          <w:sz w:val="24"/>
        </w:rPr>
        <w:t>in</w:t>
      </w:r>
      <w:r>
        <w:rPr>
          <w:color w:val="211F1F"/>
          <w:spacing w:val="-8"/>
          <w:sz w:val="24"/>
        </w:rPr>
        <w:t xml:space="preserve"> </w:t>
      </w:r>
      <w:r>
        <w:rPr>
          <w:color w:val="211F1F"/>
          <w:sz w:val="24"/>
        </w:rPr>
        <w:t>an</w:t>
      </w:r>
      <w:r>
        <w:rPr>
          <w:color w:val="211F1F"/>
          <w:spacing w:val="-13"/>
          <w:sz w:val="24"/>
        </w:rPr>
        <w:t xml:space="preserve"> </w:t>
      </w:r>
      <w:r>
        <w:rPr>
          <w:color w:val="211F1F"/>
          <w:sz w:val="24"/>
        </w:rPr>
        <w:t>envelope</w:t>
      </w:r>
      <w:r>
        <w:rPr>
          <w:color w:val="211F1F"/>
          <w:spacing w:val="-7"/>
          <w:sz w:val="24"/>
        </w:rPr>
        <w:t xml:space="preserve"> </w:t>
      </w:r>
      <w:r>
        <w:rPr>
          <w:color w:val="211F1F"/>
          <w:sz w:val="24"/>
        </w:rPr>
        <w:t>or</w:t>
      </w:r>
      <w:r>
        <w:rPr>
          <w:color w:val="211F1F"/>
          <w:spacing w:val="-6"/>
          <w:sz w:val="24"/>
        </w:rPr>
        <w:t xml:space="preserve"> </w:t>
      </w:r>
      <w:r>
        <w:rPr>
          <w:color w:val="211F1F"/>
          <w:sz w:val="24"/>
        </w:rPr>
        <w:t>package</w:t>
      </w:r>
      <w:r>
        <w:rPr>
          <w:color w:val="211F1F"/>
          <w:spacing w:val="-8"/>
          <w:sz w:val="24"/>
        </w:rPr>
        <w:t xml:space="preserve"> </w:t>
      </w:r>
      <w:r>
        <w:rPr>
          <w:color w:val="211F1F"/>
          <w:sz w:val="24"/>
        </w:rPr>
        <w:t>or</w:t>
      </w:r>
      <w:r>
        <w:rPr>
          <w:color w:val="211F1F"/>
          <w:spacing w:val="-6"/>
          <w:sz w:val="24"/>
        </w:rPr>
        <w:t xml:space="preserve"> </w:t>
      </w:r>
      <w:r>
        <w:rPr>
          <w:color w:val="211F1F"/>
          <w:sz w:val="24"/>
        </w:rPr>
        <w:t>container</w:t>
      </w:r>
      <w:r>
        <w:rPr>
          <w:color w:val="211F1F"/>
          <w:spacing w:val="-1"/>
          <w:sz w:val="24"/>
        </w:rPr>
        <w:t xml:space="preserve"> </w:t>
      </w:r>
      <w:r>
        <w:rPr>
          <w:color w:val="211F1F"/>
          <w:sz w:val="24"/>
        </w:rPr>
        <w:t>marked</w:t>
      </w:r>
      <w:r>
        <w:rPr>
          <w:color w:val="211F1F"/>
          <w:spacing w:val="-4"/>
          <w:sz w:val="24"/>
        </w:rPr>
        <w:t xml:space="preserve"> </w:t>
      </w:r>
      <w:r>
        <w:rPr>
          <w:color w:val="211F1F"/>
          <w:sz w:val="24"/>
        </w:rPr>
        <w:t>“COPIES”</w:t>
      </w:r>
      <w:r>
        <w:rPr>
          <w:color w:val="211F1F"/>
          <w:spacing w:val="-7"/>
          <w:sz w:val="24"/>
        </w:rPr>
        <w:t xml:space="preserve"> </w:t>
      </w:r>
      <w:r>
        <w:rPr>
          <w:color w:val="211F1F"/>
          <w:sz w:val="24"/>
        </w:rPr>
        <w:t>all</w:t>
      </w:r>
      <w:r>
        <w:rPr>
          <w:color w:val="211F1F"/>
          <w:spacing w:val="-12"/>
          <w:sz w:val="24"/>
        </w:rPr>
        <w:t xml:space="preserve"> </w:t>
      </w:r>
      <w:r>
        <w:rPr>
          <w:color w:val="211F1F"/>
          <w:sz w:val="24"/>
        </w:rPr>
        <w:t>required</w:t>
      </w:r>
      <w:r>
        <w:rPr>
          <w:color w:val="211F1F"/>
          <w:spacing w:val="-3"/>
          <w:sz w:val="24"/>
        </w:rPr>
        <w:t xml:space="preserve"> </w:t>
      </w:r>
      <w:r>
        <w:rPr>
          <w:color w:val="211F1F"/>
          <w:sz w:val="24"/>
        </w:rPr>
        <w:t>copies of the Tender; and</w:t>
      </w:r>
    </w:p>
    <w:p w14:paraId="25972A7D" w14:textId="77777777" w:rsidR="00BB77C0" w:rsidRDefault="00370BAA">
      <w:pPr>
        <w:pStyle w:val="ListParagraph"/>
        <w:numPr>
          <w:ilvl w:val="2"/>
          <w:numId w:val="91"/>
        </w:numPr>
        <w:tabs>
          <w:tab w:val="left" w:pos="2154"/>
        </w:tabs>
        <w:spacing w:line="271" w:lineRule="exact"/>
        <w:ind w:left="2154" w:hanging="435"/>
        <w:jc w:val="left"/>
        <w:rPr>
          <w:sz w:val="24"/>
        </w:rPr>
      </w:pPr>
      <w:r>
        <w:rPr>
          <w:color w:val="211F1F"/>
          <w:sz w:val="24"/>
        </w:rPr>
        <w:t>if</w:t>
      </w:r>
      <w:r>
        <w:rPr>
          <w:color w:val="211F1F"/>
          <w:spacing w:val="-15"/>
          <w:sz w:val="24"/>
        </w:rPr>
        <w:t xml:space="preserve"> </w:t>
      </w:r>
      <w:r>
        <w:rPr>
          <w:color w:val="211F1F"/>
          <w:sz w:val="24"/>
        </w:rPr>
        <w:t>alternative</w:t>
      </w:r>
      <w:r>
        <w:rPr>
          <w:color w:val="211F1F"/>
          <w:spacing w:val="-4"/>
          <w:sz w:val="24"/>
        </w:rPr>
        <w:t xml:space="preserve"> </w:t>
      </w:r>
      <w:r>
        <w:rPr>
          <w:color w:val="211F1F"/>
          <w:sz w:val="24"/>
        </w:rPr>
        <w:t>Tenders</w:t>
      </w:r>
      <w:r>
        <w:rPr>
          <w:color w:val="211F1F"/>
          <w:spacing w:val="-10"/>
          <w:sz w:val="24"/>
        </w:rPr>
        <w:t xml:space="preserve"> </w:t>
      </w:r>
      <w:r>
        <w:rPr>
          <w:color w:val="211F1F"/>
          <w:sz w:val="24"/>
        </w:rPr>
        <w:t>are</w:t>
      </w:r>
      <w:r>
        <w:rPr>
          <w:color w:val="211F1F"/>
          <w:spacing w:val="-5"/>
          <w:sz w:val="24"/>
        </w:rPr>
        <w:t xml:space="preserve"> </w:t>
      </w:r>
      <w:r>
        <w:rPr>
          <w:color w:val="211F1F"/>
          <w:sz w:val="24"/>
        </w:rPr>
        <w:t>permitted</w:t>
      </w:r>
      <w:r>
        <w:rPr>
          <w:color w:val="211F1F"/>
          <w:spacing w:val="-3"/>
          <w:sz w:val="24"/>
        </w:rPr>
        <w:t xml:space="preserve"> </w:t>
      </w:r>
      <w:r>
        <w:rPr>
          <w:color w:val="211F1F"/>
          <w:sz w:val="24"/>
        </w:rPr>
        <w:t>in</w:t>
      </w:r>
      <w:r>
        <w:rPr>
          <w:color w:val="211F1F"/>
          <w:spacing w:val="-10"/>
          <w:sz w:val="24"/>
        </w:rPr>
        <w:t xml:space="preserve"> </w:t>
      </w:r>
      <w:r>
        <w:rPr>
          <w:color w:val="211F1F"/>
          <w:sz w:val="24"/>
        </w:rPr>
        <w:t>accordance</w:t>
      </w:r>
      <w:r>
        <w:rPr>
          <w:color w:val="211F1F"/>
          <w:spacing w:val="1"/>
          <w:sz w:val="24"/>
        </w:rPr>
        <w:t xml:space="preserve"> </w:t>
      </w:r>
      <w:r>
        <w:rPr>
          <w:color w:val="211F1F"/>
          <w:sz w:val="24"/>
        </w:rPr>
        <w:t>with</w:t>
      </w:r>
      <w:r>
        <w:rPr>
          <w:color w:val="211F1F"/>
          <w:spacing w:val="-9"/>
          <w:sz w:val="24"/>
        </w:rPr>
        <w:t xml:space="preserve"> </w:t>
      </w:r>
      <w:r>
        <w:rPr>
          <w:color w:val="211F1F"/>
          <w:sz w:val="24"/>
        </w:rPr>
        <w:t>ITT</w:t>
      </w:r>
      <w:r>
        <w:rPr>
          <w:color w:val="211F1F"/>
          <w:spacing w:val="-2"/>
          <w:sz w:val="24"/>
        </w:rPr>
        <w:t xml:space="preserve"> </w:t>
      </w:r>
      <w:r>
        <w:rPr>
          <w:color w:val="211F1F"/>
          <w:sz w:val="24"/>
        </w:rPr>
        <w:t>13,</w:t>
      </w:r>
      <w:r>
        <w:rPr>
          <w:color w:val="211F1F"/>
          <w:spacing w:val="-1"/>
          <w:sz w:val="24"/>
        </w:rPr>
        <w:t xml:space="preserve"> </w:t>
      </w:r>
      <w:r>
        <w:rPr>
          <w:color w:val="211F1F"/>
          <w:sz w:val="24"/>
        </w:rPr>
        <w:t>and if</w:t>
      </w:r>
      <w:r>
        <w:rPr>
          <w:color w:val="211F1F"/>
          <w:spacing w:val="-12"/>
          <w:sz w:val="24"/>
        </w:rPr>
        <w:t xml:space="preserve"> </w:t>
      </w:r>
      <w:r>
        <w:rPr>
          <w:color w:val="211F1F"/>
          <w:spacing w:val="-2"/>
          <w:sz w:val="24"/>
        </w:rPr>
        <w:t>relevant:</w:t>
      </w:r>
    </w:p>
    <w:p w14:paraId="3345C3B2" w14:textId="77777777" w:rsidR="00BB77C0" w:rsidRDefault="00370BAA">
      <w:pPr>
        <w:pStyle w:val="ListParagraph"/>
        <w:numPr>
          <w:ilvl w:val="3"/>
          <w:numId w:val="91"/>
        </w:numPr>
        <w:tabs>
          <w:tab w:val="left" w:pos="2880"/>
        </w:tabs>
        <w:spacing w:line="275" w:lineRule="exact"/>
        <w:ind w:left="2880" w:hanging="359"/>
        <w:rPr>
          <w:sz w:val="24"/>
        </w:rPr>
      </w:pPr>
      <w:r>
        <w:rPr>
          <w:color w:val="211F1F"/>
          <w:sz w:val="24"/>
        </w:rPr>
        <w:t>in</w:t>
      </w:r>
      <w:r>
        <w:rPr>
          <w:color w:val="211F1F"/>
          <w:spacing w:val="-9"/>
          <w:sz w:val="24"/>
        </w:rPr>
        <w:t xml:space="preserve"> </w:t>
      </w:r>
      <w:r>
        <w:rPr>
          <w:color w:val="211F1F"/>
          <w:sz w:val="24"/>
        </w:rPr>
        <w:t>an</w:t>
      </w:r>
      <w:r>
        <w:rPr>
          <w:color w:val="211F1F"/>
          <w:spacing w:val="-7"/>
          <w:sz w:val="24"/>
        </w:rPr>
        <w:t xml:space="preserve"> </w:t>
      </w:r>
      <w:r>
        <w:rPr>
          <w:color w:val="211F1F"/>
          <w:sz w:val="24"/>
        </w:rPr>
        <w:t>envelope</w:t>
      </w:r>
      <w:r>
        <w:rPr>
          <w:color w:val="211F1F"/>
          <w:spacing w:val="-3"/>
          <w:sz w:val="24"/>
        </w:rPr>
        <w:t xml:space="preserve"> </w:t>
      </w:r>
      <w:r>
        <w:rPr>
          <w:color w:val="211F1F"/>
          <w:sz w:val="24"/>
        </w:rPr>
        <w:t>or</w:t>
      </w:r>
      <w:r>
        <w:rPr>
          <w:color w:val="211F1F"/>
          <w:spacing w:val="-5"/>
          <w:sz w:val="24"/>
        </w:rPr>
        <w:t xml:space="preserve"> </w:t>
      </w:r>
      <w:r>
        <w:rPr>
          <w:color w:val="211F1F"/>
          <w:sz w:val="24"/>
        </w:rPr>
        <w:t>package</w:t>
      </w:r>
      <w:r>
        <w:rPr>
          <w:color w:val="211F1F"/>
          <w:spacing w:val="-9"/>
          <w:sz w:val="24"/>
        </w:rPr>
        <w:t xml:space="preserve"> </w:t>
      </w:r>
      <w:r>
        <w:rPr>
          <w:color w:val="211F1F"/>
          <w:sz w:val="24"/>
        </w:rPr>
        <w:t>or</w:t>
      </w:r>
      <w:r>
        <w:rPr>
          <w:color w:val="211F1F"/>
          <w:spacing w:val="-5"/>
          <w:sz w:val="24"/>
        </w:rPr>
        <w:t xml:space="preserve"> </w:t>
      </w:r>
      <w:r>
        <w:rPr>
          <w:color w:val="211F1F"/>
          <w:sz w:val="24"/>
        </w:rPr>
        <w:t>container</w:t>
      </w:r>
      <w:r>
        <w:rPr>
          <w:color w:val="211F1F"/>
          <w:spacing w:val="4"/>
          <w:sz w:val="24"/>
        </w:rPr>
        <w:t xml:space="preserve"> </w:t>
      </w:r>
      <w:r>
        <w:rPr>
          <w:color w:val="211F1F"/>
          <w:sz w:val="24"/>
        </w:rPr>
        <w:t>marked</w:t>
      </w:r>
      <w:r>
        <w:rPr>
          <w:color w:val="211F1F"/>
          <w:spacing w:val="-2"/>
          <w:sz w:val="24"/>
        </w:rPr>
        <w:t xml:space="preserve"> </w:t>
      </w:r>
      <w:r>
        <w:rPr>
          <w:color w:val="211F1F"/>
          <w:sz w:val="24"/>
        </w:rPr>
        <w:t>“ORIGINAL</w:t>
      </w:r>
      <w:r>
        <w:rPr>
          <w:color w:val="211F1F"/>
          <w:spacing w:val="-4"/>
          <w:sz w:val="24"/>
        </w:rPr>
        <w:t xml:space="preserve"> </w:t>
      </w:r>
      <w:r>
        <w:rPr>
          <w:color w:val="211F1F"/>
          <w:spacing w:val="-10"/>
          <w:sz w:val="24"/>
        </w:rPr>
        <w:t>-</w:t>
      </w:r>
    </w:p>
    <w:p w14:paraId="167145AE" w14:textId="77777777" w:rsidR="00BB77C0" w:rsidRDefault="00370BAA">
      <w:pPr>
        <w:spacing w:line="274" w:lineRule="exact"/>
        <w:ind w:left="2881"/>
        <w:rPr>
          <w:sz w:val="24"/>
        </w:rPr>
      </w:pPr>
      <w:r>
        <w:rPr>
          <w:color w:val="211F1F"/>
          <w:spacing w:val="-2"/>
          <w:sz w:val="24"/>
        </w:rPr>
        <w:t>ALTERNATIVE</w:t>
      </w:r>
      <w:r>
        <w:rPr>
          <w:color w:val="211F1F"/>
          <w:spacing w:val="-19"/>
          <w:sz w:val="24"/>
        </w:rPr>
        <w:t xml:space="preserve"> </w:t>
      </w:r>
      <w:r>
        <w:rPr>
          <w:color w:val="211F1F"/>
          <w:spacing w:val="-2"/>
          <w:sz w:val="24"/>
        </w:rPr>
        <w:t>TENDER”,</w:t>
      </w:r>
      <w:r>
        <w:rPr>
          <w:color w:val="211F1F"/>
          <w:spacing w:val="-7"/>
          <w:sz w:val="24"/>
        </w:rPr>
        <w:t xml:space="preserve"> </w:t>
      </w:r>
      <w:r>
        <w:rPr>
          <w:color w:val="211F1F"/>
          <w:spacing w:val="-2"/>
          <w:sz w:val="24"/>
        </w:rPr>
        <w:t>the</w:t>
      </w:r>
      <w:r>
        <w:rPr>
          <w:color w:val="211F1F"/>
          <w:spacing w:val="-5"/>
          <w:sz w:val="24"/>
        </w:rPr>
        <w:t xml:space="preserve"> </w:t>
      </w:r>
      <w:r>
        <w:rPr>
          <w:color w:val="211F1F"/>
          <w:spacing w:val="-2"/>
          <w:sz w:val="24"/>
        </w:rPr>
        <w:t>alternative</w:t>
      </w:r>
      <w:r>
        <w:rPr>
          <w:color w:val="211F1F"/>
          <w:sz w:val="24"/>
        </w:rPr>
        <w:t xml:space="preserve"> </w:t>
      </w:r>
      <w:r>
        <w:rPr>
          <w:color w:val="211F1F"/>
          <w:spacing w:val="-2"/>
          <w:sz w:val="24"/>
        </w:rPr>
        <w:t>Tender;</w:t>
      </w:r>
      <w:r>
        <w:rPr>
          <w:color w:val="211F1F"/>
          <w:spacing w:val="-6"/>
          <w:sz w:val="24"/>
        </w:rPr>
        <w:t xml:space="preserve"> </w:t>
      </w:r>
      <w:r>
        <w:rPr>
          <w:color w:val="211F1F"/>
          <w:spacing w:val="-5"/>
          <w:sz w:val="24"/>
        </w:rPr>
        <w:t>and</w:t>
      </w:r>
    </w:p>
    <w:p w14:paraId="128AD8AA" w14:textId="77777777" w:rsidR="00BB77C0" w:rsidRDefault="00370BAA">
      <w:pPr>
        <w:pStyle w:val="ListParagraph"/>
        <w:numPr>
          <w:ilvl w:val="3"/>
          <w:numId w:val="91"/>
        </w:numPr>
        <w:tabs>
          <w:tab w:val="left" w:pos="2879"/>
        </w:tabs>
        <w:spacing w:line="275" w:lineRule="exact"/>
        <w:ind w:left="2879" w:hanging="358"/>
        <w:rPr>
          <w:sz w:val="24"/>
        </w:rPr>
      </w:pPr>
      <w:r>
        <w:rPr>
          <w:color w:val="211F1F"/>
          <w:sz w:val="24"/>
        </w:rPr>
        <w:t>in</w:t>
      </w:r>
      <w:r>
        <w:rPr>
          <w:color w:val="211F1F"/>
          <w:spacing w:val="-7"/>
          <w:sz w:val="24"/>
        </w:rPr>
        <w:t xml:space="preserve"> </w:t>
      </w:r>
      <w:r>
        <w:rPr>
          <w:color w:val="211F1F"/>
          <w:sz w:val="24"/>
        </w:rPr>
        <w:t>the</w:t>
      </w:r>
      <w:r>
        <w:rPr>
          <w:color w:val="211F1F"/>
          <w:spacing w:val="-2"/>
          <w:sz w:val="24"/>
        </w:rPr>
        <w:t xml:space="preserve"> </w:t>
      </w:r>
      <w:r>
        <w:rPr>
          <w:color w:val="211F1F"/>
          <w:sz w:val="24"/>
        </w:rPr>
        <w:t>envelope</w:t>
      </w:r>
      <w:r>
        <w:rPr>
          <w:color w:val="211F1F"/>
          <w:spacing w:val="-2"/>
          <w:sz w:val="24"/>
        </w:rPr>
        <w:t xml:space="preserve"> </w:t>
      </w:r>
      <w:r>
        <w:rPr>
          <w:color w:val="211F1F"/>
          <w:sz w:val="24"/>
        </w:rPr>
        <w:t>or package</w:t>
      </w:r>
      <w:r>
        <w:rPr>
          <w:color w:val="211F1F"/>
          <w:spacing w:val="-7"/>
          <w:sz w:val="24"/>
        </w:rPr>
        <w:t xml:space="preserve"> </w:t>
      </w:r>
      <w:r>
        <w:rPr>
          <w:color w:val="211F1F"/>
          <w:sz w:val="24"/>
        </w:rPr>
        <w:t>or</w:t>
      </w:r>
      <w:r>
        <w:rPr>
          <w:color w:val="211F1F"/>
          <w:spacing w:val="-5"/>
          <w:sz w:val="24"/>
        </w:rPr>
        <w:t xml:space="preserve"> </w:t>
      </w:r>
      <w:r>
        <w:rPr>
          <w:color w:val="211F1F"/>
          <w:sz w:val="24"/>
        </w:rPr>
        <w:t>container</w:t>
      </w:r>
      <w:r>
        <w:rPr>
          <w:color w:val="211F1F"/>
          <w:spacing w:val="5"/>
          <w:sz w:val="24"/>
        </w:rPr>
        <w:t xml:space="preserve"> </w:t>
      </w:r>
      <w:r>
        <w:rPr>
          <w:color w:val="211F1F"/>
          <w:sz w:val="24"/>
        </w:rPr>
        <w:t>marked</w:t>
      </w:r>
      <w:r>
        <w:rPr>
          <w:color w:val="211F1F"/>
          <w:spacing w:val="-1"/>
          <w:sz w:val="24"/>
        </w:rPr>
        <w:t xml:space="preserve"> </w:t>
      </w:r>
      <w:r>
        <w:rPr>
          <w:color w:val="211F1F"/>
          <w:spacing w:val="-2"/>
          <w:sz w:val="24"/>
        </w:rPr>
        <w:t>“COPIES-</w:t>
      </w:r>
    </w:p>
    <w:p w14:paraId="73A6AAED" w14:textId="77777777" w:rsidR="00BB77C0" w:rsidRDefault="00370BAA">
      <w:pPr>
        <w:spacing w:before="2" w:line="237" w:lineRule="auto"/>
        <w:ind w:left="2881" w:right="79"/>
        <w:rPr>
          <w:sz w:val="24"/>
        </w:rPr>
      </w:pPr>
      <w:r>
        <w:rPr>
          <w:color w:val="211F1F"/>
          <w:spacing w:val="-2"/>
          <w:sz w:val="24"/>
        </w:rPr>
        <w:t>ALTERNATIVETENDER”, all</w:t>
      </w:r>
      <w:r>
        <w:rPr>
          <w:color w:val="211F1F"/>
          <w:spacing w:val="-8"/>
          <w:sz w:val="24"/>
        </w:rPr>
        <w:t xml:space="preserve"> </w:t>
      </w:r>
      <w:r>
        <w:rPr>
          <w:color w:val="211F1F"/>
          <w:spacing w:val="-2"/>
          <w:sz w:val="24"/>
        </w:rPr>
        <w:t>required copies</w:t>
      </w:r>
      <w:r>
        <w:rPr>
          <w:color w:val="211F1F"/>
          <w:spacing w:val="-4"/>
          <w:sz w:val="24"/>
        </w:rPr>
        <w:t xml:space="preserve"> </w:t>
      </w:r>
      <w:r>
        <w:rPr>
          <w:color w:val="211F1F"/>
          <w:spacing w:val="-2"/>
          <w:sz w:val="24"/>
        </w:rPr>
        <w:t>of</w:t>
      </w:r>
      <w:r>
        <w:rPr>
          <w:color w:val="211F1F"/>
          <w:spacing w:val="-11"/>
          <w:sz w:val="24"/>
        </w:rPr>
        <w:t xml:space="preserve"> </w:t>
      </w:r>
      <w:r>
        <w:rPr>
          <w:color w:val="211F1F"/>
          <w:spacing w:val="-2"/>
          <w:sz w:val="24"/>
        </w:rPr>
        <w:t>the</w:t>
      </w:r>
      <w:r>
        <w:rPr>
          <w:color w:val="211F1F"/>
          <w:spacing w:val="-3"/>
          <w:sz w:val="24"/>
        </w:rPr>
        <w:t xml:space="preserve"> </w:t>
      </w:r>
      <w:r>
        <w:rPr>
          <w:color w:val="211F1F"/>
          <w:spacing w:val="-2"/>
          <w:sz w:val="24"/>
        </w:rPr>
        <w:t>alternative Tender.</w:t>
      </w:r>
    </w:p>
    <w:p w14:paraId="5BF836A3" w14:textId="77777777" w:rsidR="00BB77C0" w:rsidRDefault="00BB77C0">
      <w:pPr>
        <w:pStyle w:val="BodyText"/>
        <w:spacing w:before="184"/>
        <w:rPr>
          <w:sz w:val="24"/>
        </w:rPr>
      </w:pPr>
    </w:p>
    <w:p w14:paraId="5C5504D2" w14:textId="77777777" w:rsidR="00BB77C0" w:rsidRDefault="00370BAA">
      <w:pPr>
        <w:ind w:left="1441"/>
        <w:rPr>
          <w:sz w:val="24"/>
        </w:rPr>
      </w:pPr>
      <w:r>
        <w:rPr>
          <w:color w:val="211F1F"/>
          <w:sz w:val="24"/>
        </w:rPr>
        <w:t>The</w:t>
      </w:r>
      <w:r>
        <w:rPr>
          <w:color w:val="211F1F"/>
          <w:spacing w:val="-4"/>
          <w:sz w:val="24"/>
        </w:rPr>
        <w:t xml:space="preserve"> </w:t>
      </w:r>
      <w:r>
        <w:rPr>
          <w:color w:val="211F1F"/>
          <w:sz w:val="24"/>
        </w:rPr>
        <w:t>inner envelopes</w:t>
      </w:r>
      <w:r>
        <w:rPr>
          <w:color w:val="211F1F"/>
          <w:spacing w:val="-3"/>
          <w:sz w:val="24"/>
        </w:rPr>
        <w:t xml:space="preserve"> </w:t>
      </w:r>
      <w:r>
        <w:rPr>
          <w:color w:val="211F1F"/>
          <w:sz w:val="24"/>
        </w:rPr>
        <w:t>or</w:t>
      </w:r>
      <w:r>
        <w:rPr>
          <w:color w:val="211F1F"/>
          <w:spacing w:val="-5"/>
          <w:sz w:val="24"/>
        </w:rPr>
        <w:t xml:space="preserve"> </w:t>
      </w:r>
      <w:r>
        <w:rPr>
          <w:color w:val="211F1F"/>
          <w:sz w:val="24"/>
        </w:rPr>
        <w:t>packages</w:t>
      </w:r>
      <w:r>
        <w:rPr>
          <w:color w:val="211F1F"/>
          <w:spacing w:val="-4"/>
          <w:sz w:val="24"/>
        </w:rPr>
        <w:t xml:space="preserve"> </w:t>
      </w:r>
      <w:r>
        <w:rPr>
          <w:color w:val="211F1F"/>
          <w:sz w:val="24"/>
        </w:rPr>
        <w:t>or</w:t>
      </w:r>
      <w:r>
        <w:rPr>
          <w:color w:val="211F1F"/>
          <w:spacing w:val="-4"/>
          <w:sz w:val="24"/>
        </w:rPr>
        <w:t xml:space="preserve"> </w:t>
      </w:r>
      <w:r>
        <w:rPr>
          <w:color w:val="211F1F"/>
          <w:sz w:val="24"/>
        </w:rPr>
        <w:t>containers</w:t>
      </w:r>
      <w:r>
        <w:rPr>
          <w:color w:val="211F1F"/>
          <w:spacing w:val="-3"/>
          <w:sz w:val="24"/>
        </w:rPr>
        <w:t xml:space="preserve"> </w:t>
      </w:r>
      <w:r>
        <w:rPr>
          <w:color w:val="211F1F"/>
          <w:spacing w:val="-2"/>
          <w:sz w:val="24"/>
        </w:rPr>
        <w:t>shall:</w:t>
      </w:r>
    </w:p>
    <w:p w14:paraId="44A6E4EC" w14:textId="77777777" w:rsidR="00BB77C0" w:rsidRDefault="00370BAA">
      <w:pPr>
        <w:pStyle w:val="ListParagraph"/>
        <w:numPr>
          <w:ilvl w:val="0"/>
          <w:numId w:val="90"/>
        </w:numPr>
        <w:tabs>
          <w:tab w:val="left" w:pos="2160"/>
        </w:tabs>
        <w:spacing w:before="185" w:line="275" w:lineRule="exact"/>
        <w:ind w:left="2160" w:hanging="359"/>
        <w:rPr>
          <w:sz w:val="24"/>
        </w:rPr>
      </w:pPr>
      <w:r>
        <w:rPr>
          <w:color w:val="211F1F"/>
          <w:sz w:val="24"/>
        </w:rPr>
        <w:t>bear</w:t>
      </w:r>
      <w:r>
        <w:rPr>
          <w:color w:val="211F1F"/>
          <w:spacing w:val="-7"/>
          <w:sz w:val="24"/>
        </w:rPr>
        <w:t xml:space="preserve"> </w:t>
      </w:r>
      <w:r>
        <w:rPr>
          <w:color w:val="211F1F"/>
          <w:sz w:val="24"/>
        </w:rPr>
        <w:t>the</w:t>
      </w:r>
      <w:r>
        <w:rPr>
          <w:color w:val="211F1F"/>
          <w:spacing w:val="-2"/>
          <w:sz w:val="24"/>
        </w:rPr>
        <w:t xml:space="preserve"> </w:t>
      </w:r>
      <w:r>
        <w:rPr>
          <w:color w:val="211F1F"/>
          <w:sz w:val="24"/>
        </w:rPr>
        <w:t>name</w:t>
      </w:r>
      <w:r>
        <w:rPr>
          <w:color w:val="211F1F"/>
          <w:spacing w:val="-1"/>
          <w:sz w:val="24"/>
        </w:rPr>
        <w:t xml:space="preserve"> </w:t>
      </w:r>
      <w:r>
        <w:rPr>
          <w:color w:val="211F1F"/>
          <w:sz w:val="24"/>
        </w:rPr>
        <w:t>and</w:t>
      </w:r>
      <w:r>
        <w:rPr>
          <w:color w:val="211F1F"/>
          <w:spacing w:val="-2"/>
          <w:sz w:val="24"/>
        </w:rPr>
        <w:t xml:space="preserve"> </w:t>
      </w:r>
      <w:r>
        <w:rPr>
          <w:color w:val="211F1F"/>
          <w:sz w:val="24"/>
        </w:rPr>
        <w:t>address</w:t>
      </w:r>
      <w:r>
        <w:rPr>
          <w:color w:val="211F1F"/>
          <w:spacing w:val="-2"/>
          <w:sz w:val="24"/>
        </w:rPr>
        <w:t xml:space="preserve"> </w:t>
      </w:r>
      <w:r>
        <w:rPr>
          <w:color w:val="211F1F"/>
          <w:sz w:val="24"/>
        </w:rPr>
        <w:t>of</w:t>
      </w:r>
      <w:r>
        <w:rPr>
          <w:color w:val="211F1F"/>
          <w:spacing w:val="-9"/>
          <w:sz w:val="24"/>
        </w:rPr>
        <w:t xml:space="preserve"> </w:t>
      </w:r>
      <w:r>
        <w:rPr>
          <w:color w:val="211F1F"/>
          <w:sz w:val="24"/>
        </w:rPr>
        <w:t>the</w:t>
      </w:r>
      <w:r>
        <w:rPr>
          <w:color w:val="211F1F"/>
          <w:spacing w:val="-2"/>
          <w:sz w:val="24"/>
        </w:rPr>
        <w:t xml:space="preserve"> </w:t>
      </w:r>
      <w:r>
        <w:rPr>
          <w:color w:val="211F1F"/>
          <w:sz w:val="24"/>
        </w:rPr>
        <w:t xml:space="preserve">Procuring </w:t>
      </w:r>
      <w:r>
        <w:rPr>
          <w:color w:val="211F1F"/>
          <w:spacing w:val="-2"/>
          <w:sz w:val="24"/>
        </w:rPr>
        <w:t>Entity.</w:t>
      </w:r>
    </w:p>
    <w:p w14:paraId="51A91C82" w14:textId="77777777" w:rsidR="00BB77C0" w:rsidRDefault="00370BAA">
      <w:pPr>
        <w:pStyle w:val="ListParagraph"/>
        <w:numPr>
          <w:ilvl w:val="0"/>
          <w:numId w:val="90"/>
        </w:numPr>
        <w:tabs>
          <w:tab w:val="left" w:pos="2160"/>
        </w:tabs>
        <w:spacing w:line="275" w:lineRule="exact"/>
        <w:ind w:left="2160" w:hanging="359"/>
        <w:rPr>
          <w:sz w:val="24"/>
        </w:rPr>
      </w:pPr>
      <w:r>
        <w:rPr>
          <w:color w:val="211F1F"/>
          <w:sz w:val="24"/>
        </w:rPr>
        <w:t>Bear</w:t>
      </w:r>
      <w:r>
        <w:rPr>
          <w:color w:val="211F1F"/>
          <w:spacing w:val="-4"/>
          <w:sz w:val="24"/>
        </w:rPr>
        <w:t xml:space="preserve"> </w:t>
      </w:r>
      <w:r>
        <w:rPr>
          <w:color w:val="211F1F"/>
          <w:sz w:val="24"/>
        </w:rPr>
        <w:t>the</w:t>
      </w:r>
      <w:r>
        <w:rPr>
          <w:color w:val="211F1F"/>
          <w:spacing w:val="-1"/>
          <w:sz w:val="24"/>
        </w:rPr>
        <w:t xml:space="preserve"> </w:t>
      </w:r>
      <w:r>
        <w:rPr>
          <w:color w:val="211F1F"/>
          <w:sz w:val="24"/>
        </w:rPr>
        <w:t>name and address</w:t>
      </w:r>
      <w:r>
        <w:rPr>
          <w:color w:val="211F1F"/>
          <w:spacing w:val="-1"/>
          <w:sz w:val="24"/>
        </w:rPr>
        <w:t xml:space="preserve"> </w:t>
      </w:r>
      <w:r>
        <w:rPr>
          <w:color w:val="211F1F"/>
          <w:sz w:val="24"/>
        </w:rPr>
        <w:t>of</w:t>
      </w:r>
      <w:r>
        <w:rPr>
          <w:color w:val="211F1F"/>
          <w:spacing w:val="-13"/>
          <w:sz w:val="24"/>
        </w:rPr>
        <w:t xml:space="preserve"> </w:t>
      </w:r>
      <w:r>
        <w:rPr>
          <w:color w:val="211F1F"/>
          <w:sz w:val="24"/>
        </w:rPr>
        <w:t>the</w:t>
      </w:r>
      <w:r>
        <w:rPr>
          <w:color w:val="211F1F"/>
          <w:spacing w:val="-1"/>
          <w:sz w:val="24"/>
        </w:rPr>
        <w:t xml:space="preserve"> </w:t>
      </w:r>
      <w:r>
        <w:rPr>
          <w:color w:val="211F1F"/>
          <w:sz w:val="24"/>
        </w:rPr>
        <w:t>Tenderer;</w:t>
      </w:r>
      <w:r>
        <w:rPr>
          <w:color w:val="211F1F"/>
          <w:spacing w:val="-3"/>
          <w:sz w:val="24"/>
        </w:rPr>
        <w:t xml:space="preserve"> </w:t>
      </w:r>
      <w:r>
        <w:rPr>
          <w:color w:val="211F1F"/>
          <w:spacing w:val="-5"/>
          <w:sz w:val="24"/>
        </w:rPr>
        <w:t>and</w:t>
      </w:r>
    </w:p>
    <w:p w14:paraId="5FB77AD8" w14:textId="77777777" w:rsidR="00BB77C0" w:rsidRDefault="00370BAA">
      <w:pPr>
        <w:pStyle w:val="ListParagraph"/>
        <w:numPr>
          <w:ilvl w:val="0"/>
          <w:numId w:val="90"/>
        </w:numPr>
        <w:tabs>
          <w:tab w:val="left" w:pos="2160"/>
        </w:tabs>
        <w:spacing w:before="3"/>
        <w:ind w:left="2160" w:hanging="359"/>
        <w:rPr>
          <w:sz w:val="24"/>
        </w:rPr>
      </w:pPr>
      <w:r>
        <w:rPr>
          <w:color w:val="211F1F"/>
          <w:sz w:val="24"/>
        </w:rPr>
        <w:t>Bear</w:t>
      </w:r>
      <w:r>
        <w:rPr>
          <w:color w:val="211F1F"/>
          <w:spacing w:val="-7"/>
          <w:sz w:val="24"/>
        </w:rPr>
        <w:t xml:space="preserve"> </w:t>
      </w:r>
      <w:r>
        <w:rPr>
          <w:color w:val="211F1F"/>
          <w:sz w:val="24"/>
        </w:rPr>
        <w:t>the</w:t>
      </w:r>
      <w:r>
        <w:rPr>
          <w:color w:val="211F1F"/>
          <w:spacing w:val="-2"/>
          <w:sz w:val="24"/>
        </w:rPr>
        <w:t xml:space="preserve"> </w:t>
      </w:r>
      <w:r>
        <w:rPr>
          <w:color w:val="211F1F"/>
          <w:sz w:val="24"/>
        </w:rPr>
        <w:t>name</w:t>
      </w:r>
      <w:r>
        <w:rPr>
          <w:color w:val="211F1F"/>
          <w:spacing w:val="-1"/>
          <w:sz w:val="24"/>
        </w:rPr>
        <w:t xml:space="preserve"> </w:t>
      </w:r>
      <w:r>
        <w:rPr>
          <w:color w:val="211F1F"/>
          <w:sz w:val="24"/>
        </w:rPr>
        <w:t>and</w:t>
      </w:r>
      <w:r>
        <w:rPr>
          <w:color w:val="211F1F"/>
          <w:spacing w:val="-2"/>
          <w:sz w:val="24"/>
        </w:rPr>
        <w:t xml:space="preserve"> </w:t>
      </w:r>
      <w:r>
        <w:rPr>
          <w:color w:val="211F1F"/>
          <w:sz w:val="24"/>
        </w:rPr>
        <w:t>Reference number of</w:t>
      </w:r>
      <w:r>
        <w:rPr>
          <w:color w:val="211F1F"/>
          <w:spacing w:val="-8"/>
          <w:sz w:val="24"/>
        </w:rPr>
        <w:t xml:space="preserve"> </w:t>
      </w:r>
      <w:r>
        <w:rPr>
          <w:color w:val="211F1F"/>
          <w:sz w:val="24"/>
        </w:rPr>
        <w:t>the</w:t>
      </w:r>
      <w:r>
        <w:rPr>
          <w:color w:val="211F1F"/>
          <w:spacing w:val="-7"/>
          <w:sz w:val="24"/>
        </w:rPr>
        <w:t xml:space="preserve"> </w:t>
      </w:r>
      <w:r>
        <w:rPr>
          <w:color w:val="211F1F"/>
          <w:spacing w:val="-2"/>
          <w:sz w:val="24"/>
        </w:rPr>
        <w:t>Tender.</w:t>
      </w:r>
    </w:p>
    <w:p w14:paraId="1CF0A596" w14:textId="77777777" w:rsidR="00BB77C0" w:rsidRDefault="00BB77C0">
      <w:pPr>
        <w:pStyle w:val="ListParagraph"/>
        <w:rPr>
          <w:sz w:val="24"/>
        </w:rPr>
        <w:sectPr w:rsidR="00BB77C0">
          <w:pgSz w:w="11930" w:h="16870"/>
          <w:pgMar w:top="1340" w:right="1080" w:bottom="280" w:left="1080" w:header="720" w:footer="720" w:gutter="0"/>
          <w:cols w:space="720"/>
        </w:sectPr>
      </w:pPr>
    </w:p>
    <w:p w14:paraId="570D1B4C" w14:textId="77777777" w:rsidR="00BB77C0" w:rsidRDefault="00370BAA">
      <w:pPr>
        <w:pStyle w:val="ListParagraph"/>
        <w:numPr>
          <w:ilvl w:val="1"/>
          <w:numId w:val="91"/>
        </w:numPr>
        <w:tabs>
          <w:tab w:val="left" w:pos="1441"/>
        </w:tabs>
        <w:spacing w:before="75" w:line="259" w:lineRule="auto"/>
        <w:ind w:left="1441" w:right="98"/>
        <w:jc w:val="left"/>
        <w:rPr>
          <w:color w:val="211F1F"/>
          <w:sz w:val="24"/>
        </w:rPr>
      </w:pPr>
      <w:r>
        <w:rPr>
          <w:color w:val="211F1F"/>
          <w:sz w:val="24"/>
        </w:rPr>
        <w:lastRenderedPageBreak/>
        <w:t xml:space="preserve">If an envelope or package or container is not sealed and marked as required, the </w:t>
      </w:r>
      <w:r>
        <w:rPr>
          <w:i/>
          <w:color w:val="211F1F"/>
          <w:sz w:val="24"/>
        </w:rPr>
        <w:t xml:space="preserve">Procuring Entity </w:t>
      </w:r>
      <w:r>
        <w:rPr>
          <w:color w:val="211F1F"/>
          <w:sz w:val="24"/>
        </w:rPr>
        <w:t>will assume no responsibility for the misplacement or premature opening</w:t>
      </w:r>
      <w:r>
        <w:rPr>
          <w:color w:val="211F1F"/>
          <w:spacing w:val="-8"/>
          <w:sz w:val="24"/>
        </w:rPr>
        <w:t xml:space="preserve"> </w:t>
      </w:r>
      <w:r>
        <w:rPr>
          <w:color w:val="211F1F"/>
          <w:sz w:val="24"/>
        </w:rPr>
        <w:t>of</w:t>
      </w:r>
      <w:r>
        <w:rPr>
          <w:color w:val="211F1F"/>
          <w:spacing w:val="-15"/>
          <w:sz w:val="24"/>
        </w:rPr>
        <w:t xml:space="preserve"> </w:t>
      </w:r>
      <w:r>
        <w:rPr>
          <w:color w:val="211F1F"/>
          <w:sz w:val="24"/>
        </w:rPr>
        <w:t>the</w:t>
      </w:r>
      <w:r>
        <w:rPr>
          <w:color w:val="211F1F"/>
          <w:spacing w:val="-8"/>
          <w:sz w:val="24"/>
        </w:rPr>
        <w:t xml:space="preserve"> </w:t>
      </w:r>
      <w:r>
        <w:rPr>
          <w:color w:val="211F1F"/>
          <w:sz w:val="24"/>
        </w:rPr>
        <w:t>Tender.</w:t>
      </w:r>
      <w:r>
        <w:rPr>
          <w:color w:val="211F1F"/>
          <w:spacing w:val="-15"/>
          <w:sz w:val="24"/>
        </w:rPr>
        <w:t xml:space="preserve"> </w:t>
      </w:r>
      <w:r>
        <w:rPr>
          <w:color w:val="211F1F"/>
          <w:sz w:val="24"/>
        </w:rPr>
        <w:t>Tenders</w:t>
      </w:r>
      <w:r>
        <w:rPr>
          <w:color w:val="211F1F"/>
          <w:spacing w:val="-13"/>
          <w:sz w:val="24"/>
        </w:rPr>
        <w:t xml:space="preserve"> </w:t>
      </w:r>
      <w:r>
        <w:rPr>
          <w:color w:val="211F1F"/>
          <w:sz w:val="24"/>
        </w:rPr>
        <w:t>that</w:t>
      </w:r>
      <w:r>
        <w:rPr>
          <w:color w:val="211F1F"/>
          <w:spacing w:val="-6"/>
          <w:sz w:val="24"/>
        </w:rPr>
        <w:t xml:space="preserve"> </w:t>
      </w:r>
      <w:r>
        <w:rPr>
          <w:color w:val="211F1F"/>
          <w:sz w:val="24"/>
        </w:rPr>
        <w:t>were</w:t>
      </w:r>
      <w:r>
        <w:rPr>
          <w:color w:val="211F1F"/>
          <w:spacing w:val="-12"/>
          <w:sz w:val="24"/>
        </w:rPr>
        <w:t xml:space="preserve"> </w:t>
      </w:r>
      <w:r>
        <w:rPr>
          <w:color w:val="211F1F"/>
          <w:sz w:val="24"/>
        </w:rPr>
        <w:t>misplaced</w:t>
      </w:r>
      <w:r>
        <w:rPr>
          <w:color w:val="211F1F"/>
          <w:spacing w:val="-10"/>
          <w:sz w:val="24"/>
        </w:rPr>
        <w:t xml:space="preserve"> </w:t>
      </w:r>
      <w:r>
        <w:rPr>
          <w:color w:val="211F1F"/>
          <w:sz w:val="24"/>
        </w:rPr>
        <w:t>or</w:t>
      </w:r>
      <w:r>
        <w:rPr>
          <w:color w:val="211F1F"/>
          <w:spacing w:val="-15"/>
          <w:sz w:val="24"/>
        </w:rPr>
        <w:t xml:space="preserve"> </w:t>
      </w:r>
      <w:r>
        <w:rPr>
          <w:color w:val="211F1F"/>
          <w:sz w:val="24"/>
        </w:rPr>
        <w:t>opened</w:t>
      </w:r>
      <w:r>
        <w:rPr>
          <w:color w:val="211F1F"/>
          <w:spacing w:val="-6"/>
          <w:sz w:val="24"/>
        </w:rPr>
        <w:t xml:space="preserve"> </w:t>
      </w:r>
      <w:r>
        <w:rPr>
          <w:color w:val="211F1F"/>
          <w:sz w:val="24"/>
        </w:rPr>
        <w:t>prematurely</w:t>
      </w:r>
      <w:r>
        <w:rPr>
          <w:color w:val="211F1F"/>
          <w:spacing w:val="-10"/>
          <w:sz w:val="24"/>
        </w:rPr>
        <w:t xml:space="preserve"> </w:t>
      </w:r>
      <w:r>
        <w:rPr>
          <w:color w:val="211F1F"/>
          <w:sz w:val="24"/>
        </w:rPr>
        <w:t>will</w:t>
      </w:r>
      <w:r>
        <w:rPr>
          <w:color w:val="211F1F"/>
          <w:spacing w:val="-6"/>
          <w:sz w:val="24"/>
        </w:rPr>
        <w:t xml:space="preserve"> </w:t>
      </w:r>
      <w:r>
        <w:rPr>
          <w:color w:val="211F1F"/>
          <w:sz w:val="24"/>
        </w:rPr>
        <w:t>not</w:t>
      </w:r>
      <w:r>
        <w:rPr>
          <w:color w:val="211F1F"/>
          <w:spacing w:val="-6"/>
          <w:sz w:val="24"/>
        </w:rPr>
        <w:t xml:space="preserve"> </w:t>
      </w:r>
      <w:r>
        <w:rPr>
          <w:color w:val="211F1F"/>
          <w:sz w:val="24"/>
        </w:rPr>
        <w:t xml:space="preserve">be </w:t>
      </w:r>
      <w:r>
        <w:rPr>
          <w:color w:val="211F1F"/>
          <w:spacing w:val="-2"/>
          <w:sz w:val="24"/>
        </w:rPr>
        <w:t>accepted.</w:t>
      </w:r>
    </w:p>
    <w:p w14:paraId="2CDD081B" w14:textId="77777777" w:rsidR="00BB77C0" w:rsidRDefault="00BB77C0">
      <w:pPr>
        <w:pStyle w:val="BodyText"/>
        <w:rPr>
          <w:sz w:val="24"/>
        </w:rPr>
      </w:pPr>
    </w:p>
    <w:p w14:paraId="368CB0F3" w14:textId="77777777" w:rsidR="00BB77C0" w:rsidRDefault="00BB77C0">
      <w:pPr>
        <w:pStyle w:val="BodyText"/>
        <w:spacing w:before="152"/>
        <w:rPr>
          <w:sz w:val="24"/>
        </w:rPr>
      </w:pPr>
    </w:p>
    <w:p w14:paraId="4E6D3C82" w14:textId="77777777" w:rsidR="00BB77C0" w:rsidRDefault="00370BAA">
      <w:pPr>
        <w:pStyle w:val="Heading6"/>
        <w:numPr>
          <w:ilvl w:val="1"/>
          <w:numId w:val="89"/>
        </w:numPr>
        <w:tabs>
          <w:tab w:val="left" w:pos="720"/>
        </w:tabs>
        <w:spacing w:before="1"/>
        <w:ind w:hanging="720"/>
        <w:jc w:val="left"/>
      </w:pPr>
      <w:bookmarkStart w:id="60" w:name="24.0_Deadline_for_Submission_of_Tenders"/>
      <w:bookmarkStart w:id="61" w:name="_bookmark29"/>
      <w:bookmarkEnd w:id="60"/>
      <w:bookmarkEnd w:id="61"/>
      <w:r>
        <w:t>Deadline</w:t>
      </w:r>
      <w:r>
        <w:rPr>
          <w:spacing w:val="-6"/>
        </w:rPr>
        <w:t xml:space="preserve"> </w:t>
      </w:r>
      <w:r>
        <w:t>for</w:t>
      </w:r>
      <w:r>
        <w:rPr>
          <w:spacing w:val="-6"/>
        </w:rPr>
        <w:t xml:space="preserve"> </w:t>
      </w:r>
      <w:r>
        <w:t>Submission</w:t>
      </w:r>
      <w:r>
        <w:rPr>
          <w:spacing w:val="2"/>
        </w:rPr>
        <w:t xml:space="preserve"> </w:t>
      </w:r>
      <w:r>
        <w:t>of</w:t>
      </w:r>
      <w:r>
        <w:rPr>
          <w:spacing w:val="-3"/>
        </w:rPr>
        <w:t xml:space="preserve"> </w:t>
      </w:r>
      <w:r>
        <w:rPr>
          <w:spacing w:val="-2"/>
        </w:rPr>
        <w:t>Tenders</w:t>
      </w:r>
    </w:p>
    <w:p w14:paraId="4FB72616" w14:textId="77777777" w:rsidR="00BB77C0" w:rsidRDefault="00370BAA">
      <w:pPr>
        <w:pStyle w:val="ListParagraph"/>
        <w:numPr>
          <w:ilvl w:val="1"/>
          <w:numId w:val="89"/>
        </w:numPr>
        <w:tabs>
          <w:tab w:val="left" w:pos="1441"/>
        </w:tabs>
        <w:spacing w:before="74" w:line="259" w:lineRule="auto"/>
        <w:ind w:left="1441" w:right="74"/>
        <w:jc w:val="left"/>
        <w:rPr>
          <w:color w:val="211F1F"/>
          <w:sz w:val="24"/>
        </w:rPr>
      </w:pPr>
      <w:r>
        <w:rPr>
          <w:color w:val="211F1F"/>
          <w:sz w:val="24"/>
        </w:rPr>
        <w:t>Tenders must be received by</w:t>
      </w:r>
      <w:r>
        <w:rPr>
          <w:color w:val="211F1F"/>
          <w:spacing w:val="-8"/>
          <w:sz w:val="24"/>
        </w:rPr>
        <w:t xml:space="preserve"> </w:t>
      </w:r>
      <w:r>
        <w:rPr>
          <w:color w:val="211F1F"/>
          <w:sz w:val="24"/>
        </w:rPr>
        <w:t>the Procuring Entity</w:t>
      </w:r>
      <w:r>
        <w:rPr>
          <w:color w:val="211F1F"/>
          <w:spacing w:val="-8"/>
          <w:sz w:val="24"/>
        </w:rPr>
        <w:t xml:space="preserve"> </w:t>
      </w:r>
      <w:r>
        <w:rPr>
          <w:color w:val="211F1F"/>
          <w:sz w:val="24"/>
        </w:rPr>
        <w:t>at the address specified in</w:t>
      </w:r>
      <w:r>
        <w:rPr>
          <w:color w:val="211F1F"/>
          <w:spacing w:val="-3"/>
          <w:sz w:val="24"/>
        </w:rPr>
        <w:t xml:space="preserve"> </w:t>
      </w:r>
      <w:r>
        <w:rPr>
          <w:color w:val="211F1F"/>
          <w:sz w:val="24"/>
        </w:rPr>
        <w:t xml:space="preserve">the </w:t>
      </w:r>
      <w:r>
        <w:rPr>
          <w:b/>
          <w:color w:val="211F1F"/>
          <w:sz w:val="24"/>
        </w:rPr>
        <w:t xml:space="preserve">TDS </w:t>
      </w:r>
      <w:r>
        <w:rPr>
          <w:color w:val="211F1F"/>
          <w:sz w:val="24"/>
        </w:rPr>
        <w:t>and</w:t>
      </w:r>
      <w:r>
        <w:rPr>
          <w:color w:val="211F1F"/>
          <w:spacing w:val="-3"/>
          <w:sz w:val="24"/>
        </w:rPr>
        <w:t xml:space="preserve"> </w:t>
      </w:r>
      <w:r>
        <w:rPr>
          <w:color w:val="211F1F"/>
          <w:sz w:val="24"/>
        </w:rPr>
        <w:t>no later</w:t>
      </w:r>
      <w:r>
        <w:rPr>
          <w:color w:val="211F1F"/>
          <w:spacing w:val="-11"/>
          <w:sz w:val="24"/>
        </w:rPr>
        <w:t xml:space="preserve"> </w:t>
      </w:r>
      <w:r>
        <w:rPr>
          <w:color w:val="211F1F"/>
          <w:sz w:val="24"/>
        </w:rPr>
        <w:t>than</w:t>
      </w:r>
      <w:r>
        <w:rPr>
          <w:color w:val="211F1F"/>
          <w:spacing w:val="-12"/>
          <w:sz w:val="24"/>
        </w:rPr>
        <w:t xml:space="preserve"> </w:t>
      </w:r>
      <w:r>
        <w:rPr>
          <w:color w:val="211F1F"/>
          <w:sz w:val="24"/>
        </w:rPr>
        <w:t>the</w:t>
      </w:r>
      <w:r>
        <w:rPr>
          <w:color w:val="211F1F"/>
          <w:spacing w:val="-8"/>
          <w:sz w:val="24"/>
        </w:rPr>
        <w:t xml:space="preserve"> </w:t>
      </w:r>
      <w:r>
        <w:rPr>
          <w:color w:val="211F1F"/>
          <w:sz w:val="24"/>
        </w:rPr>
        <w:t>date</w:t>
      </w:r>
      <w:r>
        <w:rPr>
          <w:color w:val="211F1F"/>
          <w:spacing w:val="-4"/>
          <w:sz w:val="24"/>
        </w:rPr>
        <w:t xml:space="preserve"> </w:t>
      </w:r>
      <w:r>
        <w:rPr>
          <w:color w:val="211F1F"/>
          <w:sz w:val="24"/>
        </w:rPr>
        <w:t>and</w:t>
      </w:r>
      <w:r>
        <w:rPr>
          <w:color w:val="211F1F"/>
          <w:spacing w:val="-8"/>
          <w:sz w:val="24"/>
        </w:rPr>
        <w:t xml:space="preserve"> </w:t>
      </w:r>
      <w:r>
        <w:rPr>
          <w:color w:val="211F1F"/>
          <w:sz w:val="24"/>
        </w:rPr>
        <w:t>time</w:t>
      </w:r>
      <w:r>
        <w:rPr>
          <w:color w:val="211F1F"/>
          <w:spacing w:val="-8"/>
          <w:sz w:val="24"/>
        </w:rPr>
        <w:t xml:space="preserve"> </w:t>
      </w:r>
      <w:r>
        <w:rPr>
          <w:color w:val="211F1F"/>
          <w:sz w:val="24"/>
        </w:rPr>
        <w:t>also</w:t>
      </w:r>
      <w:r>
        <w:rPr>
          <w:color w:val="211F1F"/>
          <w:spacing w:val="-3"/>
          <w:sz w:val="24"/>
        </w:rPr>
        <w:t xml:space="preserve"> </w:t>
      </w:r>
      <w:r>
        <w:rPr>
          <w:color w:val="211F1F"/>
          <w:sz w:val="24"/>
        </w:rPr>
        <w:t>specified</w:t>
      </w:r>
      <w:r>
        <w:rPr>
          <w:color w:val="211F1F"/>
          <w:spacing w:val="-2"/>
          <w:sz w:val="24"/>
        </w:rPr>
        <w:t xml:space="preserve"> </w:t>
      </w:r>
      <w:r>
        <w:rPr>
          <w:color w:val="211F1F"/>
          <w:sz w:val="24"/>
        </w:rPr>
        <w:t>in</w:t>
      </w:r>
      <w:r>
        <w:rPr>
          <w:color w:val="211F1F"/>
          <w:spacing w:val="-3"/>
          <w:sz w:val="24"/>
        </w:rPr>
        <w:t xml:space="preserve"> </w:t>
      </w:r>
      <w:r>
        <w:rPr>
          <w:color w:val="211F1F"/>
          <w:sz w:val="24"/>
        </w:rPr>
        <w:t>the</w:t>
      </w:r>
      <w:r>
        <w:rPr>
          <w:color w:val="211F1F"/>
          <w:spacing w:val="-9"/>
          <w:sz w:val="24"/>
        </w:rPr>
        <w:t xml:space="preserve"> </w:t>
      </w:r>
      <w:r>
        <w:rPr>
          <w:b/>
          <w:color w:val="211F1F"/>
          <w:sz w:val="24"/>
        </w:rPr>
        <w:t>TDS.</w:t>
      </w:r>
      <w:r>
        <w:rPr>
          <w:b/>
          <w:color w:val="211F1F"/>
          <w:spacing w:val="-4"/>
          <w:sz w:val="24"/>
        </w:rPr>
        <w:t xml:space="preserve"> </w:t>
      </w:r>
      <w:r>
        <w:rPr>
          <w:color w:val="211F1F"/>
          <w:sz w:val="24"/>
        </w:rPr>
        <w:t>When</w:t>
      </w:r>
      <w:r>
        <w:rPr>
          <w:color w:val="211F1F"/>
          <w:spacing w:val="-12"/>
          <w:sz w:val="24"/>
        </w:rPr>
        <w:t xml:space="preserve"> </w:t>
      </w:r>
      <w:r>
        <w:rPr>
          <w:color w:val="211F1F"/>
          <w:sz w:val="24"/>
        </w:rPr>
        <w:t>so</w:t>
      </w:r>
      <w:r>
        <w:rPr>
          <w:color w:val="211F1F"/>
          <w:spacing w:val="-3"/>
          <w:sz w:val="24"/>
        </w:rPr>
        <w:t xml:space="preserve"> </w:t>
      </w:r>
      <w:r>
        <w:rPr>
          <w:color w:val="211F1F"/>
          <w:sz w:val="24"/>
        </w:rPr>
        <w:t>specified</w:t>
      </w:r>
      <w:r>
        <w:rPr>
          <w:color w:val="211F1F"/>
          <w:spacing w:val="-2"/>
          <w:sz w:val="24"/>
        </w:rPr>
        <w:t xml:space="preserve"> </w:t>
      </w:r>
      <w:r>
        <w:rPr>
          <w:color w:val="211F1F"/>
          <w:sz w:val="24"/>
        </w:rPr>
        <w:t>in</w:t>
      </w:r>
      <w:r>
        <w:rPr>
          <w:color w:val="211F1F"/>
          <w:spacing w:val="-7"/>
          <w:sz w:val="24"/>
        </w:rPr>
        <w:t xml:space="preserve"> </w:t>
      </w:r>
      <w:r>
        <w:rPr>
          <w:color w:val="211F1F"/>
          <w:sz w:val="24"/>
        </w:rPr>
        <w:t xml:space="preserve">the </w:t>
      </w:r>
      <w:r>
        <w:rPr>
          <w:b/>
          <w:color w:val="211F1F"/>
          <w:sz w:val="24"/>
        </w:rPr>
        <w:t>TDS</w:t>
      </w:r>
      <w:r>
        <w:rPr>
          <w:color w:val="211F1F"/>
          <w:sz w:val="24"/>
        </w:rPr>
        <w:t xml:space="preserve">, Tenderers shall have the option of submitting their Tenders electronically. Tenderers submitting Tenders electronically shall follow the electronic Tender submission procedures specified in the </w:t>
      </w:r>
      <w:r>
        <w:rPr>
          <w:b/>
          <w:color w:val="211F1F"/>
          <w:sz w:val="24"/>
        </w:rPr>
        <w:t>TDS</w:t>
      </w:r>
      <w:r>
        <w:rPr>
          <w:color w:val="211F1F"/>
          <w:sz w:val="24"/>
        </w:rPr>
        <w:t>.</w:t>
      </w:r>
    </w:p>
    <w:p w14:paraId="403CF22F" w14:textId="77777777" w:rsidR="00BB77C0" w:rsidRDefault="00370BAA">
      <w:pPr>
        <w:pStyle w:val="ListParagraph"/>
        <w:numPr>
          <w:ilvl w:val="1"/>
          <w:numId w:val="89"/>
        </w:numPr>
        <w:tabs>
          <w:tab w:val="left" w:pos="1439"/>
          <w:tab w:val="left" w:pos="1441"/>
        </w:tabs>
        <w:spacing w:before="161" w:line="259" w:lineRule="auto"/>
        <w:ind w:left="1441" w:right="117"/>
        <w:jc w:val="both"/>
        <w:rPr>
          <w:color w:val="211F1F"/>
          <w:sz w:val="24"/>
        </w:rPr>
      </w:pPr>
      <w:r>
        <w:rPr>
          <w:color w:val="211F1F"/>
          <w:sz w:val="24"/>
        </w:rPr>
        <w:t>The Procuring Entity</w:t>
      </w:r>
      <w:r>
        <w:rPr>
          <w:color w:val="211F1F"/>
          <w:spacing w:val="-3"/>
          <w:sz w:val="24"/>
        </w:rPr>
        <w:t xml:space="preserve"> </w:t>
      </w:r>
      <w:r>
        <w:rPr>
          <w:color w:val="211F1F"/>
          <w:sz w:val="24"/>
        </w:rPr>
        <w:t>may,</w:t>
      </w:r>
      <w:r>
        <w:rPr>
          <w:color w:val="211F1F"/>
          <w:spacing w:val="-2"/>
          <w:sz w:val="24"/>
        </w:rPr>
        <w:t xml:space="preserve"> </w:t>
      </w:r>
      <w:r>
        <w:rPr>
          <w:color w:val="211F1F"/>
          <w:sz w:val="24"/>
        </w:rPr>
        <w:t>at its</w:t>
      </w:r>
      <w:r>
        <w:rPr>
          <w:color w:val="211F1F"/>
          <w:spacing w:val="-2"/>
          <w:sz w:val="24"/>
        </w:rPr>
        <w:t xml:space="preserve"> </w:t>
      </w:r>
      <w:r>
        <w:rPr>
          <w:color w:val="211F1F"/>
          <w:sz w:val="24"/>
        </w:rPr>
        <w:t>discretion, extend the deadline for</w:t>
      </w:r>
      <w:r>
        <w:rPr>
          <w:color w:val="211F1F"/>
          <w:spacing w:val="-3"/>
          <w:sz w:val="24"/>
        </w:rPr>
        <w:t xml:space="preserve"> </w:t>
      </w:r>
      <w:r>
        <w:rPr>
          <w:color w:val="211F1F"/>
          <w:sz w:val="24"/>
        </w:rPr>
        <w:t>the submission</w:t>
      </w:r>
      <w:r>
        <w:rPr>
          <w:color w:val="211F1F"/>
          <w:spacing w:val="-3"/>
          <w:sz w:val="24"/>
        </w:rPr>
        <w:t xml:space="preserve"> </w:t>
      </w:r>
      <w:r>
        <w:rPr>
          <w:color w:val="211F1F"/>
          <w:sz w:val="24"/>
        </w:rPr>
        <w:t>of Tenders</w:t>
      </w:r>
      <w:r>
        <w:rPr>
          <w:color w:val="211F1F"/>
          <w:spacing w:val="-8"/>
          <w:sz w:val="24"/>
        </w:rPr>
        <w:t xml:space="preserve"> </w:t>
      </w:r>
      <w:r>
        <w:rPr>
          <w:color w:val="211F1F"/>
          <w:sz w:val="24"/>
        </w:rPr>
        <w:t>by</w:t>
      </w:r>
      <w:r>
        <w:rPr>
          <w:color w:val="211F1F"/>
          <w:spacing w:val="-12"/>
          <w:sz w:val="24"/>
        </w:rPr>
        <w:t xml:space="preserve"> </w:t>
      </w:r>
      <w:r>
        <w:rPr>
          <w:color w:val="211F1F"/>
          <w:sz w:val="24"/>
        </w:rPr>
        <w:t>amending</w:t>
      </w:r>
      <w:r>
        <w:rPr>
          <w:color w:val="211F1F"/>
          <w:spacing w:val="-2"/>
          <w:sz w:val="24"/>
        </w:rPr>
        <w:t xml:space="preserve"> </w:t>
      </w:r>
      <w:r>
        <w:rPr>
          <w:color w:val="211F1F"/>
          <w:sz w:val="24"/>
        </w:rPr>
        <w:t>the</w:t>
      </w:r>
      <w:r>
        <w:rPr>
          <w:color w:val="211F1F"/>
          <w:spacing w:val="-4"/>
          <w:sz w:val="24"/>
        </w:rPr>
        <w:t xml:space="preserve"> </w:t>
      </w:r>
      <w:r>
        <w:rPr>
          <w:color w:val="211F1F"/>
          <w:sz w:val="24"/>
        </w:rPr>
        <w:t>Tender</w:t>
      </w:r>
      <w:r>
        <w:rPr>
          <w:color w:val="211F1F"/>
          <w:spacing w:val="-5"/>
          <w:sz w:val="24"/>
        </w:rPr>
        <w:t xml:space="preserve"> </w:t>
      </w:r>
      <w:r>
        <w:rPr>
          <w:color w:val="211F1F"/>
          <w:sz w:val="24"/>
        </w:rPr>
        <w:t>Documents in</w:t>
      </w:r>
      <w:r>
        <w:rPr>
          <w:color w:val="211F1F"/>
          <w:spacing w:val="-8"/>
          <w:sz w:val="24"/>
        </w:rPr>
        <w:t xml:space="preserve"> </w:t>
      </w:r>
      <w:r>
        <w:rPr>
          <w:color w:val="211F1F"/>
          <w:sz w:val="24"/>
        </w:rPr>
        <w:t>accordance</w:t>
      </w:r>
      <w:r>
        <w:rPr>
          <w:color w:val="211F1F"/>
          <w:spacing w:val="-3"/>
          <w:sz w:val="24"/>
        </w:rPr>
        <w:t xml:space="preserve"> </w:t>
      </w:r>
      <w:r>
        <w:rPr>
          <w:color w:val="211F1F"/>
          <w:sz w:val="24"/>
        </w:rPr>
        <w:t>with</w:t>
      </w:r>
      <w:r>
        <w:rPr>
          <w:color w:val="211F1F"/>
          <w:spacing w:val="-8"/>
          <w:sz w:val="24"/>
        </w:rPr>
        <w:t xml:space="preserve"> </w:t>
      </w:r>
      <w:r>
        <w:rPr>
          <w:color w:val="211F1F"/>
          <w:sz w:val="24"/>
        </w:rPr>
        <w:t>ITT</w:t>
      </w:r>
      <w:r>
        <w:rPr>
          <w:color w:val="211F1F"/>
          <w:spacing w:val="-5"/>
          <w:sz w:val="24"/>
        </w:rPr>
        <w:t xml:space="preserve"> </w:t>
      </w:r>
      <w:r>
        <w:rPr>
          <w:color w:val="211F1F"/>
          <w:sz w:val="24"/>
        </w:rPr>
        <w:t>8,</w:t>
      </w:r>
      <w:r>
        <w:rPr>
          <w:color w:val="211F1F"/>
          <w:spacing w:val="-5"/>
          <w:sz w:val="24"/>
        </w:rPr>
        <w:t xml:space="preserve"> </w:t>
      </w:r>
      <w:r>
        <w:rPr>
          <w:color w:val="211F1F"/>
          <w:sz w:val="24"/>
        </w:rPr>
        <w:t>in</w:t>
      </w:r>
      <w:r>
        <w:rPr>
          <w:color w:val="211F1F"/>
          <w:spacing w:val="-8"/>
          <w:sz w:val="24"/>
        </w:rPr>
        <w:t xml:space="preserve"> </w:t>
      </w:r>
      <w:r>
        <w:rPr>
          <w:color w:val="211F1F"/>
          <w:sz w:val="24"/>
        </w:rPr>
        <w:t>which</w:t>
      </w:r>
      <w:r>
        <w:rPr>
          <w:color w:val="211F1F"/>
          <w:spacing w:val="-7"/>
          <w:sz w:val="24"/>
        </w:rPr>
        <w:t xml:space="preserve"> </w:t>
      </w:r>
      <w:r>
        <w:rPr>
          <w:color w:val="211F1F"/>
          <w:sz w:val="24"/>
        </w:rPr>
        <w:t>case all rights and obligations of</w:t>
      </w:r>
      <w:r>
        <w:rPr>
          <w:color w:val="211F1F"/>
          <w:spacing w:val="-3"/>
          <w:sz w:val="24"/>
        </w:rPr>
        <w:t xml:space="preserve"> </w:t>
      </w:r>
      <w:r>
        <w:rPr>
          <w:color w:val="211F1F"/>
          <w:sz w:val="24"/>
        </w:rPr>
        <w:t>the Procuring Entity</w:t>
      </w:r>
      <w:r>
        <w:rPr>
          <w:color w:val="211F1F"/>
          <w:spacing w:val="-5"/>
          <w:sz w:val="24"/>
        </w:rPr>
        <w:t xml:space="preserve"> </w:t>
      </w:r>
      <w:r>
        <w:rPr>
          <w:color w:val="211F1F"/>
          <w:sz w:val="24"/>
        </w:rPr>
        <w:t>and Tenderers previously subject to the deadline shall thereafter be subject to the deadline as extended.</w:t>
      </w:r>
    </w:p>
    <w:p w14:paraId="7D23C6E4" w14:textId="77777777" w:rsidR="00BB77C0" w:rsidRDefault="00BB77C0">
      <w:pPr>
        <w:pStyle w:val="BodyText"/>
        <w:rPr>
          <w:sz w:val="24"/>
        </w:rPr>
      </w:pPr>
    </w:p>
    <w:p w14:paraId="60922684" w14:textId="77777777" w:rsidR="00BB77C0" w:rsidRDefault="00BB77C0">
      <w:pPr>
        <w:pStyle w:val="BodyText"/>
        <w:spacing w:before="148"/>
        <w:rPr>
          <w:sz w:val="24"/>
        </w:rPr>
      </w:pPr>
    </w:p>
    <w:p w14:paraId="61DC825F" w14:textId="77777777" w:rsidR="00BB77C0" w:rsidRDefault="00370BAA">
      <w:pPr>
        <w:pStyle w:val="Heading6"/>
        <w:numPr>
          <w:ilvl w:val="1"/>
          <w:numId w:val="88"/>
        </w:numPr>
        <w:tabs>
          <w:tab w:val="left" w:pos="720"/>
        </w:tabs>
        <w:ind w:hanging="720"/>
        <w:jc w:val="left"/>
      </w:pPr>
      <w:bookmarkStart w:id="62" w:name="25.0_Late_Tenders"/>
      <w:bookmarkStart w:id="63" w:name="_bookmark30"/>
      <w:bookmarkEnd w:id="62"/>
      <w:bookmarkEnd w:id="63"/>
      <w:r>
        <w:t>Late</w:t>
      </w:r>
      <w:r>
        <w:rPr>
          <w:spacing w:val="-5"/>
        </w:rPr>
        <w:t xml:space="preserve"> </w:t>
      </w:r>
      <w:r>
        <w:rPr>
          <w:spacing w:val="-2"/>
        </w:rPr>
        <w:t>Tenders</w:t>
      </w:r>
    </w:p>
    <w:p w14:paraId="63827058" w14:textId="77777777" w:rsidR="00BB77C0" w:rsidRDefault="00370BAA">
      <w:pPr>
        <w:pStyle w:val="ListParagraph"/>
        <w:numPr>
          <w:ilvl w:val="1"/>
          <w:numId w:val="88"/>
        </w:numPr>
        <w:tabs>
          <w:tab w:val="left" w:pos="1441"/>
        </w:tabs>
        <w:spacing w:before="84" w:line="256" w:lineRule="auto"/>
        <w:ind w:left="1441" w:right="254"/>
        <w:jc w:val="left"/>
        <w:rPr>
          <w:color w:val="211F1F"/>
          <w:sz w:val="24"/>
        </w:rPr>
      </w:pPr>
      <w:r>
        <w:rPr>
          <w:color w:val="211F1F"/>
          <w:sz w:val="24"/>
        </w:rPr>
        <w:t>The</w:t>
      </w:r>
      <w:r>
        <w:rPr>
          <w:color w:val="211F1F"/>
          <w:spacing w:val="-9"/>
          <w:sz w:val="24"/>
        </w:rPr>
        <w:t xml:space="preserve"> </w:t>
      </w:r>
      <w:r>
        <w:rPr>
          <w:color w:val="211F1F"/>
          <w:sz w:val="24"/>
        </w:rPr>
        <w:t>Procuring</w:t>
      </w:r>
      <w:r>
        <w:rPr>
          <w:color w:val="211F1F"/>
          <w:spacing w:val="-6"/>
          <w:sz w:val="24"/>
        </w:rPr>
        <w:t xml:space="preserve"> </w:t>
      </w:r>
      <w:r>
        <w:rPr>
          <w:color w:val="211F1F"/>
          <w:sz w:val="24"/>
        </w:rPr>
        <w:t>Entity</w:t>
      </w:r>
      <w:r>
        <w:rPr>
          <w:color w:val="211F1F"/>
          <w:spacing w:val="-15"/>
          <w:sz w:val="24"/>
        </w:rPr>
        <w:t xml:space="preserve"> </w:t>
      </w:r>
      <w:r>
        <w:rPr>
          <w:color w:val="211F1F"/>
          <w:sz w:val="24"/>
        </w:rPr>
        <w:t>shall</w:t>
      </w:r>
      <w:r>
        <w:rPr>
          <w:color w:val="211F1F"/>
          <w:spacing w:val="-6"/>
          <w:sz w:val="24"/>
        </w:rPr>
        <w:t xml:space="preserve"> </w:t>
      </w:r>
      <w:r>
        <w:rPr>
          <w:color w:val="211F1F"/>
          <w:sz w:val="24"/>
        </w:rPr>
        <w:t>not</w:t>
      </w:r>
      <w:r>
        <w:rPr>
          <w:color w:val="211F1F"/>
          <w:spacing w:val="-2"/>
          <w:sz w:val="24"/>
        </w:rPr>
        <w:t xml:space="preserve"> </w:t>
      </w:r>
      <w:r>
        <w:rPr>
          <w:color w:val="211F1F"/>
          <w:sz w:val="24"/>
        </w:rPr>
        <w:t>consider</w:t>
      </w:r>
      <w:r>
        <w:rPr>
          <w:color w:val="211F1F"/>
          <w:spacing w:val="-6"/>
          <w:sz w:val="24"/>
        </w:rPr>
        <w:t xml:space="preserve"> </w:t>
      </w:r>
      <w:r>
        <w:rPr>
          <w:color w:val="211F1F"/>
          <w:sz w:val="24"/>
        </w:rPr>
        <w:t>any</w:t>
      </w:r>
      <w:r>
        <w:rPr>
          <w:color w:val="211F1F"/>
          <w:spacing w:val="-11"/>
          <w:sz w:val="24"/>
        </w:rPr>
        <w:t xml:space="preserve"> </w:t>
      </w:r>
      <w:r>
        <w:rPr>
          <w:color w:val="211F1F"/>
          <w:sz w:val="24"/>
        </w:rPr>
        <w:t>Tender</w:t>
      </w:r>
      <w:r>
        <w:rPr>
          <w:color w:val="211F1F"/>
          <w:spacing w:val="-9"/>
          <w:sz w:val="24"/>
        </w:rPr>
        <w:t xml:space="preserve"> </w:t>
      </w:r>
      <w:r>
        <w:rPr>
          <w:color w:val="211F1F"/>
          <w:sz w:val="24"/>
        </w:rPr>
        <w:t>that</w:t>
      </w:r>
      <w:r>
        <w:rPr>
          <w:color w:val="211F1F"/>
          <w:spacing w:val="-6"/>
          <w:sz w:val="24"/>
        </w:rPr>
        <w:t xml:space="preserve"> </w:t>
      </w:r>
      <w:r>
        <w:rPr>
          <w:color w:val="211F1F"/>
          <w:sz w:val="24"/>
        </w:rPr>
        <w:t>arrives</w:t>
      </w:r>
      <w:r>
        <w:rPr>
          <w:color w:val="211F1F"/>
          <w:spacing w:val="-5"/>
          <w:sz w:val="24"/>
        </w:rPr>
        <w:t xml:space="preserve"> </w:t>
      </w:r>
      <w:r>
        <w:rPr>
          <w:color w:val="211F1F"/>
          <w:sz w:val="24"/>
        </w:rPr>
        <w:t>after</w:t>
      </w:r>
      <w:r>
        <w:rPr>
          <w:color w:val="211F1F"/>
          <w:spacing w:val="-9"/>
          <w:sz w:val="24"/>
        </w:rPr>
        <w:t xml:space="preserve"> </w:t>
      </w:r>
      <w:r>
        <w:rPr>
          <w:color w:val="211F1F"/>
          <w:sz w:val="24"/>
        </w:rPr>
        <w:t>the</w:t>
      </w:r>
      <w:r>
        <w:rPr>
          <w:color w:val="211F1F"/>
          <w:spacing w:val="-9"/>
          <w:sz w:val="24"/>
        </w:rPr>
        <w:t xml:space="preserve"> </w:t>
      </w:r>
      <w:r>
        <w:rPr>
          <w:color w:val="211F1F"/>
          <w:sz w:val="24"/>
        </w:rPr>
        <w:t>deadline</w:t>
      </w:r>
      <w:r>
        <w:rPr>
          <w:color w:val="211F1F"/>
          <w:spacing w:val="-3"/>
          <w:sz w:val="24"/>
        </w:rPr>
        <w:t xml:space="preserve"> </w:t>
      </w:r>
      <w:r>
        <w:rPr>
          <w:color w:val="211F1F"/>
          <w:sz w:val="24"/>
        </w:rPr>
        <w:t>for submission of tenders, in accordance with ITT 22. Any Tender received by the Procuring Entity</w:t>
      </w:r>
      <w:r>
        <w:rPr>
          <w:color w:val="211F1F"/>
          <w:spacing w:val="-9"/>
          <w:sz w:val="24"/>
        </w:rPr>
        <w:t xml:space="preserve"> </w:t>
      </w:r>
      <w:r>
        <w:rPr>
          <w:color w:val="211F1F"/>
          <w:sz w:val="24"/>
        </w:rPr>
        <w:t>after</w:t>
      </w:r>
      <w:r>
        <w:rPr>
          <w:color w:val="211F1F"/>
          <w:spacing w:val="-2"/>
          <w:sz w:val="24"/>
        </w:rPr>
        <w:t xml:space="preserve"> </w:t>
      </w:r>
      <w:r>
        <w:rPr>
          <w:color w:val="211F1F"/>
          <w:sz w:val="24"/>
        </w:rPr>
        <w:t>the deadline for submission</w:t>
      </w:r>
      <w:r>
        <w:rPr>
          <w:color w:val="211F1F"/>
          <w:spacing w:val="-4"/>
          <w:sz w:val="24"/>
        </w:rPr>
        <w:t xml:space="preserve"> </w:t>
      </w:r>
      <w:r>
        <w:rPr>
          <w:color w:val="211F1F"/>
          <w:sz w:val="24"/>
        </w:rPr>
        <w:t>of</w:t>
      </w:r>
      <w:r>
        <w:rPr>
          <w:color w:val="211F1F"/>
          <w:spacing w:val="-7"/>
          <w:sz w:val="24"/>
        </w:rPr>
        <w:t xml:space="preserve"> </w:t>
      </w:r>
      <w:r>
        <w:rPr>
          <w:color w:val="211F1F"/>
          <w:sz w:val="24"/>
        </w:rPr>
        <w:t>Tenders shall</w:t>
      </w:r>
      <w:r>
        <w:rPr>
          <w:color w:val="211F1F"/>
          <w:spacing w:val="-3"/>
          <w:sz w:val="24"/>
        </w:rPr>
        <w:t xml:space="preserve"> </w:t>
      </w:r>
      <w:r>
        <w:rPr>
          <w:color w:val="211F1F"/>
          <w:sz w:val="24"/>
        </w:rPr>
        <w:t>be declared late, rejected, and returned unopened to the Tenderer.</w:t>
      </w:r>
    </w:p>
    <w:p w14:paraId="1E1CC726" w14:textId="77777777" w:rsidR="00BB77C0" w:rsidRDefault="00370BAA">
      <w:pPr>
        <w:pStyle w:val="Heading6"/>
        <w:numPr>
          <w:ilvl w:val="1"/>
          <w:numId w:val="87"/>
        </w:numPr>
        <w:tabs>
          <w:tab w:val="left" w:pos="720"/>
        </w:tabs>
        <w:spacing w:before="250"/>
        <w:ind w:hanging="720"/>
        <w:jc w:val="left"/>
      </w:pPr>
      <w:bookmarkStart w:id="64" w:name="26.0_Withdrawal,_Substitution,_and_Modif"/>
      <w:bookmarkStart w:id="65" w:name="_bookmark31"/>
      <w:bookmarkEnd w:id="64"/>
      <w:bookmarkEnd w:id="65"/>
      <w:r>
        <w:t>Withdrawal,</w:t>
      </w:r>
      <w:r>
        <w:rPr>
          <w:spacing w:val="-8"/>
        </w:rPr>
        <w:t xml:space="preserve"> </w:t>
      </w:r>
      <w:r>
        <w:t>Substitution,</w:t>
      </w:r>
      <w:r>
        <w:rPr>
          <w:spacing w:val="-7"/>
        </w:rPr>
        <w:t xml:space="preserve"> </w:t>
      </w:r>
      <w:r>
        <w:t>and</w:t>
      </w:r>
      <w:r>
        <w:rPr>
          <w:spacing w:val="-10"/>
        </w:rPr>
        <w:t xml:space="preserve"> </w:t>
      </w:r>
      <w:r>
        <w:t>Modification</w:t>
      </w:r>
      <w:r>
        <w:rPr>
          <w:spacing w:val="-8"/>
        </w:rPr>
        <w:t xml:space="preserve"> </w:t>
      </w:r>
      <w:r>
        <w:t>of</w:t>
      </w:r>
      <w:r>
        <w:rPr>
          <w:spacing w:val="-16"/>
        </w:rPr>
        <w:t xml:space="preserve"> </w:t>
      </w:r>
      <w:r>
        <w:rPr>
          <w:spacing w:val="-2"/>
        </w:rPr>
        <w:t>Tenders</w:t>
      </w:r>
    </w:p>
    <w:p w14:paraId="5110B4DA" w14:textId="77777777" w:rsidR="00BB77C0" w:rsidRDefault="00370BAA">
      <w:pPr>
        <w:pStyle w:val="ListParagraph"/>
        <w:numPr>
          <w:ilvl w:val="1"/>
          <w:numId w:val="87"/>
        </w:numPr>
        <w:tabs>
          <w:tab w:val="left" w:pos="1441"/>
        </w:tabs>
        <w:spacing w:before="75" w:line="259" w:lineRule="auto"/>
        <w:ind w:left="1441" w:right="100"/>
        <w:jc w:val="left"/>
        <w:rPr>
          <w:color w:val="211F1F"/>
          <w:sz w:val="24"/>
        </w:rPr>
      </w:pPr>
      <w:r>
        <w:rPr>
          <w:color w:val="211F1F"/>
          <w:sz w:val="24"/>
        </w:rPr>
        <w:t>A</w:t>
      </w:r>
      <w:r>
        <w:rPr>
          <w:color w:val="211F1F"/>
          <w:spacing w:val="-12"/>
          <w:sz w:val="24"/>
        </w:rPr>
        <w:t xml:space="preserve"> </w:t>
      </w:r>
      <w:r>
        <w:rPr>
          <w:color w:val="211F1F"/>
          <w:sz w:val="24"/>
        </w:rPr>
        <w:t>Tenderer may</w:t>
      </w:r>
      <w:r>
        <w:rPr>
          <w:color w:val="211F1F"/>
          <w:spacing w:val="-11"/>
          <w:sz w:val="24"/>
        </w:rPr>
        <w:t xml:space="preserve"> </w:t>
      </w:r>
      <w:r>
        <w:rPr>
          <w:color w:val="211F1F"/>
          <w:sz w:val="24"/>
        </w:rPr>
        <w:t>withdraw,</w:t>
      </w:r>
      <w:r>
        <w:rPr>
          <w:color w:val="211F1F"/>
          <w:spacing w:val="-5"/>
          <w:sz w:val="24"/>
        </w:rPr>
        <w:t xml:space="preserve"> </w:t>
      </w:r>
      <w:r>
        <w:rPr>
          <w:color w:val="211F1F"/>
          <w:sz w:val="24"/>
        </w:rPr>
        <w:t>substitute,</w:t>
      </w:r>
      <w:r>
        <w:rPr>
          <w:color w:val="211F1F"/>
          <w:spacing w:val="-8"/>
          <w:sz w:val="24"/>
        </w:rPr>
        <w:t xml:space="preserve"> </w:t>
      </w:r>
      <w:r>
        <w:rPr>
          <w:color w:val="211F1F"/>
          <w:sz w:val="24"/>
        </w:rPr>
        <w:t>or</w:t>
      </w:r>
      <w:r>
        <w:rPr>
          <w:color w:val="211F1F"/>
          <w:spacing w:val="-10"/>
          <w:sz w:val="24"/>
        </w:rPr>
        <w:t xml:space="preserve"> </w:t>
      </w:r>
      <w:r>
        <w:rPr>
          <w:color w:val="211F1F"/>
          <w:sz w:val="24"/>
        </w:rPr>
        <w:t>modify</w:t>
      </w:r>
      <w:r>
        <w:rPr>
          <w:color w:val="211F1F"/>
          <w:spacing w:val="-7"/>
          <w:sz w:val="24"/>
        </w:rPr>
        <w:t xml:space="preserve"> </w:t>
      </w:r>
      <w:r>
        <w:rPr>
          <w:color w:val="211F1F"/>
          <w:sz w:val="24"/>
        </w:rPr>
        <w:t>its</w:t>
      </w:r>
      <w:r>
        <w:rPr>
          <w:color w:val="211F1F"/>
          <w:spacing w:val="-9"/>
          <w:sz w:val="24"/>
        </w:rPr>
        <w:t xml:space="preserve"> </w:t>
      </w:r>
      <w:r>
        <w:rPr>
          <w:color w:val="211F1F"/>
          <w:sz w:val="24"/>
        </w:rPr>
        <w:t>Tender</w:t>
      </w:r>
      <w:r>
        <w:rPr>
          <w:color w:val="211F1F"/>
          <w:spacing w:val="-9"/>
          <w:sz w:val="24"/>
        </w:rPr>
        <w:t xml:space="preserve"> </w:t>
      </w:r>
      <w:r>
        <w:rPr>
          <w:color w:val="211F1F"/>
          <w:sz w:val="24"/>
        </w:rPr>
        <w:t>after</w:t>
      </w:r>
      <w:r>
        <w:rPr>
          <w:color w:val="211F1F"/>
          <w:spacing w:val="-1"/>
          <w:sz w:val="24"/>
        </w:rPr>
        <w:t xml:space="preserve"> </w:t>
      </w:r>
      <w:r>
        <w:rPr>
          <w:color w:val="211F1F"/>
          <w:sz w:val="24"/>
        </w:rPr>
        <w:t>it</w:t>
      </w:r>
      <w:r>
        <w:rPr>
          <w:color w:val="211F1F"/>
          <w:spacing w:val="-3"/>
          <w:sz w:val="24"/>
        </w:rPr>
        <w:t xml:space="preserve"> </w:t>
      </w:r>
      <w:r>
        <w:rPr>
          <w:color w:val="211F1F"/>
          <w:sz w:val="24"/>
        </w:rPr>
        <w:t>has</w:t>
      </w:r>
      <w:r>
        <w:rPr>
          <w:color w:val="211F1F"/>
          <w:spacing w:val="-5"/>
          <w:sz w:val="24"/>
        </w:rPr>
        <w:t xml:space="preserve"> </w:t>
      </w:r>
      <w:r>
        <w:rPr>
          <w:color w:val="211F1F"/>
          <w:sz w:val="24"/>
        </w:rPr>
        <w:t>been</w:t>
      </w:r>
      <w:r>
        <w:rPr>
          <w:color w:val="211F1F"/>
          <w:spacing w:val="-8"/>
          <w:sz w:val="24"/>
        </w:rPr>
        <w:t xml:space="preserve"> </w:t>
      </w:r>
      <w:r>
        <w:rPr>
          <w:color w:val="211F1F"/>
          <w:sz w:val="24"/>
        </w:rPr>
        <w:t>submitted by sending a written notice, duly signed by an authorized representative, and shall include a copy of the authorization in accordance with ITT 20.3, (except that withdrawal notices do not require copies). The corresponding substitution or modification</w:t>
      </w:r>
      <w:r>
        <w:rPr>
          <w:color w:val="211F1F"/>
          <w:spacing w:val="-5"/>
          <w:sz w:val="24"/>
        </w:rPr>
        <w:t xml:space="preserve"> </w:t>
      </w:r>
      <w:r>
        <w:rPr>
          <w:color w:val="211F1F"/>
          <w:sz w:val="24"/>
        </w:rPr>
        <w:t>of</w:t>
      </w:r>
      <w:r>
        <w:rPr>
          <w:color w:val="211F1F"/>
          <w:spacing w:val="-8"/>
          <w:sz w:val="24"/>
        </w:rPr>
        <w:t xml:space="preserve"> </w:t>
      </w:r>
      <w:r>
        <w:rPr>
          <w:color w:val="211F1F"/>
          <w:sz w:val="24"/>
        </w:rPr>
        <w:t>the Tender must accompany</w:t>
      </w:r>
      <w:r>
        <w:rPr>
          <w:color w:val="211F1F"/>
          <w:spacing w:val="-5"/>
          <w:sz w:val="24"/>
        </w:rPr>
        <w:t xml:space="preserve"> </w:t>
      </w:r>
      <w:r>
        <w:rPr>
          <w:color w:val="211F1F"/>
          <w:sz w:val="24"/>
        </w:rPr>
        <w:t>the</w:t>
      </w:r>
      <w:r>
        <w:rPr>
          <w:color w:val="211F1F"/>
          <w:spacing w:val="-1"/>
          <w:sz w:val="24"/>
        </w:rPr>
        <w:t xml:space="preserve"> </w:t>
      </w:r>
      <w:r>
        <w:rPr>
          <w:color w:val="211F1F"/>
          <w:sz w:val="24"/>
        </w:rPr>
        <w:t>respective</w:t>
      </w:r>
      <w:r>
        <w:rPr>
          <w:color w:val="211F1F"/>
          <w:spacing w:val="-1"/>
          <w:sz w:val="24"/>
        </w:rPr>
        <w:t xml:space="preserve"> </w:t>
      </w:r>
      <w:r>
        <w:rPr>
          <w:color w:val="211F1F"/>
          <w:sz w:val="24"/>
        </w:rPr>
        <w:t>written</w:t>
      </w:r>
      <w:r>
        <w:rPr>
          <w:color w:val="211F1F"/>
          <w:spacing w:val="-5"/>
          <w:sz w:val="24"/>
        </w:rPr>
        <w:t xml:space="preserve"> </w:t>
      </w:r>
      <w:r>
        <w:rPr>
          <w:color w:val="211F1F"/>
          <w:sz w:val="24"/>
        </w:rPr>
        <w:t>notice. All notices must be:</w:t>
      </w:r>
    </w:p>
    <w:p w14:paraId="08F6E3F1" w14:textId="77777777" w:rsidR="00BB77C0" w:rsidRDefault="00370BAA">
      <w:pPr>
        <w:pStyle w:val="ListParagraph"/>
        <w:numPr>
          <w:ilvl w:val="2"/>
          <w:numId w:val="87"/>
        </w:numPr>
        <w:tabs>
          <w:tab w:val="left" w:pos="2159"/>
          <w:tab w:val="left" w:pos="2161"/>
        </w:tabs>
        <w:spacing w:before="161"/>
        <w:ind w:right="365"/>
        <w:rPr>
          <w:sz w:val="24"/>
        </w:rPr>
      </w:pPr>
      <w:r>
        <w:rPr>
          <w:color w:val="211F1F"/>
          <w:sz w:val="24"/>
        </w:rPr>
        <w:t>prepared and submitted in</w:t>
      </w:r>
      <w:r>
        <w:rPr>
          <w:color w:val="211F1F"/>
          <w:spacing w:val="-2"/>
          <w:sz w:val="24"/>
        </w:rPr>
        <w:t xml:space="preserve"> </w:t>
      </w:r>
      <w:r>
        <w:rPr>
          <w:color w:val="211F1F"/>
          <w:sz w:val="24"/>
        </w:rPr>
        <w:t>accordance with</w:t>
      </w:r>
      <w:r>
        <w:rPr>
          <w:color w:val="211F1F"/>
          <w:spacing w:val="-2"/>
          <w:sz w:val="24"/>
        </w:rPr>
        <w:t xml:space="preserve"> </w:t>
      </w:r>
      <w:r>
        <w:rPr>
          <w:color w:val="211F1F"/>
          <w:sz w:val="24"/>
        </w:rPr>
        <w:t>ITT 20</w:t>
      </w:r>
      <w:r>
        <w:rPr>
          <w:color w:val="211F1F"/>
          <w:spacing w:val="-2"/>
          <w:sz w:val="24"/>
        </w:rPr>
        <w:t xml:space="preserve"> </w:t>
      </w:r>
      <w:r>
        <w:rPr>
          <w:color w:val="211F1F"/>
          <w:sz w:val="24"/>
        </w:rPr>
        <w:t>and ITT 21 (except</w:t>
      </w:r>
      <w:r>
        <w:rPr>
          <w:color w:val="211F1F"/>
          <w:spacing w:val="-1"/>
          <w:sz w:val="24"/>
        </w:rPr>
        <w:t xml:space="preserve"> </w:t>
      </w:r>
      <w:r>
        <w:rPr>
          <w:color w:val="211F1F"/>
          <w:sz w:val="24"/>
        </w:rPr>
        <w:t>that withdrawals notices do not require copies), and in addition, the respective envelopes</w:t>
      </w:r>
      <w:r>
        <w:rPr>
          <w:color w:val="211F1F"/>
          <w:spacing w:val="-15"/>
          <w:sz w:val="24"/>
        </w:rPr>
        <w:t xml:space="preserve"> </w:t>
      </w:r>
      <w:r>
        <w:rPr>
          <w:color w:val="211F1F"/>
          <w:sz w:val="24"/>
        </w:rPr>
        <w:t>shall</w:t>
      </w:r>
      <w:r>
        <w:rPr>
          <w:color w:val="211F1F"/>
          <w:spacing w:val="-16"/>
          <w:sz w:val="24"/>
        </w:rPr>
        <w:t xml:space="preserve"> </w:t>
      </w:r>
      <w:r>
        <w:rPr>
          <w:color w:val="211F1F"/>
          <w:sz w:val="24"/>
        </w:rPr>
        <w:t>be</w:t>
      </w:r>
      <w:r>
        <w:rPr>
          <w:color w:val="211F1F"/>
          <w:spacing w:val="-15"/>
          <w:sz w:val="24"/>
        </w:rPr>
        <w:t xml:space="preserve"> </w:t>
      </w:r>
      <w:r>
        <w:rPr>
          <w:color w:val="211F1F"/>
          <w:sz w:val="24"/>
        </w:rPr>
        <w:t>clearly</w:t>
      </w:r>
      <w:r>
        <w:rPr>
          <w:color w:val="211F1F"/>
          <w:spacing w:val="-16"/>
          <w:sz w:val="24"/>
        </w:rPr>
        <w:t xml:space="preserve"> </w:t>
      </w:r>
      <w:r>
        <w:rPr>
          <w:color w:val="211F1F"/>
          <w:sz w:val="24"/>
        </w:rPr>
        <w:t>marked</w:t>
      </w:r>
      <w:r>
        <w:rPr>
          <w:color w:val="211F1F"/>
          <w:spacing w:val="-15"/>
          <w:sz w:val="24"/>
        </w:rPr>
        <w:t xml:space="preserve"> </w:t>
      </w:r>
      <w:r>
        <w:rPr>
          <w:color w:val="211F1F"/>
          <w:sz w:val="24"/>
        </w:rPr>
        <w:t>“WITHDRAWAL,”</w:t>
      </w:r>
      <w:r>
        <w:rPr>
          <w:color w:val="211F1F"/>
          <w:spacing w:val="-15"/>
          <w:sz w:val="24"/>
        </w:rPr>
        <w:t xml:space="preserve"> </w:t>
      </w:r>
      <w:r>
        <w:rPr>
          <w:color w:val="211F1F"/>
          <w:sz w:val="24"/>
        </w:rPr>
        <w:t>“SUBSTITUTION,” “MODIFICATION; “and</w:t>
      </w:r>
    </w:p>
    <w:p w14:paraId="029358BD" w14:textId="77777777" w:rsidR="00BB77C0" w:rsidRDefault="00370BAA">
      <w:pPr>
        <w:pStyle w:val="ListParagraph"/>
        <w:numPr>
          <w:ilvl w:val="2"/>
          <w:numId w:val="87"/>
        </w:numPr>
        <w:tabs>
          <w:tab w:val="left" w:pos="2159"/>
          <w:tab w:val="left" w:pos="2161"/>
        </w:tabs>
        <w:spacing w:before="2" w:line="237" w:lineRule="auto"/>
        <w:ind w:right="1119"/>
        <w:rPr>
          <w:sz w:val="24"/>
        </w:rPr>
      </w:pPr>
      <w:r>
        <w:rPr>
          <w:color w:val="211F1F"/>
          <w:sz w:val="24"/>
        </w:rPr>
        <w:t>received</w:t>
      </w:r>
      <w:r>
        <w:rPr>
          <w:color w:val="211F1F"/>
          <w:spacing w:val="-2"/>
          <w:sz w:val="24"/>
        </w:rPr>
        <w:t xml:space="preserve"> </w:t>
      </w:r>
      <w:r>
        <w:rPr>
          <w:color w:val="211F1F"/>
          <w:sz w:val="24"/>
        </w:rPr>
        <w:t>by</w:t>
      </w:r>
      <w:r>
        <w:rPr>
          <w:color w:val="211F1F"/>
          <w:spacing w:val="-11"/>
          <w:sz w:val="24"/>
        </w:rPr>
        <w:t xml:space="preserve"> </w:t>
      </w:r>
      <w:r>
        <w:rPr>
          <w:color w:val="211F1F"/>
          <w:sz w:val="24"/>
        </w:rPr>
        <w:t>the</w:t>
      </w:r>
      <w:r>
        <w:rPr>
          <w:color w:val="211F1F"/>
          <w:spacing w:val="-8"/>
          <w:sz w:val="24"/>
        </w:rPr>
        <w:t xml:space="preserve"> </w:t>
      </w:r>
      <w:r>
        <w:rPr>
          <w:color w:val="211F1F"/>
          <w:sz w:val="24"/>
        </w:rPr>
        <w:t>Procuring</w:t>
      </w:r>
      <w:r>
        <w:rPr>
          <w:color w:val="211F1F"/>
          <w:spacing w:val="-5"/>
          <w:sz w:val="24"/>
        </w:rPr>
        <w:t xml:space="preserve"> </w:t>
      </w:r>
      <w:r>
        <w:rPr>
          <w:color w:val="211F1F"/>
          <w:sz w:val="24"/>
        </w:rPr>
        <w:t>Entity</w:t>
      </w:r>
      <w:r>
        <w:rPr>
          <w:color w:val="211F1F"/>
          <w:spacing w:val="-15"/>
          <w:sz w:val="24"/>
        </w:rPr>
        <w:t xml:space="preserve"> </w:t>
      </w:r>
      <w:r>
        <w:rPr>
          <w:color w:val="211F1F"/>
          <w:sz w:val="24"/>
        </w:rPr>
        <w:t>prior</w:t>
      </w:r>
      <w:r>
        <w:rPr>
          <w:color w:val="211F1F"/>
          <w:spacing w:val="-4"/>
          <w:sz w:val="24"/>
        </w:rPr>
        <w:t xml:space="preserve"> </w:t>
      </w:r>
      <w:r>
        <w:rPr>
          <w:color w:val="211F1F"/>
          <w:sz w:val="24"/>
        </w:rPr>
        <w:t>to</w:t>
      </w:r>
      <w:r>
        <w:rPr>
          <w:color w:val="211F1F"/>
          <w:spacing w:val="-12"/>
          <w:sz w:val="24"/>
        </w:rPr>
        <w:t xml:space="preserve"> </w:t>
      </w:r>
      <w:r>
        <w:rPr>
          <w:color w:val="211F1F"/>
          <w:sz w:val="24"/>
        </w:rPr>
        <w:t>the</w:t>
      </w:r>
      <w:r>
        <w:rPr>
          <w:color w:val="211F1F"/>
          <w:spacing w:val="-8"/>
          <w:sz w:val="24"/>
        </w:rPr>
        <w:t xml:space="preserve"> </w:t>
      </w:r>
      <w:r>
        <w:rPr>
          <w:color w:val="211F1F"/>
          <w:sz w:val="24"/>
        </w:rPr>
        <w:t>deadline</w:t>
      </w:r>
      <w:r>
        <w:rPr>
          <w:color w:val="211F1F"/>
          <w:spacing w:val="-7"/>
          <w:sz w:val="24"/>
        </w:rPr>
        <w:t xml:space="preserve"> </w:t>
      </w:r>
      <w:r>
        <w:rPr>
          <w:color w:val="211F1F"/>
          <w:sz w:val="24"/>
        </w:rPr>
        <w:t>prescribed for submission of Tenders, in accordance with ITT 22.</w:t>
      </w:r>
    </w:p>
    <w:p w14:paraId="69C0095F" w14:textId="77777777" w:rsidR="00BB77C0" w:rsidRDefault="00370BAA">
      <w:pPr>
        <w:pStyle w:val="ListParagraph"/>
        <w:numPr>
          <w:ilvl w:val="1"/>
          <w:numId w:val="87"/>
        </w:numPr>
        <w:tabs>
          <w:tab w:val="left" w:pos="1441"/>
        </w:tabs>
        <w:spacing w:before="4" w:line="259" w:lineRule="auto"/>
        <w:ind w:left="1441" w:right="571"/>
        <w:jc w:val="left"/>
        <w:rPr>
          <w:color w:val="211F1F"/>
          <w:sz w:val="24"/>
        </w:rPr>
      </w:pPr>
      <w:r>
        <w:rPr>
          <w:color w:val="211F1F"/>
          <w:sz w:val="24"/>
        </w:rPr>
        <w:t>Tenders</w:t>
      </w:r>
      <w:r>
        <w:rPr>
          <w:color w:val="211F1F"/>
          <w:spacing w:val="-13"/>
          <w:sz w:val="24"/>
        </w:rPr>
        <w:t xml:space="preserve"> </w:t>
      </w:r>
      <w:r>
        <w:rPr>
          <w:color w:val="211F1F"/>
          <w:sz w:val="24"/>
        </w:rPr>
        <w:t>requested</w:t>
      </w:r>
      <w:r>
        <w:rPr>
          <w:color w:val="211F1F"/>
          <w:spacing w:val="-7"/>
          <w:sz w:val="24"/>
        </w:rPr>
        <w:t xml:space="preserve"> </w:t>
      </w:r>
      <w:r>
        <w:rPr>
          <w:color w:val="211F1F"/>
          <w:sz w:val="24"/>
        </w:rPr>
        <w:t>to</w:t>
      </w:r>
      <w:r>
        <w:rPr>
          <w:color w:val="211F1F"/>
          <w:spacing w:val="-8"/>
          <w:sz w:val="24"/>
        </w:rPr>
        <w:t xml:space="preserve"> </w:t>
      </w:r>
      <w:r>
        <w:rPr>
          <w:color w:val="211F1F"/>
          <w:sz w:val="24"/>
        </w:rPr>
        <w:t>be</w:t>
      </w:r>
      <w:r>
        <w:rPr>
          <w:color w:val="211F1F"/>
          <w:spacing w:val="-9"/>
          <w:sz w:val="24"/>
        </w:rPr>
        <w:t xml:space="preserve"> </w:t>
      </w:r>
      <w:r>
        <w:rPr>
          <w:color w:val="211F1F"/>
          <w:sz w:val="24"/>
        </w:rPr>
        <w:t>withdrawn</w:t>
      </w:r>
      <w:r>
        <w:rPr>
          <w:color w:val="211F1F"/>
          <w:spacing w:val="-7"/>
          <w:sz w:val="24"/>
        </w:rPr>
        <w:t xml:space="preserve"> </w:t>
      </w:r>
      <w:r>
        <w:rPr>
          <w:color w:val="211F1F"/>
          <w:sz w:val="24"/>
        </w:rPr>
        <w:t>in</w:t>
      </w:r>
      <w:r>
        <w:rPr>
          <w:color w:val="211F1F"/>
          <w:spacing w:val="-12"/>
          <w:sz w:val="24"/>
        </w:rPr>
        <w:t xml:space="preserve"> </w:t>
      </w:r>
      <w:r>
        <w:rPr>
          <w:color w:val="211F1F"/>
          <w:sz w:val="24"/>
        </w:rPr>
        <w:t>accordance</w:t>
      </w:r>
      <w:r>
        <w:rPr>
          <w:color w:val="211F1F"/>
          <w:spacing w:val="-3"/>
          <w:sz w:val="24"/>
        </w:rPr>
        <w:t xml:space="preserve"> </w:t>
      </w:r>
      <w:r>
        <w:rPr>
          <w:color w:val="211F1F"/>
          <w:sz w:val="24"/>
        </w:rPr>
        <w:t>with</w:t>
      </w:r>
      <w:r>
        <w:rPr>
          <w:color w:val="211F1F"/>
          <w:spacing w:val="-11"/>
          <w:sz w:val="24"/>
        </w:rPr>
        <w:t xml:space="preserve"> </w:t>
      </w:r>
      <w:r>
        <w:rPr>
          <w:color w:val="211F1F"/>
          <w:sz w:val="24"/>
        </w:rPr>
        <w:t>ITT</w:t>
      </w:r>
      <w:r>
        <w:rPr>
          <w:color w:val="211F1F"/>
          <w:spacing w:val="-5"/>
          <w:sz w:val="24"/>
        </w:rPr>
        <w:t xml:space="preserve"> </w:t>
      </w:r>
      <w:r>
        <w:rPr>
          <w:color w:val="211F1F"/>
          <w:sz w:val="24"/>
        </w:rPr>
        <w:t>24.1</w:t>
      </w:r>
      <w:r>
        <w:rPr>
          <w:color w:val="211F1F"/>
          <w:spacing w:val="-11"/>
          <w:sz w:val="24"/>
        </w:rPr>
        <w:t xml:space="preserve"> </w:t>
      </w:r>
      <w:r>
        <w:rPr>
          <w:color w:val="211F1F"/>
          <w:sz w:val="24"/>
        </w:rPr>
        <w:t>shall</w:t>
      </w:r>
      <w:r>
        <w:rPr>
          <w:color w:val="211F1F"/>
          <w:spacing w:val="-10"/>
          <w:sz w:val="24"/>
        </w:rPr>
        <w:t xml:space="preserve"> </w:t>
      </w:r>
      <w:r>
        <w:rPr>
          <w:color w:val="211F1F"/>
          <w:sz w:val="24"/>
        </w:rPr>
        <w:t>be</w:t>
      </w:r>
      <w:r>
        <w:rPr>
          <w:color w:val="211F1F"/>
          <w:spacing w:val="-9"/>
          <w:sz w:val="24"/>
        </w:rPr>
        <w:t xml:space="preserve"> </w:t>
      </w:r>
      <w:r>
        <w:rPr>
          <w:color w:val="211F1F"/>
          <w:sz w:val="24"/>
        </w:rPr>
        <w:t>returned unopened to the Tenderers.</w:t>
      </w:r>
    </w:p>
    <w:p w14:paraId="073482FE" w14:textId="77777777" w:rsidR="00BB77C0" w:rsidRDefault="00370BAA">
      <w:pPr>
        <w:pStyle w:val="ListParagraph"/>
        <w:numPr>
          <w:ilvl w:val="1"/>
          <w:numId w:val="87"/>
        </w:numPr>
        <w:tabs>
          <w:tab w:val="left" w:pos="1441"/>
        </w:tabs>
        <w:spacing w:before="158" w:line="259" w:lineRule="auto"/>
        <w:ind w:left="1441" w:right="143"/>
        <w:jc w:val="left"/>
        <w:rPr>
          <w:color w:val="211F1F"/>
          <w:sz w:val="24"/>
        </w:rPr>
      </w:pPr>
      <w:r>
        <w:rPr>
          <w:color w:val="211F1F"/>
          <w:sz w:val="24"/>
        </w:rPr>
        <w:t>No Tender may be withdrawn, substituted, or modified in the interval between the deadline</w:t>
      </w:r>
      <w:r>
        <w:rPr>
          <w:color w:val="211F1F"/>
          <w:spacing w:val="-2"/>
          <w:sz w:val="24"/>
        </w:rPr>
        <w:t xml:space="preserve"> </w:t>
      </w:r>
      <w:r>
        <w:rPr>
          <w:color w:val="211F1F"/>
          <w:sz w:val="24"/>
        </w:rPr>
        <w:t>for</w:t>
      </w:r>
      <w:r>
        <w:rPr>
          <w:color w:val="211F1F"/>
          <w:spacing w:val="-5"/>
          <w:sz w:val="24"/>
        </w:rPr>
        <w:t xml:space="preserve"> </w:t>
      </w:r>
      <w:r>
        <w:rPr>
          <w:color w:val="211F1F"/>
          <w:sz w:val="24"/>
        </w:rPr>
        <w:t>submission</w:t>
      </w:r>
      <w:r>
        <w:rPr>
          <w:color w:val="211F1F"/>
          <w:spacing w:val="-9"/>
          <w:sz w:val="24"/>
        </w:rPr>
        <w:t xml:space="preserve"> </w:t>
      </w:r>
      <w:r>
        <w:rPr>
          <w:color w:val="211F1F"/>
          <w:sz w:val="24"/>
        </w:rPr>
        <w:t>of</w:t>
      </w:r>
      <w:r>
        <w:rPr>
          <w:color w:val="211F1F"/>
          <w:spacing w:val="-14"/>
          <w:sz w:val="24"/>
        </w:rPr>
        <w:t xml:space="preserve"> </w:t>
      </w:r>
      <w:r>
        <w:rPr>
          <w:color w:val="211F1F"/>
          <w:sz w:val="24"/>
        </w:rPr>
        <w:t>Tenders</w:t>
      </w:r>
      <w:r>
        <w:rPr>
          <w:color w:val="211F1F"/>
          <w:spacing w:val="-12"/>
          <w:sz w:val="24"/>
        </w:rPr>
        <w:t xml:space="preserve"> </w:t>
      </w:r>
      <w:r>
        <w:rPr>
          <w:color w:val="211F1F"/>
          <w:sz w:val="24"/>
        </w:rPr>
        <w:t>and</w:t>
      </w:r>
      <w:r>
        <w:rPr>
          <w:color w:val="211F1F"/>
          <w:spacing w:val="-7"/>
          <w:sz w:val="24"/>
        </w:rPr>
        <w:t xml:space="preserve"> </w:t>
      </w:r>
      <w:r>
        <w:rPr>
          <w:color w:val="211F1F"/>
          <w:sz w:val="24"/>
        </w:rPr>
        <w:t>the</w:t>
      </w:r>
      <w:r>
        <w:rPr>
          <w:color w:val="211F1F"/>
          <w:spacing w:val="-7"/>
          <w:sz w:val="24"/>
        </w:rPr>
        <w:t xml:space="preserve"> </w:t>
      </w:r>
      <w:r>
        <w:rPr>
          <w:color w:val="211F1F"/>
          <w:sz w:val="24"/>
        </w:rPr>
        <w:t>expiration</w:t>
      </w:r>
      <w:r>
        <w:rPr>
          <w:color w:val="211F1F"/>
          <w:spacing w:val="-14"/>
          <w:sz w:val="24"/>
        </w:rPr>
        <w:t xml:space="preserve"> </w:t>
      </w:r>
      <w:r>
        <w:rPr>
          <w:color w:val="211F1F"/>
          <w:sz w:val="24"/>
        </w:rPr>
        <w:t>of</w:t>
      </w:r>
      <w:r>
        <w:rPr>
          <w:color w:val="211F1F"/>
          <w:spacing w:val="-13"/>
          <w:sz w:val="24"/>
        </w:rPr>
        <w:t xml:space="preserve"> </w:t>
      </w:r>
      <w:r>
        <w:rPr>
          <w:color w:val="211F1F"/>
          <w:sz w:val="24"/>
        </w:rPr>
        <w:t>the</w:t>
      </w:r>
      <w:r>
        <w:rPr>
          <w:color w:val="211F1F"/>
          <w:spacing w:val="-7"/>
          <w:sz w:val="24"/>
        </w:rPr>
        <w:t xml:space="preserve"> </w:t>
      </w:r>
      <w:r>
        <w:rPr>
          <w:color w:val="211F1F"/>
          <w:sz w:val="24"/>
        </w:rPr>
        <w:t>period</w:t>
      </w:r>
      <w:r>
        <w:rPr>
          <w:color w:val="211F1F"/>
          <w:spacing w:val="-6"/>
          <w:sz w:val="24"/>
        </w:rPr>
        <w:t xml:space="preserve"> </w:t>
      </w:r>
      <w:r>
        <w:rPr>
          <w:color w:val="211F1F"/>
          <w:sz w:val="24"/>
        </w:rPr>
        <w:t>of</w:t>
      </w:r>
      <w:r>
        <w:rPr>
          <w:color w:val="211F1F"/>
          <w:spacing w:val="-13"/>
          <w:sz w:val="24"/>
        </w:rPr>
        <w:t xml:space="preserve"> </w:t>
      </w:r>
      <w:r>
        <w:rPr>
          <w:color w:val="211F1F"/>
          <w:sz w:val="24"/>
        </w:rPr>
        <w:t>Tender</w:t>
      </w:r>
      <w:r>
        <w:rPr>
          <w:color w:val="211F1F"/>
          <w:spacing w:val="-9"/>
          <w:sz w:val="24"/>
        </w:rPr>
        <w:t xml:space="preserve"> </w:t>
      </w:r>
      <w:r>
        <w:rPr>
          <w:color w:val="211F1F"/>
          <w:sz w:val="24"/>
        </w:rPr>
        <w:t>validity specified by the Tenderer on the Form of Tender or any extension thereof.</w:t>
      </w:r>
    </w:p>
    <w:p w14:paraId="04920FF6" w14:textId="77777777" w:rsidR="00BB77C0" w:rsidRDefault="00BB77C0">
      <w:pPr>
        <w:pStyle w:val="ListParagraph"/>
        <w:spacing w:line="259" w:lineRule="auto"/>
        <w:rPr>
          <w:sz w:val="24"/>
        </w:rPr>
        <w:sectPr w:rsidR="00BB77C0">
          <w:pgSz w:w="11930" w:h="16870"/>
          <w:pgMar w:top="1340" w:right="1080" w:bottom="280" w:left="1080" w:header="720" w:footer="720" w:gutter="0"/>
          <w:cols w:space="720"/>
        </w:sectPr>
      </w:pPr>
    </w:p>
    <w:p w14:paraId="727B00FE" w14:textId="77777777" w:rsidR="00BB77C0" w:rsidRDefault="00370BAA">
      <w:pPr>
        <w:pStyle w:val="Heading6"/>
        <w:numPr>
          <w:ilvl w:val="1"/>
          <w:numId w:val="86"/>
        </w:numPr>
        <w:tabs>
          <w:tab w:val="left" w:pos="720"/>
        </w:tabs>
        <w:spacing w:before="65"/>
        <w:ind w:hanging="720"/>
        <w:jc w:val="left"/>
      </w:pPr>
      <w:bookmarkStart w:id="66" w:name="27.0_Tender_Opening"/>
      <w:bookmarkStart w:id="67" w:name="_bookmark32"/>
      <w:bookmarkEnd w:id="66"/>
      <w:bookmarkEnd w:id="67"/>
      <w:r>
        <w:lastRenderedPageBreak/>
        <w:t>Tender</w:t>
      </w:r>
      <w:r>
        <w:rPr>
          <w:spacing w:val="-3"/>
        </w:rPr>
        <w:t xml:space="preserve"> </w:t>
      </w:r>
      <w:r>
        <w:rPr>
          <w:spacing w:val="-2"/>
        </w:rPr>
        <w:t>Opening</w:t>
      </w:r>
    </w:p>
    <w:p w14:paraId="73E20C0D" w14:textId="77777777" w:rsidR="00BB77C0" w:rsidRDefault="00370BAA">
      <w:pPr>
        <w:pStyle w:val="ListParagraph"/>
        <w:numPr>
          <w:ilvl w:val="1"/>
          <w:numId w:val="86"/>
        </w:numPr>
        <w:tabs>
          <w:tab w:val="left" w:pos="1441"/>
        </w:tabs>
        <w:spacing w:before="74" w:line="259" w:lineRule="auto"/>
        <w:ind w:left="1441" w:right="74"/>
        <w:jc w:val="left"/>
        <w:rPr>
          <w:color w:val="211F1F"/>
          <w:sz w:val="24"/>
        </w:rPr>
      </w:pPr>
      <w:r>
        <w:rPr>
          <w:color w:val="211F1F"/>
          <w:sz w:val="24"/>
        </w:rPr>
        <w:t>Except in the cases specified in ITT 23 and ITT 24.2, the Procuring Entity</w:t>
      </w:r>
      <w:r>
        <w:rPr>
          <w:color w:val="211F1F"/>
          <w:spacing w:val="-1"/>
          <w:sz w:val="24"/>
        </w:rPr>
        <w:t xml:space="preserve"> </w:t>
      </w:r>
      <w:r>
        <w:rPr>
          <w:color w:val="211F1F"/>
          <w:sz w:val="24"/>
        </w:rPr>
        <w:t>shall publicly</w:t>
      </w:r>
      <w:r>
        <w:rPr>
          <w:color w:val="211F1F"/>
          <w:spacing w:val="-4"/>
          <w:sz w:val="24"/>
        </w:rPr>
        <w:t xml:space="preserve"> </w:t>
      </w:r>
      <w:r>
        <w:rPr>
          <w:color w:val="211F1F"/>
          <w:sz w:val="24"/>
        </w:rPr>
        <w:t>open and read out all</w:t>
      </w:r>
      <w:r>
        <w:rPr>
          <w:color w:val="211F1F"/>
          <w:spacing w:val="-4"/>
          <w:sz w:val="24"/>
        </w:rPr>
        <w:t xml:space="preserve"> </w:t>
      </w:r>
      <w:r>
        <w:rPr>
          <w:color w:val="211F1F"/>
          <w:sz w:val="24"/>
        </w:rPr>
        <w:t xml:space="preserve">Tenders received by the deadline, at the date, time and place specified </w:t>
      </w:r>
      <w:r>
        <w:rPr>
          <w:b/>
          <w:color w:val="211F1F"/>
          <w:sz w:val="24"/>
        </w:rPr>
        <w:t>in the TDS</w:t>
      </w:r>
      <w:r>
        <w:rPr>
          <w:color w:val="211F1F"/>
          <w:sz w:val="24"/>
        </w:rPr>
        <w:t>, in the presence of Tenderers' designated representatives and</w:t>
      </w:r>
      <w:r>
        <w:rPr>
          <w:color w:val="211F1F"/>
          <w:spacing w:val="-12"/>
          <w:sz w:val="24"/>
        </w:rPr>
        <w:t xml:space="preserve"> </w:t>
      </w:r>
      <w:r>
        <w:rPr>
          <w:color w:val="211F1F"/>
          <w:sz w:val="24"/>
        </w:rPr>
        <w:t>anyone</w:t>
      </w:r>
      <w:r>
        <w:rPr>
          <w:color w:val="211F1F"/>
          <w:spacing w:val="-9"/>
          <w:sz w:val="24"/>
        </w:rPr>
        <w:t xml:space="preserve"> </w:t>
      </w:r>
      <w:r>
        <w:rPr>
          <w:color w:val="211F1F"/>
          <w:sz w:val="24"/>
        </w:rPr>
        <w:t>who</w:t>
      </w:r>
      <w:r>
        <w:rPr>
          <w:color w:val="211F1F"/>
          <w:spacing w:val="-5"/>
          <w:sz w:val="24"/>
        </w:rPr>
        <w:t xml:space="preserve"> </w:t>
      </w:r>
      <w:r>
        <w:rPr>
          <w:color w:val="211F1F"/>
          <w:sz w:val="24"/>
        </w:rPr>
        <w:t>chooses</w:t>
      </w:r>
      <w:r>
        <w:rPr>
          <w:color w:val="211F1F"/>
          <w:spacing w:val="-15"/>
          <w:sz w:val="24"/>
        </w:rPr>
        <w:t xml:space="preserve"> </w:t>
      </w:r>
      <w:r>
        <w:rPr>
          <w:color w:val="211F1F"/>
          <w:sz w:val="24"/>
        </w:rPr>
        <w:t>to</w:t>
      </w:r>
      <w:r>
        <w:rPr>
          <w:color w:val="211F1F"/>
          <w:spacing w:val="-5"/>
          <w:sz w:val="24"/>
        </w:rPr>
        <w:t xml:space="preserve"> </w:t>
      </w:r>
      <w:r>
        <w:rPr>
          <w:color w:val="211F1F"/>
          <w:sz w:val="24"/>
        </w:rPr>
        <w:t>attend.</w:t>
      </w:r>
      <w:r>
        <w:rPr>
          <w:color w:val="211F1F"/>
          <w:spacing w:val="-7"/>
          <w:sz w:val="24"/>
        </w:rPr>
        <w:t xml:space="preserve"> </w:t>
      </w:r>
      <w:r>
        <w:rPr>
          <w:color w:val="211F1F"/>
          <w:sz w:val="24"/>
        </w:rPr>
        <w:t>Any</w:t>
      </w:r>
      <w:r>
        <w:rPr>
          <w:color w:val="211F1F"/>
          <w:spacing w:val="-15"/>
          <w:sz w:val="24"/>
        </w:rPr>
        <w:t xml:space="preserve"> </w:t>
      </w:r>
      <w:r>
        <w:rPr>
          <w:color w:val="211F1F"/>
          <w:sz w:val="24"/>
        </w:rPr>
        <w:t>specific</w:t>
      </w:r>
      <w:r>
        <w:rPr>
          <w:color w:val="211F1F"/>
          <w:spacing w:val="-9"/>
          <w:sz w:val="24"/>
        </w:rPr>
        <w:t xml:space="preserve"> </w:t>
      </w:r>
      <w:r>
        <w:rPr>
          <w:color w:val="211F1F"/>
          <w:sz w:val="24"/>
        </w:rPr>
        <w:t>electronic</w:t>
      </w:r>
      <w:r>
        <w:rPr>
          <w:color w:val="211F1F"/>
          <w:spacing w:val="-9"/>
          <w:sz w:val="24"/>
        </w:rPr>
        <w:t xml:space="preserve"> </w:t>
      </w:r>
      <w:r>
        <w:rPr>
          <w:color w:val="211F1F"/>
          <w:sz w:val="24"/>
        </w:rPr>
        <w:t>Tender</w:t>
      </w:r>
      <w:r>
        <w:rPr>
          <w:color w:val="211F1F"/>
          <w:spacing w:val="-12"/>
          <w:sz w:val="24"/>
        </w:rPr>
        <w:t xml:space="preserve"> </w:t>
      </w:r>
      <w:r>
        <w:rPr>
          <w:color w:val="211F1F"/>
          <w:sz w:val="24"/>
        </w:rPr>
        <w:t>opening</w:t>
      </w:r>
      <w:r>
        <w:rPr>
          <w:color w:val="211F1F"/>
          <w:spacing w:val="-9"/>
          <w:sz w:val="24"/>
        </w:rPr>
        <w:t xml:space="preserve"> </w:t>
      </w:r>
      <w:r>
        <w:rPr>
          <w:color w:val="211F1F"/>
          <w:sz w:val="24"/>
        </w:rPr>
        <w:t>procedures required if</w:t>
      </w:r>
      <w:r>
        <w:rPr>
          <w:color w:val="211F1F"/>
          <w:spacing w:val="-4"/>
          <w:sz w:val="24"/>
        </w:rPr>
        <w:t xml:space="preserve"> </w:t>
      </w:r>
      <w:r>
        <w:rPr>
          <w:color w:val="211F1F"/>
          <w:sz w:val="24"/>
        </w:rPr>
        <w:t>electronic Tendering is permitted in</w:t>
      </w:r>
      <w:r>
        <w:rPr>
          <w:color w:val="211F1F"/>
          <w:spacing w:val="-1"/>
          <w:sz w:val="24"/>
        </w:rPr>
        <w:t xml:space="preserve"> </w:t>
      </w:r>
      <w:r>
        <w:rPr>
          <w:color w:val="211F1F"/>
          <w:sz w:val="24"/>
        </w:rPr>
        <w:t>accordance with</w:t>
      </w:r>
      <w:r>
        <w:rPr>
          <w:color w:val="211F1F"/>
          <w:spacing w:val="-1"/>
          <w:sz w:val="24"/>
        </w:rPr>
        <w:t xml:space="preserve"> </w:t>
      </w:r>
      <w:r>
        <w:rPr>
          <w:color w:val="211F1F"/>
          <w:sz w:val="24"/>
        </w:rPr>
        <w:t xml:space="preserve">ITT 22.1, shall be as specified in the </w:t>
      </w:r>
      <w:r>
        <w:rPr>
          <w:b/>
          <w:color w:val="211F1F"/>
          <w:sz w:val="24"/>
        </w:rPr>
        <w:t>TDS.</w:t>
      </w:r>
    </w:p>
    <w:p w14:paraId="41F5519F" w14:textId="77777777" w:rsidR="00BB77C0" w:rsidRDefault="00370BAA">
      <w:pPr>
        <w:pStyle w:val="ListParagraph"/>
        <w:numPr>
          <w:ilvl w:val="1"/>
          <w:numId w:val="86"/>
        </w:numPr>
        <w:tabs>
          <w:tab w:val="left" w:pos="1441"/>
        </w:tabs>
        <w:spacing w:before="157" w:line="259" w:lineRule="auto"/>
        <w:ind w:left="1441" w:right="152"/>
        <w:jc w:val="left"/>
        <w:rPr>
          <w:color w:val="211F1F"/>
          <w:sz w:val="24"/>
        </w:rPr>
      </w:pPr>
      <w:r>
        <w:rPr>
          <w:color w:val="211F1F"/>
          <w:sz w:val="24"/>
        </w:rPr>
        <w:t>First, envelopes marked “WITHDRAWAL” shall be opened and read out and the envelopes with the corresponding Tender shall not be opened but returned to the Tenderer. No Tender withdrawal shall be permitted unless the corresponding withdrawal</w:t>
      </w:r>
      <w:r>
        <w:rPr>
          <w:color w:val="211F1F"/>
          <w:spacing w:val="-5"/>
          <w:sz w:val="24"/>
        </w:rPr>
        <w:t xml:space="preserve"> </w:t>
      </w:r>
      <w:r>
        <w:rPr>
          <w:color w:val="211F1F"/>
          <w:sz w:val="24"/>
        </w:rPr>
        <w:t>notice</w:t>
      </w:r>
      <w:r>
        <w:rPr>
          <w:color w:val="211F1F"/>
          <w:spacing w:val="-2"/>
          <w:sz w:val="24"/>
        </w:rPr>
        <w:t xml:space="preserve"> </w:t>
      </w:r>
      <w:r>
        <w:rPr>
          <w:color w:val="211F1F"/>
          <w:sz w:val="24"/>
        </w:rPr>
        <w:t>contains</w:t>
      </w:r>
      <w:r>
        <w:rPr>
          <w:color w:val="211F1F"/>
          <w:spacing w:val="-8"/>
          <w:sz w:val="24"/>
        </w:rPr>
        <w:t xml:space="preserve"> </w:t>
      </w:r>
      <w:r>
        <w:rPr>
          <w:color w:val="211F1F"/>
          <w:sz w:val="24"/>
        </w:rPr>
        <w:t>a</w:t>
      </w:r>
      <w:r>
        <w:rPr>
          <w:color w:val="211F1F"/>
          <w:spacing w:val="-8"/>
          <w:sz w:val="24"/>
        </w:rPr>
        <w:t xml:space="preserve"> </w:t>
      </w:r>
      <w:r>
        <w:rPr>
          <w:color w:val="211F1F"/>
          <w:sz w:val="24"/>
        </w:rPr>
        <w:t>valid</w:t>
      </w:r>
      <w:r>
        <w:rPr>
          <w:color w:val="211F1F"/>
          <w:spacing w:val="-6"/>
          <w:sz w:val="24"/>
        </w:rPr>
        <w:t xml:space="preserve"> </w:t>
      </w:r>
      <w:r>
        <w:rPr>
          <w:color w:val="211F1F"/>
          <w:sz w:val="24"/>
        </w:rPr>
        <w:t>authorization</w:t>
      </w:r>
      <w:r>
        <w:rPr>
          <w:color w:val="211F1F"/>
          <w:spacing w:val="-10"/>
          <w:sz w:val="24"/>
        </w:rPr>
        <w:t xml:space="preserve"> </w:t>
      </w:r>
      <w:r>
        <w:rPr>
          <w:color w:val="211F1F"/>
          <w:sz w:val="24"/>
        </w:rPr>
        <w:t>to</w:t>
      </w:r>
      <w:r>
        <w:rPr>
          <w:color w:val="211F1F"/>
          <w:spacing w:val="-7"/>
          <w:sz w:val="24"/>
        </w:rPr>
        <w:t xml:space="preserve"> </w:t>
      </w:r>
      <w:r>
        <w:rPr>
          <w:color w:val="211F1F"/>
          <w:sz w:val="24"/>
        </w:rPr>
        <w:t>request</w:t>
      </w:r>
      <w:r>
        <w:rPr>
          <w:color w:val="211F1F"/>
          <w:spacing w:val="-5"/>
          <w:sz w:val="24"/>
        </w:rPr>
        <w:t xml:space="preserve"> </w:t>
      </w:r>
      <w:r>
        <w:rPr>
          <w:color w:val="211F1F"/>
          <w:sz w:val="24"/>
        </w:rPr>
        <w:t>the</w:t>
      </w:r>
      <w:r>
        <w:rPr>
          <w:color w:val="211F1F"/>
          <w:spacing w:val="-8"/>
          <w:sz w:val="24"/>
        </w:rPr>
        <w:t xml:space="preserve"> </w:t>
      </w:r>
      <w:r>
        <w:rPr>
          <w:color w:val="211F1F"/>
          <w:sz w:val="24"/>
        </w:rPr>
        <w:t>withdrawal</w:t>
      </w:r>
      <w:r>
        <w:rPr>
          <w:color w:val="211F1F"/>
          <w:spacing w:val="-10"/>
          <w:sz w:val="24"/>
        </w:rPr>
        <w:t xml:space="preserve"> </w:t>
      </w:r>
      <w:r>
        <w:rPr>
          <w:color w:val="211F1F"/>
          <w:sz w:val="24"/>
        </w:rPr>
        <w:t>and</w:t>
      </w:r>
      <w:r>
        <w:rPr>
          <w:color w:val="211F1F"/>
          <w:spacing w:val="-2"/>
          <w:sz w:val="24"/>
        </w:rPr>
        <w:t xml:space="preserve"> </w:t>
      </w:r>
      <w:r>
        <w:rPr>
          <w:color w:val="211F1F"/>
          <w:sz w:val="24"/>
        </w:rPr>
        <w:t>is</w:t>
      </w:r>
      <w:r>
        <w:rPr>
          <w:color w:val="211F1F"/>
          <w:spacing w:val="-8"/>
          <w:sz w:val="24"/>
        </w:rPr>
        <w:t xml:space="preserve"> </w:t>
      </w:r>
      <w:r>
        <w:rPr>
          <w:color w:val="211F1F"/>
          <w:sz w:val="24"/>
        </w:rPr>
        <w:t>read out attender opening.</w:t>
      </w:r>
    </w:p>
    <w:p w14:paraId="7B49272F" w14:textId="77777777" w:rsidR="00BB77C0" w:rsidRDefault="00370BAA">
      <w:pPr>
        <w:pStyle w:val="ListParagraph"/>
        <w:numPr>
          <w:ilvl w:val="1"/>
          <w:numId w:val="86"/>
        </w:numPr>
        <w:tabs>
          <w:tab w:val="left" w:pos="1441"/>
        </w:tabs>
        <w:spacing w:before="161" w:line="259" w:lineRule="auto"/>
        <w:ind w:left="1441" w:right="178"/>
        <w:jc w:val="left"/>
        <w:rPr>
          <w:color w:val="211F1F"/>
          <w:sz w:val="24"/>
        </w:rPr>
      </w:pPr>
      <w:r>
        <w:rPr>
          <w:color w:val="211F1F"/>
          <w:sz w:val="24"/>
        </w:rPr>
        <w:t>Next, envelopes marked “SUBSTITUTION” shall be opened and read out and exchanged with the corresponding Tender being substituted, and the substituted Tender</w:t>
      </w:r>
      <w:r>
        <w:rPr>
          <w:color w:val="211F1F"/>
          <w:spacing w:val="-15"/>
          <w:sz w:val="24"/>
        </w:rPr>
        <w:t xml:space="preserve"> </w:t>
      </w:r>
      <w:r>
        <w:rPr>
          <w:color w:val="211F1F"/>
          <w:sz w:val="24"/>
        </w:rPr>
        <w:t>shall</w:t>
      </w:r>
      <w:r>
        <w:rPr>
          <w:color w:val="211F1F"/>
          <w:spacing w:val="-12"/>
          <w:sz w:val="24"/>
        </w:rPr>
        <w:t xml:space="preserve"> </w:t>
      </w:r>
      <w:r>
        <w:rPr>
          <w:color w:val="211F1F"/>
          <w:sz w:val="24"/>
        </w:rPr>
        <w:t>not</w:t>
      </w:r>
      <w:r>
        <w:rPr>
          <w:color w:val="211F1F"/>
          <w:spacing w:val="-4"/>
          <w:sz w:val="24"/>
        </w:rPr>
        <w:t xml:space="preserve"> </w:t>
      </w:r>
      <w:r>
        <w:rPr>
          <w:color w:val="211F1F"/>
          <w:sz w:val="24"/>
        </w:rPr>
        <w:t>be</w:t>
      </w:r>
      <w:r>
        <w:rPr>
          <w:color w:val="211F1F"/>
          <w:spacing w:val="-13"/>
          <w:sz w:val="24"/>
        </w:rPr>
        <w:t xml:space="preserve"> </w:t>
      </w:r>
      <w:r>
        <w:rPr>
          <w:color w:val="211F1F"/>
          <w:sz w:val="24"/>
        </w:rPr>
        <w:t>opened,</w:t>
      </w:r>
      <w:r>
        <w:rPr>
          <w:color w:val="211F1F"/>
          <w:spacing w:val="-11"/>
          <w:sz w:val="24"/>
        </w:rPr>
        <w:t xml:space="preserve"> </w:t>
      </w:r>
      <w:r>
        <w:rPr>
          <w:color w:val="211F1F"/>
          <w:sz w:val="24"/>
        </w:rPr>
        <w:t>but</w:t>
      </w:r>
      <w:r>
        <w:rPr>
          <w:color w:val="211F1F"/>
          <w:spacing w:val="-8"/>
          <w:sz w:val="24"/>
        </w:rPr>
        <w:t xml:space="preserve"> </w:t>
      </w:r>
      <w:r>
        <w:rPr>
          <w:color w:val="211F1F"/>
          <w:sz w:val="24"/>
        </w:rPr>
        <w:t>returned</w:t>
      </w:r>
      <w:r>
        <w:rPr>
          <w:color w:val="211F1F"/>
          <w:spacing w:val="-13"/>
          <w:sz w:val="24"/>
        </w:rPr>
        <w:t xml:space="preserve"> </w:t>
      </w:r>
      <w:r>
        <w:rPr>
          <w:color w:val="211F1F"/>
          <w:sz w:val="24"/>
        </w:rPr>
        <w:t>to</w:t>
      </w:r>
      <w:r>
        <w:rPr>
          <w:color w:val="211F1F"/>
          <w:spacing w:val="-13"/>
          <w:sz w:val="24"/>
        </w:rPr>
        <w:t xml:space="preserve"> </w:t>
      </w:r>
      <w:r>
        <w:rPr>
          <w:color w:val="211F1F"/>
          <w:sz w:val="24"/>
        </w:rPr>
        <w:t>the</w:t>
      </w:r>
      <w:r>
        <w:rPr>
          <w:color w:val="211F1F"/>
          <w:spacing w:val="-10"/>
          <w:sz w:val="24"/>
        </w:rPr>
        <w:t xml:space="preserve"> </w:t>
      </w:r>
      <w:r>
        <w:rPr>
          <w:color w:val="211F1F"/>
          <w:sz w:val="24"/>
        </w:rPr>
        <w:t>Tenderer.</w:t>
      </w:r>
      <w:r>
        <w:rPr>
          <w:color w:val="211F1F"/>
          <w:spacing w:val="-14"/>
          <w:sz w:val="24"/>
        </w:rPr>
        <w:t xml:space="preserve"> </w:t>
      </w:r>
      <w:r>
        <w:rPr>
          <w:color w:val="211F1F"/>
          <w:sz w:val="24"/>
        </w:rPr>
        <w:t>No</w:t>
      </w:r>
      <w:r>
        <w:rPr>
          <w:color w:val="211F1F"/>
          <w:spacing w:val="-13"/>
          <w:sz w:val="24"/>
        </w:rPr>
        <w:t xml:space="preserve"> </w:t>
      </w:r>
      <w:r>
        <w:rPr>
          <w:color w:val="211F1F"/>
          <w:sz w:val="24"/>
        </w:rPr>
        <w:t>Tender</w:t>
      </w:r>
      <w:r>
        <w:rPr>
          <w:color w:val="211F1F"/>
          <w:spacing w:val="-15"/>
          <w:sz w:val="24"/>
        </w:rPr>
        <w:t xml:space="preserve"> </w:t>
      </w:r>
      <w:r>
        <w:rPr>
          <w:color w:val="211F1F"/>
          <w:sz w:val="24"/>
        </w:rPr>
        <w:t>substitution</w:t>
      </w:r>
      <w:r>
        <w:rPr>
          <w:color w:val="211F1F"/>
          <w:spacing w:val="-12"/>
          <w:sz w:val="24"/>
        </w:rPr>
        <w:t xml:space="preserve"> </w:t>
      </w:r>
      <w:r>
        <w:rPr>
          <w:color w:val="211F1F"/>
          <w:sz w:val="24"/>
        </w:rPr>
        <w:t>shall be permitted unless the corresponding substitution notice contains a valid authorization to request the substitution and is read out at Tender opening.</w:t>
      </w:r>
    </w:p>
    <w:p w14:paraId="407141E4" w14:textId="77777777" w:rsidR="00BB77C0" w:rsidRDefault="00370BAA">
      <w:pPr>
        <w:pStyle w:val="ListParagraph"/>
        <w:numPr>
          <w:ilvl w:val="1"/>
          <w:numId w:val="86"/>
        </w:numPr>
        <w:tabs>
          <w:tab w:val="left" w:pos="1441"/>
        </w:tabs>
        <w:spacing w:before="162" w:line="259" w:lineRule="auto"/>
        <w:ind w:left="1441" w:right="358"/>
        <w:jc w:val="left"/>
        <w:rPr>
          <w:color w:val="211F1F"/>
          <w:sz w:val="24"/>
        </w:rPr>
      </w:pPr>
      <w:r>
        <w:rPr>
          <w:color w:val="211F1F"/>
          <w:sz w:val="24"/>
        </w:rPr>
        <w:t>Next,</w:t>
      </w:r>
      <w:r>
        <w:rPr>
          <w:color w:val="211F1F"/>
          <w:spacing w:val="-6"/>
          <w:sz w:val="24"/>
        </w:rPr>
        <w:t xml:space="preserve"> </w:t>
      </w:r>
      <w:r>
        <w:rPr>
          <w:color w:val="211F1F"/>
          <w:sz w:val="24"/>
        </w:rPr>
        <w:t>envelopes</w:t>
      </w:r>
      <w:r>
        <w:rPr>
          <w:color w:val="211F1F"/>
          <w:spacing w:val="-6"/>
          <w:sz w:val="24"/>
        </w:rPr>
        <w:t xml:space="preserve"> </w:t>
      </w:r>
      <w:r>
        <w:rPr>
          <w:color w:val="211F1F"/>
          <w:sz w:val="24"/>
        </w:rPr>
        <w:t>marked “MODIFICATION”</w:t>
      </w:r>
      <w:r>
        <w:rPr>
          <w:color w:val="211F1F"/>
          <w:spacing w:val="-8"/>
          <w:sz w:val="24"/>
        </w:rPr>
        <w:t xml:space="preserve"> </w:t>
      </w:r>
      <w:r>
        <w:rPr>
          <w:color w:val="211F1F"/>
          <w:sz w:val="24"/>
        </w:rPr>
        <w:t>shall</w:t>
      </w:r>
      <w:r>
        <w:rPr>
          <w:color w:val="211F1F"/>
          <w:spacing w:val="-7"/>
          <w:sz w:val="24"/>
        </w:rPr>
        <w:t xml:space="preserve"> </w:t>
      </w:r>
      <w:r>
        <w:rPr>
          <w:color w:val="211F1F"/>
          <w:sz w:val="24"/>
        </w:rPr>
        <w:t>be</w:t>
      </w:r>
      <w:r>
        <w:rPr>
          <w:color w:val="211F1F"/>
          <w:spacing w:val="-10"/>
          <w:sz w:val="24"/>
        </w:rPr>
        <w:t xml:space="preserve"> </w:t>
      </w:r>
      <w:r>
        <w:rPr>
          <w:color w:val="211F1F"/>
          <w:sz w:val="24"/>
        </w:rPr>
        <w:t>opened</w:t>
      </w:r>
      <w:r>
        <w:rPr>
          <w:color w:val="211F1F"/>
          <w:spacing w:val="-8"/>
          <w:sz w:val="24"/>
        </w:rPr>
        <w:t xml:space="preserve"> </w:t>
      </w:r>
      <w:r>
        <w:rPr>
          <w:color w:val="211F1F"/>
          <w:sz w:val="24"/>
        </w:rPr>
        <w:t>and</w:t>
      </w:r>
      <w:r>
        <w:rPr>
          <w:color w:val="211F1F"/>
          <w:spacing w:val="-4"/>
          <w:sz w:val="24"/>
        </w:rPr>
        <w:t xml:space="preserve"> </w:t>
      </w:r>
      <w:r>
        <w:rPr>
          <w:color w:val="211F1F"/>
          <w:sz w:val="24"/>
        </w:rPr>
        <w:t>read</w:t>
      </w:r>
      <w:r>
        <w:rPr>
          <w:color w:val="211F1F"/>
          <w:spacing w:val="-8"/>
          <w:sz w:val="24"/>
        </w:rPr>
        <w:t xml:space="preserve"> </w:t>
      </w:r>
      <w:r>
        <w:rPr>
          <w:color w:val="211F1F"/>
          <w:sz w:val="24"/>
        </w:rPr>
        <w:t>out</w:t>
      </w:r>
      <w:r>
        <w:rPr>
          <w:color w:val="211F1F"/>
          <w:spacing w:val="-3"/>
          <w:sz w:val="24"/>
        </w:rPr>
        <w:t xml:space="preserve"> </w:t>
      </w:r>
      <w:r>
        <w:rPr>
          <w:color w:val="211F1F"/>
          <w:sz w:val="24"/>
        </w:rPr>
        <w:t>with</w:t>
      </w:r>
      <w:r>
        <w:rPr>
          <w:color w:val="211F1F"/>
          <w:spacing w:val="-12"/>
          <w:sz w:val="24"/>
        </w:rPr>
        <w:t xml:space="preserve"> </w:t>
      </w:r>
      <w:r>
        <w:rPr>
          <w:color w:val="211F1F"/>
          <w:sz w:val="24"/>
        </w:rPr>
        <w:t>the corresponding Tender. No Tender modification shall be permitted unless the corresponding modification notice contains a valid authorization to request the modification and is read out at Tender opening.</w:t>
      </w:r>
    </w:p>
    <w:p w14:paraId="53F99F91" w14:textId="77777777" w:rsidR="00BB77C0" w:rsidRDefault="00370BAA">
      <w:pPr>
        <w:pStyle w:val="ListParagraph"/>
        <w:numPr>
          <w:ilvl w:val="1"/>
          <w:numId w:val="86"/>
        </w:numPr>
        <w:tabs>
          <w:tab w:val="left" w:pos="1441"/>
        </w:tabs>
        <w:spacing w:before="156" w:line="259" w:lineRule="auto"/>
        <w:ind w:left="1441" w:right="142"/>
        <w:jc w:val="left"/>
        <w:rPr>
          <w:color w:val="211F1F"/>
          <w:sz w:val="24"/>
        </w:rPr>
      </w:pPr>
      <w:r>
        <w:rPr>
          <w:color w:val="211F1F"/>
          <w:sz w:val="24"/>
        </w:rPr>
        <w:t>Next, all</w:t>
      </w:r>
      <w:r>
        <w:rPr>
          <w:color w:val="211F1F"/>
          <w:spacing w:val="-2"/>
          <w:sz w:val="24"/>
        </w:rPr>
        <w:t xml:space="preserve"> </w:t>
      </w:r>
      <w:r>
        <w:rPr>
          <w:color w:val="211F1F"/>
          <w:sz w:val="24"/>
        </w:rPr>
        <w:t>remaining envelopes shall</w:t>
      </w:r>
      <w:r>
        <w:rPr>
          <w:color w:val="211F1F"/>
          <w:spacing w:val="-1"/>
          <w:sz w:val="24"/>
        </w:rPr>
        <w:t xml:space="preserve"> </w:t>
      </w:r>
      <w:r>
        <w:rPr>
          <w:color w:val="211F1F"/>
          <w:sz w:val="24"/>
        </w:rPr>
        <w:t>be opened on</w:t>
      </w:r>
      <w:r>
        <w:rPr>
          <w:color w:val="211F1F"/>
          <w:spacing w:val="-2"/>
          <w:sz w:val="24"/>
        </w:rPr>
        <w:t xml:space="preserve"> </w:t>
      </w:r>
      <w:r>
        <w:rPr>
          <w:color w:val="211F1F"/>
          <w:sz w:val="24"/>
        </w:rPr>
        <w:t>eata</w:t>
      </w:r>
      <w:r>
        <w:rPr>
          <w:color w:val="211F1F"/>
          <w:spacing w:val="-3"/>
          <w:sz w:val="24"/>
        </w:rPr>
        <w:t xml:space="preserve"> </w:t>
      </w:r>
      <w:r>
        <w:rPr>
          <w:color w:val="211F1F"/>
          <w:sz w:val="24"/>
        </w:rPr>
        <w:t>time, reading out:</w:t>
      </w:r>
      <w:r>
        <w:rPr>
          <w:color w:val="211F1F"/>
          <w:spacing w:val="-6"/>
          <w:sz w:val="24"/>
        </w:rPr>
        <w:t xml:space="preserve"> </w:t>
      </w:r>
      <w:r>
        <w:rPr>
          <w:color w:val="211F1F"/>
          <w:sz w:val="24"/>
        </w:rPr>
        <w:t>the name of the Tenderer and whether there is a modification; the total Tender Price, per lot (contract)</w:t>
      </w:r>
      <w:r>
        <w:rPr>
          <w:color w:val="211F1F"/>
          <w:spacing w:val="-4"/>
          <w:sz w:val="24"/>
        </w:rPr>
        <w:t xml:space="preserve"> </w:t>
      </w:r>
      <w:r>
        <w:rPr>
          <w:color w:val="211F1F"/>
          <w:sz w:val="24"/>
        </w:rPr>
        <w:t>if</w:t>
      </w:r>
      <w:r>
        <w:rPr>
          <w:color w:val="211F1F"/>
          <w:spacing w:val="-15"/>
          <w:sz w:val="24"/>
        </w:rPr>
        <w:t xml:space="preserve"> </w:t>
      </w:r>
      <w:r>
        <w:rPr>
          <w:color w:val="211F1F"/>
          <w:sz w:val="24"/>
        </w:rPr>
        <w:t>applicable, including</w:t>
      </w:r>
      <w:r>
        <w:rPr>
          <w:color w:val="211F1F"/>
          <w:spacing w:val="-6"/>
          <w:sz w:val="24"/>
        </w:rPr>
        <w:t xml:space="preserve"> </w:t>
      </w:r>
      <w:r>
        <w:rPr>
          <w:color w:val="211F1F"/>
          <w:sz w:val="24"/>
        </w:rPr>
        <w:t>any</w:t>
      </w:r>
      <w:r>
        <w:rPr>
          <w:color w:val="211F1F"/>
          <w:spacing w:val="-11"/>
          <w:sz w:val="24"/>
        </w:rPr>
        <w:t xml:space="preserve"> </w:t>
      </w:r>
      <w:r>
        <w:rPr>
          <w:color w:val="211F1F"/>
          <w:sz w:val="24"/>
        </w:rPr>
        <w:t>discounts</w:t>
      </w:r>
      <w:r>
        <w:rPr>
          <w:color w:val="211F1F"/>
          <w:spacing w:val="-8"/>
          <w:sz w:val="24"/>
        </w:rPr>
        <w:t xml:space="preserve"> </w:t>
      </w:r>
      <w:r>
        <w:rPr>
          <w:color w:val="211F1F"/>
          <w:sz w:val="24"/>
        </w:rPr>
        <w:t>and</w:t>
      </w:r>
      <w:r>
        <w:rPr>
          <w:color w:val="211F1F"/>
          <w:spacing w:val="-7"/>
          <w:sz w:val="24"/>
        </w:rPr>
        <w:t xml:space="preserve"> </w:t>
      </w:r>
      <w:r>
        <w:rPr>
          <w:color w:val="211F1F"/>
          <w:sz w:val="24"/>
        </w:rPr>
        <w:t>alternative</w:t>
      </w:r>
      <w:r>
        <w:rPr>
          <w:color w:val="211F1F"/>
          <w:spacing w:val="-6"/>
          <w:sz w:val="24"/>
        </w:rPr>
        <w:t xml:space="preserve"> </w:t>
      </w:r>
      <w:r>
        <w:rPr>
          <w:color w:val="211F1F"/>
          <w:sz w:val="24"/>
        </w:rPr>
        <w:t>Tenders;</w:t>
      </w:r>
      <w:r>
        <w:rPr>
          <w:color w:val="211F1F"/>
          <w:spacing w:val="-10"/>
          <w:sz w:val="24"/>
        </w:rPr>
        <w:t xml:space="preserve"> </w:t>
      </w:r>
      <w:r>
        <w:rPr>
          <w:color w:val="211F1F"/>
          <w:sz w:val="24"/>
        </w:rPr>
        <w:t>the</w:t>
      </w:r>
      <w:r>
        <w:rPr>
          <w:color w:val="211F1F"/>
          <w:spacing w:val="-8"/>
          <w:sz w:val="24"/>
        </w:rPr>
        <w:t xml:space="preserve"> </w:t>
      </w:r>
      <w:r>
        <w:rPr>
          <w:color w:val="211F1F"/>
          <w:sz w:val="24"/>
        </w:rPr>
        <w:t>presence or</w:t>
      </w:r>
      <w:r>
        <w:rPr>
          <w:color w:val="211F1F"/>
          <w:spacing w:val="-2"/>
          <w:sz w:val="24"/>
        </w:rPr>
        <w:t xml:space="preserve"> </w:t>
      </w:r>
      <w:r>
        <w:rPr>
          <w:color w:val="211F1F"/>
          <w:sz w:val="24"/>
        </w:rPr>
        <w:t>absence</w:t>
      </w:r>
      <w:r>
        <w:rPr>
          <w:color w:val="211F1F"/>
          <w:spacing w:val="-1"/>
          <w:sz w:val="24"/>
        </w:rPr>
        <w:t xml:space="preserve"> </w:t>
      </w:r>
      <w:r>
        <w:rPr>
          <w:color w:val="211F1F"/>
          <w:sz w:val="24"/>
        </w:rPr>
        <w:t>of</w:t>
      </w:r>
      <w:r>
        <w:rPr>
          <w:color w:val="211F1F"/>
          <w:spacing w:val="-7"/>
          <w:sz w:val="24"/>
        </w:rPr>
        <w:t xml:space="preserve"> </w:t>
      </w:r>
      <w:r>
        <w:rPr>
          <w:color w:val="211F1F"/>
          <w:sz w:val="24"/>
        </w:rPr>
        <w:t>a</w:t>
      </w:r>
      <w:r>
        <w:rPr>
          <w:color w:val="211F1F"/>
          <w:spacing w:val="-1"/>
          <w:sz w:val="24"/>
        </w:rPr>
        <w:t xml:space="preserve"> </w:t>
      </w:r>
      <w:r>
        <w:rPr>
          <w:color w:val="211F1F"/>
          <w:sz w:val="24"/>
        </w:rPr>
        <w:t>Tender Security</w:t>
      </w:r>
      <w:r>
        <w:rPr>
          <w:color w:val="211F1F"/>
          <w:spacing w:val="-9"/>
          <w:sz w:val="24"/>
        </w:rPr>
        <w:t xml:space="preserve"> </w:t>
      </w:r>
      <w:r>
        <w:rPr>
          <w:color w:val="211F1F"/>
          <w:sz w:val="24"/>
        </w:rPr>
        <w:t>or Tender-Securing Declaration, if</w:t>
      </w:r>
      <w:r>
        <w:rPr>
          <w:color w:val="211F1F"/>
          <w:spacing w:val="-7"/>
          <w:sz w:val="24"/>
        </w:rPr>
        <w:t xml:space="preserve"> </w:t>
      </w:r>
      <w:r>
        <w:rPr>
          <w:color w:val="211F1F"/>
          <w:sz w:val="24"/>
        </w:rPr>
        <w:t>required;</w:t>
      </w:r>
      <w:r>
        <w:rPr>
          <w:color w:val="211F1F"/>
          <w:spacing w:val="-4"/>
          <w:sz w:val="24"/>
        </w:rPr>
        <w:t xml:space="preserve"> </w:t>
      </w:r>
      <w:r>
        <w:rPr>
          <w:color w:val="211F1F"/>
          <w:sz w:val="24"/>
        </w:rPr>
        <w:t>and any other details as the Procuring Entity may consider appropriate.</w:t>
      </w:r>
    </w:p>
    <w:p w14:paraId="2A6B726A" w14:textId="77777777" w:rsidR="00BB77C0" w:rsidRDefault="00370BAA">
      <w:pPr>
        <w:pStyle w:val="ListParagraph"/>
        <w:numPr>
          <w:ilvl w:val="1"/>
          <w:numId w:val="86"/>
        </w:numPr>
        <w:tabs>
          <w:tab w:val="left" w:pos="1441"/>
        </w:tabs>
        <w:spacing w:before="157" w:line="259" w:lineRule="auto"/>
        <w:ind w:left="1441" w:right="68"/>
        <w:jc w:val="left"/>
        <w:rPr>
          <w:color w:val="211F1F"/>
          <w:sz w:val="24"/>
        </w:rPr>
      </w:pPr>
      <w:r>
        <w:rPr>
          <w:color w:val="211F1F"/>
          <w:sz w:val="24"/>
        </w:rPr>
        <w:t>Only Tenders, alternative Tenders and discounts that are opened and read out at Tender opening shall be considered further for evaluation. The Form of Tender and pages</w:t>
      </w:r>
      <w:r>
        <w:rPr>
          <w:color w:val="211F1F"/>
          <w:spacing w:val="-2"/>
          <w:sz w:val="24"/>
        </w:rPr>
        <w:t xml:space="preserve"> </w:t>
      </w:r>
      <w:r>
        <w:rPr>
          <w:color w:val="211F1F"/>
          <w:sz w:val="24"/>
        </w:rPr>
        <w:t>of</w:t>
      </w:r>
      <w:r>
        <w:rPr>
          <w:color w:val="211F1F"/>
          <w:spacing w:val="-7"/>
          <w:sz w:val="24"/>
        </w:rPr>
        <w:t xml:space="preserve"> </w:t>
      </w:r>
      <w:r>
        <w:rPr>
          <w:color w:val="211F1F"/>
          <w:sz w:val="24"/>
        </w:rPr>
        <w:t>the</w:t>
      </w:r>
      <w:r>
        <w:rPr>
          <w:color w:val="211F1F"/>
          <w:spacing w:val="-2"/>
          <w:sz w:val="24"/>
        </w:rPr>
        <w:t xml:space="preserve"> </w:t>
      </w:r>
      <w:r>
        <w:rPr>
          <w:color w:val="211F1F"/>
          <w:sz w:val="24"/>
        </w:rPr>
        <w:t>Bill</w:t>
      </w:r>
      <w:r>
        <w:rPr>
          <w:color w:val="211F1F"/>
          <w:spacing w:val="-9"/>
          <w:sz w:val="24"/>
        </w:rPr>
        <w:t xml:space="preserve"> </w:t>
      </w:r>
      <w:r>
        <w:rPr>
          <w:color w:val="211F1F"/>
          <w:sz w:val="24"/>
        </w:rPr>
        <w:t>of</w:t>
      </w:r>
      <w:r>
        <w:rPr>
          <w:color w:val="211F1F"/>
          <w:spacing w:val="-7"/>
          <w:sz w:val="24"/>
        </w:rPr>
        <w:t xml:space="preserve"> </w:t>
      </w:r>
      <w:r>
        <w:rPr>
          <w:color w:val="211F1F"/>
          <w:sz w:val="24"/>
        </w:rPr>
        <w:t>Quantities</w:t>
      </w:r>
      <w:r>
        <w:rPr>
          <w:color w:val="211F1F"/>
          <w:spacing w:val="-2"/>
          <w:sz w:val="24"/>
        </w:rPr>
        <w:t xml:space="preserve"> </w:t>
      </w:r>
      <w:r>
        <w:rPr>
          <w:color w:val="211F1F"/>
          <w:sz w:val="24"/>
        </w:rPr>
        <w:t>(to</w:t>
      </w:r>
      <w:r>
        <w:rPr>
          <w:color w:val="211F1F"/>
          <w:spacing w:val="-1"/>
          <w:sz w:val="24"/>
        </w:rPr>
        <w:t xml:space="preserve"> </w:t>
      </w:r>
      <w:r>
        <w:rPr>
          <w:color w:val="211F1F"/>
          <w:sz w:val="24"/>
        </w:rPr>
        <w:t>be decided</w:t>
      </w:r>
      <w:r>
        <w:rPr>
          <w:color w:val="211F1F"/>
          <w:spacing w:val="-1"/>
          <w:sz w:val="24"/>
        </w:rPr>
        <w:t xml:space="preserve"> </w:t>
      </w:r>
      <w:r>
        <w:rPr>
          <w:color w:val="211F1F"/>
          <w:sz w:val="24"/>
        </w:rPr>
        <w:t>on</w:t>
      </w:r>
      <w:r>
        <w:rPr>
          <w:color w:val="211F1F"/>
          <w:spacing w:val="-5"/>
          <w:sz w:val="24"/>
        </w:rPr>
        <w:t xml:space="preserve"> </w:t>
      </w:r>
      <w:r>
        <w:rPr>
          <w:color w:val="211F1F"/>
          <w:sz w:val="24"/>
        </w:rPr>
        <w:t>by</w:t>
      </w:r>
      <w:r>
        <w:rPr>
          <w:color w:val="211F1F"/>
          <w:spacing w:val="-5"/>
          <w:sz w:val="24"/>
        </w:rPr>
        <w:t xml:space="preserve"> </w:t>
      </w:r>
      <w:r>
        <w:rPr>
          <w:color w:val="211F1F"/>
          <w:sz w:val="24"/>
        </w:rPr>
        <w:t>the tender</w:t>
      </w:r>
      <w:r>
        <w:rPr>
          <w:color w:val="211F1F"/>
          <w:spacing w:val="-3"/>
          <w:sz w:val="24"/>
        </w:rPr>
        <w:t xml:space="preserve"> </w:t>
      </w:r>
      <w:r>
        <w:rPr>
          <w:color w:val="211F1F"/>
          <w:sz w:val="24"/>
        </w:rPr>
        <w:t>opening</w:t>
      </w:r>
      <w:r>
        <w:rPr>
          <w:color w:val="211F1F"/>
          <w:spacing w:val="-1"/>
          <w:sz w:val="24"/>
        </w:rPr>
        <w:t xml:space="preserve"> </w:t>
      </w:r>
      <w:r>
        <w:rPr>
          <w:color w:val="211F1F"/>
          <w:sz w:val="24"/>
        </w:rPr>
        <w:t>committee) are to</w:t>
      </w:r>
      <w:r>
        <w:rPr>
          <w:color w:val="211F1F"/>
          <w:spacing w:val="-3"/>
          <w:sz w:val="24"/>
        </w:rPr>
        <w:t xml:space="preserve"> </w:t>
      </w:r>
      <w:r>
        <w:rPr>
          <w:color w:val="211F1F"/>
          <w:sz w:val="24"/>
        </w:rPr>
        <w:t>be</w:t>
      </w:r>
      <w:r>
        <w:rPr>
          <w:color w:val="211F1F"/>
          <w:spacing w:val="-2"/>
          <w:sz w:val="24"/>
        </w:rPr>
        <w:t xml:space="preserve"> </w:t>
      </w:r>
      <w:r>
        <w:rPr>
          <w:color w:val="211F1F"/>
          <w:sz w:val="24"/>
        </w:rPr>
        <w:t>initialed by</w:t>
      </w:r>
      <w:r>
        <w:rPr>
          <w:color w:val="211F1F"/>
          <w:spacing w:val="-11"/>
          <w:sz w:val="24"/>
        </w:rPr>
        <w:t xml:space="preserve"> </w:t>
      </w:r>
      <w:r>
        <w:rPr>
          <w:color w:val="211F1F"/>
          <w:sz w:val="24"/>
        </w:rPr>
        <w:t>the</w:t>
      </w:r>
      <w:r>
        <w:rPr>
          <w:color w:val="211F1F"/>
          <w:spacing w:val="-1"/>
          <w:sz w:val="24"/>
        </w:rPr>
        <w:t xml:space="preserve"> </w:t>
      </w:r>
      <w:r>
        <w:rPr>
          <w:color w:val="211F1F"/>
          <w:sz w:val="24"/>
        </w:rPr>
        <w:t>members</w:t>
      </w:r>
      <w:r>
        <w:rPr>
          <w:color w:val="211F1F"/>
          <w:spacing w:val="-2"/>
          <w:sz w:val="24"/>
        </w:rPr>
        <w:t xml:space="preserve"> </w:t>
      </w:r>
      <w:r>
        <w:rPr>
          <w:color w:val="211F1F"/>
          <w:sz w:val="24"/>
        </w:rPr>
        <w:t>of</w:t>
      </w:r>
      <w:r>
        <w:rPr>
          <w:color w:val="211F1F"/>
          <w:spacing w:val="-13"/>
          <w:sz w:val="24"/>
        </w:rPr>
        <w:t xml:space="preserve"> </w:t>
      </w:r>
      <w:r>
        <w:rPr>
          <w:color w:val="211F1F"/>
          <w:sz w:val="24"/>
        </w:rPr>
        <w:t>the</w:t>
      </w:r>
      <w:r>
        <w:rPr>
          <w:color w:val="211F1F"/>
          <w:spacing w:val="-7"/>
          <w:sz w:val="24"/>
        </w:rPr>
        <w:t xml:space="preserve"> </w:t>
      </w:r>
      <w:r>
        <w:rPr>
          <w:color w:val="211F1F"/>
          <w:sz w:val="24"/>
        </w:rPr>
        <w:t>tender</w:t>
      </w:r>
      <w:r>
        <w:rPr>
          <w:color w:val="211F1F"/>
          <w:spacing w:val="-3"/>
          <w:sz w:val="24"/>
        </w:rPr>
        <w:t xml:space="preserve"> </w:t>
      </w:r>
      <w:r>
        <w:rPr>
          <w:color w:val="211F1F"/>
          <w:sz w:val="24"/>
        </w:rPr>
        <w:t>opening</w:t>
      </w:r>
      <w:r>
        <w:rPr>
          <w:color w:val="211F1F"/>
          <w:spacing w:val="-1"/>
          <w:sz w:val="24"/>
        </w:rPr>
        <w:t xml:space="preserve"> </w:t>
      </w:r>
      <w:r>
        <w:rPr>
          <w:color w:val="211F1F"/>
          <w:sz w:val="24"/>
        </w:rPr>
        <w:t>committee</w:t>
      </w:r>
      <w:r>
        <w:rPr>
          <w:color w:val="211F1F"/>
          <w:spacing w:val="-5"/>
          <w:sz w:val="24"/>
        </w:rPr>
        <w:t xml:space="preserve"> </w:t>
      </w:r>
      <w:r>
        <w:rPr>
          <w:color w:val="211F1F"/>
          <w:sz w:val="24"/>
        </w:rPr>
        <w:t>attending the</w:t>
      </w:r>
      <w:r>
        <w:rPr>
          <w:color w:val="211F1F"/>
          <w:spacing w:val="-6"/>
          <w:sz w:val="24"/>
        </w:rPr>
        <w:t xml:space="preserve"> </w:t>
      </w:r>
      <w:r>
        <w:rPr>
          <w:color w:val="211F1F"/>
          <w:spacing w:val="-2"/>
          <w:sz w:val="24"/>
        </w:rPr>
        <w:t>opening.</w:t>
      </w:r>
    </w:p>
    <w:p w14:paraId="77112632" w14:textId="77777777" w:rsidR="00BB77C0" w:rsidRDefault="00370BAA">
      <w:pPr>
        <w:pStyle w:val="ListParagraph"/>
        <w:numPr>
          <w:ilvl w:val="1"/>
          <w:numId w:val="86"/>
        </w:numPr>
        <w:tabs>
          <w:tab w:val="left" w:pos="1441"/>
        </w:tabs>
        <w:spacing w:before="157" w:line="259" w:lineRule="auto"/>
        <w:ind w:left="1441" w:right="270"/>
        <w:jc w:val="left"/>
        <w:rPr>
          <w:color w:val="211F1F"/>
          <w:sz w:val="24"/>
        </w:rPr>
      </w:pPr>
      <w:r>
        <w:rPr>
          <w:color w:val="211F1F"/>
          <w:sz w:val="24"/>
        </w:rPr>
        <w:t>At the Tender Opening, the Procuring Entity</w:t>
      </w:r>
      <w:r>
        <w:rPr>
          <w:color w:val="211F1F"/>
          <w:spacing w:val="-5"/>
          <w:sz w:val="24"/>
        </w:rPr>
        <w:t xml:space="preserve"> </w:t>
      </w:r>
      <w:r>
        <w:rPr>
          <w:color w:val="211F1F"/>
          <w:sz w:val="24"/>
        </w:rPr>
        <w:t>shall neither discuss the merits of</w:t>
      </w:r>
      <w:r>
        <w:rPr>
          <w:color w:val="211F1F"/>
          <w:spacing w:val="-3"/>
          <w:sz w:val="24"/>
        </w:rPr>
        <w:t xml:space="preserve"> </w:t>
      </w:r>
      <w:r>
        <w:rPr>
          <w:color w:val="211F1F"/>
          <w:sz w:val="24"/>
        </w:rPr>
        <w:t>any Tender</w:t>
      </w:r>
      <w:r>
        <w:rPr>
          <w:color w:val="211F1F"/>
          <w:spacing w:val="-13"/>
          <w:sz w:val="24"/>
        </w:rPr>
        <w:t xml:space="preserve"> </w:t>
      </w:r>
      <w:r>
        <w:rPr>
          <w:color w:val="211F1F"/>
          <w:sz w:val="24"/>
        </w:rPr>
        <w:t>nor</w:t>
      </w:r>
      <w:r>
        <w:rPr>
          <w:color w:val="211F1F"/>
          <w:spacing w:val="-7"/>
          <w:sz w:val="24"/>
        </w:rPr>
        <w:t xml:space="preserve"> </w:t>
      </w:r>
      <w:r>
        <w:rPr>
          <w:color w:val="211F1F"/>
          <w:sz w:val="24"/>
        </w:rPr>
        <w:t>reject</w:t>
      </w:r>
      <w:r>
        <w:rPr>
          <w:color w:val="211F1F"/>
          <w:spacing w:val="-4"/>
          <w:sz w:val="24"/>
        </w:rPr>
        <w:t xml:space="preserve"> </w:t>
      </w:r>
      <w:r>
        <w:rPr>
          <w:color w:val="211F1F"/>
          <w:sz w:val="24"/>
        </w:rPr>
        <w:t>any</w:t>
      </w:r>
      <w:r>
        <w:rPr>
          <w:color w:val="211F1F"/>
          <w:spacing w:val="-15"/>
          <w:sz w:val="24"/>
        </w:rPr>
        <w:t xml:space="preserve"> </w:t>
      </w:r>
      <w:r>
        <w:rPr>
          <w:color w:val="211F1F"/>
          <w:sz w:val="24"/>
        </w:rPr>
        <w:t>Tender</w:t>
      </w:r>
      <w:r>
        <w:rPr>
          <w:color w:val="211F1F"/>
          <w:spacing w:val="-11"/>
          <w:sz w:val="24"/>
        </w:rPr>
        <w:t xml:space="preserve"> </w:t>
      </w:r>
      <w:r>
        <w:rPr>
          <w:color w:val="211F1F"/>
          <w:sz w:val="24"/>
        </w:rPr>
        <w:t>(except</w:t>
      </w:r>
      <w:r>
        <w:rPr>
          <w:color w:val="211F1F"/>
          <w:spacing w:val="-4"/>
          <w:sz w:val="24"/>
        </w:rPr>
        <w:t xml:space="preserve"> </w:t>
      </w:r>
      <w:r>
        <w:rPr>
          <w:color w:val="211F1F"/>
          <w:sz w:val="24"/>
        </w:rPr>
        <w:t>for</w:t>
      </w:r>
      <w:r>
        <w:rPr>
          <w:color w:val="211F1F"/>
          <w:spacing w:val="-7"/>
          <w:sz w:val="24"/>
        </w:rPr>
        <w:t xml:space="preserve"> </w:t>
      </w:r>
      <w:r>
        <w:rPr>
          <w:color w:val="211F1F"/>
          <w:sz w:val="24"/>
        </w:rPr>
        <w:t>late</w:t>
      </w:r>
      <w:r>
        <w:rPr>
          <w:color w:val="211F1F"/>
          <w:spacing w:val="-9"/>
          <w:sz w:val="24"/>
        </w:rPr>
        <w:t xml:space="preserve"> </w:t>
      </w:r>
      <w:r>
        <w:rPr>
          <w:color w:val="211F1F"/>
          <w:sz w:val="24"/>
        </w:rPr>
        <w:t>Tenders,</w:t>
      </w:r>
      <w:r>
        <w:rPr>
          <w:color w:val="211F1F"/>
          <w:spacing w:val="-6"/>
          <w:sz w:val="24"/>
        </w:rPr>
        <w:t xml:space="preserve"> </w:t>
      </w:r>
      <w:r>
        <w:rPr>
          <w:color w:val="211F1F"/>
          <w:sz w:val="24"/>
        </w:rPr>
        <w:t>in</w:t>
      </w:r>
      <w:r>
        <w:rPr>
          <w:color w:val="211F1F"/>
          <w:spacing w:val="-13"/>
          <w:sz w:val="24"/>
        </w:rPr>
        <w:t xml:space="preserve"> </w:t>
      </w:r>
      <w:r>
        <w:rPr>
          <w:color w:val="211F1F"/>
          <w:sz w:val="24"/>
        </w:rPr>
        <w:t>accordance</w:t>
      </w:r>
      <w:r>
        <w:rPr>
          <w:color w:val="211F1F"/>
          <w:spacing w:val="-9"/>
          <w:sz w:val="24"/>
        </w:rPr>
        <w:t xml:space="preserve"> </w:t>
      </w:r>
      <w:r>
        <w:rPr>
          <w:color w:val="211F1F"/>
          <w:sz w:val="24"/>
        </w:rPr>
        <w:t>with</w:t>
      </w:r>
      <w:r>
        <w:rPr>
          <w:color w:val="211F1F"/>
          <w:spacing w:val="-13"/>
          <w:sz w:val="24"/>
        </w:rPr>
        <w:t xml:space="preserve"> </w:t>
      </w:r>
      <w:r>
        <w:rPr>
          <w:color w:val="211F1F"/>
          <w:sz w:val="24"/>
        </w:rPr>
        <w:t>ITT</w:t>
      </w:r>
      <w:r>
        <w:rPr>
          <w:color w:val="211F1F"/>
          <w:spacing w:val="-6"/>
          <w:sz w:val="24"/>
        </w:rPr>
        <w:t xml:space="preserve"> </w:t>
      </w:r>
      <w:r>
        <w:rPr>
          <w:color w:val="211F1F"/>
          <w:sz w:val="24"/>
        </w:rPr>
        <w:t>23.1).</w:t>
      </w:r>
    </w:p>
    <w:p w14:paraId="67F33643" w14:textId="77777777" w:rsidR="00BB77C0" w:rsidRDefault="00370BAA">
      <w:pPr>
        <w:pStyle w:val="ListParagraph"/>
        <w:numPr>
          <w:ilvl w:val="1"/>
          <w:numId w:val="86"/>
        </w:numPr>
        <w:tabs>
          <w:tab w:val="left" w:pos="1441"/>
        </w:tabs>
        <w:spacing w:before="158" w:line="264" w:lineRule="auto"/>
        <w:ind w:left="1441" w:right="246"/>
        <w:jc w:val="left"/>
        <w:rPr>
          <w:color w:val="211F1F"/>
          <w:sz w:val="24"/>
        </w:rPr>
      </w:pPr>
      <w:r>
        <w:rPr>
          <w:color w:val="211F1F"/>
          <w:sz w:val="24"/>
        </w:rPr>
        <w:t>The</w:t>
      </w:r>
      <w:r>
        <w:rPr>
          <w:color w:val="211F1F"/>
          <w:spacing w:val="-8"/>
          <w:sz w:val="24"/>
        </w:rPr>
        <w:t xml:space="preserve"> </w:t>
      </w:r>
      <w:r>
        <w:rPr>
          <w:color w:val="211F1F"/>
          <w:sz w:val="24"/>
        </w:rPr>
        <w:t>Procuring</w:t>
      </w:r>
      <w:r>
        <w:rPr>
          <w:color w:val="211F1F"/>
          <w:spacing w:val="-6"/>
          <w:sz w:val="24"/>
        </w:rPr>
        <w:t xml:space="preserve"> </w:t>
      </w:r>
      <w:r>
        <w:rPr>
          <w:color w:val="211F1F"/>
          <w:sz w:val="24"/>
        </w:rPr>
        <w:t>Entity</w:t>
      </w:r>
      <w:r>
        <w:rPr>
          <w:color w:val="211F1F"/>
          <w:spacing w:val="-15"/>
          <w:sz w:val="24"/>
        </w:rPr>
        <w:t xml:space="preserve"> </w:t>
      </w:r>
      <w:r>
        <w:rPr>
          <w:color w:val="211F1F"/>
          <w:sz w:val="24"/>
        </w:rPr>
        <w:t>shall</w:t>
      </w:r>
      <w:r>
        <w:rPr>
          <w:color w:val="211F1F"/>
          <w:spacing w:val="-11"/>
          <w:sz w:val="24"/>
        </w:rPr>
        <w:t xml:space="preserve"> </w:t>
      </w:r>
      <w:r>
        <w:rPr>
          <w:color w:val="211F1F"/>
          <w:sz w:val="24"/>
        </w:rPr>
        <w:t>prepare</w:t>
      </w:r>
      <w:r>
        <w:rPr>
          <w:color w:val="211F1F"/>
          <w:spacing w:val="-3"/>
          <w:sz w:val="24"/>
        </w:rPr>
        <w:t xml:space="preserve"> </w:t>
      </w:r>
      <w:r>
        <w:rPr>
          <w:color w:val="211F1F"/>
          <w:sz w:val="24"/>
        </w:rPr>
        <w:t>minutes</w:t>
      </w:r>
      <w:r>
        <w:rPr>
          <w:color w:val="211F1F"/>
          <w:spacing w:val="-8"/>
          <w:sz w:val="24"/>
        </w:rPr>
        <w:t xml:space="preserve"> </w:t>
      </w:r>
      <w:r>
        <w:rPr>
          <w:color w:val="211F1F"/>
          <w:sz w:val="24"/>
        </w:rPr>
        <w:t>of</w:t>
      </w:r>
      <w:r>
        <w:rPr>
          <w:color w:val="211F1F"/>
          <w:spacing w:val="-15"/>
          <w:sz w:val="24"/>
        </w:rPr>
        <w:t xml:space="preserve"> </w:t>
      </w:r>
      <w:r>
        <w:rPr>
          <w:color w:val="211F1F"/>
          <w:sz w:val="24"/>
        </w:rPr>
        <w:t>the</w:t>
      </w:r>
      <w:r>
        <w:rPr>
          <w:color w:val="211F1F"/>
          <w:spacing w:val="-8"/>
          <w:sz w:val="24"/>
        </w:rPr>
        <w:t xml:space="preserve"> </w:t>
      </w:r>
      <w:r>
        <w:rPr>
          <w:color w:val="211F1F"/>
          <w:sz w:val="24"/>
        </w:rPr>
        <w:t>Tender</w:t>
      </w:r>
      <w:r>
        <w:rPr>
          <w:color w:val="211F1F"/>
          <w:spacing w:val="-9"/>
          <w:sz w:val="24"/>
        </w:rPr>
        <w:t xml:space="preserve"> </w:t>
      </w:r>
      <w:r>
        <w:rPr>
          <w:color w:val="211F1F"/>
          <w:sz w:val="24"/>
        </w:rPr>
        <w:t>Opening</w:t>
      </w:r>
      <w:r>
        <w:rPr>
          <w:color w:val="211F1F"/>
          <w:spacing w:val="-8"/>
          <w:sz w:val="24"/>
        </w:rPr>
        <w:t xml:space="preserve"> </w:t>
      </w:r>
      <w:r>
        <w:rPr>
          <w:color w:val="211F1F"/>
          <w:sz w:val="24"/>
        </w:rPr>
        <w:t>that</w:t>
      </w:r>
      <w:r>
        <w:rPr>
          <w:color w:val="211F1F"/>
          <w:spacing w:val="-2"/>
          <w:sz w:val="24"/>
        </w:rPr>
        <w:t xml:space="preserve"> </w:t>
      </w:r>
      <w:r>
        <w:rPr>
          <w:color w:val="211F1F"/>
          <w:sz w:val="24"/>
        </w:rPr>
        <w:t>shall</w:t>
      </w:r>
      <w:r>
        <w:rPr>
          <w:color w:val="211F1F"/>
          <w:spacing w:val="-7"/>
          <w:sz w:val="24"/>
        </w:rPr>
        <w:t xml:space="preserve"> </w:t>
      </w:r>
      <w:r>
        <w:rPr>
          <w:color w:val="211F1F"/>
          <w:sz w:val="24"/>
        </w:rPr>
        <w:t>include, as a minimum:</w:t>
      </w:r>
    </w:p>
    <w:p w14:paraId="787589F8" w14:textId="77777777" w:rsidR="00BB77C0" w:rsidRDefault="00370BAA">
      <w:pPr>
        <w:pStyle w:val="ListParagraph"/>
        <w:numPr>
          <w:ilvl w:val="2"/>
          <w:numId w:val="86"/>
        </w:numPr>
        <w:tabs>
          <w:tab w:val="left" w:pos="2159"/>
          <w:tab w:val="left" w:pos="2161"/>
        </w:tabs>
        <w:spacing w:before="158" w:line="237" w:lineRule="auto"/>
        <w:ind w:right="268"/>
        <w:rPr>
          <w:sz w:val="24"/>
        </w:rPr>
      </w:pPr>
      <w:r>
        <w:rPr>
          <w:color w:val="211F1F"/>
          <w:sz w:val="24"/>
        </w:rPr>
        <w:t>The</w:t>
      </w:r>
      <w:r>
        <w:rPr>
          <w:color w:val="211F1F"/>
          <w:spacing w:val="-5"/>
          <w:sz w:val="24"/>
        </w:rPr>
        <w:t xml:space="preserve"> </w:t>
      </w:r>
      <w:r>
        <w:rPr>
          <w:color w:val="211F1F"/>
          <w:sz w:val="24"/>
        </w:rPr>
        <w:t>name</w:t>
      </w:r>
      <w:r>
        <w:rPr>
          <w:color w:val="211F1F"/>
          <w:spacing w:val="-4"/>
          <w:sz w:val="24"/>
        </w:rPr>
        <w:t xml:space="preserve"> </w:t>
      </w:r>
      <w:r>
        <w:rPr>
          <w:color w:val="211F1F"/>
          <w:sz w:val="24"/>
        </w:rPr>
        <w:t>of</w:t>
      </w:r>
      <w:r>
        <w:rPr>
          <w:color w:val="211F1F"/>
          <w:spacing w:val="-12"/>
          <w:sz w:val="24"/>
        </w:rPr>
        <w:t xml:space="preserve"> </w:t>
      </w:r>
      <w:r>
        <w:rPr>
          <w:color w:val="211F1F"/>
          <w:sz w:val="24"/>
        </w:rPr>
        <w:t>the</w:t>
      </w:r>
      <w:r>
        <w:rPr>
          <w:color w:val="211F1F"/>
          <w:spacing w:val="-5"/>
          <w:sz w:val="24"/>
        </w:rPr>
        <w:t xml:space="preserve"> </w:t>
      </w:r>
      <w:r>
        <w:rPr>
          <w:color w:val="211F1F"/>
          <w:sz w:val="24"/>
        </w:rPr>
        <w:t>Tenderer</w:t>
      </w:r>
      <w:r>
        <w:rPr>
          <w:color w:val="211F1F"/>
          <w:spacing w:val="-6"/>
          <w:sz w:val="24"/>
        </w:rPr>
        <w:t xml:space="preserve"> </w:t>
      </w:r>
      <w:r>
        <w:rPr>
          <w:color w:val="211F1F"/>
          <w:sz w:val="24"/>
        </w:rPr>
        <w:t>and</w:t>
      </w:r>
      <w:r>
        <w:rPr>
          <w:color w:val="211F1F"/>
          <w:spacing w:val="-4"/>
          <w:sz w:val="24"/>
        </w:rPr>
        <w:t xml:space="preserve"> </w:t>
      </w:r>
      <w:r>
        <w:rPr>
          <w:color w:val="211F1F"/>
          <w:sz w:val="24"/>
        </w:rPr>
        <w:t>whether</w:t>
      </w:r>
      <w:r>
        <w:rPr>
          <w:color w:val="211F1F"/>
          <w:spacing w:val="-6"/>
          <w:sz w:val="24"/>
        </w:rPr>
        <w:t xml:space="preserve"> </w:t>
      </w:r>
      <w:r>
        <w:rPr>
          <w:color w:val="211F1F"/>
          <w:sz w:val="24"/>
        </w:rPr>
        <w:t>there</w:t>
      </w:r>
      <w:r>
        <w:rPr>
          <w:color w:val="211F1F"/>
          <w:spacing w:val="-4"/>
          <w:sz w:val="24"/>
        </w:rPr>
        <w:t xml:space="preserve"> </w:t>
      </w:r>
      <w:r>
        <w:rPr>
          <w:color w:val="211F1F"/>
          <w:sz w:val="24"/>
        </w:rPr>
        <w:t>is</w:t>
      </w:r>
      <w:r>
        <w:rPr>
          <w:color w:val="211F1F"/>
          <w:spacing w:val="-6"/>
          <w:sz w:val="24"/>
        </w:rPr>
        <w:t xml:space="preserve"> </w:t>
      </w:r>
      <w:r>
        <w:rPr>
          <w:color w:val="211F1F"/>
          <w:sz w:val="24"/>
        </w:rPr>
        <w:t>a</w:t>
      </w:r>
      <w:r>
        <w:rPr>
          <w:color w:val="211F1F"/>
          <w:spacing w:val="-5"/>
          <w:sz w:val="24"/>
        </w:rPr>
        <w:t xml:space="preserve"> </w:t>
      </w:r>
      <w:r>
        <w:rPr>
          <w:color w:val="211F1F"/>
          <w:sz w:val="24"/>
        </w:rPr>
        <w:t>withdrawal,</w:t>
      </w:r>
      <w:r>
        <w:rPr>
          <w:color w:val="211F1F"/>
          <w:spacing w:val="-1"/>
          <w:sz w:val="24"/>
        </w:rPr>
        <w:t xml:space="preserve"> </w:t>
      </w:r>
      <w:r>
        <w:rPr>
          <w:color w:val="211F1F"/>
          <w:sz w:val="24"/>
        </w:rPr>
        <w:t>substitution,</w:t>
      </w:r>
      <w:r>
        <w:rPr>
          <w:color w:val="211F1F"/>
          <w:spacing w:val="-1"/>
          <w:sz w:val="24"/>
        </w:rPr>
        <w:t xml:space="preserve"> </w:t>
      </w:r>
      <w:r>
        <w:rPr>
          <w:color w:val="211F1F"/>
          <w:sz w:val="24"/>
        </w:rPr>
        <w:t xml:space="preserve">or </w:t>
      </w:r>
      <w:r>
        <w:rPr>
          <w:color w:val="211F1F"/>
          <w:spacing w:val="-2"/>
          <w:sz w:val="24"/>
        </w:rPr>
        <w:t>modification;</w:t>
      </w:r>
    </w:p>
    <w:p w14:paraId="503AE2EF" w14:textId="77777777" w:rsidR="00BB77C0" w:rsidRDefault="00370BAA">
      <w:pPr>
        <w:pStyle w:val="ListParagraph"/>
        <w:numPr>
          <w:ilvl w:val="2"/>
          <w:numId w:val="86"/>
        </w:numPr>
        <w:tabs>
          <w:tab w:val="left" w:pos="2160"/>
        </w:tabs>
        <w:spacing w:line="275" w:lineRule="exact"/>
        <w:ind w:left="2160" w:hanging="359"/>
        <w:rPr>
          <w:sz w:val="24"/>
        </w:rPr>
      </w:pPr>
      <w:r>
        <w:rPr>
          <w:color w:val="211F1F"/>
          <w:sz w:val="24"/>
        </w:rPr>
        <w:t>The</w:t>
      </w:r>
      <w:r>
        <w:rPr>
          <w:color w:val="211F1F"/>
          <w:spacing w:val="-10"/>
          <w:sz w:val="24"/>
        </w:rPr>
        <w:t xml:space="preserve"> </w:t>
      </w:r>
      <w:r>
        <w:rPr>
          <w:color w:val="211F1F"/>
          <w:sz w:val="24"/>
        </w:rPr>
        <w:t>Tender</w:t>
      </w:r>
      <w:r>
        <w:rPr>
          <w:color w:val="211F1F"/>
          <w:spacing w:val="-9"/>
          <w:sz w:val="24"/>
        </w:rPr>
        <w:t xml:space="preserve"> </w:t>
      </w:r>
      <w:r>
        <w:rPr>
          <w:color w:val="211F1F"/>
          <w:sz w:val="24"/>
        </w:rPr>
        <w:t>Price,</w:t>
      </w:r>
      <w:r>
        <w:rPr>
          <w:color w:val="211F1F"/>
          <w:spacing w:val="-4"/>
          <w:sz w:val="24"/>
        </w:rPr>
        <w:t xml:space="preserve"> </w:t>
      </w:r>
      <w:r>
        <w:rPr>
          <w:color w:val="211F1F"/>
          <w:sz w:val="24"/>
        </w:rPr>
        <w:t>per</w:t>
      </w:r>
      <w:r>
        <w:rPr>
          <w:color w:val="211F1F"/>
          <w:spacing w:val="-1"/>
          <w:sz w:val="24"/>
        </w:rPr>
        <w:t xml:space="preserve"> </w:t>
      </w:r>
      <w:r>
        <w:rPr>
          <w:color w:val="211F1F"/>
          <w:sz w:val="24"/>
        </w:rPr>
        <w:t>lot</w:t>
      </w:r>
      <w:r>
        <w:rPr>
          <w:color w:val="211F1F"/>
          <w:spacing w:val="-6"/>
          <w:sz w:val="24"/>
        </w:rPr>
        <w:t xml:space="preserve"> </w:t>
      </w:r>
      <w:r>
        <w:rPr>
          <w:color w:val="211F1F"/>
          <w:sz w:val="24"/>
        </w:rPr>
        <w:t>(contract)</w:t>
      </w:r>
      <w:r>
        <w:rPr>
          <w:color w:val="211F1F"/>
          <w:spacing w:val="-4"/>
          <w:sz w:val="24"/>
        </w:rPr>
        <w:t xml:space="preserve"> </w:t>
      </w:r>
      <w:r>
        <w:rPr>
          <w:color w:val="211F1F"/>
          <w:sz w:val="24"/>
        </w:rPr>
        <w:t>if</w:t>
      </w:r>
      <w:r>
        <w:rPr>
          <w:color w:val="211F1F"/>
          <w:spacing w:val="-14"/>
          <w:sz w:val="24"/>
        </w:rPr>
        <w:t xml:space="preserve"> </w:t>
      </w:r>
      <w:r>
        <w:rPr>
          <w:color w:val="211F1F"/>
          <w:sz w:val="24"/>
        </w:rPr>
        <w:t>applicable,</w:t>
      </w:r>
      <w:r>
        <w:rPr>
          <w:color w:val="211F1F"/>
          <w:spacing w:val="1"/>
          <w:sz w:val="24"/>
        </w:rPr>
        <w:t xml:space="preserve"> </w:t>
      </w:r>
      <w:r>
        <w:rPr>
          <w:color w:val="211F1F"/>
          <w:sz w:val="24"/>
        </w:rPr>
        <w:t>including</w:t>
      </w:r>
      <w:r>
        <w:rPr>
          <w:color w:val="211F1F"/>
          <w:spacing w:val="-6"/>
          <w:sz w:val="24"/>
        </w:rPr>
        <w:t xml:space="preserve"> </w:t>
      </w:r>
      <w:r>
        <w:rPr>
          <w:color w:val="211F1F"/>
          <w:sz w:val="24"/>
        </w:rPr>
        <w:t>any</w:t>
      </w:r>
      <w:r>
        <w:rPr>
          <w:color w:val="211F1F"/>
          <w:spacing w:val="-10"/>
          <w:sz w:val="24"/>
        </w:rPr>
        <w:t xml:space="preserve"> </w:t>
      </w:r>
      <w:r>
        <w:rPr>
          <w:color w:val="211F1F"/>
          <w:spacing w:val="-2"/>
          <w:sz w:val="24"/>
        </w:rPr>
        <w:t>discounts;</w:t>
      </w:r>
    </w:p>
    <w:p w14:paraId="7E20BDC4" w14:textId="77777777" w:rsidR="00BB77C0" w:rsidRDefault="00370BAA">
      <w:pPr>
        <w:pStyle w:val="ListParagraph"/>
        <w:numPr>
          <w:ilvl w:val="2"/>
          <w:numId w:val="86"/>
        </w:numPr>
        <w:tabs>
          <w:tab w:val="left" w:pos="2160"/>
        </w:tabs>
        <w:spacing w:before="3"/>
        <w:ind w:left="2160" w:hanging="359"/>
        <w:rPr>
          <w:sz w:val="24"/>
        </w:rPr>
      </w:pPr>
      <w:r>
        <w:rPr>
          <w:color w:val="211F1F"/>
          <w:sz w:val="24"/>
        </w:rPr>
        <w:t>any</w:t>
      </w:r>
      <w:r>
        <w:rPr>
          <w:color w:val="211F1F"/>
          <w:spacing w:val="-11"/>
          <w:sz w:val="24"/>
        </w:rPr>
        <w:t xml:space="preserve"> </w:t>
      </w:r>
      <w:r>
        <w:rPr>
          <w:color w:val="211F1F"/>
          <w:sz w:val="24"/>
        </w:rPr>
        <w:t>alternative</w:t>
      </w:r>
      <w:r>
        <w:rPr>
          <w:color w:val="211F1F"/>
          <w:spacing w:val="-4"/>
          <w:sz w:val="24"/>
        </w:rPr>
        <w:t xml:space="preserve"> </w:t>
      </w:r>
      <w:r>
        <w:rPr>
          <w:color w:val="211F1F"/>
          <w:spacing w:val="-2"/>
          <w:sz w:val="24"/>
        </w:rPr>
        <w:t>Tenders;</w:t>
      </w:r>
    </w:p>
    <w:p w14:paraId="491D0B54" w14:textId="77777777" w:rsidR="00BB77C0" w:rsidRDefault="00370BAA">
      <w:pPr>
        <w:pStyle w:val="ListParagraph"/>
        <w:numPr>
          <w:ilvl w:val="2"/>
          <w:numId w:val="86"/>
        </w:numPr>
        <w:tabs>
          <w:tab w:val="left" w:pos="2160"/>
        </w:tabs>
        <w:spacing w:before="3" w:line="275" w:lineRule="exact"/>
        <w:ind w:left="2160" w:hanging="359"/>
        <w:rPr>
          <w:sz w:val="24"/>
        </w:rPr>
      </w:pPr>
      <w:r>
        <w:rPr>
          <w:color w:val="211F1F"/>
          <w:sz w:val="24"/>
        </w:rPr>
        <w:t>the</w:t>
      </w:r>
      <w:r>
        <w:rPr>
          <w:color w:val="211F1F"/>
          <w:spacing w:val="-8"/>
          <w:sz w:val="24"/>
        </w:rPr>
        <w:t xml:space="preserve"> </w:t>
      </w:r>
      <w:r>
        <w:rPr>
          <w:color w:val="211F1F"/>
          <w:sz w:val="24"/>
        </w:rPr>
        <w:t>presence</w:t>
      </w:r>
      <w:r>
        <w:rPr>
          <w:color w:val="211F1F"/>
          <w:spacing w:val="-5"/>
          <w:sz w:val="24"/>
        </w:rPr>
        <w:t xml:space="preserve"> </w:t>
      </w:r>
      <w:r>
        <w:rPr>
          <w:color w:val="211F1F"/>
          <w:sz w:val="24"/>
        </w:rPr>
        <w:t>or</w:t>
      </w:r>
      <w:r>
        <w:rPr>
          <w:color w:val="211F1F"/>
          <w:spacing w:val="2"/>
          <w:sz w:val="24"/>
        </w:rPr>
        <w:t xml:space="preserve"> </w:t>
      </w:r>
      <w:r>
        <w:rPr>
          <w:color w:val="211F1F"/>
          <w:sz w:val="24"/>
        </w:rPr>
        <w:t>absence</w:t>
      </w:r>
      <w:r>
        <w:rPr>
          <w:color w:val="211F1F"/>
          <w:spacing w:val="-5"/>
          <w:sz w:val="24"/>
        </w:rPr>
        <w:t xml:space="preserve"> </w:t>
      </w:r>
      <w:r>
        <w:rPr>
          <w:color w:val="211F1F"/>
          <w:sz w:val="24"/>
        </w:rPr>
        <w:t>of</w:t>
      </w:r>
      <w:r>
        <w:rPr>
          <w:color w:val="211F1F"/>
          <w:spacing w:val="-12"/>
          <w:sz w:val="24"/>
        </w:rPr>
        <w:t xml:space="preserve"> </w:t>
      </w:r>
      <w:r>
        <w:rPr>
          <w:color w:val="211F1F"/>
          <w:sz w:val="24"/>
        </w:rPr>
        <w:t>a</w:t>
      </w:r>
      <w:r>
        <w:rPr>
          <w:color w:val="211F1F"/>
          <w:spacing w:val="-6"/>
          <w:sz w:val="24"/>
        </w:rPr>
        <w:t xml:space="preserve"> </w:t>
      </w:r>
      <w:r>
        <w:rPr>
          <w:color w:val="211F1F"/>
          <w:sz w:val="24"/>
        </w:rPr>
        <w:t>Tender</w:t>
      </w:r>
      <w:r>
        <w:rPr>
          <w:color w:val="211F1F"/>
          <w:spacing w:val="-7"/>
          <w:sz w:val="24"/>
        </w:rPr>
        <w:t xml:space="preserve"> </w:t>
      </w:r>
      <w:r>
        <w:rPr>
          <w:color w:val="211F1F"/>
          <w:sz w:val="24"/>
        </w:rPr>
        <w:t>Security,</w:t>
      </w:r>
      <w:r>
        <w:rPr>
          <w:color w:val="211F1F"/>
          <w:spacing w:val="8"/>
          <w:sz w:val="24"/>
        </w:rPr>
        <w:t xml:space="preserve"> </w:t>
      </w:r>
      <w:r>
        <w:rPr>
          <w:color w:val="211F1F"/>
          <w:sz w:val="24"/>
        </w:rPr>
        <w:t>if</w:t>
      </w:r>
      <w:r>
        <w:rPr>
          <w:color w:val="211F1F"/>
          <w:spacing w:val="-13"/>
          <w:sz w:val="24"/>
        </w:rPr>
        <w:t xml:space="preserve"> </w:t>
      </w:r>
      <w:r>
        <w:rPr>
          <w:color w:val="211F1F"/>
          <w:sz w:val="24"/>
        </w:rPr>
        <w:t>one</w:t>
      </w:r>
      <w:r>
        <w:rPr>
          <w:color w:val="211F1F"/>
          <w:spacing w:val="-5"/>
          <w:sz w:val="24"/>
        </w:rPr>
        <w:t xml:space="preserve"> </w:t>
      </w:r>
      <w:r>
        <w:rPr>
          <w:color w:val="211F1F"/>
          <w:sz w:val="24"/>
        </w:rPr>
        <w:t>was</w:t>
      </w:r>
      <w:r>
        <w:rPr>
          <w:color w:val="211F1F"/>
          <w:spacing w:val="-1"/>
          <w:sz w:val="24"/>
        </w:rPr>
        <w:t xml:space="preserve"> </w:t>
      </w:r>
      <w:r>
        <w:rPr>
          <w:color w:val="211F1F"/>
          <w:spacing w:val="-2"/>
          <w:sz w:val="24"/>
        </w:rPr>
        <w:t>required.</w:t>
      </w:r>
    </w:p>
    <w:p w14:paraId="7A486A8E" w14:textId="77777777" w:rsidR="00BB77C0" w:rsidRDefault="00370BAA">
      <w:pPr>
        <w:pStyle w:val="ListParagraph"/>
        <w:numPr>
          <w:ilvl w:val="2"/>
          <w:numId w:val="86"/>
        </w:numPr>
        <w:tabs>
          <w:tab w:val="left" w:pos="2160"/>
        </w:tabs>
        <w:spacing w:line="275" w:lineRule="exact"/>
        <w:ind w:left="2160" w:hanging="359"/>
        <w:rPr>
          <w:sz w:val="24"/>
        </w:rPr>
      </w:pPr>
      <w:r>
        <w:rPr>
          <w:color w:val="211F1F"/>
          <w:sz w:val="24"/>
        </w:rPr>
        <w:t>number</w:t>
      </w:r>
      <w:r>
        <w:rPr>
          <w:color w:val="211F1F"/>
          <w:spacing w:val="1"/>
          <w:sz w:val="24"/>
        </w:rPr>
        <w:t xml:space="preserve"> </w:t>
      </w:r>
      <w:r>
        <w:rPr>
          <w:color w:val="211F1F"/>
          <w:sz w:val="24"/>
        </w:rPr>
        <w:t>of</w:t>
      </w:r>
      <w:r>
        <w:rPr>
          <w:color w:val="211F1F"/>
          <w:spacing w:val="-7"/>
          <w:sz w:val="24"/>
        </w:rPr>
        <w:t xml:space="preserve"> </w:t>
      </w:r>
      <w:r>
        <w:rPr>
          <w:color w:val="211F1F"/>
          <w:sz w:val="24"/>
        </w:rPr>
        <w:t>pages</w:t>
      </w:r>
      <w:r>
        <w:rPr>
          <w:color w:val="211F1F"/>
          <w:spacing w:val="-2"/>
          <w:sz w:val="24"/>
        </w:rPr>
        <w:t xml:space="preserve"> </w:t>
      </w:r>
      <w:r>
        <w:rPr>
          <w:color w:val="211F1F"/>
          <w:sz w:val="24"/>
        </w:rPr>
        <w:t>of</w:t>
      </w:r>
      <w:r>
        <w:rPr>
          <w:color w:val="211F1F"/>
          <w:spacing w:val="-8"/>
          <w:sz w:val="24"/>
        </w:rPr>
        <w:t xml:space="preserve"> </w:t>
      </w:r>
      <w:r>
        <w:rPr>
          <w:color w:val="211F1F"/>
          <w:sz w:val="24"/>
        </w:rPr>
        <w:t>each</w:t>
      </w:r>
      <w:r>
        <w:rPr>
          <w:color w:val="211F1F"/>
          <w:spacing w:val="-4"/>
          <w:sz w:val="24"/>
        </w:rPr>
        <w:t xml:space="preserve"> </w:t>
      </w:r>
      <w:r>
        <w:rPr>
          <w:color w:val="211F1F"/>
          <w:sz w:val="24"/>
        </w:rPr>
        <w:t>tender</w:t>
      </w:r>
      <w:r>
        <w:rPr>
          <w:color w:val="211F1F"/>
          <w:spacing w:val="2"/>
          <w:sz w:val="24"/>
        </w:rPr>
        <w:t xml:space="preserve"> </w:t>
      </w:r>
      <w:r>
        <w:rPr>
          <w:color w:val="211F1F"/>
          <w:sz w:val="24"/>
        </w:rPr>
        <w:t>document</w:t>
      </w:r>
      <w:r>
        <w:rPr>
          <w:color w:val="211F1F"/>
          <w:spacing w:val="6"/>
          <w:sz w:val="24"/>
        </w:rPr>
        <w:t xml:space="preserve"> </w:t>
      </w:r>
      <w:r>
        <w:rPr>
          <w:color w:val="211F1F"/>
          <w:spacing w:val="-2"/>
          <w:sz w:val="24"/>
        </w:rPr>
        <w:t>submitted.</w:t>
      </w:r>
    </w:p>
    <w:p w14:paraId="472CD002" w14:textId="77777777" w:rsidR="00BB77C0" w:rsidRDefault="00BB77C0">
      <w:pPr>
        <w:pStyle w:val="ListParagraph"/>
        <w:spacing w:line="275" w:lineRule="exact"/>
        <w:rPr>
          <w:sz w:val="24"/>
        </w:rPr>
        <w:sectPr w:rsidR="00BB77C0">
          <w:pgSz w:w="11930" w:h="16870"/>
          <w:pgMar w:top="1360" w:right="1080" w:bottom="280" w:left="1080" w:header="720" w:footer="720" w:gutter="0"/>
          <w:cols w:space="720"/>
        </w:sectPr>
      </w:pPr>
    </w:p>
    <w:p w14:paraId="1D34B179" w14:textId="77777777" w:rsidR="00BB77C0" w:rsidRDefault="00370BAA">
      <w:pPr>
        <w:pStyle w:val="ListParagraph"/>
        <w:numPr>
          <w:ilvl w:val="1"/>
          <w:numId w:val="86"/>
        </w:numPr>
        <w:tabs>
          <w:tab w:val="left" w:pos="1441"/>
        </w:tabs>
        <w:spacing w:before="75" w:line="259" w:lineRule="auto"/>
        <w:ind w:left="1441" w:right="50"/>
        <w:jc w:val="left"/>
        <w:rPr>
          <w:color w:val="211F1F"/>
          <w:sz w:val="24"/>
        </w:rPr>
      </w:pPr>
      <w:r>
        <w:rPr>
          <w:color w:val="211F1F"/>
          <w:sz w:val="24"/>
        </w:rPr>
        <w:lastRenderedPageBreak/>
        <w:t>The</w:t>
      </w:r>
      <w:r>
        <w:rPr>
          <w:color w:val="211F1F"/>
          <w:spacing w:val="-1"/>
          <w:sz w:val="24"/>
        </w:rPr>
        <w:t xml:space="preserve"> </w:t>
      </w:r>
      <w:r>
        <w:rPr>
          <w:color w:val="211F1F"/>
          <w:sz w:val="24"/>
        </w:rPr>
        <w:t>Tenderers'</w:t>
      </w:r>
      <w:r>
        <w:rPr>
          <w:color w:val="211F1F"/>
          <w:spacing w:val="-5"/>
          <w:sz w:val="24"/>
        </w:rPr>
        <w:t xml:space="preserve"> </w:t>
      </w:r>
      <w:r>
        <w:rPr>
          <w:color w:val="211F1F"/>
          <w:sz w:val="24"/>
        </w:rPr>
        <w:t>representatives</w:t>
      </w:r>
      <w:r>
        <w:rPr>
          <w:color w:val="211F1F"/>
          <w:spacing w:val="-2"/>
          <w:sz w:val="24"/>
        </w:rPr>
        <w:t xml:space="preserve"> </w:t>
      </w:r>
      <w:r>
        <w:rPr>
          <w:color w:val="211F1F"/>
          <w:sz w:val="24"/>
        </w:rPr>
        <w:t>who are</w:t>
      </w:r>
      <w:r>
        <w:rPr>
          <w:color w:val="211F1F"/>
          <w:spacing w:val="-1"/>
          <w:sz w:val="24"/>
        </w:rPr>
        <w:t xml:space="preserve"> </w:t>
      </w:r>
      <w:r>
        <w:rPr>
          <w:color w:val="211F1F"/>
          <w:sz w:val="24"/>
        </w:rPr>
        <w:t>present shall</w:t>
      </w:r>
      <w:r>
        <w:rPr>
          <w:color w:val="211F1F"/>
          <w:spacing w:val="-4"/>
          <w:sz w:val="24"/>
        </w:rPr>
        <w:t xml:space="preserve"> </w:t>
      </w:r>
      <w:r>
        <w:rPr>
          <w:color w:val="211F1F"/>
          <w:sz w:val="24"/>
        </w:rPr>
        <w:t>be</w:t>
      </w:r>
      <w:r>
        <w:rPr>
          <w:color w:val="211F1F"/>
          <w:spacing w:val="-1"/>
          <w:sz w:val="24"/>
        </w:rPr>
        <w:t xml:space="preserve"> </w:t>
      </w:r>
      <w:r>
        <w:rPr>
          <w:color w:val="211F1F"/>
          <w:sz w:val="24"/>
        </w:rPr>
        <w:t>requested to sign the minutes. The</w:t>
      </w:r>
      <w:r>
        <w:rPr>
          <w:color w:val="211F1F"/>
          <w:spacing w:val="-7"/>
          <w:sz w:val="24"/>
        </w:rPr>
        <w:t xml:space="preserve"> </w:t>
      </w:r>
      <w:r>
        <w:rPr>
          <w:color w:val="211F1F"/>
          <w:sz w:val="24"/>
        </w:rPr>
        <w:t>omission</w:t>
      </w:r>
      <w:r>
        <w:rPr>
          <w:color w:val="211F1F"/>
          <w:spacing w:val="-4"/>
          <w:sz w:val="24"/>
        </w:rPr>
        <w:t xml:space="preserve"> </w:t>
      </w:r>
      <w:r>
        <w:rPr>
          <w:color w:val="211F1F"/>
          <w:sz w:val="24"/>
        </w:rPr>
        <w:t>of</w:t>
      </w:r>
      <w:r>
        <w:rPr>
          <w:color w:val="211F1F"/>
          <w:spacing w:val="-14"/>
          <w:sz w:val="24"/>
        </w:rPr>
        <w:t xml:space="preserve"> </w:t>
      </w:r>
      <w:r>
        <w:rPr>
          <w:color w:val="211F1F"/>
          <w:sz w:val="24"/>
        </w:rPr>
        <w:t>a</w:t>
      </w:r>
      <w:r>
        <w:rPr>
          <w:color w:val="211F1F"/>
          <w:spacing w:val="-6"/>
          <w:sz w:val="24"/>
        </w:rPr>
        <w:t xml:space="preserve"> </w:t>
      </w:r>
      <w:r>
        <w:rPr>
          <w:color w:val="211F1F"/>
          <w:sz w:val="24"/>
        </w:rPr>
        <w:t>Tenderer's</w:t>
      </w:r>
      <w:r>
        <w:rPr>
          <w:color w:val="211F1F"/>
          <w:spacing w:val="-2"/>
          <w:sz w:val="24"/>
        </w:rPr>
        <w:t xml:space="preserve"> </w:t>
      </w:r>
      <w:r>
        <w:rPr>
          <w:color w:val="211F1F"/>
          <w:sz w:val="24"/>
        </w:rPr>
        <w:t>signature</w:t>
      </w:r>
      <w:r>
        <w:rPr>
          <w:color w:val="211F1F"/>
          <w:spacing w:val="-5"/>
          <w:sz w:val="24"/>
        </w:rPr>
        <w:t xml:space="preserve"> </w:t>
      </w:r>
      <w:r>
        <w:rPr>
          <w:color w:val="211F1F"/>
          <w:sz w:val="24"/>
        </w:rPr>
        <w:t>on</w:t>
      </w:r>
      <w:r>
        <w:rPr>
          <w:color w:val="211F1F"/>
          <w:spacing w:val="-11"/>
          <w:sz w:val="24"/>
        </w:rPr>
        <w:t xml:space="preserve"> </w:t>
      </w:r>
      <w:r>
        <w:rPr>
          <w:color w:val="211F1F"/>
          <w:sz w:val="24"/>
        </w:rPr>
        <w:t>the</w:t>
      </w:r>
      <w:r>
        <w:rPr>
          <w:color w:val="211F1F"/>
          <w:spacing w:val="-1"/>
          <w:sz w:val="24"/>
        </w:rPr>
        <w:t xml:space="preserve"> </w:t>
      </w:r>
      <w:r>
        <w:rPr>
          <w:color w:val="211F1F"/>
          <w:sz w:val="24"/>
        </w:rPr>
        <w:t>minutes</w:t>
      </w:r>
      <w:r>
        <w:rPr>
          <w:color w:val="211F1F"/>
          <w:spacing w:val="-3"/>
          <w:sz w:val="24"/>
        </w:rPr>
        <w:t xml:space="preserve"> </w:t>
      </w:r>
      <w:r>
        <w:rPr>
          <w:color w:val="211F1F"/>
          <w:sz w:val="24"/>
        </w:rPr>
        <w:t>shall</w:t>
      </w:r>
      <w:r>
        <w:rPr>
          <w:color w:val="211F1F"/>
          <w:spacing w:val="-4"/>
          <w:sz w:val="24"/>
        </w:rPr>
        <w:t xml:space="preserve"> </w:t>
      </w:r>
      <w:r>
        <w:rPr>
          <w:color w:val="211F1F"/>
          <w:sz w:val="24"/>
        </w:rPr>
        <w:t>not invalidate</w:t>
      </w:r>
      <w:r>
        <w:rPr>
          <w:color w:val="211F1F"/>
          <w:spacing w:val="-6"/>
          <w:sz w:val="24"/>
        </w:rPr>
        <w:t xml:space="preserve"> </w:t>
      </w:r>
      <w:r>
        <w:rPr>
          <w:color w:val="211F1F"/>
          <w:sz w:val="24"/>
        </w:rPr>
        <w:t>the</w:t>
      </w:r>
      <w:r>
        <w:rPr>
          <w:color w:val="211F1F"/>
          <w:spacing w:val="-7"/>
          <w:sz w:val="24"/>
        </w:rPr>
        <w:t xml:space="preserve"> </w:t>
      </w:r>
      <w:r>
        <w:rPr>
          <w:color w:val="211F1F"/>
          <w:sz w:val="24"/>
        </w:rPr>
        <w:t>contents and effect of the minutes. A copy</w:t>
      </w:r>
      <w:r>
        <w:rPr>
          <w:color w:val="211F1F"/>
          <w:spacing w:val="-2"/>
          <w:sz w:val="24"/>
        </w:rPr>
        <w:t xml:space="preserve"> </w:t>
      </w:r>
      <w:r>
        <w:rPr>
          <w:color w:val="211F1F"/>
          <w:sz w:val="24"/>
        </w:rPr>
        <w:t>of tender opening register shall be issued to a tenderer upon request.</w:t>
      </w:r>
    </w:p>
    <w:p w14:paraId="09893325" w14:textId="77777777" w:rsidR="00BB77C0" w:rsidRDefault="00370BAA">
      <w:pPr>
        <w:pStyle w:val="Heading4"/>
        <w:numPr>
          <w:ilvl w:val="0"/>
          <w:numId w:val="110"/>
        </w:numPr>
        <w:tabs>
          <w:tab w:val="left" w:pos="325"/>
        </w:tabs>
        <w:spacing w:before="250"/>
        <w:ind w:left="325" w:hanging="325"/>
        <w:jc w:val="left"/>
      </w:pPr>
      <w:bookmarkStart w:id="68" w:name="E._Evaluation_and_Comparison_of_Tenders"/>
      <w:bookmarkStart w:id="69" w:name="_bookmark33"/>
      <w:bookmarkEnd w:id="68"/>
      <w:bookmarkEnd w:id="69"/>
      <w:r>
        <w:t>Evaluation</w:t>
      </w:r>
      <w:r>
        <w:rPr>
          <w:spacing w:val="-14"/>
        </w:rPr>
        <w:t xml:space="preserve"> </w:t>
      </w:r>
      <w:r>
        <w:t>and</w:t>
      </w:r>
      <w:r>
        <w:rPr>
          <w:spacing w:val="-11"/>
        </w:rPr>
        <w:t xml:space="preserve"> </w:t>
      </w:r>
      <w:r>
        <w:t>Comparison</w:t>
      </w:r>
      <w:r>
        <w:rPr>
          <w:spacing w:val="-10"/>
        </w:rPr>
        <w:t xml:space="preserve"> </w:t>
      </w:r>
      <w:r>
        <w:t>of</w:t>
      </w:r>
      <w:r>
        <w:rPr>
          <w:spacing w:val="-7"/>
        </w:rPr>
        <w:t xml:space="preserve"> </w:t>
      </w:r>
      <w:r>
        <w:rPr>
          <w:spacing w:val="-2"/>
        </w:rPr>
        <w:t>Tenders</w:t>
      </w:r>
    </w:p>
    <w:p w14:paraId="6F7BD127" w14:textId="77777777" w:rsidR="00BB77C0" w:rsidRDefault="00370BAA">
      <w:pPr>
        <w:pStyle w:val="Heading6"/>
        <w:numPr>
          <w:ilvl w:val="1"/>
          <w:numId w:val="85"/>
        </w:numPr>
        <w:tabs>
          <w:tab w:val="left" w:pos="720"/>
        </w:tabs>
        <w:spacing w:before="262"/>
        <w:ind w:hanging="720"/>
        <w:jc w:val="left"/>
      </w:pPr>
      <w:bookmarkStart w:id="70" w:name="28.0_Confidentiality"/>
      <w:bookmarkStart w:id="71" w:name="_bookmark34"/>
      <w:bookmarkEnd w:id="70"/>
      <w:bookmarkEnd w:id="71"/>
      <w:r>
        <w:rPr>
          <w:spacing w:val="-2"/>
        </w:rPr>
        <w:t>Confidentiality</w:t>
      </w:r>
    </w:p>
    <w:p w14:paraId="7C13C6A4" w14:textId="77777777" w:rsidR="00BB77C0" w:rsidRDefault="00370BAA">
      <w:pPr>
        <w:pStyle w:val="ListParagraph"/>
        <w:numPr>
          <w:ilvl w:val="1"/>
          <w:numId w:val="85"/>
        </w:numPr>
        <w:tabs>
          <w:tab w:val="left" w:pos="1441"/>
        </w:tabs>
        <w:spacing w:before="75" w:line="259" w:lineRule="auto"/>
        <w:ind w:left="1441" w:right="518"/>
        <w:jc w:val="left"/>
        <w:rPr>
          <w:color w:val="211F1F"/>
          <w:sz w:val="24"/>
        </w:rPr>
      </w:pPr>
      <w:r>
        <w:rPr>
          <w:color w:val="211F1F"/>
          <w:sz w:val="24"/>
        </w:rPr>
        <w:t>Information</w:t>
      </w:r>
      <w:r>
        <w:rPr>
          <w:color w:val="211F1F"/>
          <w:spacing w:val="-10"/>
          <w:sz w:val="24"/>
        </w:rPr>
        <w:t xml:space="preserve"> </w:t>
      </w:r>
      <w:r>
        <w:rPr>
          <w:color w:val="211F1F"/>
          <w:sz w:val="24"/>
        </w:rPr>
        <w:t>relating</w:t>
      </w:r>
      <w:r>
        <w:rPr>
          <w:color w:val="211F1F"/>
          <w:spacing w:val="-5"/>
          <w:sz w:val="24"/>
        </w:rPr>
        <w:t xml:space="preserve"> </w:t>
      </w:r>
      <w:r>
        <w:rPr>
          <w:color w:val="211F1F"/>
          <w:sz w:val="24"/>
        </w:rPr>
        <w:t>to</w:t>
      </w:r>
      <w:r>
        <w:rPr>
          <w:color w:val="211F1F"/>
          <w:spacing w:val="-7"/>
          <w:sz w:val="24"/>
        </w:rPr>
        <w:t xml:space="preserve"> </w:t>
      </w:r>
      <w:r>
        <w:rPr>
          <w:color w:val="211F1F"/>
          <w:sz w:val="24"/>
        </w:rPr>
        <w:t>the</w:t>
      </w:r>
      <w:r>
        <w:rPr>
          <w:color w:val="211F1F"/>
          <w:spacing w:val="-8"/>
          <w:sz w:val="24"/>
        </w:rPr>
        <w:t xml:space="preserve"> </w:t>
      </w:r>
      <w:r>
        <w:rPr>
          <w:color w:val="211F1F"/>
          <w:sz w:val="24"/>
        </w:rPr>
        <w:t>evaluation</w:t>
      </w:r>
      <w:r>
        <w:rPr>
          <w:color w:val="211F1F"/>
          <w:spacing w:val="-10"/>
          <w:sz w:val="24"/>
        </w:rPr>
        <w:t xml:space="preserve"> </w:t>
      </w:r>
      <w:r>
        <w:rPr>
          <w:color w:val="211F1F"/>
          <w:sz w:val="24"/>
        </w:rPr>
        <w:t>of</w:t>
      </w:r>
      <w:r>
        <w:rPr>
          <w:color w:val="211F1F"/>
          <w:spacing w:val="-15"/>
          <w:sz w:val="24"/>
        </w:rPr>
        <w:t xml:space="preserve"> </w:t>
      </w:r>
      <w:r>
        <w:rPr>
          <w:color w:val="211F1F"/>
          <w:sz w:val="24"/>
        </w:rPr>
        <w:t>Tenders</w:t>
      </w:r>
      <w:r>
        <w:rPr>
          <w:color w:val="211F1F"/>
          <w:spacing w:val="-13"/>
          <w:sz w:val="24"/>
        </w:rPr>
        <w:t xml:space="preserve"> </w:t>
      </w:r>
      <w:r>
        <w:rPr>
          <w:color w:val="211F1F"/>
          <w:sz w:val="24"/>
        </w:rPr>
        <w:t>and</w:t>
      </w:r>
      <w:r>
        <w:rPr>
          <w:color w:val="211F1F"/>
          <w:spacing w:val="-7"/>
          <w:sz w:val="24"/>
        </w:rPr>
        <w:t xml:space="preserve"> </w:t>
      </w:r>
      <w:r>
        <w:rPr>
          <w:color w:val="211F1F"/>
          <w:sz w:val="24"/>
        </w:rPr>
        <w:t>recommendation</w:t>
      </w:r>
      <w:r>
        <w:rPr>
          <w:color w:val="211F1F"/>
          <w:spacing w:val="-9"/>
          <w:sz w:val="24"/>
        </w:rPr>
        <w:t xml:space="preserve"> </w:t>
      </w:r>
      <w:r>
        <w:rPr>
          <w:color w:val="211F1F"/>
          <w:sz w:val="24"/>
        </w:rPr>
        <w:t>of</w:t>
      </w:r>
      <w:r>
        <w:rPr>
          <w:color w:val="211F1F"/>
          <w:spacing w:val="-15"/>
          <w:sz w:val="24"/>
        </w:rPr>
        <w:t xml:space="preserve"> </w:t>
      </w:r>
      <w:r>
        <w:rPr>
          <w:color w:val="211F1F"/>
          <w:sz w:val="24"/>
        </w:rPr>
        <w:t>contract award shall not be disclosed to Tenderers or any</w:t>
      </w:r>
      <w:r>
        <w:rPr>
          <w:color w:val="211F1F"/>
          <w:spacing w:val="-1"/>
          <w:sz w:val="24"/>
        </w:rPr>
        <w:t xml:space="preserve"> </w:t>
      </w:r>
      <w:r>
        <w:rPr>
          <w:color w:val="211F1F"/>
          <w:sz w:val="24"/>
        </w:rPr>
        <w:t>other persons not officially concerned with the Tender process until information on Intention to Award the Contract is transmitted to all Tenderers in accordance with ITT 43.</w:t>
      </w:r>
    </w:p>
    <w:p w14:paraId="1DB87CFD" w14:textId="77777777" w:rsidR="00BB77C0" w:rsidRDefault="00370BAA">
      <w:pPr>
        <w:pStyle w:val="ListParagraph"/>
        <w:numPr>
          <w:ilvl w:val="1"/>
          <w:numId w:val="85"/>
        </w:numPr>
        <w:tabs>
          <w:tab w:val="left" w:pos="1441"/>
        </w:tabs>
        <w:spacing w:before="161" w:line="259" w:lineRule="auto"/>
        <w:ind w:left="1441" w:right="487"/>
        <w:jc w:val="left"/>
        <w:rPr>
          <w:color w:val="211F1F"/>
          <w:sz w:val="24"/>
        </w:rPr>
      </w:pPr>
      <w:r>
        <w:rPr>
          <w:color w:val="211F1F"/>
          <w:sz w:val="24"/>
        </w:rPr>
        <w:t>Any</w:t>
      </w:r>
      <w:r>
        <w:rPr>
          <w:color w:val="211F1F"/>
          <w:spacing w:val="-11"/>
          <w:sz w:val="24"/>
        </w:rPr>
        <w:t xml:space="preserve"> </w:t>
      </w:r>
      <w:r>
        <w:rPr>
          <w:color w:val="211F1F"/>
          <w:sz w:val="24"/>
        </w:rPr>
        <w:t>effort by</w:t>
      </w:r>
      <w:r>
        <w:rPr>
          <w:color w:val="211F1F"/>
          <w:spacing w:val="-11"/>
          <w:sz w:val="24"/>
        </w:rPr>
        <w:t xml:space="preserve"> </w:t>
      </w:r>
      <w:r>
        <w:rPr>
          <w:color w:val="211F1F"/>
          <w:sz w:val="24"/>
        </w:rPr>
        <w:t>a</w:t>
      </w:r>
      <w:r>
        <w:rPr>
          <w:color w:val="211F1F"/>
          <w:spacing w:val="-7"/>
          <w:sz w:val="24"/>
        </w:rPr>
        <w:t xml:space="preserve"> </w:t>
      </w:r>
      <w:r>
        <w:rPr>
          <w:color w:val="211F1F"/>
          <w:sz w:val="24"/>
        </w:rPr>
        <w:t>Tenderer to</w:t>
      </w:r>
      <w:r>
        <w:rPr>
          <w:color w:val="211F1F"/>
          <w:spacing w:val="-2"/>
          <w:sz w:val="24"/>
        </w:rPr>
        <w:t xml:space="preserve"> </w:t>
      </w:r>
      <w:r>
        <w:rPr>
          <w:color w:val="211F1F"/>
          <w:sz w:val="24"/>
        </w:rPr>
        <w:t>influence</w:t>
      </w:r>
      <w:r>
        <w:rPr>
          <w:color w:val="211F1F"/>
          <w:spacing w:val="-6"/>
          <w:sz w:val="24"/>
        </w:rPr>
        <w:t xml:space="preserve"> </w:t>
      </w:r>
      <w:r>
        <w:rPr>
          <w:color w:val="211F1F"/>
          <w:sz w:val="24"/>
        </w:rPr>
        <w:t>the</w:t>
      </w:r>
      <w:r>
        <w:rPr>
          <w:color w:val="211F1F"/>
          <w:spacing w:val="-7"/>
          <w:sz w:val="24"/>
        </w:rPr>
        <w:t xml:space="preserve"> </w:t>
      </w:r>
      <w:r>
        <w:rPr>
          <w:color w:val="211F1F"/>
          <w:sz w:val="24"/>
        </w:rPr>
        <w:t>Procuring</w:t>
      </w:r>
      <w:r>
        <w:rPr>
          <w:color w:val="211F1F"/>
          <w:spacing w:val="-1"/>
          <w:sz w:val="24"/>
        </w:rPr>
        <w:t xml:space="preserve"> </w:t>
      </w:r>
      <w:r>
        <w:rPr>
          <w:color w:val="211F1F"/>
          <w:sz w:val="24"/>
        </w:rPr>
        <w:t>Entity</w:t>
      </w:r>
      <w:r>
        <w:rPr>
          <w:color w:val="211F1F"/>
          <w:spacing w:val="-5"/>
          <w:sz w:val="24"/>
        </w:rPr>
        <w:t xml:space="preserve"> </w:t>
      </w:r>
      <w:r>
        <w:rPr>
          <w:color w:val="211F1F"/>
          <w:sz w:val="24"/>
        </w:rPr>
        <w:t>in</w:t>
      </w:r>
      <w:r>
        <w:rPr>
          <w:color w:val="211F1F"/>
          <w:spacing w:val="-6"/>
          <w:sz w:val="24"/>
        </w:rPr>
        <w:t xml:space="preserve"> </w:t>
      </w:r>
      <w:r>
        <w:rPr>
          <w:color w:val="211F1F"/>
          <w:sz w:val="24"/>
        </w:rPr>
        <w:t>the</w:t>
      </w:r>
      <w:r>
        <w:rPr>
          <w:color w:val="211F1F"/>
          <w:spacing w:val="-7"/>
          <w:sz w:val="24"/>
        </w:rPr>
        <w:t xml:space="preserve"> </w:t>
      </w:r>
      <w:r>
        <w:rPr>
          <w:color w:val="211F1F"/>
          <w:sz w:val="24"/>
        </w:rPr>
        <w:t>evaluation</w:t>
      </w:r>
      <w:r>
        <w:rPr>
          <w:color w:val="211F1F"/>
          <w:spacing w:val="-5"/>
          <w:sz w:val="24"/>
        </w:rPr>
        <w:t xml:space="preserve"> </w:t>
      </w:r>
      <w:r>
        <w:rPr>
          <w:color w:val="211F1F"/>
          <w:sz w:val="24"/>
        </w:rPr>
        <w:t>of</w:t>
      </w:r>
      <w:r>
        <w:rPr>
          <w:color w:val="211F1F"/>
          <w:spacing w:val="-14"/>
          <w:sz w:val="24"/>
        </w:rPr>
        <w:t xml:space="preserve"> </w:t>
      </w:r>
      <w:r>
        <w:rPr>
          <w:color w:val="211F1F"/>
          <w:sz w:val="24"/>
        </w:rPr>
        <w:t>the Tenders</w:t>
      </w:r>
      <w:r>
        <w:rPr>
          <w:color w:val="211F1F"/>
          <w:spacing w:val="-1"/>
          <w:sz w:val="24"/>
        </w:rPr>
        <w:t xml:space="preserve"> </w:t>
      </w:r>
      <w:r>
        <w:rPr>
          <w:color w:val="211F1F"/>
          <w:sz w:val="24"/>
        </w:rPr>
        <w:t>or Contract award decisions may</w:t>
      </w:r>
      <w:r>
        <w:rPr>
          <w:color w:val="211F1F"/>
          <w:spacing w:val="-5"/>
          <w:sz w:val="24"/>
        </w:rPr>
        <w:t xml:space="preserve"> </w:t>
      </w:r>
      <w:r>
        <w:rPr>
          <w:color w:val="211F1F"/>
          <w:sz w:val="24"/>
        </w:rPr>
        <w:t>result in the rejection of its tender.</w:t>
      </w:r>
    </w:p>
    <w:p w14:paraId="499FAFAE" w14:textId="77777777" w:rsidR="00BB77C0" w:rsidRDefault="00370BAA">
      <w:pPr>
        <w:pStyle w:val="ListParagraph"/>
        <w:numPr>
          <w:ilvl w:val="1"/>
          <w:numId w:val="85"/>
        </w:numPr>
        <w:tabs>
          <w:tab w:val="left" w:pos="1441"/>
        </w:tabs>
        <w:spacing w:before="159" w:line="259" w:lineRule="auto"/>
        <w:ind w:left="1441" w:right="79"/>
        <w:jc w:val="left"/>
        <w:rPr>
          <w:color w:val="211F1F"/>
          <w:sz w:val="24"/>
        </w:rPr>
      </w:pPr>
      <w:r>
        <w:rPr>
          <w:color w:val="211F1F"/>
          <w:sz w:val="24"/>
        </w:rPr>
        <w:t>Notwithstanding ITT 26.2, from the time of tender opening to the time of contract award, if</w:t>
      </w:r>
      <w:r>
        <w:rPr>
          <w:color w:val="211F1F"/>
          <w:spacing w:val="-10"/>
          <w:sz w:val="24"/>
        </w:rPr>
        <w:t xml:space="preserve"> </w:t>
      </w:r>
      <w:r>
        <w:rPr>
          <w:color w:val="211F1F"/>
          <w:sz w:val="24"/>
        </w:rPr>
        <w:t>a</w:t>
      </w:r>
      <w:r>
        <w:rPr>
          <w:color w:val="211F1F"/>
          <w:spacing w:val="-8"/>
          <w:sz w:val="24"/>
        </w:rPr>
        <w:t xml:space="preserve"> </w:t>
      </w:r>
      <w:r>
        <w:rPr>
          <w:color w:val="211F1F"/>
          <w:sz w:val="24"/>
        </w:rPr>
        <w:t>tenderer wishes</w:t>
      </w:r>
      <w:r>
        <w:rPr>
          <w:color w:val="211F1F"/>
          <w:spacing w:val="-4"/>
          <w:sz w:val="24"/>
        </w:rPr>
        <w:t xml:space="preserve"> </w:t>
      </w:r>
      <w:r>
        <w:rPr>
          <w:color w:val="211F1F"/>
          <w:sz w:val="24"/>
        </w:rPr>
        <w:t>to</w:t>
      </w:r>
      <w:r>
        <w:rPr>
          <w:color w:val="211F1F"/>
          <w:spacing w:val="-2"/>
          <w:sz w:val="24"/>
        </w:rPr>
        <w:t xml:space="preserve"> </w:t>
      </w:r>
      <w:r>
        <w:rPr>
          <w:color w:val="211F1F"/>
          <w:sz w:val="24"/>
        </w:rPr>
        <w:t>contact</w:t>
      </w:r>
      <w:r>
        <w:rPr>
          <w:color w:val="211F1F"/>
          <w:spacing w:val="-5"/>
          <w:sz w:val="24"/>
        </w:rPr>
        <w:t xml:space="preserve"> </w:t>
      </w:r>
      <w:r>
        <w:rPr>
          <w:color w:val="211F1F"/>
          <w:sz w:val="24"/>
        </w:rPr>
        <w:t>the</w:t>
      </w:r>
      <w:r>
        <w:rPr>
          <w:color w:val="211F1F"/>
          <w:spacing w:val="-8"/>
          <w:sz w:val="24"/>
        </w:rPr>
        <w:t xml:space="preserve"> </w:t>
      </w:r>
      <w:r>
        <w:rPr>
          <w:color w:val="211F1F"/>
          <w:sz w:val="24"/>
        </w:rPr>
        <w:t>Procuring</w:t>
      </w:r>
      <w:r>
        <w:rPr>
          <w:color w:val="211F1F"/>
          <w:spacing w:val="-1"/>
          <w:sz w:val="24"/>
        </w:rPr>
        <w:t xml:space="preserve"> </w:t>
      </w:r>
      <w:r>
        <w:rPr>
          <w:color w:val="211F1F"/>
          <w:sz w:val="24"/>
        </w:rPr>
        <w:t>Entity</w:t>
      </w:r>
      <w:r>
        <w:rPr>
          <w:color w:val="211F1F"/>
          <w:spacing w:val="-10"/>
          <w:sz w:val="24"/>
        </w:rPr>
        <w:t xml:space="preserve"> </w:t>
      </w:r>
      <w:r>
        <w:rPr>
          <w:color w:val="211F1F"/>
          <w:sz w:val="24"/>
        </w:rPr>
        <w:t>on</w:t>
      </w:r>
      <w:r>
        <w:rPr>
          <w:color w:val="211F1F"/>
          <w:spacing w:val="-7"/>
          <w:sz w:val="24"/>
        </w:rPr>
        <w:t xml:space="preserve"> </w:t>
      </w:r>
      <w:r>
        <w:rPr>
          <w:color w:val="211F1F"/>
          <w:sz w:val="24"/>
        </w:rPr>
        <w:t>any</w:t>
      </w:r>
      <w:r>
        <w:rPr>
          <w:color w:val="211F1F"/>
          <w:spacing w:val="-7"/>
          <w:sz w:val="24"/>
        </w:rPr>
        <w:t xml:space="preserve"> </w:t>
      </w:r>
      <w:r>
        <w:rPr>
          <w:color w:val="211F1F"/>
          <w:sz w:val="24"/>
        </w:rPr>
        <w:t>matter</w:t>
      </w:r>
      <w:r>
        <w:rPr>
          <w:color w:val="211F1F"/>
          <w:spacing w:val="-4"/>
          <w:sz w:val="24"/>
        </w:rPr>
        <w:t xml:space="preserve"> </w:t>
      </w:r>
      <w:r>
        <w:rPr>
          <w:color w:val="211F1F"/>
          <w:sz w:val="24"/>
        </w:rPr>
        <w:t>related</w:t>
      </w:r>
      <w:r>
        <w:rPr>
          <w:color w:val="211F1F"/>
          <w:spacing w:val="-6"/>
          <w:sz w:val="24"/>
        </w:rPr>
        <w:t xml:space="preserve"> </w:t>
      </w:r>
      <w:r>
        <w:rPr>
          <w:color w:val="211F1F"/>
          <w:sz w:val="24"/>
        </w:rPr>
        <w:t>to</w:t>
      </w:r>
      <w:r>
        <w:rPr>
          <w:color w:val="211F1F"/>
          <w:spacing w:val="-6"/>
          <w:sz w:val="24"/>
        </w:rPr>
        <w:t xml:space="preserve"> </w:t>
      </w:r>
      <w:r>
        <w:rPr>
          <w:color w:val="211F1F"/>
          <w:sz w:val="24"/>
        </w:rPr>
        <w:t>the tendering process, it shall do so in writing.</w:t>
      </w:r>
    </w:p>
    <w:p w14:paraId="0E2381C7" w14:textId="77777777" w:rsidR="00BB77C0" w:rsidRDefault="00370BAA">
      <w:pPr>
        <w:pStyle w:val="Heading6"/>
        <w:numPr>
          <w:ilvl w:val="1"/>
          <w:numId w:val="84"/>
        </w:numPr>
        <w:tabs>
          <w:tab w:val="left" w:pos="720"/>
        </w:tabs>
        <w:spacing w:before="243"/>
        <w:ind w:hanging="720"/>
        <w:jc w:val="left"/>
      </w:pPr>
      <w:bookmarkStart w:id="72" w:name="29.0_Clarification_of_Tenders"/>
      <w:bookmarkStart w:id="73" w:name="_bookmark35"/>
      <w:bookmarkEnd w:id="72"/>
      <w:bookmarkEnd w:id="73"/>
      <w:r>
        <w:t>Clarification</w:t>
      </w:r>
      <w:r>
        <w:rPr>
          <w:spacing w:val="-9"/>
        </w:rPr>
        <w:t xml:space="preserve"> </w:t>
      </w:r>
      <w:r>
        <w:t>of</w:t>
      </w:r>
      <w:r>
        <w:rPr>
          <w:spacing w:val="-13"/>
        </w:rPr>
        <w:t xml:space="preserve"> </w:t>
      </w:r>
      <w:r>
        <w:rPr>
          <w:spacing w:val="-2"/>
        </w:rPr>
        <w:t>Tenders</w:t>
      </w:r>
    </w:p>
    <w:p w14:paraId="0336616D" w14:textId="77777777" w:rsidR="00BB77C0" w:rsidRDefault="00370BAA">
      <w:pPr>
        <w:pStyle w:val="ListParagraph"/>
        <w:numPr>
          <w:ilvl w:val="1"/>
          <w:numId w:val="84"/>
        </w:numPr>
        <w:tabs>
          <w:tab w:val="left" w:pos="1441"/>
        </w:tabs>
        <w:spacing w:before="84" w:line="259" w:lineRule="auto"/>
        <w:ind w:left="1441" w:right="187"/>
        <w:jc w:val="left"/>
        <w:rPr>
          <w:color w:val="211F1F"/>
          <w:sz w:val="24"/>
        </w:rPr>
      </w:pPr>
      <w:r>
        <w:rPr>
          <w:color w:val="211F1F"/>
          <w:sz w:val="24"/>
        </w:rPr>
        <w:t>To assist in the examination, evaluation, and comparison of the tenders, and qualification of the tenderers, the Procuring Entity may, at its discretion, ask any tenderer for a clarification</w:t>
      </w:r>
      <w:r>
        <w:rPr>
          <w:color w:val="211F1F"/>
          <w:spacing w:val="-1"/>
          <w:sz w:val="24"/>
        </w:rPr>
        <w:t xml:space="preserve"> </w:t>
      </w:r>
      <w:r>
        <w:rPr>
          <w:color w:val="211F1F"/>
          <w:sz w:val="24"/>
        </w:rPr>
        <w:t>of its tender, given</w:t>
      </w:r>
      <w:r>
        <w:rPr>
          <w:color w:val="211F1F"/>
          <w:spacing w:val="-1"/>
          <w:sz w:val="24"/>
        </w:rPr>
        <w:t xml:space="preserve"> </w:t>
      </w:r>
      <w:r>
        <w:rPr>
          <w:color w:val="211F1F"/>
          <w:sz w:val="24"/>
        </w:rPr>
        <w:t>a reasonable time for a response. Any clarification submitted by a tenderer that is not in response to a request by the Procuring Entity shall not be considered. The Procuring Entity's request for clarification</w:t>
      </w:r>
      <w:r>
        <w:rPr>
          <w:color w:val="211F1F"/>
          <w:spacing w:val="-11"/>
          <w:sz w:val="24"/>
        </w:rPr>
        <w:t xml:space="preserve"> </w:t>
      </w:r>
      <w:r>
        <w:rPr>
          <w:color w:val="211F1F"/>
          <w:sz w:val="24"/>
        </w:rPr>
        <w:t>and</w:t>
      </w:r>
      <w:r>
        <w:rPr>
          <w:color w:val="211F1F"/>
          <w:spacing w:val="-8"/>
          <w:sz w:val="24"/>
        </w:rPr>
        <w:t xml:space="preserve"> </w:t>
      </w:r>
      <w:r>
        <w:rPr>
          <w:color w:val="211F1F"/>
          <w:sz w:val="24"/>
        </w:rPr>
        <w:t>the</w:t>
      </w:r>
      <w:r>
        <w:rPr>
          <w:color w:val="211F1F"/>
          <w:spacing w:val="-8"/>
          <w:sz w:val="24"/>
        </w:rPr>
        <w:t xml:space="preserve"> </w:t>
      </w:r>
      <w:r>
        <w:rPr>
          <w:color w:val="211F1F"/>
          <w:sz w:val="24"/>
        </w:rPr>
        <w:t>response</w:t>
      </w:r>
      <w:r>
        <w:rPr>
          <w:color w:val="211F1F"/>
          <w:spacing w:val="-8"/>
          <w:sz w:val="24"/>
        </w:rPr>
        <w:t xml:space="preserve"> </w:t>
      </w:r>
      <w:r>
        <w:rPr>
          <w:color w:val="211F1F"/>
          <w:sz w:val="24"/>
        </w:rPr>
        <w:t>shall</w:t>
      </w:r>
      <w:r>
        <w:rPr>
          <w:color w:val="211F1F"/>
          <w:spacing w:val="-11"/>
          <w:sz w:val="24"/>
        </w:rPr>
        <w:t xml:space="preserve"> </w:t>
      </w:r>
      <w:r>
        <w:rPr>
          <w:color w:val="211F1F"/>
          <w:sz w:val="24"/>
        </w:rPr>
        <w:t>be</w:t>
      </w:r>
      <w:r>
        <w:rPr>
          <w:color w:val="211F1F"/>
          <w:spacing w:val="-4"/>
          <w:sz w:val="24"/>
        </w:rPr>
        <w:t xml:space="preserve"> </w:t>
      </w:r>
      <w:r>
        <w:rPr>
          <w:color w:val="211F1F"/>
          <w:sz w:val="24"/>
        </w:rPr>
        <w:t>in</w:t>
      </w:r>
      <w:r>
        <w:rPr>
          <w:color w:val="211F1F"/>
          <w:spacing w:val="-13"/>
          <w:sz w:val="24"/>
        </w:rPr>
        <w:t xml:space="preserve"> </w:t>
      </w:r>
      <w:r>
        <w:rPr>
          <w:color w:val="211F1F"/>
          <w:sz w:val="24"/>
        </w:rPr>
        <w:t>writing.</w:t>
      </w:r>
      <w:r>
        <w:rPr>
          <w:color w:val="211F1F"/>
          <w:spacing w:val="-5"/>
          <w:sz w:val="24"/>
        </w:rPr>
        <w:t xml:space="preserve"> </w:t>
      </w:r>
      <w:r>
        <w:rPr>
          <w:color w:val="211F1F"/>
          <w:sz w:val="24"/>
        </w:rPr>
        <w:t>No</w:t>
      </w:r>
      <w:r>
        <w:rPr>
          <w:color w:val="211F1F"/>
          <w:spacing w:val="-4"/>
          <w:sz w:val="24"/>
        </w:rPr>
        <w:t xml:space="preserve"> </w:t>
      </w:r>
      <w:r>
        <w:rPr>
          <w:color w:val="211F1F"/>
          <w:sz w:val="24"/>
        </w:rPr>
        <w:t>change,</w:t>
      </w:r>
      <w:r>
        <w:rPr>
          <w:color w:val="211F1F"/>
          <w:spacing w:val="-1"/>
          <w:sz w:val="24"/>
        </w:rPr>
        <w:t xml:space="preserve"> </w:t>
      </w:r>
      <w:r>
        <w:rPr>
          <w:color w:val="211F1F"/>
          <w:sz w:val="24"/>
        </w:rPr>
        <w:t>including</w:t>
      </w:r>
      <w:r>
        <w:rPr>
          <w:color w:val="211F1F"/>
          <w:spacing w:val="-7"/>
          <w:sz w:val="24"/>
        </w:rPr>
        <w:t xml:space="preserve"> </w:t>
      </w:r>
      <w:r>
        <w:rPr>
          <w:color w:val="211F1F"/>
          <w:sz w:val="24"/>
        </w:rPr>
        <w:t>any</w:t>
      </w:r>
      <w:r>
        <w:rPr>
          <w:color w:val="211F1F"/>
          <w:spacing w:val="-8"/>
          <w:sz w:val="24"/>
        </w:rPr>
        <w:t xml:space="preserve"> </w:t>
      </w:r>
      <w:r>
        <w:rPr>
          <w:color w:val="211F1F"/>
          <w:sz w:val="24"/>
        </w:rPr>
        <w:t>voluntary increase</w:t>
      </w:r>
      <w:r>
        <w:rPr>
          <w:color w:val="211F1F"/>
          <w:spacing w:val="-1"/>
          <w:sz w:val="24"/>
        </w:rPr>
        <w:t xml:space="preserve"> </w:t>
      </w:r>
      <w:r>
        <w:rPr>
          <w:color w:val="211F1F"/>
          <w:sz w:val="24"/>
        </w:rPr>
        <w:t>or</w:t>
      </w:r>
      <w:r>
        <w:rPr>
          <w:color w:val="211F1F"/>
          <w:spacing w:val="-3"/>
          <w:sz w:val="24"/>
        </w:rPr>
        <w:t xml:space="preserve"> </w:t>
      </w:r>
      <w:r>
        <w:rPr>
          <w:color w:val="211F1F"/>
          <w:sz w:val="24"/>
        </w:rPr>
        <w:t>decrease, in</w:t>
      </w:r>
      <w:r>
        <w:rPr>
          <w:color w:val="211F1F"/>
          <w:spacing w:val="-5"/>
          <w:sz w:val="24"/>
        </w:rPr>
        <w:t xml:space="preserve"> </w:t>
      </w:r>
      <w:r>
        <w:rPr>
          <w:color w:val="211F1F"/>
          <w:sz w:val="24"/>
        </w:rPr>
        <w:t>the</w:t>
      </w:r>
      <w:r>
        <w:rPr>
          <w:color w:val="211F1F"/>
          <w:spacing w:val="-1"/>
          <w:sz w:val="24"/>
        </w:rPr>
        <w:t xml:space="preserve"> </w:t>
      </w:r>
      <w:r>
        <w:rPr>
          <w:color w:val="211F1F"/>
          <w:sz w:val="24"/>
        </w:rPr>
        <w:t>prices</w:t>
      </w:r>
      <w:r>
        <w:rPr>
          <w:color w:val="211F1F"/>
          <w:spacing w:val="-2"/>
          <w:sz w:val="24"/>
        </w:rPr>
        <w:t xml:space="preserve"> </w:t>
      </w:r>
      <w:r>
        <w:rPr>
          <w:color w:val="211F1F"/>
          <w:sz w:val="24"/>
        </w:rPr>
        <w:t>or</w:t>
      </w:r>
      <w:r>
        <w:rPr>
          <w:color w:val="211F1F"/>
          <w:spacing w:val="-3"/>
          <w:sz w:val="24"/>
        </w:rPr>
        <w:t xml:space="preserve"> </w:t>
      </w:r>
      <w:r>
        <w:rPr>
          <w:color w:val="211F1F"/>
          <w:sz w:val="24"/>
        </w:rPr>
        <w:t>substance</w:t>
      </w:r>
      <w:r>
        <w:rPr>
          <w:color w:val="211F1F"/>
          <w:spacing w:val="-1"/>
          <w:sz w:val="24"/>
        </w:rPr>
        <w:t xml:space="preserve"> </w:t>
      </w:r>
      <w:r>
        <w:rPr>
          <w:color w:val="211F1F"/>
          <w:sz w:val="24"/>
        </w:rPr>
        <w:t>of</w:t>
      </w:r>
      <w:r>
        <w:rPr>
          <w:color w:val="211F1F"/>
          <w:spacing w:val="-8"/>
          <w:sz w:val="24"/>
        </w:rPr>
        <w:t xml:space="preserve"> </w:t>
      </w:r>
      <w:r>
        <w:rPr>
          <w:color w:val="211F1F"/>
          <w:sz w:val="24"/>
        </w:rPr>
        <w:t>the</w:t>
      </w:r>
      <w:r>
        <w:rPr>
          <w:color w:val="211F1F"/>
          <w:spacing w:val="-1"/>
          <w:sz w:val="24"/>
        </w:rPr>
        <w:t xml:space="preserve"> </w:t>
      </w:r>
      <w:r>
        <w:rPr>
          <w:color w:val="211F1F"/>
          <w:sz w:val="24"/>
        </w:rPr>
        <w:t>tender shall</w:t>
      </w:r>
      <w:r>
        <w:rPr>
          <w:color w:val="211F1F"/>
          <w:spacing w:val="-4"/>
          <w:sz w:val="24"/>
        </w:rPr>
        <w:t xml:space="preserve"> </w:t>
      </w:r>
      <w:r>
        <w:rPr>
          <w:color w:val="211F1F"/>
          <w:sz w:val="24"/>
        </w:rPr>
        <w:t>be</w:t>
      </w:r>
      <w:r>
        <w:rPr>
          <w:color w:val="211F1F"/>
          <w:spacing w:val="-1"/>
          <w:sz w:val="24"/>
        </w:rPr>
        <w:t xml:space="preserve"> </w:t>
      </w:r>
      <w:r>
        <w:rPr>
          <w:color w:val="211F1F"/>
          <w:sz w:val="24"/>
        </w:rPr>
        <w:t>sought,</w:t>
      </w:r>
      <w:r>
        <w:rPr>
          <w:color w:val="211F1F"/>
          <w:spacing w:val="-3"/>
          <w:sz w:val="24"/>
        </w:rPr>
        <w:t xml:space="preserve"> </w:t>
      </w:r>
      <w:r>
        <w:rPr>
          <w:color w:val="211F1F"/>
          <w:sz w:val="24"/>
        </w:rPr>
        <w:t>offered, or permitted, except to confirm the correction of</w:t>
      </w:r>
      <w:r>
        <w:rPr>
          <w:color w:val="211F1F"/>
          <w:spacing w:val="-2"/>
          <w:sz w:val="24"/>
        </w:rPr>
        <w:t xml:space="preserve"> </w:t>
      </w:r>
      <w:r>
        <w:rPr>
          <w:color w:val="211F1F"/>
          <w:sz w:val="24"/>
        </w:rPr>
        <w:t>arithmetic errors discovered by the Procuring Entity in the evaluation of the tenders, in accordance with ITT 31.</w:t>
      </w:r>
    </w:p>
    <w:p w14:paraId="58443391" w14:textId="77777777" w:rsidR="00BB77C0" w:rsidRDefault="00370BAA">
      <w:pPr>
        <w:pStyle w:val="ListParagraph"/>
        <w:numPr>
          <w:ilvl w:val="1"/>
          <w:numId w:val="84"/>
        </w:numPr>
        <w:tabs>
          <w:tab w:val="left" w:pos="1441"/>
        </w:tabs>
        <w:spacing w:before="155" w:line="254" w:lineRule="auto"/>
        <w:ind w:left="1441" w:right="84"/>
        <w:jc w:val="left"/>
        <w:rPr>
          <w:color w:val="211F1F"/>
          <w:sz w:val="24"/>
        </w:rPr>
      </w:pPr>
      <w:r>
        <w:rPr>
          <w:color w:val="211F1F"/>
          <w:sz w:val="24"/>
        </w:rPr>
        <w:t>If</w:t>
      </w:r>
      <w:r>
        <w:rPr>
          <w:color w:val="211F1F"/>
          <w:spacing w:val="-14"/>
          <w:sz w:val="24"/>
        </w:rPr>
        <w:t xml:space="preserve"> </w:t>
      </w:r>
      <w:r>
        <w:rPr>
          <w:color w:val="211F1F"/>
          <w:sz w:val="24"/>
        </w:rPr>
        <w:t>a</w:t>
      </w:r>
      <w:r>
        <w:rPr>
          <w:color w:val="211F1F"/>
          <w:spacing w:val="-8"/>
          <w:sz w:val="24"/>
        </w:rPr>
        <w:t xml:space="preserve"> </w:t>
      </w:r>
      <w:r>
        <w:rPr>
          <w:color w:val="211F1F"/>
          <w:sz w:val="24"/>
        </w:rPr>
        <w:t>tenderer</w:t>
      </w:r>
      <w:r>
        <w:rPr>
          <w:color w:val="211F1F"/>
          <w:spacing w:val="-4"/>
          <w:sz w:val="24"/>
        </w:rPr>
        <w:t xml:space="preserve"> </w:t>
      </w:r>
      <w:r>
        <w:rPr>
          <w:color w:val="211F1F"/>
          <w:sz w:val="24"/>
        </w:rPr>
        <w:t>does</w:t>
      </w:r>
      <w:r>
        <w:rPr>
          <w:color w:val="211F1F"/>
          <w:spacing w:val="-3"/>
          <w:sz w:val="24"/>
        </w:rPr>
        <w:t xml:space="preserve"> </w:t>
      </w:r>
      <w:r>
        <w:rPr>
          <w:color w:val="211F1F"/>
          <w:sz w:val="24"/>
        </w:rPr>
        <w:t>not provide</w:t>
      </w:r>
      <w:r>
        <w:rPr>
          <w:color w:val="211F1F"/>
          <w:spacing w:val="-8"/>
          <w:sz w:val="24"/>
        </w:rPr>
        <w:t xml:space="preserve"> </w:t>
      </w:r>
      <w:r>
        <w:rPr>
          <w:color w:val="211F1F"/>
          <w:sz w:val="24"/>
        </w:rPr>
        <w:t>clarifications</w:t>
      </w:r>
      <w:r>
        <w:rPr>
          <w:color w:val="211F1F"/>
          <w:spacing w:val="-2"/>
          <w:sz w:val="24"/>
        </w:rPr>
        <w:t xml:space="preserve"> </w:t>
      </w:r>
      <w:r>
        <w:rPr>
          <w:color w:val="211F1F"/>
          <w:sz w:val="24"/>
        </w:rPr>
        <w:t>of</w:t>
      </w:r>
      <w:r>
        <w:rPr>
          <w:color w:val="211F1F"/>
          <w:spacing w:val="-10"/>
          <w:sz w:val="24"/>
        </w:rPr>
        <w:t xml:space="preserve"> </w:t>
      </w:r>
      <w:r>
        <w:rPr>
          <w:color w:val="211F1F"/>
          <w:sz w:val="24"/>
        </w:rPr>
        <w:t>its</w:t>
      </w:r>
      <w:r>
        <w:rPr>
          <w:color w:val="211F1F"/>
          <w:spacing w:val="-4"/>
          <w:sz w:val="24"/>
        </w:rPr>
        <w:t xml:space="preserve"> </w:t>
      </w:r>
      <w:r>
        <w:rPr>
          <w:color w:val="211F1F"/>
          <w:sz w:val="24"/>
        </w:rPr>
        <w:t>tender by</w:t>
      </w:r>
      <w:r>
        <w:rPr>
          <w:color w:val="211F1F"/>
          <w:spacing w:val="-12"/>
          <w:sz w:val="24"/>
        </w:rPr>
        <w:t xml:space="preserve"> </w:t>
      </w:r>
      <w:r>
        <w:rPr>
          <w:color w:val="211F1F"/>
          <w:sz w:val="24"/>
        </w:rPr>
        <w:t>the</w:t>
      </w:r>
      <w:r>
        <w:rPr>
          <w:color w:val="211F1F"/>
          <w:spacing w:val="-8"/>
          <w:sz w:val="24"/>
        </w:rPr>
        <w:t xml:space="preserve"> </w:t>
      </w:r>
      <w:r>
        <w:rPr>
          <w:color w:val="211F1F"/>
          <w:sz w:val="24"/>
        </w:rPr>
        <w:t>date</w:t>
      </w:r>
      <w:r>
        <w:rPr>
          <w:color w:val="211F1F"/>
          <w:spacing w:val="-7"/>
          <w:sz w:val="24"/>
        </w:rPr>
        <w:t xml:space="preserve"> </w:t>
      </w:r>
      <w:r>
        <w:rPr>
          <w:color w:val="211F1F"/>
          <w:sz w:val="24"/>
        </w:rPr>
        <w:t>and</w:t>
      </w:r>
      <w:r>
        <w:rPr>
          <w:color w:val="211F1F"/>
          <w:spacing w:val="-2"/>
          <w:sz w:val="24"/>
        </w:rPr>
        <w:t xml:space="preserve"> </w:t>
      </w:r>
      <w:r>
        <w:rPr>
          <w:color w:val="211F1F"/>
          <w:sz w:val="24"/>
        </w:rPr>
        <w:t>time</w:t>
      </w:r>
      <w:r>
        <w:rPr>
          <w:color w:val="211F1F"/>
          <w:spacing w:val="-7"/>
          <w:sz w:val="24"/>
        </w:rPr>
        <w:t xml:space="preserve"> </w:t>
      </w:r>
      <w:r>
        <w:rPr>
          <w:color w:val="211F1F"/>
          <w:sz w:val="24"/>
        </w:rPr>
        <w:t>set in</w:t>
      </w:r>
      <w:r>
        <w:rPr>
          <w:color w:val="211F1F"/>
          <w:spacing w:val="-6"/>
          <w:sz w:val="24"/>
        </w:rPr>
        <w:t xml:space="preserve"> </w:t>
      </w:r>
      <w:r>
        <w:rPr>
          <w:color w:val="211F1F"/>
          <w:sz w:val="24"/>
        </w:rPr>
        <w:t>the Procuring Entity's request for clarification, its Tender may be rejected.</w:t>
      </w:r>
    </w:p>
    <w:p w14:paraId="4B7B1885" w14:textId="77777777" w:rsidR="00BB77C0" w:rsidRDefault="00370BAA">
      <w:pPr>
        <w:pStyle w:val="Heading6"/>
        <w:numPr>
          <w:ilvl w:val="1"/>
          <w:numId w:val="83"/>
        </w:numPr>
        <w:tabs>
          <w:tab w:val="left" w:pos="720"/>
        </w:tabs>
        <w:spacing w:before="251"/>
        <w:ind w:hanging="720"/>
        <w:jc w:val="left"/>
      </w:pPr>
      <w:bookmarkStart w:id="74" w:name="30.0_Deviations,_Reservations,_and_Omiss"/>
      <w:bookmarkStart w:id="75" w:name="_bookmark36"/>
      <w:bookmarkEnd w:id="74"/>
      <w:bookmarkEnd w:id="75"/>
      <w:r>
        <w:t>Deviations,</w:t>
      </w:r>
      <w:r>
        <w:rPr>
          <w:spacing w:val="-6"/>
        </w:rPr>
        <w:t xml:space="preserve"> </w:t>
      </w:r>
      <w:r>
        <w:t>Reservations,</w:t>
      </w:r>
      <w:r>
        <w:rPr>
          <w:spacing w:val="-4"/>
        </w:rPr>
        <w:t xml:space="preserve"> </w:t>
      </w:r>
      <w:r>
        <w:t>and</w:t>
      </w:r>
      <w:r>
        <w:rPr>
          <w:spacing w:val="-7"/>
        </w:rPr>
        <w:t xml:space="preserve"> </w:t>
      </w:r>
      <w:r>
        <w:rPr>
          <w:spacing w:val="-2"/>
        </w:rPr>
        <w:t>Omissions</w:t>
      </w:r>
    </w:p>
    <w:p w14:paraId="4C6884CD" w14:textId="77777777" w:rsidR="00BB77C0" w:rsidRDefault="00370BAA">
      <w:pPr>
        <w:pStyle w:val="ListParagraph"/>
        <w:numPr>
          <w:ilvl w:val="1"/>
          <w:numId w:val="83"/>
        </w:numPr>
        <w:tabs>
          <w:tab w:val="left" w:pos="1440"/>
        </w:tabs>
        <w:spacing w:before="79"/>
        <w:ind w:left="1440" w:hanging="720"/>
        <w:jc w:val="left"/>
        <w:rPr>
          <w:color w:val="211F1F"/>
          <w:sz w:val="24"/>
        </w:rPr>
      </w:pPr>
      <w:r>
        <w:rPr>
          <w:color w:val="211F1F"/>
          <w:sz w:val="24"/>
        </w:rPr>
        <w:t>During</w:t>
      </w:r>
      <w:r>
        <w:rPr>
          <w:color w:val="211F1F"/>
          <w:spacing w:val="-6"/>
          <w:sz w:val="24"/>
        </w:rPr>
        <w:t xml:space="preserve"> </w:t>
      </w:r>
      <w:r>
        <w:rPr>
          <w:color w:val="211F1F"/>
          <w:sz w:val="24"/>
        </w:rPr>
        <w:t>the</w:t>
      </w:r>
      <w:r>
        <w:rPr>
          <w:color w:val="211F1F"/>
          <w:spacing w:val="-7"/>
          <w:sz w:val="24"/>
        </w:rPr>
        <w:t xml:space="preserve"> </w:t>
      </w:r>
      <w:r>
        <w:rPr>
          <w:color w:val="211F1F"/>
          <w:sz w:val="24"/>
        </w:rPr>
        <w:t>evaluation</w:t>
      </w:r>
      <w:r>
        <w:rPr>
          <w:color w:val="211F1F"/>
          <w:spacing w:val="-9"/>
          <w:sz w:val="24"/>
        </w:rPr>
        <w:t xml:space="preserve"> </w:t>
      </w:r>
      <w:r>
        <w:rPr>
          <w:color w:val="211F1F"/>
          <w:sz w:val="24"/>
        </w:rPr>
        <w:t>of</w:t>
      </w:r>
      <w:r>
        <w:rPr>
          <w:color w:val="211F1F"/>
          <w:spacing w:val="-9"/>
          <w:sz w:val="24"/>
        </w:rPr>
        <w:t xml:space="preserve"> </w:t>
      </w:r>
      <w:r>
        <w:rPr>
          <w:color w:val="211F1F"/>
          <w:sz w:val="24"/>
        </w:rPr>
        <w:t>tenders,</w:t>
      </w:r>
      <w:r>
        <w:rPr>
          <w:color w:val="211F1F"/>
          <w:spacing w:val="-7"/>
          <w:sz w:val="24"/>
        </w:rPr>
        <w:t xml:space="preserve"> </w:t>
      </w:r>
      <w:r>
        <w:rPr>
          <w:color w:val="211F1F"/>
          <w:sz w:val="24"/>
        </w:rPr>
        <w:t>the</w:t>
      </w:r>
      <w:r>
        <w:rPr>
          <w:color w:val="211F1F"/>
          <w:spacing w:val="-3"/>
          <w:sz w:val="24"/>
        </w:rPr>
        <w:t xml:space="preserve"> </w:t>
      </w:r>
      <w:r>
        <w:rPr>
          <w:color w:val="211F1F"/>
          <w:sz w:val="24"/>
        </w:rPr>
        <w:t>following</w:t>
      </w:r>
      <w:r>
        <w:rPr>
          <w:color w:val="211F1F"/>
          <w:spacing w:val="-5"/>
          <w:sz w:val="24"/>
        </w:rPr>
        <w:t xml:space="preserve"> </w:t>
      </w:r>
      <w:r>
        <w:rPr>
          <w:color w:val="211F1F"/>
          <w:sz w:val="24"/>
        </w:rPr>
        <w:t>definitions</w:t>
      </w:r>
      <w:r>
        <w:rPr>
          <w:color w:val="211F1F"/>
          <w:spacing w:val="-6"/>
          <w:sz w:val="24"/>
        </w:rPr>
        <w:t xml:space="preserve"> </w:t>
      </w:r>
      <w:r>
        <w:rPr>
          <w:color w:val="211F1F"/>
          <w:spacing w:val="-2"/>
          <w:sz w:val="24"/>
        </w:rPr>
        <w:t>apply:</w:t>
      </w:r>
    </w:p>
    <w:p w14:paraId="60BB882F" w14:textId="77777777" w:rsidR="00BB77C0" w:rsidRDefault="00370BAA">
      <w:pPr>
        <w:pStyle w:val="ListParagraph"/>
        <w:numPr>
          <w:ilvl w:val="2"/>
          <w:numId w:val="83"/>
        </w:numPr>
        <w:tabs>
          <w:tab w:val="left" w:pos="2159"/>
          <w:tab w:val="left" w:pos="2161"/>
        </w:tabs>
        <w:spacing w:before="188" w:line="237" w:lineRule="auto"/>
        <w:ind w:right="749"/>
        <w:jc w:val="left"/>
        <w:rPr>
          <w:sz w:val="24"/>
        </w:rPr>
      </w:pPr>
      <w:r>
        <w:rPr>
          <w:color w:val="211F1F"/>
          <w:sz w:val="24"/>
        </w:rPr>
        <w:t>“Deviation”</w:t>
      </w:r>
      <w:r>
        <w:rPr>
          <w:color w:val="211F1F"/>
          <w:spacing w:val="-4"/>
          <w:sz w:val="24"/>
        </w:rPr>
        <w:t xml:space="preserve"> </w:t>
      </w:r>
      <w:r>
        <w:rPr>
          <w:color w:val="211F1F"/>
          <w:sz w:val="24"/>
        </w:rPr>
        <w:t>is</w:t>
      </w:r>
      <w:r>
        <w:rPr>
          <w:color w:val="211F1F"/>
          <w:spacing w:val="-6"/>
          <w:sz w:val="24"/>
        </w:rPr>
        <w:t xml:space="preserve"> </w:t>
      </w:r>
      <w:r>
        <w:rPr>
          <w:color w:val="211F1F"/>
          <w:sz w:val="24"/>
        </w:rPr>
        <w:t>a</w:t>
      </w:r>
      <w:r>
        <w:rPr>
          <w:color w:val="211F1F"/>
          <w:spacing w:val="-9"/>
          <w:sz w:val="24"/>
        </w:rPr>
        <w:t xml:space="preserve"> </w:t>
      </w:r>
      <w:r>
        <w:rPr>
          <w:color w:val="211F1F"/>
          <w:sz w:val="24"/>
        </w:rPr>
        <w:t>departure</w:t>
      </w:r>
      <w:r>
        <w:rPr>
          <w:color w:val="211F1F"/>
          <w:spacing w:val="-8"/>
          <w:sz w:val="24"/>
        </w:rPr>
        <w:t xml:space="preserve"> </w:t>
      </w:r>
      <w:r>
        <w:rPr>
          <w:color w:val="211F1F"/>
          <w:sz w:val="24"/>
        </w:rPr>
        <w:t>from</w:t>
      </w:r>
      <w:r>
        <w:rPr>
          <w:color w:val="211F1F"/>
          <w:spacing w:val="-12"/>
          <w:sz w:val="24"/>
        </w:rPr>
        <w:t xml:space="preserve"> </w:t>
      </w:r>
      <w:r>
        <w:rPr>
          <w:color w:val="211F1F"/>
          <w:sz w:val="24"/>
        </w:rPr>
        <w:t>the</w:t>
      </w:r>
      <w:r>
        <w:rPr>
          <w:color w:val="211F1F"/>
          <w:spacing w:val="-8"/>
          <w:sz w:val="24"/>
        </w:rPr>
        <w:t xml:space="preserve"> </w:t>
      </w:r>
      <w:r>
        <w:rPr>
          <w:color w:val="211F1F"/>
          <w:sz w:val="24"/>
        </w:rPr>
        <w:t>requirements</w:t>
      </w:r>
      <w:r>
        <w:rPr>
          <w:color w:val="211F1F"/>
          <w:spacing w:val="-8"/>
          <w:sz w:val="24"/>
        </w:rPr>
        <w:t xml:space="preserve"> </w:t>
      </w:r>
      <w:r>
        <w:rPr>
          <w:color w:val="211F1F"/>
          <w:sz w:val="24"/>
        </w:rPr>
        <w:t>specified in</w:t>
      </w:r>
      <w:r>
        <w:rPr>
          <w:color w:val="211F1F"/>
          <w:spacing w:val="-7"/>
          <w:sz w:val="24"/>
        </w:rPr>
        <w:t xml:space="preserve"> </w:t>
      </w:r>
      <w:r>
        <w:rPr>
          <w:color w:val="211F1F"/>
          <w:sz w:val="24"/>
        </w:rPr>
        <w:t>the</w:t>
      </w:r>
      <w:r>
        <w:rPr>
          <w:color w:val="211F1F"/>
          <w:spacing w:val="-13"/>
          <w:sz w:val="24"/>
        </w:rPr>
        <w:t xml:space="preserve"> </w:t>
      </w:r>
      <w:r>
        <w:rPr>
          <w:color w:val="211F1F"/>
          <w:sz w:val="24"/>
        </w:rPr>
        <w:t xml:space="preserve">tender </w:t>
      </w:r>
      <w:r>
        <w:rPr>
          <w:color w:val="211F1F"/>
          <w:spacing w:val="-2"/>
          <w:sz w:val="24"/>
        </w:rPr>
        <w:t>document;</w:t>
      </w:r>
    </w:p>
    <w:p w14:paraId="15645981" w14:textId="77777777" w:rsidR="00BB77C0" w:rsidRDefault="00370BAA">
      <w:pPr>
        <w:pStyle w:val="ListParagraph"/>
        <w:numPr>
          <w:ilvl w:val="2"/>
          <w:numId w:val="83"/>
        </w:numPr>
        <w:tabs>
          <w:tab w:val="left" w:pos="2161"/>
        </w:tabs>
        <w:spacing w:line="242" w:lineRule="auto"/>
        <w:ind w:right="60" w:hanging="375"/>
        <w:jc w:val="left"/>
        <w:rPr>
          <w:sz w:val="24"/>
        </w:rPr>
      </w:pPr>
      <w:r>
        <w:rPr>
          <w:color w:val="211F1F"/>
          <w:sz w:val="24"/>
        </w:rPr>
        <w:t>“Reservation” is the setting of limiting conditions or withholding from complete</w:t>
      </w:r>
      <w:r>
        <w:rPr>
          <w:color w:val="211F1F"/>
          <w:spacing w:val="-8"/>
          <w:sz w:val="24"/>
        </w:rPr>
        <w:t xml:space="preserve"> </w:t>
      </w:r>
      <w:r>
        <w:rPr>
          <w:color w:val="211F1F"/>
          <w:sz w:val="24"/>
        </w:rPr>
        <w:t>acceptance</w:t>
      </w:r>
      <w:r>
        <w:rPr>
          <w:color w:val="211F1F"/>
          <w:spacing w:val="-8"/>
          <w:sz w:val="24"/>
        </w:rPr>
        <w:t xml:space="preserve"> </w:t>
      </w:r>
      <w:r>
        <w:rPr>
          <w:color w:val="211F1F"/>
          <w:sz w:val="24"/>
        </w:rPr>
        <w:t>of</w:t>
      </w:r>
      <w:r>
        <w:rPr>
          <w:color w:val="211F1F"/>
          <w:spacing w:val="-15"/>
          <w:sz w:val="24"/>
        </w:rPr>
        <w:t xml:space="preserve"> </w:t>
      </w:r>
      <w:r>
        <w:rPr>
          <w:color w:val="211F1F"/>
          <w:sz w:val="24"/>
        </w:rPr>
        <w:t>the</w:t>
      </w:r>
      <w:r>
        <w:rPr>
          <w:color w:val="211F1F"/>
          <w:spacing w:val="-9"/>
          <w:sz w:val="24"/>
        </w:rPr>
        <w:t xml:space="preserve"> </w:t>
      </w:r>
      <w:r>
        <w:rPr>
          <w:color w:val="211F1F"/>
          <w:sz w:val="24"/>
        </w:rPr>
        <w:t>requirements</w:t>
      </w:r>
      <w:r>
        <w:rPr>
          <w:color w:val="211F1F"/>
          <w:spacing w:val="-8"/>
          <w:sz w:val="24"/>
        </w:rPr>
        <w:t xml:space="preserve"> </w:t>
      </w:r>
      <w:r>
        <w:rPr>
          <w:color w:val="211F1F"/>
          <w:sz w:val="24"/>
        </w:rPr>
        <w:t>specified</w:t>
      </w:r>
      <w:r>
        <w:rPr>
          <w:color w:val="211F1F"/>
          <w:spacing w:val="-3"/>
          <w:sz w:val="24"/>
        </w:rPr>
        <w:t xml:space="preserve"> </w:t>
      </w:r>
      <w:r>
        <w:rPr>
          <w:color w:val="211F1F"/>
          <w:sz w:val="24"/>
        </w:rPr>
        <w:t>in</w:t>
      </w:r>
      <w:r>
        <w:rPr>
          <w:color w:val="211F1F"/>
          <w:spacing w:val="-8"/>
          <w:sz w:val="24"/>
        </w:rPr>
        <w:t xml:space="preserve"> </w:t>
      </w:r>
      <w:r>
        <w:rPr>
          <w:color w:val="211F1F"/>
          <w:sz w:val="24"/>
        </w:rPr>
        <w:t>the</w:t>
      </w:r>
      <w:r>
        <w:rPr>
          <w:color w:val="211F1F"/>
          <w:spacing w:val="-9"/>
          <w:sz w:val="24"/>
        </w:rPr>
        <w:t xml:space="preserve"> </w:t>
      </w:r>
      <w:r>
        <w:rPr>
          <w:color w:val="211F1F"/>
          <w:sz w:val="24"/>
        </w:rPr>
        <w:t>tender</w:t>
      </w:r>
      <w:r>
        <w:rPr>
          <w:color w:val="211F1F"/>
          <w:spacing w:val="-5"/>
          <w:sz w:val="24"/>
        </w:rPr>
        <w:t xml:space="preserve"> </w:t>
      </w:r>
      <w:r>
        <w:rPr>
          <w:color w:val="211F1F"/>
          <w:sz w:val="24"/>
        </w:rPr>
        <w:t>document;</w:t>
      </w:r>
      <w:r>
        <w:rPr>
          <w:color w:val="211F1F"/>
          <w:spacing w:val="-6"/>
          <w:sz w:val="24"/>
        </w:rPr>
        <w:t xml:space="preserve"> </w:t>
      </w:r>
      <w:r>
        <w:rPr>
          <w:color w:val="211F1F"/>
          <w:sz w:val="24"/>
        </w:rPr>
        <w:t>and</w:t>
      </w:r>
    </w:p>
    <w:p w14:paraId="45CA68F4" w14:textId="77777777" w:rsidR="00BB77C0" w:rsidRDefault="00370BAA">
      <w:pPr>
        <w:pStyle w:val="ListParagraph"/>
        <w:numPr>
          <w:ilvl w:val="2"/>
          <w:numId w:val="83"/>
        </w:numPr>
        <w:tabs>
          <w:tab w:val="left" w:pos="2154"/>
          <w:tab w:val="left" w:pos="2161"/>
        </w:tabs>
        <w:spacing w:line="242" w:lineRule="auto"/>
        <w:ind w:right="1220" w:hanging="442"/>
        <w:jc w:val="left"/>
        <w:rPr>
          <w:sz w:val="24"/>
        </w:rPr>
      </w:pPr>
      <w:r>
        <w:rPr>
          <w:color w:val="211F1F"/>
          <w:sz w:val="24"/>
        </w:rPr>
        <w:t>“Omission”</w:t>
      </w:r>
      <w:r>
        <w:rPr>
          <w:color w:val="211F1F"/>
          <w:spacing w:val="-2"/>
          <w:sz w:val="24"/>
        </w:rPr>
        <w:t xml:space="preserve"> </w:t>
      </w:r>
      <w:r>
        <w:rPr>
          <w:color w:val="211F1F"/>
          <w:sz w:val="24"/>
        </w:rPr>
        <w:t>is</w:t>
      </w:r>
      <w:r>
        <w:rPr>
          <w:color w:val="211F1F"/>
          <w:spacing w:val="-5"/>
          <w:sz w:val="24"/>
        </w:rPr>
        <w:t xml:space="preserve"> </w:t>
      </w:r>
      <w:r>
        <w:rPr>
          <w:color w:val="211F1F"/>
          <w:sz w:val="24"/>
        </w:rPr>
        <w:t>the</w:t>
      </w:r>
      <w:r>
        <w:rPr>
          <w:color w:val="211F1F"/>
          <w:spacing w:val="-4"/>
          <w:sz w:val="24"/>
        </w:rPr>
        <w:t xml:space="preserve"> </w:t>
      </w:r>
      <w:r>
        <w:rPr>
          <w:color w:val="211F1F"/>
          <w:sz w:val="24"/>
        </w:rPr>
        <w:t>failure</w:t>
      </w:r>
      <w:r>
        <w:rPr>
          <w:color w:val="211F1F"/>
          <w:spacing w:val="-3"/>
          <w:sz w:val="24"/>
        </w:rPr>
        <w:t xml:space="preserve"> </w:t>
      </w:r>
      <w:r>
        <w:rPr>
          <w:color w:val="211F1F"/>
          <w:sz w:val="24"/>
        </w:rPr>
        <w:t>to</w:t>
      </w:r>
      <w:r>
        <w:rPr>
          <w:color w:val="211F1F"/>
          <w:spacing w:val="-3"/>
          <w:sz w:val="24"/>
        </w:rPr>
        <w:t xml:space="preserve"> </w:t>
      </w:r>
      <w:r>
        <w:rPr>
          <w:color w:val="211F1F"/>
          <w:sz w:val="24"/>
        </w:rPr>
        <w:t>submit part</w:t>
      </w:r>
      <w:r>
        <w:rPr>
          <w:color w:val="211F1F"/>
          <w:spacing w:val="-7"/>
          <w:sz w:val="24"/>
        </w:rPr>
        <w:t xml:space="preserve"> </w:t>
      </w:r>
      <w:r>
        <w:rPr>
          <w:color w:val="211F1F"/>
          <w:sz w:val="24"/>
        </w:rPr>
        <w:t>or</w:t>
      </w:r>
      <w:r>
        <w:rPr>
          <w:color w:val="211F1F"/>
          <w:spacing w:val="-6"/>
          <w:sz w:val="24"/>
        </w:rPr>
        <w:t xml:space="preserve"> </w:t>
      </w:r>
      <w:r>
        <w:rPr>
          <w:color w:val="211F1F"/>
          <w:sz w:val="24"/>
        </w:rPr>
        <w:t>all</w:t>
      </w:r>
      <w:r>
        <w:rPr>
          <w:color w:val="211F1F"/>
          <w:spacing w:val="-11"/>
          <w:sz w:val="24"/>
        </w:rPr>
        <w:t xml:space="preserve"> </w:t>
      </w:r>
      <w:r>
        <w:rPr>
          <w:color w:val="211F1F"/>
          <w:sz w:val="24"/>
        </w:rPr>
        <w:t>of</w:t>
      </w:r>
      <w:r>
        <w:rPr>
          <w:color w:val="211F1F"/>
          <w:spacing w:val="-14"/>
          <w:sz w:val="24"/>
        </w:rPr>
        <w:t xml:space="preserve"> </w:t>
      </w:r>
      <w:r>
        <w:rPr>
          <w:color w:val="211F1F"/>
          <w:sz w:val="24"/>
        </w:rPr>
        <w:t>the</w:t>
      </w:r>
      <w:r>
        <w:rPr>
          <w:color w:val="211F1F"/>
          <w:spacing w:val="-4"/>
          <w:sz w:val="24"/>
        </w:rPr>
        <w:t xml:space="preserve"> </w:t>
      </w:r>
      <w:r>
        <w:rPr>
          <w:color w:val="211F1F"/>
          <w:sz w:val="24"/>
        </w:rPr>
        <w:t>information</w:t>
      </w:r>
      <w:r>
        <w:rPr>
          <w:color w:val="211F1F"/>
          <w:spacing w:val="-6"/>
          <w:sz w:val="24"/>
        </w:rPr>
        <w:t xml:space="preserve"> </w:t>
      </w:r>
      <w:r>
        <w:rPr>
          <w:color w:val="211F1F"/>
          <w:sz w:val="24"/>
        </w:rPr>
        <w:t>or documentation required in the Tender document.</w:t>
      </w:r>
    </w:p>
    <w:p w14:paraId="0129303C" w14:textId="77777777" w:rsidR="00BB77C0" w:rsidRDefault="00370BAA">
      <w:pPr>
        <w:pStyle w:val="Heading6"/>
        <w:numPr>
          <w:ilvl w:val="1"/>
          <w:numId w:val="82"/>
        </w:numPr>
        <w:tabs>
          <w:tab w:val="left" w:pos="720"/>
        </w:tabs>
        <w:spacing w:before="233"/>
        <w:ind w:hanging="720"/>
        <w:jc w:val="left"/>
      </w:pPr>
      <w:bookmarkStart w:id="76" w:name="31.0_Determination_of_Responsiveness"/>
      <w:bookmarkStart w:id="77" w:name="_bookmark37"/>
      <w:bookmarkEnd w:id="76"/>
      <w:bookmarkEnd w:id="77"/>
      <w:r>
        <w:t>Determination</w:t>
      </w:r>
      <w:r>
        <w:rPr>
          <w:spacing w:val="2"/>
        </w:rPr>
        <w:t xml:space="preserve"> </w:t>
      </w:r>
      <w:r>
        <w:t>of</w:t>
      </w:r>
      <w:r>
        <w:rPr>
          <w:spacing w:val="-8"/>
        </w:rPr>
        <w:t xml:space="preserve"> </w:t>
      </w:r>
      <w:r>
        <w:rPr>
          <w:spacing w:val="-2"/>
        </w:rPr>
        <w:t>Responsiveness</w:t>
      </w:r>
    </w:p>
    <w:p w14:paraId="242C2E3D" w14:textId="77777777" w:rsidR="00BB77C0" w:rsidRDefault="00370BAA">
      <w:pPr>
        <w:pStyle w:val="ListParagraph"/>
        <w:numPr>
          <w:ilvl w:val="1"/>
          <w:numId w:val="82"/>
        </w:numPr>
        <w:tabs>
          <w:tab w:val="left" w:pos="1441"/>
        </w:tabs>
        <w:spacing w:before="79" w:line="259" w:lineRule="auto"/>
        <w:ind w:left="1441" w:right="324"/>
        <w:jc w:val="left"/>
        <w:rPr>
          <w:color w:val="211F1F"/>
          <w:sz w:val="24"/>
        </w:rPr>
      </w:pPr>
      <w:r>
        <w:rPr>
          <w:color w:val="211F1F"/>
          <w:sz w:val="24"/>
        </w:rPr>
        <w:t>The</w:t>
      </w:r>
      <w:r>
        <w:rPr>
          <w:color w:val="211F1F"/>
          <w:spacing w:val="-9"/>
          <w:sz w:val="24"/>
        </w:rPr>
        <w:t xml:space="preserve"> </w:t>
      </w:r>
      <w:r>
        <w:rPr>
          <w:color w:val="211F1F"/>
          <w:sz w:val="24"/>
        </w:rPr>
        <w:t>Procuring</w:t>
      </w:r>
      <w:r>
        <w:rPr>
          <w:color w:val="211F1F"/>
          <w:spacing w:val="-2"/>
          <w:sz w:val="24"/>
        </w:rPr>
        <w:t xml:space="preserve"> </w:t>
      </w:r>
      <w:r>
        <w:rPr>
          <w:color w:val="211F1F"/>
          <w:sz w:val="24"/>
        </w:rPr>
        <w:t>Entity's</w:t>
      </w:r>
      <w:r>
        <w:rPr>
          <w:color w:val="211F1F"/>
          <w:spacing w:val="-4"/>
          <w:sz w:val="24"/>
        </w:rPr>
        <w:t xml:space="preserve"> </w:t>
      </w:r>
      <w:r>
        <w:rPr>
          <w:color w:val="211F1F"/>
          <w:sz w:val="24"/>
        </w:rPr>
        <w:t>determination</w:t>
      </w:r>
      <w:r>
        <w:rPr>
          <w:color w:val="211F1F"/>
          <w:spacing w:val="-6"/>
          <w:sz w:val="24"/>
        </w:rPr>
        <w:t xml:space="preserve"> </w:t>
      </w:r>
      <w:r>
        <w:rPr>
          <w:color w:val="211F1F"/>
          <w:sz w:val="24"/>
        </w:rPr>
        <w:t>of</w:t>
      </w:r>
      <w:r>
        <w:rPr>
          <w:color w:val="211F1F"/>
          <w:spacing w:val="-11"/>
          <w:sz w:val="24"/>
        </w:rPr>
        <w:t xml:space="preserve"> </w:t>
      </w:r>
      <w:r>
        <w:rPr>
          <w:color w:val="211F1F"/>
          <w:sz w:val="24"/>
        </w:rPr>
        <w:t>a</w:t>
      </w:r>
      <w:r>
        <w:rPr>
          <w:color w:val="211F1F"/>
          <w:spacing w:val="-9"/>
          <w:sz w:val="24"/>
        </w:rPr>
        <w:t xml:space="preserve"> </w:t>
      </w:r>
      <w:r>
        <w:rPr>
          <w:color w:val="211F1F"/>
          <w:sz w:val="24"/>
        </w:rPr>
        <w:t>Tender's</w:t>
      </w:r>
      <w:r>
        <w:rPr>
          <w:color w:val="211F1F"/>
          <w:spacing w:val="-1"/>
          <w:sz w:val="24"/>
        </w:rPr>
        <w:t xml:space="preserve"> </w:t>
      </w:r>
      <w:r>
        <w:rPr>
          <w:color w:val="211F1F"/>
          <w:sz w:val="24"/>
        </w:rPr>
        <w:t>responsiveness is</w:t>
      </w:r>
      <w:r>
        <w:rPr>
          <w:color w:val="211F1F"/>
          <w:spacing w:val="-5"/>
          <w:sz w:val="24"/>
        </w:rPr>
        <w:t xml:space="preserve"> </w:t>
      </w:r>
      <w:r>
        <w:rPr>
          <w:color w:val="211F1F"/>
          <w:sz w:val="24"/>
        </w:rPr>
        <w:t>to</w:t>
      </w:r>
      <w:r>
        <w:rPr>
          <w:color w:val="211F1F"/>
          <w:spacing w:val="-3"/>
          <w:sz w:val="24"/>
        </w:rPr>
        <w:t xml:space="preserve"> </w:t>
      </w:r>
      <w:r>
        <w:rPr>
          <w:color w:val="211F1F"/>
          <w:sz w:val="24"/>
        </w:rPr>
        <w:t>be</w:t>
      </w:r>
      <w:r>
        <w:rPr>
          <w:color w:val="211F1F"/>
          <w:spacing w:val="-9"/>
          <w:sz w:val="24"/>
        </w:rPr>
        <w:t xml:space="preserve"> </w:t>
      </w:r>
      <w:r>
        <w:rPr>
          <w:color w:val="211F1F"/>
          <w:sz w:val="24"/>
        </w:rPr>
        <w:t>based</w:t>
      </w:r>
      <w:r>
        <w:rPr>
          <w:color w:val="211F1F"/>
          <w:spacing w:val="-2"/>
          <w:sz w:val="24"/>
        </w:rPr>
        <w:t xml:space="preserve"> </w:t>
      </w:r>
      <w:r>
        <w:rPr>
          <w:color w:val="211F1F"/>
          <w:sz w:val="24"/>
        </w:rPr>
        <w:t>on the contents of</w:t>
      </w:r>
      <w:r>
        <w:rPr>
          <w:color w:val="211F1F"/>
          <w:spacing w:val="-1"/>
          <w:sz w:val="24"/>
        </w:rPr>
        <w:t xml:space="preserve"> </w:t>
      </w:r>
      <w:r>
        <w:rPr>
          <w:color w:val="211F1F"/>
          <w:sz w:val="24"/>
        </w:rPr>
        <w:t>the tender itself, as defined in ITT 11.</w:t>
      </w:r>
    </w:p>
    <w:p w14:paraId="4DF695BB" w14:textId="77777777" w:rsidR="00BB77C0" w:rsidRDefault="00BB77C0">
      <w:pPr>
        <w:pStyle w:val="ListParagraph"/>
        <w:spacing w:line="259" w:lineRule="auto"/>
        <w:rPr>
          <w:sz w:val="24"/>
        </w:rPr>
        <w:sectPr w:rsidR="00BB77C0">
          <w:pgSz w:w="11930" w:h="16870"/>
          <w:pgMar w:top="1340" w:right="1080" w:bottom="280" w:left="1080" w:header="720" w:footer="720" w:gutter="0"/>
          <w:cols w:space="720"/>
        </w:sectPr>
      </w:pPr>
    </w:p>
    <w:p w14:paraId="07DAF56D" w14:textId="77777777" w:rsidR="00BB77C0" w:rsidRDefault="00370BAA">
      <w:pPr>
        <w:pStyle w:val="ListParagraph"/>
        <w:numPr>
          <w:ilvl w:val="1"/>
          <w:numId w:val="82"/>
        </w:numPr>
        <w:tabs>
          <w:tab w:val="left" w:pos="1441"/>
        </w:tabs>
        <w:spacing w:before="75" w:line="261" w:lineRule="auto"/>
        <w:ind w:left="1441" w:right="237"/>
        <w:jc w:val="left"/>
        <w:rPr>
          <w:color w:val="211F1F"/>
          <w:sz w:val="24"/>
        </w:rPr>
      </w:pPr>
      <w:r>
        <w:rPr>
          <w:color w:val="211F1F"/>
          <w:sz w:val="24"/>
        </w:rPr>
        <w:lastRenderedPageBreak/>
        <w:t>A substantially responsive Tender is one that meets the requirements of the Tender document</w:t>
      </w:r>
      <w:r>
        <w:rPr>
          <w:color w:val="211F1F"/>
          <w:spacing w:val="-6"/>
          <w:sz w:val="24"/>
        </w:rPr>
        <w:t xml:space="preserve"> </w:t>
      </w:r>
      <w:r>
        <w:rPr>
          <w:color w:val="211F1F"/>
          <w:sz w:val="24"/>
        </w:rPr>
        <w:t>without</w:t>
      </w:r>
      <w:r>
        <w:rPr>
          <w:color w:val="211F1F"/>
          <w:spacing w:val="-8"/>
          <w:sz w:val="24"/>
        </w:rPr>
        <w:t xml:space="preserve"> </w:t>
      </w:r>
      <w:r>
        <w:rPr>
          <w:color w:val="211F1F"/>
          <w:sz w:val="24"/>
        </w:rPr>
        <w:t>material</w:t>
      </w:r>
      <w:r>
        <w:rPr>
          <w:color w:val="211F1F"/>
          <w:spacing w:val="-12"/>
          <w:sz w:val="24"/>
        </w:rPr>
        <w:t xml:space="preserve"> </w:t>
      </w:r>
      <w:r>
        <w:rPr>
          <w:color w:val="211F1F"/>
          <w:sz w:val="24"/>
        </w:rPr>
        <w:t>deviation,</w:t>
      </w:r>
      <w:r>
        <w:rPr>
          <w:color w:val="211F1F"/>
          <w:spacing w:val="-6"/>
          <w:sz w:val="24"/>
        </w:rPr>
        <w:t xml:space="preserve"> </w:t>
      </w:r>
      <w:r>
        <w:rPr>
          <w:color w:val="211F1F"/>
          <w:sz w:val="24"/>
        </w:rPr>
        <w:t>reservation,</w:t>
      </w:r>
      <w:r>
        <w:rPr>
          <w:color w:val="211F1F"/>
          <w:spacing w:val="-2"/>
          <w:sz w:val="24"/>
        </w:rPr>
        <w:t xml:space="preserve"> </w:t>
      </w:r>
      <w:r>
        <w:rPr>
          <w:color w:val="211F1F"/>
          <w:sz w:val="24"/>
        </w:rPr>
        <w:t>or</w:t>
      </w:r>
      <w:r>
        <w:rPr>
          <w:color w:val="211F1F"/>
          <w:spacing w:val="-15"/>
          <w:sz w:val="24"/>
        </w:rPr>
        <w:t xml:space="preserve"> </w:t>
      </w:r>
      <w:r>
        <w:rPr>
          <w:color w:val="211F1F"/>
          <w:sz w:val="24"/>
        </w:rPr>
        <w:t>omission.</w:t>
      </w:r>
      <w:r>
        <w:rPr>
          <w:color w:val="211F1F"/>
          <w:spacing w:val="-6"/>
          <w:sz w:val="24"/>
        </w:rPr>
        <w:t xml:space="preserve"> </w:t>
      </w:r>
      <w:r>
        <w:rPr>
          <w:color w:val="211F1F"/>
          <w:sz w:val="24"/>
        </w:rPr>
        <w:t>A</w:t>
      </w:r>
      <w:r>
        <w:rPr>
          <w:color w:val="211F1F"/>
          <w:spacing w:val="-10"/>
          <w:sz w:val="24"/>
        </w:rPr>
        <w:t xml:space="preserve"> </w:t>
      </w:r>
      <w:r>
        <w:rPr>
          <w:color w:val="211F1F"/>
          <w:sz w:val="24"/>
        </w:rPr>
        <w:t>material</w:t>
      </w:r>
      <w:r>
        <w:rPr>
          <w:color w:val="211F1F"/>
          <w:spacing w:val="-12"/>
          <w:sz w:val="24"/>
        </w:rPr>
        <w:t xml:space="preserve"> </w:t>
      </w:r>
      <w:r>
        <w:rPr>
          <w:color w:val="211F1F"/>
          <w:sz w:val="24"/>
        </w:rPr>
        <w:t>deviation, reservation, or omission is one that, if accepted, would:</w:t>
      </w:r>
    </w:p>
    <w:p w14:paraId="76060127" w14:textId="77777777" w:rsidR="00BB77C0" w:rsidRDefault="00370BAA">
      <w:pPr>
        <w:pStyle w:val="ListParagraph"/>
        <w:numPr>
          <w:ilvl w:val="2"/>
          <w:numId w:val="82"/>
        </w:numPr>
        <w:tabs>
          <w:tab w:val="left" w:pos="2159"/>
          <w:tab w:val="left" w:pos="2161"/>
        </w:tabs>
        <w:spacing w:before="157" w:line="237" w:lineRule="auto"/>
        <w:ind w:right="160"/>
        <w:rPr>
          <w:sz w:val="24"/>
        </w:rPr>
      </w:pPr>
      <w:r>
        <w:rPr>
          <w:color w:val="211F1F"/>
          <w:sz w:val="24"/>
        </w:rPr>
        <w:t>Affect</w:t>
      </w:r>
      <w:r>
        <w:rPr>
          <w:color w:val="211F1F"/>
          <w:spacing w:val="-1"/>
          <w:sz w:val="24"/>
        </w:rPr>
        <w:t xml:space="preserve"> </w:t>
      </w:r>
      <w:r>
        <w:rPr>
          <w:color w:val="211F1F"/>
          <w:sz w:val="24"/>
        </w:rPr>
        <w:t>in</w:t>
      </w:r>
      <w:r>
        <w:rPr>
          <w:color w:val="211F1F"/>
          <w:spacing w:val="-6"/>
          <w:sz w:val="24"/>
        </w:rPr>
        <w:t xml:space="preserve"> </w:t>
      </w:r>
      <w:r>
        <w:rPr>
          <w:color w:val="211F1F"/>
          <w:sz w:val="24"/>
        </w:rPr>
        <w:t>any</w:t>
      </w:r>
      <w:r>
        <w:rPr>
          <w:color w:val="211F1F"/>
          <w:spacing w:val="-10"/>
          <w:sz w:val="24"/>
        </w:rPr>
        <w:t xml:space="preserve"> </w:t>
      </w:r>
      <w:r>
        <w:rPr>
          <w:color w:val="211F1F"/>
          <w:sz w:val="24"/>
        </w:rPr>
        <w:t>substantial</w:t>
      </w:r>
      <w:r>
        <w:rPr>
          <w:color w:val="211F1F"/>
          <w:spacing w:val="-9"/>
          <w:sz w:val="24"/>
        </w:rPr>
        <w:t xml:space="preserve"> </w:t>
      </w:r>
      <w:r>
        <w:rPr>
          <w:color w:val="211F1F"/>
          <w:sz w:val="24"/>
        </w:rPr>
        <w:t>way</w:t>
      </w:r>
      <w:r>
        <w:rPr>
          <w:color w:val="211F1F"/>
          <w:spacing w:val="-6"/>
          <w:sz w:val="24"/>
        </w:rPr>
        <w:t xml:space="preserve"> </w:t>
      </w:r>
      <w:r>
        <w:rPr>
          <w:color w:val="211F1F"/>
          <w:sz w:val="24"/>
        </w:rPr>
        <w:t>the</w:t>
      </w:r>
      <w:r>
        <w:rPr>
          <w:color w:val="211F1F"/>
          <w:spacing w:val="-3"/>
          <w:sz w:val="24"/>
        </w:rPr>
        <w:t xml:space="preserve"> </w:t>
      </w:r>
      <w:r>
        <w:rPr>
          <w:color w:val="211F1F"/>
          <w:sz w:val="24"/>
        </w:rPr>
        <w:t>scope,</w:t>
      </w:r>
      <w:r>
        <w:rPr>
          <w:color w:val="211F1F"/>
          <w:spacing w:val="-4"/>
          <w:sz w:val="24"/>
        </w:rPr>
        <w:t xml:space="preserve"> </w:t>
      </w:r>
      <w:r>
        <w:rPr>
          <w:color w:val="211F1F"/>
          <w:sz w:val="24"/>
        </w:rPr>
        <w:t>quality, or</w:t>
      </w:r>
      <w:r>
        <w:rPr>
          <w:color w:val="211F1F"/>
          <w:spacing w:val="-5"/>
          <w:sz w:val="24"/>
        </w:rPr>
        <w:t xml:space="preserve"> </w:t>
      </w:r>
      <w:r>
        <w:rPr>
          <w:color w:val="211F1F"/>
          <w:sz w:val="24"/>
        </w:rPr>
        <w:t>performance</w:t>
      </w:r>
      <w:r>
        <w:rPr>
          <w:color w:val="211F1F"/>
          <w:spacing w:val="-1"/>
          <w:sz w:val="24"/>
        </w:rPr>
        <w:t xml:space="preserve"> </w:t>
      </w:r>
      <w:r>
        <w:rPr>
          <w:color w:val="211F1F"/>
          <w:sz w:val="24"/>
        </w:rPr>
        <w:t>of</w:t>
      </w:r>
      <w:r>
        <w:rPr>
          <w:color w:val="211F1F"/>
          <w:spacing w:val="-14"/>
          <w:sz w:val="24"/>
        </w:rPr>
        <w:t xml:space="preserve"> </w:t>
      </w:r>
      <w:r>
        <w:rPr>
          <w:color w:val="211F1F"/>
          <w:sz w:val="24"/>
        </w:rPr>
        <w:t>the</w:t>
      </w:r>
      <w:r>
        <w:rPr>
          <w:color w:val="211F1F"/>
          <w:spacing w:val="-3"/>
          <w:sz w:val="24"/>
        </w:rPr>
        <w:t xml:space="preserve"> </w:t>
      </w:r>
      <w:r>
        <w:rPr>
          <w:color w:val="211F1F"/>
          <w:sz w:val="24"/>
        </w:rPr>
        <w:t>Works specified in the Contract; or</w:t>
      </w:r>
    </w:p>
    <w:p w14:paraId="5F673BF6" w14:textId="77777777" w:rsidR="00BB77C0" w:rsidRDefault="00370BAA">
      <w:pPr>
        <w:pStyle w:val="ListParagraph"/>
        <w:numPr>
          <w:ilvl w:val="2"/>
          <w:numId w:val="82"/>
        </w:numPr>
        <w:tabs>
          <w:tab w:val="left" w:pos="2153"/>
          <w:tab w:val="left" w:pos="2161"/>
        </w:tabs>
        <w:spacing w:before="3"/>
        <w:ind w:right="676"/>
        <w:rPr>
          <w:sz w:val="24"/>
        </w:rPr>
      </w:pPr>
      <w:r>
        <w:rPr>
          <w:color w:val="211F1F"/>
          <w:sz w:val="24"/>
        </w:rPr>
        <w:t>limit in any</w:t>
      </w:r>
      <w:r>
        <w:rPr>
          <w:color w:val="211F1F"/>
          <w:spacing w:val="-4"/>
          <w:sz w:val="24"/>
        </w:rPr>
        <w:t xml:space="preserve"> </w:t>
      </w:r>
      <w:r>
        <w:rPr>
          <w:color w:val="211F1F"/>
          <w:sz w:val="24"/>
        </w:rPr>
        <w:t>substantial</w:t>
      </w:r>
      <w:r>
        <w:rPr>
          <w:color w:val="211F1F"/>
          <w:spacing w:val="-3"/>
          <w:sz w:val="24"/>
        </w:rPr>
        <w:t xml:space="preserve"> </w:t>
      </w:r>
      <w:r>
        <w:rPr>
          <w:color w:val="211F1F"/>
          <w:sz w:val="24"/>
        </w:rPr>
        <w:t>way, inconsistent with the tender document, the Procuring</w:t>
      </w:r>
      <w:r>
        <w:rPr>
          <w:color w:val="211F1F"/>
          <w:spacing w:val="-6"/>
          <w:sz w:val="24"/>
        </w:rPr>
        <w:t xml:space="preserve"> </w:t>
      </w:r>
      <w:r>
        <w:rPr>
          <w:color w:val="211F1F"/>
          <w:sz w:val="24"/>
        </w:rPr>
        <w:t>Entity's</w:t>
      </w:r>
      <w:r>
        <w:rPr>
          <w:color w:val="211F1F"/>
          <w:spacing w:val="-8"/>
          <w:sz w:val="24"/>
        </w:rPr>
        <w:t xml:space="preserve"> </w:t>
      </w:r>
      <w:r>
        <w:rPr>
          <w:color w:val="211F1F"/>
          <w:sz w:val="24"/>
        </w:rPr>
        <w:t>rights</w:t>
      </w:r>
      <w:r>
        <w:rPr>
          <w:color w:val="211F1F"/>
          <w:spacing w:val="-8"/>
          <w:sz w:val="24"/>
        </w:rPr>
        <w:t xml:space="preserve"> </w:t>
      </w:r>
      <w:r>
        <w:rPr>
          <w:color w:val="211F1F"/>
          <w:sz w:val="24"/>
        </w:rPr>
        <w:t>or</w:t>
      </w:r>
      <w:r>
        <w:rPr>
          <w:color w:val="211F1F"/>
          <w:spacing w:val="-10"/>
          <w:sz w:val="24"/>
        </w:rPr>
        <w:t xml:space="preserve"> </w:t>
      </w:r>
      <w:r>
        <w:rPr>
          <w:color w:val="211F1F"/>
          <w:sz w:val="24"/>
        </w:rPr>
        <w:t>the</w:t>
      </w:r>
      <w:r>
        <w:rPr>
          <w:color w:val="211F1F"/>
          <w:spacing w:val="-12"/>
          <w:sz w:val="24"/>
        </w:rPr>
        <w:t xml:space="preserve"> </w:t>
      </w:r>
      <w:r>
        <w:rPr>
          <w:color w:val="211F1F"/>
          <w:sz w:val="24"/>
        </w:rPr>
        <w:t>tenderer's</w:t>
      </w:r>
      <w:r>
        <w:rPr>
          <w:color w:val="211F1F"/>
          <w:spacing w:val="-8"/>
          <w:sz w:val="24"/>
        </w:rPr>
        <w:t xml:space="preserve"> </w:t>
      </w:r>
      <w:r>
        <w:rPr>
          <w:color w:val="211F1F"/>
          <w:sz w:val="24"/>
        </w:rPr>
        <w:t>obligations</w:t>
      </w:r>
      <w:r>
        <w:rPr>
          <w:color w:val="211F1F"/>
          <w:spacing w:val="-8"/>
          <w:sz w:val="24"/>
        </w:rPr>
        <w:t xml:space="preserve"> </w:t>
      </w:r>
      <w:r>
        <w:rPr>
          <w:color w:val="211F1F"/>
          <w:sz w:val="24"/>
        </w:rPr>
        <w:t>under</w:t>
      </w:r>
      <w:r>
        <w:rPr>
          <w:color w:val="211F1F"/>
          <w:spacing w:val="-5"/>
          <w:sz w:val="24"/>
        </w:rPr>
        <w:t xml:space="preserve"> </w:t>
      </w:r>
      <w:r>
        <w:rPr>
          <w:color w:val="211F1F"/>
          <w:sz w:val="24"/>
        </w:rPr>
        <w:t>the</w:t>
      </w:r>
      <w:r>
        <w:rPr>
          <w:color w:val="211F1F"/>
          <w:spacing w:val="-7"/>
          <w:sz w:val="24"/>
        </w:rPr>
        <w:t xml:space="preserve"> </w:t>
      </w:r>
      <w:r>
        <w:rPr>
          <w:color w:val="211F1F"/>
          <w:sz w:val="24"/>
        </w:rPr>
        <w:t>proposed contract; or</w:t>
      </w:r>
    </w:p>
    <w:p w14:paraId="167443E1" w14:textId="77777777" w:rsidR="00BB77C0" w:rsidRDefault="00370BAA">
      <w:pPr>
        <w:pStyle w:val="ListParagraph"/>
        <w:numPr>
          <w:ilvl w:val="2"/>
          <w:numId w:val="82"/>
        </w:numPr>
        <w:tabs>
          <w:tab w:val="left" w:pos="2153"/>
          <w:tab w:val="left" w:pos="2161"/>
        </w:tabs>
        <w:spacing w:line="242" w:lineRule="auto"/>
        <w:ind w:right="367"/>
        <w:rPr>
          <w:sz w:val="24"/>
        </w:rPr>
      </w:pPr>
      <w:r>
        <w:rPr>
          <w:color w:val="211F1F"/>
          <w:sz w:val="24"/>
        </w:rPr>
        <w:t>if</w:t>
      </w:r>
      <w:r>
        <w:rPr>
          <w:color w:val="211F1F"/>
          <w:spacing w:val="-15"/>
          <w:sz w:val="24"/>
        </w:rPr>
        <w:t xml:space="preserve"> </w:t>
      </w:r>
      <w:r>
        <w:rPr>
          <w:color w:val="211F1F"/>
          <w:sz w:val="24"/>
        </w:rPr>
        <w:t>rectified, would</w:t>
      </w:r>
      <w:r>
        <w:rPr>
          <w:color w:val="211F1F"/>
          <w:spacing w:val="-7"/>
          <w:sz w:val="24"/>
        </w:rPr>
        <w:t xml:space="preserve"> </w:t>
      </w:r>
      <w:r>
        <w:rPr>
          <w:color w:val="211F1F"/>
          <w:sz w:val="24"/>
        </w:rPr>
        <w:t>unfairly</w:t>
      </w:r>
      <w:r>
        <w:rPr>
          <w:color w:val="211F1F"/>
          <w:spacing w:val="-7"/>
          <w:sz w:val="24"/>
        </w:rPr>
        <w:t xml:space="preserve"> </w:t>
      </w:r>
      <w:r>
        <w:rPr>
          <w:color w:val="211F1F"/>
          <w:sz w:val="24"/>
        </w:rPr>
        <w:t>affect</w:t>
      </w:r>
      <w:r>
        <w:rPr>
          <w:color w:val="211F1F"/>
          <w:spacing w:val="-2"/>
          <w:sz w:val="24"/>
        </w:rPr>
        <w:t xml:space="preserve"> </w:t>
      </w:r>
      <w:r>
        <w:rPr>
          <w:color w:val="211F1F"/>
          <w:sz w:val="24"/>
        </w:rPr>
        <w:t>the</w:t>
      </w:r>
      <w:r>
        <w:rPr>
          <w:color w:val="211F1F"/>
          <w:spacing w:val="-7"/>
          <w:sz w:val="24"/>
        </w:rPr>
        <w:t xml:space="preserve"> </w:t>
      </w:r>
      <w:r>
        <w:rPr>
          <w:color w:val="211F1F"/>
          <w:sz w:val="24"/>
        </w:rPr>
        <w:t>competitive</w:t>
      </w:r>
      <w:r>
        <w:rPr>
          <w:color w:val="211F1F"/>
          <w:spacing w:val="-7"/>
          <w:sz w:val="24"/>
        </w:rPr>
        <w:t xml:space="preserve"> </w:t>
      </w:r>
      <w:r>
        <w:rPr>
          <w:color w:val="211F1F"/>
          <w:sz w:val="24"/>
        </w:rPr>
        <w:t>position</w:t>
      </w:r>
      <w:r>
        <w:rPr>
          <w:color w:val="211F1F"/>
          <w:spacing w:val="-11"/>
          <w:sz w:val="24"/>
        </w:rPr>
        <w:t xml:space="preserve"> </w:t>
      </w:r>
      <w:r>
        <w:rPr>
          <w:color w:val="211F1F"/>
          <w:sz w:val="24"/>
        </w:rPr>
        <w:t>of</w:t>
      </w:r>
      <w:r>
        <w:rPr>
          <w:color w:val="211F1F"/>
          <w:spacing w:val="-14"/>
          <w:sz w:val="24"/>
        </w:rPr>
        <w:t xml:space="preserve"> </w:t>
      </w:r>
      <w:r>
        <w:rPr>
          <w:color w:val="211F1F"/>
          <w:sz w:val="24"/>
        </w:rPr>
        <w:t>other</w:t>
      </w:r>
      <w:r>
        <w:rPr>
          <w:color w:val="211F1F"/>
          <w:spacing w:val="-10"/>
          <w:sz w:val="24"/>
        </w:rPr>
        <w:t xml:space="preserve"> </w:t>
      </w:r>
      <w:r>
        <w:rPr>
          <w:color w:val="211F1F"/>
          <w:sz w:val="24"/>
        </w:rPr>
        <w:t>tenderers presenting substantially responsive tenders.</w:t>
      </w:r>
    </w:p>
    <w:p w14:paraId="055CDDB7" w14:textId="77777777" w:rsidR="00BB77C0" w:rsidRDefault="00370BAA">
      <w:pPr>
        <w:pStyle w:val="ListParagraph"/>
        <w:numPr>
          <w:ilvl w:val="1"/>
          <w:numId w:val="82"/>
        </w:numPr>
        <w:tabs>
          <w:tab w:val="left" w:pos="1441"/>
        </w:tabs>
        <w:spacing w:line="261" w:lineRule="auto"/>
        <w:ind w:left="1441" w:right="141"/>
        <w:jc w:val="left"/>
        <w:rPr>
          <w:color w:val="211F1F"/>
          <w:sz w:val="24"/>
        </w:rPr>
      </w:pPr>
      <w:r>
        <w:rPr>
          <w:color w:val="211F1F"/>
          <w:sz w:val="24"/>
        </w:rPr>
        <w:t>The Procuring Entity shall examine the technical aspects of the tender submitted in accordance with ITT 16, to confirm that all requirements of Section VII, Works' Requirements</w:t>
      </w:r>
      <w:r>
        <w:rPr>
          <w:color w:val="211F1F"/>
          <w:spacing w:val="-5"/>
          <w:sz w:val="24"/>
        </w:rPr>
        <w:t xml:space="preserve"> </w:t>
      </w:r>
      <w:r>
        <w:rPr>
          <w:color w:val="211F1F"/>
          <w:sz w:val="24"/>
        </w:rPr>
        <w:t>have</w:t>
      </w:r>
      <w:r>
        <w:rPr>
          <w:color w:val="211F1F"/>
          <w:spacing w:val="-5"/>
          <w:sz w:val="24"/>
        </w:rPr>
        <w:t xml:space="preserve"> </w:t>
      </w:r>
      <w:r>
        <w:rPr>
          <w:color w:val="211F1F"/>
          <w:sz w:val="24"/>
        </w:rPr>
        <w:t>been</w:t>
      </w:r>
      <w:r>
        <w:rPr>
          <w:color w:val="211F1F"/>
          <w:spacing w:val="-5"/>
          <w:sz w:val="24"/>
        </w:rPr>
        <w:t xml:space="preserve"> </w:t>
      </w:r>
      <w:r>
        <w:rPr>
          <w:color w:val="211F1F"/>
          <w:sz w:val="24"/>
        </w:rPr>
        <w:t>met</w:t>
      </w:r>
      <w:r>
        <w:rPr>
          <w:color w:val="211F1F"/>
          <w:spacing w:val="-4"/>
          <w:sz w:val="24"/>
        </w:rPr>
        <w:t xml:space="preserve"> </w:t>
      </w:r>
      <w:r>
        <w:rPr>
          <w:color w:val="211F1F"/>
          <w:sz w:val="24"/>
        </w:rPr>
        <w:t>without</w:t>
      </w:r>
      <w:r>
        <w:rPr>
          <w:color w:val="211F1F"/>
          <w:spacing w:val="-3"/>
          <w:sz w:val="24"/>
        </w:rPr>
        <w:t xml:space="preserve"> </w:t>
      </w:r>
      <w:r>
        <w:rPr>
          <w:color w:val="211F1F"/>
          <w:sz w:val="24"/>
        </w:rPr>
        <w:t>any</w:t>
      </w:r>
      <w:r>
        <w:rPr>
          <w:color w:val="211F1F"/>
          <w:spacing w:val="-14"/>
          <w:sz w:val="24"/>
        </w:rPr>
        <w:t xml:space="preserve"> </w:t>
      </w:r>
      <w:r>
        <w:rPr>
          <w:color w:val="211F1F"/>
          <w:sz w:val="24"/>
        </w:rPr>
        <w:t>material</w:t>
      </w:r>
      <w:r>
        <w:rPr>
          <w:color w:val="211F1F"/>
          <w:spacing w:val="-8"/>
          <w:sz w:val="24"/>
        </w:rPr>
        <w:t xml:space="preserve"> </w:t>
      </w:r>
      <w:r>
        <w:rPr>
          <w:color w:val="211F1F"/>
          <w:sz w:val="24"/>
        </w:rPr>
        <w:t>deviation,</w:t>
      </w:r>
      <w:r>
        <w:rPr>
          <w:color w:val="211F1F"/>
          <w:spacing w:val="-6"/>
          <w:sz w:val="24"/>
        </w:rPr>
        <w:t xml:space="preserve"> </w:t>
      </w:r>
      <w:r>
        <w:rPr>
          <w:color w:val="211F1F"/>
          <w:sz w:val="24"/>
        </w:rPr>
        <w:t>reservation</w:t>
      </w:r>
      <w:r>
        <w:rPr>
          <w:color w:val="211F1F"/>
          <w:spacing w:val="-12"/>
          <w:sz w:val="24"/>
        </w:rPr>
        <w:t xml:space="preserve"> </w:t>
      </w:r>
      <w:r>
        <w:rPr>
          <w:color w:val="211F1F"/>
          <w:sz w:val="24"/>
        </w:rPr>
        <w:t>or</w:t>
      </w:r>
      <w:r>
        <w:rPr>
          <w:color w:val="211F1F"/>
          <w:spacing w:val="-8"/>
          <w:sz w:val="24"/>
        </w:rPr>
        <w:t xml:space="preserve"> </w:t>
      </w:r>
      <w:r>
        <w:rPr>
          <w:color w:val="211F1F"/>
          <w:sz w:val="24"/>
        </w:rPr>
        <w:t>omission.</w:t>
      </w:r>
    </w:p>
    <w:p w14:paraId="56B27A30" w14:textId="77777777" w:rsidR="00BB77C0" w:rsidRDefault="00370BAA">
      <w:pPr>
        <w:pStyle w:val="ListParagraph"/>
        <w:numPr>
          <w:ilvl w:val="1"/>
          <w:numId w:val="82"/>
        </w:numPr>
        <w:tabs>
          <w:tab w:val="left" w:pos="1441"/>
        </w:tabs>
        <w:spacing w:before="147" w:line="259" w:lineRule="auto"/>
        <w:ind w:left="1441" w:right="170"/>
        <w:jc w:val="left"/>
        <w:rPr>
          <w:color w:val="211F1F"/>
          <w:sz w:val="24"/>
        </w:rPr>
      </w:pPr>
      <w:r>
        <w:rPr>
          <w:color w:val="211F1F"/>
          <w:sz w:val="24"/>
        </w:rPr>
        <w:t>If</w:t>
      </w:r>
      <w:r>
        <w:rPr>
          <w:color w:val="211F1F"/>
          <w:spacing w:val="-13"/>
          <w:sz w:val="24"/>
        </w:rPr>
        <w:t xml:space="preserve"> </w:t>
      </w:r>
      <w:r>
        <w:rPr>
          <w:color w:val="211F1F"/>
          <w:sz w:val="24"/>
        </w:rPr>
        <w:t>a</w:t>
      </w:r>
      <w:r>
        <w:rPr>
          <w:color w:val="211F1F"/>
          <w:spacing w:val="-7"/>
          <w:sz w:val="24"/>
        </w:rPr>
        <w:t xml:space="preserve"> </w:t>
      </w:r>
      <w:r>
        <w:rPr>
          <w:color w:val="211F1F"/>
          <w:sz w:val="24"/>
        </w:rPr>
        <w:t>tender is</w:t>
      </w:r>
      <w:r>
        <w:rPr>
          <w:color w:val="211F1F"/>
          <w:spacing w:val="-3"/>
          <w:sz w:val="24"/>
        </w:rPr>
        <w:t xml:space="preserve"> </w:t>
      </w:r>
      <w:r>
        <w:rPr>
          <w:color w:val="211F1F"/>
          <w:sz w:val="24"/>
        </w:rPr>
        <w:t>not substantially</w:t>
      </w:r>
      <w:r>
        <w:rPr>
          <w:color w:val="211F1F"/>
          <w:spacing w:val="-9"/>
          <w:sz w:val="24"/>
        </w:rPr>
        <w:t xml:space="preserve"> </w:t>
      </w:r>
      <w:r>
        <w:rPr>
          <w:color w:val="211F1F"/>
          <w:sz w:val="24"/>
        </w:rPr>
        <w:t>responsive</w:t>
      </w:r>
      <w:r>
        <w:rPr>
          <w:color w:val="211F1F"/>
          <w:spacing w:val="-6"/>
          <w:sz w:val="24"/>
        </w:rPr>
        <w:t xml:space="preserve"> </w:t>
      </w:r>
      <w:r>
        <w:rPr>
          <w:color w:val="211F1F"/>
          <w:sz w:val="24"/>
        </w:rPr>
        <w:t>to</w:t>
      </w:r>
      <w:r>
        <w:rPr>
          <w:color w:val="211F1F"/>
          <w:spacing w:val="-5"/>
          <w:sz w:val="24"/>
        </w:rPr>
        <w:t xml:space="preserve"> </w:t>
      </w:r>
      <w:r>
        <w:rPr>
          <w:color w:val="211F1F"/>
          <w:sz w:val="24"/>
        </w:rPr>
        <w:t>the</w:t>
      </w:r>
      <w:r>
        <w:rPr>
          <w:color w:val="211F1F"/>
          <w:spacing w:val="-7"/>
          <w:sz w:val="24"/>
        </w:rPr>
        <w:t xml:space="preserve"> </w:t>
      </w:r>
      <w:r>
        <w:rPr>
          <w:color w:val="211F1F"/>
          <w:sz w:val="24"/>
        </w:rPr>
        <w:t>requirements</w:t>
      </w:r>
      <w:r>
        <w:rPr>
          <w:color w:val="211F1F"/>
          <w:spacing w:val="-6"/>
          <w:sz w:val="24"/>
        </w:rPr>
        <w:t xml:space="preserve"> </w:t>
      </w:r>
      <w:r>
        <w:rPr>
          <w:color w:val="211F1F"/>
          <w:sz w:val="24"/>
        </w:rPr>
        <w:t>of</w:t>
      </w:r>
      <w:r>
        <w:rPr>
          <w:color w:val="211F1F"/>
          <w:spacing w:val="-13"/>
          <w:sz w:val="24"/>
        </w:rPr>
        <w:t xml:space="preserve"> </w:t>
      </w:r>
      <w:r>
        <w:rPr>
          <w:color w:val="211F1F"/>
          <w:sz w:val="24"/>
        </w:rPr>
        <w:t>the</w:t>
      </w:r>
      <w:r>
        <w:rPr>
          <w:color w:val="211F1F"/>
          <w:spacing w:val="-7"/>
          <w:sz w:val="24"/>
        </w:rPr>
        <w:t xml:space="preserve"> </w:t>
      </w:r>
      <w:r>
        <w:rPr>
          <w:color w:val="211F1F"/>
          <w:sz w:val="24"/>
        </w:rPr>
        <w:t>tender document, it shall be rejected by</w:t>
      </w:r>
      <w:r>
        <w:rPr>
          <w:color w:val="211F1F"/>
          <w:spacing w:val="-1"/>
          <w:sz w:val="24"/>
        </w:rPr>
        <w:t xml:space="preserve"> </w:t>
      </w:r>
      <w:r>
        <w:rPr>
          <w:color w:val="211F1F"/>
          <w:sz w:val="24"/>
        </w:rPr>
        <w:t>the Procuring Entity</w:t>
      </w:r>
      <w:r>
        <w:rPr>
          <w:color w:val="211F1F"/>
          <w:spacing w:val="-1"/>
          <w:sz w:val="24"/>
        </w:rPr>
        <w:t xml:space="preserve"> </w:t>
      </w:r>
      <w:r>
        <w:rPr>
          <w:color w:val="211F1F"/>
          <w:sz w:val="24"/>
        </w:rPr>
        <w:t>and may not subsequently be made responsive by correction of the material deviation, reservation, or omission.</w:t>
      </w:r>
    </w:p>
    <w:p w14:paraId="180672EF" w14:textId="77777777" w:rsidR="00BB77C0" w:rsidRDefault="00370BAA">
      <w:pPr>
        <w:pStyle w:val="Heading6"/>
        <w:numPr>
          <w:ilvl w:val="1"/>
          <w:numId w:val="81"/>
        </w:numPr>
        <w:tabs>
          <w:tab w:val="left" w:pos="720"/>
        </w:tabs>
        <w:spacing w:before="243"/>
        <w:ind w:hanging="720"/>
        <w:jc w:val="left"/>
      </w:pPr>
      <w:bookmarkStart w:id="78" w:name="32.0_Non-material_Non-conformities"/>
      <w:bookmarkStart w:id="79" w:name="_bookmark38"/>
      <w:bookmarkEnd w:id="78"/>
      <w:bookmarkEnd w:id="79"/>
      <w:r>
        <w:t>Non-material</w:t>
      </w:r>
      <w:r>
        <w:rPr>
          <w:spacing w:val="-9"/>
        </w:rPr>
        <w:t xml:space="preserve"> </w:t>
      </w:r>
      <w:r>
        <w:t>Non-</w:t>
      </w:r>
      <w:r>
        <w:rPr>
          <w:spacing w:val="-2"/>
        </w:rPr>
        <w:t>conformities</w:t>
      </w:r>
    </w:p>
    <w:p w14:paraId="4A73F917" w14:textId="77777777" w:rsidR="00BB77C0" w:rsidRDefault="00370BAA">
      <w:pPr>
        <w:pStyle w:val="ListParagraph"/>
        <w:numPr>
          <w:ilvl w:val="1"/>
          <w:numId w:val="81"/>
        </w:numPr>
        <w:tabs>
          <w:tab w:val="left" w:pos="1441"/>
        </w:tabs>
        <w:spacing w:before="75" w:line="259" w:lineRule="auto"/>
        <w:ind w:left="1441" w:right="89"/>
        <w:jc w:val="left"/>
        <w:rPr>
          <w:color w:val="211F1F"/>
          <w:sz w:val="24"/>
        </w:rPr>
      </w:pPr>
      <w:r>
        <w:rPr>
          <w:color w:val="211F1F"/>
          <w:sz w:val="24"/>
        </w:rPr>
        <w:t>Provided</w:t>
      </w:r>
      <w:r>
        <w:rPr>
          <w:color w:val="211F1F"/>
          <w:spacing w:val="-6"/>
          <w:sz w:val="24"/>
        </w:rPr>
        <w:t xml:space="preserve"> </w:t>
      </w:r>
      <w:r>
        <w:rPr>
          <w:color w:val="211F1F"/>
          <w:sz w:val="24"/>
        </w:rPr>
        <w:t>that</w:t>
      </w:r>
      <w:r>
        <w:rPr>
          <w:color w:val="211F1F"/>
          <w:spacing w:val="-1"/>
          <w:sz w:val="24"/>
        </w:rPr>
        <w:t xml:space="preserve"> </w:t>
      </w:r>
      <w:r>
        <w:rPr>
          <w:color w:val="211F1F"/>
          <w:sz w:val="24"/>
        </w:rPr>
        <w:t>a</w:t>
      </w:r>
      <w:r>
        <w:rPr>
          <w:color w:val="211F1F"/>
          <w:spacing w:val="-13"/>
          <w:sz w:val="24"/>
        </w:rPr>
        <w:t xml:space="preserve"> </w:t>
      </w:r>
      <w:r>
        <w:rPr>
          <w:color w:val="211F1F"/>
          <w:sz w:val="24"/>
        </w:rPr>
        <w:t>tender is</w:t>
      </w:r>
      <w:r>
        <w:rPr>
          <w:color w:val="211F1F"/>
          <w:spacing w:val="-4"/>
          <w:sz w:val="24"/>
        </w:rPr>
        <w:t xml:space="preserve"> </w:t>
      </w:r>
      <w:r>
        <w:rPr>
          <w:color w:val="211F1F"/>
          <w:sz w:val="24"/>
        </w:rPr>
        <w:t>substantially</w:t>
      </w:r>
      <w:r>
        <w:rPr>
          <w:color w:val="211F1F"/>
          <w:spacing w:val="-10"/>
          <w:sz w:val="24"/>
        </w:rPr>
        <w:t xml:space="preserve"> </w:t>
      </w:r>
      <w:r>
        <w:rPr>
          <w:color w:val="211F1F"/>
          <w:sz w:val="24"/>
        </w:rPr>
        <w:t>responsive,</w:t>
      </w:r>
      <w:r>
        <w:rPr>
          <w:color w:val="211F1F"/>
          <w:spacing w:val="-3"/>
          <w:sz w:val="24"/>
        </w:rPr>
        <w:t xml:space="preserve"> </w:t>
      </w:r>
      <w:r>
        <w:rPr>
          <w:color w:val="211F1F"/>
          <w:sz w:val="24"/>
        </w:rPr>
        <w:t>the</w:t>
      </w:r>
      <w:r>
        <w:rPr>
          <w:color w:val="211F1F"/>
          <w:spacing w:val="-8"/>
          <w:sz w:val="24"/>
        </w:rPr>
        <w:t xml:space="preserve"> </w:t>
      </w:r>
      <w:r>
        <w:rPr>
          <w:color w:val="211F1F"/>
          <w:sz w:val="24"/>
        </w:rPr>
        <w:t>Procuring</w:t>
      </w:r>
      <w:r>
        <w:rPr>
          <w:color w:val="211F1F"/>
          <w:spacing w:val="-5"/>
          <w:sz w:val="24"/>
        </w:rPr>
        <w:t xml:space="preserve"> </w:t>
      </w:r>
      <w:r>
        <w:rPr>
          <w:color w:val="211F1F"/>
          <w:sz w:val="24"/>
        </w:rPr>
        <w:t>Entity</w:t>
      </w:r>
      <w:r>
        <w:rPr>
          <w:color w:val="211F1F"/>
          <w:spacing w:val="-10"/>
          <w:sz w:val="24"/>
        </w:rPr>
        <w:t xml:space="preserve"> </w:t>
      </w:r>
      <w:r>
        <w:rPr>
          <w:color w:val="211F1F"/>
          <w:sz w:val="24"/>
        </w:rPr>
        <w:t>may</w:t>
      </w:r>
      <w:r>
        <w:rPr>
          <w:color w:val="211F1F"/>
          <w:spacing w:val="-11"/>
          <w:sz w:val="24"/>
        </w:rPr>
        <w:t xml:space="preserve"> </w:t>
      </w:r>
      <w:r>
        <w:rPr>
          <w:color w:val="211F1F"/>
          <w:sz w:val="24"/>
        </w:rPr>
        <w:t>waive</w:t>
      </w:r>
      <w:r>
        <w:rPr>
          <w:color w:val="211F1F"/>
          <w:spacing w:val="-7"/>
          <w:sz w:val="24"/>
        </w:rPr>
        <w:t xml:space="preserve"> </w:t>
      </w:r>
      <w:r>
        <w:rPr>
          <w:color w:val="211F1F"/>
          <w:sz w:val="24"/>
        </w:rPr>
        <w:t>any non-conformities in the tender</w:t>
      </w:r>
      <w:r>
        <w:rPr>
          <w:i/>
          <w:color w:val="211F1F"/>
          <w:sz w:val="24"/>
        </w:rPr>
        <w:t>.</w:t>
      </w:r>
    </w:p>
    <w:p w14:paraId="5E27BF05" w14:textId="77777777" w:rsidR="00BB77C0" w:rsidRDefault="00370BAA">
      <w:pPr>
        <w:pStyle w:val="ListParagraph"/>
        <w:numPr>
          <w:ilvl w:val="1"/>
          <w:numId w:val="81"/>
        </w:numPr>
        <w:tabs>
          <w:tab w:val="left" w:pos="1441"/>
        </w:tabs>
        <w:spacing w:before="157" w:line="259" w:lineRule="auto"/>
        <w:ind w:left="1441" w:right="214"/>
        <w:jc w:val="left"/>
        <w:rPr>
          <w:color w:val="211F1F"/>
          <w:sz w:val="24"/>
        </w:rPr>
      </w:pPr>
      <w:r>
        <w:rPr>
          <w:color w:val="211F1F"/>
          <w:sz w:val="24"/>
        </w:rPr>
        <w:t>Provided that a Tender is substantially</w:t>
      </w:r>
      <w:r>
        <w:rPr>
          <w:color w:val="211F1F"/>
          <w:spacing w:val="-3"/>
          <w:sz w:val="24"/>
        </w:rPr>
        <w:t xml:space="preserve"> </w:t>
      </w:r>
      <w:r>
        <w:rPr>
          <w:color w:val="211F1F"/>
          <w:sz w:val="24"/>
        </w:rPr>
        <w:t>responsive, the Procuring Entity</w:t>
      </w:r>
      <w:r>
        <w:rPr>
          <w:color w:val="211F1F"/>
          <w:spacing w:val="-3"/>
          <w:sz w:val="24"/>
        </w:rPr>
        <w:t xml:space="preserve"> </w:t>
      </w:r>
      <w:r>
        <w:rPr>
          <w:color w:val="211F1F"/>
          <w:sz w:val="24"/>
        </w:rPr>
        <w:t>may</w:t>
      </w:r>
      <w:r>
        <w:rPr>
          <w:color w:val="211F1F"/>
          <w:spacing w:val="-8"/>
          <w:sz w:val="24"/>
        </w:rPr>
        <w:t xml:space="preserve"> </w:t>
      </w:r>
      <w:r>
        <w:rPr>
          <w:color w:val="211F1F"/>
          <w:sz w:val="24"/>
        </w:rPr>
        <w:t>request that the tenderer submit the necessary information or documentation, within a reasonable period of time, to rectify nonmaterial non- conformities in the tender related</w:t>
      </w:r>
      <w:r>
        <w:rPr>
          <w:color w:val="211F1F"/>
          <w:spacing w:val="-8"/>
          <w:sz w:val="24"/>
        </w:rPr>
        <w:t xml:space="preserve"> </w:t>
      </w:r>
      <w:r>
        <w:rPr>
          <w:color w:val="211F1F"/>
          <w:sz w:val="24"/>
        </w:rPr>
        <w:t>to</w:t>
      </w:r>
      <w:r>
        <w:rPr>
          <w:color w:val="211F1F"/>
          <w:spacing w:val="-9"/>
          <w:sz w:val="24"/>
        </w:rPr>
        <w:t xml:space="preserve"> </w:t>
      </w:r>
      <w:r>
        <w:rPr>
          <w:color w:val="211F1F"/>
          <w:sz w:val="24"/>
        </w:rPr>
        <w:t>documentation</w:t>
      </w:r>
      <w:r>
        <w:rPr>
          <w:color w:val="211F1F"/>
          <w:spacing w:val="-12"/>
          <w:sz w:val="24"/>
        </w:rPr>
        <w:t xml:space="preserve"> </w:t>
      </w:r>
      <w:r>
        <w:rPr>
          <w:color w:val="211F1F"/>
          <w:sz w:val="24"/>
        </w:rPr>
        <w:t>requirements.</w:t>
      </w:r>
      <w:r>
        <w:rPr>
          <w:color w:val="211F1F"/>
          <w:spacing w:val="-4"/>
          <w:sz w:val="24"/>
        </w:rPr>
        <w:t xml:space="preserve"> </w:t>
      </w:r>
      <w:r>
        <w:rPr>
          <w:color w:val="211F1F"/>
          <w:sz w:val="24"/>
        </w:rPr>
        <w:t>Requesting information</w:t>
      </w:r>
      <w:r>
        <w:rPr>
          <w:color w:val="211F1F"/>
          <w:spacing w:val="-12"/>
          <w:sz w:val="24"/>
        </w:rPr>
        <w:t xml:space="preserve"> </w:t>
      </w:r>
      <w:r>
        <w:rPr>
          <w:color w:val="211F1F"/>
          <w:sz w:val="24"/>
        </w:rPr>
        <w:t>or</w:t>
      </w:r>
      <w:r>
        <w:rPr>
          <w:color w:val="211F1F"/>
          <w:spacing w:val="-12"/>
          <w:sz w:val="24"/>
        </w:rPr>
        <w:t xml:space="preserve"> </w:t>
      </w:r>
      <w:r>
        <w:rPr>
          <w:color w:val="211F1F"/>
          <w:sz w:val="24"/>
        </w:rPr>
        <w:t>documentation</w:t>
      </w:r>
      <w:r>
        <w:rPr>
          <w:color w:val="211F1F"/>
          <w:spacing w:val="-11"/>
          <w:sz w:val="24"/>
        </w:rPr>
        <w:t xml:space="preserve"> </w:t>
      </w:r>
      <w:r>
        <w:rPr>
          <w:color w:val="211F1F"/>
          <w:sz w:val="24"/>
        </w:rPr>
        <w:t xml:space="preserve">on such non-conformities shall not be related to any aspect of the price of the tender. Failure of the tenderer to comply with the request may result in the rejection of its </w:t>
      </w:r>
      <w:r>
        <w:rPr>
          <w:color w:val="211F1F"/>
          <w:spacing w:val="-2"/>
          <w:sz w:val="24"/>
        </w:rPr>
        <w:t>tender.</w:t>
      </w:r>
    </w:p>
    <w:p w14:paraId="35D81096" w14:textId="77777777" w:rsidR="00BB77C0" w:rsidRDefault="00370BAA">
      <w:pPr>
        <w:pStyle w:val="ListParagraph"/>
        <w:numPr>
          <w:ilvl w:val="1"/>
          <w:numId w:val="81"/>
        </w:numPr>
        <w:tabs>
          <w:tab w:val="left" w:pos="1441"/>
        </w:tabs>
        <w:spacing w:before="161" w:line="259" w:lineRule="auto"/>
        <w:ind w:left="1441" w:right="48"/>
        <w:jc w:val="left"/>
        <w:rPr>
          <w:color w:val="211F1F"/>
          <w:sz w:val="24"/>
        </w:rPr>
      </w:pPr>
      <w:r>
        <w:rPr>
          <w:color w:val="211F1F"/>
          <w:sz w:val="24"/>
        </w:rPr>
        <w:t>Provided that a tender is substantially responsive, the Procuring Entity shall rectify quantifiable nonmaterial non-conformities related to the Tender Price. To this effect, the</w:t>
      </w:r>
      <w:r>
        <w:rPr>
          <w:color w:val="211F1F"/>
          <w:spacing w:val="-9"/>
          <w:sz w:val="24"/>
        </w:rPr>
        <w:t xml:space="preserve"> </w:t>
      </w:r>
      <w:r>
        <w:rPr>
          <w:color w:val="211F1F"/>
          <w:sz w:val="24"/>
        </w:rPr>
        <w:t>Tender</w:t>
      </w:r>
      <w:r>
        <w:rPr>
          <w:color w:val="211F1F"/>
          <w:spacing w:val="-10"/>
          <w:sz w:val="24"/>
        </w:rPr>
        <w:t xml:space="preserve"> </w:t>
      </w:r>
      <w:r>
        <w:rPr>
          <w:color w:val="211F1F"/>
          <w:sz w:val="24"/>
        </w:rPr>
        <w:t>Price</w:t>
      </w:r>
      <w:r>
        <w:rPr>
          <w:color w:val="211F1F"/>
          <w:spacing w:val="-8"/>
          <w:sz w:val="24"/>
        </w:rPr>
        <w:t xml:space="preserve"> </w:t>
      </w:r>
      <w:r>
        <w:rPr>
          <w:color w:val="211F1F"/>
          <w:sz w:val="24"/>
        </w:rPr>
        <w:t>shall</w:t>
      </w:r>
      <w:r>
        <w:rPr>
          <w:color w:val="211F1F"/>
          <w:spacing w:val="-6"/>
          <w:sz w:val="24"/>
        </w:rPr>
        <w:t xml:space="preserve"> </w:t>
      </w:r>
      <w:r>
        <w:rPr>
          <w:color w:val="211F1F"/>
          <w:sz w:val="24"/>
        </w:rPr>
        <w:t>be</w:t>
      </w:r>
      <w:r>
        <w:rPr>
          <w:color w:val="211F1F"/>
          <w:spacing w:val="-9"/>
          <w:sz w:val="24"/>
        </w:rPr>
        <w:t xml:space="preserve"> </w:t>
      </w:r>
      <w:r>
        <w:rPr>
          <w:color w:val="211F1F"/>
          <w:sz w:val="24"/>
        </w:rPr>
        <w:t>adjusted,</w:t>
      </w:r>
      <w:r>
        <w:rPr>
          <w:color w:val="211F1F"/>
          <w:spacing w:val="-4"/>
          <w:sz w:val="24"/>
        </w:rPr>
        <w:t xml:space="preserve"> </w:t>
      </w:r>
      <w:r>
        <w:rPr>
          <w:color w:val="211F1F"/>
          <w:sz w:val="24"/>
        </w:rPr>
        <w:t>for</w:t>
      </w:r>
      <w:r>
        <w:rPr>
          <w:color w:val="211F1F"/>
          <w:spacing w:val="-11"/>
          <w:sz w:val="24"/>
        </w:rPr>
        <w:t xml:space="preserve"> </w:t>
      </w:r>
      <w:r>
        <w:rPr>
          <w:color w:val="211F1F"/>
          <w:sz w:val="24"/>
        </w:rPr>
        <w:t>comparison</w:t>
      </w:r>
      <w:r>
        <w:rPr>
          <w:color w:val="211F1F"/>
          <w:spacing w:val="-11"/>
          <w:sz w:val="24"/>
        </w:rPr>
        <w:t xml:space="preserve"> </w:t>
      </w:r>
      <w:r>
        <w:rPr>
          <w:color w:val="211F1F"/>
          <w:sz w:val="24"/>
        </w:rPr>
        <w:t>purposes</w:t>
      </w:r>
      <w:r>
        <w:rPr>
          <w:color w:val="211F1F"/>
          <w:spacing w:val="-14"/>
          <w:sz w:val="24"/>
        </w:rPr>
        <w:t xml:space="preserve"> </w:t>
      </w:r>
      <w:r>
        <w:rPr>
          <w:color w:val="211F1F"/>
          <w:sz w:val="24"/>
        </w:rPr>
        <w:t>only,</w:t>
      </w:r>
      <w:r>
        <w:rPr>
          <w:color w:val="211F1F"/>
          <w:spacing w:val="-10"/>
          <w:sz w:val="24"/>
        </w:rPr>
        <w:t xml:space="preserve"> </w:t>
      </w:r>
      <w:r>
        <w:rPr>
          <w:color w:val="211F1F"/>
          <w:sz w:val="24"/>
        </w:rPr>
        <w:t>to</w:t>
      </w:r>
      <w:r>
        <w:rPr>
          <w:color w:val="211F1F"/>
          <w:spacing w:val="-7"/>
          <w:sz w:val="24"/>
        </w:rPr>
        <w:t xml:space="preserve"> </w:t>
      </w:r>
      <w:r>
        <w:rPr>
          <w:color w:val="211F1F"/>
          <w:sz w:val="24"/>
        </w:rPr>
        <w:t>reflect</w:t>
      </w:r>
      <w:r>
        <w:rPr>
          <w:color w:val="211F1F"/>
          <w:spacing w:val="-7"/>
          <w:sz w:val="24"/>
        </w:rPr>
        <w:t xml:space="preserve"> </w:t>
      </w:r>
      <w:r>
        <w:rPr>
          <w:color w:val="211F1F"/>
          <w:sz w:val="24"/>
        </w:rPr>
        <w:t>the</w:t>
      </w:r>
      <w:r>
        <w:rPr>
          <w:color w:val="211F1F"/>
          <w:spacing w:val="-9"/>
          <w:sz w:val="24"/>
        </w:rPr>
        <w:t xml:space="preserve"> </w:t>
      </w:r>
      <w:r>
        <w:rPr>
          <w:color w:val="211F1F"/>
          <w:sz w:val="24"/>
        </w:rPr>
        <w:t>price</w:t>
      </w:r>
      <w:r>
        <w:rPr>
          <w:color w:val="211F1F"/>
          <w:spacing w:val="-8"/>
          <w:sz w:val="24"/>
        </w:rPr>
        <w:t xml:space="preserve"> </w:t>
      </w:r>
      <w:r>
        <w:rPr>
          <w:color w:val="211F1F"/>
          <w:sz w:val="24"/>
        </w:rPr>
        <w:t>of a missing or non-conforming item</w:t>
      </w:r>
      <w:r>
        <w:rPr>
          <w:color w:val="211F1F"/>
          <w:spacing w:val="-7"/>
          <w:sz w:val="24"/>
        </w:rPr>
        <w:t xml:space="preserve"> </w:t>
      </w:r>
      <w:r>
        <w:rPr>
          <w:color w:val="211F1F"/>
          <w:sz w:val="24"/>
        </w:rPr>
        <w:t>or component in</w:t>
      </w:r>
      <w:r>
        <w:rPr>
          <w:color w:val="211F1F"/>
          <w:spacing w:val="-3"/>
          <w:sz w:val="24"/>
        </w:rPr>
        <w:t xml:space="preserve"> </w:t>
      </w:r>
      <w:r>
        <w:rPr>
          <w:color w:val="211F1F"/>
          <w:sz w:val="24"/>
        </w:rPr>
        <w:t xml:space="preserve">the manner specified </w:t>
      </w:r>
      <w:r>
        <w:rPr>
          <w:b/>
          <w:color w:val="211F1F"/>
          <w:sz w:val="24"/>
        </w:rPr>
        <w:t>in the TDS.</w:t>
      </w:r>
    </w:p>
    <w:p w14:paraId="3D01284E" w14:textId="77777777" w:rsidR="00BB77C0" w:rsidRDefault="00370BAA">
      <w:pPr>
        <w:pStyle w:val="Heading6"/>
        <w:numPr>
          <w:ilvl w:val="1"/>
          <w:numId w:val="80"/>
        </w:numPr>
        <w:tabs>
          <w:tab w:val="left" w:pos="720"/>
        </w:tabs>
        <w:spacing w:before="243"/>
        <w:ind w:hanging="720"/>
        <w:jc w:val="left"/>
      </w:pPr>
      <w:bookmarkStart w:id="80" w:name="33.0_Arithmetical_Errors"/>
      <w:bookmarkStart w:id="81" w:name="_bookmark39"/>
      <w:bookmarkEnd w:id="80"/>
      <w:bookmarkEnd w:id="81"/>
      <w:r>
        <w:t>Arithmetical</w:t>
      </w:r>
      <w:r>
        <w:rPr>
          <w:spacing w:val="-12"/>
        </w:rPr>
        <w:t xml:space="preserve"> </w:t>
      </w:r>
      <w:r>
        <w:rPr>
          <w:spacing w:val="-2"/>
        </w:rPr>
        <w:t>Errors</w:t>
      </w:r>
    </w:p>
    <w:p w14:paraId="7073FBB2" w14:textId="77777777" w:rsidR="00BB77C0" w:rsidRDefault="00370BAA">
      <w:pPr>
        <w:pStyle w:val="ListParagraph"/>
        <w:numPr>
          <w:ilvl w:val="1"/>
          <w:numId w:val="80"/>
        </w:numPr>
        <w:tabs>
          <w:tab w:val="left" w:pos="1441"/>
        </w:tabs>
        <w:spacing w:before="80" w:line="259" w:lineRule="auto"/>
        <w:ind w:left="1441" w:right="157"/>
        <w:jc w:val="left"/>
        <w:rPr>
          <w:color w:val="211F1F"/>
          <w:sz w:val="24"/>
        </w:rPr>
      </w:pPr>
      <w:r>
        <w:rPr>
          <w:color w:val="211F1F"/>
          <w:sz w:val="24"/>
        </w:rPr>
        <w:t>The</w:t>
      </w:r>
      <w:r>
        <w:rPr>
          <w:color w:val="211F1F"/>
          <w:spacing w:val="-8"/>
          <w:sz w:val="24"/>
        </w:rPr>
        <w:t xml:space="preserve"> </w:t>
      </w:r>
      <w:r>
        <w:rPr>
          <w:color w:val="211F1F"/>
          <w:sz w:val="24"/>
        </w:rPr>
        <w:t>tender</w:t>
      </w:r>
      <w:r>
        <w:rPr>
          <w:color w:val="211F1F"/>
          <w:spacing w:val="-4"/>
          <w:sz w:val="24"/>
        </w:rPr>
        <w:t xml:space="preserve"> </w:t>
      </w:r>
      <w:r>
        <w:rPr>
          <w:color w:val="211F1F"/>
          <w:sz w:val="24"/>
        </w:rPr>
        <w:t>sum</w:t>
      </w:r>
      <w:r>
        <w:rPr>
          <w:color w:val="211F1F"/>
          <w:spacing w:val="-11"/>
          <w:sz w:val="24"/>
        </w:rPr>
        <w:t xml:space="preserve"> </w:t>
      </w:r>
      <w:r>
        <w:rPr>
          <w:color w:val="211F1F"/>
          <w:sz w:val="24"/>
        </w:rPr>
        <w:t>as</w:t>
      </w:r>
      <w:r>
        <w:rPr>
          <w:color w:val="211F1F"/>
          <w:spacing w:val="-4"/>
          <w:sz w:val="24"/>
        </w:rPr>
        <w:t xml:space="preserve"> </w:t>
      </w:r>
      <w:r>
        <w:rPr>
          <w:color w:val="211F1F"/>
          <w:sz w:val="24"/>
        </w:rPr>
        <w:t>submitted</w:t>
      </w:r>
      <w:r>
        <w:rPr>
          <w:color w:val="211F1F"/>
          <w:spacing w:val="-1"/>
          <w:sz w:val="24"/>
        </w:rPr>
        <w:t xml:space="preserve"> </w:t>
      </w:r>
      <w:r>
        <w:rPr>
          <w:color w:val="211F1F"/>
          <w:sz w:val="24"/>
        </w:rPr>
        <w:t>and</w:t>
      </w:r>
      <w:r>
        <w:rPr>
          <w:color w:val="211F1F"/>
          <w:spacing w:val="-2"/>
          <w:sz w:val="24"/>
        </w:rPr>
        <w:t xml:space="preserve"> </w:t>
      </w:r>
      <w:r>
        <w:rPr>
          <w:color w:val="211F1F"/>
          <w:sz w:val="24"/>
        </w:rPr>
        <w:t>read</w:t>
      </w:r>
      <w:r>
        <w:rPr>
          <w:color w:val="211F1F"/>
          <w:spacing w:val="-11"/>
          <w:sz w:val="24"/>
        </w:rPr>
        <w:t xml:space="preserve"> </w:t>
      </w:r>
      <w:r>
        <w:rPr>
          <w:color w:val="211F1F"/>
          <w:sz w:val="24"/>
        </w:rPr>
        <w:t>out</w:t>
      </w:r>
      <w:r>
        <w:rPr>
          <w:color w:val="211F1F"/>
          <w:spacing w:val="-1"/>
          <w:sz w:val="24"/>
        </w:rPr>
        <w:t xml:space="preserve"> </w:t>
      </w:r>
      <w:r>
        <w:rPr>
          <w:color w:val="211F1F"/>
          <w:sz w:val="24"/>
        </w:rPr>
        <w:t>during</w:t>
      </w:r>
      <w:r>
        <w:rPr>
          <w:color w:val="211F1F"/>
          <w:spacing w:val="-1"/>
          <w:sz w:val="24"/>
        </w:rPr>
        <w:t xml:space="preserve"> </w:t>
      </w:r>
      <w:r>
        <w:rPr>
          <w:color w:val="211F1F"/>
          <w:sz w:val="24"/>
        </w:rPr>
        <w:t>the</w:t>
      </w:r>
      <w:r>
        <w:rPr>
          <w:color w:val="211F1F"/>
          <w:spacing w:val="-8"/>
          <w:sz w:val="24"/>
        </w:rPr>
        <w:t xml:space="preserve"> </w:t>
      </w:r>
      <w:r>
        <w:rPr>
          <w:color w:val="211F1F"/>
          <w:sz w:val="24"/>
        </w:rPr>
        <w:t>tender</w:t>
      </w:r>
      <w:r>
        <w:rPr>
          <w:color w:val="211F1F"/>
          <w:spacing w:val="-4"/>
          <w:sz w:val="24"/>
        </w:rPr>
        <w:t xml:space="preserve"> </w:t>
      </w:r>
      <w:r>
        <w:rPr>
          <w:color w:val="211F1F"/>
          <w:sz w:val="24"/>
        </w:rPr>
        <w:t>opening</w:t>
      </w:r>
      <w:r>
        <w:rPr>
          <w:color w:val="211F1F"/>
          <w:spacing w:val="-1"/>
          <w:sz w:val="24"/>
        </w:rPr>
        <w:t xml:space="preserve"> </w:t>
      </w:r>
      <w:r>
        <w:rPr>
          <w:color w:val="211F1F"/>
          <w:sz w:val="24"/>
        </w:rPr>
        <w:t>shall</w:t>
      </w:r>
      <w:r>
        <w:rPr>
          <w:color w:val="211F1F"/>
          <w:spacing w:val="-6"/>
          <w:sz w:val="24"/>
        </w:rPr>
        <w:t xml:space="preserve"> </w:t>
      </w:r>
      <w:r>
        <w:rPr>
          <w:color w:val="211F1F"/>
          <w:sz w:val="24"/>
        </w:rPr>
        <w:t>be</w:t>
      </w:r>
      <w:r>
        <w:rPr>
          <w:color w:val="211F1F"/>
          <w:spacing w:val="-8"/>
          <w:sz w:val="24"/>
        </w:rPr>
        <w:t xml:space="preserve"> </w:t>
      </w:r>
      <w:r>
        <w:rPr>
          <w:color w:val="211F1F"/>
          <w:sz w:val="24"/>
        </w:rPr>
        <w:t>absolute and final and shall not be the subject of correction, adjustment or amendment in anyway by any person or entity.</w:t>
      </w:r>
    </w:p>
    <w:p w14:paraId="2C8BC0D2" w14:textId="77777777" w:rsidR="00BB77C0" w:rsidRDefault="00370BAA">
      <w:pPr>
        <w:pStyle w:val="ListParagraph"/>
        <w:numPr>
          <w:ilvl w:val="1"/>
          <w:numId w:val="80"/>
        </w:numPr>
        <w:tabs>
          <w:tab w:val="left" w:pos="1441"/>
        </w:tabs>
        <w:spacing w:before="157" w:line="259" w:lineRule="auto"/>
        <w:ind w:left="1441" w:right="142"/>
        <w:jc w:val="left"/>
        <w:rPr>
          <w:color w:val="211F1F"/>
          <w:sz w:val="24"/>
        </w:rPr>
      </w:pPr>
      <w:r>
        <w:rPr>
          <w:color w:val="211F1F"/>
          <w:sz w:val="24"/>
        </w:rPr>
        <w:t>Provided</w:t>
      </w:r>
      <w:r>
        <w:rPr>
          <w:color w:val="211F1F"/>
          <w:spacing w:val="-7"/>
          <w:sz w:val="24"/>
        </w:rPr>
        <w:t xml:space="preserve"> </w:t>
      </w:r>
      <w:r>
        <w:rPr>
          <w:color w:val="211F1F"/>
          <w:sz w:val="24"/>
        </w:rPr>
        <w:t>that</w:t>
      </w:r>
      <w:r>
        <w:rPr>
          <w:color w:val="211F1F"/>
          <w:spacing w:val="-7"/>
          <w:sz w:val="24"/>
        </w:rPr>
        <w:t xml:space="preserve"> </w:t>
      </w:r>
      <w:r>
        <w:rPr>
          <w:color w:val="211F1F"/>
          <w:sz w:val="24"/>
        </w:rPr>
        <w:t>the</w:t>
      </w:r>
      <w:r>
        <w:rPr>
          <w:color w:val="211F1F"/>
          <w:spacing w:val="-8"/>
          <w:sz w:val="24"/>
        </w:rPr>
        <w:t xml:space="preserve"> </w:t>
      </w:r>
      <w:r>
        <w:rPr>
          <w:color w:val="211F1F"/>
          <w:sz w:val="24"/>
        </w:rPr>
        <w:t>Tender</w:t>
      </w:r>
      <w:r>
        <w:rPr>
          <w:color w:val="211F1F"/>
          <w:spacing w:val="-11"/>
          <w:sz w:val="24"/>
        </w:rPr>
        <w:t xml:space="preserve"> </w:t>
      </w:r>
      <w:r>
        <w:rPr>
          <w:color w:val="211F1F"/>
          <w:sz w:val="24"/>
        </w:rPr>
        <w:t>is</w:t>
      </w:r>
      <w:r>
        <w:rPr>
          <w:color w:val="211F1F"/>
          <w:spacing w:val="-10"/>
          <w:sz w:val="24"/>
        </w:rPr>
        <w:t xml:space="preserve"> </w:t>
      </w:r>
      <w:r>
        <w:rPr>
          <w:color w:val="211F1F"/>
          <w:sz w:val="24"/>
        </w:rPr>
        <w:t>substantially</w:t>
      </w:r>
      <w:r>
        <w:rPr>
          <w:color w:val="211F1F"/>
          <w:spacing w:val="-11"/>
          <w:sz w:val="24"/>
        </w:rPr>
        <w:t xml:space="preserve"> </w:t>
      </w:r>
      <w:r>
        <w:rPr>
          <w:color w:val="211F1F"/>
          <w:sz w:val="24"/>
        </w:rPr>
        <w:t>responsive,</w:t>
      </w:r>
      <w:r>
        <w:rPr>
          <w:color w:val="211F1F"/>
          <w:spacing w:val="-9"/>
          <w:sz w:val="24"/>
        </w:rPr>
        <w:t xml:space="preserve"> </w:t>
      </w:r>
      <w:r>
        <w:rPr>
          <w:color w:val="211F1F"/>
          <w:sz w:val="24"/>
        </w:rPr>
        <w:t>the</w:t>
      </w:r>
      <w:r>
        <w:rPr>
          <w:color w:val="211F1F"/>
          <w:spacing w:val="-8"/>
          <w:sz w:val="24"/>
        </w:rPr>
        <w:t xml:space="preserve"> </w:t>
      </w:r>
      <w:r>
        <w:rPr>
          <w:color w:val="211F1F"/>
          <w:sz w:val="24"/>
        </w:rPr>
        <w:t>Procuring</w:t>
      </w:r>
      <w:r>
        <w:rPr>
          <w:color w:val="211F1F"/>
          <w:spacing w:val="-7"/>
          <w:sz w:val="24"/>
        </w:rPr>
        <w:t xml:space="preserve"> </w:t>
      </w:r>
      <w:r>
        <w:rPr>
          <w:color w:val="211F1F"/>
          <w:sz w:val="24"/>
        </w:rPr>
        <w:t>Entity</w:t>
      </w:r>
      <w:r>
        <w:rPr>
          <w:color w:val="211F1F"/>
          <w:spacing w:val="-15"/>
          <w:sz w:val="24"/>
        </w:rPr>
        <w:t xml:space="preserve"> </w:t>
      </w:r>
      <w:r>
        <w:rPr>
          <w:color w:val="211F1F"/>
          <w:sz w:val="24"/>
        </w:rPr>
        <w:t>shall</w:t>
      </w:r>
      <w:r>
        <w:rPr>
          <w:color w:val="211F1F"/>
          <w:spacing w:val="-6"/>
          <w:sz w:val="24"/>
        </w:rPr>
        <w:t xml:space="preserve"> </w:t>
      </w:r>
      <w:r>
        <w:rPr>
          <w:color w:val="211F1F"/>
          <w:sz w:val="24"/>
        </w:rPr>
        <w:t>handle errors on the following basis:</w:t>
      </w:r>
    </w:p>
    <w:p w14:paraId="0870F429" w14:textId="77777777" w:rsidR="00BB77C0" w:rsidRDefault="00370BAA">
      <w:pPr>
        <w:pStyle w:val="ListParagraph"/>
        <w:numPr>
          <w:ilvl w:val="2"/>
          <w:numId w:val="80"/>
        </w:numPr>
        <w:tabs>
          <w:tab w:val="left" w:pos="2159"/>
          <w:tab w:val="left" w:pos="2161"/>
        </w:tabs>
        <w:spacing w:before="165" w:line="237" w:lineRule="auto"/>
        <w:ind w:right="52"/>
        <w:jc w:val="both"/>
        <w:rPr>
          <w:sz w:val="24"/>
        </w:rPr>
      </w:pPr>
      <w:r>
        <w:rPr>
          <w:color w:val="211F1F"/>
          <w:sz w:val="24"/>
        </w:rPr>
        <w:t>Any</w:t>
      </w:r>
      <w:r>
        <w:rPr>
          <w:color w:val="211F1F"/>
          <w:spacing w:val="-8"/>
          <w:sz w:val="24"/>
        </w:rPr>
        <w:t xml:space="preserve"> </w:t>
      </w:r>
      <w:r>
        <w:rPr>
          <w:color w:val="211F1F"/>
          <w:sz w:val="24"/>
        </w:rPr>
        <w:t>error</w:t>
      </w:r>
      <w:r>
        <w:rPr>
          <w:color w:val="211F1F"/>
          <w:spacing w:val="-5"/>
          <w:sz w:val="24"/>
        </w:rPr>
        <w:t xml:space="preserve"> </w:t>
      </w:r>
      <w:r>
        <w:rPr>
          <w:color w:val="211F1F"/>
          <w:sz w:val="24"/>
        </w:rPr>
        <w:t>detected</w:t>
      </w:r>
      <w:r>
        <w:rPr>
          <w:color w:val="211F1F"/>
          <w:spacing w:val="-7"/>
          <w:sz w:val="24"/>
        </w:rPr>
        <w:t xml:space="preserve"> </w:t>
      </w:r>
      <w:r>
        <w:rPr>
          <w:color w:val="211F1F"/>
          <w:sz w:val="24"/>
        </w:rPr>
        <w:t>if</w:t>
      </w:r>
      <w:r>
        <w:rPr>
          <w:color w:val="211F1F"/>
          <w:spacing w:val="-10"/>
          <w:sz w:val="24"/>
        </w:rPr>
        <w:t xml:space="preserve"> </w:t>
      </w:r>
      <w:r>
        <w:rPr>
          <w:color w:val="211F1F"/>
          <w:sz w:val="24"/>
        </w:rPr>
        <w:t>considered</w:t>
      </w:r>
      <w:r>
        <w:rPr>
          <w:color w:val="211F1F"/>
          <w:spacing w:val="-2"/>
          <w:sz w:val="24"/>
        </w:rPr>
        <w:t xml:space="preserve"> </w:t>
      </w:r>
      <w:r>
        <w:rPr>
          <w:color w:val="211F1F"/>
          <w:sz w:val="24"/>
        </w:rPr>
        <w:t>a</w:t>
      </w:r>
      <w:r>
        <w:rPr>
          <w:color w:val="211F1F"/>
          <w:spacing w:val="-4"/>
          <w:sz w:val="24"/>
        </w:rPr>
        <w:t xml:space="preserve"> </w:t>
      </w:r>
      <w:r>
        <w:rPr>
          <w:color w:val="211F1F"/>
          <w:sz w:val="24"/>
        </w:rPr>
        <w:t>major deviation</w:t>
      </w:r>
      <w:r>
        <w:rPr>
          <w:color w:val="211F1F"/>
          <w:spacing w:val="-8"/>
          <w:sz w:val="24"/>
        </w:rPr>
        <w:t xml:space="preserve"> </w:t>
      </w:r>
      <w:r>
        <w:rPr>
          <w:color w:val="211F1F"/>
          <w:sz w:val="24"/>
        </w:rPr>
        <w:t>that</w:t>
      </w:r>
      <w:r>
        <w:rPr>
          <w:color w:val="211F1F"/>
          <w:spacing w:val="-1"/>
          <w:sz w:val="24"/>
        </w:rPr>
        <w:t xml:space="preserve"> </w:t>
      </w:r>
      <w:r>
        <w:rPr>
          <w:color w:val="211F1F"/>
          <w:sz w:val="24"/>
        </w:rPr>
        <w:t>affects</w:t>
      </w:r>
      <w:r>
        <w:rPr>
          <w:color w:val="211F1F"/>
          <w:spacing w:val="-5"/>
          <w:sz w:val="24"/>
        </w:rPr>
        <w:t xml:space="preserve"> </w:t>
      </w:r>
      <w:r>
        <w:rPr>
          <w:color w:val="211F1F"/>
          <w:sz w:val="24"/>
        </w:rPr>
        <w:t>the</w:t>
      </w:r>
      <w:r>
        <w:rPr>
          <w:color w:val="211F1F"/>
          <w:spacing w:val="-4"/>
          <w:sz w:val="24"/>
        </w:rPr>
        <w:t xml:space="preserve"> </w:t>
      </w:r>
      <w:r>
        <w:rPr>
          <w:color w:val="211F1F"/>
          <w:sz w:val="24"/>
        </w:rPr>
        <w:t>substance</w:t>
      </w:r>
      <w:r>
        <w:rPr>
          <w:color w:val="211F1F"/>
          <w:spacing w:val="-3"/>
          <w:sz w:val="24"/>
        </w:rPr>
        <w:t xml:space="preserve"> </w:t>
      </w:r>
      <w:r>
        <w:rPr>
          <w:color w:val="211F1F"/>
          <w:sz w:val="24"/>
        </w:rPr>
        <w:t>of the tender, shall lead to disqualification of</w:t>
      </w:r>
      <w:r>
        <w:rPr>
          <w:color w:val="211F1F"/>
          <w:spacing w:val="-2"/>
          <w:sz w:val="24"/>
        </w:rPr>
        <w:t xml:space="preserve"> </w:t>
      </w:r>
      <w:r>
        <w:rPr>
          <w:color w:val="211F1F"/>
          <w:sz w:val="24"/>
        </w:rPr>
        <w:t>the tender as non-responsive.</w:t>
      </w:r>
    </w:p>
    <w:p w14:paraId="70538163" w14:textId="77777777" w:rsidR="00BB77C0" w:rsidRDefault="00370BAA">
      <w:pPr>
        <w:pStyle w:val="ListParagraph"/>
        <w:numPr>
          <w:ilvl w:val="2"/>
          <w:numId w:val="80"/>
        </w:numPr>
        <w:tabs>
          <w:tab w:val="left" w:pos="2155"/>
          <w:tab w:val="left" w:pos="2161"/>
        </w:tabs>
        <w:ind w:right="132" w:hanging="375"/>
        <w:jc w:val="both"/>
        <w:rPr>
          <w:sz w:val="24"/>
        </w:rPr>
      </w:pPr>
      <w:r>
        <w:rPr>
          <w:color w:val="211F1F"/>
          <w:sz w:val="24"/>
        </w:rPr>
        <w:t>Any</w:t>
      </w:r>
      <w:r>
        <w:rPr>
          <w:color w:val="211F1F"/>
          <w:spacing w:val="-6"/>
          <w:sz w:val="24"/>
        </w:rPr>
        <w:t xml:space="preserve"> </w:t>
      </w:r>
      <w:r>
        <w:rPr>
          <w:color w:val="211F1F"/>
          <w:sz w:val="24"/>
        </w:rPr>
        <w:t>errors</w:t>
      </w:r>
      <w:r>
        <w:rPr>
          <w:color w:val="211F1F"/>
          <w:spacing w:val="-2"/>
          <w:sz w:val="24"/>
        </w:rPr>
        <w:t xml:space="preserve"> </w:t>
      </w:r>
      <w:r>
        <w:rPr>
          <w:color w:val="211F1F"/>
          <w:sz w:val="24"/>
        </w:rPr>
        <w:t>in</w:t>
      </w:r>
      <w:r>
        <w:rPr>
          <w:color w:val="211F1F"/>
          <w:spacing w:val="-6"/>
          <w:sz w:val="24"/>
        </w:rPr>
        <w:t xml:space="preserve"> </w:t>
      </w:r>
      <w:r>
        <w:rPr>
          <w:color w:val="211F1F"/>
          <w:sz w:val="24"/>
        </w:rPr>
        <w:t>the</w:t>
      </w:r>
      <w:r>
        <w:rPr>
          <w:color w:val="211F1F"/>
          <w:spacing w:val="-2"/>
          <w:sz w:val="24"/>
        </w:rPr>
        <w:t xml:space="preserve"> </w:t>
      </w:r>
      <w:r>
        <w:rPr>
          <w:color w:val="211F1F"/>
          <w:sz w:val="24"/>
        </w:rPr>
        <w:t>submitted</w:t>
      </w:r>
      <w:r>
        <w:rPr>
          <w:color w:val="211F1F"/>
          <w:spacing w:val="-5"/>
          <w:sz w:val="24"/>
        </w:rPr>
        <w:t xml:space="preserve"> </w:t>
      </w:r>
      <w:r>
        <w:rPr>
          <w:color w:val="211F1F"/>
          <w:sz w:val="24"/>
        </w:rPr>
        <w:t>tender arising from</w:t>
      </w:r>
      <w:r>
        <w:rPr>
          <w:color w:val="211F1F"/>
          <w:spacing w:val="-8"/>
          <w:sz w:val="24"/>
        </w:rPr>
        <w:t xml:space="preserve"> </w:t>
      </w:r>
      <w:r>
        <w:rPr>
          <w:color w:val="211F1F"/>
          <w:sz w:val="24"/>
        </w:rPr>
        <w:t>a miscalculation</w:t>
      </w:r>
      <w:r>
        <w:rPr>
          <w:color w:val="211F1F"/>
          <w:spacing w:val="-4"/>
          <w:sz w:val="24"/>
        </w:rPr>
        <w:t xml:space="preserve"> </w:t>
      </w:r>
      <w:r>
        <w:rPr>
          <w:color w:val="211F1F"/>
          <w:sz w:val="24"/>
        </w:rPr>
        <w:t>of</w:t>
      </w:r>
      <w:r>
        <w:rPr>
          <w:color w:val="211F1F"/>
          <w:spacing w:val="-8"/>
          <w:sz w:val="24"/>
        </w:rPr>
        <w:t xml:space="preserve"> </w:t>
      </w:r>
      <w:r>
        <w:rPr>
          <w:color w:val="211F1F"/>
          <w:sz w:val="24"/>
        </w:rPr>
        <w:t>unit price, quantity, sub</w:t>
      </w:r>
      <w:r>
        <w:rPr>
          <w:color w:val="211F1F"/>
          <w:spacing w:val="-2"/>
          <w:sz w:val="24"/>
        </w:rPr>
        <w:t xml:space="preserve"> </w:t>
      </w:r>
      <w:r>
        <w:rPr>
          <w:color w:val="211F1F"/>
          <w:sz w:val="24"/>
        </w:rPr>
        <w:t>total</w:t>
      </w:r>
      <w:r>
        <w:rPr>
          <w:color w:val="211F1F"/>
          <w:spacing w:val="-7"/>
          <w:sz w:val="24"/>
        </w:rPr>
        <w:t xml:space="preserve"> </w:t>
      </w:r>
      <w:r>
        <w:rPr>
          <w:color w:val="211F1F"/>
          <w:sz w:val="24"/>
        </w:rPr>
        <w:t>and total</w:t>
      </w:r>
      <w:r>
        <w:rPr>
          <w:color w:val="211F1F"/>
          <w:spacing w:val="-7"/>
          <w:sz w:val="24"/>
        </w:rPr>
        <w:t xml:space="preserve"> </w:t>
      </w:r>
      <w:r>
        <w:rPr>
          <w:color w:val="211F1F"/>
          <w:sz w:val="24"/>
        </w:rPr>
        <w:t>bid price shall</w:t>
      </w:r>
      <w:r>
        <w:rPr>
          <w:color w:val="211F1F"/>
          <w:spacing w:val="-1"/>
          <w:sz w:val="24"/>
        </w:rPr>
        <w:t xml:space="preserve"> </w:t>
      </w:r>
      <w:r>
        <w:rPr>
          <w:color w:val="211F1F"/>
          <w:sz w:val="24"/>
        </w:rPr>
        <w:t>be considered as a major deviation that</w:t>
      </w:r>
      <w:r>
        <w:rPr>
          <w:color w:val="211F1F"/>
          <w:spacing w:val="-1"/>
          <w:sz w:val="24"/>
        </w:rPr>
        <w:t xml:space="preserve"> </w:t>
      </w:r>
      <w:r>
        <w:rPr>
          <w:color w:val="211F1F"/>
          <w:sz w:val="24"/>
        </w:rPr>
        <w:t>affects</w:t>
      </w:r>
      <w:r>
        <w:rPr>
          <w:color w:val="211F1F"/>
          <w:spacing w:val="-3"/>
          <w:sz w:val="24"/>
        </w:rPr>
        <w:t xml:space="preserve"> </w:t>
      </w:r>
      <w:r>
        <w:rPr>
          <w:color w:val="211F1F"/>
          <w:sz w:val="24"/>
        </w:rPr>
        <w:t>the</w:t>
      </w:r>
      <w:r>
        <w:rPr>
          <w:color w:val="211F1F"/>
          <w:spacing w:val="-3"/>
          <w:sz w:val="24"/>
        </w:rPr>
        <w:t xml:space="preserve"> </w:t>
      </w:r>
      <w:r>
        <w:rPr>
          <w:color w:val="211F1F"/>
          <w:sz w:val="24"/>
        </w:rPr>
        <w:t>substance of</w:t>
      </w:r>
      <w:r>
        <w:rPr>
          <w:color w:val="211F1F"/>
          <w:spacing w:val="-9"/>
          <w:sz w:val="24"/>
        </w:rPr>
        <w:t xml:space="preserve"> </w:t>
      </w:r>
      <w:r>
        <w:rPr>
          <w:color w:val="211F1F"/>
          <w:sz w:val="24"/>
        </w:rPr>
        <w:t>the</w:t>
      </w:r>
      <w:r>
        <w:rPr>
          <w:color w:val="211F1F"/>
          <w:spacing w:val="-8"/>
          <w:sz w:val="24"/>
        </w:rPr>
        <w:t xml:space="preserve"> </w:t>
      </w:r>
      <w:r>
        <w:rPr>
          <w:color w:val="211F1F"/>
          <w:sz w:val="24"/>
        </w:rPr>
        <w:t>tender and</w:t>
      </w:r>
      <w:r>
        <w:rPr>
          <w:color w:val="211F1F"/>
          <w:spacing w:val="-2"/>
          <w:sz w:val="24"/>
        </w:rPr>
        <w:t xml:space="preserve"> </w:t>
      </w:r>
      <w:r>
        <w:rPr>
          <w:color w:val="211F1F"/>
          <w:sz w:val="24"/>
        </w:rPr>
        <w:t>shall</w:t>
      </w:r>
      <w:r>
        <w:rPr>
          <w:color w:val="211F1F"/>
          <w:spacing w:val="-5"/>
          <w:sz w:val="24"/>
        </w:rPr>
        <w:t xml:space="preserve"> </w:t>
      </w:r>
      <w:r>
        <w:rPr>
          <w:color w:val="211F1F"/>
          <w:sz w:val="24"/>
        </w:rPr>
        <w:t>lead</w:t>
      </w:r>
      <w:r>
        <w:rPr>
          <w:color w:val="211F1F"/>
          <w:spacing w:val="-2"/>
          <w:sz w:val="24"/>
        </w:rPr>
        <w:t xml:space="preserve"> </w:t>
      </w:r>
      <w:r>
        <w:rPr>
          <w:color w:val="211F1F"/>
          <w:sz w:val="24"/>
        </w:rPr>
        <w:t>to</w:t>
      </w:r>
      <w:r>
        <w:rPr>
          <w:color w:val="211F1F"/>
          <w:spacing w:val="-2"/>
          <w:sz w:val="24"/>
        </w:rPr>
        <w:t xml:space="preserve"> </w:t>
      </w:r>
      <w:r>
        <w:rPr>
          <w:color w:val="211F1F"/>
          <w:sz w:val="24"/>
        </w:rPr>
        <w:t>disqualification</w:t>
      </w:r>
      <w:r>
        <w:rPr>
          <w:color w:val="211F1F"/>
          <w:spacing w:val="-5"/>
          <w:sz w:val="24"/>
        </w:rPr>
        <w:t xml:space="preserve"> </w:t>
      </w:r>
      <w:r>
        <w:rPr>
          <w:color w:val="211F1F"/>
          <w:sz w:val="24"/>
        </w:rPr>
        <w:t>of</w:t>
      </w:r>
      <w:r>
        <w:rPr>
          <w:color w:val="211F1F"/>
          <w:spacing w:val="-8"/>
          <w:sz w:val="24"/>
        </w:rPr>
        <w:t xml:space="preserve"> </w:t>
      </w:r>
      <w:r>
        <w:rPr>
          <w:color w:val="211F1F"/>
          <w:sz w:val="24"/>
        </w:rPr>
        <w:t>the tender as non-responsive. and</w:t>
      </w:r>
    </w:p>
    <w:p w14:paraId="4E97B185" w14:textId="77777777" w:rsidR="00BB77C0" w:rsidRDefault="00BB77C0">
      <w:pPr>
        <w:pStyle w:val="ListParagraph"/>
        <w:jc w:val="both"/>
        <w:rPr>
          <w:sz w:val="24"/>
        </w:rPr>
        <w:sectPr w:rsidR="00BB77C0">
          <w:pgSz w:w="11930" w:h="16870"/>
          <w:pgMar w:top="1340" w:right="1080" w:bottom="280" w:left="1080" w:header="720" w:footer="720" w:gutter="0"/>
          <w:cols w:space="720"/>
        </w:sectPr>
      </w:pPr>
    </w:p>
    <w:p w14:paraId="2C820D37" w14:textId="77777777" w:rsidR="00BB77C0" w:rsidRDefault="00370BAA">
      <w:pPr>
        <w:pStyle w:val="ListParagraph"/>
        <w:numPr>
          <w:ilvl w:val="2"/>
          <w:numId w:val="80"/>
        </w:numPr>
        <w:tabs>
          <w:tab w:val="left" w:pos="2154"/>
          <w:tab w:val="left" w:pos="2161"/>
        </w:tabs>
        <w:spacing w:before="62" w:line="237" w:lineRule="auto"/>
        <w:ind w:right="114" w:hanging="442"/>
        <w:jc w:val="left"/>
        <w:rPr>
          <w:sz w:val="24"/>
        </w:rPr>
      </w:pPr>
      <w:r>
        <w:rPr>
          <w:color w:val="211F1F"/>
          <w:sz w:val="24"/>
        </w:rPr>
        <w:lastRenderedPageBreak/>
        <w:t>If</w:t>
      </w:r>
      <w:r>
        <w:rPr>
          <w:color w:val="211F1F"/>
          <w:spacing w:val="-15"/>
          <w:sz w:val="24"/>
        </w:rPr>
        <w:t xml:space="preserve"> </w:t>
      </w:r>
      <w:r>
        <w:rPr>
          <w:color w:val="211F1F"/>
          <w:sz w:val="24"/>
        </w:rPr>
        <w:t>there</w:t>
      </w:r>
      <w:r>
        <w:rPr>
          <w:color w:val="211F1F"/>
          <w:spacing w:val="-3"/>
          <w:sz w:val="24"/>
        </w:rPr>
        <w:t xml:space="preserve"> </w:t>
      </w:r>
      <w:r>
        <w:rPr>
          <w:color w:val="211F1F"/>
          <w:sz w:val="24"/>
        </w:rPr>
        <w:t>is</w:t>
      </w:r>
      <w:r>
        <w:rPr>
          <w:color w:val="211F1F"/>
          <w:spacing w:val="-5"/>
          <w:sz w:val="24"/>
        </w:rPr>
        <w:t xml:space="preserve"> </w:t>
      </w:r>
      <w:r>
        <w:rPr>
          <w:color w:val="211F1F"/>
          <w:sz w:val="24"/>
        </w:rPr>
        <w:t>a</w:t>
      </w:r>
      <w:r>
        <w:rPr>
          <w:color w:val="211F1F"/>
          <w:spacing w:val="-8"/>
          <w:sz w:val="24"/>
        </w:rPr>
        <w:t xml:space="preserve"> </w:t>
      </w:r>
      <w:r>
        <w:rPr>
          <w:color w:val="211F1F"/>
          <w:sz w:val="24"/>
        </w:rPr>
        <w:t>discrepancy</w:t>
      </w:r>
      <w:r>
        <w:rPr>
          <w:color w:val="211F1F"/>
          <w:spacing w:val="-2"/>
          <w:sz w:val="24"/>
        </w:rPr>
        <w:t xml:space="preserve"> </w:t>
      </w:r>
      <w:r>
        <w:rPr>
          <w:color w:val="211F1F"/>
          <w:sz w:val="24"/>
        </w:rPr>
        <w:t>between</w:t>
      </w:r>
      <w:r>
        <w:rPr>
          <w:color w:val="211F1F"/>
          <w:spacing w:val="-8"/>
          <w:sz w:val="24"/>
        </w:rPr>
        <w:t xml:space="preserve"> </w:t>
      </w:r>
      <w:r>
        <w:rPr>
          <w:color w:val="211F1F"/>
          <w:sz w:val="24"/>
        </w:rPr>
        <w:t>words</w:t>
      </w:r>
      <w:r>
        <w:rPr>
          <w:color w:val="211F1F"/>
          <w:spacing w:val="-4"/>
          <w:sz w:val="24"/>
        </w:rPr>
        <w:t xml:space="preserve"> </w:t>
      </w:r>
      <w:r>
        <w:rPr>
          <w:color w:val="211F1F"/>
          <w:sz w:val="24"/>
        </w:rPr>
        <w:t>and</w:t>
      </w:r>
      <w:r>
        <w:rPr>
          <w:color w:val="211F1F"/>
          <w:spacing w:val="-3"/>
          <w:sz w:val="24"/>
        </w:rPr>
        <w:t xml:space="preserve"> </w:t>
      </w:r>
      <w:r>
        <w:rPr>
          <w:color w:val="211F1F"/>
          <w:sz w:val="24"/>
        </w:rPr>
        <w:t>figures,</w:t>
      </w:r>
      <w:r>
        <w:rPr>
          <w:color w:val="211F1F"/>
          <w:spacing w:val="-4"/>
          <w:sz w:val="24"/>
        </w:rPr>
        <w:t xml:space="preserve"> </w:t>
      </w:r>
      <w:r>
        <w:rPr>
          <w:color w:val="211F1F"/>
          <w:sz w:val="24"/>
        </w:rPr>
        <w:t>the</w:t>
      </w:r>
      <w:r>
        <w:rPr>
          <w:color w:val="211F1F"/>
          <w:spacing w:val="-9"/>
          <w:sz w:val="24"/>
        </w:rPr>
        <w:t xml:space="preserve"> </w:t>
      </w:r>
      <w:r>
        <w:rPr>
          <w:color w:val="211F1F"/>
          <w:sz w:val="24"/>
        </w:rPr>
        <w:t>amount in</w:t>
      </w:r>
      <w:r>
        <w:rPr>
          <w:color w:val="211F1F"/>
          <w:spacing w:val="-8"/>
          <w:sz w:val="24"/>
        </w:rPr>
        <w:t xml:space="preserve"> </w:t>
      </w:r>
      <w:r>
        <w:rPr>
          <w:color w:val="211F1F"/>
          <w:sz w:val="24"/>
        </w:rPr>
        <w:t>words</w:t>
      </w:r>
      <w:r>
        <w:rPr>
          <w:color w:val="211F1F"/>
          <w:spacing w:val="-9"/>
          <w:sz w:val="24"/>
        </w:rPr>
        <w:t xml:space="preserve"> </w:t>
      </w:r>
      <w:r>
        <w:rPr>
          <w:color w:val="211F1F"/>
          <w:sz w:val="24"/>
        </w:rPr>
        <w:t xml:space="preserve">shall </w:t>
      </w:r>
      <w:r>
        <w:rPr>
          <w:color w:val="211F1F"/>
          <w:spacing w:val="-2"/>
          <w:sz w:val="24"/>
        </w:rPr>
        <w:t>prevail</w:t>
      </w:r>
    </w:p>
    <w:p w14:paraId="1441BEEA" w14:textId="77777777" w:rsidR="00BB77C0" w:rsidRDefault="00BB77C0">
      <w:pPr>
        <w:pStyle w:val="BodyText"/>
        <w:spacing w:before="184"/>
        <w:rPr>
          <w:sz w:val="24"/>
        </w:rPr>
      </w:pPr>
    </w:p>
    <w:p w14:paraId="3945D8DF" w14:textId="77777777" w:rsidR="00BB77C0" w:rsidRDefault="00370BAA">
      <w:pPr>
        <w:pStyle w:val="ListParagraph"/>
        <w:numPr>
          <w:ilvl w:val="1"/>
          <w:numId w:val="80"/>
        </w:numPr>
        <w:tabs>
          <w:tab w:val="left" w:pos="1441"/>
        </w:tabs>
        <w:spacing w:line="264" w:lineRule="auto"/>
        <w:ind w:left="1441" w:right="172"/>
        <w:jc w:val="left"/>
        <w:rPr>
          <w:color w:val="211F1F"/>
          <w:sz w:val="24"/>
        </w:rPr>
      </w:pPr>
      <w:r>
        <w:rPr>
          <w:color w:val="211F1F"/>
          <w:sz w:val="24"/>
        </w:rPr>
        <w:t>Tenderers</w:t>
      </w:r>
      <w:r>
        <w:rPr>
          <w:color w:val="211F1F"/>
          <w:spacing w:val="-8"/>
          <w:sz w:val="24"/>
        </w:rPr>
        <w:t xml:space="preserve"> </w:t>
      </w:r>
      <w:r>
        <w:rPr>
          <w:color w:val="211F1F"/>
          <w:sz w:val="24"/>
        </w:rPr>
        <w:t>shall</w:t>
      </w:r>
      <w:r>
        <w:rPr>
          <w:color w:val="211F1F"/>
          <w:spacing w:val="-5"/>
          <w:sz w:val="24"/>
        </w:rPr>
        <w:t xml:space="preserve"> </w:t>
      </w:r>
      <w:r>
        <w:rPr>
          <w:color w:val="211F1F"/>
          <w:sz w:val="24"/>
        </w:rPr>
        <w:t>be</w:t>
      </w:r>
      <w:r>
        <w:rPr>
          <w:color w:val="211F1F"/>
          <w:spacing w:val="-2"/>
          <w:sz w:val="24"/>
        </w:rPr>
        <w:t xml:space="preserve"> </w:t>
      </w:r>
      <w:r>
        <w:rPr>
          <w:color w:val="211F1F"/>
          <w:sz w:val="24"/>
        </w:rPr>
        <w:t>notified</w:t>
      </w:r>
      <w:r>
        <w:rPr>
          <w:color w:val="211F1F"/>
          <w:spacing w:val="-1"/>
          <w:sz w:val="24"/>
        </w:rPr>
        <w:t xml:space="preserve"> </w:t>
      </w:r>
      <w:r>
        <w:rPr>
          <w:color w:val="211F1F"/>
          <w:sz w:val="24"/>
        </w:rPr>
        <w:t>of</w:t>
      </w:r>
      <w:r>
        <w:rPr>
          <w:color w:val="211F1F"/>
          <w:spacing w:val="-14"/>
          <w:sz w:val="24"/>
        </w:rPr>
        <w:t xml:space="preserve"> </w:t>
      </w:r>
      <w:r>
        <w:rPr>
          <w:color w:val="211F1F"/>
          <w:sz w:val="24"/>
        </w:rPr>
        <w:t>any</w:t>
      </w:r>
      <w:r>
        <w:rPr>
          <w:color w:val="211F1F"/>
          <w:spacing w:val="-11"/>
          <w:sz w:val="24"/>
        </w:rPr>
        <w:t xml:space="preserve"> </w:t>
      </w:r>
      <w:r>
        <w:rPr>
          <w:color w:val="211F1F"/>
          <w:sz w:val="24"/>
        </w:rPr>
        <w:t>error</w:t>
      </w:r>
      <w:r>
        <w:rPr>
          <w:color w:val="211F1F"/>
          <w:spacing w:val="-4"/>
          <w:sz w:val="24"/>
        </w:rPr>
        <w:t xml:space="preserve"> </w:t>
      </w:r>
      <w:r>
        <w:rPr>
          <w:color w:val="211F1F"/>
          <w:sz w:val="24"/>
        </w:rPr>
        <w:t>detected</w:t>
      </w:r>
      <w:r>
        <w:rPr>
          <w:color w:val="211F1F"/>
          <w:spacing w:val="-6"/>
          <w:sz w:val="24"/>
        </w:rPr>
        <w:t xml:space="preserve"> </w:t>
      </w:r>
      <w:r>
        <w:rPr>
          <w:color w:val="211F1F"/>
          <w:sz w:val="24"/>
        </w:rPr>
        <w:t>in</w:t>
      </w:r>
      <w:r>
        <w:rPr>
          <w:color w:val="211F1F"/>
          <w:spacing w:val="-7"/>
          <w:sz w:val="24"/>
        </w:rPr>
        <w:t xml:space="preserve"> </w:t>
      </w:r>
      <w:r>
        <w:rPr>
          <w:color w:val="211F1F"/>
          <w:sz w:val="24"/>
        </w:rPr>
        <w:t>their</w:t>
      </w:r>
      <w:r>
        <w:rPr>
          <w:color w:val="211F1F"/>
          <w:spacing w:val="-4"/>
          <w:sz w:val="24"/>
        </w:rPr>
        <w:t xml:space="preserve"> </w:t>
      </w:r>
      <w:r>
        <w:rPr>
          <w:color w:val="211F1F"/>
          <w:sz w:val="24"/>
        </w:rPr>
        <w:t>bid</w:t>
      </w:r>
      <w:r>
        <w:rPr>
          <w:color w:val="211F1F"/>
          <w:spacing w:val="-7"/>
          <w:sz w:val="24"/>
        </w:rPr>
        <w:t xml:space="preserve"> </w:t>
      </w:r>
      <w:r>
        <w:rPr>
          <w:color w:val="211F1F"/>
          <w:sz w:val="24"/>
        </w:rPr>
        <w:t>during</w:t>
      </w:r>
      <w:r>
        <w:rPr>
          <w:color w:val="211F1F"/>
          <w:spacing w:val="-2"/>
          <w:sz w:val="24"/>
        </w:rPr>
        <w:t xml:space="preserve"> </w:t>
      </w:r>
      <w:r>
        <w:rPr>
          <w:color w:val="211F1F"/>
          <w:sz w:val="24"/>
        </w:rPr>
        <w:t>the</w:t>
      </w:r>
      <w:r>
        <w:rPr>
          <w:color w:val="211F1F"/>
          <w:spacing w:val="-7"/>
          <w:sz w:val="24"/>
        </w:rPr>
        <w:t xml:space="preserve"> </w:t>
      </w:r>
      <w:r>
        <w:rPr>
          <w:color w:val="211F1F"/>
          <w:sz w:val="24"/>
        </w:rPr>
        <w:t>notification</w:t>
      </w:r>
      <w:r>
        <w:rPr>
          <w:color w:val="211F1F"/>
          <w:spacing w:val="-10"/>
          <w:sz w:val="24"/>
        </w:rPr>
        <w:t xml:space="preserve"> </w:t>
      </w:r>
      <w:r>
        <w:rPr>
          <w:color w:val="211F1F"/>
          <w:sz w:val="24"/>
        </w:rPr>
        <w:t xml:space="preserve">of </w:t>
      </w:r>
      <w:r>
        <w:rPr>
          <w:color w:val="211F1F"/>
          <w:spacing w:val="-2"/>
          <w:sz w:val="24"/>
        </w:rPr>
        <w:t>award.</w:t>
      </w:r>
    </w:p>
    <w:p w14:paraId="479DAFE3" w14:textId="77777777" w:rsidR="00BB77C0" w:rsidRDefault="00370BAA">
      <w:pPr>
        <w:pStyle w:val="Heading6"/>
        <w:numPr>
          <w:ilvl w:val="1"/>
          <w:numId w:val="79"/>
        </w:numPr>
        <w:tabs>
          <w:tab w:val="left" w:pos="720"/>
        </w:tabs>
        <w:spacing w:before="238"/>
        <w:ind w:hanging="720"/>
        <w:jc w:val="both"/>
      </w:pPr>
      <w:bookmarkStart w:id="82" w:name="34.0_Currency_Provisions"/>
      <w:bookmarkStart w:id="83" w:name="_bookmark40"/>
      <w:bookmarkEnd w:id="82"/>
      <w:bookmarkEnd w:id="83"/>
      <w:r>
        <w:t>Currency</w:t>
      </w:r>
      <w:r>
        <w:rPr>
          <w:spacing w:val="-12"/>
        </w:rPr>
        <w:t xml:space="preserve"> </w:t>
      </w:r>
      <w:r>
        <w:rPr>
          <w:spacing w:val="-2"/>
        </w:rPr>
        <w:t>Provisions</w:t>
      </w:r>
    </w:p>
    <w:p w14:paraId="07717F3F" w14:textId="77777777" w:rsidR="00BB77C0" w:rsidRDefault="00370BAA">
      <w:pPr>
        <w:pStyle w:val="ListParagraph"/>
        <w:numPr>
          <w:ilvl w:val="1"/>
          <w:numId w:val="79"/>
        </w:numPr>
        <w:tabs>
          <w:tab w:val="left" w:pos="1439"/>
          <w:tab w:val="left" w:pos="1441"/>
        </w:tabs>
        <w:spacing w:before="75" w:line="208" w:lineRule="auto"/>
        <w:ind w:left="1441" w:right="1103"/>
        <w:jc w:val="both"/>
        <w:rPr>
          <w:color w:val="201F1F"/>
          <w:sz w:val="24"/>
        </w:rPr>
      </w:pPr>
      <w:r>
        <w:rPr>
          <w:color w:val="201F1F"/>
          <w:sz w:val="24"/>
        </w:rPr>
        <w:t>Tenders will priced be in Kenya Shillings only. Tenderers quoting in currencies other thanin Kenya shillings will</w:t>
      </w:r>
      <w:r>
        <w:rPr>
          <w:color w:val="201F1F"/>
          <w:spacing w:val="31"/>
          <w:sz w:val="24"/>
        </w:rPr>
        <w:t xml:space="preserve"> </w:t>
      </w:r>
      <w:r>
        <w:rPr>
          <w:color w:val="201F1F"/>
          <w:sz w:val="24"/>
        </w:rPr>
        <w:t>be</w:t>
      </w:r>
      <w:r>
        <w:rPr>
          <w:color w:val="201F1F"/>
          <w:spacing w:val="-1"/>
          <w:sz w:val="24"/>
        </w:rPr>
        <w:t xml:space="preserve"> </w:t>
      </w:r>
      <w:r>
        <w:rPr>
          <w:color w:val="201F1F"/>
          <w:sz w:val="24"/>
        </w:rPr>
        <w:t>determined non-responsive and</w:t>
      </w:r>
      <w:r>
        <w:rPr>
          <w:color w:val="201F1F"/>
          <w:spacing w:val="-15"/>
          <w:sz w:val="24"/>
        </w:rPr>
        <w:t xml:space="preserve"> </w:t>
      </w:r>
      <w:r>
        <w:rPr>
          <w:color w:val="201F1F"/>
          <w:sz w:val="24"/>
        </w:rPr>
        <w:t>rejected.</w:t>
      </w:r>
    </w:p>
    <w:p w14:paraId="282B36F4" w14:textId="77777777" w:rsidR="00BB77C0" w:rsidRDefault="00370BAA">
      <w:pPr>
        <w:pStyle w:val="Heading6"/>
        <w:numPr>
          <w:ilvl w:val="1"/>
          <w:numId w:val="78"/>
        </w:numPr>
        <w:tabs>
          <w:tab w:val="left" w:pos="720"/>
        </w:tabs>
        <w:spacing w:before="239"/>
        <w:ind w:hanging="720"/>
        <w:jc w:val="both"/>
      </w:pPr>
      <w:bookmarkStart w:id="84" w:name="35.0_Margin_of_Preference_and_Reservatio"/>
      <w:bookmarkStart w:id="85" w:name="_bookmark41"/>
      <w:bookmarkEnd w:id="84"/>
      <w:bookmarkEnd w:id="85"/>
      <w:r>
        <w:t>Margin</w:t>
      </w:r>
      <w:r>
        <w:rPr>
          <w:spacing w:val="-1"/>
        </w:rPr>
        <w:t xml:space="preserve"> </w:t>
      </w:r>
      <w:r>
        <w:t>of</w:t>
      </w:r>
      <w:r>
        <w:rPr>
          <w:spacing w:val="-5"/>
        </w:rPr>
        <w:t xml:space="preserve"> </w:t>
      </w:r>
      <w:r>
        <w:t>Preference</w:t>
      </w:r>
      <w:r>
        <w:rPr>
          <w:spacing w:val="-3"/>
        </w:rPr>
        <w:t xml:space="preserve"> </w:t>
      </w:r>
      <w:r>
        <w:t xml:space="preserve">and </w:t>
      </w:r>
      <w:r>
        <w:rPr>
          <w:spacing w:val="-2"/>
        </w:rPr>
        <w:t>Reservations</w:t>
      </w:r>
    </w:p>
    <w:p w14:paraId="1CE808C8" w14:textId="77777777" w:rsidR="00BB77C0" w:rsidRDefault="00370BAA">
      <w:pPr>
        <w:pStyle w:val="ListParagraph"/>
        <w:numPr>
          <w:ilvl w:val="1"/>
          <w:numId w:val="78"/>
        </w:numPr>
        <w:tabs>
          <w:tab w:val="left" w:pos="1540"/>
        </w:tabs>
        <w:spacing w:before="219" w:line="275" w:lineRule="exact"/>
        <w:ind w:left="1540" w:hanging="820"/>
        <w:jc w:val="both"/>
        <w:rPr>
          <w:color w:val="211F1F"/>
          <w:sz w:val="24"/>
        </w:rPr>
      </w:pPr>
      <w:r>
        <w:rPr>
          <w:color w:val="201F1F"/>
          <w:sz w:val="24"/>
        </w:rPr>
        <w:t>No</w:t>
      </w:r>
      <w:r>
        <w:rPr>
          <w:color w:val="201F1F"/>
          <w:spacing w:val="-17"/>
          <w:sz w:val="24"/>
        </w:rPr>
        <w:t xml:space="preserve"> </w:t>
      </w:r>
      <w:r>
        <w:rPr>
          <w:color w:val="201F1F"/>
          <w:sz w:val="24"/>
        </w:rPr>
        <w:t>margin</w:t>
      </w:r>
      <w:r>
        <w:rPr>
          <w:color w:val="201F1F"/>
          <w:spacing w:val="-16"/>
          <w:sz w:val="24"/>
        </w:rPr>
        <w:t xml:space="preserve"> </w:t>
      </w:r>
      <w:r>
        <w:rPr>
          <w:color w:val="201F1F"/>
          <w:sz w:val="24"/>
        </w:rPr>
        <w:t>of</w:t>
      </w:r>
      <w:r>
        <w:rPr>
          <w:color w:val="201F1F"/>
          <w:spacing w:val="-20"/>
          <w:sz w:val="24"/>
        </w:rPr>
        <w:t xml:space="preserve"> </w:t>
      </w:r>
      <w:r>
        <w:rPr>
          <w:color w:val="201F1F"/>
          <w:sz w:val="24"/>
        </w:rPr>
        <w:t>preference</w:t>
      </w:r>
      <w:r>
        <w:rPr>
          <w:color w:val="201F1F"/>
          <w:spacing w:val="-15"/>
          <w:sz w:val="24"/>
        </w:rPr>
        <w:t xml:space="preserve"> </w:t>
      </w:r>
      <w:r>
        <w:rPr>
          <w:color w:val="201F1F"/>
          <w:sz w:val="24"/>
        </w:rPr>
        <w:t>shall</w:t>
      </w:r>
      <w:r>
        <w:rPr>
          <w:color w:val="201F1F"/>
          <w:spacing w:val="-15"/>
          <w:sz w:val="24"/>
        </w:rPr>
        <w:t xml:space="preserve"> </w:t>
      </w:r>
      <w:r>
        <w:rPr>
          <w:color w:val="201F1F"/>
          <w:sz w:val="24"/>
        </w:rPr>
        <w:t>be</w:t>
      </w:r>
      <w:r>
        <w:rPr>
          <w:color w:val="201F1F"/>
          <w:spacing w:val="-15"/>
          <w:sz w:val="24"/>
        </w:rPr>
        <w:t xml:space="preserve"> </w:t>
      </w:r>
      <w:r>
        <w:rPr>
          <w:color w:val="201F1F"/>
          <w:sz w:val="24"/>
        </w:rPr>
        <w:t>allowed</w:t>
      </w:r>
      <w:r>
        <w:rPr>
          <w:color w:val="201F1F"/>
          <w:spacing w:val="-15"/>
          <w:sz w:val="24"/>
        </w:rPr>
        <w:t xml:space="preserve"> </w:t>
      </w:r>
      <w:r>
        <w:rPr>
          <w:color w:val="201F1F"/>
          <w:sz w:val="24"/>
        </w:rPr>
        <w:t>on</w:t>
      </w:r>
      <w:r>
        <w:rPr>
          <w:color w:val="201F1F"/>
          <w:spacing w:val="-17"/>
          <w:sz w:val="24"/>
        </w:rPr>
        <w:t xml:space="preserve"> </w:t>
      </w:r>
      <w:r>
        <w:rPr>
          <w:color w:val="201F1F"/>
          <w:sz w:val="24"/>
        </w:rPr>
        <w:t>contracts</w:t>
      </w:r>
      <w:r>
        <w:rPr>
          <w:color w:val="201F1F"/>
          <w:spacing w:val="-11"/>
          <w:sz w:val="24"/>
        </w:rPr>
        <w:t xml:space="preserve"> </w:t>
      </w:r>
      <w:r>
        <w:rPr>
          <w:color w:val="201F1F"/>
          <w:sz w:val="24"/>
        </w:rPr>
        <w:t>for</w:t>
      </w:r>
      <w:r>
        <w:rPr>
          <w:color w:val="201F1F"/>
          <w:spacing w:val="-12"/>
          <w:sz w:val="24"/>
        </w:rPr>
        <w:t xml:space="preserve"> </w:t>
      </w:r>
      <w:r>
        <w:rPr>
          <w:color w:val="201F1F"/>
          <w:sz w:val="24"/>
        </w:rPr>
        <w:t>small</w:t>
      </w:r>
      <w:r>
        <w:rPr>
          <w:color w:val="201F1F"/>
          <w:spacing w:val="-16"/>
          <w:sz w:val="24"/>
        </w:rPr>
        <w:t xml:space="preserve"> </w:t>
      </w:r>
      <w:r>
        <w:rPr>
          <w:color w:val="201F1F"/>
          <w:spacing w:val="-2"/>
          <w:sz w:val="24"/>
        </w:rPr>
        <w:t>works.</w:t>
      </w:r>
    </w:p>
    <w:p w14:paraId="0CA5A7D7" w14:textId="77777777" w:rsidR="00BB77C0" w:rsidRDefault="00370BAA">
      <w:pPr>
        <w:pStyle w:val="ListParagraph"/>
        <w:numPr>
          <w:ilvl w:val="1"/>
          <w:numId w:val="78"/>
        </w:numPr>
        <w:tabs>
          <w:tab w:val="left" w:pos="1439"/>
          <w:tab w:val="left" w:pos="1441"/>
        </w:tabs>
        <w:spacing w:line="259" w:lineRule="auto"/>
        <w:ind w:left="1441" w:right="1092"/>
        <w:jc w:val="both"/>
        <w:rPr>
          <w:color w:val="211F1F"/>
          <w:sz w:val="24"/>
        </w:rPr>
      </w:pPr>
      <w:r>
        <w:rPr>
          <w:color w:val="201F1F"/>
          <w:sz w:val="24"/>
        </w:rPr>
        <w:t>Where it is intended to reserve the contract to specific groups under Small and Medium Enterprises, or enterprise of women, youth and/or persons living with disability, who are appropriately registered as such by the authority</w:t>
      </w:r>
      <w:r>
        <w:rPr>
          <w:color w:val="201F1F"/>
          <w:spacing w:val="-10"/>
          <w:sz w:val="24"/>
        </w:rPr>
        <w:t xml:space="preserve"> </w:t>
      </w:r>
      <w:r>
        <w:rPr>
          <w:color w:val="201F1F"/>
          <w:sz w:val="24"/>
        </w:rPr>
        <w:t>to be</w:t>
      </w:r>
      <w:r>
        <w:rPr>
          <w:color w:val="201F1F"/>
          <w:spacing w:val="-4"/>
          <w:sz w:val="24"/>
        </w:rPr>
        <w:t xml:space="preserve"> </w:t>
      </w:r>
      <w:r>
        <w:rPr>
          <w:color w:val="201F1F"/>
          <w:sz w:val="24"/>
        </w:rPr>
        <w:t>specified in</w:t>
      </w:r>
      <w:r>
        <w:rPr>
          <w:color w:val="201F1F"/>
          <w:spacing w:val="-7"/>
          <w:sz w:val="24"/>
        </w:rPr>
        <w:t xml:space="preserve"> </w:t>
      </w:r>
      <w:r>
        <w:rPr>
          <w:color w:val="201F1F"/>
          <w:sz w:val="24"/>
        </w:rPr>
        <w:t>the</w:t>
      </w:r>
      <w:r>
        <w:rPr>
          <w:color w:val="201F1F"/>
          <w:spacing w:val="-3"/>
          <w:sz w:val="24"/>
        </w:rPr>
        <w:t xml:space="preserve"> </w:t>
      </w:r>
      <w:r>
        <w:rPr>
          <w:color w:val="201F1F"/>
          <w:sz w:val="24"/>
        </w:rPr>
        <w:t>TDS, a</w:t>
      </w:r>
      <w:r>
        <w:rPr>
          <w:color w:val="201F1F"/>
          <w:spacing w:val="-8"/>
          <w:sz w:val="24"/>
        </w:rPr>
        <w:t xml:space="preserve"> </w:t>
      </w:r>
      <w:r>
        <w:rPr>
          <w:color w:val="201F1F"/>
          <w:sz w:val="24"/>
        </w:rPr>
        <w:t>procuring entity</w:t>
      </w:r>
      <w:r>
        <w:rPr>
          <w:color w:val="201F1F"/>
          <w:spacing w:val="-10"/>
          <w:sz w:val="24"/>
        </w:rPr>
        <w:t xml:space="preserve"> </w:t>
      </w:r>
      <w:r>
        <w:rPr>
          <w:color w:val="201F1F"/>
          <w:sz w:val="24"/>
        </w:rPr>
        <w:t>shall</w:t>
      </w:r>
      <w:r>
        <w:rPr>
          <w:color w:val="201F1F"/>
          <w:spacing w:val="-7"/>
          <w:sz w:val="24"/>
        </w:rPr>
        <w:t xml:space="preserve"> </w:t>
      </w:r>
      <w:r>
        <w:rPr>
          <w:color w:val="201F1F"/>
          <w:sz w:val="24"/>
        </w:rPr>
        <w:t>ensure</w:t>
      </w:r>
      <w:r>
        <w:rPr>
          <w:color w:val="201F1F"/>
          <w:spacing w:val="-4"/>
          <w:sz w:val="24"/>
        </w:rPr>
        <w:t xml:space="preserve"> </w:t>
      </w:r>
      <w:r>
        <w:rPr>
          <w:color w:val="201F1F"/>
          <w:sz w:val="24"/>
        </w:rPr>
        <w:t>that</w:t>
      </w:r>
      <w:r>
        <w:rPr>
          <w:color w:val="201F1F"/>
          <w:spacing w:val="-2"/>
          <w:sz w:val="24"/>
        </w:rPr>
        <w:t xml:space="preserve"> </w:t>
      </w:r>
      <w:r>
        <w:rPr>
          <w:color w:val="201F1F"/>
          <w:sz w:val="24"/>
        </w:rPr>
        <w:t>the invitation to tender specifically indicates that only businesses/firms belonging to those specified groups are the only ones eligible to tender. Otherwise if no so stated, the invitation will be open to all tenderers.</w:t>
      </w:r>
    </w:p>
    <w:p w14:paraId="4A24AC03" w14:textId="77777777" w:rsidR="00BB77C0" w:rsidRDefault="00BB77C0">
      <w:pPr>
        <w:pStyle w:val="BodyText"/>
        <w:spacing w:before="258"/>
        <w:rPr>
          <w:sz w:val="24"/>
        </w:rPr>
      </w:pPr>
    </w:p>
    <w:p w14:paraId="7BE7BECF" w14:textId="77777777" w:rsidR="00BB77C0" w:rsidRDefault="00370BAA">
      <w:pPr>
        <w:pStyle w:val="Heading6"/>
        <w:numPr>
          <w:ilvl w:val="1"/>
          <w:numId w:val="77"/>
        </w:numPr>
        <w:tabs>
          <w:tab w:val="left" w:pos="720"/>
        </w:tabs>
        <w:ind w:hanging="720"/>
        <w:jc w:val="left"/>
      </w:pPr>
      <w:bookmarkStart w:id="86" w:name="36.0_Nominated_Subcontractors"/>
      <w:bookmarkStart w:id="87" w:name="_bookmark42"/>
      <w:bookmarkEnd w:id="86"/>
      <w:bookmarkEnd w:id="87"/>
      <w:r>
        <w:t>Nominated</w:t>
      </w:r>
      <w:r>
        <w:rPr>
          <w:spacing w:val="1"/>
        </w:rPr>
        <w:t xml:space="preserve"> </w:t>
      </w:r>
      <w:r>
        <w:rPr>
          <w:spacing w:val="-2"/>
        </w:rPr>
        <w:t>Subcontractors</w:t>
      </w:r>
    </w:p>
    <w:p w14:paraId="04901599" w14:textId="77777777" w:rsidR="00BB77C0" w:rsidRDefault="00370BAA">
      <w:pPr>
        <w:pStyle w:val="ListParagraph"/>
        <w:numPr>
          <w:ilvl w:val="1"/>
          <w:numId w:val="77"/>
        </w:numPr>
        <w:tabs>
          <w:tab w:val="left" w:pos="1441"/>
        </w:tabs>
        <w:spacing w:before="84" w:line="259" w:lineRule="auto"/>
        <w:ind w:left="1441" w:right="296"/>
        <w:jc w:val="left"/>
        <w:rPr>
          <w:b/>
          <w:color w:val="211F1F"/>
          <w:sz w:val="24"/>
        </w:rPr>
      </w:pPr>
      <w:r>
        <w:rPr>
          <w:color w:val="211F1F"/>
          <w:sz w:val="24"/>
        </w:rPr>
        <w:t>Un</w:t>
      </w:r>
      <w:r>
        <w:rPr>
          <w:b/>
          <w:color w:val="211F1F"/>
          <w:sz w:val="24"/>
        </w:rPr>
        <w:t>less</w:t>
      </w:r>
      <w:r>
        <w:rPr>
          <w:b/>
          <w:color w:val="211F1F"/>
          <w:spacing w:val="-8"/>
          <w:sz w:val="24"/>
        </w:rPr>
        <w:t xml:space="preserve"> </w:t>
      </w:r>
      <w:r>
        <w:rPr>
          <w:color w:val="211F1F"/>
          <w:sz w:val="24"/>
        </w:rPr>
        <w:t>otherwise</w:t>
      </w:r>
      <w:r>
        <w:rPr>
          <w:color w:val="211F1F"/>
          <w:spacing w:val="-6"/>
          <w:sz w:val="24"/>
        </w:rPr>
        <w:t xml:space="preserve"> </w:t>
      </w:r>
      <w:r>
        <w:rPr>
          <w:color w:val="211F1F"/>
          <w:sz w:val="24"/>
        </w:rPr>
        <w:t>stated</w:t>
      </w:r>
      <w:r>
        <w:rPr>
          <w:color w:val="211F1F"/>
          <w:spacing w:val="-6"/>
          <w:sz w:val="24"/>
        </w:rPr>
        <w:t xml:space="preserve"> </w:t>
      </w:r>
      <w:r>
        <w:rPr>
          <w:b/>
          <w:color w:val="211F1F"/>
          <w:sz w:val="24"/>
        </w:rPr>
        <w:t>in</w:t>
      </w:r>
      <w:r>
        <w:rPr>
          <w:b/>
          <w:color w:val="211F1F"/>
          <w:spacing w:val="-6"/>
          <w:sz w:val="24"/>
        </w:rPr>
        <w:t xml:space="preserve"> </w:t>
      </w:r>
      <w:r>
        <w:rPr>
          <w:b/>
          <w:color w:val="211F1F"/>
          <w:sz w:val="24"/>
        </w:rPr>
        <w:t>the</w:t>
      </w:r>
      <w:r>
        <w:rPr>
          <w:b/>
          <w:color w:val="211F1F"/>
          <w:spacing w:val="-7"/>
          <w:sz w:val="24"/>
        </w:rPr>
        <w:t xml:space="preserve"> </w:t>
      </w:r>
      <w:r>
        <w:rPr>
          <w:b/>
          <w:color w:val="211F1F"/>
          <w:sz w:val="24"/>
        </w:rPr>
        <w:t>TDS,</w:t>
      </w:r>
      <w:r>
        <w:rPr>
          <w:b/>
          <w:color w:val="211F1F"/>
          <w:spacing w:val="-9"/>
          <w:sz w:val="24"/>
        </w:rPr>
        <w:t xml:space="preserve"> </w:t>
      </w:r>
      <w:r>
        <w:rPr>
          <w:color w:val="211F1F"/>
          <w:sz w:val="24"/>
        </w:rPr>
        <w:t>the</w:t>
      </w:r>
      <w:r>
        <w:rPr>
          <w:color w:val="211F1F"/>
          <w:spacing w:val="-8"/>
          <w:sz w:val="24"/>
        </w:rPr>
        <w:t xml:space="preserve"> </w:t>
      </w:r>
      <w:r>
        <w:rPr>
          <w:color w:val="211F1F"/>
          <w:sz w:val="24"/>
        </w:rPr>
        <w:t>Procuring</w:t>
      </w:r>
      <w:r>
        <w:rPr>
          <w:color w:val="211F1F"/>
          <w:spacing w:val="-1"/>
          <w:sz w:val="24"/>
        </w:rPr>
        <w:t xml:space="preserve"> </w:t>
      </w:r>
      <w:r>
        <w:rPr>
          <w:color w:val="211F1F"/>
          <w:sz w:val="24"/>
        </w:rPr>
        <w:t>Entity</w:t>
      </w:r>
      <w:r>
        <w:rPr>
          <w:color w:val="211F1F"/>
          <w:spacing w:val="-14"/>
          <w:sz w:val="24"/>
        </w:rPr>
        <w:t xml:space="preserve"> </w:t>
      </w:r>
      <w:r>
        <w:rPr>
          <w:color w:val="211F1F"/>
          <w:sz w:val="24"/>
        </w:rPr>
        <w:t>does</w:t>
      </w:r>
      <w:r>
        <w:rPr>
          <w:color w:val="211F1F"/>
          <w:spacing w:val="-4"/>
          <w:sz w:val="24"/>
        </w:rPr>
        <w:t xml:space="preserve"> </w:t>
      </w:r>
      <w:r>
        <w:rPr>
          <w:color w:val="211F1F"/>
          <w:sz w:val="24"/>
        </w:rPr>
        <w:t>not</w:t>
      </w:r>
      <w:r>
        <w:rPr>
          <w:color w:val="211F1F"/>
          <w:spacing w:val="-2"/>
          <w:sz w:val="24"/>
        </w:rPr>
        <w:t xml:space="preserve"> </w:t>
      </w:r>
      <w:r>
        <w:rPr>
          <w:color w:val="211F1F"/>
          <w:sz w:val="24"/>
        </w:rPr>
        <w:t>intend</w:t>
      </w:r>
      <w:r>
        <w:rPr>
          <w:color w:val="211F1F"/>
          <w:spacing w:val="-6"/>
          <w:sz w:val="24"/>
        </w:rPr>
        <w:t xml:space="preserve"> </w:t>
      </w:r>
      <w:r>
        <w:rPr>
          <w:color w:val="211F1F"/>
          <w:sz w:val="24"/>
        </w:rPr>
        <w:t>to</w:t>
      </w:r>
      <w:r>
        <w:rPr>
          <w:color w:val="211F1F"/>
          <w:spacing w:val="-2"/>
          <w:sz w:val="24"/>
        </w:rPr>
        <w:t xml:space="preserve"> </w:t>
      </w:r>
      <w:r>
        <w:rPr>
          <w:color w:val="211F1F"/>
          <w:sz w:val="24"/>
        </w:rPr>
        <w:t>execute any specific elements of the Works by subcontractors selected/nominated by the Procuring Entity. In case the Procuring Entity nominates a subcontractor, the subFramework Agreement shall be signed by the Subcontractor and the Procuring Entity.</w:t>
      </w:r>
      <w:r>
        <w:rPr>
          <w:color w:val="211F1F"/>
          <w:spacing w:val="-9"/>
          <w:sz w:val="24"/>
        </w:rPr>
        <w:t xml:space="preserve"> </w:t>
      </w:r>
      <w:r>
        <w:rPr>
          <w:color w:val="211F1F"/>
          <w:sz w:val="24"/>
        </w:rPr>
        <w:t>The main</w:t>
      </w:r>
      <w:r>
        <w:rPr>
          <w:color w:val="211F1F"/>
          <w:spacing w:val="-8"/>
          <w:sz w:val="24"/>
        </w:rPr>
        <w:t xml:space="preserve"> </w:t>
      </w:r>
      <w:r>
        <w:rPr>
          <w:color w:val="211F1F"/>
          <w:sz w:val="24"/>
        </w:rPr>
        <w:t>contract</w:t>
      </w:r>
      <w:r>
        <w:rPr>
          <w:color w:val="211F1F"/>
          <w:spacing w:val="-3"/>
          <w:sz w:val="24"/>
        </w:rPr>
        <w:t xml:space="preserve"> </w:t>
      </w:r>
      <w:r>
        <w:rPr>
          <w:color w:val="211F1F"/>
          <w:sz w:val="24"/>
        </w:rPr>
        <w:t>shall</w:t>
      </w:r>
      <w:r>
        <w:rPr>
          <w:color w:val="211F1F"/>
          <w:spacing w:val="-7"/>
          <w:sz w:val="24"/>
        </w:rPr>
        <w:t xml:space="preserve"> </w:t>
      </w:r>
      <w:r>
        <w:rPr>
          <w:color w:val="211F1F"/>
          <w:sz w:val="24"/>
        </w:rPr>
        <w:t>specify</w:t>
      </w:r>
      <w:r>
        <w:rPr>
          <w:color w:val="211F1F"/>
          <w:spacing w:val="-12"/>
          <w:sz w:val="24"/>
        </w:rPr>
        <w:t xml:space="preserve"> </w:t>
      </w:r>
      <w:r>
        <w:rPr>
          <w:color w:val="211F1F"/>
          <w:sz w:val="24"/>
        </w:rPr>
        <w:t>the working</w:t>
      </w:r>
      <w:r>
        <w:rPr>
          <w:color w:val="211F1F"/>
          <w:spacing w:val="-3"/>
          <w:sz w:val="24"/>
        </w:rPr>
        <w:t xml:space="preserve"> </w:t>
      </w:r>
      <w:r>
        <w:rPr>
          <w:color w:val="211F1F"/>
          <w:sz w:val="24"/>
        </w:rPr>
        <w:t>arrangements</w:t>
      </w:r>
      <w:r>
        <w:rPr>
          <w:color w:val="211F1F"/>
          <w:spacing w:val="-5"/>
          <w:sz w:val="24"/>
        </w:rPr>
        <w:t xml:space="preserve"> </w:t>
      </w:r>
      <w:r>
        <w:rPr>
          <w:color w:val="211F1F"/>
          <w:sz w:val="24"/>
        </w:rPr>
        <w:t>between</w:t>
      </w:r>
      <w:r>
        <w:rPr>
          <w:color w:val="211F1F"/>
          <w:spacing w:val="-8"/>
          <w:sz w:val="24"/>
        </w:rPr>
        <w:t xml:space="preserve"> </w:t>
      </w:r>
      <w:r>
        <w:rPr>
          <w:color w:val="211F1F"/>
          <w:sz w:val="24"/>
        </w:rPr>
        <w:t>the main contractor and the nominated subcontractor.</w:t>
      </w:r>
    </w:p>
    <w:p w14:paraId="26992E94" w14:textId="77777777" w:rsidR="00BB77C0" w:rsidRDefault="00370BAA">
      <w:pPr>
        <w:pStyle w:val="ListParagraph"/>
        <w:numPr>
          <w:ilvl w:val="1"/>
          <w:numId w:val="77"/>
        </w:numPr>
        <w:tabs>
          <w:tab w:val="left" w:pos="1441"/>
        </w:tabs>
        <w:spacing w:before="152" w:line="259" w:lineRule="auto"/>
        <w:ind w:left="1441" w:right="113"/>
        <w:jc w:val="left"/>
        <w:rPr>
          <w:color w:val="211F1F"/>
          <w:sz w:val="24"/>
        </w:rPr>
      </w:pPr>
      <w:r>
        <w:rPr>
          <w:color w:val="211F1F"/>
          <w:sz w:val="24"/>
        </w:rPr>
        <w:t>Tenderers may</w:t>
      </w:r>
      <w:r>
        <w:rPr>
          <w:color w:val="211F1F"/>
          <w:spacing w:val="-9"/>
          <w:sz w:val="24"/>
        </w:rPr>
        <w:t xml:space="preserve"> </w:t>
      </w:r>
      <w:r>
        <w:rPr>
          <w:color w:val="211F1F"/>
          <w:sz w:val="24"/>
        </w:rPr>
        <w:t>propose</w:t>
      </w:r>
      <w:r>
        <w:rPr>
          <w:color w:val="211F1F"/>
          <w:spacing w:val="-5"/>
          <w:sz w:val="24"/>
        </w:rPr>
        <w:t xml:space="preserve"> </w:t>
      </w:r>
      <w:r>
        <w:rPr>
          <w:color w:val="211F1F"/>
          <w:sz w:val="24"/>
        </w:rPr>
        <w:t>subcontracting up</w:t>
      </w:r>
      <w:r>
        <w:rPr>
          <w:color w:val="211F1F"/>
          <w:spacing w:val="-5"/>
          <w:sz w:val="24"/>
        </w:rPr>
        <w:t xml:space="preserve"> </w:t>
      </w:r>
      <w:r>
        <w:rPr>
          <w:color w:val="211F1F"/>
          <w:sz w:val="24"/>
        </w:rPr>
        <w:t>to</w:t>
      </w:r>
      <w:r>
        <w:rPr>
          <w:color w:val="211F1F"/>
          <w:spacing w:val="-4"/>
          <w:sz w:val="24"/>
        </w:rPr>
        <w:t xml:space="preserve"> </w:t>
      </w:r>
      <w:r>
        <w:rPr>
          <w:color w:val="211F1F"/>
          <w:sz w:val="24"/>
        </w:rPr>
        <w:t>the</w:t>
      </w:r>
      <w:r>
        <w:rPr>
          <w:color w:val="211F1F"/>
          <w:spacing w:val="-6"/>
          <w:sz w:val="24"/>
        </w:rPr>
        <w:t xml:space="preserve"> </w:t>
      </w:r>
      <w:r>
        <w:rPr>
          <w:color w:val="211F1F"/>
          <w:sz w:val="24"/>
        </w:rPr>
        <w:t>percentage</w:t>
      </w:r>
      <w:r>
        <w:rPr>
          <w:color w:val="211F1F"/>
          <w:spacing w:val="-5"/>
          <w:sz w:val="24"/>
        </w:rPr>
        <w:t xml:space="preserve"> </w:t>
      </w:r>
      <w:r>
        <w:rPr>
          <w:color w:val="211F1F"/>
          <w:sz w:val="24"/>
        </w:rPr>
        <w:t>of</w:t>
      </w:r>
      <w:r>
        <w:rPr>
          <w:color w:val="211F1F"/>
          <w:spacing w:val="-13"/>
          <w:sz w:val="24"/>
        </w:rPr>
        <w:t xml:space="preserve"> </w:t>
      </w:r>
      <w:r>
        <w:rPr>
          <w:color w:val="211F1F"/>
          <w:sz w:val="24"/>
        </w:rPr>
        <w:t>total</w:t>
      </w:r>
      <w:r>
        <w:rPr>
          <w:color w:val="211F1F"/>
          <w:spacing w:val="-9"/>
          <w:sz w:val="24"/>
        </w:rPr>
        <w:t xml:space="preserve"> </w:t>
      </w:r>
      <w:r>
        <w:rPr>
          <w:color w:val="211F1F"/>
          <w:sz w:val="24"/>
        </w:rPr>
        <w:t>value</w:t>
      </w:r>
      <w:r>
        <w:rPr>
          <w:color w:val="211F1F"/>
          <w:spacing w:val="-5"/>
          <w:sz w:val="24"/>
        </w:rPr>
        <w:t xml:space="preserve"> </w:t>
      </w:r>
      <w:r>
        <w:rPr>
          <w:color w:val="211F1F"/>
          <w:sz w:val="24"/>
        </w:rPr>
        <w:t>of</w:t>
      </w:r>
      <w:r>
        <w:rPr>
          <w:color w:val="211F1F"/>
          <w:spacing w:val="-13"/>
          <w:sz w:val="24"/>
        </w:rPr>
        <w:t xml:space="preserve"> </w:t>
      </w:r>
      <w:r>
        <w:rPr>
          <w:color w:val="211F1F"/>
          <w:sz w:val="24"/>
        </w:rPr>
        <w:t xml:space="preserve">contracts or the volume of works as specified </w:t>
      </w:r>
      <w:r>
        <w:rPr>
          <w:b/>
          <w:color w:val="211F1F"/>
          <w:sz w:val="24"/>
        </w:rPr>
        <w:t>in the TDS</w:t>
      </w:r>
      <w:r>
        <w:rPr>
          <w:color w:val="211F1F"/>
          <w:sz w:val="24"/>
        </w:rPr>
        <w:t>. Subcontractors proposed by the Tenderer shall be fully qualified for their parts of the Works.</w:t>
      </w:r>
    </w:p>
    <w:p w14:paraId="5D9CACBF" w14:textId="77777777" w:rsidR="00BB77C0" w:rsidRDefault="00370BAA">
      <w:pPr>
        <w:pStyle w:val="ListParagraph"/>
        <w:numPr>
          <w:ilvl w:val="1"/>
          <w:numId w:val="77"/>
        </w:numPr>
        <w:tabs>
          <w:tab w:val="left" w:pos="1441"/>
        </w:tabs>
        <w:spacing w:before="157" w:line="259" w:lineRule="auto"/>
        <w:ind w:left="1441" w:right="155"/>
        <w:jc w:val="left"/>
        <w:rPr>
          <w:color w:val="211F1F"/>
          <w:sz w:val="24"/>
        </w:rPr>
      </w:pPr>
      <w:r>
        <w:rPr>
          <w:color w:val="211F1F"/>
          <w:sz w:val="24"/>
        </w:rPr>
        <w:t>The</w:t>
      </w:r>
      <w:r>
        <w:rPr>
          <w:color w:val="211F1F"/>
          <w:spacing w:val="-3"/>
          <w:sz w:val="24"/>
        </w:rPr>
        <w:t xml:space="preserve"> </w:t>
      </w:r>
      <w:r>
        <w:rPr>
          <w:color w:val="211F1F"/>
          <w:sz w:val="24"/>
        </w:rPr>
        <w:t>subcontractor's</w:t>
      </w:r>
      <w:r>
        <w:rPr>
          <w:color w:val="211F1F"/>
          <w:spacing w:val="-4"/>
          <w:sz w:val="24"/>
        </w:rPr>
        <w:t xml:space="preserve"> </w:t>
      </w:r>
      <w:r>
        <w:rPr>
          <w:color w:val="211F1F"/>
          <w:sz w:val="24"/>
        </w:rPr>
        <w:t>qualifications</w:t>
      </w:r>
      <w:r>
        <w:rPr>
          <w:color w:val="211F1F"/>
          <w:spacing w:val="-4"/>
          <w:sz w:val="24"/>
        </w:rPr>
        <w:t xml:space="preserve"> </w:t>
      </w:r>
      <w:r>
        <w:rPr>
          <w:color w:val="211F1F"/>
          <w:sz w:val="24"/>
        </w:rPr>
        <w:t>shall</w:t>
      </w:r>
      <w:r>
        <w:rPr>
          <w:color w:val="211F1F"/>
          <w:spacing w:val="-1"/>
          <w:sz w:val="24"/>
        </w:rPr>
        <w:t xml:space="preserve"> </w:t>
      </w:r>
      <w:r>
        <w:rPr>
          <w:color w:val="211F1F"/>
          <w:sz w:val="24"/>
        </w:rPr>
        <w:t>not</w:t>
      </w:r>
      <w:r>
        <w:rPr>
          <w:color w:val="211F1F"/>
          <w:spacing w:val="-2"/>
          <w:sz w:val="24"/>
        </w:rPr>
        <w:t xml:space="preserve"> </w:t>
      </w:r>
      <w:r>
        <w:rPr>
          <w:color w:val="211F1F"/>
          <w:sz w:val="24"/>
        </w:rPr>
        <w:t>be</w:t>
      </w:r>
      <w:r>
        <w:rPr>
          <w:color w:val="211F1F"/>
          <w:spacing w:val="-3"/>
          <w:sz w:val="24"/>
        </w:rPr>
        <w:t xml:space="preserve"> </w:t>
      </w:r>
      <w:r>
        <w:rPr>
          <w:color w:val="211F1F"/>
          <w:sz w:val="24"/>
        </w:rPr>
        <w:t>used</w:t>
      </w:r>
      <w:r>
        <w:rPr>
          <w:color w:val="211F1F"/>
          <w:spacing w:val="-2"/>
          <w:sz w:val="24"/>
        </w:rPr>
        <w:t xml:space="preserve"> </w:t>
      </w:r>
      <w:r>
        <w:rPr>
          <w:color w:val="211F1F"/>
          <w:sz w:val="24"/>
        </w:rPr>
        <w:t>by</w:t>
      </w:r>
      <w:r>
        <w:rPr>
          <w:color w:val="211F1F"/>
          <w:spacing w:val="-12"/>
          <w:sz w:val="24"/>
        </w:rPr>
        <w:t xml:space="preserve"> </w:t>
      </w:r>
      <w:r>
        <w:rPr>
          <w:color w:val="211F1F"/>
          <w:sz w:val="24"/>
        </w:rPr>
        <w:t>the</w:t>
      </w:r>
      <w:r>
        <w:rPr>
          <w:color w:val="211F1F"/>
          <w:spacing w:val="-3"/>
          <w:sz w:val="24"/>
        </w:rPr>
        <w:t xml:space="preserve"> </w:t>
      </w:r>
      <w:r>
        <w:rPr>
          <w:color w:val="211F1F"/>
          <w:sz w:val="24"/>
        </w:rPr>
        <w:t>Tenderer</w:t>
      </w:r>
      <w:r>
        <w:rPr>
          <w:color w:val="211F1F"/>
          <w:spacing w:val="-1"/>
          <w:sz w:val="24"/>
        </w:rPr>
        <w:t xml:space="preserve"> </w:t>
      </w:r>
      <w:r>
        <w:rPr>
          <w:color w:val="211F1F"/>
          <w:sz w:val="24"/>
        </w:rPr>
        <w:t>to qualify</w:t>
      </w:r>
      <w:r>
        <w:rPr>
          <w:color w:val="211F1F"/>
          <w:spacing w:val="-2"/>
          <w:sz w:val="24"/>
        </w:rPr>
        <w:t xml:space="preserve"> </w:t>
      </w:r>
      <w:r>
        <w:rPr>
          <w:color w:val="211F1F"/>
          <w:sz w:val="24"/>
        </w:rPr>
        <w:t>for</w:t>
      </w:r>
      <w:r>
        <w:rPr>
          <w:color w:val="211F1F"/>
          <w:spacing w:val="-1"/>
          <w:sz w:val="24"/>
        </w:rPr>
        <w:t xml:space="preserve"> </w:t>
      </w:r>
      <w:r>
        <w:rPr>
          <w:color w:val="211F1F"/>
          <w:sz w:val="24"/>
        </w:rPr>
        <w:t>the Works unless their specialized parts of the Works were previously designated so by the</w:t>
      </w:r>
      <w:r>
        <w:rPr>
          <w:color w:val="211F1F"/>
          <w:spacing w:val="-7"/>
          <w:sz w:val="24"/>
        </w:rPr>
        <w:t xml:space="preserve"> </w:t>
      </w:r>
      <w:r>
        <w:rPr>
          <w:color w:val="211F1F"/>
          <w:sz w:val="24"/>
        </w:rPr>
        <w:t>Procuring</w:t>
      </w:r>
      <w:r>
        <w:rPr>
          <w:color w:val="211F1F"/>
          <w:spacing w:val="-5"/>
          <w:sz w:val="24"/>
        </w:rPr>
        <w:t xml:space="preserve"> </w:t>
      </w:r>
      <w:r>
        <w:rPr>
          <w:color w:val="211F1F"/>
          <w:sz w:val="24"/>
        </w:rPr>
        <w:t>Entity</w:t>
      </w:r>
      <w:r>
        <w:rPr>
          <w:color w:val="211F1F"/>
          <w:spacing w:val="-14"/>
          <w:sz w:val="24"/>
        </w:rPr>
        <w:t xml:space="preserve"> </w:t>
      </w:r>
      <w:r>
        <w:rPr>
          <w:b/>
          <w:color w:val="211F1F"/>
          <w:sz w:val="24"/>
        </w:rPr>
        <w:t>in</w:t>
      </w:r>
      <w:r>
        <w:rPr>
          <w:b/>
          <w:color w:val="211F1F"/>
          <w:spacing w:val="-5"/>
          <w:sz w:val="24"/>
        </w:rPr>
        <w:t xml:space="preserve"> </w:t>
      </w:r>
      <w:r>
        <w:rPr>
          <w:b/>
          <w:color w:val="211F1F"/>
          <w:sz w:val="24"/>
        </w:rPr>
        <w:t>the</w:t>
      </w:r>
      <w:r>
        <w:rPr>
          <w:b/>
          <w:color w:val="211F1F"/>
          <w:spacing w:val="-6"/>
          <w:sz w:val="24"/>
        </w:rPr>
        <w:t xml:space="preserve"> </w:t>
      </w:r>
      <w:r>
        <w:rPr>
          <w:b/>
          <w:color w:val="211F1F"/>
          <w:sz w:val="24"/>
        </w:rPr>
        <w:t>TDS</w:t>
      </w:r>
      <w:r>
        <w:rPr>
          <w:b/>
          <w:color w:val="211F1F"/>
          <w:spacing w:val="-5"/>
          <w:sz w:val="24"/>
        </w:rPr>
        <w:t xml:space="preserve"> </w:t>
      </w:r>
      <w:r>
        <w:rPr>
          <w:color w:val="211F1F"/>
          <w:sz w:val="24"/>
        </w:rPr>
        <w:t>as</w:t>
      </w:r>
      <w:r>
        <w:rPr>
          <w:color w:val="211F1F"/>
          <w:spacing w:val="-8"/>
          <w:sz w:val="24"/>
        </w:rPr>
        <w:t xml:space="preserve"> </w:t>
      </w:r>
      <w:r>
        <w:rPr>
          <w:color w:val="211F1F"/>
          <w:sz w:val="24"/>
        </w:rPr>
        <w:t>can</w:t>
      </w:r>
      <w:r>
        <w:rPr>
          <w:color w:val="211F1F"/>
          <w:spacing w:val="-6"/>
          <w:sz w:val="24"/>
        </w:rPr>
        <w:t xml:space="preserve"> </w:t>
      </w:r>
      <w:r>
        <w:rPr>
          <w:color w:val="211F1F"/>
          <w:sz w:val="24"/>
        </w:rPr>
        <w:t>be</w:t>
      </w:r>
      <w:r>
        <w:rPr>
          <w:color w:val="211F1F"/>
          <w:spacing w:val="-2"/>
          <w:sz w:val="24"/>
        </w:rPr>
        <w:t xml:space="preserve"> </w:t>
      </w:r>
      <w:r>
        <w:rPr>
          <w:color w:val="211F1F"/>
          <w:sz w:val="24"/>
        </w:rPr>
        <w:t>met by</w:t>
      </w:r>
      <w:r>
        <w:rPr>
          <w:color w:val="211F1F"/>
          <w:spacing w:val="-11"/>
          <w:sz w:val="24"/>
        </w:rPr>
        <w:t xml:space="preserve"> </w:t>
      </w:r>
      <w:r>
        <w:rPr>
          <w:color w:val="211F1F"/>
          <w:sz w:val="24"/>
        </w:rPr>
        <w:t>subcontractors</w:t>
      </w:r>
      <w:r>
        <w:rPr>
          <w:color w:val="211F1F"/>
          <w:spacing w:val="-6"/>
          <w:sz w:val="24"/>
        </w:rPr>
        <w:t xml:space="preserve"> </w:t>
      </w:r>
      <w:r>
        <w:rPr>
          <w:color w:val="211F1F"/>
          <w:sz w:val="24"/>
        </w:rPr>
        <w:t>referred</w:t>
      </w:r>
      <w:r>
        <w:rPr>
          <w:color w:val="211F1F"/>
          <w:spacing w:val="-5"/>
          <w:sz w:val="24"/>
        </w:rPr>
        <w:t xml:space="preserve"> </w:t>
      </w:r>
      <w:r>
        <w:rPr>
          <w:color w:val="211F1F"/>
          <w:sz w:val="24"/>
        </w:rPr>
        <w:t>to</w:t>
      </w:r>
      <w:r>
        <w:rPr>
          <w:color w:val="211F1F"/>
          <w:spacing w:val="-1"/>
          <w:sz w:val="24"/>
        </w:rPr>
        <w:t xml:space="preserve"> </w:t>
      </w:r>
      <w:r>
        <w:rPr>
          <w:color w:val="211F1F"/>
          <w:sz w:val="24"/>
        </w:rPr>
        <w:t xml:space="preserve">hereafter as 'Specialized Subcontractors', in which case, the qualifications of the Specialized Subcontractors proposed by the Tenderer may be added to the qualifications of the </w:t>
      </w:r>
      <w:r>
        <w:rPr>
          <w:color w:val="211F1F"/>
          <w:spacing w:val="-2"/>
          <w:sz w:val="24"/>
        </w:rPr>
        <w:t>Tenderer.</w:t>
      </w:r>
    </w:p>
    <w:p w14:paraId="5E9BF214" w14:textId="77777777" w:rsidR="00BB77C0" w:rsidRDefault="00BB77C0">
      <w:pPr>
        <w:pStyle w:val="BodyText"/>
        <w:rPr>
          <w:sz w:val="24"/>
        </w:rPr>
      </w:pPr>
    </w:p>
    <w:p w14:paraId="1FA2C92D" w14:textId="77777777" w:rsidR="00BB77C0" w:rsidRDefault="00BB77C0">
      <w:pPr>
        <w:pStyle w:val="BodyText"/>
        <w:spacing w:before="157"/>
        <w:rPr>
          <w:sz w:val="24"/>
        </w:rPr>
      </w:pPr>
    </w:p>
    <w:p w14:paraId="430C8A01" w14:textId="77777777" w:rsidR="00BB77C0" w:rsidRDefault="00370BAA">
      <w:pPr>
        <w:pStyle w:val="Heading6"/>
        <w:numPr>
          <w:ilvl w:val="1"/>
          <w:numId w:val="76"/>
        </w:numPr>
        <w:tabs>
          <w:tab w:val="left" w:pos="720"/>
        </w:tabs>
        <w:ind w:hanging="720"/>
        <w:jc w:val="left"/>
      </w:pPr>
      <w:bookmarkStart w:id="88" w:name="37.0_Evaluation_of_Tenders"/>
      <w:bookmarkStart w:id="89" w:name="_bookmark43"/>
      <w:bookmarkEnd w:id="88"/>
      <w:bookmarkEnd w:id="89"/>
      <w:r>
        <w:t>Evaluation of</w:t>
      </w:r>
      <w:r>
        <w:rPr>
          <w:spacing w:val="-3"/>
        </w:rPr>
        <w:t xml:space="preserve"> </w:t>
      </w:r>
      <w:r>
        <w:rPr>
          <w:spacing w:val="-2"/>
        </w:rPr>
        <w:t>Tenders</w:t>
      </w:r>
    </w:p>
    <w:p w14:paraId="53172D37" w14:textId="77777777" w:rsidR="00BB77C0" w:rsidRDefault="00370BAA">
      <w:pPr>
        <w:pStyle w:val="ListParagraph"/>
        <w:numPr>
          <w:ilvl w:val="1"/>
          <w:numId w:val="76"/>
        </w:numPr>
        <w:tabs>
          <w:tab w:val="left" w:pos="1441"/>
        </w:tabs>
        <w:spacing w:before="74" w:line="259" w:lineRule="auto"/>
        <w:ind w:left="1441" w:right="387"/>
        <w:jc w:val="left"/>
        <w:rPr>
          <w:color w:val="211F1F"/>
          <w:sz w:val="24"/>
        </w:rPr>
      </w:pPr>
      <w:r>
        <w:rPr>
          <w:color w:val="211F1F"/>
          <w:sz w:val="24"/>
        </w:rPr>
        <w:t>The</w:t>
      </w:r>
      <w:r>
        <w:rPr>
          <w:color w:val="211F1F"/>
          <w:spacing w:val="-9"/>
          <w:sz w:val="24"/>
        </w:rPr>
        <w:t xml:space="preserve"> </w:t>
      </w:r>
      <w:r>
        <w:rPr>
          <w:color w:val="211F1F"/>
          <w:sz w:val="24"/>
        </w:rPr>
        <w:t>Procuring</w:t>
      </w:r>
      <w:r>
        <w:rPr>
          <w:color w:val="211F1F"/>
          <w:spacing w:val="-3"/>
          <w:sz w:val="24"/>
        </w:rPr>
        <w:t xml:space="preserve"> </w:t>
      </w:r>
      <w:r>
        <w:rPr>
          <w:color w:val="211F1F"/>
          <w:sz w:val="24"/>
        </w:rPr>
        <w:t>Entity</w:t>
      </w:r>
      <w:r>
        <w:rPr>
          <w:color w:val="211F1F"/>
          <w:spacing w:val="-11"/>
          <w:sz w:val="24"/>
        </w:rPr>
        <w:t xml:space="preserve"> </w:t>
      </w:r>
      <w:r>
        <w:rPr>
          <w:color w:val="211F1F"/>
          <w:sz w:val="24"/>
        </w:rPr>
        <w:t>shall</w:t>
      </w:r>
      <w:r>
        <w:rPr>
          <w:color w:val="211F1F"/>
          <w:spacing w:val="-11"/>
          <w:sz w:val="24"/>
        </w:rPr>
        <w:t xml:space="preserve"> </w:t>
      </w:r>
      <w:r>
        <w:rPr>
          <w:color w:val="211F1F"/>
          <w:sz w:val="24"/>
        </w:rPr>
        <w:t>use</w:t>
      </w:r>
      <w:r>
        <w:rPr>
          <w:color w:val="211F1F"/>
          <w:spacing w:val="-8"/>
          <w:sz w:val="24"/>
        </w:rPr>
        <w:t xml:space="preserve"> </w:t>
      </w:r>
      <w:r>
        <w:rPr>
          <w:color w:val="211F1F"/>
          <w:sz w:val="24"/>
        </w:rPr>
        <w:t>the</w:t>
      </w:r>
      <w:r>
        <w:rPr>
          <w:color w:val="211F1F"/>
          <w:spacing w:val="-9"/>
          <w:sz w:val="24"/>
        </w:rPr>
        <w:t xml:space="preserve"> </w:t>
      </w:r>
      <w:r>
        <w:rPr>
          <w:color w:val="211F1F"/>
          <w:sz w:val="24"/>
        </w:rPr>
        <w:t>criteria</w:t>
      </w:r>
      <w:r>
        <w:rPr>
          <w:color w:val="211F1F"/>
          <w:spacing w:val="-4"/>
          <w:sz w:val="24"/>
        </w:rPr>
        <w:t xml:space="preserve"> </w:t>
      </w:r>
      <w:r>
        <w:rPr>
          <w:color w:val="211F1F"/>
          <w:sz w:val="24"/>
        </w:rPr>
        <w:t>and methodologies listed in</w:t>
      </w:r>
      <w:r>
        <w:rPr>
          <w:color w:val="211F1F"/>
          <w:spacing w:val="-7"/>
          <w:sz w:val="24"/>
        </w:rPr>
        <w:t xml:space="preserve"> </w:t>
      </w:r>
      <w:r>
        <w:rPr>
          <w:color w:val="211F1F"/>
          <w:sz w:val="24"/>
        </w:rPr>
        <w:t>this</w:t>
      </w:r>
      <w:r>
        <w:rPr>
          <w:color w:val="211F1F"/>
          <w:spacing w:val="-5"/>
          <w:sz w:val="24"/>
        </w:rPr>
        <w:t xml:space="preserve"> </w:t>
      </w:r>
      <w:r>
        <w:rPr>
          <w:color w:val="211F1F"/>
          <w:sz w:val="24"/>
        </w:rPr>
        <w:t>ITT</w:t>
      </w:r>
      <w:r>
        <w:rPr>
          <w:color w:val="211F1F"/>
          <w:spacing w:val="-5"/>
          <w:sz w:val="24"/>
        </w:rPr>
        <w:t xml:space="preserve"> </w:t>
      </w:r>
      <w:r>
        <w:rPr>
          <w:color w:val="211F1F"/>
          <w:sz w:val="24"/>
        </w:rPr>
        <w:t>and Section III, Evaluation and Qualification Criteria. No other evaluation criteria or methodologies shall be permitted. By</w:t>
      </w:r>
      <w:r>
        <w:rPr>
          <w:color w:val="211F1F"/>
          <w:spacing w:val="-2"/>
          <w:sz w:val="24"/>
        </w:rPr>
        <w:t xml:space="preserve"> </w:t>
      </w:r>
      <w:r>
        <w:rPr>
          <w:color w:val="211F1F"/>
          <w:sz w:val="24"/>
        </w:rPr>
        <w:t>applying the criteria and methodologies the</w:t>
      </w:r>
    </w:p>
    <w:p w14:paraId="3B2E838D" w14:textId="77777777" w:rsidR="00BB77C0" w:rsidRDefault="00BB77C0">
      <w:pPr>
        <w:pStyle w:val="ListParagraph"/>
        <w:spacing w:line="259" w:lineRule="auto"/>
        <w:rPr>
          <w:sz w:val="24"/>
        </w:rPr>
        <w:sectPr w:rsidR="00BB77C0">
          <w:pgSz w:w="11930" w:h="16870"/>
          <w:pgMar w:top="1360" w:right="1080" w:bottom="280" w:left="1080" w:header="720" w:footer="720" w:gutter="0"/>
          <w:cols w:space="720"/>
        </w:sectPr>
      </w:pPr>
    </w:p>
    <w:p w14:paraId="027999A2" w14:textId="77777777" w:rsidR="00BB77C0" w:rsidRDefault="00370BAA">
      <w:pPr>
        <w:spacing w:before="75" w:line="264" w:lineRule="auto"/>
        <w:ind w:left="1441"/>
        <w:rPr>
          <w:sz w:val="24"/>
        </w:rPr>
      </w:pPr>
      <w:r>
        <w:rPr>
          <w:color w:val="211F1F"/>
          <w:sz w:val="24"/>
        </w:rPr>
        <w:lastRenderedPageBreak/>
        <w:t>Procuring</w:t>
      </w:r>
      <w:r>
        <w:rPr>
          <w:color w:val="211F1F"/>
          <w:spacing w:val="-6"/>
          <w:sz w:val="24"/>
        </w:rPr>
        <w:t xml:space="preserve"> </w:t>
      </w:r>
      <w:r>
        <w:rPr>
          <w:color w:val="211F1F"/>
          <w:sz w:val="24"/>
        </w:rPr>
        <w:t>Entity</w:t>
      </w:r>
      <w:r>
        <w:rPr>
          <w:color w:val="211F1F"/>
          <w:spacing w:val="-15"/>
          <w:sz w:val="24"/>
        </w:rPr>
        <w:t xml:space="preserve"> </w:t>
      </w:r>
      <w:r>
        <w:rPr>
          <w:color w:val="211F1F"/>
          <w:sz w:val="24"/>
        </w:rPr>
        <w:t>shall</w:t>
      </w:r>
      <w:r>
        <w:rPr>
          <w:color w:val="211F1F"/>
          <w:spacing w:val="-14"/>
          <w:sz w:val="24"/>
        </w:rPr>
        <w:t xml:space="preserve"> </w:t>
      </w:r>
      <w:r>
        <w:rPr>
          <w:color w:val="211F1F"/>
          <w:sz w:val="24"/>
        </w:rPr>
        <w:t>determine</w:t>
      </w:r>
      <w:r>
        <w:rPr>
          <w:color w:val="211F1F"/>
          <w:spacing w:val="-7"/>
          <w:sz w:val="24"/>
        </w:rPr>
        <w:t xml:space="preserve"> </w:t>
      </w:r>
      <w:r>
        <w:rPr>
          <w:color w:val="211F1F"/>
          <w:sz w:val="24"/>
        </w:rPr>
        <w:t>the</w:t>
      </w:r>
      <w:r>
        <w:rPr>
          <w:color w:val="211F1F"/>
          <w:spacing w:val="-8"/>
          <w:sz w:val="24"/>
        </w:rPr>
        <w:t xml:space="preserve"> </w:t>
      </w:r>
      <w:r>
        <w:rPr>
          <w:color w:val="211F1F"/>
          <w:sz w:val="24"/>
        </w:rPr>
        <w:t>Lowest</w:t>
      </w:r>
      <w:r>
        <w:rPr>
          <w:color w:val="211F1F"/>
          <w:spacing w:val="-6"/>
          <w:sz w:val="24"/>
        </w:rPr>
        <w:t xml:space="preserve"> </w:t>
      </w:r>
      <w:r>
        <w:rPr>
          <w:color w:val="211F1F"/>
          <w:sz w:val="24"/>
        </w:rPr>
        <w:t>Evaluated</w:t>
      </w:r>
      <w:r>
        <w:rPr>
          <w:color w:val="211F1F"/>
          <w:spacing w:val="-11"/>
          <w:sz w:val="24"/>
        </w:rPr>
        <w:t xml:space="preserve"> </w:t>
      </w:r>
      <w:r>
        <w:rPr>
          <w:color w:val="211F1F"/>
          <w:sz w:val="24"/>
        </w:rPr>
        <w:t>Tender</w:t>
      </w:r>
      <w:r>
        <w:rPr>
          <w:color w:val="211F1F"/>
          <w:spacing w:val="-4"/>
          <w:sz w:val="24"/>
        </w:rPr>
        <w:t xml:space="preserve"> </w:t>
      </w:r>
      <w:r>
        <w:rPr>
          <w:color w:val="211F1F"/>
          <w:sz w:val="24"/>
        </w:rPr>
        <w:t>in</w:t>
      </w:r>
      <w:r>
        <w:rPr>
          <w:color w:val="211F1F"/>
          <w:spacing w:val="-12"/>
          <w:sz w:val="24"/>
        </w:rPr>
        <w:t xml:space="preserve"> </w:t>
      </w:r>
      <w:r>
        <w:rPr>
          <w:color w:val="211F1F"/>
          <w:sz w:val="24"/>
        </w:rPr>
        <w:t>accordance</w:t>
      </w:r>
      <w:r>
        <w:rPr>
          <w:color w:val="211F1F"/>
          <w:spacing w:val="-7"/>
          <w:sz w:val="24"/>
        </w:rPr>
        <w:t xml:space="preserve"> </w:t>
      </w:r>
      <w:r>
        <w:rPr>
          <w:color w:val="211F1F"/>
          <w:sz w:val="24"/>
        </w:rPr>
        <w:t>with</w:t>
      </w:r>
      <w:r>
        <w:rPr>
          <w:color w:val="211F1F"/>
          <w:spacing w:val="-11"/>
          <w:sz w:val="24"/>
        </w:rPr>
        <w:t xml:space="preserve"> </w:t>
      </w:r>
      <w:r>
        <w:rPr>
          <w:color w:val="211F1F"/>
          <w:sz w:val="24"/>
        </w:rPr>
        <w:t xml:space="preserve">ITT </w:t>
      </w:r>
      <w:r>
        <w:rPr>
          <w:color w:val="211F1F"/>
          <w:spacing w:val="-4"/>
          <w:sz w:val="24"/>
        </w:rPr>
        <w:t>40.</w:t>
      </w:r>
    </w:p>
    <w:p w14:paraId="0E07946D" w14:textId="77777777" w:rsidR="00BB77C0" w:rsidRDefault="00370BAA">
      <w:pPr>
        <w:pStyle w:val="ListParagraph"/>
        <w:numPr>
          <w:ilvl w:val="1"/>
          <w:numId w:val="76"/>
        </w:numPr>
        <w:tabs>
          <w:tab w:val="left" w:pos="1440"/>
        </w:tabs>
        <w:spacing w:before="152"/>
        <w:ind w:left="1440" w:hanging="720"/>
        <w:jc w:val="left"/>
        <w:rPr>
          <w:color w:val="211F1F"/>
          <w:sz w:val="24"/>
        </w:rPr>
      </w:pPr>
      <w:r>
        <w:rPr>
          <w:color w:val="211F1F"/>
          <w:sz w:val="24"/>
        </w:rPr>
        <w:t>To</w:t>
      </w:r>
      <w:r>
        <w:rPr>
          <w:color w:val="211F1F"/>
          <w:spacing w:val="-19"/>
          <w:sz w:val="24"/>
        </w:rPr>
        <w:t xml:space="preserve"> </w:t>
      </w:r>
      <w:r>
        <w:rPr>
          <w:color w:val="211F1F"/>
          <w:sz w:val="24"/>
        </w:rPr>
        <w:t>evaluate</w:t>
      </w:r>
      <w:r>
        <w:rPr>
          <w:color w:val="211F1F"/>
          <w:spacing w:val="-13"/>
          <w:sz w:val="24"/>
        </w:rPr>
        <w:t xml:space="preserve"> </w:t>
      </w:r>
      <w:r>
        <w:rPr>
          <w:color w:val="211F1F"/>
          <w:sz w:val="24"/>
        </w:rPr>
        <w:t>a</w:t>
      </w:r>
      <w:r>
        <w:rPr>
          <w:color w:val="211F1F"/>
          <w:spacing w:val="-6"/>
          <w:sz w:val="24"/>
        </w:rPr>
        <w:t xml:space="preserve"> </w:t>
      </w:r>
      <w:r>
        <w:rPr>
          <w:color w:val="211F1F"/>
          <w:sz w:val="24"/>
        </w:rPr>
        <w:t>Tender,</w:t>
      </w:r>
      <w:r>
        <w:rPr>
          <w:color w:val="211F1F"/>
          <w:spacing w:val="-15"/>
          <w:sz w:val="24"/>
        </w:rPr>
        <w:t xml:space="preserve"> </w:t>
      </w:r>
      <w:r>
        <w:rPr>
          <w:color w:val="211F1F"/>
          <w:sz w:val="24"/>
        </w:rPr>
        <w:t>the</w:t>
      </w:r>
      <w:r>
        <w:rPr>
          <w:color w:val="211F1F"/>
          <w:spacing w:val="-6"/>
          <w:sz w:val="24"/>
        </w:rPr>
        <w:t xml:space="preserve"> </w:t>
      </w:r>
      <w:r>
        <w:rPr>
          <w:color w:val="211F1F"/>
          <w:sz w:val="24"/>
        </w:rPr>
        <w:t>Procuring</w:t>
      </w:r>
      <w:r>
        <w:rPr>
          <w:color w:val="211F1F"/>
          <w:spacing w:val="-4"/>
          <w:sz w:val="24"/>
        </w:rPr>
        <w:t xml:space="preserve"> </w:t>
      </w:r>
      <w:r>
        <w:rPr>
          <w:color w:val="211F1F"/>
          <w:sz w:val="24"/>
        </w:rPr>
        <w:t>Entity</w:t>
      </w:r>
      <w:r>
        <w:rPr>
          <w:color w:val="211F1F"/>
          <w:spacing w:val="-14"/>
          <w:sz w:val="24"/>
        </w:rPr>
        <w:t xml:space="preserve"> </w:t>
      </w:r>
      <w:r>
        <w:rPr>
          <w:color w:val="211F1F"/>
          <w:sz w:val="24"/>
        </w:rPr>
        <w:t>shall</w:t>
      </w:r>
      <w:r>
        <w:rPr>
          <w:color w:val="211F1F"/>
          <w:spacing w:val="-7"/>
          <w:sz w:val="24"/>
        </w:rPr>
        <w:t xml:space="preserve"> </w:t>
      </w:r>
      <w:r>
        <w:rPr>
          <w:color w:val="211F1F"/>
          <w:sz w:val="24"/>
        </w:rPr>
        <w:t>consider</w:t>
      </w:r>
      <w:r>
        <w:rPr>
          <w:color w:val="211F1F"/>
          <w:spacing w:val="-7"/>
          <w:sz w:val="24"/>
        </w:rPr>
        <w:t xml:space="preserve"> </w:t>
      </w:r>
      <w:r>
        <w:rPr>
          <w:color w:val="211F1F"/>
          <w:sz w:val="24"/>
        </w:rPr>
        <w:t>the</w:t>
      </w:r>
      <w:r>
        <w:rPr>
          <w:color w:val="211F1F"/>
          <w:spacing w:val="-6"/>
          <w:sz w:val="24"/>
        </w:rPr>
        <w:t xml:space="preserve"> </w:t>
      </w:r>
      <w:r>
        <w:rPr>
          <w:color w:val="211F1F"/>
          <w:spacing w:val="-2"/>
          <w:sz w:val="24"/>
        </w:rPr>
        <w:t>following:</w:t>
      </w:r>
    </w:p>
    <w:p w14:paraId="53D5D265" w14:textId="77777777" w:rsidR="00BB77C0" w:rsidRDefault="00370BAA">
      <w:pPr>
        <w:pStyle w:val="ListParagraph"/>
        <w:numPr>
          <w:ilvl w:val="2"/>
          <w:numId w:val="76"/>
        </w:numPr>
        <w:tabs>
          <w:tab w:val="left" w:pos="2159"/>
          <w:tab w:val="left" w:pos="2161"/>
        </w:tabs>
        <w:spacing w:before="185"/>
        <w:ind w:right="117"/>
        <w:jc w:val="left"/>
        <w:rPr>
          <w:sz w:val="24"/>
        </w:rPr>
      </w:pPr>
      <w:r>
        <w:rPr>
          <w:color w:val="211F1F"/>
          <w:sz w:val="24"/>
        </w:rPr>
        <w:t>Price</w:t>
      </w:r>
      <w:r>
        <w:rPr>
          <w:color w:val="211F1F"/>
          <w:spacing w:val="-8"/>
          <w:sz w:val="24"/>
        </w:rPr>
        <w:t xml:space="preserve"> </w:t>
      </w:r>
      <w:r>
        <w:rPr>
          <w:color w:val="211F1F"/>
          <w:sz w:val="24"/>
        </w:rPr>
        <w:t>adjustment in</w:t>
      </w:r>
      <w:r>
        <w:rPr>
          <w:color w:val="211F1F"/>
          <w:spacing w:val="-13"/>
          <w:sz w:val="24"/>
        </w:rPr>
        <w:t xml:space="preserve"> </w:t>
      </w:r>
      <w:r>
        <w:rPr>
          <w:color w:val="211F1F"/>
          <w:sz w:val="24"/>
        </w:rPr>
        <w:t>accordance</w:t>
      </w:r>
      <w:r>
        <w:rPr>
          <w:color w:val="211F1F"/>
          <w:spacing w:val="-8"/>
          <w:sz w:val="24"/>
        </w:rPr>
        <w:t xml:space="preserve"> </w:t>
      </w:r>
      <w:r>
        <w:rPr>
          <w:color w:val="211F1F"/>
          <w:sz w:val="24"/>
        </w:rPr>
        <w:t>with</w:t>
      </w:r>
      <w:r>
        <w:rPr>
          <w:color w:val="211F1F"/>
          <w:spacing w:val="-7"/>
          <w:sz w:val="24"/>
        </w:rPr>
        <w:t xml:space="preserve"> </w:t>
      </w:r>
      <w:r>
        <w:rPr>
          <w:color w:val="211F1F"/>
          <w:sz w:val="24"/>
        </w:rPr>
        <w:t>ITT</w:t>
      </w:r>
      <w:r>
        <w:rPr>
          <w:color w:val="211F1F"/>
          <w:spacing w:val="-10"/>
          <w:sz w:val="24"/>
        </w:rPr>
        <w:t xml:space="preserve"> </w:t>
      </w:r>
      <w:r>
        <w:rPr>
          <w:color w:val="211F1F"/>
          <w:sz w:val="24"/>
        </w:rPr>
        <w:t>31.1(iii);</w:t>
      </w:r>
      <w:r>
        <w:rPr>
          <w:color w:val="211F1F"/>
          <w:spacing w:val="-6"/>
          <w:sz w:val="24"/>
        </w:rPr>
        <w:t xml:space="preserve"> </w:t>
      </w:r>
      <w:r>
        <w:rPr>
          <w:color w:val="211F1F"/>
          <w:sz w:val="24"/>
        </w:rPr>
        <w:t>excluding</w:t>
      </w:r>
      <w:r>
        <w:rPr>
          <w:color w:val="211F1F"/>
          <w:spacing w:val="-7"/>
          <w:sz w:val="24"/>
        </w:rPr>
        <w:t xml:space="preserve"> </w:t>
      </w:r>
      <w:r>
        <w:rPr>
          <w:color w:val="211F1F"/>
          <w:sz w:val="24"/>
        </w:rPr>
        <w:t>provisional</w:t>
      </w:r>
      <w:r>
        <w:rPr>
          <w:color w:val="211F1F"/>
          <w:spacing w:val="-11"/>
          <w:sz w:val="24"/>
        </w:rPr>
        <w:t xml:space="preserve"> </w:t>
      </w:r>
      <w:r>
        <w:rPr>
          <w:color w:val="211F1F"/>
          <w:sz w:val="24"/>
        </w:rPr>
        <w:t xml:space="preserve">sums and contingencies, if any, but including Day work items, where priced </w:t>
      </w:r>
      <w:r>
        <w:rPr>
          <w:color w:val="211F1F"/>
          <w:spacing w:val="-2"/>
          <w:sz w:val="24"/>
        </w:rPr>
        <w:t>competitively;</w:t>
      </w:r>
    </w:p>
    <w:p w14:paraId="4CF55165" w14:textId="77777777" w:rsidR="00BB77C0" w:rsidRDefault="00370BAA">
      <w:pPr>
        <w:pStyle w:val="ListParagraph"/>
        <w:numPr>
          <w:ilvl w:val="2"/>
          <w:numId w:val="76"/>
        </w:numPr>
        <w:tabs>
          <w:tab w:val="left" w:pos="2160"/>
        </w:tabs>
        <w:spacing w:line="274" w:lineRule="exact"/>
        <w:ind w:left="2160" w:hanging="374"/>
        <w:jc w:val="left"/>
        <w:rPr>
          <w:sz w:val="24"/>
        </w:rPr>
      </w:pPr>
      <w:r>
        <w:rPr>
          <w:color w:val="211F1F"/>
          <w:sz w:val="24"/>
        </w:rPr>
        <w:t>Price</w:t>
      </w:r>
      <w:r>
        <w:rPr>
          <w:color w:val="211F1F"/>
          <w:spacing w:val="-7"/>
          <w:sz w:val="24"/>
        </w:rPr>
        <w:t xml:space="preserve"> </w:t>
      </w:r>
      <w:r>
        <w:rPr>
          <w:color w:val="211F1F"/>
          <w:sz w:val="24"/>
        </w:rPr>
        <w:t>adjustment</w:t>
      </w:r>
      <w:r>
        <w:rPr>
          <w:color w:val="211F1F"/>
          <w:spacing w:val="6"/>
          <w:sz w:val="24"/>
        </w:rPr>
        <w:t xml:space="preserve"> </w:t>
      </w:r>
      <w:r>
        <w:rPr>
          <w:color w:val="211F1F"/>
          <w:sz w:val="24"/>
        </w:rPr>
        <w:t>due</w:t>
      </w:r>
      <w:r>
        <w:rPr>
          <w:color w:val="211F1F"/>
          <w:spacing w:val="-12"/>
          <w:sz w:val="24"/>
        </w:rPr>
        <w:t xml:space="preserve"> </w:t>
      </w:r>
      <w:r>
        <w:rPr>
          <w:color w:val="211F1F"/>
          <w:sz w:val="24"/>
        </w:rPr>
        <w:t>to</w:t>
      </w:r>
      <w:r>
        <w:rPr>
          <w:color w:val="211F1F"/>
          <w:spacing w:val="-2"/>
          <w:sz w:val="24"/>
        </w:rPr>
        <w:t xml:space="preserve"> </w:t>
      </w:r>
      <w:r>
        <w:rPr>
          <w:color w:val="211F1F"/>
          <w:sz w:val="24"/>
        </w:rPr>
        <w:t>discounts</w:t>
      </w:r>
      <w:r>
        <w:rPr>
          <w:color w:val="211F1F"/>
          <w:spacing w:val="-8"/>
          <w:sz w:val="24"/>
        </w:rPr>
        <w:t xml:space="preserve"> </w:t>
      </w:r>
      <w:r>
        <w:rPr>
          <w:color w:val="211F1F"/>
          <w:sz w:val="24"/>
        </w:rPr>
        <w:t>offered</w:t>
      </w:r>
      <w:r>
        <w:rPr>
          <w:color w:val="211F1F"/>
          <w:spacing w:val="4"/>
          <w:sz w:val="24"/>
        </w:rPr>
        <w:t xml:space="preserve"> </w:t>
      </w:r>
      <w:r>
        <w:rPr>
          <w:color w:val="211F1F"/>
          <w:sz w:val="24"/>
        </w:rPr>
        <w:t>in</w:t>
      </w:r>
      <w:r>
        <w:rPr>
          <w:color w:val="211F1F"/>
          <w:spacing w:val="-6"/>
          <w:sz w:val="24"/>
        </w:rPr>
        <w:t xml:space="preserve"> </w:t>
      </w:r>
      <w:r>
        <w:rPr>
          <w:color w:val="211F1F"/>
          <w:sz w:val="24"/>
        </w:rPr>
        <w:t>accordance</w:t>
      </w:r>
      <w:r>
        <w:rPr>
          <w:color w:val="211F1F"/>
          <w:spacing w:val="-1"/>
          <w:sz w:val="24"/>
        </w:rPr>
        <w:t xml:space="preserve"> </w:t>
      </w:r>
      <w:r>
        <w:rPr>
          <w:color w:val="211F1F"/>
          <w:sz w:val="24"/>
        </w:rPr>
        <w:t>with</w:t>
      </w:r>
      <w:r>
        <w:rPr>
          <w:color w:val="211F1F"/>
          <w:spacing w:val="-6"/>
          <w:sz w:val="24"/>
        </w:rPr>
        <w:t xml:space="preserve"> </w:t>
      </w:r>
      <w:r>
        <w:rPr>
          <w:color w:val="211F1F"/>
          <w:sz w:val="24"/>
        </w:rPr>
        <w:t>ITT</w:t>
      </w:r>
      <w:r>
        <w:rPr>
          <w:color w:val="211F1F"/>
          <w:spacing w:val="-7"/>
          <w:sz w:val="24"/>
        </w:rPr>
        <w:t xml:space="preserve"> </w:t>
      </w:r>
      <w:r>
        <w:rPr>
          <w:color w:val="211F1F"/>
          <w:spacing w:val="-2"/>
          <w:sz w:val="24"/>
        </w:rPr>
        <w:t>14.4;</w:t>
      </w:r>
    </w:p>
    <w:p w14:paraId="7A406E53" w14:textId="77777777" w:rsidR="00BB77C0" w:rsidRDefault="00370BAA">
      <w:pPr>
        <w:pStyle w:val="ListParagraph"/>
        <w:numPr>
          <w:ilvl w:val="2"/>
          <w:numId w:val="76"/>
        </w:numPr>
        <w:tabs>
          <w:tab w:val="left" w:pos="2154"/>
          <w:tab w:val="left" w:pos="2161"/>
        </w:tabs>
        <w:spacing w:before="2"/>
        <w:ind w:right="37" w:hanging="442"/>
        <w:jc w:val="left"/>
        <w:rPr>
          <w:sz w:val="24"/>
        </w:rPr>
      </w:pPr>
      <w:r>
        <w:rPr>
          <w:color w:val="211F1F"/>
          <w:sz w:val="24"/>
        </w:rPr>
        <w:t>converting</w:t>
      </w:r>
      <w:r>
        <w:rPr>
          <w:color w:val="211F1F"/>
          <w:spacing w:val="-3"/>
          <w:sz w:val="24"/>
        </w:rPr>
        <w:t xml:space="preserve"> </w:t>
      </w:r>
      <w:r>
        <w:rPr>
          <w:color w:val="211F1F"/>
          <w:sz w:val="24"/>
        </w:rPr>
        <w:t>the</w:t>
      </w:r>
      <w:r>
        <w:rPr>
          <w:color w:val="211F1F"/>
          <w:spacing w:val="-9"/>
          <w:sz w:val="24"/>
        </w:rPr>
        <w:t xml:space="preserve"> </w:t>
      </w:r>
      <w:r>
        <w:rPr>
          <w:color w:val="211F1F"/>
          <w:sz w:val="24"/>
        </w:rPr>
        <w:t>amount</w:t>
      </w:r>
      <w:r>
        <w:rPr>
          <w:color w:val="211F1F"/>
          <w:spacing w:val="-3"/>
          <w:sz w:val="24"/>
        </w:rPr>
        <w:t xml:space="preserve"> </w:t>
      </w:r>
      <w:r>
        <w:rPr>
          <w:color w:val="211F1F"/>
          <w:sz w:val="24"/>
        </w:rPr>
        <w:t>resulting from</w:t>
      </w:r>
      <w:r>
        <w:rPr>
          <w:color w:val="211F1F"/>
          <w:spacing w:val="-11"/>
          <w:sz w:val="24"/>
        </w:rPr>
        <w:t xml:space="preserve"> </w:t>
      </w:r>
      <w:r>
        <w:rPr>
          <w:color w:val="211F1F"/>
          <w:sz w:val="24"/>
        </w:rPr>
        <w:t>applying</w:t>
      </w:r>
      <w:r>
        <w:rPr>
          <w:color w:val="211F1F"/>
          <w:spacing w:val="-4"/>
          <w:sz w:val="24"/>
        </w:rPr>
        <w:t xml:space="preserve"> </w:t>
      </w:r>
      <w:r>
        <w:rPr>
          <w:color w:val="211F1F"/>
          <w:sz w:val="24"/>
        </w:rPr>
        <w:t>(a)</w:t>
      </w:r>
      <w:r>
        <w:rPr>
          <w:color w:val="211F1F"/>
          <w:spacing w:val="-6"/>
          <w:sz w:val="24"/>
        </w:rPr>
        <w:t xml:space="preserve"> </w:t>
      </w:r>
      <w:r>
        <w:rPr>
          <w:color w:val="211F1F"/>
          <w:sz w:val="24"/>
        </w:rPr>
        <w:t>and</w:t>
      </w:r>
      <w:r>
        <w:rPr>
          <w:color w:val="211F1F"/>
          <w:spacing w:val="-4"/>
          <w:sz w:val="24"/>
        </w:rPr>
        <w:t xml:space="preserve"> </w:t>
      </w:r>
      <w:r>
        <w:rPr>
          <w:color w:val="211F1F"/>
          <w:sz w:val="24"/>
        </w:rPr>
        <w:t>(b)</w:t>
      </w:r>
      <w:r>
        <w:rPr>
          <w:color w:val="211F1F"/>
          <w:spacing w:val="-7"/>
          <w:sz w:val="24"/>
        </w:rPr>
        <w:t xml:space="preserve"> </w:t>
      </w:r>
      <w:r>
        <w:rPr>
          <w:color w:val="211F1F"/>
          <w:sz w:val="24"/>
        </w:rPr>
        <w:t>above,</w:t>
      </w:r>
      <w:r>
        <w:rPr>
          <w:color w:val="211F1F"/>
          <w:spacing w:val="-1"/>
          <w:sz w:val="24"/>
        </w:rPr>
        <w:t xml:space="preserve"> </w:t>
      </w:r>
      <w:r>
        <w:rPr>
          <w:color w:val="211F1F"/>
          <w:sz w:val="24"/>
        </w:rPr>
        <w:t>if</w:t>
      </w:r>
      <w:r>
        <w:rPr>
          <w:color w:val="211F1F"/>
          <w:spacing w:val="-11"/>
          <w:sz w:val="24"/>
        </w:rPr>
        <w:t xml:space="preserve"> </w:t>
      </w:r>
      <w:r>
        <w:rPr>
          <w:color w:val="211F1F"/>
          <w:sz w:val="24"/>
        </w:rPr>
        <w:t>relevant,</w:t>
      </w:r>
      <w:r>
        <w:rPr>
          <w:color w:val="211F1F"/>
          <w:spacing w:val="-8"/>
          <w:sz w:val="24"/>
        </w:rPr>
        <w:t xml:space="preserve"> </w:t>
      </w:r>
      <w:r>
        <w:rPr>
          <w:color w:val="211F1F"/>
          <w:sz w:val="24"/>
        </w:rPr>
        <w:t>to a single currency in accordance with ITT 32;</w:t>
      </w:r>
    </w:p>
    <w:p w14:paraId="14D54FCE" w14:textId="77777777" w:rsidR="00BB77C0" w:rsidRDefault="00370BAA">
      <w:pPr>
        <w:pStyle w:val="ListParagraph"/>
        <w:numPr>
          <w:ilvl w:val="2"/>
          <w:numId w:val="76"/>
        </w:numPr>
        <w:tabs>
          <w:tab w:val="left" w:pos="2159"/>
          <w:tab w:val="left" w:pos="2161"/>
        </w:tabs>
        <w:spacing w:before="3" w:line="237" w:lineRule="auto"/>
        <w:ind w:right="968" w:hanging="428"/>
        <w:jc w:val="left"/>
        <w:rPr>
          <w:sz w:val="24"/>
        </w:rPr>
      </w:pPr>
      <w:r>
        <w:rPr>
          <w:color w:val="211F1F"/>
          <w:sz w:val="24"/>
        </w:rPr>
        <w:t>price</w:t>
      </w:r>
      <w:r>
        <w:rPr>
          <w:color w:val="211F1F"/>
          <w:spacing w:val="-15"/>
          <w:sz w:val="24"/>
        </w:rPr>
        <w:t xml:space="preserve"> </w:t>
      </w:r>
      <w:r>
        <w:rPr>
          <w:color w:val="211F1F"/>
          <w:sz w:val="24"/>
        </w:rPr>
        <w:t>adjustment</w:t>
      </w:r>
      <w:r>
        <w:rPr>
          <w:color w:val="211F1F"/>
          <w:spacing w:val="-6"/>
          <w:sz w:val="24"/>
        </w:rPr>
        <w:t xml:space="preserve"> </w:t>
      </w:r>
      <w:r>
        <w:rPr>
          <w:color w:val="211F1F"/>
          <w:sz w:val="24"/>
        </w:rPr>
        <w:t>due</w:t>
      </w:r>
      <w:r>
        <w:rPr>
          <w:color w:val="211F1F"/>
          <w:spacing w:val="-15"/>
          <w:sz w:val="24"/>
        </w:rPr>
        <w:t xml:space="preserve"> </w:t>
      </w:r>
      <w:r>
        <w:rPr>
          <w:color w:val="211F1F"/>
          <w:sz w:val="24"/>
        </w:rPr>
        <w:t>to</w:t>
      </w:r>
      <w:r>
        <w:rPr>
          <w:color w:val="211F1F"/>
          <w:spacing w:val="-7"/>
          <w:sz w:val="24"/>
        </w:rPr>
        <w:t xml:space="preserve"> </w:t>
      </w:r>
      <w:r>
        <w:rPr>
          <w:color w:val="211F1F"/>
          <w:sz w:val="24"/>
        </w:rPr>
        <w:t>quantifiable</w:t>
      </w:r>
      <w:r>
        <w:rPr>
          <w:color w:val="211F1F"/>
          <w:spacing w:val="-7"/>
          <w:sz w:val="24"/>
        </w:rPr>
        <w:t xml:space="preserve"> </w:t>
      </w:r>
      <w:r>
        <w:rPr>
          <w:color w:val="211F1F"/>
          <w:sz w:val="24"/>
        </w:rPr>
        <w:t>non</w:t>
      </w:r>
      <w:r>
        <w:rPr>
          <w:color w:val="211F1F"/>
          <w:spacing w:val="-11"/>
          <w:sz w:val="24"/>
        </w:rPr>
        <w:t xml:space="preserve"> </w:t>
      </w:r>
      <w:r>
        <w:rPr>
          <w:color w:val="211F1F"/>
          <w:sz w:val="24"/>
        </w:rPr>
        <w:t>material</w:t>
      </w:r>
      <w:r>
        <w:rPr>
          <w:color w:val="211F1F"/>
          <w:spacing w:val="-10"/>
          <w:sz w:val="24"/>
        </w:rPr>
        <w:t xml:space="preserve"> </w:t>
      </w:r>
      <w:r>
        <w:rPr>
          <w:color w:val="211F1F"/>
          <w:sz w:val="24"/>
        </w:rPr>
        <w:t>non-conformities</w:t>
      </w:r>
      <w:r>
        <w:rPr>
          <w:color w:val="211F1F"/>
          <w:spacing w:val="-8"/>
          <w:sz w:val="24"/>
        </w:rPr>
        <w:t xml:space="preserve"> </w:t>
      </w:r>
      <w:r>
        <w:rPr>
          <w:color w:val="211F1F"/>
          <w:sz w:val="24"/>
        </w:rPr>
        <w:t>in accordance with ITT 30.3; and</w:t>
      </w:r>
    </w:p>
    <w:p w14:paraId="566349CE" w14:textId="77777777" w:rsidR="00BB77C0" w:rsidRDefault="00370BAA">
      <w:pPr>
        <w:pStyle w:val="ListParagraph"/>
        <w:numPr>
          <w:ilvl w:val="2"/>
          <w:numId w:val="76"/>
        </w:numPr>
        <w:tabs>
          <w:tab w:val="left" w:pos="2161"/>
        </w:tabs>
        <w:spacing w:before="6" w:line="237" w:lineRule="auto"/>
        <w:ind w:right="806" w:hanging="361"/>
        <w:jc w:val="left"/>
        <w:rPr>
          <w:sz w:val="24"/>
        </w:rPr>
      </w:pPr>
      <w:r>
        <w:rPr>
          <w:color w:val="211F1F"/>
          <w:sz w:val="24"/>
        </w:rPr>
        <w:t>Any</w:t>
      </w:r>
      <w:r>
        <w:rPr>
          <w:color w:val="211F1F"/>
          <w:spacing w:val="-14"/>
          <w:sz w:val="24"/>
        </w:rPr>
        <w:t xml:space="preserve"> </w:t>
      </w:r>
      <w:r>
        <w:rPr>
          <w:color w:val="211F1F"/>
          <w:sz w:val="24"/>
        </w:rPr>
        <w:t>additional</w:t>
      </w:r>
      <w:r>
        <w:rPr>
          <w:color w:val="211F1F"/>
          <w:spacing w:val="-11"/>
          <w:sz w:val="24"/>
        </w:rPr>
        <w:t xml:space="preserve"> </w:t>
      </w:r>
      <w:r>
        <w:rPr>
          <w:color w:val="211F1F"/>
          <w:sz w:val="24"/>
        </w:rPr>
        <w:t>evaluation</w:t>
      </w:r>
      <w:r>
        <w:rPr>
          <w:color w:val="211F1F"/>
          <w:spacing w:val="-3"/>
          <w:sz w:val="24"/>
        </w:rPr>
        <w:t xml:space="preserve"> </w:t>
      </w:r>
      <w:r>
        <w:rPr>
          <w:color w:val="211F1F"/>
          <w:sz w:val="24"/>
        </w:rPr>
        <w:t>factors</w:t>
      </w:r>
      <w:r>
        <w:rPr>
          <w:color w:val="211F1F"/>
          <w:spacing w:val="-10"/>
          <w:sz w:val="24"/>
        </w:rPr>
        <w:t xml:space="preserve"> </w:t>
      </w:r>
      <w:r>
        <w:rPr>
          <w:color w:val="211F1F"/>
          <w:sz w:val="24"/>
        </w:rPr>
        <w:t>specified</w:t>
      </w:r>
      <w:r>
        <w:rPr>
          <w:color w:val="211F1F"/>
          <w:spacing w:val="-8"/>
          <w:sz w:val="24"/>
        </w:rPr>
        <w:t xml:space="preserve"> </w:t>
      </w:r>
      <w:r>
        <w:rPr>
          <w:b/>
          <w:color w:val="211F1F"/>
          <w:sz w:val="24"/>
        </w:rPr>
        <w:t>in</w:t>
      </w:r>
      <w:r>
        <w:rPr>
          <w:b/>
          <w:color w:val="211F1F"/>
          <w:spacing w:val="-4"/>
          <w:sz w:val="24"/>
        </w:rPr>
        <w:t xml:space="preserve"> </w:t>
      </w:r>
      <w:r>
        <w:rPr>
          <w:b/>
          <w:color w:val="211F1F"/>
          <w:sz w:val="24"/>
        </w:rPr>
        <w:t>the</w:t>
      </w:r>
      <w:r>
        <w:rPr>
          <w:b/>
          <w:color w:val="211F1F"/>
          <w:spacing w:val="-14"/>
          <w:sz w:val="24"/>
        </w:rPr>
        <w:t xml:space="preserve"> </w:t>
      </w:r>
      <w:r>
        <w:rPr>
          <w:b/>
          <w:color w:val="211F1F"/>
          <w:sz w:val="24"/>
        </w:rPr>
        <w:t>TDS</w:t>
      </w:r>
      <w:r>
        <w:rPr>
          <w:b/>
          <w:color w:val="211F1F"/>
          <w:spacing w:val="-4"/>
          <w:sz w:val="24"/>
        </w:rPr>
        <w:t xml:space="preserve"> </w:t>
      </w:r>
      <w:r>
        <w:rPr>
          <w:color w:val="211F1F"/>
          <w:sz w:val="24"/>
        </w:rPr>
        <w:t>and</w:t>
      </w:r>
      <w:r>
        <w:rPr>
          <w:color w:val="211F1F"/>
          <w:spacing w:val="-9"/>
          <w:sz w:val="24"/>
        </w:rPr>
        <w:t xml:space="preserve"> </w:t>
      </w:r>
      <w:r>
        <w:rPr>
          <w:color w:val="211F1F"/>
          <w:sz w:val="24"/>
        </w:rPr>
        <w:t>Section</w:t>
      </w:r>
      <w:r>
        <w:rPr>
          <w:color w:val="211F1F"/>
          <w:spacing w:val="-12"/>
          <w:sz w:val="24"/>
        </w:rPr>
        <w:t xml:space="preserve"> </w:t>
      </w:r>
      <w:r>
        <w:rPr>
          <w:color w:val="211F1F"/>
          <w:sz w:val="24"/>
        </w:rPr>
        <w:t>III, Evaluation and Qualification Criteria.</w:t>
      </w:r>
    </w:p>
    <w:p w14:paraId="3A1357FA" w14:textId="77777777" w:rsidR="00BB77C0" w:rsidRDefault="00BB77C0">
      <w:pPr>
        <w:pStyle w:val="BodyText"/>
        <w:spacing w:before="179"/>
        <w:rPr>
          <w:sz w:val="24"/>
        </w:rPr>
      </w:pPr>
    </w:p>
    <w:p w14:paraId="1322DA21" w14:textId="77777777" w:rsidR="00BB77C0" w:rsidRDefault="00370BAA">
      <w:pPr>
        <w:pStyle w:val="ListParagraph"/>
        <w:numPr>
          <w:ilvl w:val="1"/>
          <w:numId w:val="76"/>
        </w:numPr>
        <w:tabs>
          <w:tab w:val="left" w:pos="1439"/>
          <w:tab w:val="left" w:pos="1441"/>
        </w:tabs>
        <w:spacing w:line="261" w:lineRule="auto"/>
        <w:ind w:left="1441" w:right="141"/>
        <w:jc w:val="both"/>
        <w:rPr>
          <w:color w:val="211F1F"/>
          <w:sz w:val="24"/>
        </w:rPr>
      </w:pPr>
      <w:r>
        <w:rPr>
          <w:color w:val="211F1F"/>
          <w:sz w:val="24"/>
        </w:rPr>
        <w:t>The</w:t>
      </w:r>
      <w:r>
        <w:rPr>
          <w:color w:val="211F1F"/>
          <w:spacing w:val="-6"/>
          <w:sz w:val="24"/>
        </w:rPr>
        <w:t xml:space="preserve"> </w:t>
      </w:r>
      <w:r>
        <w:rPr>
          <w:color w:val="211F1F"/>
          <w:sz w:val="24"/>
        </w:rPr>
        <w:t>estimated</w:t>
      </w:r>
      <w:r>
        <w:rPr>
          <w:color w:val="211F1F"/>
          <w:spacing w:val="-4"/>
          <w:sz w:val="24"/>
        </w:rPr>
        <w:t xml:space="preserve"> </w:t>
      </w:r>
      <w:r>
        <w:rPr>
          <w:color w:val="211F1F"/>
          <w:sz w:val="24"/>
        </w:rPr>
        <w:t>effect</w:t>
      </w:r>
      <w:r>
        <w:rPr>
          <w:color w:val="211F1F"/>
          <w:spacing w:val="-3"/>
          <w:sz w:val="24"/>
        </w:rPr>
        <w:t xml:space="preserve"> </w:t>
      </w:r>
      <w:r>
        <w:rPr>
          <w:color w:val="211F1F"/>
          <w:sz w:val="24"/>
        </w:rPr>
        <w:t>of</w:t>
      </w:r>
      <w:r>
        <w:rPr>
          <w:color w:val="211F1F"/>
          <w:spacing w:val="-13"/>
          <w:sz w:val="24"/>
        </w:rPr>
        <w:t xml:space="preserve"> </w:t>
      </w:r>
      <w:r>
        <w:rPr>
          <w:color w:val="211F1F"/>
          <w:sz w:val="24"/>
        </w:rPr>
        <w:t>the</w:t>
      </w:r>
      <w:r>
        <w:rPr>
          <w:color w:val="211F1F"/>
          <w:spacing w:val="-6"/>
          <w:sz w:val="24"/>
        </w:rPr>
        <w:t xml:space="preserve"> </w:t>
      </w:r>
      <w:r>
        <w:rPr>
          <w:color w:val="211F1F"/>
          <w:sz w:val="24"/>
        </w:rPr>
        <w:t>price adjustment provisions</w:t>
      </w:r>
      <w:r>
        <w:rPr>
          <w:color w:val="211F1F"/>
          <w:spacing w:val="-6"/>
          <w:sz w:val="24"/>
        </w:rPr>
        <w:t xml:space="preserve"> </w:t>
      </w:r>
      <w:r>
        <w:rPr>
          <w:color w:val="211F1F"/>
          <w:sz w:val="24"/>
        </w:rPr>
        <w:t>of</w:t>
      </w:r>
      <w:r>
        <w:rPr>
          <w:color w:val="211F1F"/>
          <w:spacing w:val="-13"/>
          <w:sz w:val="24"/>
        </w:rPr>
        <w:t xml:space="preserve"> </w:t>
      </w:r>
      <w:r>
        <w:rPr>
          <w:color w:val="211F1F"/>
          <w:sz w:val="24"/>
        </w:rPr>
        <w:t>the</w:t>
      </w:r>
      <w:r>
        <w:rPr>
          <w:color w:val="211F1F"/>
          <w:spacing w:val="-6"/>
          <w:sz w:val="24"/>
        </w:rPr>
        <w:t xml:space="preserve"> </w:t>
      </w:r>
      <w:r>
        <w:rPr>
          <w:color w:val="211F1F"/>
          <w:sz w:val="24"/>
        </w:rPr>
        <w:t>Conditions</w:t>
      </w:r>
      <w:r>
        <w:rPr>
          <w:color w:val="211F1F"/>
          <w:spacing w:val="-6"/>
          <w:sz w:val="24"/>
        </w:rPr>
        <w:t xml:space="preserve"> </w:t>
      </w:r>
      <w:r>
        <w:rPr>
          <w:color w:val="211F1F"/>
          <w:sz w:val="24"/>
        </w:rPr>
        <w:t>of</w:t>
      </w:r>
      <w:r>
        <w:rPr>
          <w:color w:val="211F1F"/>
          <w:spacing w:val="-13"/>
          <w:sz w:val="24"/>
        </w:rPr>
        <w:t xml:space="preserve"> </w:t>
      </w:r>
      <w:r>
        <w:rPr>
          <w:color w:val="211F1F"/>
          <w:sz w:val="24"/>
        </w:rPr>
        <w:t>Contract, applied over the period of</w:t>
      </w:r>
      <w:r>
        <w:rPr>
          <w:color w:val="211F1F"/>
          <w:spacing w:val="-7"/>
          <w:sz w:val="24"/>
        </w:rPr>
        <w:t xml:space="preserve"> </w:t>
      </w:r>
      <w:r>
        <w:rPr>
          <w:color w:val="211F1F"/>
          <w:sz w:val="24"/>
        </w:rPr>
        <w:t>execution</w:t>
      </w:r>
      <w:r>
        <w:rPr>
          <w:color w:val="211F1F"/>
          <w:spacing w:val="-4"/>
          <w:sz w:val="24"/>
        </w:rPr>
        <w:t xml:space="preserve"> </w:t>
      </w:r>
      <w:r>
        <w:rPr>
          <w:color w:val="211F1F"/>
          <w:sz w:val="24"/>
        </w:rPr>
        <w:t>of</w:t>
      </w:r>
      <w:r>
        <w:rPr>
          <w:color w:val="211F1F"/>
          <w:spacing w:val="-7"/>
          <w:sz w:val="24"/>
        </w:rPr>
        <w:t xml:space="preserve"> </w:t>
      </w:r>
      <w:r>
        <w:rPr>
          <w:color w:val="211F1F"/>
          <w:sz w:val="24"/>
        </w:rPr>
        <w:t xml:space="preserve">the Contract, shall not be considered intender </w:t>
      </w:r>
      <w:r>
        <w:rPr>
          <w:color w:val="211F1F"/>
          <w:spacing w:val="-2"/>
          <w:sz w:val="24"/>
        </w:rPr>
        <w:t>evaluation.</w:t>
      </w:r>
    </w:p>
    <w:p w14:paraId="3B16E254" w14:textId="77777777" w:rsidR="00BB77C0" w:rsidRDefault="00370BAA">
      <w:pPr>
        <w:pStyle w:val="ListParagraph"/>
        <w:numPr>
          <w:ilvl w:val="1"/>
          <w:numId w:val="76"/>
        </w:numPr>
        <w:tabs>
          <w:tab w:val="left" w:pos="1439"/>
          <w:tab w:val="left" w:pos="1441"/>
        </w:tabs>
        <w:spacing w:before="153" w:line="259" w:lineRule="auto"/>
        <w:ind w:left="1441" w:right="1084"/>
        <w:jc w:val="both"/>
        <w:rPr>
          <w:color w:val="211F1F"/>
          <w:sz w:val="24"/>
        </w:rPr>
      </w:pPr>
      <w:r>
        <w:rPr>
          <w:color w:val="201F1F"/>
          <w:sz w:val="24"/>
        </w:rPr>
        <w:t>In</w:t>
      </w:r>
      <w:r>
        <w:rPr>
          <w:color w:val="201F1F"/>
          <w:spacing w:val="-14"/>
          <w:sz w:val="24"/>
        </w:rPr>
        <w:t xml:space="preserve"> </w:t>
      </w:r>
      <w:r>
        <w:rPr>
          <w:color w:val="201F1F"/>
          <w:sz w:val="24"/>
        </w:rPr>
        <w:t>the</w:t>
      </w:r>
      <w:r>
        <w:rPr>
          <w:color w:val="201F1F"/>
          <w:spacing w:val="-10"/>
          <w:sz w:val="24"/>
        </w:rPr>
        <w:t xml:space="preserve"> </w:t>
      </w:r>
      <w:r>
        <w:rPr>
          <w:color w:val="201F1F"/>
          <w:sz w:val="24"/>
        </w:rPr>
        <w:t>case</w:t>
      </w:r>
      <w:r>
        <w:rPr>
          <w:color w:val="201F1F"/>
          <w:spacing w:val="-11"/>
          <w:sz w:val="24"/>
        </w:rPr>
        <w:t xml:space="preserve"> </w:t>
      </w:r>
      <w:r>
        <w:rPr>
          <w:color w:val="201F1F"/>
          <w:sz w:val="24"/>
        </w:rPr>
        <w:t>of</w:t>
      </w:r>
      <w:r>
        <w:rPr>
          <w:color w:val="201F1F"/>
          <w:spacing w:val="-13"/>
          <w:sz w:val="24"/>
        </w:rPr>
        <w:t xml:space="preserve"> </w:t>
      </w:r>
      <w:r>
        <w:rPr>
          <w:color w:val="201F1F"/>
          <w:sz w:val="24"/>
        </w:rPr>
        <w:t>multiple</w:t>
      </w:r>
      <w:r>
        <w:rPr>
          <w:color w:val="201F1F"/>
          <w:spacing w:val="-9"/>
          <w:sz w:val="24"/>
        </w:rPr>
        <w:t xml:space="preserve"> </w:t>
      </w:r>
      <w:r>
        <w:rPr>
          <w:color w:val="201F1F"/>
          <w:sz w:val="24"/>
        </w:rPr>
        <w:t>contracts</w:t>
      </w:r>
      <w:r>
        <w:rPr>
          <w:color w:val="201F1F"/>
          <w:spacing w:val="-15"/>
          <w:sz w:val="24"/>
        </w:rPr>
        <w:t xml:space="preserve"> </w:t>
      </w:r>
      <w:r>
        <w:rPr>
          <w:color w:val="201F1F"/>
          <w:sz w:val="24"/>
        </w:rPr>
        <w:t>or</w:t>
      </w:r>
      <w:r>
        <w:rPr>
          <w:color w:val="201F1F"/>
          <w:spacing w:val="-13"/>
          <w:sz w:val="24"/>
        </w:rPr>
        <w:t xml:space="preserve"> </w:t>
      </w:r>
      <w:r>
        <w:rPr>
          <w:color w:val="201F1F"/>
          <w:sz w:val="24"/>
        </w:rPr>
        <w:t>lots,</w:t>
      </w:r>
      <w:r>
        <w:rPr>
          <w:color w:val="201F1F"/>
          <w:spacing w:val="-12"/>
          <w:sz w:val="24"/>
        </w:rPr>
        <w:t xml:space="preserve"> </w:t>
      </w:r>
      <w:r>
        <w:rPr>
          <w:color w:val="201F1F"/>
          <w:sz w:val="24"/>
        </w:rPr>
        <w:t>Tenderers</w:t>
      </w:r>
      <w:r>
        <w:rPr>
          <w:color w:val="201F1F"/>
          <w:spacing w:val="-11"/>
          <w:sz w:val="24"/>
        </w:rPr>
        <w:t xml:space="preserve"> </w:t>
      </w:r>
      <w:r>
        <w:rPr>
          <w:color w:val="201F1F"/>
          <w:sz w:val="24"/>
        </w:rPr>
        <w:t>shall</w:t>
      </w:r>
      <w:r>
        <w:rPr>
          <w:color w:val="201F1F"/>
          <w:spacing w:val="-13"/>
          <w:sz w:val="24"/>
        </w:rPr>
        <w:t xml:space="preserve"> </w:t>
      </w:r>
      <w:r>
        <w:rPr>
          <w:color w:val="201F1F"/>
          <w:sz w:val="24"/>
        </w:rPr>
        <w:t>be</w:t>
      </w:r>
      <w:r>
        <w:rPr>
          <w:color w:val="201F1F"/>
          <w:spacing w:val="-10"/>
          <w:sz w:val="24"/>
        </w:rPr>
        <w:t xml:space="preserve"> </w:t>
      </w:r>
      <w:r>
        <w:rPr>
          <w:color w:val="201F1F"/>
          <w:sz w:val="24"/>
        </w:rPr>
        <w:t>allowed</w:t>
      </w:r>
      <w:r>
        <w:rPr>
          <w:color w:val="201F1F"/>
          <w:spacing w:val="-9"/>
          <w:sz w:val="24"/>
        </w:rPr>
        <w:t xml:space="preserve"> </w:t>
      </w:r>
      <w:r>
        <w:rPr>
          <w:color w:val="201F1F"/>
          <w:sz w:val="24"/>
        </w:rPr>
        <w:t>to</w:t>
      </w:r>
      <w:r>
        <w:rPr>
          <w:color w:val="201F1F"/>
          <w:spacing w:val="-9"/>
          <w:sz w:val="24"/>
        </w:rPr>
        <w:t xml:space="preserve"> </w:t>
      </w:r>
      <w:r>
        <w:rPr>
          <w:color w:val="201F1F"/>
          <w:sz w:val="24"/>
        </w:rPr>
        <w:t xml:space="preserve">tender </w:t>
      </w:r>
      <w:r>
        <w:rPr>
          <w:color w:val="201F1F"/>
          <w:spacing w:val="-6"/>
          <w:sz w:val="24"/>
        </w:rPr>
        <w:t>for</w:t>
      </w:r>
      <w:r>
        <w:rPr>
          <w:color w:val="201F1F"/>
          <w:spacing w:val="-9"/>
          <w:sz w:val="24"/>
        </w:rPr>
        <w:t xml:space="preserve"> </w:t>
      </w:r>
      <w:r>
        <w:rPr>
          <w:color w:val="201F1F"/>
          <w:spacing w:val="-6"/>
          <w:sz w:val="24"/>
        </w:rPr>
        <w:t>one</w:t>
      </w:r>
      <w:r>
        <w:rPr>
          <w:color w:val="201F1F"/>
          <w:spacing w:val="-9"/>
          <w:sz w:val="24"/>
        </w:rPr>
        <w:t xml:space="preserve"> </w:t>
      </w:r>
      <w:r>
        <w:rPr>
          <w:color w:val="201F1F"/>
          <w:spacing w:val="-6"/>
          <w:sz w:val="24"/>
        </w:rPr>
        <w:t>ormore</w:t>
      </w:r>
      <w:r>
        <w:rPr>
          <w:color w:val="201F1F"/>
          <w:spacing w:val="-9"/>
          <w:sz w:val="24"/>
        </w:rPr>
        <w:t xml:space="preserve"> </w:t>
      </w:r>
      <w:r>
        <w:rPr>
          <w:color w:val="201F1F"/>
          <w:spacing w:val="-6"/>
          <w:sz w:val="24"/>
        </w:rPr>
        <w:t>lots</w:t>
      </w:r>
      <w:r>
        <w:rPr>
          <w:color w:val="201F1F"/>
          <w:spacing w:val="-8"/>
          <w:sz w:val="24"/>
        </w:rPr>
        <w:t xml:space="preserve"> </w:t>
      </w:r>
      <w:r>
        <w:rPr>
          <w:color w:val="201F1F"/>
          <w:spacing w:val="-6"/>
          <w:sz w:val="24"/>
        </w:rPr>
        <w:t>and the methodology</w:t>
      </w:r>
      <w:r>
        <w:rPr>
          <w:color w:val="201F1F"/>
          <w:spacing w:val="-9"/>
          <w:sz w:val="24"/>
        </w:rPr>
        <w:t xml:space="preserve"> </w:t>
      </w:r>
      <w:r>
        <w:rPr>
          <w:color w:val="201F1F"/>
          <w:spacing w:val="-6"/>
          <w:sz w:val="24"/>
        </w:rPr>
        <w:t>to determine</w:t>
      </w:r>
      <w:r>
        <w:rPr>
          <w:color w:val="201F1F"/>
          <w:sz w:val="24"/>
        </w:rPr>
        <w:t xml:space="preserve"> </w:t>
      </w:r>
      <w:r>
        <w:rPr>
          <w:color w:val="201F1F"/>
          <w:spacing w:val="-6"/>
          <w:sz w:val="24"/>
        </w:rPr>
        <w:t>the lowest</w:t>
      </w:r>
      <w:r>
        <w:rPr>
          <w:color w:val="201F1F"/>
          <w:sz w:val="24"/>
        </w:rPr>
        <w:t xml:space="preserve"> </w:t>
      </w:r>
      <w:r>
        <w:rPr>
          <w:color w:val="201F1F"/>
          <w:spacing w:val="-6"/>
          <w:sz w:val="24"/>
        </w:rPr>
        <w:t xml:space="preserve">evaluated cost </w:t>
      </w:r>
      <w:r>
        <w:rPr>
          <w:color w:val="201F1F"/>
          <w:spacing w:val="-4"/>
          <w:sz w:val="24"/>
        </w:rPr>
        <w:t>of</w:t>
      </w:r>
      <w:r>
        <w:rPr>
          <w:color w:val="201F1F"/>
          <w:spacing w:val="-11"/>
          <w:sz w:val="24"/>
        </w:rPr>
        <w:t xml:space="preserve"> </w:t>
      </w:r>
      <w:r>
        <w:rPr>
          <w:color w:val="201F1F"/>
          <w:spacing w:val="-4"/>
          <w:sz w:val="24"/>
        </w:rPr>
        <w:t>the</w:t>
      </w:r>
      <w:r>
        <w:rPr>
          <w:color w:val="201F1F"/>
          <w:spacing w:val="-10"/>
          <w:sz w:val="24"/>
        </w:rPr>
        <w:t xml:space="preserve"> </w:t>
      </w:r>
      <w:r>
        <w:rPr>
          <w:color w:val="201F1F"/>
          <w:spacing w:val="-4"/>
          <w:sz w:val="24"/>
        </w:rPr>
        <w:t>lot (contract)</w:t>
      </w:r>
      <w:r>
        <w:rPr>
          <w:color w:val="201F1F"/>
          <w:spacing w:val="-5"/>
          <w:sz w:val="24"/>
        </w:rPr>
        <w:t xml:space="preserve"> </w:t>
      </w:r>
      <w:r>
        <w:rPr>
          <w:color w:val="201F1F"/>
          <w:spacing w:val="-4"/>
          <w:sz w:val="24"/>
        </w:rPr>
        <w:t>combinations, including</w:t>
      </w:r>
      <w:r>
        <w:rPr>
          <w:color w:val="201F1F"/>
          <w:spacing w:val="-7"/>
          <w:sz w:val="24"/>
        </w:rPr>
        <w:t xml:space="preserve"> </w:t>
      </w:r>
      <w:r>
        <w:rPr>
          <w:color w:val="201F1F"/>
          <w:spacing w:val="-4"/>
          <w:sz w:val="24"/>
        </w:rPr>
        <w:t>any</w:t>
      </w:r>
      <w:r>
        <w:rPr>
          <w:color w:val="201F1F"/>
          <w:spacing w:val="-11"/>
          <w:sz w:val="24"/>
        </w:rPr>
        <w:t xml:space="preserve"> </w:t>
      </w:r>
      <w:r>
        <w:rPr>
          <w:color w:val="201F1F"/>
          <w:spacing w:val="-4"/>
          <w:sz w:val="24"/>
        </w:rPr>
        <w:t>discounts</w:t>
      </w:r>
      <w:r>
        <w:rPr>
          <w:color w:val="201F1F"/>
          <w:spacing w:val="-10"/>
          <w:sz w:val="24"/>
        </w:rPr>
        <w:t xml:space="preserve"> </w:t>
      </w:r>
      <w:r>
        <w:rPr>
          <w:color w:val="201F1F"/>
          <w:spacing w:val="-4"/>
          <w:sz w:val="24"/>
        </w:rPr>
        <w:t>offered</w:t>
      </w:r>
      <w:r>
        <w:rPr>
          <w:color w:val="201F1F"/>
          <w:sz w:val="24"/>
        </w:rPr>
        <w:t xml:space="preserve"> </w:t>
      </w:r>
      <w:r>
        <w:rPr>
          <w:color w:val="201F1F"/>
          <w:spacing w:val="-4"/>
          <w:sz w:val="24"/>
        </w:rPr>
        <w:t>in</w:t>
      </w:r>
      <w:r>
        <w:rPr>
          <w:color w:val="201F1F"/>
          <w:spacing w:val="-8"/>
          <w:sz w:val="24"/>
        </w:rPr>
        <w:t xml:space="preserve"> </w:t>
      </w:r>
      <w:r>
        <w:rPr>
          <w:color w:val="201F1F"/>
          <w:spacing w:val="-4"/>
          <w:sz w:val="24"/>
        </w:rPr>
        <w:t>the</w:t>
      </w:r>
      <w:r>
        <w:rPr>
          <w:color w:val="201F1F"/>
          <w:spacing w:val="-9"/>
          <w:sz w:val="24"/>
        </w:rPr>
        <w:t xml:space="preserve"> </w:t>
      </w:r>
      <w:r>
        <w:rPr>
          <w:color w:val="201F1F"/>
          <w:spacing w:val="-4"/>
          <w:sz w:val="24"/>
        </w:rPr>
        <w:t xml:space="preserve">Form </w:t>
      </w:r>
      <w:r>
        <w:rPr>
          <w:color w:val="201F1F"/>
          <w:sz w:val="24"/>
        </w:rPr>
        <w:t>of</w:t>
      </w:r>
      <w:r>
        <w:rPr>
          <w:color w:val="201F1F"/>
          <w:spacing w:val="-17"/>
          <w:sz w:val="24"/>
        </w:rPr>
        <w:t xml:space="preserve"> </w:t>
      </w:r>
      <w:r>
        <w:rPr>
          <w:color w:val="201F1F"/>
          <w:sz w:val="24"/>
        </w:rPr>
        <w:t>Tender, is speci</w:t>
      </w:r>
      <w:r>
        <w:rPr>
          <w:b/>
          <w:color w:val="201F1F"/>
          <w:sz w:val="24"/>
        </w:rPr>
        <w:t>fi</w:t>
      </w:r>
      <w:r>
        <w:rPr>
          <w:color w:val="201F1F"/>
          <w:sz w:val="24"/>
        </w:rPr>
        <w:t>ed in</w:t>
      </w:r>
      <w:r>
        <w:rPr>
          <w:color w:val="201F1F"/>
          <w:spacing w:val="-7"/>
          <w:sz w:val="24"/>
        </w:rPr>
        <w:t xml:space="preserve"> </w:t>
      </w:r>
      <w:r>
        <w:rPr>
          <w:color w:val="201F1F"/>
          <w:sz w:val="24"/>
        </w:rPr>
        <w:t>SectionIII, Evaluation and Quali</w:t>
      </w:r>
      <w:r>
        <w:rPr>
          <w:b/>
          <w:color w:val="201F1F"/>
          <w:sz w:val="24"/>
        </w:rPr>
        <w:t>fi</w:t>
      </w:r>
      <w:r>
        <w:rPr>
          <w:color w:val="201F1F"/>
          <w:sz w:val="24"/>
        </w:rPr>
        <w:t>cation</w:t>
      </w:r>
      <w:r>
        <w:rPr>
          <w:color w:val="201F1F"/>
          <w:spacing w:val="-7"/>
          <w:sz w:val="24"/>
        </w:rPr>
        <w:t xml:space="preserve"> </w:t>
      </w:r>
      <w:r>
        <w:rPr>
          <w:color w:val="201F1F"/>
          <w:sz w:val="24"/>
        </w:rPr>
        <w:t>Criteria.</w:t>
      </w:r>
    </w:p>
    <w:p w14:paraId="77F58F26" w14:textId="77777777" w:rsidR="00BB77C0" w:rsidRDefault="00BB77C0">
      <w:pPr>
        <w:pStyle w:val="BodyText"/>
        <w:spacing w:before="266"/>
        <w:rPr>
          <w:sz w:val="24"/>
        </w:rPr>
      </w:pPr>
    </w:p>
    <w:p w14:paraId="22818E75" w14:textId="77777777" w:rsidR="00BB77C0" w:rsidRDefault="00370BAA">
      <w:pPr>
        <w:pStyle w:val="Heading6"/>
        <w:numPr>
          <w:ilvl w:val="0"/>
          <w:numId w:val="75"/>
        </w:numPr>
        <w:tabs>
          <w:tab w:val="left" w:pos="720"/>
        </w:tabs>
        <w:ind w:hanging="720"/>
      </w:pPr>
      <w:bookmarkStart w:id="90" w:name="38.0_Comparison_of_Tenders"/>
      <w:bookmarkStart w:id="91" w:name="_bookmark44"/>
      <w:bookmarkEnd w:id="90"/>
      <w:bookmarkEnd w:id="91"/>
      <w:r>
        <w:t>Comparison</w:t>
      </w:r>
      <w:r>
        <w:rPr>
          <w:spacing w:val="-1"/>
        </w:rPr>
        <w:t xml:space="preserve"> </w:t>
      </w:r>
      <w:r>
        <w:t>of</w:t>
      </w:r>
      <w:r>
        <w:rPr>
          <w:spacing w:val="-4"/>
        </w:rPr>
        <w:t xml:space="preserve"> </w:t>
      </w:r>
      <w:r>
        <w:rPr>
          <w:spacing w:val="-2"/>
        </w:rPr>
        <w:t>Tenders</w:t>
      </w:r>
    </w:p>
    <w:p w14:paraId="5F42D679" w14:textId="77777777" w:rsidR="00BB77C0" w:rsidRDefault="00370BAA">
      <w:pPr>
        <w:spacing w:before="79" w:line="259" w:lineRule="auto"/>
        <w:ind w:left="720" w:right="79"/>
        <w:rPr>
          <w:sz w:val="24"/>
        </w:rPr>
      </w:pPr>
      <w:r>
        <w:rPr>
          <w:color w:val="211F1F"/>
          <w:sz w:val="24"/>
        </w:rPr>
        <w:t>The Procuring Entity shall compare the evaluated costs of all substantially responsive Tenders</w:t>
      </w:r>
      <w:r>
        <w:rPr>
          <w:color w:val="211F1F"/>
          <w:spacing w:val="-5"/>
          <w:sz w:val="24"/>
        </w:rPr>
        <w:t xml:space="preserve"> </w:t>
      </w:r>
      <w:r>
        <w:rPr>
          <w:color w:val="211F1F"/>
          <w:sz w:val="24"/>
        </w:rPr>
        <w:t>established in</w:t>
      </w:r>
      <w:r>
        <w:rPr>
          <w:color w:val="211F1F"/>
          <w:spacing w:val="-8"/>
          <w:sz w:val="24"/>
        </w:rPr>
        <w:t xml:space="preserve"> </w:t>
      </w:r>
      <w:r>
        <w:rPr>
          <w:color w:val="211F1F"/>
          <w:sz w:val="24"/>
        </w:rPr>
        <w:t>accordance</w:t>
      </w:r>
      <w:r>
        <w:rPr>
          <w:color w:val="211F1F"/>
          <w:spacing w:val="-8"/>
          <w:sz w:val="24"/>
        </w:rPr>
        <w:t xml:space="preserve"> </w:t>
      </w:r>
      <w:r>
        <w:rPr>
          <w:color w:val="211F1F"/>
          <w:sz w:val="24"/>
        </w:rPr>
        <w:t>with</w:t>
      </w:r>
      <w:r>
        <w:rPr>
          <w:color w:val="211F1F"/>
          <w:spacing w:val="-8"/>
          <w:sz w:val="24"/>
        </w:rPr>
        <w:t xml:space="preserve"> </w:t>
      </w:r>
      <w:r>
        <w:rPr>
          <w:color w:val="211F1F"/>
          <w:sz w:val="24"/>
        </w:rPr>
        <w:t>ITT</w:t>
      </w:r>
      <w:r>
        <w:rPr>
          <w:color w:val="211F1F"/>
          <w:spacing w:val="-4"/>
          <w:sz w:val="24"/>
        </w:rPr>
        <w:t xml:space="preserve"> </w:t>
      </w:r>
      <w:r>
        <w:rPr>
          <w:color w:val="211F1F"/>
          <w:sz w:val="24"/>
        </w:rPr>
        <w:t>35.2</w:t>
      </w:r>
      <w:r>
        <w:rPr>
          <w:color w:val="211F1F"/>
          <w:spacing w:val="-11"/>
          <w:sz w:val="24"/>
        </w:rPr>
        <w:t xml:space="preserve"> </w:t>
      </w:r>
      <w:r>
        <w:rPr>
          <w:color w:val="211F1F"/>
          <w:sz w:val="24"/>
        </w:rPr>
        <w:t>to</w:t>
      </w:r>
      <w:r>
        <w:rPr>
          <w:color w:val="211F1F"/>
          <w:spacing w:val="-3"/>
          <w:sz w:val="24"/>
        </w:rPr>
        <w:t xml:space="preserve"> </w:t>
      </w:r>
      <w:r>
        <w:rPr>
          <w:color w:val="211F1F"/>
          <w:sz w:val="24"/>
        </w:rPr>
        <w:t>determine</w:t>
      </w:r>
      <w:r>
        <w:rPr>
          <w:color w:val="211F1F"/>
          <w:spacing w:val="-8"/>
          <w:sz w:val="24"/>
        </w:rPr>
        <w:t xml:space="preserve"> </w:t>
      </w:r>
      <w:r>
        <w:rPr>
          <w:color w:val="211F1F"/>
          <w:sz w:val="24"/>
        </w:rPr>
        <w:t>the</w:t>
      </w:r>
      <w:r>
        <w:rPr>
          <w:color w:val="211F1F"/>
          <w:spacing w:val="-8"/>
          <w:sz w:val="24"/>
        </w:rPr>
        <w:t xml:space="preserve"> </w:t>
      </w:r>
      <w:r>
        <w:rPr>
          <w:color w:val="211F1F"/>
          <w:sz w:val="24"/>
        </w:rPr>
        <w:t>Tender</w:t>
      </w:r>
      <w:r>
        <w:rPr>
          <w:color w:val="211F1F"/>
          <w:spacing w:val="-6"/>
          <w:sz w:val="24"/>
        </w:rPr>
        <w:t xml:space="preserve"> </w:t>
      </w:r>
      <w:r>
        <w:rPr>
          <w:color w:val="211F1F"/>
          <w:sz w:val="24"/>
        </w:rPr>
        <w:t>that</w:t>
      </w:r>
      <w:r>
        <w:rPr>
          <w:color w:val="211F1F"/>
          <w:spacing w:val="-2"/>
          <w:sz w:val="24"/>
        </w:rPr>
        <w:t xml:space="preserve"> </w:t>
      </w:r>
      <w:r>
        <w:rPr>
          <w:color w:val="211F1F"/>
          <w:sz w:val="24"/>
        </w:rPr>
        <w:t>has</w:t>
      </w:r>
      <w:r>
        <w:rPr>
          <w:color w:val="211F1F"/>
          <w:spacing w:val="-5"/>
          <w:sz w:val="24"/>
        </w:rPr>
        <w:t xml:space="preserve"> </w:t>
      </w:r>
      <w:r>
        <w:rPr>
          <w:color w:val="211F1F"/>
          <w:sz w:val="24"/>
        </w:rPr>
        <w:t>the</w:t>
      </w:r>
      <w:r>
        <w:rPr>
          <w:color w:val="211F1F"/>
          <w:spacing w:val="-4"/>
          <w:sz w:val="24"/>
        </w:rPr>
        <w:t xml:space="preserve"> </w:t>
      </w:r>
      <w:r>
        <w:rPr>
          <w:color w:val="211F1F"/>
          <w:sz w:val="24"/>
        </w:rPr>
        <w:t>lowest evaluated cost.</w:t>
      </w:r>
    </w:p>
    <w:p w14:paraId="222AD419" w14:textId="77777777" w:rsidR="00BB77C0" w:rsidRDefault="00370BAA">
      <w:pPr>
        <w:pStyle w:val="Heading6"/>
        <w:numPr>
          <w:ilvl w:val="0"/>
          <w:numId w:val="75"/>
        </w:numPr>
        <w:tabs>
          <w:tab w:val="left" w:pos="720"/>
        </w:tabs>
        <w:spacing w:before="243"/>
        <w:ind w:hanging="720"/>
      </w:pPr>
      <w:bookmarkStart w:id="92" w:name="39.0_Abnormally_Low_Tenders"/>
      <w:bookmarkStart w:id="93" w:name="_bookmark45"/>
      <w:bookmarkEnd w:id="92"/>
      <w:bookmarkEnd w:id="93"/>
      <w:r>
        <w:t>Abnormally</w:t>
      </w:r>
      <w:r>
        <w:rPr>
          <w:spacing w:val="-7"/>
        </w:rPr>
        <w:t xml:space="preserve"> </w:t>
      </w:r>
      <w:r>
        <w:t>Low</w:t>
      </w:r>
      <w:r>
        <w:rPr>
          <w:spacing w:val="-4"/>
        </w:rPr>
        <w:t xml:space="preserve"> </w:t>
      </w:r>
      <w:r>
        <w:rPr>
          <w:spacing w:val="-2"/>
        </w:rPr>
        <w:t>Tenders</w:t>
      </w:r>
    </w:p>
    <w:p w14:paraId="60178B63" w14:textId="77777777" w:rsidR="00BB77C0" w:rsidRDefault="00370BAA">
      <w:pPr>
        <w:pStyle w:val="ListParagraph"/>
        <w:numPr>
          <w:ilvl w:val="1"/>
          <w:numId w:val="75"/>
        </w:numPr>
        <w:tabs>
          <w:tab w:val="left" w:pos="1441"/>
        </w:tabs>
        <w:spacing w:before="75" w:line="259" w:lineRule="auto"/>
        <w:ind w:right="140"/>
        <w:rPr>
          <w:color w:val="211F1F"/>
          <w:sz w:val="24"/>
        </w:rPr>
      </w:pPr>
      <w:r>
        <w:rPr>
          <w:color w:val="211F1F"/>
          <w:sz w:val="24"/>
        </w:rPr>
        <w:t>An</w:t>
      </w:r>
      <w:r>
        <w:rPr>
          <w:color w:val="211F1F"/>
          <w:spacing w:val="-8"/>
          <w:sz w:val="24"/>
        </w:rPr>
        <w:t xml:space="preserve"> </w:t>
      </w:r>
      <w:r>
        <w:rPr>
          <w:color w:val="211F1F"/>
          <w:sz w:val="24"/>
        </w:rPr>
        <w:t>Abnormally</w:t>
      </w:r>
      <w:r>
        <w:rPr>
          <w:color w:val="211F1F"/>
          <w:spacing w:val="-11"/>
          <w:sz w:val="24"/>
        </w:rPr>
        <w:t xml:space="preserve"> </w:t>
      </w:r>
      <w:r>
        <w:rPr>
          <w:color w:val="211F1F"/>
          <w:sz w:val="24"/>
        </w:rPr>
        <w:t>Low</w:t>
      </w:r>
      <w:r>
        <w:rPr>
          <w:color w:val="211F1F"/>
          <w:spacing w:val="-8"/>
          <w:sz w:val="24"/>
        </w:rPr>
        <w:t xml:space="preserve"> </w:t>
      </w:r>
      <w:r>
        <w:rPr>
          <w:color w:val="211F1F"/>
          <w:sz w:val="24"/>
        </w:rPr>
        <w:t>Tender</w:t>
      </w:r>
      <w:r>
        <w:rPr>
          <w:color w:val="211F1F"/>
          <w:spacing w:val="-11"/>
          <w:sz w:val="24"/>
        </w:rPr>
        <w:t xml:space="preserve"> </w:t>
      </w:r>
      <w:r>
        <w:rPr>
          <w:color w:val="211F1F"/>
          <w:sz w:val="24"/>
        </w:rPr>
        <w:t>is</w:t>
      </w:r>
      <w:r>
        <w:rPr>
          <w:color w:val="211F1F"/>
          <w:spacing w:val="-10"/>
          <w:sz w:val="24"/>
        </w:rPr>
        <w:t xml:space="preserve"> </w:t>
      </w:r>
      <w:r>
        <w:rPr>
          <w:color w:val="211F1F"/>
          <w:sz w:val="24"/>
        </w:rPr>
        <w:t>one</w:t>
      </w:r>
      <w:r>
        <w:rPr>
          <w:color w:val="211F1F"/>
          <w:spacing w:val="-9"/>
          <w:sz w:val="24"/>
        </w:rPr>
        <w:t xml:space="preserve"> </w:t>
      </w:r>
      <w:r>
        <w:rPr>
          <w:color w:val="211F1F"/>
          <w:sz w:val="24"/>
        </w:rPr>
        <w:t>where</w:t>
      </w:r>
      <w:r>
        <w:rPr>
          <w:color w:val="211F1F"/>
          <w:spacing w:val="-9"/>
          <w:sz w:val="24"/>
        </w:rPr>
        <w:t xml:space="preserve"> </w:t>
      </w:r>
      <w:r>
        <w:rPr>
          <w:color w:val="211F1F"/>
          <w:sz w:val="24"/>
        </w:rPr>
        <w:t>the</w:t>
      </w:r>
      <w:r>
        <w:rPr>
          <w:color w:val="211F1F"/>
          <w:spacing w:val="-8"/>
          <w:sz w:val="24"/>
        </w:rPr>
        <w:t xml:space="preserve"> </w:t>
      </w:r>
      <w:r>
        <w:rPr>
          <w:color w:val="211F1F"/>
          <w:sz w:val="24"/>
        </w:rPr>
        <w:t>Tender</w:t>
      </w:r>
      <w:r>
        <w:rPr>
          <w:color w:val="211F1F"/>
          <w:spacing w:val="-11"/>
          <w:sz w:val="24"/>
        </w:rPr>
        <w:t xml:space="preserve"> </w:t>
      </w:r>
      <w:r>
        <w:rPr>
          <w:color w:val="211F1F"/>
          <w:sz w:val="24"/>
        </w:rPr>
        <w:t>price,</w:t>
      </w:r>
      <w:r>
        <w:rPr>
          <w:color w:val="211F1F"/>
          <w:spacing w:val="-1"/>
          <w:sz w:val="24"/>
        </w:rPr>
        <w:t xml:space="preserve"> </w:t>
      </w:r>
      <w:r>
        <w:rPr>
          <w:color w:val="211F1F"/>
          <w:sz w:val="24"/>
        </w:rPr>
        <w:t>in</w:t>
      </w:r>
      <w:r>
        <w:rPr>
          <w:color w:val="211F1F"/>
          <w:spacing w:val="-13"/>
          <w:sz w:val="24"/>
        </w:rPr>
        <w:t xml:space="preserve"> </w:t>
      </w:r>
      <w:r>
        <w:rPr>
          <w:color w:val="211F1F"/>
          <w:sz w:val="24"/>
        </w:rPr>
        <w:t>combination</w:t>
      </w:r>
      <w:r>
        <w:rPr>
          <w:color w:val="211F1F"/>
          <w:spacing w:val="-11"/>
          <w:sz w:val="24"/>
        </w:rPr>
        <w:t xml:space="preserve"> </w:t>
      </w:r>
      <w:r>
        <w:rPr>
          <w:color w:val="211F1F"/>
          <w:sz w:val="24"/>
        </w:rPr>
        <w:t>with</w:t>
      </w:r>
      <w:r>
        <w:rPr>
          <w:color w:val="211F1F"/>
          <w:spacing w:val="-12"/>
          <w:sz w:val="24"/>
        </w:rPr>
        <w:t xml:space="preserve"> </w:t>
      </w:r>
      <w:r>
        <w:rPr>
          <w:color w:val="211F1F"/>
          <w:sz w:val="24"/>
        </w:rPr>
        <w:t>other elements of the Tender, appears so low that it raises material concerns as to the capability</w:t>
      </w:r>
      <w:r>
        <w:rPr>
          <w:color w:val="211F1F"/>
          <w:spacing w:val="-3"/>
          <w:sz w:val="24"/>
        </w:rPr>
        <w:t xml:space="preserve"> </w:t>
      </w:r>
      <w:r>
        <w:rPr>
          <w:color w:val="211F1F"/>
          <w:sz w:val="24"/>
        </w:rPr>
        <w:t>of</w:t>
      </w:r>
      <w:r>
        <w:rPr>
          <w:color w:val="211F1F"/>
          <w:spacing w:val="-6"/>
          <w:sz w:val="24"/>
        </w:rPr>
        <w:t xml:space="preserve"> </w:t>
      </w:r>
      <w:r>
        <w:rPr>
          <w:color w:val="211F1F"/>
          <w:sz w:val="24"/>
        </w:rPr>
        <w:t>the Tenderer in</w:t>
      </w:r>
      <w:r>
        <w:rPr>
          <w:color w:val="211F1F"/>
          <w:spacing w:val="-3"/>
          <w:sz w:val="24"/>
        </w:rPr>
        <w:t xml:space="preserve"> </w:t>
      </w:r>
      <w:r>
        <w:rPr>
          <w:color w:val="211F1F"/>
          <w:sz w:val="24"/>
        </w:rPr>
        <w:t>regards to the Tenderer's ability</w:t>
      </w:r>
      <w:r>
        <w:rPr>
          <w:color w:val="211F1F"/>
          <w:spacing w:val="-8"/>
          <w:sz w:val="24"/>
        </w:rPr>
        <w:t xml:space="preserve"> </w:t>
      </w:r>
      <w:r>
        <w:rPr>
          <w:color w:val="211F1F"/>
          <w:sz w:val="24"/>
        </w:rPr>
        <w:t>to perform</w:t>
      </w:r>
      <w:r>
        <w:rPr>
          <w:color w:val="211F1F"/>
          <w:spacing w:val="-7"/>
          <w:sz w:val="24"/>
        </w:rPr>
        <w:t xml:space="preserve"> </w:t>
      </w:r>
      <w:r>
        <w:rPr>
          <w:color w:val="211F1F"/>
          <w:sz w:val="24"/>
        </w:rPr>
        <w:t xml:space="preserve">the Contract for the offered Tender Price or that genuine competition between Tenderers is </w:t>
      </w:r>
      <w:r>
        <w:rPr>
          <w:color w:val="211F1F"/>
          <w:spacing w:val="-2"/>
          <w:sz w:val="24"/>
        </w:rPr>
        <w:t>compromised.</w:t>
      </w:r>
    </w:p>
    <w:p w14:paraId="024B39AC" w14:textId="77777777" w:rsidR="00BB77C0" w:rsidRDefault="00370BAA">
      <w:pPr>
        <w:pStyle w:val="ListParagraph"/>
        <w:numPr>
          <w:ilvl w:val="1"/>
          <w:numId w:val="75"/>
        </w:numPr>
        <w:tabs>
          <w:tab w:val="left" w:pos="1441"/>
        </w:tabs>
        <w:spacing w:before="157" w:line="259" w:lineRule="auto"/>
        <w:ind w:right="63"/>
        <w:rPr>
          <w:color w:val="211F1F"/>
          <w:sz w:val="24"/>
        </w:rPr>
      </w:pPr>
      <w:r>
        <w:rPr>
          <w:color w:val="211F1F"/>
          <w:sz w:val="24"/>
        </w:rPr>
        <w:t>In the event of identification of a potentially Abnormally Low Tender, the Procuring Entity shall seek written clarifications from the Tenderer, including detailed price analyses of its Tender price in relation to the subject matter of the contract, scope, proposed</w:t>
      </w:r>
      <w:r>
        <w:rPr>
          <w:color w:val="211F1F"/>
          <w:spacing w:val="-5"/>
          <w:sz w:val="24"/>
        </w:rPr>
        <w:t xml:space="preserve"> </w:t>
      </w:r>
      <w:r>
        <w:rPr>
          <w:color w:val="211F1F"/>
          <w:sz w:val="24"/>
        </w:rPr>
        <w:t>methodology,</w:t>
      </w:r>
      <w:r>
        <w:rPr>
          <w:color w:val="211F1F"/>
          <w:spacing w:val="-3"/>
          <w:sz w:val="24"/>
        </w:rPr>
        <w:t xml:space="preserve"> </w:t>
      </w:r>
      <w:r>
        <w:rPr>
          <w:color w:val="211F1F"/>
          <w:sz w:val="24"/>
        </w:rPr>
        <w:t>schedule,</w:t>
      </w:r>
      <w:r>
        <w:rPr>
          <w:color w:val="211F1F"/>
          <w:spacing w:val="-3"/>
          <w:sz w:val="24"/>
        </w:rPr>
        <w:t xml:space="preserve"> </w:t>
      </w:r>
      <w:r>
        <w:rPr>
          <w:color w:val="211F1F"/>
          <w:sz w:val="24"/>
        </w:rPr>
        <w:t>allocation</w:t>
      </w:r>
      <w:r>
        <w:rPr>
          <w:color w:val="211F1F"/>
          <w:spacing w:val="-9"/>
          <w:sz w:val="24"/>
        </w:rPr>
        <w:t xml:space="preserve"> </w:t>
      </w:r>
      <w:r>
        <w:rPr>
          <w:color w:val="211F1F"/>
          <w:sz w:val="24"/>
        </w:rPr>
        <w:t>of</w:t>
      </w:r>
      <w:r>
        <w:rPr>
          <w:color w:val="211F1F"/>
          <w:spacing w:val="-14"/>
          <w:sz w:val="24"/>
        </w:rPr>
        <w:t xml:space="preserve"> </w:t>
      </w:r>
      <w:r>
        <w:rPr>
          <w:color w:val="211F1F"/>
          <w:sz w:val="24"/>
        </w:rPr>
        <w:t>risks</w:t>
      </w:r>
      <w:r>
        <w:rPr>
          <w:color w:val="211F1F"/>
          <w:spacing w:val="-8"/>
          <w:sz w:val="24"/>
        </w:rPr>
        <w:t xml:space="preserve"> </w:t>
      </w:r>
      <w:r>
        <w:rPr>
          <w:color w:val="211F1F"/>
          <w:sz w:val="24"/>
        </w:rPr>
        <w:t>and</w:t>
      </w:r>
      <w:r>
        <w:rPr>
          <w:color w:val="211F1F"/>
          <w:spacing w:val="-5"/>
          <w:sz w:val="24"/>
        </w:rPr>
        <w:t xml:space="preserve"> </w:t>
      </w:r>
      <w:r>
        <w:rPr>
          <w:color w:val="211F1F"/>
          <w:sz w:val="24"/>
        </w:rPr>
        <w:t>responsibilities</w:t>
      </w:r>
      <w:r>
        <w:rPr>
          <w:color w:val="211F1F"/>
          <w:spacing w:val="-6"/>
          <w:sz w:val="24"/>
        </w:rPr>
        <w:t xml:space="preserve"> </w:t>
      </w:r>
      <w:r>
        <w:rPr>
          <w:color w:val="211F1F"/>
          <w:sz w:val="24"/>
        </w:rPr>
        <w:t>and</w:t>
      </w:r>
      <w:r>
        <w:rPr>
          <w:color w:val="211F1F"/>
          <w:spacing w:val="-6"/>
          <w:sz w:val="24"/>
        </w:rPr>
        <w:t xml:space="preserve"> </w:t>
      </w:r>
      <w:r>
        <w:rPr>
          <w:color w:val="211F1F"/>
          <w:sz w:val="24"/>
        </w:rPr>
        <w:t>any</w:t>
      </w:r>
      <w:r>
        <w:rPr>
          <w:color w:val="211F1F"/>
          <w:spacing w:val="-10"/>
          <w:sz w:val="24"/>
        </w:rPr>
        <w:t xml:space="preserve"> </w:t>
      </w:r>
      <w:r>
        <w:rPr>
          <w:color w:val="211F1F"/>
          <w:sz w:val="24"/>
        </w:rPr>
        <w:t>other requirements of the Tender document.</w:t>
      </w:r>
    </w:p>
    <w:p w14:paraId="1AF033C2" w14:textId="77777777" w:rsidR="00BB77C0" w:rsidRDefault="00370BAA">
      <w:pPr>
        <w:pStyle w:val="ListParagraph"/>
        <w:numPr>
          <w:ilvl w:val="1"/>
          <w:numId w:val="75"/>
        </w:numPr>
        <w:tabs>
          <w:tab w:val="left" w:pos="1441"/>
        </w:tabs>
        <w:spacing w:before="161" w:line="259" w:lineRule="auto"/>
        <w:ind w:right="425"/>
        <w:rPr>
          <w:color w:val="211F1F"/>
          <w:sz w:val="24"/>
        </w:rPr>
      </w:pPr>
      <w:r>
        <w:rPr>
          <w:color w:val="211F1F"/>
          <w:sz w:val="24"/>
        </w:rPr>
        <w:t>After evaluation of the price analyses, in the event that the Procuring Entity determines</w:t>
      </w:r>
      <w:r>
        <w:rPr>
          <w:color w:val="211F1F"/>
          <w:spacing w:val="-8"/>
          <w:sz w:val="24"/>
        </w:rPr>
        <w:t xml:space="preserve"> </w:t>
      </w:r>
      <w:r>
        <w:rPr>
          <w:color w:val="211F1F"/>
          <w:sz w:val="24"/>
        </w:rPr>
        <w:t>that</w:t>
      </w:r>
      <w:r>
        <w:rPr>
          <w:color w:val="211F1F"/>
          <w:spacing w:val="-2"/>
          <w:sz w:val="24"/>
        </w:rPr>
        <w:t xml:space="preserve"> </w:t>
      </w:r>
      <w:r>
        <w:rPr>
          <w:color w:val="211F1F"/>
          <w:sz w:val="24"/>
        </w:rPr>
        <w:t>the</w:t>
      </w:r>
      <w:r>
        <w:rPr>
          <w:color w:val="211F1F"/>
          <w:spacing w:val="-7"/>
          <w:sz w:val="24"/>
        </w:rPr>
        <w:t xml:space="preserve"> </w:t>
      </w:r>
      <w:r>
        <w:rPr>
          <w:color w:val="211F1F"/>
          <w:sz w:val="24"/>
        </w:rPr>
        <w:t>Tenderer</w:t>
      </w:r>
      <w:r>
        <w:rPr>
          <w:color w:val="211F1F"/>
          <w:spacing w:val="-6"/>
          <w:sz w:val="24"/>
        </w:rPr>
        <w:t xml:space="preserve"> </w:t>
      </w:r>
      <w:r>
        <w:rPr>
          <w:color w:val="211F1F"/>
          <w:sz w:val="24"/>
        </w:rPr>
        <w:t>has</w:t>
      </w:r>
      <w:r>
        <w:rPr>
          <w:color w:val="211F1F"/>
          <w:spacing w:val="-5"/>
          <w:sz w:val="24"/>
        </w:rPr>
        <w:t xml:space="preserve"> </w:t>
      </w:r>
      <w:r>
        <w:rPr>
          <w:color w:val="211F1F"/>
          <w:sz w:val="24"/>
        </w:rPr>
        <w:t>failed</w:t>
      </w:r>
      <w:r>
        <w:rPr>
          <w:color w:val="211F1F"/>
          <w:spacing w:val="-7"/>
          <w:sz w:val="24"/>
        </w:rPr>
        <w:t xml:space="preserve"> </w:t>
      </w:r>
      <w:r>
        <w:rPr>
          <w:color w:val="211F1F"/>
          <w:sz w:val="24"/>
        </w:rPr>
        <w:t>to</w:t>
      </w:r>
      <w:r>
        <w:rPr>
          <w:color w:val="211F1F"/>
          <w:spacing w:val="-3"/>
          <w:sz w:val="24"/>
        </w:rPr>
        <w:t xml:space="preserve"> </w:t>
      </w:r>
      <w:r>
        <w:rPr>
          <w:color w:val="211F1F"/>
          <w:sz w:val="24"/>
        </w:rPr>
        <w:t>demonstrate</w:t>
      </w:r>
      <w:r>
        <w:rPr>
          <w:color w:val="211F1F"/>
          <w:spacing w:val="-7"/>
          <w:sz w:val="24"/>
        </w:rPr>
        <w:t xml:space="preserve"> </w:t>
      </w:r>
      <w:r>
        <w:rPr>
          <w:color w:val="211F1F"/>
          <w:sz w:val="24"/>
        </w:rPr>
        <w:t>its</w:t>
      </w:r>
      <w:r>
        <w:rPr>
          <w:color w:val="211F1F"/>
          <w:spacing w:val="-8"/>
          <w:sz w:val="24"/>
        </w:rPr>
        <w:t xml:space="preserve"> </w:t>
      </w:r>
      <w:r>
        <w:rPr>
          <w:color w:val="211F1F"/>
          <w:sz w:val="24"/>
        </w:rPr>
        <w:t>capability</w:t>
      </w:r>
      <w:r>
        <w:rPr>
          <w:color w:val="211F1F"/>
          <w:spacing w:val="-11"/>
          <w:sz w:val="24"/>
        </w:rPr>
        <w:t xml:space="preserve"> </w:t>
      </w:r>
      <w:r>
        <w:rPr>
          <w:color w:val="211F1F"/>
          <w:sz w:val="24"/>
        </w:rPr>
        <w:t>to</w:t>
      </w:r>
      <w:r>
        <w:rPr>
          <w:color w:val="211F1F"/>
          <w:spacing w:val="-7"/>
          <w:sz w:val="24"/>
        </w:rPr>
        <w:t xml:space="preserve"> </w:t>
      </w:r>
      <w:r>
        <w:rPr>
          <w:color w:val="211F1F"/>
          <w:sz w:val="24"/>
        </w:rPr>
        <w:t>perform</w:t>
      </w:r>
      <w:r>
        <w:rPr>
          <w:color w:val="211F1F"/>
          <w:spacing w:val="-15"/>
          <w:sz w:val="24"/>
        </w:rPr>
        <w:t xml:space="preserve"> </w:t>
      </w:r>
      <w:r>
        <w:rPr>
          <w:color w:val="211F1F"/>
          <w:sz w:val="24"/>
        </w:rPr>
        <w:t>the Contract for</w:t>
      </w:r>
      <w:r>
        <w:rPr>
          <w:color w:val="211F1F"/>
          <w:spacing w:val="-9"/>
          <w:sz w:val="24"/>
        </w:rPr>
        <w:t xml:space="preserve"> </w:t>
      </w:r>
      <w:r>
        <w:rPr>
          <w:color w:val="211F1F"/>
          <w:sz w:val="24"/>
        </w:rPr>
        <w:t>the</w:t>
      </w:r>
      <w:r>
        <w:rPr>
          <w:color w:val="211F1F"/>
          <w:spacing w:val="-2"/>
          <w:sz w:val="24"/>
        </w:rPr>
        <w:t xml:space="preserve"> </w:t>
      </w:r>
      <w:r>
        <w:rPr>
          <w:color w:val="211F1F"/>
          <w:sz w:val="24"/>
        </w:rPr>
        <w:t>offered</w:t>
      </w:r>
      <w:r>
        <w:rPr>
          <w:color w:val="211F1F"/>
          <w:spacing w:val="-1"/>
          <w:sz w:val="24"/>
        </w:rPr>
        <w:t xml:space="preserve"> </w:t>
      </w:r>
      <w:r>
        <w:rPr>
          <w:color w:val="211F1F"/>
          <w:sz w:val="24"/>
        </w:rPr>
        <w:t>Tender Price, the</w:t>
      </w:r>
      <w:r>
        <w:rPr>
          <w:color w:val="211F1F"/>
          <w:spacing w:val="-2"/>
          <w:sz w:val="24"/>
        </w:rPr>
        <w:t xml:space="preserve"> </w:t>
      </w:r>
      <w:r>
        <w:rPr>
          <w:color w:val="211F1F"/>
          <w:sz w:val="24"/>
        </w:rPr>
        <w:t>Procuring</w:t>
      </w:r>
      <w:r>
        <w:rPr>
          <w:color w:val="211F1F"/>
          <w:spacing w:val="-1"/>
          <w:sz w:val="24"/>
        </w:rPr>
        <w:t xml:space="preserve"> </w:t>
      </w:r>
      <w:r>
        <w:rPr>
          <w:color w:val="211F1F"/>
          <w:sz w:val="24"/>
        </w:rPr>
        <w:t>Entity</w:t>
      </w:r>
      <w:r>
        <w:rPr>
          <w:color w:val="211F1F"/>
          <w:spacing w:val="-11"/>
          <w:sz w:val="24"/>
        </w:rPr>
        <w:t xml:space="preserve"> </w:t>
      </w:r>
      <w:r>
        <w:rPr>
          <w:color w:val="211F1F"/>
          <w:sz w:val="24"/>
        </w:rPr>
        <w:t>shall</w:t>
      </w:r>
      <w:r>
        <w:rPr>
          <w:color w:val="211F1F"/>
          <w:spacing w:val="-10"/>
          <w:sz w:val="24"/>
        </w:rPr>
        <w:t xml:space="preserve"> </w:t>
      </w:r>
      <w:r>
        <w:rPr>
          <w:color w:val="211F1F"/>
          <w:sz w:val="24"/>
        </w:rPr>
        <w:t>reject</w:t>
      </w:r>
      <w:r>
        <w:rPr>
          <w:color w:val="211F1F"/>
          <w:spacing w:val="-1"/>
          <w:sz w:val="24"/>
        </w:rPr>
        <w:t xml:space="preserve"> </w:t>
      </w:r>
      <w:r>
        <w:rPr>
          <w:color w:val="211F1F"/>
          <w:sz w:val="24"/>
        </w:rPr>
        <w:t>the</w:t>
      </w:r>
      <w:r>
        <w:rPr>
          <w:color w:val="211F1F"/>
          <w:spacing w:val="-2"/>
          <w:sz w:val="24"/>
        </w:rPr>
        <w:t xml:space="preserve"> </w:t>
      </w:r>
      <w:r>
        <w:rPr>
          <w:color w:val="211F1F"/>
          <w:sz w:val="24"/>
        </w:rPr>
        <w:t>Tender.</w:t>
      </w:r>
    </w:p>
    <w:p w14:paraId="0BFE5CC5" w14:textId="77777777" w:rsidR="00BB77C0" w:rsidRDefault="00370BAA">
      <w:pPr>
        <w:pStyle w:val="ListParagraph"/>
        <w:numPr>
          <w:ilvl w:val="0"/>
          <w:numId w:val="75"/>
        </w:numPr>
        <w:tabs>
          <w:tab w:val="left" w:pos="720"/>
        </w:tabs>
        <w:spacing w:before="162"/>
        <w:ind w:hanging="720"/>
        <w:rPr>
          <w:b/>
          <w:sz w:val="24"/>
        </w:rPr>
      </w:pPr>
      <w:r>
        <w:rPr>
          <w:b/>
          <w:color w:val="211F1F"/>
          <w:sz w:val="24"/>
        </w:rPr>
        <w:t>Abnormally</w:t>
      </w:r>
      <w:r>
        <w:rPr>
          <w:b/>
          <w:color w:val="211F1F"/>
          <w:spacing w:val="-1"/>
          <w:sz w:val="24"/>
        </w:rPr>
        <w:t xml:space="preserve"> </w:t>
      </w:r>
      <w:r>
        <w:rPr>
          <w:b/>
          <w:color w:val="211F1F"/>
          <w:sz w:val="24"/>
        </w:rPr>
        <w:t>High</w:t>
      </w:r>
      <w:r>
        <w:rPr>
          <w:b/>
          <w:color w:val="211F1F"/>
          <w:spacing w:val="-1"/>
          <w:sz w:val="24"/>
        </w:rPr>
        <w:t xml:space="preserve"> </w:t>
      </w:r>
      <w:r>
        <w:rPr>
          <w:b/>
          <w:color w:val="211F1F"/>
          <w:spacing w:val="-2"/>
          <w:sz w:val="24"/>
        </w:rPr>
        <w:t>Tenders</w:t>
      </w:r>
    </w:p>
    <w:p w14:paraId="38399A07" w14:textId="77777777" w:rsidR="00BB77C0" w:rsidRDefault="00BB77C0">
      <w:pPr>
        <w:pStyle w:val="ListParagraph"/>
        <w:rPr>
          <w:b/>
          <w:sz w:val="24"/>
        </w:rPr>
        <w:sectPr w:rsidR="00BB77C0">
          <w:pgSz w:w="11930" w:h="16870"/>
          <w:pgMar w:top="1340" w:right="1080" w:bottom="280" w:left="1080" w:header="720" w:footer="720" w:gutter="0"/>
          <w:cols w:space="720"/>
        </w:sectPr>
      </w:pPr>
    </w:p>
    <w:p w14:paraId="14D6DBAF" w14:textId="77777777" w:rsidR="00BB77C0" w:rsidRDefault="00370BAA">
      <w:pPr>
        <w:pStyle w:val="ListParagraph"/>
        <w:numPr>
          <w:ilvl w:val="1"/>
          <w:numId w:val="75"/>
        </w:numPr>
        <w:tabs>
          <w:tab w:val="left" w:pos="1441"/>
        </w:tabs>
        <w:spacing w:before="75" w:line="259" w:lineRule="auto"/>
        <w:ind w:right="90"/>
        <w:rPr>
          <w:color w:val="211F1F"/>
          <w:sz w:val="24"/>
        </w:rPr>
      </w:pPr>
      <w:r>
        <w:rPr>
          <w:color w:val="211F1F"/>
          <w:sz w:val="24"/>
        </w:rPr>
        <w:lastRenderedPageBreak/>
        <w:t>An abnormally high tender price is one where the tender price, in combination with other constituent elements of</w:t>
      </w:r>
      <w:r>
        <w:rPr>
          <w:color w:val="211F1F"/>
          <w:spacing w:val="-4"/>
          <w:sz w:val="24"/>
        </w:rPr>
        <w:t xml:space="preserve"> </w:t>
      </w:r>
      <w:r>
        <w:rPr>
          <w:color w:val="211F1F"/>
          <w:sz w:val="24"/>
        </w:rPr>
        <w:t>the Tender, appears unreasonably</w:t>
      </w:r>
      <w:r>
        <w:rPr>
          <w:color w:val="211F1F"/>
          <w:spacing w:val="-5"/>
          <w:sz w:val="24"/>
        </w:rPr>
        <w:t xml:space="preserve"> </w:t>
      </w:r>
      <w:r>
        <w:rPr>
          <w:color w:val="211F1F"/>
          <w:sz w:val="24"/>
        </w:rPr>
        <w:t>too high</w:t>
      </w:r>
      <w:r>
        <w:rPr>
          <w:color w:val="211F1F"/>
          <w:spacing w:val="-1"/>
          <w:sz w:val="24"/>
        </w:rPr>
        <w:t xml:space="preserve"> </w:t>
      </w:r>
      <w:r>
        <w:rPr>
          <w:color w:val="211F1F"/>
          <w:sz w:val="24"/>
        </w:rPr>
        <w:t>to</w:t>
      </w:r>
      <w:r>
        <w:rPr>
          <w:color w:val="211F1F"/>
          <w:spacing w:val="-1"/>
          <w:sz w:val="24"/>
        </w:rPr>
        <w:t xml:space="preserve"> </w:t>
      </w:r>
      <w:r>
        <w:rPr>
          <w:color w:val="211F1F"/>
          <w:sz w:val="24"/>
        </w:rPr>
        <w:t>the extent that</w:t>
      </w:r>
      <w:r>
        <w:rPr>
          <w:color w:val="211F1F"/>
          <w:spacing w:val="-8"/>
          <w:sz w:val="24"/>
        </w:rPr>
        <w:t xml:space="preserve"> </w:t>
      </w:r>
      <w:r>
        <w:rPr>
          <w:color w:val="211F1F"/>
          <w:sz w:val="24"/>
        </w:rPr>
        <w:t>the</w:t>
      </w:r>
      <w:r>
        <w:rPr>
          <w:color w:val="211F1F"/>
          <w:spacing w:val="-9"/>
          <w:sz w:val="24"/>
        </w:rPr>
        <w:t xml:space="preserve"> </w:t>
      </w:r>
      <w:r>
        <w:rPr>
          <w:color w:val="211F1F"/>
          <w:sz w:val="24"/>
        </w:rPr>
        <w:t>Procuring</w:t>
      </w:r>
      <w:r>
        <w:rPr>
          <w:color w:val="211F1F"/>
          <w:spacing w:val="-4"/>
          <w:sz w:val="24"/>
        </w:rPr>
        <w:t xml:space="preserve"> </w:t>
      </w:r>
      <w:r>
        <w:rPr>
          <w:color w:val="211F1F"/>
          <w:sz w:val="24"/>
        </w:rPr>
        <w:t>Entity</w:t>
      </w:r>
      <w:r>
        <w:rPr>
          <w:color w:val="211F1F"/>
          <w:spacing w:val="-8"/>
          <w:sz w:val="24"/>
        </w:rPr>
        <w:t xml:space="preserve"> </w:t>
      </w:r>
      <w:r>
        <w:rPr>
          <w:color w:val="211F1F"/>
          <w:sz w:val="24"/>
        </w:rPr>
        <w:t>is</w:t>
      </w:r>
      <w:r>
        <w:rPr>
          <w:color w:val="211F1F"/>
          <w:spacing w:val="-6"/>
          <w:sz w:val="24"/>
        </w:rPr>
        <w:t xml:space="preserve"> </w:t>
      </w:r>
      <w:r>
        <w:rPr>
          <w:color w:val="211F1F"/>
          <w:sz w:val="24"/>
        </w:rPr>
        <w:t>concerned</w:t>
      </w:r>
      <w:r>
        <w:rPr>
          <w:color w:val="211F1F"/>
          <w:spacing w:val="-4"/>
          <w:sz w:val="24"/>
        </w:rPr>
        <w:t xml:space="preserve"> </w:t>
      </w:r>
      <w:r>
        <w:rPr>
          <w:color w:val="211F1F"/>
          <w:sz w:val="24"/>
        </w:rPr>
        <w:t>that</w:t>
      </w:r>
      <w:r>
        <w:rPr>
          <w:color w:val="211F1F"/>
          <w:spacing w:val="-4"/>
          <w:sz w:val="24"/>
        </w:rPr>
        <w:t xml:space="preserve"> </w:t>
      </w:r>
      <w:r>
        <w:rPr>
          <w:color w:val="211F1F"/>
          <w:sz w:val="24"/>
        </w:rPr>
        <w:t>it (the</w:t>
      </w:r>
      <w:r>
        <w:rPr>
          <w:color w:val="211F1F"/>
          <w:spacing w:val="-10"/>
          <w:sz w:val="24"/>
        </w:rPr>
        <w:t xml:space="preserve"> </w:t>
      </w:r>
      <w:r>
        <w:rPr>
          <w:color w:val="211F1F"/>
          <w:sz w:val="24"/>
        </w:rPr>
        <w:t>Procuring</w:t>
      </w:r>
      <w:r>
        <w:rPr>
          <w:color w:val="211F1F"/>
          <w:spacing w:val="-3"/>
          <w:sz w:val="24"/>
        </w:rPr>
        <w:t xml:space="preserve"> </w:t>
      </w:r>
      <w:r>
        <w:rPr>
          <w:color w:val="211F1F"/>
          <w:sz w:val="24"/>
        </w:rPr>
        <w:t>Entity)</w:t>
      </w:r>
      <w:r>
        <w:rPr>
          <w:color w:val="211F1F"/>
          <w:spacing w:val="-3"/>
          <w:sz w:val="24"/>
        </w:rPr>
        <w:t xml:space="preserve"> </w:t>
      </w:r>
      <w:r>
        <w:rPr>
          <w:color w:val="211F1F"/>
          <w:sz w:val="24"/>
        </w:rPr>
        <w:t>may</w:t>
      </w:r>
      <w:r>
        <w:rPr>
          <w:color w:val="211F1F"/>
          <w:spacing w:val="-8"/>
          <w:sz w:val="24"/>
        </w:rPr>
        <w:t xml:space="preserve"> </w:t>
      </w:r>
      <w:r>
        <w:rPr>
          <w:color w:val="211F1F"/>
          <w:sz w:val="24"/>
        </w:rPr>
        <w:t>not be</w:t>
      </w:r>
      <w:r>
        <w:rPr>
          <w:color w:val="211F1F"/>
          <w:spacing w:val="-9"/>
          <w:sz w:val="24"/>
        </w:rPr>
        <w:t xml:space="preserve"> </w:t>
      </w:r>
      <w:r>
        <w:rPr>
          <w:color w:val="211F1F"/>
          <w:sz w:val="24"/>
        </w:rPr>
        <w:t>getting value for money</w:t>
      </w:r>
      <w:r>
        <w:rPr>
          <w:color w:val="211F1F"/>
          <w:spacing w:val="-4"/>
          <w:sz w:val="24"/>
        </w:rPr>
        <w:t xml:space="preserve"> </w:t>
      </w:r>
      <w:r>
        <w:rPr>
          <w:color w:val="211F1F"/>
          <w:sz w:val="24"/>
        </w:rPr>
        <w:t>or it may be paying too high a price for the contract compared with market prices or that genuine competition between Tenderers is compromised.</w:t>
      </w:r>
    </w:p>
    <w:p w14:paraId="11B67396" w14:textId="77777777" w:rsidR="00BB77C0" w:rsidRDefault="00370BAA">
      <w:pPr>
        <w:pStyle w:val="ListParagraph"/>
        <w:numPr>
          <w:ilvl w:val="1"/>
          <w:numId w:val="75"/>
        </w:numPr>
        <w:tabs>
          <w:tab w:val="left" w:pos="1441"/>
        </w:tabs>
        <w:spacing w:before="162" w:line="259" w:lineRule="auto"/>
        <w:ind w:right="319"/>
        <w:rPr>
          <w:color w:val="211F1F"/>
          <w:sz w:val="24"/>
        </w:rPr>
      </w:pPr>
      <w:r>
        <w:rPr>
          <w:color w:val="211F1F"/>
          <w:sz w:val="24"/>
        </w:rPr>
        <w:t>In</w:t>
      </w:r>
      <w:r>
        <w:rPr>
          <w:color w:val="211F1F"/>
          <w:spacing w:val="-5"/>
          <w:sz w:val="24"/>
        </w:rPr>
        <w:t xml:space="preserve"> </w:t>
      </w:r>
      <w:r>
        <w:rPr>
          <w:color w:val="211F1F"/>
          <w:sz w:val="24"/>
        </w:rPr>
        <w:t>case</w:t>
      </w:r>
      <w:r>
        <w:rPr>
          <w:color w:val="211F1F"/>
          <w:spacing w:val="-5"/>
          <w:sz w:val="24"/>
        </w:rPr>
        <w:t xml:space="preserve"> </w:t>
      </w:r>
      <w:r>
        <w:rPr>
          <w:color w:val="211F1F"/>
          <w:sz w:val="24"/>
        </w:rPr>
        <w:t>of</w:t>
      </w:r>
      <w:r>
        <w:rPr>
          <w:color w:val="211F1F"/>
          <w:spacing w:val="-12"/>
          <w:sz w:val="24"/>
        </w:rPr>
        <w:t xml:space="preserve"> </w:t>
      </w:r>
      <w:r>
        <w:rPr>
          <w:color w:val="211F1F"/>
          <w:sz w:val="24"/>
        </w:rPr>
        <w:t>an</w:t>
      </w:r>
      <w:r>
        <w:rPr>
          <w:color w:val="211F1F"/>
          <w:spacing w:val="-5"/>
          <w:sz w:val="24"/>
        </w:rPr>
        <w:t xml:space="preserve"> </w:t>
      </w:r>
      <w:r>
        <w:rPr>
          <w:color w:val="211F1F"/>
          <w:sz w:val="24"/>
        </w:rPr>
        <w:t>abnormally high</w:t>
      </w:r>
      <w:r>
        <w:rPr>
          <w:color w:val="211F1F"/>
          <w:spacing w:val="-2"/>
          <w:sz w:val="24"/>
        </w:rPr>
        <w:t xml:space="preserve"> </w:t>
      </w:r>
      <w:r>
        <w:rPr>
          <w:color w:val="211F1F"/>
          <w:sz w:val="24"/>
        </w:rPr>
        <w:t>price,</w:t>
      </w:r>
      <w:r>
        <w:rPr>
          <w:color w:val="211F1F"/>
          <w:spacing w:val="-2"/>
          <w:sz w:val="24"/>
        </w:rPr>
        <w:t xml:space="preserve"> </w:t>
      </w:r>
      <w:r>
        <w:rPr>
          <w:color w:val="211F1F"/>
          <w:sz w:val="24"/>
        </w:rPr>
        <w:t>the</w:t>
      </w:r>
      <w:r>
        <w:rPr>
          <w:color w:val="211F1F"/>
          <w:spacing w:val="-6"/>
          <w:sz w:val="24"/>
        </w:rPr>
        <w:t xml:space="preserve"> </w:t>
      </w:r>
      <w:r>
        <w:rPr>
          <w:color w:val="211F1F"/>
          <w:sz w:val="24"/>
        </w:rPr>
        <w:t>Procuring Entity</w:t>
      </w:r>
      <w:r>
        <w:rPr>
          <w:color w:val="211F1F"/>
          <w:spacing w:val="-7"/>
          <w:sz w:val="24"/>
        </w:rPr>
        <w:t xml:space="preserve"> </w:t>
      </w:r>
      <w:r>
        <w:rPr>
          <w:color w:val="211F1F"/>
          <w:sz w:val="24"/>
        </w:rPr>
        <w:t>shall</w:t>
      </w:r>
      <w:r>
        <w:rPr>
          <w:color w:val="211F1F"/>
          <w:spacing w:val="-3"/>
          <w:sz w:val="24"/>
        </w:rPr>
        <w:t xml:space="preserve"> </w:t>
      </w:r>
      <w:r>
        <w:rPr>
          <w:color w:val="211F1F"/>
          <w:sz w:val="24"/>
        </w:rPr>
        <w:t>make</w:t>
      </w:r>
      <w:r>
        <w:rPr>
          <w:color w:val="211F1F"/>
          <w:spacing w:val="-5"/>
          <w:sz w:val="24"/>
        </w:rPr>
        <w:t xml:space="preserve"> </w:t>
      </w:r>
      <w:r>
        <w:rPr>
          <w:color w:val="211F1F"/>
          <w:sz w:val="24"/>
        </w:rPr>
        <w:t>a</w:t>
      </w:r>
      <w:r>
        <w:rPr>
          <w:color w:val="211F1F"/>
          <w:spacing w:val="-6"/>
          <w:sz w:val="24"/>
        </w:rPr>
        <w:t xml:space="preserve"> </w:t>
      </w:r>
      <w:r>
        <w:rPr>
          <w:color w:val="211F1F"/>
          <w:sz w:val="24"/>
        </w:rPr>
        <w:t>survey</w:t>
      </w:r>
      <w:r>
        <w:rPr>
          <w:color w:val="211F1F"/>
          <w:spacing w:val="-9"/>
          <w:sz w:val="24"/>
        </w:rPr>
        <w:t xml:space="preserve"> </w:t>
      </w:r>
      <w:r>
        <w:rPr>
          <w:color w:val="211F1F"/>
          <w:sz w:val="24"/>
        </w:rPr>
        <w:t>of</w:t>
      </w:r>
      <w:r>
        <w:rPr>
          <w:color w:val="211F1F"/>
          <w:spacing w:val="-12"/>
          <w:sz w:val="24"/>
        </w:rPr>
        <w:t xml:space="preserve"> </w:t>
      </w:r>
      <w:r>
        <w:rPr>
          <w:color w:val="211F1F"/>
          <w:sz w:val="24"/>
        </w:rPr>
        <w:t>the market prices, check if the estimated cost of the contract is correct and review the Tender Documents to check if the specifications, scope of work and conditions of contract are contributory</w:t>
      </w:r>
      <w:r>
        <w:rPr>
          <w:color w:val="211F1F"/>
          <w:spacing w:val="-9"/>
          <w:sz w:val="24"/>
        </w:rPr>
        <w:t xml:space="preserve"> </w:t>
      </w:r>
      <w:r>
        <w:rPr>
          <w:color w:val="211F1F"/>
          <w:sz w:val="24"/>
        </w:rPr>
        <w:t>to</w:t>
      </w:r>
      <w:r>
        <w:rPr>
          <w:color w:val="211F1F"/>
          <w:spacing w:val="-4"/>
          <w:sz w:val="24"/>
        </w:rPr>
        <w:t xml:space="preserve"> </w:t>
      </w:r>
      <w:r>
        <w:rPr>
          <w:color w:val="211F1F"/>
          <w:sz w:val="24"/>
        </w:rPr>
        <w:t>the abnormally high</w:t>
      </w:r>
      <w:r>
        <w:rPr>
          <w:color w:val="211F1F"/>
          <w:spacing w:val="-4"/>
          <w:sz w:val="24"/>
        </w:rPr>
        <w:t xml:space="preserve"> </w:t>
      </w:r>
      <w:r>
        <w:rPr>
          <w:color w:val="211F1F"/>
          <w:sz w:val="24"/>
        </w:rPr>
        <w:t>tenders. The Procuring Entity</w:t>
      </w:r>
      <w:r>
        <w:rPr>
          <w:color w:val="211F1F"/>
          <w:spacing w:val="-4"/>
          <w:sz w:val="24"/>
        </w:rPr>
        <w:t xml:space="preserve"> </w:t>
      </w:r>
      <w:r>
        <w:rPr>
          <w:color w:val="211F1F"/>
          <w:sz w:val="24"/>
        </w:rPr>
        <w:t>may also seek written clarification from the tenderer on the reason for the high tender price. The Procuring Entity shall proceed as follows:</w:t>
      </w:r>
    </w:p>
    <w:p w14:paraId="1F7CFF03" w14:textId="77777777" w:rsidR="00BB77C0" w:rsidRDefault="00370BAA">
      <w:pPr>
        <w:pStyle w:val="ListParagraph"/>
        <w:numPr>
          <w:ilvl w:val="2"/>
          <w:numId w:val="75"/>
        </w:numPr>
        <w:tabs>
          <w:tab w:val="left" w:pos="2879"/>
          <w:tab w:val="left" w:pos="2881"/>
        </w:tabs>
        <w:spacing w:before="156"/>
        <w:ind w:right="67" w:hanging="360"/>
        <w:rPr>
          <w:sz w:val="24"/>
        </w:rPr>
      </w:pPr>
      <w:r>
        <w:rPr>
          <w:color w:val="211F1F"/>
          <w:sz w:val="24"/>
        </w:rPr>
        <w:t>If</w:t>
      </w:r>
      <w:r>
        <w:rPr>
          <w:color w:val="211F1F"/>
          <w:spacing w:val="-14"/>
          <w:sz w:val="24"/>
        </w:rPr>
        <w:t xml:space="preserve"> </w:t>
      </w:r>
      <w:r>
        <w:rPr>
          <w:color w:val="211F1F"/>
          <w:sz w:val="24"/>
        </w:rPr>
        <w:t>the</w:t>
      </w:r>
      <w:r>
        <w:rPr>
          <w:color w:val="211F1F"/>
          <w:spacing w:val="-7"/>
          <w:sz w:val="24"/>
        </w:rPr>
        <w:t xml:space="preserve"> </w:t>
      </w:r>
      <w:r>
        <w:rPr>
          <w:color w:val="211F1F"/>
          <w:sz w:val="24"/>
        </w:rPr>
        <w:t>tender</w:t>
      </w:r>
      <w:r>
        <w:rPr>
          <w:color w:val="211F1F"/>
          <w:spacing w:val="-5"/>
          <w:sz w:val="24"/>
        </w:rPr>
        <w:t xml:space="preserve"> </w:t>
      </w:r>
      <w:r>
        <w:rPr>
          <w:color w:val="211F1F"/>
          <w:sz w:val="24"/>
        </w:rPr>
        <w:t>price</w:t>
      </w:r>
      <w:r>
        <w:rPr>
          <w:color w:val="211F1F"/>
          <w:spacing w:val="-2"/>
          <w:sz w:val="24"/>
        </w:rPr>
        <w:t xml:space="preserve"> </w:t>
      </w:r>
      <w:r>
        <w:rPr>
          <w:color w:val="211F1F"/>
          <w:sz w:val="24"/>
        </w:rPr>
        <w:t>is</w:t>
      </w:r>
      <w:r>
        <w:rPr>
          <w:color w:val="211F1F"/>
          <w:spacing w:val="-4"/>
          <w:sz w:val="24"/>
        </w:rPr>
        <w:t xml:space="preserve"> </w:t>
      </w:r>
      <w:r>
        <w:rPr>
          <w:color w:val="211F1F"/>
          <w:sz w:val="24"/>
        </w:rPr>
        <w:t>abnormally</w:t>
      </w:r>
      <w:r>
        <w:rPr>
          <w:color w:val="211F1F"/>
          <w:spacing w:val="-5"/>
          <w:sz w:val="24"/>
        </w:rPr>
        <w:t xml:space="preserve"> </w:t>
      </w:r>
      <w:r>
        <w:rPr>
          <w:color w:val="211F1F"/>
          <w:sz w:val="24"/>
        </w:rPr>
        <w:t>high</w:t>
      </w:r>
      <w:r>
        <w:rPr>
          <w:color w:val="211F1F"/>
          <w:spacing w:val="-7"/>
          <w:sz w:val="24"/>
        </w:rPr>
        <w:t xml:space="preserve"> </w:t>
      </w:r>
      <w:r>
        <w:rPr>
          <w:color w:val="211F1F"/>
          <w:sz w:val="24"/>
        </w:rPr>
        <w:t>based</w:t>
      </w:r>
      <w:r>
        <w:rPr>
          <w:color w:val="211F1F"/>
          <w:spacing w:val="-1"/>
          <w:sz w:val="24"/>
        </w:rPr>
        <w:t xml:space="preserve"> </w:t>
      </w:r>
      <w:r>
        <w:rPr>
          <w:color w:val="211F1F"/>
          <w:sz w:val="24"/>
        </w:rPr>
        <w:t>on</w:t>
      </w:r>
      <w:r>
        <w:rPr>
          <w:color w:val="211F1F"/>
          <w:spacing w:val="-7"/>
          <w:sz w:val="24"/>
        </w:rPr>
        <w:t xml:space="preserve"> </w:t>
      </w:r>
      <w:r>
        <w:rPr>
          <w:color w:val="211F1F"/>
          <w:sz w:val="24"/>
        </w:rPr>
        <w:t>wrong</w:t>
      </w:r>
      <w:r>
        <w:rPr>
          <w:color w:val="211F1F"/>
          <w:spacing w:val="-2"/>
          <w:sz w:val="24"/>
        </w:rPr>
        <w:t xml:space="preserve"> </w:t>
      </w:r>
      <w:r>
        <w:rPr>
          <w:color w:val="211F1F"/>
          <w:sz w:val="24"/>
        </w:rPr>
        <w:t>estimated</w:t>
      </w:r>
      <w:r>
        <w:rPr>
          <w:color w:val="211F1F"/>
          <w:spacing w:val="-1"/>
          <w:sz w:val="24"/>
        </w:rPr>
        <w:t xml:space="preserve"> </w:t>
      </w:r>
      <w:r>
        <w:rPr>
          <w:color w:val="211F1F"/>
          <w:sz w:val="24"/>
        </w:rPr>
        <w:t>cost</w:t>
      </w:r>
      <w:r>
        <w:rPr>
          <w:color w:val="211F1F"/>
          <w:spacing w:val="-6"/>
          <w:sz w:val="24"/>
        </w:rPr>
        <w:t xml:space="preserve"> </w:t>
      </w:r>
      <w:r>
        <w:rPr>
          <w:color w:val="211F1F"/>
          <w:sz w:val="24"/>
        </w:rPr>
        <w:t>of the contract, the Procuring Entity</w:t>
      </w:r>
      <w:r>
        <w:rPr>
          <w:color w:val="211F1F"/>
          <w:sz w:val="24"/>
          <w:u w:val="single" w:color="211F1F"/>
        </w:rPr>
        <w:t xml:space="preserve"> may accept or not accept </w:t>
      </w:r>
      <w:r>
        <w:rPr>
          <w:color w:val="211F1F"/>
          <w:sz w:val="24"/>
        </w:rPr>
        <w:t>the tender depending on the Procuring Entity's budget considerations.</w:t>
      </w:r>
    </w:p>
    <w:p w14:paraId="194FCE70" w14:textId="77777777" w:rsidR="00BB77C0" w:rsidRDefault="00370BAA">
      <w:pPr>
        <w:pStyle w:val="ListParagraph"/>
        <w:numPr>
          <w:ilvl w:val="2"/>
          <w:numId w:val="75"/>
        </w:numPr>
        <w:tabs>
          <w:tab w:val="left" w:pos="2873"/>
          <w:tab w:val="left" w:pos="2881"/>
        </w:tabs>
        <w:spacing w:before="3"/>
        <w:ind w:right="129" w:hanging="360"/>
        <w:rPr>
          <w:sz w:val="24"/>
        </w:rPr>
      </w:pPr>
      <w:r>
        <w:rPr>
          <w:color w:val="211F1F"/>
          <w:sz w:val="24"/>
        </w:rPr>
        <w:t>If specifications, scope of work and/or conditions of contract are contributory</w:t>
      </w:r>
      <w:r>
        <w:rPr>
          <w:color w:val="211F1F"/>
          <w:spacing w:val="-14"/>
          <w:sz w:val="24"/>
        </w:rPr>
        <w:t xml:space="preserve"> </w:t>
      </w:r>
      <w:r>
        <w:rPr>
          <w:color w:val="211F1F"/>
          <w:sz w:val="24"/>
        </w:rPr>
        <w:t>to</w:t>
      </w:r>
      <w:r>
        <w:rPr>
          <w:color w:val="211F1F"/>
          <w:spacing w:val="-10"/>
          <w:sz w:val="24"/>
        </w:rPr>
        <w:t xml:space="preserve"> </w:t>
      </w:r>
      <w:r>
        <w:rPr>
          <w:color w:val="211F1F"/>
          <w:sz w:val="24"/>
        </w:rPr>
        <w:t>the</w:t>
      </w:r>
      <w:r>
        <w:rPr>
          <w:color w:val="211F1F"/>
          <w:spacing w:val="-7"/>
          <w:sz w:val="24"/>
        </w:rPr>
        <w:t xml:space="preserve"> </w:t>
      </w:r>
      <w:r>
        <w:rPr>
          <w:color w:val="211F1F"/>
          <w:sz w:val="24"/>
        </w:rPr>
        <w:t>abnormally</w:t>
      </w:r>
      <w:r>
        <w:rPr>
          <w:color w:val="211F1F"/>
          <w:spacing w:val="-9"/>
          <w:sz w:val="24"/>
        </w:rPr>
        <w:t xml:space="preserve"> </w:t>
      </w:r>
      <w:r>
        <w:rPr>
          <w:color w:val="211F1F"/>
          <w:sz w:val="24"/>
        </w:rPr>
        <w:t>high</w:t>
      </w:r>
      <w:r>
        <w:rPr>
          <w:color w:val="211F1F"/>
          <w:spacing w:val="-10"/>
          <w:sz w:val="24"/>
        </w:rPr>
        <w:t xml:space="preserve"> </w:t>
      </w:r>
      <w:r>
        <w:rPr>
          <w:color w:val="211F1F"/>
          <w:sz w:val="24"/>
        </w:rPr>
        <w:t>tender</w:t>
      </w:r>
      <w:r>
        <w:rPr>
          <w:color w:val="211F1F"/>
          <w:spacing w:val="-4"/>
          <w:sz w:val="24"/>
        </w:rPr>
        <w:t xml:space="preserve"> </w:t>
      </w:r>
      <w:r>
        <w:rPr>
          <w:color w:val="211F1F"/>
          <w:sz w:val="24"/>
        </w:rPr>
        <w:t>prices,</w:t>
      </w:r>
      <w:r>
        <w:rPr>
          <w:color w:val="211F1F"/>
          <w:spacing w:val="-4"/>
          <w:sz w:val="24"/>
        </w:rPr>
        <w:t xml:space="preserve"> </w:t>
      </w:r>
      <w:r>
        <w:rPr>
          <w:color w:val="211F1F"/>
          <w:sz w:val="24"/>
        </w:rPr>
        <w:t>the</w:t>
      </w:r>
      <w:r>
        <w:rPr>
          <w:color w:val="211F1F"/>
          <w:spacing w:val="-6"/>
          <w:sz w:val="24"/>
        </w:rPr>
        <w:t xml:space="preserve"> </w:t>
      </w:r>
      <w:r>
        <w:rPr>
          <w:color w:val="211F1F"/>
          <w:sz w:val="24"/>
        </w:rPr>
        <w:t>Procuring</w:t>
      </w:r>
      <w:r>
        <w:rPr>
          <w:color w:val="211F1F"/>
          <w:spacing w:val="-5"/>
          <w:sz w:val="24"/>
        </w:rPr>
        <w:t xml:space="preserve"> </w:t>
      </w:r>
      <w:r>
        <w:rPr>
          <w:color w:val="211F1F"/>
          <w:sz w:val="24"/>
        </w:rPr>
        <w:t>Entity shall reject all tenders and may retender for the contract based on revised estimates, specifications, scope of work and conditions of contract, as the case may be.</w:t>
      </w:r>
    </w:p>
    <w:p w14:paraId="25AF68F2" w14:textId="77777777" w:rsidR="00BB77C0" w:rsidRDefault="00370BAA">
      <w:pPr>
        <w:pStyle w:val="ListParagraph"/>
        <w:numPr>
          <w:ilvl w:val="1"/>
          <w:numId w:val="75"/>
        </w:numPr>
        <w:tabs>
          <w:tab w:val="left" w:pos="1441"/>
        </w:tabs>
        <w:spacing w:line="259" w:lineRule="auto"/>
        <w:ind w:right="353"/>
        <w:rPr>
          <w:color w:val="211F1F"/>
          <w:sz w:val="24"/>
        </w:rPr>
      </w:pPr>
      <w:r>
        <w:rPr>
          <w:color w:val="211F1F"/>
          <w:sz w:val="24"/>
        </w:rPr>
        <w:t xml:space="preserve">If the Procuring Entity determines that the Tender Price is abnormally too high because </w:t>
      </w:r>
      <w:r>
        <w:rPr>
          <w:color w:val="211F1F"/>
          <w:sz w:val="24"/>
          <w:u w:val="single" w:color="211F1F"/>
        </w:rPr>
        <w:t>genuine competition between tenderers is compromised</w:t>
      </w:r>
      <w:r>
        <w:rPr>
          <w:color w:val="211F1F"/>
          <w:sz w:val="24"/>
        </w:rPr>
        <w:t xml:space="preserve"> (</w:t>
      </w:r>
      <w:r>
        <w:rPr>
          <w:i/>
          <w:color w:val="211F1F"/>
          <w:sz w:val="24"/>
        </w:rPr>
        <w:t>often due to collusion, corruption or other manipulations</w:t>
      </w:r>
      <w:r>
        <w:rPr>
          <w:color w:val="211F1F"/>
          <w:sz w:val="24"/>
        </w:rPr>
        <w:t>), the Procuring Entity</w:t>
      </w:r>
      <w:r>
        <w:rPr>
          <w:color w:val="211F1F"/>
          <w:spacing w:val="-1"/>
          <w:sz w:val="24"/>
        </w:rPr>
        <w:t xml:space="preserve"> </w:t>
      </w:r>
      <w:r>
        <w:rPr>
          <w:color w:val="211F1F"/>
          <w:sz w:val="24"/>
        </w:rPr>
        <w:t>shall reject all Tenders</w:t>
      </w:r>
      <w:r>
        <w:rPr>
          <w:color w:val="211F1F"/>
          <w:spacing w:val="-14"/>
          <w:sz w:val="24"/>
        </w:rPr>
        <w:t xml:space="preserve"> </w:t>
      </w:r>
      <w:r>
        <w:rPr>
          <w:color w:val="211F1F"/>
          <w:sz w:val="24"/>
        </w:rPr>
        <w:t>and</w:t>
      </w:r>
      <w:r>
        <w:rPr>
          <w:color w:val="211F1F"/>
          <w:spacing w:val="-8"/>
          <w:sz w:val="24"/>
        </w:rPr>
        <w:t xml:space="preserve"> </w:t>
      </w:r>
      <w:r>
        <w:rPr>
          <w:color w:val="211F1F"/>
          <w:sz w:val="24"/>
        </w:rPr>
        <w:t>shall</w:t>
      </w:r>
      <w:r>
        <w:rPr>
          <w:color w:val="211F1F"/>
          <w:spacing w:val="-6"/>
          <w:sz w:val="24"/>
        </w:rPr>
        <w:t xml:space="preserve"> </w:t>
      </w:r>
      <w:r>
        <w:rPr>
          <w:color w:val="211F1F"/>
          <w:sz w:val="24"/>
        </w:rPr>
        <w:t>institute</w:t>
      </w:r>
      <w:r>
        <w:rPr>
          <w:color w:val="211F1F"/>
          <w:spacing w:val="-13"/>
          <w:sz w:val="24"/>
        </w:rPr>
        <w:t xml:space="preserve"> </w:t>
      </w:r>
      <w:r>
        <w:rPr>
          <w:color w:val="211F1F"/>
          <w:sz w:val="24"/>
        </w:rPr>
        <w:t>or</w:t>
      </w:r>
      <w:r>
        <w:rPr>
          <w:color w:val="211F1F"/>
          <w:spacing w:val="-11"/>
          <w:sz w:val="24"/>
        </w:rPr>
        <w:t xml:space="preserve"> </w:t>
      </w:r>
      <w:r>
        <w:rPr>
          <w:color w:val="211F1F"/>
          <w:sz w:val="24"/>
        </w:rPr>
        <w:t>cause</w:t>
      </w:r>
      <w:r>
        <w:rPr>
          <w:color w:val="211F1F"/>
          <w:spacing w:val="-8"/>
          <w:sz w:val="24"/>
        </w:rPr>
        <w:t xml:space="preserve"> </w:t>
      </w:r>
      <w:r>
        <w:rPr>
          <w:color w:val="211F1F"/>
          <w:sz w:val="24"/>
        </w:rPr>
        <w:t>competent</w:t>
      </w:r>
      <w:r>
        <w:rPr>
          <w:color w:val="211F1F"/>
          <w:spacing w:val="-2"/>
          <w:sz w:val="24"/>
        </w:rPr>
        <w:t xml:space="preserve"> </w:t>
      </w:r>
      <w:r>
        <w:rPr>
          <w:color w:val="211F1F"/>
          <w:sz w:val="24"/>
        </w:rPr>
        <w:t>Government</w:t>
      </w:r>
      <w:r>
        <w:rPr>
          <w:color w:val="211F1F"/>
          <w:spacing w:val="-2"/>
          <w:sz w:val="24"/>
        </w:rPr>
        <w:t xml:space="preserve"> </w:t>
      </w:r>
      <w:r>
        <w:rPr>
          <w:color w:val="211F1F"/>
          <w:sz w:val="24"/>
        </w:rPr>
        <w:t>Agencies</w:t>
      </w:r>
      <w:r>
        <w:rPr>
          <w:color w:val="211F1F"/>
          <w:spacing w:val="-9"/>
          <w:sz w:val="24"/>
        </w:rPr>
        <w:t xml:space="preserve"> </w:t>
      </w:r>
      <w:r>
        <w:rPr>
          <w:color w:val="211F1F"/>
          <w:sz w:val="24"/>
        </w:rPr>
        <w:t>to</w:t>
      </w:r>
      <w:r>
        <w:rPr>
          <w:color w:val="211F1F"/>
          <w:spacing w:val="-4"/>
          <w:sz w:val="24"/>
        </w:rPr>
        <w:t xml:space="preserve"> </w:t>
      </w:r>
      <w:r>
        <w:rPr>
          <w:color w:val="211F1F"/>
          <w:sz w:val="24"/>
        </w:rPr>
        <w:t>institute</w:t>
      </w:r>
      <w:r>
        <w:rPr>
          <w:color w:val="211F1F"/>
          <w:spacing w:val="-12"/>
          <w:sz w:val="24"/>
        </w:rPr>
        <w:t xml:space="preserve"> </w:t>
      </w:r>
      <w:r>
        <w:rPr>
          <w:color w:val="211F1F"/>
          <w:sz w:val="24"/>
        </w:rPr>
        <w:t>an investigation on the cause of the compromise, before retendering.</w:t>
      </w:r>
    </w:p>
    <w:p w14:paraId="5559BF9D" w14:textId="77777777" w:rsidR="00BB77C0" w:rsidRDefault="00370BAA">
      <w:pPr>
        <w:pStyle w:val="ListParagraph"/>
        <w:numPr>
          <w:ilvl w:val="0"/>
          <w:numId w:val="75"/>
        </w:numPr>
        <w:tabs>
          <w:tab w:val="left" w:pos="720"/>
        </w:tabs>
        <w:spacing w:before="164"/>
        <w:ind w:hanging="720"/>
        <w:rPr>
          <w:b/>
          <w:sz w:val="24"/>
        </w:rPr>
      </w:pPr>
      <w:r>
        <w:rPr>
          <w:b/>
          <w:color w:val="211F1F"/>
          <w:sz w:val="24"/>
        </w:rPr>
        <w:t>Unbalanced</w:t>
      </w:r>
      <w:r>
        <w:rPr>
          <w:b/>
          <w:color w:val="211F1F"/>
          <w:spacing w:val="-5"/>
          <w:sz w:val="24"/>
        </w:rPr>
        <w:t xml:space="preserve"> </w:t>
      </w:r>
      <w:r>
        <w:rPr>
          <w:b/>
          <w:color w:val="211F1F"/>
          <w:sz w:val="24"/>
        </w:rPr>
        <w:t>and/or</w:t>
      </w:r>
      <w:r>
        <w:rPr>
          <w:b/>
          <w:color w:val="211F1F"/>
          <w:spacing w:val="-12"/>
          <w:sz w:val="24"/>
        </w:rPr>
        <w:t xml:space="preserve"> </w:t>
      </w:r>
      <w:r>
        <w:rPr>
          <w:b/>
          <w:color w:val="211F1F"/>
          <w:sz w:val="24"/>
        </w:rPr>
        <w:t>Front-Loaded</w:t>
      </w:r>
      <w:r>
        <w:rPr>
          <w:b/>
          <w:color w:val="211F1F"/>
          <w:spacing w:val="-5"/>
          <w:sz w:val="24"/>
        </w:rPr>
        <w:t xml:space="preserve"> </w:t>
      </w:r>
      <w:r>
        <w:rPr>
          <w:b/>
          <w:color w:val="211F1F"/>
          <w:spacing w:val="-2"/>
          <w:sz w:val="24"/>
        </w:rPr>
        <w:t>Tenders</w:t>
      </w:r>
    </w:p>
    <w:p w14:paraId="6F18D09C" w14:textId="77777777" w:rsidR="00BB77C0" w:rsidRDefault="00370BAA">
      <w:pPr>
        <w:pStyle w:val="ListParagraph"/>
        <w:numPr>
          <w:ilvl w:val="1"/>
          <w:numId w:val="75"/>
        </w:numPr>
        <w:tabs>
          <w:tab w:val="left" w:pos="1441"/>
        </w:tabs>
        <w:spacing w:before="175" w:line="259" w:lineRule="auto"/>
        <w:ind w:right="157"/>
        <w:rPr>
          <w:color w:val="211F1F"/>
          <w:sz w:val="24"/>
        </w:rPr>
      </w:pPr>
      <w:r>
        <w:rPr>
          <w:color w:val="211F1F"/>
          <w:sz w:val="24"/>
        </w:rPr>
        <w:t>If in the Procuring Entity's opinion, the Tender that is evaluated as the lowest evaluated</w:t>
      </w:r>
      <w:r>
        <w:rPr>
          <w:color w:val="211F1F"/>
          <w:spacing w:val="-7"/>
          <w:sz w:val="24"/>
        </w:rPr>
        <w:t xml:space="preserve"> </w:t>
      </w:r>
      <w:r>
        <w:rPr>
          <w:color w:val="211F1F"/>
          <w:sz w:val="24"/>
        </w:rPr>
        <w:t>price</w:t>
      </w:r>
      <w:r>
        <w:rPr>
          <w:color w:val="211F1F"/>
          <w:spacing w:val="-5"/>
          <w:sz w:val="24"/>
        </w:rPr>
        <w:t xml:space="preserve"> </w:t>
      </w:r>
      <w:r>
        <w:rPr>
          <w:color w:val="211F1F"/>
          <w:sz w:val="24"/>
        </w:rPr>
        <w:t>is</w:t>
      </w:r>
      <w:r>
        <w:rPr>
          <w:color w:val="211F1F"/>
          <w:spacing w:val="-5"/>
          <w:sz w:val="24"/>
        </w:rPr>
        <w:t xml:space="preserve"> </w:t>
      </w:r>
      <w:r>
        <w:rPr>
          <w:color w:val="211F1F"/>
          <w:sz w:val="24"/>
        </w:rPr>
        <w:t>seriously</w:t>
      </w:r>
      <w:r>
        <w:rPr>
          <w:color w:val="211F1F"/>
          <w:spacing w:val="-11"/>
          <w:sz w:val="24"/>
        </w:rPr>
        <w:t xml:space="preserve"> </w:t>
      </w:r>
      <w:r>
        <w:rPr>
          <w:color w:val="211F1F"/>
          <w:sz w:val="24"/>
        </w:rPr>
        <w:t>unbalanced</w:t>
      </w:r>
      <w:r>
        <w:rPr>
          <w:color w:val="211F1F"/>
          <w:spacing w:val="-3"/>
          <w:sz w:val="24"/>
        </w:rPr>
        <w:t xml:space="preserve"> </w:t>
      </w:r>
      <w:r>
        <w:rPr>
          <w:color w:val="211F1F"/>
          <w:sz w:val="24"/>
        </w:rPr>
        <w:t>and/or</w:t>
      </w:r>
      <w:r>
        <w:rPr>
          <w:color w:val="211F1F"/>
          <w:spacing w:val="-5"/>
          <w:sz w:val="24"/>
        </w:rPr>
        <w:t xml:space="preserve"> </w:t>
      </w:r>
      <w:r>
        <w:rPr>
          <w:color w:val="211F1F"/>
          <w:sz w:val="24"/>
        </w:rPr>
        <w:t>front</w:t>
      </w:r>
      <w:r>
        <w:rPr>
          <w:color w:val="211F1F"/>
          <w:spacing w:val="-3"/>
          <w:sz w:val="24"/>
        </w:rPr>
        <w:t xml:space="preserve"> </w:t>
      </w:r>
      <w:r>
        <w:rPr>
          <w:color w:val="211F1F"/>
          <w:sz w:val="24"/>
        </w:rPr>
        <w:t>loaded,</w:t>
      </w:r>
      <w:r>
        <w:rPr>
          <w:color w:val="211F1F"/>
          <w:spacing w:val="-9"/>
          <w:sz w:val="24"/>
        </w:rPr>
        <w:t xml:space="preserve"> </w:t>
      </w:r>
      <w:r>
        <w:rPr>
          <w:color w:val="211F1F"/>
          <w:sz w:val="24"/>
        </w:rPr>
        <w:t>the</w:t>
      </w:r>
      <w:r>
        <w:rPr>
          <w:color w:val="211F1F"/>
          <w:spacing w:val="-9"/>
          <w:sz w:val="24"/>
        </w:rPr>
        <w:t xml:space="preserve"> </w:t>
      </w:r>
      <w:r>
        <w:rPr>
          <w:color w:val="211F1F"/>
          <w:sz w:val="24"/>
        </w:rPr>
        <w:t>Procuring</w:t>
      </w:r>
      <w:r>
        <w:rPr>
          <w:color w:val="211F1F"/>
          <w:spacing w:val="-3"/>
          <w:sz w:val="24"/>
        </w:rPr>
        <w:t xml:space="preserve"> </w:t>
      </w:r>
      <w:r>
        <w:rPr>
          <w:color w:val="211F1F"/>
          <w:sz w:val="24"/>
        </w:rPr>
        <w:t>Entity</w:t>
      </w:r>
      <w:r>
        <w:rPr>
          <w:color w:val="211F1F"/>
          <w:spacing w:val="-11"/>
          <w:sz w:val="24"/>
        </w:rPr>
        <w:t xml:space="preserve"> </w:t>
      </w:r>
      <w:r>
        <w:rPr>
          <w:color w:val="211F1F"/>
          <w:sz w:val="24"/>
        </w:rPr>
        <w:t>may require the Tenderer to provide written clarifications. Clarifications may include detailed price analyses to demonstrate the consistency of the tender prices with the scope of works, proposed methodology, schedule and any other requirements of the Tender document.</w:t>
      </w:r>
    </w:p>
    <w:p w14:paraId="2607E410" w14:textId="77777777" w:rsidR="00BB77C0" w:rsidRDefault="00370BAA">
      <w:pPr>
        <w:pStyle w:val="ListParagraph"/>
        <w:numPr>
          <w:ilvl w:val="1"/>
          <w:numId w:val="75"/>
        </w:numPr>
        <w:tabs>
          <w:tab w:val="left" w:pos="1441"/>
        </w:tabs>
        <w:spacing w:before="157" w:line="266" w:lineRule="auto"/>
        <w:ind w:right="367"/>
        <w:rPr>
          <w:color w:val="211F1F"/>
          <w:sz w:val="24"/>
        </w:rPr>
      </w:pPr>
      <w:r>
        <w:rPr>
          <w:color w:val="211F1F"/>
          <w:sz w:val="24"/>
        </w:rPr>
        <w:t>After</w:t>
      </w:r>
      <w:r>
        <w:rPr>
          <w:color w:val="211F1F"/>
          <w:spacing w:val="-4"/>
          <w:sz w:val="24"/>
        </w:rPr>
        <w:t xml:space="preserve"> </w:t>
      </w:r>
      <w:r>
        <w:rPr>
          <w:color w:val="211F1F"/>
          <w:sz w:val="24"/>
        </w:rPr>
        <w:t>the</w:t>
      </w:r>
      <w:r>
        <w:rPr>
          <w:color w:val="211F1F"/>
          <w:spacing w:val="-2"/>
          <w:sz w:val="24"/>
        </w:rPr>
        <w:t xml:space="preserve"> </w:t>
      </w:r>
      <w:r>
        <w:rPr>
          <w:color w:val="211F1F"/>
          <w:sz w:val="24"/>
        </w:rPr>
        <w:t>evaluation</w:t>
      </w:r>
      <w:r>
        <w:rPr>
          <w:color w:val="211F1F"/>
          <w:spacing w:val="-9"/>
          <w:sz w:val="24"/>
        </w:rPr>
        <w:t xml:space="preserve"> </w:t>
      </w:r>
      <w:r>
        <w:rPr>
          <w:color w:val="211F1F"/>
          <w:sz w:val="24"/>
        </w:rPr>
        <w:t>of</w:t>
      </w:r>
      <w:r>
        <w:rPr>
          <w:color w:val="211F1F"/>
          <w:spacing w:val="-14"/>
          <w:sz w:val="24"/>
        </w:rPr>
        <w:t xml:space="preserve"> </w:t>
      </w:r>
      <w:r>
        <w:rPr>
          <w:color w:val="211F1F"/>
          <w:sz w:val="24"/>
        </w:rPr>
        <w:t>the</w:t>
      </w:r>
      <w:r>
        <w:rPr>
          <w:color w:val="211F1F"/>
          <w:spacing w:val="-2"/>
          <w:sz w:val="24"/>
        </w:rPr>
        <w:t xml:space="preserve"> </w:t>
      </w:r>
      <w:r>
        <w:rPr>
          <w:color w:val="211F1F"/>
          <w:sz w:val="24"/>
        </w:rPr>
        <w:t>information</w:t>
      </w:r>
      <w:r>
        <w:rPr>
          <w:color w:val="211F1F"/>
          <w:spacing w:val="-9"/>
          <w:sz w:val="24"/>
        </w:rPr>
        <w:t xml:space="preserve"> </w:t>
      </w:r>
      <w:r>
        <w:rPr>
          <w:color w:val="211F1F"/>
          <w:sz w:val="24"/>
        </w:rPr>
        <w:t>and</w:t>
      </w:r>
      <w:r>
        <w:rPr>
          <w:color w:val="211F1F"/>
          <w:spacing w:val="-5"/>
          <w:sz w:val="24"/>
        </w:rPr>
        <w:t xml:space="preserve"> </w:t>
      </w:r>
      <w:r>
        <w:rPr>
          <w:color w:val="211F1F"/>
          <w:sz w:val="24"/>
        </w:rPr>
        <w:t>detailed</w:t>
      </w:r>
      <w:r>
        <w:rPr>
          <w:color w:val="211F1F"/>
          <w:spacing w:val="-5"/>
          <w:sz w:val="24"/>
        </w:rPr>
        <w:t xml:space="preserve"> </w:t>
      </w:r>
      <w:r>
        <w:rPr>
          <w:color w:val="211F1F"/>
          <w:sz w:val="24"/>
        </w:rPr>
        <w:t>price</w:t>
      </w:r>
      <w:r>
        <w:rPr>
          <w:color w:val="211F1F"/>
          <w:spacing w:val="-6"/>
          <w:sz w:val="24"/>
        </w:rPr>
        <w:t xml:space="preserve"> </w:t>
      </w:r>
      <w:r>
        <w:rPr>
          <w:color w:val="211F1F"/>
          <w:sz w:val="24"/>
        </w:rPr>
        <w:t>analyses</w:t>
      </w:r>
      <w:r>
        <w:rPr>
          <w:color w:val="211F1F"/>
          <w:spacing w:val="-7"/>
          <w:sz w:val="24"/>
        </w:rPr>
        <w:t xml:space="preserve"> </w:t>
      </w:r>
      <w:r>
        <w:rPr>
          <w:color w:val="211F1F"/>
          <w:sz w:val="24"/>
        </w:rPr>
        <w:t>presented</w:t>
      </w:r>
      <w:r>
        <w:rPr>
          <w:color w:val="211F1F"/>
          <w:spacing w:val="-5"/>
          <w:sz w:val="24"/>
        </w:rPr>
        <w:t xml:space="preserve"> </w:t>
      </w:r>
      <w:r>
        <w:rPr>
          <w:color w:val="211F1F"/>
          <w:sz w:val="24"/>
        </w:rPr>
        <w:t>by</w:t>
      </w:r>
      <w:r>
        <w:rPr>
          <w:color w:val="211F1F"/>
          <w:spacing w:val="-11"/>
          <w:sz w:val="24"/>
        </w:rPr>
        <w:t xml:space="preserve"> </w:t>
      </w:r>
      <w:r>
        <w:rPr>
          <w:color w:val="211F1F"/>
          <w:sz w:val="24"/>
        </w:rPr>
        <w:t>the Tenderer, the Procuring Entity may as appropriate:</w:t>
      </w:r>
    </w:p>
    <w:p w14:paraId="17C5092A" w14:textId="77777777" w:rsidR="00BB77C0" w:rsidRDefault="00370BAA">
      <w:pPr>
        <w:pStyle w:val="ListParagraph"/>
        <w:numPr>
          <w:ilvl w:val="0"/>
          <w:numId w:val="74"/>
        </w:numPr>
        <w:tabs>
          <w:tab w:val="left" w:pos="2159"/>
        </w:tabs>
        <w:spacing w:before="146" w:line="275" w:lineRule="exact"/>
        <w:ind w:left="2159" w:hanging="306"/>
        <w:jc w:val="left"/>
        <w:rPr>
          <w:sz w:val="24"/>
        </w:rPr>
      </w:pPr>
      <w:r>
        <w:rPr>
          <w:color w:val="211F1F"/>
          <w:sz w:val="24"/>
        </w:rPr>
        <w:t>accept</w:t>
      </w:r>
      <w:r>
        <w:rPr>
          <w:color w:val="211F1F"/>
          <w:spacing w:val="-13"/>
          <w:sz w:val="24"/>
        </w:rPr>
        <w:t xml:space="preserve"> </w:t>
      </w:r>
      <w:r>
        <w:rPr>
          <w:color w:val="211F1F"/>
          <w:sz w:val="24"/>
        </w:rPr>
        <w:t>the</w:t>
      </w:r>
      <w:r>
        <w:rPr>
          <w:color w:val="211F1F"/>
          <w:spacing w:val="-11"/>
          <w:sz w:val="24"/>
        </w:rPr>
        <w:t xml:space="preserve"> </w:t>
      </w:r>
      <w:r>
        <w:rPr>
          <w:color w:val="211F1F"/>
          <w:sz w:val="24"/>
        </w:rPr>
        <w:t>Tender;</w:t>
      </w:r>
      <w:r>
        <w:rPr>
          <w:color w:val="211F1F"/>
          <w:spacing w:val="-16"/>
          <w:sz w:val="24"/>
        </w:rPr>
        <w:t xml:space="preserve"> </w:t>
      </w:r>
      <w:r>
        <w:rPr>
          <w:color w:val="211F1F"/>
          <w:spacing w:val="-5"/>
          <w:sz w:val="24"/>
        </w:rPr>
        <w:t>or</w:t>
      </w:r>
    </w:p>
    <w:p w14:paraId="7CFD5171" w14:textId="77777777" w:rsidR="00BB77C0" w:rsidRDefault="00370BAA">
      <w:pPr>
        <w:pStyle w:val="ListParagraph"/>
        <w:numPr>
          <w:ilvl w:val="0"/>
          <w:numId w:val="74"/>
        </w:numPr>
        <w:tabs>
          <w:tab w:val="left" w:pos="2161"/>
        </w:tabs>
        <w:ind w:right="201" w:hanging="375"/>
        <w:jc w:val="left"/>
        <w:rPr>
          <w:sz w:val="24"/>
        </w:rPr>
      </w:pPr>
      <w:r>
        <w:rPr>
          <w:color w:val="211F1F"/>
          <w:sz w:val="24"/>
        </w:rPr>
        <w:t>require that the total</w:t>
      </w:r>
      <w:r>
        <w:rPr>
          <w:color w:val="211F1F"/>
          <w:spacing w:val="-3"/>
          <w:sz w:val="24"/>
        </w:rPr>
        <w:t xml:space="preserve"> </w:t>
      </w:r>
      <w:r>
        <w:rPr>
          <w:color w:val="211F1F"/>
          <w:sz w:val="24"/>
        </w:rPr>
        <w:t>amount of</w:t>
      </w:r>
      <w:r>
        <w:rPr>
          <w:color w:val="211F1F"/>
          <w:spacing w:val="-2"/>
          <w:sz w:val="24"/>
        </w:rPr>
        <w:t xml:space="preserve"> </w:t>
      </w:r>
      <w:r>
        <w:rPr>
          <w:color w:val="211F1F"/>
          <w:sz w:val="24"/>
        </w:rPr>
        <w:t>the Performance Security</w:t>
      </w:r>
      <w:r>
        <w:rPr>
          <w:color w:val="211F1F"/>
          <w:spacing w:val="-4"/>
          <w:sz w:val="24"/>
        </w:rPr>
        <w:t xml:space="preserve"> </w:t>
      </w:r>
      <w:r>
        <w:rPr>
          <w:color w:val="211F1F"/>
          <w:sz w:val="24"/>
        </w:rPr>
        <w:t>be increased at the expense</w:t>
      </w:r>
      <w:r>
        <w:rPr>
          <w:color w:val="211F1F"/>
          <w:spacing w:val="-8"/>
          <w:sz w:val="24"/>
        </w:rPr>
        <w:t xml:space="preserve"> </w:t>
      </w:r>
      <w:r>
        <w:rPr>
          <w:color w:val="211F1F"/>
          <w:sz w:val="24"/>
        </w:rPr>
        <w:t>of</w:t>
      </w:r>
      <w:r>
        <w:rPr>
          <w:color w:val="211F1F"/>
          <w:spacing w:val="-13"/>
          <w:sz w:val="24"/>
        </w:rPr>
        <w:t xml:space="preserve"> </w:t>
      </w:r>
      <w:r>
        <w:rPr>
          <w:color w:val="211F1F"/>
          <w:sz w:val="24"/>
        </w:rPr>
        <w:t>the</w:t>
      </w:r>
      <w:r>
        <w:rPr>
          <w:color w:val="211F1F"/>
          <w:spacing w:val="-8"/>
          <w:sz w:val="24"/>
        </w:rPr>
        <w:t xml:space="preserve"> </w:t>
      </w:r>
      <w:r>
        <w:rPr>
          <w:color w:val="211F1F"/>
          <w:sz w:val="24"/>
        </w:rPr>
        <w:t>Tenderer</w:t>
      </w:r>
      <w:r>
        <w:rPr>
          <w:color w:val="211F1F"/>
          <w:spacing w:val="-4"/>
          <w:sz w:val="24"/>
        </w:rPr>
        <w:t xml:space="preserve"> </w:t>
      </w:r>
      <w:r>
        <w:rPr>
          <w:color w:val="211F1F"/>
          <w:sz w:val="24"/>
        </w:rPr>
        <w:t>to a</w:t>
      </w:r>
      <w:r>
        <w:rPr>
          <w:color w:val="211F1F"/>
          <w:spacing w:val="-8"/>
          <w:sz w:val="24"/>
        </w:rPr>
        <w:t xml:space="preserve"> </w:t>
      </w:r>
      <w:r>
        <w:rPr>
          <w:color w:val="211F1F"/>
          <w:sz w:val="24"/>
        </w:rPr>
        <w:t>level</w:t>
      </w:r>
      <w:r>
        <w:rPr>
          <w:color w:val="211F1F"/>
          <w:spacing w:val="-6"/>
          <w:sz w:val="24"/>
        </w:rPr>
        <w:t xml:space="preserve"> </w:t>
      </w:r>
      <w:r>
        <w:rPr>
          <w:color w:val="211F1F"/>
          <w:sz w:val="24"/>
        </w:rPr>
        <w:t>not</w:t>
      </w:r>
      <w:r>
        <w:rPr>
          <w:color w:val="211F1F"/>
          <w:spacing w:val="-1"/>
          <w:sz w:val="24"/>
        </w:rPr>
        <w:t xml:space="preserve"> </w:t>
      </w:r>
      <w:r>
        <w:rPr>
          <w:color w:val="211F1F"/>
          <w:sz w:val="24"/>
        </w:rPr>
        <w:t>exceeding</w:t>
      </w:r>
      <w:r>
        <w:rPr>
          <w:color w:val="211F1F"/>
          <w:spacing w:val="-1"/>
          <w:sz w:val="24"/>
        </w:rPr>
        <w:t xml:space="preserve"> </w:t>
      </w:r>
      <w:r>
        <w:rPr>
          <w:color w:val="211F1F"/>
          <w:sz w:val="24"/>
        </w:rPr>
        <w:t>a</w:t>
      </w:r>
      <w:r>
        <w:rPr>
          <w:color w:val="211F1F"/>
          <w:spacing w:val="-3"/>
          <w:sz w:val="24"/>
        </w:rPr>
        <w:t xml:space="preserve"> </w:t>
      </w:r>
      <w:r>
        <w:rPr>
          <w:color w:val="211F1F"/>
          <w:sz w:val="24"/>
        </w:rPr>
        <w:t>10%</w:t>
      </w:r>
      <w:r>
        <w:rPr>
          <w:color w:val="211F1F"/>
          <w:spacing w:val="-5"/>
          <w:sz w:val="24"/>
        </w:rPr>
        <w:t xml:space="preserve"> </w:t>
      </w:r>
      <w:r>
        <w:rPr>
          <w:color w:val="211F1F"/>
          <w:sz w:val="24"/>
        </w:rPr>
        <w:t>of</w:t>
      </w:r>
      <w:r>
        <w:rPr>
          <w:color w:val="211F1F"/>
          <w:spacing w:val="-14"/>
          <w:sz w:val="24"/>
        </w:rPr>
        <w:t xml:space="preserve"> </w:t>
      </w:r>
      <w:r>
        <w:rPr>
          <w:color w:val="211F1F"/>
          <w:sz w:val="24"/>
        </w:rPr>
        <w:t>the</w:t>
      </w:r>
      <w:r>
        <w:rPr>
          <w:color w:val="211F1F"/>
          <w:spacing w:val="-7"/>
          <w:sz w:val="24"/>
        </w:rPr>
        <w:t xml:space="preserve"> </w:t>
      </w:r>
      <w:r>
        <w:rPr>
          <w:color w:val="211F1F"/>
          <w:sz w:val="24"/>
        </w:rPr>
        <w:t>Contract</w:t>
      </w:r>
      <w:r>
        <w:rPr>
          <w:color w:val="211F1F"/>
          <w:spacing w:val="-1"/>
          <w:sz w:val="24"/>
        </w:rPr>
        <w:t xml:space="preserve"> </w:t>
      </w:r>
      <w:r>
        <w:rPr>
          <w:color w:val="211F1F"/>
          <w:sz w:val="24"/>
        </w:rPr>
        <w:t xml:space="preserve">Price; </w:t>
      </w:r>
      <w:r>
        <w:rPr>
          <w:color w:val="211F1F"/>
          <w:spacing w:val="-6"/>
          <w:sz w:val="24"/>
        </w:rPr>
        <w:t>or</w:t>
      </w:r>
    </w:p>
    <w:p w14:paraId="1D2A5D4E" w14:textId="77777777" w:rsidR="00BB77C0" w:rsidRDefault="00370BAA">
      <w:pPr>
        <w:pStyle w:val="ListParagraph"/>
        <w:numPr>
          <w:ilvl w:val="0"/>
          <w:numId w:val="74"/>
        </w:numPr>
        <w:tabs>
          <w:tab w:val="left" w:pos="2154"/>
          <w:tab w:val="left" w:pos="2161"/>
        </w:tabs>
        <w:spacing w:line="242" w:lineRule="auto"/>
        <w:ind w:right="470" w:hanging="442"/>
        <w:jc w:val="left"/>
        <w:rPr>
          <w:sz w:val="24"/>
        </w:rPr>
      </w:pPr>
      <w:r>
        <w:rPr>
          <w:color w:val="211F1F"/>
          <w:sz w:val="24"/>
        </w:rPr>
        <w:t>agree</w:t>
      </w:r>
      <w:r>
        <w:rPr>
          <w:color w:val="211F1F"/>
          <w:spacing w:val="-9"/>
          <w:sz w:val="24"/>
        </w:rPr>
        <w:t xml:space="preserve"> </w:t>
      </w:r>
      <w:r>
        <w:rPr>
          <w:color w:val="211F1F"/>
          <w:sz w:val="24"/>
        </w:rPr>
        <w:t>on</w:t>
      </w:r>
      <w:r>
        <w:rPr>
          <w:color w:val="211F1F"/>
          <w:spacing w:val="-8"/>
          <w:sz w:val="24"/>
        </w:rPr>
        <w:t xml:space="preserve"> </w:t>
      </w:r>
      <w:r>
        <w:rPr>
          <w:color w:val="211F1F"/>
          <w:sz w:val="24"/>
        </w:rPr>
        <w:t>a</w:t>
      </w:r>
      <w:r>
        <w:rPr>
          <w:color w:val="211F1F"/>
          <w:spacing w:val="-8"/>
          <w:sz w:val="24"/>
        </w:rPr>
        <w:t xml:space="preserve"> </w:t>
      </w:r>
      <w:r>
        <w:rPr>
          <w:color w:val="211F1F"/>
          <w:sz w:val="24"/>
        </w:rPr>
        <w:t>payment mode</w:t>
      </w:r>
      <w:r>
        <w:rPr>
          <w:color w:val="211F1F"/>
          <w:spacing w:val="-8"/>
          <w:sz w:val="24"/>
        </w:rPr>
        <w:t xml:space="preserve"> </w:t>
      </w:r>
      <w:r>
        <w:rPr>
          <w:color w:val="211F1F"/>
          <w:sz w:val="24"/>
        </w:rPr>
        <w:t>that</w:t>
      </w:r>
      <w:r>
        <w:rPr>
          <w:color w:val="211F1F"/>
          <w:spacing w:val="-2"/>
          <w:sz w:val="24"/>
        </w:rPr>
        <w:t xml:space="preserve"> </w:t>
      </w:r>
      <w:r>
        <w:rPr>
          <w:color w:val="211F1F"/>
          <w:sz w:val="24"/>
        </w:rPr>
        <w:t>eliminates</w:t>
      </w:r>
      <w:r>
        <w:rPr>
          <w:color w:val="211F1F"/>
          <w:spacing w:val="-9"/>
          <w:sz w:val="24"/>
        </w:rPr>
        <w:t xml:space="preserve"> </w:t>
      </w:r>
      <w:r>
        <w:rPr>
          <w:color w:val="211F1F"/>
          <w:sz w:val="24"/>
        </w:rPr>
        <w:t>the</w:t>
      </w:r>
      <w:r>
        <w:rPr>
          <w:color w:val="211F1F"/>
          <w:spacing w:val="-4"/>
          <w:sz w:val="24"/>
        </w:rPr>
        <w:t xml:space="preserve"> </w:t>
      </w:r>
      <w:r>
        <w:rPr>
          <w:color w:val="211F1F"/>
          <w:sz w:val="24"/>
        </w:rPr>
        <w:t>inherent risk</w:t>
      </w:r>
      <w:r>
        <w:rPr>
          <w:color w:val="211F1F"/>
          <w:spacing w:val="-3"/>
          <w:sz w:val="24"/>
        </w:rPr>
        <w:t xml:space="preserve"> </w:t>
      </w:r>
      <w:r>
        <w:rPr>
          <w:color w:val="211F1F"/>
          <w:sz w:val="24"/>
        </w:rPr>
        <w:t>of</w:t>
      </w:r>
      <w:r>
        <w:rPr>
          <w:color w:val="211F1F"/>
          <w:spacing w:val="-14"/>
          <w:sz w:val="24"/>
        </w:rPr>
        <w:t xml:space="preserve"> </w:t>
      </w:r>
      <w:r>
        <w:rPr>
          <w:color w:val="211F1F"/>
          <w:sz w:val="24"/>
        </w:rPr>
        <w:t>the</w:t>
      </w:r>
      <w:r>
        <w:rPr>
          <w:color w:val="211F1F"/>
          <w:spacing w:val="-9"/>
          <w:sz w:val="24"/>
        </w:rPr>
        <w:t xml:space="preserve"> </w:t>
      </w:r>
      <w:r>
        <w:rPr>
          <w:color w:val="211F1F"/>
          <w:sz w:val="24"/>
        </w:rPr>
        <w:t>Procuring Entity paying too much for undelivered works; or</w:t>
      </w:r>
    </w:p>
    <w:p w14:paraId="7D4A398C" w14:textId="77777777" w:rsidR="00BB77C0" w:rsidRDefault="00370BAA">
      <w:pPr>
        <w:pStyle w:val="ListParagraph"/>
        <w:numPr>
          <w:ilvl w:val="0"/>
          <w:numId w:val="74"/>
        </w:numPr>
        <w:tabs>
          <w:tab w:val="left" w:pos="2154"/>
        </w:tabs>
        <w:spacing w:line="271" w:lineRule="exact"/>
        <w:ind w:left="2154" w:hanging="411"/>
        <w:jc w:val="left"/>
        <w:rPr>
          <w:color w:val="211F1F"/>
          <w:sz w:val="24"/>
        </w:rPr>
      </w:pPr>
      <w:r>
        <w:rPr>
          <w:color w:val="211F1F"/>
          <w:sz w:val="24"/>
        </w:rPr>
        <w:t>reject</w:t>
      </w:r>
      <w:r>
        <w:rPr>
          <w:color w:val="211F1F"/>
          <w:spacing w:val="-2"/>
          <w:sz w:val="24"/>
        </w:rPr>
        <w:t xml:space="preserve"> </w:t>
      </w:r>
      <w:r>
        <w:rPr>
          <w:color w:val="211F1F"/>
          <w:sz w:val="24"/>
        </w:rPr>
        <w:t>the</w:t>
      </w:r>
      <w:r>
        <w:rPr>
          <w:color w:val="211F1F"/>
          <w:spacing w:val="-2"/>
          <w:sz w:val="24"/>
        </w:rPr>
        <w:t xml:space="preserve"> Tender,</w:t>
      </w:r>
    </w:p>
    <w:p w14:paraId="238EA340" w14:textId="77777777" w:rsidR="00BB77C0" w:rsidRDefault="00BB77C0">
      <w:pPr>
        <w:pStyle w:val="ListParagraph"/>
        <w:spacing w:line="271" w:lineRule="exact"/>
        <w:rPr>
          <w:sz w:val="24"/>
        </w:rPr>
        <w:sectPr w:rsidR="00BB77C0">
          <w:pgSz w:w="11930" w:h="16870"/>
          <w:pgMar w:top="1340" w:right="1080" w:bottom="280" w:left="1080" w:header="720" w:footer="720" w:gutter="0"/>
          <w:cols w:space="720"/>
        </w:sectPr>
      </w:pPr>
    </w:p>
    <w:p w14:paraId="32199D9A" w14:textId="77777777" w:rsidR="00BB77C0" w:rsidRDefault="00370BAA">
      <w:pPr>
        <w:pStyle w:val="Heading6"/>
        <w:numPr>
          <w:ilvl w:val="0"/>
          <w:numId w:val="75"/>
        </w:numPr>
        <w:tabs>
          <w:tab w:val="left" w:pos="720"/>
        </w:tabs>
        <w:spacing w:before="65"/>
        <w:ind w:hanging="720"/>
      </w:pPr>
      <w:bookmarkStart w:id="94" w:name="42.0_Qualifications_of_the_Tenderer"/>
      <w:bookmarkStart w:id="95" w:name="_bookmark46"/>
      <w:bookmarkEnd w:id="94"/>
      <w:bookmarkEnd w:id="95"/>
      <w:r>
        <w:lastRenderedPageBreak/>
        <w:t>Qualifications</w:t>
      </w:r>
      <w:r>
        <w:rPr>
          <w:spacing w:val="-6"/>
        </w:rPr>
        <w:t xml:space="preserve"> </w:t>
      </w:r>
      <w:r>
        <w:t>of</w:t>
      </w:r>
      <w:r>
        <w:rPr>
          <w:spacing w:val="-8"/>
        </w:rPr>
        <w:t xml:space="preserve"> </w:t>
      </w:r>
      <w:r>
        <w:t>the</w:t>
      </w:r>
      <w:r>
        <w:rPr>
          <w:spacing w:val="-4"/>
        </w:rPr>
        <w:t xml:space="preserve"> </w:t>
      </w:r>
      <w:r>
        <w:rPr>
          <w:spacing w:val="-2"/>
        </w:rPr>
        <w:t>Tenderer</w:t>
      </w:r>
    </w:p>
    <w:p w14:paraId="1BBFDE23" w14:textId="77777777" w:rsidR="00BB77C0" w:rsidRDefault="00370BAA">
      <w:pPr>
        <w:pStyle w:val="ListParagraph"/>
        <w:numPr>
          <w:ilvl w:val="1"/>
          <w:numId w:val="75"/>
        </w:numPr>
        <w:tabs>
          <w:tab w:val="left" w:pos="1441"/>
        </w:tabs>
        <w:spacing w:before="74" w:line="259" w:lineRule="auto"/>
        <w:ind w:right="227"/>
        <w:rPr>
          <w:color w:val="211F1F"/>
          <w:sz w:val="24"/>
        </w:rPr>
      </w:pPr>
      <w:r>
        <w:rPr>
          <w:color w:val="211F1F"/>
          <w:sz w:val="24"/>
        </w:rPr>
        <w:t>The</w:t>
      </w:r>
      <w:r>
        <w:rPr>
          <w:color w:val="211F1F"/>
          <w:spacing w:val="-8"/>
          <w:sz w:val="24"/>
        </w:rPr>
        <w:t xml:space="preserve"> </w:t>
      </w:r>
      <w:r>
        <w:rPr>
          <w:color w:val="211F1F"/>
          <w:sz w:val="24"/>
        </w:rPr>
        <w:t>Procuring</w:t>
      </w:r>
      <w:r>
        <w:rPr>
          <w:color w:val="211F1F"/>
          <w:spacing w:val="-5"/>
          <w:sz w:val="24"/>
        </w:rPr>
        <w:t xml:space="preserve"> </w:t>
      </w:r>
      <w:r>
        <w:rPr>
          <w:color w:val="211F1F"/>
          <w:sz w:val="24"/>
        </w:rPr>
        <w:t>Entity</w:t>
      </w:r>
      <w:r>
        <w:rPr>
          <w:color w:val="211F1F"/>
          <w:spacing w:val="-15"/>
          <w:sz w:val="24"/>
        </w:rPr>
        <w:t xml:space="preserve"> </w:t>
      </w:r>
      <w:r>
        <w:rPr>
          <w:color w:val="211F1F"/>
          <w:sz w:val="24"/>
        </w:rPr>
        <w:t>shall</w:t>
      </w:r>
      <w:r>
        <w:rPr>
          <w:color w:val="211F1F"/>
          <w:spacing w:val="-10"/>
          <w:sz w:val="24"/>
        </w:rPr>
        <w:t xml:space="preserve"> </w:t>
      </w:r>
      <w:r>
        <w:rPr>
          <w:color w:val="211F1F"/>
          <w:sz w:val="24"/>
        </w:rPr>
        <w:t>determine</w:t>
      </w:r>
      <w:r>
        <w:rPr>
          <w:color w:val="211F1F"/>
          <w:spacing w:val="-7"/>
          <w:sz w:val="24"/>
        </w:rPr>
        <w:t xml:space="preserve"> </w:t>
      </w:r>
      <w:r>
        <w:rPr>
          <w:color w:val="211F1F"/>
          <w:sz w:val="24"/>
        </w:rPr>
        <w:t>to</w:t>
      </w:r>
      <w:r>
        <w:rPr>
          <w:color w:val="211F1F"/>
          <w:spacing w:val="-3"/>
          <w:sz w:val="24"/>
        </w:rPr>
        <w:t xml:space="preserve"> </w:t>
      </w:r>
      <w:r>
        <w:rPr>
          <w:color w:val="211F1F"/>
          <w:sz w:val="24"/>
        </w:rPr>
        <w:t>its</w:t>
      </w:r>
      <w:r>
        <w:rPr>
          <w:color w:val="211F1F"/>
          <w:spacing w:val="-8"/>
          <w:sz w:val="24"/>
        </w:rPr>
        <w:t xml:space="preserve"> </w:t>
      </w:r>
      <w:r>
        <w:rPr>
          <w:color w:val="211F1F"/>
          <w:sz w:val="24"/>
        </w:rPr>
        <w:t>satisfaction</w:t>
      </w:r>
      <w:r>
        <w:rPr>
          <w:color w:val="211F1F"/>
          <w:spacing w:val="-10"/>
          <w:sz w:val="24"/>
        </w:rPr>
        <w:t xml:space="preserve"> </w:t>
      </w:r>
      <w:r>
        <w:rPr>
          <w:color w:val="211F1F"/>
          <w:sz w:val="24"/>
        </w:rPr>
        <w:t>whether</w:t>
      </w:r>
      <w:r>
        <w:rPr>
          <w:color w:val="211F1F"/>
          <w:spacing w:val="-4"/>
          <w:sz w:val="24"/>
        </w:rPr>
        <w:t xml:space="preserve"> </w:t>
      </w:r>
      <w:r>
        <w:rPr>
          <w:color w:val="211F1F"/>
          <w:sz w:val="24"/>
        </w:rPr>
        <w:t>the</w:t>
      </w:r>
      <w:r>
        <w:rPr>
          <w:color w:val="211F1F"/>
          <w:spacing w:val="-4"/>
          <w:sz w:val="24"/>
        </w:rPr>
        <w:t xml:space="preserve"> </w:t>
      </w:r>
      <w:r>
        <w:rPr>
          <w:color w:val="211F1F"/>
          <w:sz w:val="24"/>
        </w:rPr>
        <w:t>eligible</w:t>
      </w:r>
      <w:r>
        <w:rPr>
          <w:color w:val="211F1F"/>
          <w:spacing w:val="-6"/>
          <w:sz w:val="24"/>
        </w:rPr>
        <w:t xml:space="preserve"> </w:t>
      </w:r>
      <w:r>
        <w:rPr>
          <w:color w:val="211F1F"/>
          <w:sz w:val="24"/>
        </w:rPr>
        <w:t>Tenderer that is selected as having submitted the lowest evaluated cost and substantially responsive Tender, meets the qualifying criteria specified in Section III, Evaluation and Qualification Criteria.</w:t>
      </w:r>
    </w:p>
    <w:p w14:paraId="2AB9993E" w14:textId="77777777" w:rsidR="00BB77C0" w:rsidRDefault="00370BAA">
      <w:pPr>
        <w:pStyle w:val="ListParagraph"/>
        <w:numPr>
          <w:ilvl w:val="1"/>
          <w:numId w:val="75"/>
        </w:numPr>
        <w:tabs>
          <w:tab w:val="left" w:pos="1441"/>
        </w:tabs>
        <w:spacing w:before="157" w:line="259" w:lineRule="auto"/>
        <w:ind w:right="68"/>
        <w:rPr>
          <w:color w:val="211F1F"/>
          <w:sz w:val="24"/>
        </w:rPr>
      </w:pPr>
      <w:r>
        <w:rPr>
          <w:color w:val="211F1F"/>
          <w:sz w:val="24"/>
        </w:rPr>
        <w:t>The determination shall be based upon an examination of the documentary evidence of the Tenderer's qualifications submitted by the Tenderer, pursuant to ITT 17. The determination</w:t>
      </w:r>
      <w:r>
        <w:rPr>
          <w:color w:val="211F1F"/>
          <w:spacing w:val="-10"/>
          <w:sz w:val="24"/>
        </w:rPr>
        <w:t xml:space="preserve"> </w:t>
      </w:r>
      <w:r>
        <w:rPr>
          <w:color w:val="211F1F"/>
          <w:sz w:val="24"/>
        </w:rPr>
        <w:t>shall</w:t>
      </w:r>
      <w:r>
        <w:rPr>
          <w:color w:val="211F1F"/>
          <w:spacing w:val="-10"/>
          <w:sz w:val="24"/>
        </w:rPr>
        <w:t xml:space="preserve"> </w:t>
      </w:r>
      <w:r>
        <w:rPr>
          <w:color w:val="211F1F"/>
          <w:sz w:val="24"/>
        </w:rPr>
        <w:t>not</w:t>
      </w:r>
      <w:r>
        <w:rPr>
          <w:color w:val="211F1F"/>
          <w:spacing w:val="-11"/>
          <w:sz w:val="24"/>
        </w:rPr>
        <w:t xml:space="preserve"> </w:t>
      </w:r>
      <w:r>
        <w:rPr>
          <w:color w:val="211F1F"/>
          <w:sz w:val="24"/>
        </w:rPr>
        <w:t>take</w:t>
      </w:r>
      <w:r>
        <w:rPr>
          <w:color w:val="211F1F"/>
          <w:spacing w:val="-7"/>
          <w:sz w:val="24"/>
        </w:rPr>
        <w:t xml:space="preserve"> </w:t>
      </w:r>
      <w:r>
        <w:rPr>
          <w:color w:val="211F1F"/>
          <w:sz w:val="24"/>
        </w:rPr>
        <w:t>into</w:t>
      </w:r>
      <w:r>
        <w:rPr>
          <w:color w:val="211F1F"/>
          <w:spacing w:val="-6"/>
          <w:sz w:val="24"/>
        </w:rPr>
        <w:t xml:space="preserve"> </w:t>
      </w:r>
      <w:r>
        <w:rPr>
          <w:color w:val="211F1F"/>
          <w:sz w:val="24"/>
        </w:rPr>
        <w:t>consideration</w:t>
      </w:r>
      <w:r>
        <w:rPr>
          <w:color w:val="211F1F"/>
          <w:spacing w:val="-10"/>
          <w:sz w:val="24"/>
        </w:rPr>
        <w:t xml:space="preserve"> </w:t>
      </w:r>
      <w:r>
        <w:rPr>
          <w:color w:val="211F1F"/>
          <w:sz w:val="24"/>
        </w:rPr>
        <w:t>the</w:t>
      </w:r>
      <w:r>
        <w:rPr>
          <w:color w:val="211F1F"/>
          <w:spacing w:val="-3"/>
          <w:sz w:val="24"/>
        </w:rPr>
        <w:t xml:space="preserve"> </w:t>
      </w:r>
      <w:r>
        <w:rPr>
          <w:color w:val="211F1F"/>
          <w:sz w:val="24"/>
        </w:rPr>
        <w:t>qualifications</w:t>
      </w:r>
      <w:r>
        <w:rPr>
          <w:color w:val="211F1F"/>
          <w:spacing w:val="-7"/>
          <w:sz w:val="24"/>
        </w:rPr>
        <w:t xml:space="preserve"> </w:t>
      </w:r>
      <w:r>
        <w:rPr>
          <w:color w:val="211F1F"/>
          <w:sz w:val="24"/>
        </w:rPr>
        <w:t>of</w:t>
      </w:r>
      <w:r>
        <w:rPr>
          <w:color w:val="211F1F"/>
          <w:spacing w:val="-15"/>
          <w:sz w:val="24"/>
        </w:rPr>
        <w:t xml:space="preserve"> </w:t>
      </w:r>
      <w:r>
        <w:rPr>
          <w:color w:val="211F1F"/>
          <w:sz w:val="24"/>
        </w:rPr>
        <w:t>other</w:t>
      </w:r>
      <w:r>
        <w:rPr>
          <w:color w:val="211F1F"/>
          <w:spacing w:val="-4"/>
          <w:sz w:val="24"/>
        </w:rPr>
        <w:t xml:space="preserve"> </w:t>
      </w:r>
      <w:r>
        <w:rPr>
          <w:color w:val="211F1F"/>
          <w:sz w:val="24"/>
        </w:rPr>
        <w:t>firms</w:t>
      </w:r>
      <w:r>
        <w:rPr>
          <w:color w:val="211F1F"/>
          <w:spacing w:val="-9"/>
          <w:sz w:val="24"/>
        </w:rPr>
        <w:t xml:space="preserve"> </w:t>
      </w:r>
      <w:r>
        <w:rPr>
          <w:color w:val="211F1F"/>
          <w:sz w:val="24"/>
        </w:rPr>
        <w:t>such</w:t>
      </w:r>
      <w:r>
        <w:rPr>
          <w:color w:val="211F1F"/>
          <w:spacing w:val="-11"/>
          <w:sz w:val="24"/>
        </w:rPr>
        <w:t xml:space="preserve"> </w:t>
      </w:r>
      <w:r>
        <w:rPr>
          <w:color w:val="211F1F"/>
          <w:sz w:val="24"/>
        </w:rPr>
        <w:t>as the Tenderer's subsidiaries, parent entities, affiliates, subcontractors (other than Specialized Subcontractors</w:t>
      </w:r>
      <w:r>
        <w:rPr>
          <w:color w:val="211F1F"/>
          <w:spacing w:val="-1"/>
          <w:sz w:val="24"/>
        </w:rPr>
        <w:t xml:space="preserve"> </w:t>
      </w:r>
      <w:r>
        <w:rPr>
          <w:color w:val="211F1F"/>
          <w:sz w:val="24"/>
        </w:rPr>
        <w:t>if</w:t>
      </w:r>
      <w:r>
        <w:rPr>
          <w:color w:val="211F1F"/>
          <w:spacing w:val="-7"/>
          <w:sz w:val="24"/>
        </w:rPr>
        <w:t xml:space="preserve"> </w:t>
      </w:r>
      <w:r>
        <w:rPr>
          <w:color w:val="211F1F"/>
          <w:sz w:val="24"/>
        </w:rPr>
        <w:t>permitted in</w:t>
      </w:r>
      <w:r>
        <w:rPr>
          <w:color w:val="211F1F"/>
          <w:spacing w:val="-4"/>
          <w:sz w:val="24"/>
        </w:rPr>
        <w:t xml:space="preserve"> </w:t>
      </w:r>
      <w:r>
        <w:rPr>
          <w:color w:val="211F1F"/>
          <w:sz w:val="24"/>
        </w:rPr>
        <w:t>the Tender document),</w:t>
      </w:r>
      <w:r>
        <w:rPr>
          <w:color w:val="211F1F"/>
          <w:spacing w:val="-2"/>
          <w:sz w:val="24"/>
        </w:rPr>
        <w:t xml:space="preserve"> </w:t>
      </w:r>
      <w:r>
        <w:rPr>
          <w:color w:val="211F1F"/>
          <w:sz w:val="24"/>
        </w:rPr>
        <w:t>or any</w:t>
      </w:r>
      <w:r>
        <w:rPr>
          <w:color w:val="211F1F"/>
          <w:spacing w:val="-9"/>
          <w:sz w:val="24"/>
        </w:rPr>
        <w:t xml:space="preserve"> </w:t>
      </w:r>
      <w:r>
        <w:rPr>
          <w:color w:val="211F1F"/>
          <w:sz w:val="24"/>
        </w:rPr>
        <w:t>other firm(s) different from the Tenderer.</w:t>
      </w:r>
    </w:p>
    <w:p w14:paraId="2D389FAA" w14:textId="77777777" w:rsidR="00BB77C0" w:rsidRDefault="00370BAA">
      <w:pPr>
        <w:pStyle w:val="ListParagraph"/>
        <w:numPr>
          <w:ilvl w:val="1"/>
          <w:numId w:val="75"/>
        </w:numPr>
        <w:tabs>
          <w:tab w:val="left" w:pos="1441"/>
        </w:tabs>
        <w:spacing w:before="161" w:line="259" w:lineRule="auto"/>
        <w:ind w:right="111"/>
        <w:rPr>
          <w:color w:val="211F1F"/>
          <w:sz w:val="24"/>
        </w:rPr>
      </w:pPr>
      <w:r>
        <w:rPr>
          <w:color w:val="211F1F"/>
          <w:sz w:val="24"/>
        </w:rPr>
        <w:t>An affirmative determination shall be a prerequisite for award of the Contract to the Tenderer. A negative determination shall result in disqualification of the Tender, in which event the Procuring Entity shall proceed to the Tenderer who offers a substantially</w:t>
      </w:r>
      <w:r>
        <w:rPr>
          <w:color w:val="211F1F"/>
          <w:spacing w:val="-15"/>
          <w:sz w:val="24"/>
        </w:rPr>
        <w:t xml:space="preserve"> </w:t>
      </w:r>
      <w:r>
        <w:rPr>
          <w:color w:val="211F1F"/>
          <w:sz w:val="24"/>
        </w:rPr>
        <w:t>responsive</w:t>
      </w:r>
      <w:r>
        <w:rPr>
          <w:color w:val="211F1F"/>
          <w:spacing w:val="-9"/>
          <w:sz w:val="24"/>
        </w:rPr>
        <w:t xml:space="preserve"> </w:t>
      </w:r>
      <w:r>
        <w:rPr>
          <w:color w:val="211F1F"/>
          <w:sz w:val="24"/>
        </w:rPr>
        <w:t>Tender</w:t>
      </w:r>
      <w:r>
        <w:rPr>
          <w:color w:val="211F1F"/>
          <w:spacing w:val="-11"/>
          <w:sz w:val="24"/>
        </w:rPr>
        <w:t xml:space="preserve"> </w:t>
      </w:r>
      <w:r>
        <w:rPr>
          <w:color w:val="211F1F"/>
          <w:sz w:val="24"/>
        </w:rPr>
        <w:t>with</w:t>
      </w:r>
      <w:r>
        <w:rPr>
          <w:color w:val="211F1F"/>
          <w:spacing w:val="-13"/>
          <w:sz w:val="24"/>
        </w:rPr>
        <w:t xml:space="preserve"> </w:t>
      </w:r>
      <w:r>
        <w:rPr>
          <w:color w:val="211F1F"/>
          <w:sz w:val="24"/>
        </w:rPr>
        <w:t>the</w:t>
      </w:r>
      <w:r>
        <w:rPr>
          <w:color w:val="211F1F"/>
          <w:spacing w:val="-10"/>
          <w:sz w:val="24"/>
        </w:rPr>
        <w:t xml:space="preserve"> </w:t>
      </w:r>
      <w:r>
        <w:rPr>
          <w:color w:val="211F1F"/>
          <w:sz w:val="24"/>
        </w:rPr>
        <w:t>next lowest</w:t>
      </w:r>
      <w:r>
        <w:rPr>
          <w:color w:val="211F1F"/>
          <w:spacing w:val="-4"/>
          <w:sz w:val="24"/>
        </w:rPr>
        <w:t xml:space="preserve"> </w:t>
      </w:r>
      <w:r>
        <w:rPr>
          <w:color w:val="211F1F"/>
          <w:sz w:val="24"/>
        </w:rPr>
        <w:t>evaluated</w:t>
      </w:r>
      <w:r>
        <w:rPr>
          <w:color w:val="211F1F"/>
          <w:spacing w:val="-8"/>
          <w:sz w:val="24"/>
        </w:rPr>
        <w:t xml:space="preserve"> </w:t>
      </w:r>
      <w:r>
        <w:rPr>
          <w:color w:val="211F1F"/>
          <w:sz w:val="24"/>
        </w:rPr>
        <w:t>price</w:t>
      </w:r>
      <w:r>
        <w:rPr>
          <w:color w:val="211F1F"/>
          <w:spacing w:val="-9"/>
          <w:sz w:val="24"/>
        </w:rPr>
        <w:t xml:space="preserve"> </w:t>
      </w:r>
      <w:r>
        <w:rPr>
          <w:color w:val="211F1F"/>
          <w:sz w:val="24"/>
        </w:rPr>
        <w:t>to</w:t>
      </w:r>
      <w:r>
        <w:rPr>
          <w:color w:val="211F1F"/>
          <w:spacing w:val="-5"/>
          <w:sz w:val="24"/>
        </w:rPr>
        <w:t xml:space="preserve"> </w:t>
      </w:r>
      <w:r>
        <w:rPr>
          <w:color w:val="211F1F"/>
          <w:sz w:val="24"/>
        </w:rPr>
        <w:t>make</w:t>
      </w:r>
      <w:r>
        <w:rPr>
          <w:color w:val="211F1F"/>
          <w:spacing w:val="-10"/>
          <w:sz w:val="24"/>
        </w:rPr>
        <w:t xml:space="preserve"> </w:t>
      </w:r>
      <w:r>
        <w:rPr>
          <w:color w:val="211F1F"/>
          <w:sz w:val="24"/>
        </w:rPr>
        <w:t>a</w:t>
      </w:r>
      <w:r>
        <w:rPr>
          <w:color w:val="211F1F"/>
          <w:spacing w:val="-10"/>
          <w:sz w:val="24"/>
        </w:rPr>
        <w:t xml:space="preserve"> </w:t>
      </w:r>
      <w:r>
        <w:rPr>
          <w:color w:val="211F1F"/>
          <w:sz w:val="24"/>
        </w:rPr>
        <w:t>similar determination of that Tenderer's qualifications to perform satisfactorily.</w:t>
      </w:r>
    </w:p>
    <w:p w14:paraId="705202D0" w14:textId="77777777" w:rsidR="00BB77C0" w:rsidRDefault="00370BAA">
      <w:pPr>
        <w:pStyle w:val="Heading6"/>
        <w:numPr>
          <w:ilvl w:val="0"/>
          <w:numId w:val="75"/>
        </w:numPr>
        <w:tabs>
          <w:tab w:val="left" w:pos="720"/>
        </w:tabs>
        <w:spacing w:before="243"/>
        <w:ind w:hanging="720"/>
        <w:jc w:val="both"/>
      </w:pPr>
      <w:bookmarkStart w:id="96" w:name="43.0_Best_Evaluated_Tender"/>
      <w:bookmarkStart w:id="97" w:name="_bookmark47"/>
      <w:bookmarkEnd w:id="96"/>
      <w:bookmarkEnd w:id="97"/>
      <w:r>
        <w:t>Best</w:t>
      </w:r>
      <w:r>
        <w:rPr>
          <w:spacing w:val="-6"/>
        </w:rPr>
        <w:t xml:space="preserve"> </w:t>
      </w:r>
      <w:r>
        <w:t xml:space="preserve">Evaluated </w:t>
      </w:r>
      <w:r>
        <w:rPr>
          <w:spacing w:val="-2"/>
        </w:rPr>
        <w:t>Tender</w:t>
      </w:r>
    </w:p>
    <w:p w14:paraId="1542DF66" w14:textId="77777777" w:rsidR="00BB77C0" w:rsidRDefault="00370BAA">
      <w:pPr>
        <w:spacing w:before="75" w:line="261" w:lineRule="auto"/>
        <w:ind w:left="720" w:right="276"/>
        <w:jc w:val="both"/>
        <w:rPr>
          <w:sz w:val="24"/>
        </w:rPr>
      </w:pPr>
      <w:r>
        <w:rPr>
          <w:color w:val="211F1F"/>
          <w:sz w:val="24"/>
        </w:rPr>
        <w:t>Having compared the evaluated prices</w:t>
      </w:r>
      <w:r>
        <w:rPr>
          <w:color w:val="211F1F"/>
          <w:spacing w:val="-1"/>
          <w:sz w:val="24"/>
        </w:rPr>
        <w:t xml:space="preserve"> </w:t>
      </w:r>
      <w:r>
        <w:rPr>
          <w:color w:val="211F1F"/>
          <w:sz w:val="24"/>
        </w:rPr>
        <w:t>of</w:t>
      </w:r>
      <w:r>
        <w:rPr>
          <w:color w:val="211F1F"/>
          <w:spacing w:val="-2"/>
          <w:sz w:val="24"/>
        </w:rPr>
        <w:t xml:space="preserve"> </w:t>
      </w:r>
      <w:r>
        <w:rPr>
          <w:color w:val="211F1F"/>
          <w:sz w:val="24"/>
        </w:rPr>
        <w:t>Tenders, the Procuring Entity</w:t>
      </w:r>
      <w:r>
        <w:rPr>
          <w:color w:val="211F1F"/>
          <w:spacing w:val="-7"/>
          <w:sz w:val="24"/>
        </w:rPr>
        <w:t xml:space="preserve"> </w:t>
      </w:r>
      <w:r>
        <w:rPr>
          <w:color w:val="211F1F"/>
          <w:sz w:val="24"/>
        </w:rPr>
        <w:t>shall</w:t>
      </w:r>
      <w:r>
        <w:rPr>
          <w:color w:val="211F1F"/>
          <w:spacing w:val="-6"/>
          <w:sz w:val="24"/>
        </w:rPr>
        <w:t xml:space="preserve"> </w:t>
      </w:r>
      <w:r>
        <w:rPr>
          <w:color w:val="211F1F"/>
          <w:sz w:val="24"/>
        </w:rPr>
        <w:t>determine the Lowest</w:t>
      </w:r>
      <w:r>
        <w:rPr>
          <w:color w:val="211F1F"/>
          <w:spacing w:val="-1"/>
          <w:sz w:val="24"/>
        </w:rPr>
        <w:t xml:space="preserve"> </w:t>
      </w:r>
      <w:r>
        <w:rPr>
          <w:color w:val="211F1F"/>
          <w:sz w:val="24"/>
        </w:rPr>
        <w:t>Evaluated</w:t>
      </w:r>
      <w:r>
        <w:rPr>
          <w:color w:val="211F1F"/>
          <w:spacing w:val="-1"/>
          <w:sz w:val="24"/>
        </w:rPr>
        <w:t xml:space="preserve"> </w:t>
      </w:r>
      <w:r>
        <w:rPr>
          <w:color w:val="211F1F"/>
          <w:sz w:val="24"/>
        </w:rPr>
        <w:t>Tender. The</w:t>
      </w:r>
      <w:r>
        <w:rPr>
          <w:color w:val="211F1F"/>
          <w:spacing w:val="-3"/>
          <w:sz w:val="24"/>
        </w:rPr>
        <w:t xml:space="preserve"> </w:t>
      </w:r>
      <w:r>
        <w:rPr>
          <w:color w:val="211F1F"/>
          <w:sz w:val="24"/>
        </w:rPr>
        <w:t>Lowest</w:t>
      </w:r>
      <w:r>
        <w:rPr>
          <w:color w:val="211F1F"/>
          <w:spacing w:val="-1"/>
          <w:sz w:val="24"/>
        </w:rPr>
        <w:t xml:space="preserve"> </w:t>
      </w:r>
      <w:r>
        <w:rPr>
          <w:color w:val="211F1F"/>
          <w:sz w:val="24"/>
        </w:rPr>
        <w:t>Evaluated</w:t>
      </w:r>
      <w:r>
        <w:rPr>
          <w:color w:val="211F1F"/>
          <w:spacing w:val="-1"/>
          <w:sz w:val="24"/>
        </w:rPr>
        <w:t xml:space="preserve"> </w:t>
      </w:r>
      <w:r>
        <w:rPr>
          <w:color w:val="211F1F"/>
          <w:sz w:val="24"/>
        </w:rPr>
        <w:t>Tender is</w:t>
      </w:r>
      <w:r>
        <w:rPr>
          <w:color w:val="211F1F"/>
          <w:spacing w:val="-4"/>
          <w:sz w:val="24"/>
        </w:rPr>
        <w:t xml:space="preserve"> </w:t>
      </w:r>
      <w:r>
        <w:rPr>
          <w:color w:val="211F1F"/>
          <w:sz w:val="24"/>
        </w:rPr>
        <w:t>the</w:t>
      </w:r>
      <w:r>
        <w:rPr>
          <w:color w:val="211F1F"/>
          <w:spacing w:val="-2"/>
          <w:sz w:val="24"/>
        </w:rPr>
        <w:t xml:space="preserve"> </w:t>
      </w:r>
      <w:r>
        <w:rPr>
          <w:color w:val="211F1F"/>
          <w:sz w:val="24"/>
        </w:rPr>
        <w:t>Tender of</w:t>
      </w:r>
      <w:r>
        <w:rPr>
          <w:color w:val="211F1F"/>
          <w:spacing w:val="-10"/>
          <w:sz w:val="24"/>
        </w:rPr>
        <w:t xml:space="preserve"> </w:t>
      </w:r>
      <w:r>
        <w:rPr>
          <w:color w:val="211F1F"/>
          <w:sz w:val="24"/>
        </w:rPr>
        <w:t>the</w:t>
      </w:r>
      <w:r>
        <w:rPr>
          <w:color w:val="211F1F"/>
          <w:spacing w:val="-2"/>
          <w:sz w:val="24"/>
        </w:rPr>
        <w:t xml:space="preserve"> </w:t>
      </w:r>
      <w:r>
        <w:rPr>
          <w:color w:val="211F1F"/>
          <w:sz w:val="24"/>
        </w:rPr>
        <w:t>Tenderer</w:t>
      </w:r>
      <w:r>
        <w:rPr>
          <w:color w:val="211F1F"/>
          <w:spacing w:val="-5"/>
          <w:sz w:val="24"/>
        </w:rPr>
        <w:t xml:space="preserve"> </w:t>
      </w:r>
      <w:r>
        <w:rPr>
          <w:color w:val="211F1F"/>
          <w:sz w:val="24"/>
        </w:rPr>
        <w:t>that meets the Qualification Criteria and whose Tender has been determined to be:</w:t>
      </w:r>
    </w:p>
    <w:p w14:paraId="41810D05" w14:textId="77777777" w:rsidR="00BB77C0" w:rsidRDefault="00370BAA">
      <w:pPr>
        <w:pStyle w:val="ListParagraph"/>
        <w:numPr>
          <w:ilvl w:val="0"/>
          <w:numId w:val="73"/>
        </w:numPr>
        <w:tabs>
          <w:tab w:val="left" w:pos="1440"/>
        </w:tabs>
        <w:spacing w:before="154" w:line="275" w:lineRule="exact"/>
        <w:ind w:left="1440" w:hanging="359"/>
        <w:rPr>
          <w:sz w:val="24"/>
        </w:rPr>
      </w:pPr>
      <w:r>
        <w:rPr>
          <w:color w:val="211F1F"/>
          <w:sz w:val="24"/>
        </w:rPr>
        <w:t>Most</w:t>
      </w:r>
      <w:r>
        <w:rPr>
          <w:color w:val="211F1F"/>
          <w:spacing w:val="-13"/>
          <w:sz w:val="24"/>
        </w:rPr>
        <w:t xml:space="preserve"> </w:t>
      </w:r>
      <w:r>
        <w:rPr>
          <w:color w:val="211F1F"/>
          <w:sz w:val="24"/>
        </w:rPr>
        <w:t>responsive</w:t>
      </w:r>
      <w:r>
        <w:rPr>
          <w:color w:val="211F1F"/>
          <w:spacing w:val="-6"/>
          <w:sz w:val="24"/>
        </w:rPr>
        <w:t xml:space="preserve"> </w:t>
      </w:r>
      <w:r>
        <w:rPr>
          <w:color w:val="211F1F"/>
          <w:sz w:val="24"/>
        </w:rPr>
        <w:t>to</w:t>
      </w:r>
      <w:r>
        <w:rPr>
          <w:color w:val="211F1F"/>
          <w:spacing w:val="-5"/>
          <w:sz w:val="24"/>
        </w:rPr>
        <w:t xml:space="preserve"> </w:t>
      </w:r>
      <w:r>
        <w:rPr>
          <w:color w:val="211F1F"/>
          <w:sz w:val="24"/>
        </w:rPr>
        <w:t>the</w:t>
      </w:r>
      <w:r>
        <w:rPr>
          <w:color w:val="211F1F"/>
          <w:spacing w:val="-11"/>
          <w:sz w:val="24"/>
        </w:rPr>
        <w:t xml:space="preserve"> </w:t>
      </w:r>
      <w:r>
        <w:rPr>
          <w:color w:val="211F1F"/>
          <w:sz w:val="24"/>
        </w:rPr>
        <w:t>Tender</w:t>
      </w:r>
      <w:r>
        <w:rPr>
          <w:color w:val="211F1F"/>
          <w:spacing w:val="-8"/>
          <w:sz w:val="24"/>
        </w:rPr>
        <w:t xml:space="preserve"> </w:t>
      </w:r>
      <w:r>
        <w:rPr>
          <w:color w:val="211F1F"/>
          <w:sz w:val="24"/>
        </w:rPr>
        <w:t>document;</w:t>
      </w:r>
      <w:r>
        <w:rPr>
          <w:color w:val="211F1F"/>
          <w:spacing w:val="-9"/>
          <w:sz w:val="24"/>
        </w:rPr>
        <w:t xml:space="preserve"> </w:t>
      </w:r>
      <w:r>
        <w:rPr>
          <w:color w:val="211F1F"/>
          <w:spacing w:val="-5"/>
          <w:sz w:val="24"/>
        </w:rPr>
        <w:t>and</w:t>
      </w:r>
    </w:p>
    <w:p w14:paraId="0EDD3ECE" w14:textId="77777777" w:rsidR="00BB77C0" w:rsidRDefault="00370BAA">
      <w:pPr>
        <w:pStyle w:val="ListParagraph"/>
        <w:numPr>
          <w:ilvl w:val="0"/>
          <w:numId w:val="73"/>
        </w:numPr>
        <w:tabs>
          <w:tab w:val="left" w:pos="1439"/>
        </w:tabs>
        <w:spacing w:line="275" w:lineRule="exact"/>
        <w:ind w:left="1439" w:hanging="358"/>
        <w:rPr>
          <w:sz w:val="24"/>
        </w:rPr>
      </w:pPr>
      <w:r>
        <w:rPr>
          <w:color w:val="211F1F"/>
          <w:sz w:val="24"/>
        </w:rPr>
        <w:t>The</w:t>
      </w:r>
      <w:r>
        <w:rPr>
          <w:color w:val="211F1F"/>
          <w:spacing w:val="-6"/>
          <w:sz w:val="24"/>
        </w:rPr>
        <w:t xml:space="preserve"> </w:t>
      </w:r>
      <w:r>
        <w:rPr>
          <w:color w:val="211F1F"/>
          <w:sz w:val="24"/>
        </w:rPr>
        <w:t>lowest evaluated</w:t>
      </w:r>
      <w:r>
        <w:rPr>
          <w:color w:val="211F1F"/>
          <w:spacing w:val="-3"/>
          <w:sz w:val="24"/>
        </w:rPr>
        <w:t xml:space="preserve"> </w:t>
      </w:r>
      <w:r>
        <w:rPr>
          <w:color w:val="211F1F"/>
          <w:spacing w:val="-2"/>
          <w:sz w:val="24"/>
        </w:rPr>
        <w:t>price.</w:t>
      </w:r>
    </w:p>
    <w:p w14:paraId="58BF0AF9" w14:textId="77777777" w:rsidR="00BB77C0" w:rsidRDefault="00370BAA">
      <w:pPr>
        <w:pStyle w:val="Heading6"/>
        <w:numPr>
          <w:ilvl w:val="0"/>
          <w:numId w:val="75"/>
        </w:numPr>
        <w:tabs>
          <w:tab w:val="left" w:pos="720"/>
        </w:tabs>
        <w:spacing w:before="247"/>
        <w:ind w:hanging="720"/>
      </w:pPr>
      <w:bookmarkStart w:id="98" w:name="44.0_Procuring_Entity's_Right_to_Accept_"/>
      <w:bookmarkStart w:id="99" w:name="_bookmark48"/>
      <w:bookmarkEnd w:id="98"/>
      <w:bookmarkEnd w:id="99"/>
      <w:r>
        <w:t>Procuring</w:t>
      </w:r>
      <w:r>
        <w:rPr>
          <w:spacing w:val="-7"/>
        </w:rPr>
        <w:t xml:space="preserve"> </w:t>
      </w:r>
      <w:r>
        <w:t>Entity's</w:t>
      </w:r>
      <w:r>
        <w:rPr>
          <w:spacing w:val="-5"/>
        </w:rPr>
        <w:t xml:space="preserve"> </w:t>
      </w:r>
      <w:r>
        <w:t>Right</w:t>
      </w:r>
      <w:r>
        <w:rPr>
          <w:spacing w:val="-4"/>
        </w:rPr>
        <w:t xml:space="preserve"> </w:t>
      </w:r>
      <w:r>
        <w:t>to</w:t>
      </w:r>
      <w:r>
        <w:rPr>
          <w:spacing w:val="-10"/>
        </w:rPr>
        <w:t xml:space="preserve"> </w:t>
      </w:r>
      <w:r>
        <w:t>Accept</w:t>
      </w:r>
      <w:r>
        <w:rPr>
          <w:spacing w:val="-3"/>
        </w:rPr>
        <w:t xml:space="preserve"> </w:t>
      </w:r>
      <w:r>
        <w:t>Any</w:t>
      </w:r>
      <w:r>
        <w:rPr>
          <w:spacing w:val="-5"/>
        </w:rPr>
        <w:t xml:space="preserve"> </w:t>
      </w:r>
      <w:r>
        <w:t>Tender,</w:t>
      </w:r>
      <w:r>
        <w:rPr>
          <w:spacing w:val="-11"/>
        </w:rPr>
        <w:t xml:space="preserve"> </w:t>
      </w:r>
      <w:r>
        <w:t>and</w:t>
      </w:r>
      <w:r>
        <w:rPr>
          <w:spacing w:val="-9"/>
        </w:rPr>
        <w:t xml:space="preserve"> </w:t>
      </w:r>
      <w:r>
        <w:t>to</w:t>
      </w:r>
      <w:r>
        <w:rPr>
          <w:spacing w:val="-5"/>
        </w:rPr>
        <w:t xml:space="preserve"> </w:t>
      </w:r>
      <w:r>
        <w:t>Reject</w:t>
      </w:r>
      <w:r>
        <w:rPr>
          <w:spacing w:val="-7"/>
        </w:rPr>
        <w:t xml:space="preserve"> </w:t>
      </w:r>
      <w:r>
        <w:t>Any</w:t>
      </w:r>
      <w:r>
        <w:rPr>
          <w:spacing w:val="-5"/>
        </w:rPr>
        <w:t xml:space="preserve"> </w:t>
      </w:r>
      <w:r>
        <w:t>or</w:t>
      </w:r>
      <w:r>
        <w:rPr>
          <w:spacing w:val="-6"/>
        </w:rPr>
        <w:t xml:space="preserve"> </w:t>
      </w:r>
      <w:r>
        <w:t>All</w:t>
      </w:r>
      <w:r>
        <w:rPr>
          <w:spacing w:val="-4"/>
        </w:rPr>
        <w:t xml:space="preserve"> </w:t>
      </w:r>
      <w:r>
        <w:rPr>
          <w:spacing w:val="-2"/>
        </w:rPr>
        <w:t>Tenders.</w:t>
      </w:r>
    </w:p>
    <w:p w14:paraId="3414DDC1" w14:textId="77777777" w:rsidR="00BB77C0" w:rsidRDefault="00370BAA">
      <w:pPr>
        <w:spacing w:before="75" w:line="259" w:lineRule="auto"/>
        <w:ind w:left="720" w:right="78"/>
        <w:rPr>
          <w:sz w:val="24"/>
        </w:rPr>
      </w:pPr>
      <w:r>
        <w:rPr>
          <w:color w:val="211F1F"/>
          <w:sz w:val="24"/>
        </w:rPr>
        <w:t>The</w:t>
      </w:r>
      <w:r>
        <w:rPr>
          <w:color w:val="211F1F"/>
          <w:spacing w:val="-6"/>
          <w:sz w:val="24"/>
        </w:rPr>
        <w:t xml:space="preserve"> </w:t>
      </w:r>
      <w:r>
        <w:rPr>
          <w:color w:val="211F1F"/>
          <w:sz w:val="24"/>
        </w:rPr>
        <w:t>Procuring</w:t>
      </w:r>
      <w:r>
        <w:rPr>
          <w:color w:val="211F1F"/>
          <w:spacing w:val="-4"/>
          <w:sz w:val="24"/>
        </w:rPr>
        <w:t xml:space="preserve"> </w:t>
      </w:r>
      <w:r>
        <w:rPr>
          <w:color w:val="211F1F"/>
          <w:sz w:val="24"/>
        </w:rPr>
        <w:t>Entity</w:t>
      </w:r>
      <w:r>
        <w:rPr>
          <w:color w:val="211F1F"/>
          <w:spacing w:val="-15"/>
          <w:sz w:val="24"/>
        </w:rPr>
        <w:t xml:space="preserve"> </w:t>
      </w:r>
      <w:r>
        <w:rPr>
          <w:color w:val="211F1F"/>
          <w:sz w:val="24"/>
        </w:rPr>
        <w:t>reserves</w:t>
      </w:r>
      <w:r>
        <w:rPr>
          <w:color w:val="211F1F"/>
          <w:spacing w:val="-7"/>
          <w:sz w:val="24"/>
        </w:rPr>
        <w:t xml:space="preserve"> </w:t>
      </w:r>
      <w:r>
        <w:rPr>
          <w:color w:val="211F1F"/>
          <w:sz w:val="24"/>
        </w:rPr>
        <w:t>the</w:t>
      </w:r>
      <w:r>
        <w:rPr>
          <w:color w:val="211F1F"/>
          <w:spacing w:val="-7"/>
          <w:sz w:val="24"/>
        </w:rPr>
        <w:t xml:space="preserve"> </w:t>
      </w:r>
      <w:r>
        <w:rPr>
          <w:color w:val="211F1F"/>
          <w:sz w:val="24"/>
        </w:rPr>
        <w:t>right</w:t>
      </w:r>
      <w:r>
        <w:rPr>
          <w:color w:val="211F1F"/>
          <w:spacing w:val="-1"/>
          <w:sz w:val="24"/>
        </w:rPr>
        <w:t xml:space="preserve"> </w:t>
      </w:r>
      <w:r>
        <w:rPr>
          <w:color w:val="211F1F"/>
          <w:sz w:val="24"/>
        </w:rPr>
        <w:t>to</w:t>
      </w:r>
      <w:r>
        <w:rPr>
          <w:color w:val="211F1F"/>
          <w:spacing w:val="-6"/>
          <w:sz w:val="24"/>
        </w:rPr>
        <w:t xml:space="preserve"> </w:t>
      </w:r>
      <w:r>
        <w:rPr>
          <w:color w:val="211F1F"/>
          <w:sz w:val="24"/>
        </w:rPr>
        <w:t>accept</w:t>
      </w:r>
      <w:r>
        <w:rPr>
          <w:color w:val="211F1F"/>
          <w:spacing w:val="-5"/>
          <w:sz w:val="24"/>
        </w:rPr>
        <w:t xml:space="preserve"> </w:t>
      </w:r>
      <w:r>
        <w:rPr>
          <w:color w:val="211F1F"/>
          <w:sz w:val="24"/>
        </w:rPr>
        <w:t>or</w:t>
      </w:r>
      <w:r>
        <w:rPr>
          <w:color w:val="211F1F"/>
          <w:spacing w:val="-9"/>
          <w:sz w:val="24"/>
        </w:rPr>
        <w:t xml:space="preserve"> </w:t>
      </w:r>
      <w:r>
        <w:rPr>
          <w:color w:val="211F1F"/>
          <w:sz w:val="24"/>
        </w:rPr>
        <w:t>reject</w:t>
      </w:r>
      <w:r>
        <w:rPr>
          <w:color w:val="211F1F"/>
          <w:spacing w:val="-1"/>
          <w:sz w:val="24"/>
        </w:rPr>
        <w:t xml:space="preserve"> </w:t>
      </w:r>
      <w:r>
        <w:rPr>
          <w:color w:val="211F1F"/>
          <w:sz w:val="24"/>
        </w:rPr>
        <w:t>any</w:t>
      </w:r>
      <w:r>
        <w:rPr>
          <w:color w:val="211F1F"/>
          <w:spacing w:val="-15"/>
          <w:sz w:val="24"/>
        </w:rPr>
        <w:t xml:space="preserve"> </w:t>
      </w:r>
      <w:r>
        <w:rPr>
          <w:color w:val="211F1F"/>
          <w:sz w:val="24"/>
        </w:rPr>
        <w:t>Tender</w:t>
      </w:r>
      <w:r>
        <w:rPr>
          <w:color w:val="211F1F"/>
          <w:spacing w:val="-8"/>
          <w:sz w:val="24"/>
        </w:rPr>
        <w:t xml:space="preserve"> </w:t>
      </w:r>
      <w:r>
        <w:rPr>
          <w:color w:val="211F1F"/>
          <w:sz w:val="24"/>
        </w:rPr>
        <w:t>and</w:t>
      </w:r>
      <w:r>
        <w:rPr>
          <w:color w:val="211F1F"/>
          <w:spacing w:val="-6"/>
          <w:sz w:val="24"/>
        </w:rPr>
        <w:t xml:space="preserve"> </w:t>
      </w:r>
      <w:r>
        <w:rPr>
          <w:color w:val="211F1F"/>
          <w:sz w:val="24"/>
        </w:rPr>
        <w:t>to</w:t>
      </w:r>
      <w:r>
        <w:rPr>
          <w:color w:val="211F1F"/>
          <w:spacing w:val="-5"/>
          <w:sz w:val="24"/>
        </w:rPr>
        <w:t xml:space="preserve"> </w:t>
      </w:r>
      <w:r>
        <w:rPr>
          <w:color w:val="211F1F"/>
          <w:sz w:val="24"/>
        </w:rPr>
        <w:t>annul</w:t>
      </w:r>
      <w:r>
        <w:rPr>
          <w:color w:val="211F1F"/>
          <w:spacing w:val="-15"/>
          <w:sz w:val="24"/>
        </w:rPr>
        <w:t xml:space="preserve"> </w:t>
      </w:r>
      <w:r>
        <w:rPr>
          <w:color w:val="211F1F"/>
          <w:sz w:val="24"/>
        </w:rPr>
        <w:t>the</w:t>
      </w:r>
      <w:r>
        <w:rPr>
          <w:color w:val="211F1F"/>
          <w:spacing w:val="-7"/>
          <w:sz w:val="24"/>
        </w:rPr>
        <w:t xml:space="preserve"> </w:t>
      </w:r>
      <w:r>
        <w:rPr>
          <w:color w:val="211F1F"/>
          <w:sz w:val="24"/>
        </w:rPr>
        <w:t>Tender process</w:t>
      </w:r>
      <w:r>
        <w:rPr>
          <w:color w:val="211F1F"/>
          <w:spacing w:val="-9"/>
          <w:sz w:val="24"/>
        </w:rPr>
        <w:t xml:space="preserve"> </w:t>
      </w:r>
      <w:r>
        <w:rPr>
          <w:color w:val="211F1F"/>
          <w:sz w:val="24"/>
        </w:rPr>
        <w:t>and</w:t>
      </w:r>
      <w:r>
        <w:rPr>
          <w:color w:val="211F1F"/>
          <w:spacing w:val="-2"/>
          <w:sz w:val="24"/>
        </w:rPr>
        <w:t xml:space="preserve"> </w:t>
      </w:r>
      <w:r>
        <w:rPr>
          <w:color w:val="211F1F"/>
          <w:sz w:val="24"/>
        </w:rPr>
        <w:t>reject</w:t>
      </w:r>
      <w:r>
        <w:rPr>
          <w:color w:val="211F1F"/>
          <w:spacing w:val="-1"/>
          <w:sz w:val="24"/>
        </w:rPr>
        <w:t xml:space="preserve"> </w:t>
      </w:r>
      <w:r>
        <w:rPr>
          <w:color w:val="211F1F"/>
          <w:sz w:val="24"/>
        </w:rPr>
        <w:t>all</w:t>
      </w:r>
      <w:r>
        <w:rPr>
          <w:color w:val="211F1F"/>
          <w:spacing w:val="-10"/>
          <w:sz w:val="24"/>
        </w:rPr>
        <w:t xml:space="preserve"> </w:t>
      </w:r>
      <w:r>
        <w:rPr>
          <w:color w:val="211F1F"/>
          <w:sz w:val="24"/>
        </w:rPr>
        <w:t>Tenders</w:t>
      </w:r>
      <w:r>
        <w:rPr>
          <w:color w:val="211F1F"/>
          <w:spacing w:val="-11"/>
          <w:sz w:val="24"/>
        </w:rPr>
        <w:t xml:space="preserve"> </w:t>
      </w:r>
      <w:r>
        <w:rPr>
          <w:color w:val="211F1F"/>
          <w:sz w:val="24"/>
        </w:rPr>
        <w:t>at</w:t>
      </w:r>
      <w:r>
        <w:rPr>
          <w:color w:val="211F1F"/>
          <w:spacing w:val="-2"/>
          <w:sz w:val="24"/>
        </w:rPr>
        <w:t xml:space="preserve"> </w:t>
      </w:r>
      <w:r>
        <w:rPr>
          <w:color w:val="211F1F"/>
          <w:sz w:val="24"/>
        </w:rPr>
        <w:t>any</w:t>
      </w:r>
      <w:r>
        <w:rPr>
          <w:color w:val="211F1F"/>
          <w:spacing w:val="-11"/>
          <w:sz w:val="24"/>
        </w:rPr>
        <w:t xml:space="preserve"> </w:t>
      </w:r>
      <w:r>
        <w:rPr>
          <w:color w:val="211F1F"/>
          <w:sz w:val="24"/>
        </w:rPr>
        <w:t>time</w:t>
      </w:r>
      <w:r>
        <w:rPr>
          <w:color w:val="211F1F"/>
          <w:spacing w:val="-7"/>
          <w:sz w:val="24"/>
        </w:rPr>
        <w:t xml:space="preserve"> </w:t>
      </w:r>
      <w:r>
        <w:rPr>
          <w:color w:val="211F1F"/>
          <w:sz w:val="24"/>
        </w:rPr>
        <w:t>prior</w:t>
      </w:r>
      <w:r>
        <w:rPr>
          <w:color w:val="211F1F"/>
          <w:spacing w:val="-9"/>
          <w:sz w:val="24"/>
        </w:rPr>
        <w:t xml:space="preserve"> </w:t>
      </w:r>
      <w:r>
        <w:rPr>
          <w:color w:val="211F1F"/>
          <w:sz w:val="24"/>
        </w:rPr>
        <w:t>to</w:t>
      </w:r>
      <w:r>
        <w:rPr>
          <w:color w:val="211F1F"/>
          <w:spacing w:val="-7"/>
          <w:sz w:val="24"/>
        </w:rPr>
        <w:t xml:space="preserve"> </w:t>
      </w:r>
      <w:r>
        <w:rPr>
          <w:color w:val="211F1F"/>
          <w:sz w:val="24"/>
        </w:rPr>
        <w:t>Contract Award,</w:t>
      </w:r>
      <w:r>
        <w:rPr>
          <w:color w:val="211F1F"/>
          <w:spacing w:val="-12"/>
          <w:sz w:val="24"/>
        </w:rPr>
        <w:t xml:space="preserve"> </w:t>
      </w:r>
      <w:r>
        <w:rPr>
          <w:color w:val="211F1F"/>
          <w:sz w:val="24"/>
        </w:rPr>
        <w:t>without</w:t>
      </w:r>
      <w:r>
        <w:rPr>
          <w:color w:val="211F1F"/>
          <w:spacing w:val="-6"/>
          <w:sz w:val="24"/>
        </w:rPr>
        <w:t xml:space="preserve"> </w:t>
      </w:r>
      <w:r>
        <w:rPr>
          <w:color w:val="211F1F"/>
          <w:sz w:val="24"/>
        </w:rPr>
        <w:t>there</w:t>
      </w:r>
      <w:r>
        <w:rPr>
          <w:color w:val="211F1F"/>
          <w:spacing w:val="-7"/>
          <w:sz w:val="24"/>
        </w:rPr>
        <w:t xml:space="preserve"> </w:t>
      </w:r>
      <w:r>
        <w:rPr>
          <w:color w:val="211F1F"/>
          <w:sz w:val="24"/>
        </w:rPr>
        <w:t>by</w:t>
      </w:r>
      <w:r>
        <w:rPr>
          <w:color w:val="211F1F"/>
          <w:spacing w:val="-11"/>
          <w:sz w:val="24"/>
        </w:rPr>
        <w:t xml:space="preserve"> </w:t>
      </w:r>
      <w:r>
        <w:rPr>
          <w:color w:val="211F1F"/>
          <w:sz w:val="24"/>
        </w:rPr>
        <w:t>incurring any liability to Tenderers. In case of annulment, all Tenders submitted and specifically, Tender securities, shall be promptly returned to the Tenderers.</w:t>
      </w:r>
    </w:p>
    <w:p w14:paraId="1F8C1327" w14:textId="77777777" w:rsidR="00BB77C0" w:rsidRDefault="00BB77C0">
      <w:pPr>
        <w:pStyle w:val="BodyText"/>
        <w:rPr>
          <w:sz w:val="24"/>
        </w:rPr>
      </w:pPr>
    </w:p>
    <w:p w14:paraId="5BC77112" w14:textId="77777777" w:rsidR="00BB77C0" w:rsidRDefault="00BB77C0">
      <w:pPr>
        <w:pStyle w:val="BodyText"/>
        <w:spacing w:before="152"/>
        <w:rPr>
          <w:sz w:val="24"/>
        </w:rPr>
      </w:pPr>
    </w:p>
    <w:p w14:paraId="0D499855" w14:textId="77777777" w:rsidR="00BB77C0" w:rsidRDefault="00370BAA">
      <w:pPr>
        <w:pStyle w:val="Heading5"/>
        <w:numPr>
          <w:ilvl w:val="0"/>
          <w:numId w:val="110"/>
        </w:numPr>
        <w:tabs>
          <w:tab w:val="left" w:pos="263"/>
        </w:tabs>
        <w:ind w:left="263" w:hanging="263"/>
        <w:jc w:val="both"/>
      </w:pPr>
      <w:bookmarkStart w:id="100" w:name="F._AWARD_OF_CONTRACT"/>
      <w:bookmarkStart w:id="101" w:name="_bookmark49"/>
      <w:bookmarkEnd w:id="100"/>
      <w:bookmarkEnd w:id="101"/>
      <w:r>
        <w:t>AWARD</w:t>
      </w:r>
      <w:r>
        <w:rPr>
          <w:spacing w:val="-4"/>
        </w:rPr>
        <w:t xml:space="preserve"> </w:t>
      </w:r>
      <w:r>
        <w:t>OF</w:t>
      </w:r>
      <w:r>
        <w:rPr>
          <w:spacing w:val="-1"/>
        </w:rPr>
        <w:t xml:space="preserve"> </w:t>
      </w:r>
      <w:r>
        <w:rPr>
          <w:spacing w:val="-2"/>
        </w:rPr>
        <w:t>CONTRACT</w:t>
      </w:r>
    </w:p>
    <w:p w14:paraId="5B65B1B8" w14:textId="77777777" w:rsidR="00BB77C0" w:rsidRDefault="00370BAA">
      <w:pPr>
        <w:pStyle w:val="Heading6"/>
        <w:numPr>
          <w:ilvl w:val="0"/>
          <w:numId w:val="75"/>
        </w:numPr>
        <w:tabs>
          <w:tab w:val="left" w:pos="720"/>
        </w:tabs>
        <w:spacing w:before="262"/>
        <w:ind w:hanging="720"/>
        <w:jc w:val="both"/>
      </w:pPr>
      <w:bookmarkStart w:id="102" w:name="45.0_Award_Criteria"/>
      <w:bookmarkStart w:id="103" w:name="_bookmark50"/>
      <w:bookmarkEnd w:id="102"/>
      <w:bookmarkEnd w:id="103"/>
      <w:r>
        <w:t>Award</w:t>
      </w:r>
      <w:r>
        <w:rPr>
          <w:spacing w:val="-11"/>
        </w:rPr>
        <w:t xml:space="preserve"> </w:t>
      </w:r>
      <w:r>
        <w:rPr>
          <w:spacing w:val="-2"/>
        </w:rPr>
        <w:t>Criteria</w:t>
      </w:r>
    </w:p>
    <w:p w14:paraId="675FCC90" w14:textId="77777777" w:rsidR="00BB77C0" w:rsidRDefault="00370BAA">
      <w:pPr>
        <w:pStyle w:val="ListParagraph"/>
        <w:numPr>
          <w:ilvl w:val="1"/>
          <w:numId w:val="75"/>
        </w:numPr>
        <w:tabs>
          <w:tab w:val="left" w:pos="1441"/>
        </w:tabs>
        <w:spacing w:before="75" w:line="259" w:lineRule="auto"/>
        <w:ind w:right="111"/>
        <w:rPr>
          <w:color w:val="211F1F"/>
          <w:sz w:val="24"/>
        </w:rPr>
      </w:pPr>
      <w:r>
        <w:rPr>
          <w:color w:val="211F1F"/>
          <w:sz w:val="24"/>
        </w:rPr>
        <w:t>The</w:t>
      </w:r>
      <w:r>
        <w:rPr>
          <w:color w:val="211F1F"/>
          <w:spacing w:val="-7"/>
          <w:sz w:val="24"/>
        </w:rPr>
        <w:t xml:space="preserve"> </w:t>
      </w:r>
      <w:r>
        <w:rPr>
          <w:color w:val="211F1F"/>
          <w:sz w:val="24"/>
        </w:rPr>
        <w:t>Procuring</w:t>
      </w:r>
      <w:r>
        <w:rPr>
          <w:color w:val="211F1F"/>
          <w:spacing w:val="-1"/>
          <w:sz w:val="24"/>
        </w:rPr>
        <w:t xml:space="preserve"> </w:t>
      </w:r>
      <w:r>
        <w:rPr>
          <w:color w:val="211F1F"/>
          <w:sz w:val="24"/>
        </w:rPr>
        <w:t>Entity</w:t>
      </w:r>
      <w:r>
        <w:rPr>
          <w:color w:val="211F1F"/>
          <w:spacing w:val="-14"/>
          <w:sz w:val="24"/>
        </w:rPr>
        <w:t xml:space="preserve"> </w:t>
      </w:r>
      <w:r>
        <w:rPr>
          <w:color w:val="211F1F"/>
          <w:sz w:val="24"/>
        </w:rPr>
        <w:t>shall</w:t>
      </w:r>
      <w:r>
        <w:rPr>
          <w:color w:val="211F1F"/>
          <w:spacing w:val="-5"/>
          <w:sz w:val="24"/>
        </w:rPr>
        <w:t xml:space="preserve"> </w:t>
      </w:r>
      <w:r>
        <w:rPr>
          <w:color w:val="211F1F"/>
          <w:sz w:val="24"/>
        </w:rPr>
        <w:t>award</w:t>
      </w:r>
      <w:r>
        <w:rPr>
          <w:color w:val="211F1F"/>
          <w:spacing w:val="-5"/>
          <w:sz w:val="24"/>
        </w:rPr>
        <w:t xml:space="preserve"> </w:t>
      </w:r>
      <w:r>
        <w:rPr>
          <w:color w:val="211F1F"/>
          <w:sz w:val="24"/>
        </w:rPr>
        <w:t>the</w:t>
      </w:r>
      <w:r>
        <w:rPr>
          <w:color w:val="211F1F"/>
          <w:spacing w:val="-7"/>
          <w:sz w:val="24"/>
        </w:rPr>
        <w:t xml:space="preserve"> </w:t>
      </w:r>
      <w:r>
        <w:rPr>
          <w:color w:val="211F1F"/>
          <w:sz w:val="24"/>
        </w:rPr>
        <w:t>Contract to</w:t>
      </w:r>
      <w:r>
        <w:rPr>
          <w:color w:val="211F1F"/>
          <w:spacing w:val="-11"/>
          <w:sz w:val="24"/>
        </w:rPr>
        <w:t xml:space="preserve"> </w:t>
      </w:r>
      <w:r>
        <w:rPr>
          <w:color w:val="211F1F"/>
          <w:sz w:val="24"/>
        </w:rPr>
        <w:t>the</w:t>
      </w:r>
      <w:r>
        <w:rPr>
          <w:color w:val="211F1F"/>
          <w:spacing w:val="-7"/>
          <w:sz w:val="24"/>
        </w:rPr>
        <w:t xml:space="preserve"> </w:t>
      </w:r>
      <w:r>
        <w:rPr>
          <w:color w:val="211F1F"/>
          <w:sz w:val="24"/>
        </w:rPr>
        <w:t>successful</w:t>
      </w:r>
      <w:r>
        <w:rPr>
          <w:color w:val="211F1F"/>
          <w:spacing w:val="-9"/>
          <w:sz w:val="24"/>
        </w:rPr>
        <w:t xml:space="preserve"> </w:t>
      </w:r>
      <w:r>
        <w:rPr>
          <w:color w:val="211F1F"/>
          <w:sz w:val="24"/>
        </w:rPr>
        <w:t>tenderer</w:t>
      </w:r>
      <w:r>
        <w:rPr>
          <w:color w:val="211F1F"/>
          <w:spacing w:val="-4"/>
          <w:sz w:val="24"/>
        </w:rPr>
        <w:t xml:space="preserve"> </w:t>
      </w:r>
      <w:r>
        <w:rPr>
          <w:color w:val="211F1F"/>
          <w:sz w:val="24"/>
        </w:rPr>
        <w:t>whose</w:t>
      </w:r>
      <w:r>
        <w:rPr>
          <w:color w:val="211F1F"/>
          <w:spacing w:val="-7"/>
          <w:sz w:val="24"/>
        </w:rPr>
        <w:t xml:space="preserve"> </w:t>
      </w:r>
      <w:r>
        <w:rPr>
          <w:color w:val="211F1F"/>
          <w:sz w:val="24"/>
        </w:rPr>
        <w:t>tender has been determined to be the Lowest Evaluated Tender.</w:t>
      </w:r>
    </w:p>
    <w:p w14:paraId="61379FA7" w14:textId="77777777" w:rsidR="00BB77C0" w:rsidRDefault="00370BAA">
      <w:pPr>
        <w:pStyle w:val="Heading6"/>
        <w:numPr>
          <w:ilvl w:val="0"/>
          <w:numId w:val="75"/>
        </w:numPr>
        <w:tabs>
          <w:tab w:val="left" w:pos="720"/>
        </w:tabs>
        <w:spacing w:before="244"/>
        <w:ind w:hanging="720"/>
      </w:pPr>
      <w:bookmarkStart w:id="104" w:name="46.0_Notice_of_Intention_to_enter_into_a"/>
      <w:bookmarkStart w:id="105" w:name="_bookmark51"/>
      <w:bookmarkEnd w:id="104"/>
      <w:bookmarkEnd w:id="105"/>
      <w:r>
        <w:t>Notice</w:t>
      </w:r>
      <w:r>
        <w:rPr>
          <w:spacing w:val="-4"/>
        </w:rPr>
        <w:t xml:space="preserve"> </w:t>
      </w:r>
      <w:r>
        <w:t>of</w:t>
      </w:r>
      <w:r>
        <w:rPr>
          <w:spacing w:val="-1"/>
        </w:rPr>
        <w:t xml:space="preserve"> </w:t>
      </w:r>
      <w:r>
        <w:t>Intention to</w:t>
      </w:r>
      <w:r>
        <w:rPr>
          <w:spacing w:val="-3"/>
        </w:rPr>
        <w:t xml:space="preserve"> </w:t>
      </w:r>
      <w:r>
        <w:t>enter</w:t>
      </w:r>
      <w:r>
        <w:rPr>
          <w:spacing w:val="-3"/>
        </w:rPr>
        <w:t xml:space="preserve"> </w:t>
      </w:r>
      <w:r>
        <w:t>into</w:t>
      </w:r>
      <w:r>
        <w:rPr>
          <w:spacing w:val="-2"/>
        </w:rPr>
        <w:t xml:space="preserve"> </w:t>
      </w:r>
      <w:r>
        <w:t>a</w:t>
      </w:r>
      <w:r>
        <w:rPr>
          <w:spacing w:val="-3"/>
        </w:rPr>
        <w:t xml:space="preserve"> </w:t>
      </w:r>
      <w:r>
        <w:rPr>
          <w:spacing w:val="-2"/>
        </w:rPr>
        <w:t>Contract</w:t>
      </w:r>
    </w:p>
    <w:p w14:paraId="2DF4C6BA" w14:textId="77777777" w:rsidR="00BB77C0" w:rsidRDefault="00370BAA">
      <w:pPr>
        <w:pStyle w:val="ListParagraph"/>
        <w:numPr>
          <w:ilvl w:val="1"/>
          <w:numId w:val="75"/>
        </w:numPr>
        <w:tabs>
          <w:tab w:val="left" w:pos="1441"/>
        </w:tabs>
        <w:spacing w:before="79" w:line="259" w:lineRule="auto"/>
        <w:ind w:right="127"/>
        <w:rPr>
          <w:color w:val="211F1F"/>
          <w:sz w:val="24"/>
        </w:rPr>
      </w:pPr>
      <w:r>
        <w:rPr>
          <w:color w:val="211F1F"/>
          <w:sz w:val="24"/>
        </w:rPr>
        <w:t>Upon award of</w:t>
      </w:r>
      <w:r>
        <w:rPr>
          <w:color w:val="211F1F"/>
          <w:spacing w:val="-2"/>
          <w:sz w:val="24"/>
        </w:rPr>
        <w:t xml:space="preserve"> </w:t>
      </w:r>
      <w:r>
        <w:rPr>
          <w:color w:val="211F1F"/>
          <w:sz w:val="24"/>
        </w:rPr>
        <w:t>the contract and Prior to the expiry of</w:t>
      </w:r>
      <w:r>
        <w:rPr>
          <w:color w:val="211F1F"/>
          <w:spacing w:val="-2"/>
          <w:sz w:val="24"/>
        </w:rPr>
        <w:t xml:space="preserve"> </w:t>
      </w:r>
      <w:r>
        <w:rPr>
          <w:color w:val="211F1F"/>
          <w:sz w:val="24"/>
        </w:rPr>
        <w:t xml:space="preserve">the Tender Validity Period the Procuring Entity shall issue a </w:t>
      </w:r>
      <w:r>
        <w:rPr>
          <w:color w:val="211F1F"/>
          <w:sz w:val="24"/>
          <w:u w:val="single" w:color="211F1F"/>
        </w:rPr>
        <w:t>Notification of Intention to Enter into a</w:t>
      </w:r>
      <w:r>
        <w:rPr>
          <w:color w:val="211F1F"/>
          <w:sz w:val="24"/>
        </w:rPr>
        <w:t xml:space="preserve"> </w:t>
      </w:r>
      <w:r>
        <w:rPr>
          <w:color w:val="211F1F"/>
          <w:sz w:val="24"/>
          <w:u w:val="single" w:color="211F1F"/>
        </w:rPr>
        <w:t>Contract</w:t>
      </w:r>
      <w:r>
        <w:rPr>
          <w:color w:val="211F1F"/>
          <w:sz w:val="24"/>
        </w:rPr>
        <w:t>/Notification</w:t>
      </w:r>
      <w:r>
        <w:rPr>
          <w:color w:val="211F1F"/>
          <w:spacing w:val="-10"/>
          <w:sz w:val="24"/>
        </w:rPr>
        <w:t xml:space="preserve"> </w:t>
      </w:r>
      <w:r>
        <w:rPr>
          <w:color w:val="211F1F"/>
          <w:sz w:val="24"/>
        </w:rPr>
        <w:t>of</w:t>
      </w:r>
      <w:r>
        <w:rPr>
          <w:color w:val="211F1F"/>
          <w:spacing w:val="-15"/>
          <w:sz w:val="24"/>
        </w:rPr>
        <w:t xml:space="preserve"> </w:t>
      </w:r>
      <w:r>
        <w:rPr>
          <w:color w:val="211F1F"/>
          <w:sz w:val="24"/>
        </w:rPr>
        <w:t>award</w:t>
      </w:r>
      <w:r>
        <w:rPr>
          <w:color w:val="211F1F"/>
          <w:spacing w:val="-6"/>
          <w:sz w:val="24"/>
        </w:rPr>
        <w:t xml:space="preserve"> </w:t>
      </w:r>
      <w:r>
        <w:rPr>
          <w:color w:val="211F1F"/>
          <w:sz w:val="24"/>
        </w:rPr>
        <w:t>to</w:t>
      </w:r>
      <w:r>
        <w:rPr>
          <w:color w:val="211F1F"/>
          <w:spacing w:val="-2"/>
          <w:sz w:val="24"/>
        </w:rPr>
        <w:t xml:space="preserve"> </w:t>
      </w:r>
      <w:r>
        <w:rPr>
          <w:color w:val="211F1F"/>
          <w:sz w:val="24"/>
        </w:rPr>
        <w:t>all</w:t>
      </w:r>
      <w:r>
        <w:rPr>
          <w:color w:val="211F1F"/>
          <w:spacing w:val="-15"/>
          <w:sz w:val="24"/>
        </w:rPr>
        <w:t xml:space="preserve"> </w:t>
      </w:r>
      <w:r>
        <w:rPr>
          <w:color w:val="211F1F"/>
          <w:sz w:val="24"/>
        </w:rPr>
        <w:t>tenderers</w:t>
      </w:r>
      <w:r>
        <w:rPr>
          <w:color w:val="211F1F"/>
          <w:spacing w:val="-8"/>
          <w:sz w:val="24"/>
        </w:rPr>
        <w:t xml:space="preserve"> </w:t>
      </w:r>
      <w:r>
        <w:rPr>
          <w:color w:val="211F1F"/>
          <w:sz w:val="24"/>
        </w:rPr>
        <w:t>which</w:t>
      </w:r>
      <w:r>
        <w:rPr>
          <w:color w:val="211F1F"/>
          <w:spacing w:val="-7"/>
          <w:sz w:val="24"/>
        </w:rPr>
        <w:t xml:space="preserve"> </w:t>
      </w:r>
      <w:r>
        <w:rPr>
          <w:color w:val="211F1F"/>
          <w:sz w:val="24"/>
        </w:rPr>
        <w:t>shall</w:t>
      </w:r>
      <w:r>
        <w:rPr>
          <w:color w:val="211F1F"/>
          <w:spacing w:val="-5"/>
          <w:sz w:val="24"/>
        </w:rPr>
        <w:t xml:space="preserve"> </w:t>
      </w:r>
      <w:r>
        <w:rPr>
          <w:color w:val="211F1F"/>
          <w:sz w:val="24"/>
        </w:rPr>
        <w:t>contain,</w:t>
      </w:r>
      <w:r>
        <w:rPr>
          <w:color w:val="211F1F"/>
          <w:spacing w:val="-4"/>
          <w:sz w:val="24"/>
        </w:rPr>
        <w:t xml:space="preserve"> </w:t>
      </w:r>
      <w:r>
        <w:rPr>
          <w:color w:val="211F1F"/>
          <w:sz w:val="24"/>
        </w:rPr>
        <w:t>at</w:t>
      </w:r>
      <w:r>
        <w:rPr>
          <w:color w:val="211F1F"/>
          <w:spacing w:val="-1"/>
          <w:sz w:val="24"/>
        </w:rPr>
        <w:t xml:space="preserve"> </w:t>
      </w:r>
      <w:r>
        <w:rPr>
          <w:color w:val="211F1F"/>
          <w:sz w:val="24"/>
        </w:rPr>
        <w:t>a</w:t>
      </w:r>
      <w:r>
        <w:rPr>
          <w:color w:val="211F1F"/>
          <w:spacing w:val="-3"/>
          <w:sz w:val="24"/>
        </w:rPr>
        <w:t xml:space="preserve"> </w:t>
      </w:r>
      <w:r>
        <w:rPr>
          <w:color w:val="211F1F"/>
          <w:sz w:val="24"/>
        </w:rPr>
        <w:t>minimum,</w:t>
      </w:r>
      <w:r>
        <w:rPr>
          <w:color w:val="211F1F"/>
          <w:spacing w:val="-3"/>
          <w:sz w:val="24"/>
        </w:rPr>
        <w:t xml:space="preserve"> </w:t>
      </w:r>
      <w:r>
        <w:rPr>
          <w:color w:val="211F1F"/>
          <w:sz w:val="24"/>
        </w:rPr>
        <w:t>the following information:</w:t>
      </w:r>
    </w:p>
    <w:p w14:paraId="2278871E" w14:textId="77777777" w:rsidR="00BB77C0" w:rsidRDefault="00370BAA">
      <w:pPr>
        <w:pStyle w:val="ListParagraph"/>
        <w:numPr>
          <w:ilvl w:val="0"/>
          <w:numId w:val="72"/>
        </w:numPr>
        <w:tabs>
          <w:tab w:val="left" w:pos="2159"/>
        </w:tabs>
        <w:spacing w:before="162" w:line="275" w:lineRule="exact"/>
        <w:ind w:left="2159" w:hanging="306"/>
        <w:jc w:val="left"/>
        <w:rPr>
          <w:sz w:val="24"/>
        </w:rPr>
      </w:pPr>
      <w:r>
        <w:rPr>
          <w:color w:val="211F1F"/>
          <w:sz w:val="24"/>
        </w:rPr>
        <w:t>the</w:t>
      </w:r>
      <w:r>
        <w:rPr>
          <w:color w:val="211F1F"/>
          <w:spacing w:val="-6"/>
          <w:sz w:val="24"/>
        </w:rPr>
        <w:t xml:space="preserve"> </w:t>
      </w:r>
      <w:r>
        <w:rPr>
          <w:color w:val="211F1F"/>
          <w:sz w:val="24"/>
        </w:rPr>
        <w:t>name</w:t>
      </w:r>
      <w:r>
        <w:rPr>
          <w:color w:val="211F1F"/>
          <w:spacing w:val="-3"/>
          <w:sz w:val="24"/>
        </w:rPr>
        <w:t xml:space="preserve"> </w:t>
      </w:r>
      <w:r>
        <w:rPr>
          <w:color w:val="211F1F"/>
          <w:sz w:val="24"/>
        </w:rPr>
        <w:t>and</w:t>
      </w:r>
      <w:r>
        <w:rPr>
          <w:color w:val="211F1F"/>
          <w:spacing w:val="-1"/>
          <w:sz w:val="24"/>
        </w:rPr>
        <w:t xml:space="preserve"> </w:t>
      </w:r>
      <w:r>
        <w:rPr>
          <w:color w:val="211F1F"/>
          <w:sz w:val="24"/>
        </w:rPr>
        <w:t>address</w:t>
      </w:r>
      <w:r>
        <w:rPr>
          <w:color w:val="211F1F"/>
          <w:spacing w:val="-5"/>
          <w:sz w:val="24"/>
        </w:rPr>
        <w:t xml:space="preserve"> </w:t>
      </w:r>
      <w:r>
        <w:rPr>
          <w:color w:val="211F1F"/>
          <w:sz w:val="24"/>
        </w:rPr>
        <w:t>of</w:t>
      </w:r>
      <w:r>
        <w:rPr>
          <w:color w:val="211F1F"/>
          <w:spacing w:val="-9"/>
          <w:sz w:val="24"/>
        </w:rPr>
        <w:t xml:space="preserve"> </w:t>
      </w:r>
      <w:r>
        <w:rPr>
          <w:color w:val="211F1F"/>
          <w:sz w:val="24"/>
        </w:rPr>
        <w:t>the</w:t>
      </w:r>
      <w:r>
        <w:rPr>
          <w:color w:val="211F1F"/>
          <w:spacing w:val="-4"/>
          <w:sz w:val="24"/>
        </w:rPr>
        <w:t xml:space="preserve"> </w:t>
      </w:r>
      <w:r>
        <w:rPr>
          <w:color w:val="211F1F"/>
          <w:sz w:val="24"/>
        </w:rPr>
        <w:t>Tenderer</w:t>
      </w:r>
      <w:r>
        <w:rPr>
          <w:color w:val="211F1F"/>
          <w:spacing w:val="1"/>
          <w:sz w:val="24"/>
        </w:rPr>
        <w:t xml:space="preserve"> </w:t>
      </w:r>
      <w:r>
        <w:rPr>
          <w:color w:val="211F1F"/>
          <w:sz w:val="24"/>
        </w:rPr>
        <w:t>submitting</w:t>
      </w:r>
      <w:r>
        <w:rPr>
          <w:color w:val="211F1F"/>
          <w:spacing w:val="-1"/>
          <w:sz w:val="24"/>
        </w:rPr>
        <w:t xml:space="preserve"> </w:t>
      </w:r>
      <w:r>
        <w:rPr>
          <w:color w:val="211F1F"/>
          <w:sz w:val="24"/>
        </w:rPr>
        <w:t>the</w:t>
      </w:r>
      <w:r>
        <w:rPr>
          <w:color w:val="211F1F"/>
          <w:spacing w:val="-4"/>
          <w:sz w:val="24"/>
        </w:rPr>
        <w:t xml:space="preserve"> </w:t>
      </w:r>
      <w:r>
        <w:rPr>
          <w:color w:val="211F1F"/>
          <w:sz w:val="24"/>
        </w:rPr>
        <w:t>successful</w:t>
      </w:r>
      <w:r>
        <w:rPr>
          <w:color w:val="211F1F"/>
          <w:spacing w:val="-9"/>
          <w:sz w:val="24"/>
        </w:rPr>
        <w:t xml:space="preserve"> </w:t>
      </w:r>
      <w:r>
        <w:rPr>
          <w:color w:val="211F1F"/>
          <w:spacing w:val="-2"/>
          <w:sz w:val="24"/>
        </w:rPr>
        <w:t>tender;</w:t>
      </w:r>
    </w:p>
    <w:p w14:paraId="04E4508F" w14:textId="77777777" w:rsidR="00BB77C0" w:rsidRDefault="00370BAA">
      <w:pPr>
        <w:pStyle w:val="ListParagraph"/>
        <w:numPr>
          <w:ilvl w:val="0"/>
          <w:numId w:val="72"/>
        </w:numPr>
        <w:tabs>
          <w:tab w:val="left" w:pos="2160"/>
        </w:tabs>
        <w:spacing w:line="275" w:lineRule="exact"/>
        <w:ind w:left="2160" w:hanging="374"/>
        <w:jc w:val="left"/>
        <w:rPr>
          <w:sz w:val="24"/>
        </w:rPr>
      </w:pPr>
      <w:r>
        <w:rPr>
          <w:color w:val="211F1F"/>
          <w:sz w:val="24"/>
        </w:rPr>
        <w:t>the</w:t>
      </w:r>
      <w:r>
        <w:rPr>
          <w:color w:val="211F1F"/>
          <w:spacing w:val="-7"/>
          <w:sz w:val="24"/>
        </w:rPr>
        <w:t xml:space="preserve"> </w:t>
      </w:r>
      <w:r>
        <w:rPr>
          <w:color w:val="211F1F"/>
          <w:sz w:val="24"/>
        </w:rPr>
        <w:t>Contract</w:t>
      </w:r>
      <w:r>
        <w:rPr>
          <w:color w:val="211F1F"/>
          <w:spacing w:val="1"/>
          <w:sz w:val="24"/>
        </w:rPr>
        <w:t xml:space="preserve"> </w:t>
      </w:r>
      <w:r>
        <w:rPr>
          <w:color w:val="211F1F"/>
          <w:sz w:val="24"/>
        </w:rPr>
        <w:t>price</w:t>
      </w:r>
      <w:r>
        <w:rPr>
          <w:color w:val="211F1F"/>
          <w:spacing w:val="-2"/>
          <w:sz w:val="24"/>
        </w:rPr>
        <w:t xml:space="preserve"> </w:t>
      </w:r>
      <w:r>
        <w:rPr>
          <w:color w:val="211F1F"/>
          <w:sz w:val="24"/>
        </w:rPr>
        <w:t>of</w:t>
      </w:r>
      <w:r>
        <w:rPr>
          <w:color w:val="211F1F"/>
          <w:spacing w:val="-8"/>
          <w:sz w:val="24"/>
        </w:rPr>
        <w:t xml:space="preserve"> </w:t>
      </w:r>
      <w:r>
        <w:rPr>
          <w:color w:val="211F1F"/>
          <w:sz w:val="24"/>
        </w:rPr>
        <w:t>the</w:t>
      </w:r>
      <w:r>
        <w:rPr>
          <w:color w:val="211F1F"/>
          <w:spacing w:val="-2"/>
          <w:sz w:val="24"/>
        </w:rPr>
        <w:t xml:space="preserve"> </w:t>
      </w:r>
      <w:r>
        <w:rPr>
          <w:color w:val="211F1F"/>
          <w:sz w:val="24"/>
        </w:rPr>
        <w:t>successful</w:t>
      </w:r>
      <w:r>
        <w:rPr>
          <w:color w:val="211F1F"/>
          <w:spacing w:val="-7"/>
          <w:sz w:val="24"/>
        </w:rPr>
        <w:t xml:space="preserve"> </w:t>
      </w:r>
      <w:r>
        <w:rPr>
          <w:color w:val="211F1F"/>
          <w:spacing w:val="-2"/>
          <w:sz w:val="24"/>
        </w:rPr>
        <w:t>tender;</w:t>
      </w:r>
    </w:p>
    <w:p w14:paraId="45F33C70" w14:textId="77777777" w:rsidR="00BB77C0" w:rsidRDefault="00BB77C0">
      <w:pPr>
        <w:pStyle w:val="ListParagraph"/>
        <w:spacing w:line="275" w:lineRule="exact"/>
        <w:rPr>
          <w:sz w:val="24"/>
        </w:rPr>
        <w:sectPr w:rsidR="00BB77C0">
          <w:pgSz w:w="11930" w:h="16870"/>
          <w:pgMar w:top="1360" w:right="1080" w:bottom="280" w:left="1080" w:header="720" w:footer="720" w:gutter="0"/>
          <w:cols w:space="720"/>
        </w:sectPr>
      </w:pPr>
    </w:p>
    <w:p w14:paraId="1F628143" w14:textId="77777777" w:rsidR="00BB77C0" w:rsidRDefault="00370BAA">
      <w:pPr>
        <w:pStyle w:val="ListParagraph"/>
        <w:numPr>
          <w:ilvl w:val="0"/>
          <w:numId w:val="72"/>
        </w:numPr>
        <w:tabs>
          <w:tab w:val="left" w:pos="2154"/>
          <w:tab w:val="left" w:pos="2161"/>
        </w:tabs>
        <w:spacing w:before="62" w:line="237" w:lineRule="auto"/>
        <w:ind w:right="335" w:hanging="442"/>
        <w:jc w:val="left"/>
        <w:rPr>
          <w:sz w:val="24"/>
        </w:rPr>
      </w:pPr>
      <w:r>
        <w:rPr>
          <w:color w:val="211F1F"/>
          <w:sz w:val="24"/>
        </w:rPr>
        <w:lastRenderedPageBreak/>
        <w:t>a</w:t>
      </w:r>
      <w:r>
        <w:rPr>
          <w:color w:val="211F1F"/>
          <w:spacing w:val="-7"/>
          <w:sz w:val="24"/>
        </w:rPr>
        <w:t xml:space="preserve"> </w:t>
      </w:r>
      <w:r>
        <w:rPr>
          <w:color w:val="211F1F"/>
          <w:sz w:val="24"/>
        </w:rPr>
        <w:t>statement of</w:t>
      </w:r>
      <w:r>
        <w:rPr>
          <w:color w:val="211F1F"/>
          <w:spacing w:val="-13"/>
          <w:sz w:val="24"/>
        </w:rPr>
        <w:t xml:space="preserve"> </w:t>
      </w:r>
      <w:r>
        <w:rPr>
          <w:color w:val="211F1F"/>
          <w:sz w:val="24"/>
        </w:rPr>
        <w:t>the</w:t>
      </w:r>
      <w:r>
        <w:rPr>
          <w:color w:val="211F1F"/>
          <w:spacing w:val="-7"/>
          <w:sz w:val="24"/>
        </w:rPr>
        <w:t xml:space="preserve"> </w:t>
      </w:r>
      <w:r>
        <w:rPr>
          <w:color w:val="211F1F"/>
          <w:sz w:val="24"/>
        </w:rPr>
        <w:t>reason(s)</w:t>
      </w:r>
      <w:r>
        <w:rPr>
          <w:color w:val="211F1F"/>
          <w:spacing w:val="-3"/>
          <w:sz w:val="24"/>
        </w:rPr>
        <w:t xml:space="preserve"> </w:t>
      </w:r>
      <w:r>
        <w:rPr>
          <w:color w:val="211F1F"/>
          <w:sz w:val="24"/>
        </w:rPr>
        <w:t>the</w:t>
      </w:r>
      <w:r>
        <w:rPr>
          <w:color w:val="211F1F"/>
          <w:spacing w:val="-7"/>
          <w:sz w:val="24"/>
        </w:rPr>
        <w:t xml:space="preserve"> </w:t>
      </w:r>
      <w:r>
        <w:rPr>
          <w:color w:val="211F1F"/>
          <w:sz w:val="24"/>
        </w:rPr>
        <w:t>tender</w:t>
      </w:r>
      <w:r>
        <w:rPr>
          <w:color w:val="211F1F"/>
          <w:spacing w:val="-3"/>
          <w:sz w:val="24"/>
        </w:rPr>
        <w:t xml:space="preserve"> </w:t>
      </w:r>
      <w:r>
        <w:rPr>
          <w:color w:val="211F1F"/>
          <w:sz w:val="24"/>
        </w:rPr>
        <w:t>of</w:t>
      </w:r>
      <w:r>
        <w:rPr>
          <w:color w:val="211F1F"/>
          <w:spacing w:val="-13"/>
          <w:sz w:val="24"/>
        </w:rPr>
        <w:t xml:space="preserve"> </w:t>
      </w:r>
      <w:r>
        <w:rPr>
          <w:color w:val="211F1F"/>
          <w:sz w:val="24"/>
        </w:rPr>
        <w:t>the</w:t>
      </w:r>
      <w:r>
        <w:rPr>
          <w:color w:val="211F1F"/>
          <w:spacing w:val="-7"/>
          <w:sz w:val="24"/>
        </w:rPr>
        <w:t xml:space="preserve"> </w:t>
      </w:r>
      <w:r>
        <w:rPr>
          <w:color w:val="211F1F"/>
          <w:sz w:val="24"/>
        </w:rPr>
        <w:t>unsuccessful</w:t>
      </w:r>
      <w:r>
        <w:rPr>
          <w:color w:val="211F1F"/>
          <w:spacing w:val="-8"/>
          <w:sz w:val="24"/>
        </w:rPr>
        <w:t xml:space="preserve"> </w:t>
      </w:r>
      <w:r>
        <w:rPr>
          <w:color w:val="211F1F"/>
          <w:sz w:val="24"/>
        </w:rPr>
        <w:t>tenderer</w:t>
      </w:r>
      <w:r>
        <w:rPr>
          <w:color w:val="211F1F"/>
          <w:spacing w:val="-3"/>
          <w:sz w:val="24"/>
        </w:rPr>
        <w:t xml:space="preserve"> </w:t>
      </w:r>
      <w:r>
        <w:rPr>
          <w:color w:val="211F1F"/>
          <w:sz w:val="24"/>
        </w:rPr>
        <w:t>to</w:t>
      </w:r>
      <w:r>
        <w:rPr>
          <w:color w:val="211F1F"/>
          <w:spacing w:val="-1"/>
          <w:sz w:val="24"/>
        </w:rPr>
        <w:t xml:space="preserve"> </w:t>
      </w:r>
      <w:r>
        <w:rPr>
          <w:color w:val="211F1F"/>
          <w:sz w:val="24"/>
        </w:rPr>
        <w:t>whom the letter is addressed was unsuccessful, unless the price information in (c) above already reveals the reason;</w:t>
      </w:r>
    </w:p>
    <w:p w14:paraId="2105A263" w14:textId="77777777" w:rsidR="00BB77C0" w:rsidRDefault="00370BAA">
      <w:pPr>
        <w:pStyle w:val="ListParagraph"/>
        <w:numPr>
          <w:ilvl w:val="0"/>
          <w:numId w:val="72"/>
        </w:numPr>
        <w:tabs>
          <w:tab w:val="left" w:pos="2159"/>
        </w:tabs>
        <w:spacing w:before="9" w:line="275" w:lineRule="exact"/>
        <w:ind w:left="2159" w:hanging="426"/>
        <w:jc w:val="left"/>
        <w:rPr>
          <w:sz w:val="24"/>
        </w:rPr>
      </w:pPr>
      <w:r>
        <w:rPr>
          <w:color w:val="211F1F"/>
          <w:sz w:val="24"/>
        </w:rPr>
        <w:t>the</w:t>
      </w:r>
      <w:r>
        <w:rPr>
          <w:color w:val="211F1F"/>
          <w:spacing w:val="-2"/>
          <w:sz w:val="24"/>
        </w:rPr>
        <w:t xml:space="preserve"> </w:t>
      </w:r>
      <w:r>
        <w:rPr>
          <w:color w:val="211F1F"/>
          <w:sz w:val="24"/>
        </w:rPr>
        <w:t>expiry</w:t>
      </w:r>
      <w:r>
        <w:rPr>
          <w:color w:val="211F1F"/>
          <w:spacing w:val="-7"/>
          <w:sz w:val="24"/>
        </w:rPr>
        <w:t xml:space="preserve"> </w:t>
      </w:r>
      <w:r>
        <w:rPr>
          <w:color w:val="211F1F"/>
          <w:sz w:val="24"/>
        </w:rPr>
        <w:t>date of</w:t>
      </w:r>
      <w:r>
        <w:rPr>
          <w:color w:val="211F1F"/>
          <w:spacing w:val="-11"/>
          <w:sz w:val="24"/>
        </w:rPr>
        <w:t xml:space="preserve"> </w:t>
      </w:r>
      <w:r>
        <w:rPr>
          <w:color w:val="211F1F"/>
          <w:sz w:val="24"/>
        </w:rPr>
        <w:t>the Standstill</w:t>
      </w:r>
      <w:r>
        <w:rPr>
          <w:color w:val="211F1F"/>
          <w:spacing w:val="-6"/>
          <w:sz w:val="24"/>
        </w:rPr>
        <w:t xml:space="preserve"> </w:t>
      </w:r>
      <w:r>
        <w:rPr>
          <w:color w:val="211F1F"/>
          <w:sz w:val="24"/>
        </w:rPr>
        <w:t>Period;</w:t>
      </w:r>
      <w:r>
        <w:rPr>
          <w:color w:val="211F1F"/>
          <w:spacing w:val="-1"/>
          <w:sz w:val="24"/>
        </w:rPr>
        <w:t xml:space="preserve"> </w:t>
      </w:r>
      <w:r>
        <w:rPr>
          <w:color w:val="211F1F"/>
          <w:spacing w:val="-5"/>
          <w:sz w:val="24"/>
        </w:rPr>
        <w:t>and</w:t>
      </w:r>
    </w:p>
    <w:p w14:paraId="70336888" w14:textId="77777777" w:rsidR="00BB77C0" w:rsidRDefault="00370BAA">
      <w:pPr>
        <w:pStyle w:val="ListParagraph"/>
        <w:numPr>
          <w:ilvl w:val="0"/>
          <w:numId w:val="72"/>
        </w:numPr>
        <w:tabs>
          <w:tab w:val="left" w:pos="2161"/>
        </w:tabs>
        <w:spacing w:before="1" w:line="237" w:lineRule="auto"/>
        <w:ind w:right="282" w:hanging="361"/>
        <w:jc w:val="left"/>
        <w:rPr>
          <w:sz w:val="24"/>
        </w:rPr>
      </w:pPr>
      <w:r>
        <w:rPr>
          <w:color w:val="211F1F"/>
          <w:sz w:val="24"/>
        </w:rPr>
        <w:t>instructions</w:t>
      </w:r>
      <w:r>
        <w:rPr>
          <w:color w:val="211F1F"/>
          <w:spacing w:val="-10"/>
          <w:sz w:val="24"/>
        </w:rPr>
        <w:t xml:space="preserve"> </w:t>
      </w:r>
      <w:r>
        <w:rPr>
          <w:color w:val="211F1F"/>
          <w:sz w:val="24"/>
        </w:rPr>
        <w:t>on</w:t>
      </w:r>
      <w:r>
        <w:rPr>
          <w:color w:val="211F1F"/>
          <w:spacing w:val="-10"/>
          <w:sz w:val="24"/>
        </w:rPr>
        <w:t xml:space="preserve"> </w:t>
      </w:r>
      <w:r>
        <w:rPr>
          <w:color w:val="211F1F"/>
          <w:sz w:val="24"/>
        </w:rPr>
        <w:t>how</w:t>
      </w:r>
      <w:r>
        <w:rPr>
          <w:color w:val="211F1F"/>
          <w:spacing w:val="-10"/>
          <w:sz w:val="24"/>
        </w:rPr>
        <w:t xml:space="preserve"> </w:t>
      </w:r>
      <w:r>
        <w:rPr>
          <w:color w:val="211F1F"/>
          <w:sz w:val="24"/>
        </w:rPr>
        <w:t>to</w:t>
      </w:r>
      <w:r>
        <w:rPr>
          <w:color w:val="211F1F"/>
          <w:spacing w:val="-9"/>
          <w:sz w:val="24"/>
        </w:rPr>
        <w:t xml:space="preserve"> </w:t>
      </w:r>
      <w:r>
        <w:rPr>
          <w:color w:val="211F1F"/>
          <w:sz w:val="24"/>
        </w:rPr>
        <w:t>request</w:t>
      </w:r>
      <w:r>
        <w:rPr>
          <w:color w:val="211F1F"/>
          <w:spacing w:val="-5"/>
          <w:sz w:val="24"/>
        </w:rPr>
        <w:t xml:space="preserve"> </w:t>
      </w:r>
      <w:r>
        <w:rPr>
          <w:color w:val="211F1F"/>
          <w:sz w:val="24"/>
        </w:rPr>
        <w:t>a</w:t>
      </w:r>
      <w:r>
        <w:rPr>
          <w:color w:val="211F1F"/>
          <w:spacing w:val="-11"/>
          <w:sz w:val="24"/>
        </w:rPr>
        <w:t xml:space="preserve"> </w:t>
      </w:r>
      <w:r>
        <w:rPr>
          <w:color w:val="211F1F"/>
          <w:sz w:val="24"/>
        </w:rPr>
        <w:t>debriefing</w:t>
      </w:r>
      <w:r>
        <w:rPr>
          <w:color w:val="211F1F"/>
          <w:spacing w:val="-5"/>
          <w:sz w:val="24"/>
        </w:rPr>
        <w:t xml:space="preserve"> </w:t>
      </w:r>
      <w:r>
        <w:rPr>
          <w:color w:val="211F1F"/>
          <w:sz w:val="24"/>
        </w:rPr>
        <w:t>and/or</w:t>
      </w:r>
      <w:r>
        <w:rPr>
          <w:color w:val="211F1F"/>
          <w:spacing w:val="-7"/>
          <w:sz w:val="24"/>
        </w:rPr>
        <w:t xml:space="preserve"> </w:t>
      </w:r>
      <w:r>
        <w:rPr>
          <w:color w:val="211F1F"/>
          <w:sz w:val="24"/>
        </w:rPr>
        <w:t>submit</w:t>
      </w:r>
      <w:r>
        <w:rPr>
          <w:color w:val="211F1F"/>
          <w:spacing w:val="-1"/>
          <w:sz w:val="24"/>
        </w:rPr>
        <w:t xml:space="preserve"> </w:t>
      </w:r>
      <w:r>
        <w:rPr>
          <w:color w:val="211F1F"/>
          <w:sz w:val="24"/>
        </w:rPr>
        <w:t>a</w:t>
      </w:r>
      <w:r>
        <w:rPr>
          <w:color w:val="211F1F"/>
          <w:spacing w:val="-11"/>
          <w:sz w:val="24"/>
        </w:rPr>
        <w:t xml:space="preserve"> </w:t>
      </w:r>
      <w:r>
        <w:rPr>
          <w:color w:val="211F1F"/>
          <w:sz w:val="24"/>
        </w:rPr>
        <w:t>complaint</w:t>
      </w:r>
      <w:r>
        <w:rPr>
          <w:color w:val="211F1F"/>
          <w:spacing w:val="-4"/>
          <w:sz w:val="24"/>
        </w:rPr>
        <w:t xml:space="preserve"> </w:t>
      </w:r>
      <w:r>
        <w:rPr>
          <w:color w:val="211F1F"/>
          <w:sz w:val="24"/>
        </w:rPr>
        <w:t xml:space="preserve">during </w:t>
      </w:r>
      <w:bookmarkStart w:id="106" w:name="_bookmark52"/>
      <w:bookmarkEnd w:id="106"/>
      <w:r>
        <w:rPr>
          <w:color w:val="211F1F"/>
          <w:sz w:val="24"/>
        </w:rPr>
        <w:t>the stand still period;</w:t>
      </w:r>
    </w:p>
    <w:p w14:paraId="7F3E2EED" w14:textId="77777777" w:rsidR="00BB77C0" w:rsidRDefault="00370BAA">
      <w:pPr>
        <w:pStyle w:val="Heading6"/>
        <w:numPr>
          <w:ilvl w:val="0"/>
          <w:numId w:val="75"/>
        </w:numPr>
        <w:tabs>
          <w:tab w:val="left" w:pos="720"/>
        </w:tabs>
        <w:spacing w:before="249"/>
        <w:ind w:hanging="720"/>
      </w:pPr>
      <w:bookmarkStart w:id="107" w:name="47.0_Stand_still_Period"/>
      <w:bookmarkEnd w:id="107"/>
      <w:r>
        <w:t>Stand</w:t>
      </w:r>
      <w:r>
        <w:rPr>
          <w:spacing w:val="-4"/>
        </w:rPr>
        <w:t xml:space="preserve"> </w:t>
      </w:r>
      <w:r>
        <w:t>still</w:t>
      </w:r>
      <w:r>
        <w:rPr>
          <w:spacing w:val="-4"/>
        </w:rPr>
        <w:t xml:space="preserve"> </w:t>
      </w:r>
      <w:r>
        <w:rPr>
          <w:spacing w:val="-2"/>
        </w:rPr>
        <w:t>Period</w:t>
      </w:r>
    </w:p>
    <w:p w14:paraId="0F9B2E51" w14:textId="77777777" w:rsidR="00BB77C0" w:rsidRDefault="00370BAA">
      <w:pPr>
        <w:pStyle w:val="ListParagraph"/>
        <w:numPr>
          <w:ilvl w:val="1"/>
          <w:numId w:val="75"/>
        </w:numPr>
        <w:tabs>
          <w:tab w:val="left" w:pos="1441"/>
        </w:tabs>
        <w:spacing w:before="74" w:line="259" w:lineRule="auto"/>
        <w:ind w:right="121"/>
        <w:rPr>
          <w:sz w:val="24"/>
        </w:rPr>
      </w:pPr>
      <w:r>
        <w:rPr>
          <w:sz w:val="24"/>
        </w:rPr>
        <w:t>The Contract shall not be signed earlier than the expiry</w:t>
      </w:r>
      <w:r>
        <w:rPr>
          <w:spacing w:val="-1"/>
          <w:sz w:val="24"/>
        </w:rPr>
        <w:t xml:space="preserve"> </w:t>
      </w:r>
      <w:r>
        <w:rPr>
          <w:sz w:val="24"/>
        </w:rPr>
        <w:t>of a Standstill Period of 14 days</w:t>
      </w:r>
      <w:r>
        <w:rPr>
          <w:spacing w:val="-5"/>
          <w:sz w:val="24"/>
        </w:rPr>
        <w:t xml:space="preserve"> </w:t>
      </w:r>
      <w:r>
        <w:rPr>
          <w:sz w:val="24"/>
        </w:rPr>
        <w:t>to</w:t>
      </w:r>
      <w:r>
        <w:rPr>
          <w:spacing w:val="-3"/>
          <w:sz w:val="24"/>
        </w:rPr>
        <w:t xml:space="preserve"> </w:t>
      </w:r>
      <w:r>
        <w:rPr>
          <w:sz w:val="24"/>
        </w:rPr>
        <w:t>allow</w:t>
      </w:r>
      <w:r>
        <w:rPr>
          <w:spacing w:val="-8"/>
          <w:sz w:val="24"/>
        </w:rPr>
        <w:t xml:space="preserve"> </w:t>
      </w:r>
      <w:r>
        <w:rPr>
          <w:sz w:val="24"/>
        </w:rPr>
        <w:t>any</w:t>
      </w:r>
      <w:r>
        <w:rPr>
          <w:spacing w:val="-11"/>
          <w:sz w:val="24"/>
        </w:rPr>
        <w:t xml:space="preserve"> </w:t>
      </w:r>
      <w:r>
        <w:rPr>
          <w:sz w:val="24"/>
        </w:rPr>
        <w:t>dissatisfied</w:t>
      </w:r>
      <w:r>
        <w:rPr>
          <w:spacing w:val="-2"/>
          <w:sz w:val="24"/>
        </w:rPr>
        <w:t xml:space="preserve"> </w:t>
      </w:r>
      <w:r>
        <w:rPr>
          <w:sz w:val="24"/>
        </w:rPr>
        <w:t>tender</w:t>
      </w:r>
      <w:r>
        <w:rPr>
          <w:spacing w:val="-5"/>
          <w:sz w:val="24"/>
        </w:rPr>
        <w:t xml:space="preserve"> </w:t>
      </w:r>
      <w:r>
        <w:rPr>
          <w:sz w:val="24"/>
        </w:rPr>
        <w:t>to</w:t>
      </w:r>
      <w:r>
        <w:rPr>
          <w:spacing w:val="-3"/>
          <w:sz w:val="24"/>
        </w:rPr>
        <w:t xml:space="preserve"> </w:t>
      </w:r>
      <w:r>
        <w:rPr>
          <w:sz w:val="24"/>
        </w:rPr>
        <w:t>launch</w:t>
      </w:r>
      <w:r>
        <w:rPr>
          <w:spacing w:val="-7"/>
          <w:sz w:val="24"/>
        </w:rPr>
        <w:t xml:space="preserve"> </w:t>
      </w:r>
      <w:r>
        <w:rPr>
          <w:sz w:val="24"/>
        </w:rPr>
        <w:t>a</w:t>
      </w:r>
      <w:r>
        <w:rPr>
          <w:spacing w:val="-4"/>
          <w:sz w:val="24"/>
        </w:rPr>
        <w:t xml:space="preserve"> </w:t>
      </w:r>
      <w:r>
        <w:rPr>
          <w:sz w:val="24"/>
        </w:rPr>
        <w:t>complaint. Where</w:t>
      </w:r>
      <w:r>
        <w:rPr>
          <w:spacing w:val="-9"/>
          <w:sz w:val="24"/>
        </w:rPr>
        <w:t xml:space="preserve"> </w:t>
      </w:r>
      <w:r>
        <w:rPr>
          <w:sz w:val="24"/>
        </w:rPr>
        <w:t>only</w:t>
      </w:r>
      <w:r>
        <w:rPr>
          <w:spacing w:val="-11"/>
          <w:sz w:val="24"/>
        </w:rPr>
        <w:t xml:space="preserve"> </w:t>
      </w:r>
      <w:r>
        <w:rPr>
          <w:sz w:val="24"/>
        </w:rPr>
        <w:t>one</w:t>
      </w:r>
      <w:r>
        <w:rPr>
          <w:spacing w:val="-4"/>
          <w:sz w:val="24"/>
        </w:rPr>
        <w:t xml:space="preserve"> </w:t>
      </w:r>
      <w:r>
        <w:rPr>
          <w:sz w:val="24"/>
        </w:rPr>
        <w:t>Tender is submitted, the Standstill Period shall not apply.</w:t>
      </w:r>
    </w:p>
    <w:p w14:paraId="4F4C8269" w14:textId="77777777" w:rsidR="00BB77C0" w:rsidRDefault="00370BAA">
      <w:pPr>
        <w:pStyle w:val="ListParagraph"/>
        <w:numPr>
          <w:ilvl w:val="1"/>
          <w:numId w:val="75"/>
        </w:numPr>
        <w:tabs>
          <w:tab w:val="left" w:pos="1441"/>
        </w:tabs>
        <w:spacing w:before="157" w:line="261" w:lineRule="auto"/>
        <w:ind w:right="56"/>
        <w:rPr>
          <w:sz w:val="24"/>
        </w:rPr>
      </w:pPr>
      <w:r>
        <w:rPr>
          <w:sz w:val="24"/>
        </w:rPr>
        <w:t>Where a Standstill Period applies, it shall commence when the Procuring Entity has transmitted</w:t>
      </w:r>
      <w:r>
        <w:rPr>
          <w:spacing w:val="-5"/>
          <w:sz w:val="24"/>
        </w:rPr>
        <w:t xml:space="preserve"> </w:t>
      </w:r>
      <w:r>
        <w:rPr>
          <w:sz w:val="24"/>
        </w:rPr>
        <w:t>to</w:t>
      </w:r>
      <w:r>
        <w:rPr>
          <w:spacing w:val="-3"/>
          <w:sz w:val="24"/>
        </w:rPr>
        <w:t xml:space="preserve"> </w:t>
      </w:r>
      <w:r>
        <w:rPr>
          <w:sz w:val="24"/>
        </w:rPr>
        <w:t>each</w:t>
      </w:r>
      <w:r>
        <w:rPr>
          <w:spacing w:val="-11"/>
          <w:sz w:val="24"/>
        </w:rPr>
        <w:t xml:space="preserve"> </w:t>
      </w:r>
      <w:r>
        <w:rPr>
          <w:sz w:val="24"/>
        </w:rPr>
        <w:t>Tenderer</w:t>
      </w:r>
      <w:r>
        <w:rPr>
          <w:spacing w:val="-5"/>
          <w:sz w:val="24"/>
        </w:rPr>
        <w:t xml:space="preserve"> </w:t>
      </w:r>
      <w:r>
        <w:rPr>
          <w:sz w:val="24"/>
        </w:rPr>
        <w:t>the</w:t>
      </w:r>
      <w:r>
        <w:rPr>
          <w:spacing w:val="-7"/>
          <w:sz w:val="24"/>
        </w:rPr>
        <w:t xml:space="preserve"> </w:t>
      </w:r>
      <w:r>
        <w:rPr>
          <w:sz w:val="24"/>
        </w:rPr>
        <w:t>Notification</w:t>
      </w:r>
      <w:r>
        <w:rPr>
          <w:spacing w:val="-10"/>
          <w:sz w:val="24"/>
        </w:rPr>
        <w:t xml:space="preserve"> </w:t>
      </w:r>
      <w:r>
        <w:rPr>
          <w:sz w:val="24"/>
        </w:rPr>
        <w:t>of</w:t>
      </w:r>
      <w:r>
        <w:rPr>
          <w:spacing w:val="-10"/>
          <w:sz w:val="24"/>
        </w:rPr>
        <w:t xml:space="preserve"> </w:t>
      </w:r>
      <w:r>
        <w:rPr>
          <w:sz w:val="24"/>
        </w:rPr>
        <w:t>Intention</w:t>
      </w:r>
      <w:r>
        <w:rPr>
          <w:spacing w:val="-10"/>
          <w:sz w:val="24"/>
        </w:rPr>
        <w:t xml:space="preserve"> </w:t>
      </w:r>
      <w:r>
        <w:rPr>
          <w:sz w:val="24"/>
        </w:rPr>
        <w:t>to</w:t>
      </w:r>
      <w:r>
        <w:rPr>
          <w:spacing w:val="-7"/>
          <w:sz w:val="24"/>
        </w:rPr>
        <w:t xml:space="preserve"> </w:t>
      </w:r>
      <w:r>
        <w:rPr>
          <w:sz w:val="24"/>
        </w:rPr>
        <w:t>Enter</w:t>
      </w:r>
      <w:r>
        <w:rPr>
          <w:spacing w:val="-5"/>
          <w:sz w:val="24"/>
        </w:rPr>
        <w:t xml:space="preserve"> </w:t>
      </w:r>
      <w:r>
        <w:rPr>
          <w:sz w:val="24"/>
        </w:rPr>
        <w:t>into</w:t>
      </w:r>
      <w:r>
        <w:rPr>
          <w:spacing w:val="-2"/>
          <w:sz w:val="24"/>
        </w:rPr>
        <w:t xml:space="preserve"> </w:t>
      </w:r>
      <w:r>
        <w:rPr>
          <w:sz w:val="24"/>
        </w:rPr>
        <w:t>a</w:t>
      </w:r>
      <w:r>
        <w:rPr>
          <w:spacing w:val="-8"/>
          <w:sz w:val="24"/>
        </w:rPr>
        <w:t xml:space="preserve"> </w:t>
      </w:r>
      <w:r>
        <w:rPr>
          <w:sz w:val="24"/>
        </w:rPr>
        <w:t>Contract</w:t>
      </w:r>
      <w:r>
        <w:rPr>
          <w:spacing w:val="-1"/>
          <w:sz w:val="24"/>
        </w:rPr>
        <w:t xml:space="preserve"> </w:t>
      </w:r>
      <w:r>
        <w:rPr>
          <w:sz w:val="24"/>
        </w:rPr>
        <w:t>with the successful Tenderer.</w:t>
      </w:r>
    </w:p>
    <w:p w14:paraId="4533DDB2" w14:textId="77777777" w:rsidR="00BB77C0" w:rsidRDefault="00370BAA">
      <w:pPr>
        <w:pStyle w:val="Heading6"/>
        <w:numPr>
          <w:ilvl w:val="0"/>
          <w:numId w:val="75"/>
        </w:numPr>
        <w:tabs>
          <w:tab w:val="left" w:pos="720"/>
        </w:tabs>
        <w:spacing w:before="241"/>
        <w:ind w:hanging="720"/>
      </w:pPr>
      <w:bookmarkStart w:id="108" w:name="48.0_Debriefing_by_the_Procuring_Entity"/>
      <w:bookmarkStart w:id="109" w:name="_bookmark53"/>
      <w:bookmarkEnd w:id="108"/>
      <w:bookmarkEnd w:id="109"/>
      <w:r>
        <w:t>Debriefing</w:t>
      </w:r>
      <w:r>
        <w:rPr>
          <w:spacing w:val="-4"/>
        </w:rPr>
        <w:t xml:space="preserve"> </w:t>
      </w:r>
      <w:r>
        <w:t>by</w:t>
      </w:r>
      <w:r>
        <w:rPr>
          <w:spacing w:val="-5"/>
        </w:rPr>
        <w:t xml:space="preserve"> </w:t>
      </w:r>
      <w:r>
        <w:t>the</w:t>
      </w:r>
      <w:r>
        <w:rPr>
          <w:spacing w:val="-5"/>
        </w:rPr>
        <w:t xml:space="preserve"> </w:t>
      </w:r>
      <w:r>
        <w:t>Procuring</w:t>
      </w:r>
      <w:r>
        <w:rPr>
          <w:spacing w:val="-3"/>
        </w:rPr>
        <w:t xml:space="preserve"> </w:t>
      </w:r>
      <w:r>
        <w:rPr>
          <w:spacing w:val="-2"/>
        </w:rPr>
        <w:t>Entity</w:t>
      </w:r>
    </w:p>
    <w:p w14:paraId="71CCD08D" w14:textId="77777777" w:rsidR="00BB77C0" w:rsidRDefault="00370BAA">
      <w:pPr>
        <w:pStyle w:val="ListParagraph"/>
        <w:numPr>
          <w:ilvl w:val="1"/>
          <w:numId w:val="75"/>
        </w:numPr>
        <w:tabs>
          <w:tab w:val="left" w:pos="1441"/>
        </w:tabs>
        <w:spacing w:before="74" w:line="259" w:lineRule="auto"/>
        <w:ind w:right="62"/>
        <w:rPr>
          <w:sz w:val="24"/>
        </w:rPr>
      </w:pPr>
      <w:r>
        <w:rPr>
          <w:sz w:val="24"/>
        </w:rPr>
        <w:t xml:space="preserve">On receipt of the Procuring Entity's </w:t>
      </w:r>
      <w:r>
        <w:rPr>
          <w:sz w:val="24"/>
          <w:u w:val="single" w:color="211F1F"/>
        </w:rPr>
        <w:t>Notification of Intention to Enter into a Contract</w:t>
      </w:r>
      <w:r>
        <w:rPr>
          <w:sz w:val="24"/>
        </w:rPr>
        <w:t xml:space="preserve"> referred to in</w:t>
      </w:r>
      <w:r>
        <w:rPr>
          <w:spacing w:val="-5"/>
          <w:sz w:val="24"/>
        </w:rPr>
        <w:t xml:space="preserve"> </w:t>
      </w:r>
      <w:r>
        <w:rPr>
          <w:sz w:val="24"/>
        </w:rPr>
        <w:t>ITT 43, an</w:t>
      </w:r>
      <w:r>
        <w:rPr>
          <w:spacing w:val="-5"/>
          <w:sz w:val="24"/>
        </w:rPr>
        <w:t xml:space="preserve"> </w:t>
      </w:r>
      <w:r>
        <w:rPr>
          <w:sz w:val="24"/>
        </w:rPr>
        <w:t>unsuccessful</w:t>
      </w:r>
      <w:r>
        <w:rPr>
          <w:spacing w:val="-9"/>
          <w:sz w:val="24"/>
        </w:rPr>
        <w:t xml:space="preserve"> </w:t>
      </w:r>
      <w:r>
        <w:rPr>
          <w:sz w:val="24"/>
        </w:rPr>
        <w:t>tenderer may</w:t>
      </w:r>
      <w:r>
        <w:rPr>
          <w:spacing w:val="-5"/>
          <w:sz w:val="24"/>
        </w:rPr>
        <w:t xml:space="preserve"> </w:t>
      </w:r>
      <w:r>
        <w:rPr>
          <w:sz w:val="24"/>
        </w:rPr>
        <w:t>make</w:t>
      </w:r>
      <w:r>
        <w:rPr>
          <w:spacing w:val="-1"/>
          <w:sz w:val="24"/>
        </w:rPr>
        <w:t xml:space="preserve"> </w:t>
      </w:r>
      <w:r>
        <w:rPr>
          <w:sz w:val="24"/>
        </w:rPr>
        <w:t>a</w:t>
      </w:r>
      <w:r>
        <w:rPr>
          <w:spacing w:val="-1"/>
          <w:sz w:val="24"/>
        </w:rPr>
        <w:t xml:space="preserve"> </w:t>
      </w:r>
      <w:r>
        <w:rPr>
          <w:sz w:val="24"/>
        </w:rPr>
        <w:t>concern(s) regarding their tender.</w:t>
      </w:r>
      <w:r>
        <w:rPr>
          <w:spacing w:val="-3"/>
          <w:sz w:val="24"/>
        </w:rPr>
        <w:t xml:space="preserve"> </w:t>
      </w:r>
      <w:r>
        <w:rPr>
          <w:sz w:val="24"/>
        </w:rPr>
        <w:t>The</w:t>
      </w:r>
      <w:r>
        <w:rPr>
          <w:spacing w:val="-8"/>
          <w:sz w:val="24"/>
        </w:rPr>
        <w:t xml:space="preserve"> </w:t>
      </w:r>
      <w:r>
        <w:rPr>
          <w:sz w:val="24"/>
        </w:rPr>
        <w:t>Procuring Entity</w:t>
      </w:r>
      <w:r>
        <w:rPr>
          <w:spacing w:val="-10"/>
          <w:sz w:val="24"/>
        </w:rPr>
        <w:t xml:space="preserve"> </w:t>
      </w:r>
      <w:r>
        <w:rPr>
          <w:sz w:val="24"/>
        </w:rPr>
        <w:t>shall</w:t>
      </w:r>
      <w:r>
        <w:rPr>
          <w:spacing w:val="-9"/>
          <w:sz w:val="24"/>
        </w:rPr>
        <w:t xml:space="preserve"> </w:t>
      </w:r>
      <w:r>
        <w:rPr>
          <w:sz w:val="24"/>
        </w:rPr>
        <w:t>provide</w:t>
      </w:r>
      <w:r>
        <w:rPr>
          <w:spacing w:val="-7"/>
          <w:sz w:val="24"/>
        </w:rPr>
        <w:t xml:space="preserve"> </w:t>
      </w:r>
      <w:r>
        <w:rPr>
          <w:sz w:val="24"/>
        </w:rPr>
        <w:t>the</w:t>
      </w:r>
      <w:r>
        <w:rPr>
          <w:spacing w:val="-7"/>
          <w:sz w:val="24"/>
        </w:rPr>
        <w:t xml:space="preserve"> </w:t>
      </w:r>
      <w:r>
        <w:rPr>
          <w:sz w:val="24"/>
        </w:rPr>
        <w:t>debriefing within</w:t>
      </w:r>
      <w:r>
        <w:rPr>
          <w:spacing w:val="-2"/>
          <w:sz w:val="24"/>
        </w:rPr>
        <w:t xml:space="preserve"> </w:t>
      </w:r>
      <w:r>
        <w:rPr>
          <w:sz w:val="24"/>
        </w:rPr>
        <w:t>five</w:t>
      </w:r>
      <w:r>
        <w:rPr>
          <w:spacing w:val="-7"/>
          <w:sz w:val="24"/>
        </w:rPr>
        <w:t xml:space="preserve"> </w:t>
      </w:r>
      <w:r>
        <w:rPr>
          <w:sz w:val="24"/>
        </w:rPr>
        <w:t>days</w:t>
      </w:r>
      <w:r>
        <w:rPr>
          <w:spacing w:val="-4"/>
          <w:sz w:val="24"/>
        </w:rPr>
        <w:t xml:space="preserve"> </w:t>
      </w:r>
      <w:r>
        <w:rPr>
          <w:sz w:val="24"/>
        </w:rPr>
        <w:t>of</w:t>
      </w:r>
      <w:r>
        <w:rPr>
          <w:spacing w:val="-14"/>
          <w:sz w:val="24"/>
        </w:rPr>
        <w:t xml:space="preserve"> </w:t>
      </w:r>
      <w:r>
        <w:rPr>
          <w:sz w:val="24"/>
        </w:rPr>
        <w:t>receipt of the request.</w:t>
      </w:r>
    </w:p>
    <w:p w14:paraId="596997B9" w14:textId="77777777" w:rsidR="00BB77C0" w:rsidRDefault="00370BAA">
      <w:pPr>
        <w:pStyle w:val="ListParagraph"/>
        <w:numPr>
          <w:ilvl w:val="1"/>
          <w:numId w:val="75"/>
        </w:numPr>
        <w:tabs>
          <w:tab w:val="left" w:pos="1440"/>
          <w:tab w:val="left" w:pos="2161"/>
        </w:tabs>
        <w:spacing w:before="162" w:line="264" w:lineRule="auto"/>
        <w:ind w:left="2161" w:right="748" w:hanging="1441"/>
        <w:rPr>
          <w:sz w:val="24"/>
        </w:rPr>
      </w:pPr>
      <w:r>
        <w:rPr>
          <w:sz w:val="24"/>
        </w:rPr>
        <w:t>Debriefings</w:t>
      </w:r>
      <w:r>
        <w:rPr>
          <w:spacing w:val="-5"/>
          <w:sz w:val="24"/>
        </w:rPr>
        <w:t xml:space="preserve"> </w:t>
      </w:r>
      <w:r>
        <w:rPr>
          <w:sz w:val="24"/>
        </w:rPr>
        <w:t>of</w:t>
      </w:r>
      <w:r>
        <w:rPr>
          <w:spacing w:val="-8"/>
          <w:sz w:val="24"/>
        </w:rPr>
        <w:t xml:space="preserve"> </w:t>
      </w:r>
      <w:r>
        <w:rPr>
          <w:sz w:val="24"/>
        </w:rPr>
        <w:t>unsuccessful</w:t>
      </w:r>
      <w:r>
        <w:rPr>
          <w:spacing w:val="-11"/>
          <w:sz w:val="24"/>
        </w:rPr>
        <w:t xml:space="preserve"> </w:t>
      </w:r>
      <w:r>
        <w:rPr>
          <w:sz w:val="24"/>
        </w:rPr>
        <w:t>Tenderers</w:t>
      </w:r>
      <w:r>
        <w:rPr>
          <w:spacing w:val="-1"/>
          <w:sz w:val="24"/>
        </w:rPr>
        <w:t xml:space="preserve"> </w:t>
      </w:r>
      <w:r>
        <w:rPr>
          <w:sz w:val="24"/>
        </w:rPr>
        <w:t>may</w:t>
      </w:r>
      <w:r>
        <w:rPr>
          <w:spacing w:val="-8"/>
          <w:sz w:val="24"/>
        </w:rPr>
        <w:t xml:space="preserve"> </w:t>
      </w:r>
      <w:r>
        <w:rPr>
          <w:sz w:val="24"/>
        </w:rPr>
        <w:t>be done</w:t>
      </w:r>
      <w:r>
        <w:rPr>
          <w:spacing w:val="-4"/>
          <w:sz w:val="24"/>
        </w:rPr>
        <w:t xml:space="preserve"> </w:t>
      </w:r>
      <w:r>
        <w:rPr>
          <w:sz w:val="24"/>
        </w:rPr>
        <w:t>in</w:t>
      </w:r>
      <w:r>
        <w:rPr>
          <w:spacing w:val="-8"/>
          <w:sz w:val="24"/>
        </w:rPr>
        <w:t xml:space="preserve"> </w:t>
      </w:r>
      <w:r>
        <w:rPr>
          <w:sz w:val="24"/>
        </w:rPr>
        <w:t>writing</w:t>
      </w:r>
      <w:r>
        <w:rPr>
          <w:spacing w:val="-3"/>
          <w:sz w:val="24"/>
        </w:rPr>
        <w:t xml:space="preserve"> </w:t>
      </w:r>
      <w:r>
        <w:rPr>
          <w:sz w:val="24"/>
        </w:rPr>
        <w:t>or verbally.</w:t>
      </w:r>
      <w:r>
        <w:rPr>
          <w:spacing w:val="-1"/>
          <w:sz w:val="24"/>
        </w:rPr>
        <w:t xml:space="preserve"> </w:t>
      </w:r>
      <w:r>
        <w:rPr>
          <w:sz w:val="24"/>
        </w:rPr>
        <w:t>The tenderer</w:t>
      </w:r>
      <w:r>
        <w:rPr>
          <w:spacing w:val="-5"/>
          <w:sz w:val="24"/>
        </w:rPr>
        <w:t xml:space="preserve"> </w:t>
      </w:r>
      <w:r>
        <w:rPr>
          <w:sz w:val="24"/>
        </w:rPr>
        <w:t>shall</w:t>
      </w:r>
      <w:r>
        <w:rPr>
          <w:spacing w:val="-5"/>
          <w:sz w:val="24"/>
        </w:rPr>
        <w:t xml:space="preserve"> </w:t>
      </w:r>
      <w:r>
        <w:rPr>
          <w:sz w:val="24"/>
        </w:rPr>
        <w:t>bear its</w:t>
      </w:r>
      <w:r>
        <w:rPr>
          <w:spacing w:val="-9"/>
          <w:sz w:val="24"/>
        </w:rPr>
        <w:t xml:space="preserve"> </w:t>
      </w:r>
      <w:r>
        <w:rPr>
          <w:sz w:val="24"/>
        </w:rPr>
        <w:t>own</w:t>
      </w:r>
      <w:r>
        <w:rPr>
          <w:spacing w:val="-11"/>
          <w:sz w:val="24"/>
        </w:rPr>
        <w:t xml:space="preserve"> </w:t>
      </w:r>
      <w:r>
        <w:rPr>
          <w:sz w:val="24"/>
        </w:rPr>
        <w:t>costs</w:t>
      </w:r>
      <w:r>
        <w:rPr>
          <w:spacing w:val="-12"/>
          <w:sz w:val="24"/>
        </w:rPr>
        <w:t xml:space="preserve"> </w:t>
      </w:r>
      <w:r>
        <w:rPr>
          <w:sz w:val="24"/>
        </w:rPr>
        <w:t>of</w:t>
      </w:r>
      <w:r>
        <w:rPr>
          <w:spacing w:val="-14"/>
          <w:sz w:val="24"/>
        </w:rPr>
        <w:t xml:space="preserve"> </w:t>
      </w:r>
      <w:r>
        <w:rPr>
          <w:sz w:val="24"/>
        </w:rPr>
        <w:t>attending</w:t>
      </w:r>
      <w:r>
        <w:rPr>
          <w:spacing w:val="-6"/>
          <w:sz w:val="24"/>
        </w:rPr>
        <w:t xml:space="preserve"> </w:t>
      </w:r>
      <w:r>
        <w:rPr>
          <w:sz w:val="24"/>
        </w:rPr>
        <w:t>such</w:t>
      </w:r>
      <w:r>
        <w:rPr>
          <w:spacing w:val="-6"/>
          <w:sz w:val="24"/>
        </w:rPr>
        <w:t xml:space="preserve"> </w:t>
      </w:r>
      <w:r>
        <w:rPr>
          <w:sz w:val="24"/>
        </w:rPr>
        <w:t>a</w:t>
      </w:r>
      <w:r>
        <w:rPr>
          <w:spacing w:val="-8"/>
          <w:sz w:val="24"/>
        </w:rPr>
        <w:t xml:space="preserve"> </w:t>
      </w:r>
      <w:r>
        <w:rPr>
          <w:sz w:val="24"/>
        </w:rPr>
        <w:t>debriefing</w:t>
      </w:r>
      <w:r>
        <w:rPr>
          <w:spacing w:val="-1"/>
          <w:sz w:val="24"/>
        </w:rPr>
        <w:t xml:space="preserve"> </w:t>
      </w:r>
      <w:r>
        <w:rPr>
          <w:sz w:val="24"/>
        </w:rPr>
        <w:t>meeting.</w:t>
      </w:r>
    </w:p>
    <w:p w14:paraId="42EE80A1" w14:textId="77777777" w:rsidR="00BB77C0" w:rsidRDefault="00370BAA">
      <w:pPr>
        <w:pStyle w:val="Heading6"/>
        <w:numPr>
          <w:ilvl w:val="0"/>
          <w:numId w:val="75"/>
        </w:numPr>
        <w:tabs>
          <w:tab w:val="left" w:pos="720"/>
        </w:tabs>
        <w:spacing w:before="228"/>
        <w:ind w:hanging="720"/>
      </w:pPr>
      <w:bookmarkStart w:id="110" w:name="49.0_Letter_of_Award"/>
      <w:bookmarkStart w:id="111" w:name="_bookmark54"/>
      <w:bookmarkEnd w:id="110"/>
      <w:bookmarkEnd w:id="111"/>
      <w:r>
        <w:t>Letter</w:t>
      </w:r>
      <w:r>
        <w:rPr>
          <w:spacing w:val="-4"/>
        </w:rPr>
        <w:t xml:space="preserve"> </w:t>
      </w:r>
      <w:r>
        <w:t>of</w:t>
      </w:r>
      <w:r>
        <w:rPr>
          <w:spacing w:val="-2"/>
        </w:rPr>
        <w:t xml:space="preserve"> </w:t>
      </w:r>
      <w:r>
        <w:rPr>
          <w:spacing w:val="-4"/>
        </w:rPr>
        <w:t>Award</w:t>
      </w:r>
    </w:p>
    <w:p w14:paraId="52C973F5" w14:textId="77777777" w:rsidR="00BB77C0" w:rsidRDefault="00370BAA">
      <w:pPr>
        <w:pStyle w:val="ListParagraph"/>
        <w:numPr>
          <w:ilvl w:val="1"/>
          <w:numId w:val="75"/>
        </w:numPr>
        <w:tabs>
          <w:tab w:val="left" w:pos="1441"/>
        </w:tabs>
        <w:spacing w:before="80" w:line="259" w:lineRule="auto"/>
        <w:ind w:right="292"/>
        <w:rPr>
          <w:sz w:val="24"/>
        </w:rPr>
      </w:pPr>
      <w:r>
        <w:rPr>
          <w:sz w:val="24"/>
        </w:rPr>
        <w:t>Prior to the expiry of the Tender Validity Period and upon expiry of the Standstill Period</w:t>
      </w:r>
      <w:r>
        <w:rPr>
          <w:spacing w:val="-8"/>
          <w:sz w:val="24"/>
        </w:rPr>
        <w:t xml:space="preserve"> </w:t>
      </w:r>
      <w:r>
        <w:rPr>
          <w:sz w:val="24"/>
        </w:rPr>
        <w:t>specified</w:t>
      </w:r>
      <w:r>
        <w:rPr>
          <w:spacing w:val="-3"/>
          <w:sz w:val="24"/>
        </w:rPr>
        <w:t xml:space="preserve"> </w:t>
      </w:r>
      <w:r>
        <w:rPr>
          <w:sz w:val="24"/>
        </w:rPr>
        <w:t>in</w:t>
      </w:r>
      <w:r>
        <w:rPr>
          <w:spacing w:val="-8"/>
          <w:sz w:val="24"/>
        </w:rPr>
        <w:t xml:space="preserve"> </w:t>
      </w:r>
      <w:r>
        <w:rPr>
          <w:sz w:val="24"/>
        </w:rPr>
        <w:t>ITT</w:t>
      </w:r>
      <w:r>
        <w:rPr>
          <w:spacing w:val="-6"/>
          <w:sz w:val="24"/>
        </w:rPr>
        <w:t xml:space="preserve"> </w:t>
      </w:r>
      <w:r>
        <w:rPr>
          <w:sz w:val="24"/>
        </w:rPr>
        <w:t>42.1,</w:t>
      </w:r>
      <w:r>
        <w:rPr>
          <w:spacing w:val="-6"/>
          <w:sz w:val="24"/>
        </w:rPr>
        <w:t xml:space="preserve"> </w:t>
      </w:r>
      <w:r>
        <w:rPr>
          <w:sz w:val="24"/>
        </w:rPr>
        <w:t>upon</w:t>
      </w:r>
      <w:r>
        <w:rPr>
          <w:spacing w:val="-12"/>
          <w:sz w:val="24"/>
        </w:rPr>
        <w:t xml:space="preserve"> </w:t>
      </w:r>
      <w:r>
        <w:rPr>
          <w:sz w:val="24"/>
        </w:rPr>
        <w:t>addressing</w:t>
      </w:r>
      <w:r>
        <w:rPr>
          <w:spacing w:val="-8"/>
          <w:sz w:val="24"/>
        </w:rPr>
        <w:t xml:space="preserve"> </w:t>
      </w:r>
      <w:r>
        <w:rPr>
          <w:sz w:val="24"/>
        </w:rPr>
        <w:t>a</w:t>
      </w:r>
      <w:r>
        <w:rPr>
          <w:spacing w:val="-5"/>
          <w:sz w:val="24"/>
        </w:rPr>
        <w:t xml:space="preserve"> </w:t>
      </w:r>
      <w:r>
        <w:rPr>
          <w:sz w:val="24"/>
        </w:rPr>
        <w:t>complaint</w:t>
      </w:r>
      <w:r>
        <w:rPr>
          <w:spacing w:val="-2"/>
          <w:sz w:val="24"/>
        </w:rPr>
        <w:t xml:space="preserve"> </w:t>
      </w:r>
      <w:r>
        <w:rPr>
          <w:sz w:val="24"/>
        </w:rPr>
        <w:t>that</w:t>
      </w:r>
      <w:r>
        <w:rPr>
          <w:spacing w:val="-3"/>
          <w:sz w:val="24"/>
        </w:rPr>
        <w:t xml:space="preserve"> </w:t>
      </w:r>
      <w:r>
        <w:rPr>
          <w:sz w:val="24"/>
        </w:rPr>
        <w:t>has</w:t>
      </w:r>
      <w:r>
        <w:rPr>
          <w:spacing w:val="-6"/>
          <w:sz w:val="24"/>
        </w:rPr>
        <w:t xml:space="preserve"> </w:t>
      </w:r>
      <w:r>
        <w:rPr>
          <w:sz w:val="24"/>
        </w:rPr>
        <w:t>been</w:t>
      </w:r>
      <w:r>
        <w:rPr>
          <w:spacing w:val="-8"/>
          <w:sz w:val="24"/>
        </w:rPr>
        <w:t xml:space="preserve"> </w:t>
      </w:r>
      <w:r>
        <w:rPr>
          <w:sz w:val="24"/>
        </w:rPr>
        <w:t>filed</w:t>
      </w:r>
      <w:r>
        <w:rPr>
          <w:spacing w:val="-8"/>
          <w:sz w:val="24"/>
        </w:rPr>
        <w:t xml:space="preserve"> </w:t>
      </w:r>
      <w:r>
        <w:rPr>
          <w:sz w:val="24"/>
        </w:rPr>
        <w:t>within the Standstill Period, the Procuring Entity</w:t>
      </w:r>
      <w:r>
        <w:rPr>
          <w:spacing w:val="-4"/>
          <w:sz w:val="24"/>
        </w:rPr>
        <w:t xml:space="preserve"> </w:t>
      </w:r>
      <w:r>
        <w:rPr>
          <w:sz w:val="24"/>
        </w:rPr>
        <w:t>shall</w:t>
      </w:r>
      <w:r>
        <w:rPr>
          <w:spacing w:val="-2"/>
          <w:sz w:val="24"/>
        </w:rPr>
        <w:t xml:space="preserve"> </w:t>
      </w:r>
      <w:r>
        <w:rPr>
          <w:sz w:val="24"/>
        </w:rPr>
        <w:t xml:space="preserve">transmit the </w:t>
      </w:r>
      <w:r>
        <w:rPr>
          <w:sz w:val="24"/>
          <w:u w:val="single" w:color="211F1F"/>
        </w:rPr>
        <w:t>Letter</w:t>
      </w:r>
      <w:r>
        <w:rPr>
          <w:spacing w:val="-1"/>
          <w:sz w:val="24"/>
          <w:u w:val="single" w:color="211F1F"/>
        </w:rPr>
        <w:t xml:space="preserve"> </w:t>
      </w:r>
      <w:r>
        <w:rPr>
          <w:sz w:val="24"/>
          <w:u w:val="single" w:color="211F1F"/>
        </w:rPr>
        <w:t>of</w:t>
      </w:r>
      <w:r>
        <w:rPr>
          <w:spacing w:val="-1"/>
          <w:sz w:val="24"/>
          <w:u w:val="single" w:color="211F1F"/>
        </w:rPr>
        <w:t xml:space="preserve"> </w:t>
      </w:r>
      <w:r>
        <w:rPr>
          <w:sz w:val="24"/>
          <w:u w:val="single" w:color="211F1F"/>
        </w:rPr>
        <w:t xml:space="preserve">Award </w:t>
      </w:r>
      <w:r>
        <w:rPr>
          <w:sz w:val="24"/>
        </w:rPr>
        <w:t>to the successful Tenderer. The letter of award shall request the successful tenderer to furnish the Performance Security within 21 days of the date of the letter.</w:t>
      </w:r>
    </w:p>
    <w:p w14:paraId="1572652F" w14:textId="77777777" w:rsidR="00BB77C0" w:rsidRDefault="00370BAA">
      <w:pPr>
        <w:pStyle w:val="Heading6"/>
        <w:numPr>
          <w:ilvl w:val="0"/>
          <w:numId w:val="75"/>
        </w:numPr>
        <w:tabs>
          <w:tab w:val="left" w:pos="720"/>
        </w:tabs>
        <w:spacing w:before="243"/>
        <w:ind w:hanging="720"/>
        <w:jc w:val="both"/>
      </w:pPr>
      <w:bookmarkStart w:id="112" w:name="50.0_Signing_of_Contract"/>
      <w:bookmarkStart w:id="113" w:name="_bookmark55"/>
      <w:bookmarkEnd w:id="112"/>
      <w:bookmarkEnd w:id="113"/>
      <w:r>
        <w:t>Signing</w:t>
      </w:r>
      <w:r>
        <w:rPr>
          <w:spacing w:val="-1"/>
        </w:rPr>
        <w:t xml:space="preserve"> </w:t>
      </w:r>
      <w:r>
        <w:t xml:space="preserve">of </w:t>
      </w:r>
      <w:r>
        <w:rPr>
          <w:spacing w:val="-2"/>
        </w:rPr>
        <w:t>Contract</w:t>
      </w:r>
    </w:p>
    <w:p w14:paraId="60A0741E" w14:textId="77777777" w:rsidR="00BB77C0" w:rsidRDefault="00370BAA">
      <w:pPr>
        <w:pStyle w:val="ListParagraph"/>
        <w:numPr>
          <w:ilvl w:val="1"/>
          <w:numId w:val="75"/>
        </w:numPr>
        <w:tabs>
          <w:tab w:val="left" w:pos="1439"/>
          <w:tab w:val="left" w:pos="1441"/>
        </w:tabs>
        <w:spacing w:before="74" w:line="259" w:lineRule="auto"/>
        <w:ind w:right="536"/>
        <w:jc w:val="both"/>
        <w:rPr>
          <w:sz w:val="24"/>
        </w:rPr>
      </w:pPr>
      <w:r>
        <w:rPr>
          <w:sz w:val="24"/>
        </w:rPr>
        <w:t>Upon</w:t>
      </w:r>
      <w:r>
        <w:rPr>
          <w:spacing w:val="-5"/>
          <w:sz w:val="24"/>
        </w:rPr>
        <w:t xml:space="preserve"> </w:t>
      </w:r>
      <w:r>
        <w:rPr>
          <w:sz w:val="24"/>
        </w:rPr>
        <w:t>the</w:t>
      </w:r>
      <w:r>
        <w:rPr>
          <w:spacing w:val="-2"/>
          <w:sz w:val="24"/>
        </w:rPr>
        <w:t xml:space="preserve"> </w:t>
      </w:r>
      <w:r>
        <w:rPr>
          <w:sz w:val="24"/>
        </w:rPr>
        <w:t>expiry</w:t>
      </w:r>
      <w:r>
        <w:rPr>
          <w:spacing w:val="-5"/>
          <w:sz w:val="24"/>
        </w:rPr>
        <w:t xml:space="preserve"> </w:t>
      </w:r>
      <w:r>
        <w:rPr>
          <w:sz w:val="24"/>
        </w:rPr>
        <w:t>of</w:t>
      </w:r>
      <w:r>
        <w:rPr>
          <w:spacing w:val="-8"/>
          <w:sz w:val="24"/>
        </w:rPr>
        <w:t xml:space="preserve"> </w:t>
      </w:r>
      <w:r>
        <w:rPr>
          <w:sz w:val="24"/>
        </w:rPr>
        <w:t>the fourteen days of</w:t>
      </w:r>
      <w:r>
        <w:rPr>
          <w:spacing w:val="-9"/>
          <w:sz w:val="24"/>
        </w:rPr>
        <w:t xml:space="preserve"> </w:t>
      </w:r>
      <w:r>
        <w:rPr>
          <w:sz w:val="24"/>
        </w:rPr>
        <w:t>the</w:t>
      </w:r>
      <w:r>
        <w:rPr>
          <w:spacing w:val="-1"/>
          <w:sz w:val="24"/>
        </w:rPr>
        <w:t xml:space="preserve"> </w:t>
      </w:r>
      <w:r>
        <w:rPr>
          <w:sz w:val="24"/>
        </w:rPr>
        <w:t>Notification of</w:t>
      </w:r>
      <w:r>
        <w:rPr>
          <w:spacing w:val="-4"/>
          <w:sz w:val="24"/>
        </w:rPr>
        <w:t xml:space="preserve"> </w:t>
      </w:r>
      <w:r>
        <w:rPr>
          <w:sz w:val="24"/>
        </w:rPr>
        <w:t>Intention</w:t>
      </w:r>
      <w:r>
        <w:rPr>
          <w:spacing w:val="-4"/>
          <w:sz w:val="24"/>
        </w:rPr>
        <w:t xml:space="preserve"> </w:t>
      </w:r>
      <w:r>
        <w:rPr>
          <w:sz w:val="24"/>
        </w:rPr>
        <w:t>to enter into contract and upon</w:t>
      </w:r>
      <w:r>
        <w:rPr>
          <w:spacing w:val="-7"/>
          <w:sz w:val="24"/>
        </w:rPr>
        <w:t xml:space="preserve"> </w:t>
      </w:r>
      <w:r>
        <w:rPr>
          <w:sz w:val="24"/>
        </w:rPr>
        <w:t>the</w:t>
      </w:r>
      <w:r>
        <w:rPr>
          <w:spacing w:val="-5"/>
          <w:sz w:val="24"/>
        </w:rPr>
        <w:t xml:space="preserve"> </w:t>
      </w:r>
      <w:r>
        <w:rPr>
          <w:sz w:val="24"/>
        </w:rPr>
        <w:t>parties meeting their</w:t>
      </w:r>
      <w:r>
        <w:rPr>
          <w:spacing w:val="-1"/>
          <w:sz w:val="24"/>
        </w:rPr>
        <w:t xml:space="preserve"> </w:t>
      </w:r>
      <w:r>
        <w:rPr>
          <w:sz w:val="24"/>
        </w:rPr>
        <w:t>respective</w:t>
      </w:r>
      <w:r>
        <w:rPr>
          <w:spacing w:val="-4"/>
          <w:sz w:val="24"/>
        </w:rPr>
        <w:t xml:space="preserve"> </w:t>
      </w:r>
      <w:r>
        <w:rPr>
          <w:sz w:val="24"/>
        </w:rPr>
        <w:t>statutory</w:t>
      </w:r>
      <w:r>
        <w:rPr>
          <w:spacing w:val="-7"/>
          <w:sz w:val="24"/>
        </w:rPr>
        <w:t xml:space="preserve"> </w:t>
      </w:r>
      <w:r>
        <w:rPr>
          <w:sz w:val="24"/>
        </w:rPr>
        <w:t>requirements, the Procuring Entity shall send the successful Tenderer the Framework Agreement.</w:t>
      </w:r>
    </w:p>
    <w:p w14:paraId="06939E02" w14:textId="77777777" w:rsidR="00BB77C0" w:rsidRDefault="00370BAA">
      <w:pPr>
        <w:pStyle w:val="ListParagraph"/>
        <w:numPr>
          <w:ilvl w:val="1"/>
          <w:numId w:val="75"/>
        </w:numPr>
        <w:tabs>
          <w:tab w:val="left" w:pos="1439"/>
          <w:tab w:val="left" w:pos="1441"/>
        </w:tabs>
        <w:spacing w:before="158" w:line="259" w:lineRule="auto"/>
        <w:ind w:right="484"/>
        <w:jc w:val="both"/>
        <w:rPr>
          <w:sz w:val="24"/>
        </w:rPr>
      </w:pPr>
      <w:r>
        <w:rPr>
          <w:sz w:val="24"/>
        </w:rPr>
        <w:t>Within fourteen</w:t>
      </w:r>
      <w:r>
        <w:rPr>
          <w:spacing w:val="-5"/>
          <w:sz w:val="24"/>
        </w:rPr>
        <w:t xml:space="preserve"> </w:t>
      </w:r>
      <w:r>
        <w:rPr>
          <w:sz w:val="24"/>
        </w:rPr>
        <w:t>(14) days</w:t>
      </w:r>
      <w:r>
        <w:rPr>
          <w:spacing w:val="-3"/>
          <w:sz w:val="24"/>
        </w:rPr>
        <w:t xml:space="preserve"> </w:t>
      </w:r>
      <w:r>
        <w:rPr>
          <w:sz w:val="24"/>
        </w:rPr>
        <w:t>of</w:t>
      </w:r>
      <w:r>
        <w:rPr>
          <w:spacing w:val="-9"/>
          <w:sz w:val="24"/>
        </w:rPr>
        <w:t xml:space="preserve"> </w:t>
      </w:r>
      <w:r>
        <w:rPr>
          <w:sz w:val="24"/>
        </w:rPr>
        <w:t>receipt of</w:t>
      </w:r>
      <w:r>
        <w:rPr>
          <w:spacing w:val="-9"/>
          <w:sz w:val="24"/>
        </w:rPr>
        <w:t xml:space="preserve"> </w:t>
      </w:r>
      <w:r>
        <w:rPr>
          <w:sz w:val="24"/>
        </w:rPr>
        <w:t>the</w:t>
      </w:r>
      <w:r>
        <w:rPr>
          <w:spacing w:val="-1"/>
          <w:sz w:val="24"/>
        </w:rPr>
        <w:t xml:space="preserve"> </w:t>
      </w:r>
      <w:r>
        <w:rPr>
          <w:sz w:val="24"/>
        </w:rPr>
        <w:t>Framework Agreement,</w:t>
      </w:r>
      <w:r>
        <w:rPr>
          <w:spacing w:val="-2"/>
          <w:sz w:val="24"/>
        </w:rPr>
        <w:t xml:space="preserve"> </w:t>
      </w:r>
      <w:r>
        <w:rPr>
          <w:sz w:val="24"/>
        </w:rPr>
        <w:t>the</w:t>
      </w:r>
      <w:r>
        <w:rPr>
          <w:spacing w:val="-1"/>
          <w:sz w:val="24"/>
        </w:rPr>
        <w:t xml:space="preserve"> </w:t>
      </w:r>
      <w:r>
        <w:rPr>
          <w:sz w:val="24"/>
        </w:rPr>
        <w:t>successful Tenderer shall sign, date, and return it to the Procuring Entity.</w:t>
      </w:r>
    </w:p>
    <w:p w14:paraId="682176E9" w14:textId="77777777" w:rsidR="00BB77C0" w:rsidRDefault="00370BAA">
      <w:pPr>
        <w:pStyle w:val="ListParagraph"/>
        <w:numPr>
          <w:ilvl w:val="1"/>
          <w:numId w:val="75"/>
        </w:numPr>
        <w:tabs>
          <w:tab w:val="left" w:pos="1441"/>
        </w:tabs>
        <w:spacing w:before="157" w:line="264" w:lineRule="auto"/>
        <w:ind w:right="1193"/>
        <w:rPr>
          <w:sz w:val="24"/>
        </w:rPr>
      </w:pPr>
      <w:r>
        <w:rPr>
          <w:sz w:val="24"/>
        </w:rPr>
        <w:t>The</w:t>
      </w:r>
      <w:r>
        <w:rPr>
          <w:spacing w:val="-9"/>
          <w:sz w:val="24"/>
        </w:rPr>
        <w:t xml:space="preserve"> </w:t>
      </w:r>
      <w:r>
        <w:rPr>
          <w:sz w:val="24"/>
        </w:rPr>
        <w:t>written</w:t>
      </w:r>
      <w:r>
        <w:rPr>
          <w:spacing w:val="-11"/>
          <w:sz w:val="24"/>
        </w:rPr>
        <w:t xml:space="preserve"> </w:t>
      </w:r>
      <w:r>
        <w:rPr>
          <w:sz w:val="24"/>
        </w:rPr>
        <w:t>contract</w:t>
      </w:r>
      <w:r>
        <w:rPr>
          <w:spacing w:val="-2"/>
          <w:sz w:val="24"/>
        </w:rPr>
        <w:t xml:space="preserve"> </w:t>
      </w:r>
      <w:r>
        <w:rPr>
          <w:sz w:val="24"/>
        </w:rPr>
        <w:t>shall</w:t>
      </w:r>
      <w:r>
        <w:rPr>
          <w:spacing w:val="-7"/>
          <w:sz w:val="24"/>
        </w:rPr>
        <w:t xml:space="preserve"> </w:t>
      </w:r>
      <w:r>
        <w:rPr>
          <w:sz w:val="24"/>
        </w:rPr>
        <w:t>be</w:t>
      </w:r>
      <w:r>
        <w:rPr>
          <w:spacing w:val="-9"/>
          <w:sz w:val="24"/>
        </w:rPr>
        <w:t xml:space="preserve"> </w:t>
      </w:r>
      <w:r>
        <w:rPr>
          <w:sz w:val="24"/>
        </w:rPr>
        <w:t>entered</w:t>
      </w:r>
      <w:r>
        <w:rPr>
          <w:spacing w:val="-2"/>
          <w:sz w:val="24"/>
        </w:rPr>
        <w:t xml:space="preserve"> </w:t>
      </w:r>
      <w:r>
        <w:rPr>
          <w:sz w:val="24"/>
        </w:rPr>
        <w:t>into</w:t>
      </w:r>
      <w:r>
        <w:rPr>
          <w:spacing w:val="-8"/>
          <w:sz w:val="24"/>
        </w:rPr>
        <w:t xml:space="preserve"> </w:t>
      </w:r>
      <w:r>
        <w:rPr>
          <w:sz w:val="24"/>
        </w:rPr>
        <w:t>within</w:t>
      </w:r>
      <w:r>
        <w:rPr>
          <w:spacing w:val="-7"/>
          <w:sz w:val="24"/>
        </w:rPr>
        <w:t xml:space="preserve"> </w:t>
      </w:r>
      <w:r>
        <w:rPr>
          <w:sz w:val="24"/>
        </w:rPr>
        <w:t>the</w:t>
      </w:r>
      <w:r>
        <w:rPr>
          <w:spacing w:val="-9"/>
          <w:sz w:val="24"/>
        </w:rPr>
        <w:t xml:space="preserve"> </w:t>
      </w:r>
      <w:r>
        <w:rPr>
          <w:sz w:val="24"/>
        </w:rPr>
        <w:t>period</w:t>
      </w:r>
      <w:r>
        <w:rPr>
          <w:spacing w:val="-7"/>
          <w:sz w:val="24"/>
        </w:rPr>
        <w:t xml:space="preserve"> </w:t>
      </w:r>
      <w:r>
        <w:rPr>
          <w:sz w:val="24"/>
        </w:rPr>
        <w:t>specified</w:t>
      </w:r>
      <w:r>
        <w:rPr>
          <w:spacing w:val="-2"/>
          <w:sz w:val="24"/>
        </w:rPr>
        <w:t xml:space="preserve"> </w:t>
      </w:r>
      <w:r>
        <w:rPr>
          <w:sz w:val="24"/>
        </w:rPr>
        <w:t>in</w:t>
      </w:r>
      <w:r>
        <w:rPr>
          <w:spacing w:val="-8"/>
          <w:sz w:val="24"/>
        </w:rPr>
        <w:t xml:space="preserve"> </w:t>
      </w:r>
      <w:r>
        <w:rPr>
          <w:sz w:val="24"/>
        </w:rPr>
        <w:t>the notification of award and before expiry of the tender validity period.</w:t>
      </w:r>
    </w:p>
    <w:p w14:paraId="66DBADB9" w14:textId="77777777" w:rsidR="00BB77C0" w:rsidRDefault="00370BAA">
      <w:pPr>
        <w:pStyle w:val="Heading6"/>
        <w:numPr>
          <w:ilvl w:val="0"/>
          <w:numId w:val="75"/>
        </w:numPr>
        <w:tabs>
          <w:tab w:val="left" w:pos="720"/>
        </w:tabs>
        <w:spacing w:before="239"/>
        <w:ind w:hanging="720"/>
        <w:jc w:val="both"/>
      </w:pPr>
      <w:bookmarkStart w:id="114" w:name="51.0_Appointment_of_Adjudicator"/>
      <w:bookmarkStart w:id="115" w:name="_bookmark56"/>
      <w:bookmarkEnd w:id="114"/>
      <w:bookmarkEnd w:id="115"/>
      <w:r>
        <w:t>Appointment</w:t>
      </w:r>
      <w:r>
        <w:rPr>
          <w:spacing w:val="-2"/>
        </w:rPr>
        <w:t xml:space="preserve"> </w:t>
      </w:r>
      <w:r>
        <w:t>of</w:t>
      </w:r>
      <w:r>
        <w:rPr>
          <w:spacing w:val="-6"/>
        </w:rPr>
        <w:t xml:space="preserve"> </w:t>
      </w:r>
      <w:r>
        <w:rPr>
          <w:spacing w:val="-2"/>
        </w:rPr>
        <w:t>Adjudicator</w:t>
      </w:r>
    </w:p>
    <w:p w14:paraId="14A46D53" w14:textId="77777777" w:rsidR="00BB77C0" w:rsidRDefault="00370BAA">
      <w:pPr>
        <w:pStyle w:val="ListParagraph"/>
        <w:numPr>
          <w:ilvl w:val="1"/>
          <w:numId w:val="75"/>
        </w:numPr>
        <w:tabs>
          <w:tab w:val="left" w:pos="1439"/>
          <w:tab w:val="left" w:pos="1441"/>
        </w:tabs>
        <w:spacing w:before="77" w:line="211" w:lineRule="auto"/>
        <w:ind w:right="1092"/>
        <w:jc w:val="both"/>
        <w:rPr>
          <w:sz w:val="24"/>
        </w:rPr>
      </w:pPr>
      <w:r>
        <w:rPr>
          <w:color w:val="201F1F"/>
          <w:sz w:val="24"/>
        </w:rPr>
        <w:t>The</w:t>
      </w:r>
      <w:r>
        <w:rPr>
          <w:color w:val="201F1F"/>
          <w:spacing w:val="-15"/>
          <w:sz w:val="24"/>
        </w:rPr>
        <w:t xml:space="preserve"> </w:t>
      </w:r>
      <w:r>
        <w:rPr>
          <w:color w:val="201F1F"/>
          <w:sz w:val="24"/>
        </w:rPr>
        <w:t>Procuring</w:t>
      </w:r>
      <w:r>
        <w:rPr>
          <w:color w:val="201F1F"/>
          <w:spacing w:val="-11"/>
          <w:sz w:val="24"/>
        </w:rPr>
        <w:t xml:space="preserve"> </w:t>
      </w:r>
      <w:r>
        <w:rPr>
          <w:color w:val="201F1F"/>
          <w:sz w:val="24"/>
        </w:rPr>
        <w:t>Entity</w:t>
      </w:r>
      <w:r>
        <w:rPr>
          <w:color w:val="201F1F"/>
          <w:spacing w:val="-15"/>
          <w:sz w:val="24"/>
        </w:rPr>
        <w:t xml:space="preserve"> </w:t>
      </w:r>
      <w:r>
        <w:rPr>
          <w:color w:val="201F1F"/>
          <w:sz w:val="24"/>
        </w:rPr>
        <w:t>proposes</w:t>
      </w:r>
      <w:r>
        <w:rPr>
          <w:color w:val="201F1F"/>
          <w:spacing w:val="-15"/>
          <w:sz w:val="24"/>
        </w:rPr>
        <w:t xml:space="preserve"> </w:t>
      </w:r>
      <w:r>
        <w:rPr>
          <w:color w:val="201F1F"/>
          <w:sz w:val="24"/>
        </w:rPr>
        <w:t>the</w:t>
      </w:r>
      <w:r>
        <w:rPr>
          <w:color w:val="201F1F"/>
          <w:spacing w:val="-11"/>
          <w:sz w:val="24"/>
        </w:rPr>
        <w:t xml:space="preserve"> </w:t>
      </w:r>
      <w:r>
        <w:rPr>
          <w:color w:val="201F1F"/>
          <w:sz w:val="24"/>
        </w:rPr>
        <w:t>person</w:t>
      </w:r>
      <w:r>
        <w:rPr>
          <w:color w:val="201F1F"/>
          <w:spacing w:val="-15"/>
          <w:sz w:val="24"/>
        </w:rPr>
        <w:t xml:space="preserve"> </w:t>
      </w:r>
      <w:r>
        <w:rPr>
          <w:color w:val="201F1F"/>
          <w:sz w:val="24"/>
        </w:rPr>
        <w:t>named</w:t>
      </w:r>
      <w:r>
        <w:rPr>
          <w:color w:val="201F1F"/>
          <w:spacing w:val="-5"/>
          <w:sz w:val="24"/>
        </w:rPr>
        <w:t xml:space="preserve"> </w:t>
      </w:r>
      <w:r>
        <w:rPr>
          <w:color w:val="201F1F"/>
          <w:sz w:val="24"/>
        </w:rPr>
        <w:t>in</w:t>
      </w:r>
      <w:r>
        <w:rPr>
          <w:color w:val="201F1F"/>
          <w:spacing w:val="-15"/>
          <w:sz w:val="24"/>
        </w:rPr>
        <w:t xml:space="preserve"> </w:t>
      </w:r>
      <w:r>
        <w:rPr>
          <w:color w:val="201F1F"/>
          <w:sz w:val="24"/>
        </w:rPr>
        <w:t>the</w:t>
      </w:r>
      <w:r>
        <w:rPr>
          <w:color w:val="201F1F"/>
          <w:spacing w:val="-11"/>
          <w:sz w:val="24"/>
        </w:rPr>
        <w:t xml:space="preserve"> </w:t>
      </w:r>
      <w:r>
        <w:rPr>
          <w:color w:val="201F1F"/>
          <w:sz w:val="24"/>
        </w:rPr>
        <w:t>TDS</w:t>
      </w:r>
      <w:r>
        <w:rPr>
          <w:color w:val="201F1F"/>
          <w:spacing w:val="-14"/>
          <w:sz w:val="24"/>
        </w:rPr>
        <w:t xml:space="preserve"> </w:t>
      </w:r>
      <w:r>
        <w:rPr>
          <w:color w:val="201F1F"/>
          <w:sz w:val="24"/>
        </w:rPr>
        <w:t>to</w:t>
      </w:r>
      <w:r>
        <w:rPr>
          <w:color w:val="201F1F"/>
          <w:spacing w:val="-11"/>
          <w:sz w:val="24"/>
        </w:rPr>
        <w:t xml:space="preserve"> </w:t>
      </w:r>
      <w:r>
        <w:rPr>
          <w:color w:val="201F1F"/>
          <w:sz w:val="24"/>
        </w:rPr>
        <w:t>be</w:t>
      </w:r>
      <w:r>
        <w:rPr>
          <w:color w:val="201F1F"/>
          <w:spacing w:val="-12"/>
          <w:sz w:val="24"/>
        </w:rPr>
        <w:t xml:space="preserve"> </w:t>
      </w:r>
      <w:r>
        <w:rPr>
          <w:color w:val="201F1F"/>
          <w:sz w:val="24"/>
        </w:rPr>
        <w:t>appointed as Adjudicator under the Contract, at the hourly fee specified in the TDS, plus</w:t>
      </w:r>
      <w:r>
        <w:rPr>
          <w:color w:val="201F1F"/>
          <w:spacing w:val="-13"/>
          <w:sz w:val="24"/>
        </w:rPr>
        <w:t xml:space="preserve"> </w:t>
      </w:r>
      <w:r>
        <w:rPr>
          <w:color w:val="201F1F"/>
          <w:sz w:val="24"/>
        </w:rPr>
        <w:t>reimbursableexpenses.</w:t>
      </w:r>
      <w:r>
        <w:rPr>
          <w:color w:val="201F1F"/>
          <w:spacing w:val="-8"/>
          <w:sz w:val="24"/>
        </w:rPr>
        <w:t xml:space="preserve"> </w:t>
      </w:r>
      <w:r>
        <w:rPr>
          <w:color w:val="201F1F"/>
          <w:sz w:val="24"/>
        </w:rPr>
        <w:t>If</w:t>
      </w:r>
      <w:r>
        <w:rPr>
          <w:color w:val="201F1F"/>
          <w:spacing w:val="-15"/>
          <w:sz w:val="24"/>
        </w:rPr>
        <w:t xml:space="preserve"> </w:t>
      </w:r>
      <w:r>
        <w:rPr>
          <w:color w:val="201F1F"/>
          <w:sz w:val="24"/>
        </w:rPr>
        <w:t>the</w:t>
      </w:r>
      <w:r>
        <w:rPr>
          <w:color w:val="201F1F"/>
          <w:spacing w:val="-12"/>
          <w:sz w:val="24"/>
        </w:rPr>
        <w:t xml:space="preserve"> </w:t>
      </w:r>
      <w:r>
        <w:rPr>
          <w:color w:val="201F1F"/>
          <w:sz w:val="24"/>
        </w:rPr>
        <w:t>Tenderer</w:t>
      </w:r>
      <w:r>
        <w:rPr>
          <w:color w:val="201F1F"/>
          <w:spacing w:val="-10"/>
          <w:sz w:val="24"/>
        </w:rPr>
        <w:t xml:space="preserve"> </w:t>
      </w:r>
      <w:r>
        <w:rPr>
          <w:color w:val="201F1F"/>
          <w:sz w:val="24"/>
        </w:rPr>
        <w:t>disagrees</w:t>
      </w:r>
      <w:r>
        <w:rPr>
          <w:color w:val="201F1F"/>
          <w:spacing w:val="-9"/>
          <w:sz w:val="24"/>
        </w:rPr>
        <w:t xml:space="preserve"> </w:t>
      </w:r>
      <w:r>
        <w:rPr>
          <w:color w:val="201F1F"/>
          <w:sz w:val="24"/>
        </w:rPr>
        <w:t>with</w:t>
      </w:r>
      <w:r>
        <w:rPr>
          <w:color w:val="201F1F"/>
          <w:spacing w:val="-15"/>
          <w:sz w:val="24"/>
        </w:rPr>
        <w:t xml:space="preserve"> </w:t>
      </w:r>
      <w:r>
        <w:rPr>
          <w:color w:val="201F1F"/>
          <w:sz w:val="24"/>
        </w:rPr>
        <w:t>this</w:t>
      </w:r>
      <w:r>
        <w:rPr>
          <w:color w:val="201F1F"/>
          <w:spacing w:val="-14"/>
          <w:sz w:val="24"/>
        </w:rPr>
        <w:t xml:space="preserve"> </w:t>
      </w:r>
      <w:r>
        <w:rPr>
          <w:color w:val="201F1F"/>
          <w:sz w:val="24"/>
        </w:rPr>
        <w:t>proposal, the Tenderer should so state in hisTender. If, in the Letter of Acceptance, the Procuring Entity</w:t>
      </w:r>
      <w:r>
        <w:rPr>
          <w:color w:val="201F1F"/>
          <w:spacing w:val="-1"/>
          <w:sz w:val="24"/>
        </w:rPr>
        <w:t xml:space="preserve"> </w:t>
      </w:r>
      <w:r>
        <w:rPr>
          <w:color w:val="201F1F"/>
          <w:sz w:val="24"/>
        </w:rPr>
        <w:t>does not agree on</w:t>
      </w:r>
      <w:r>
        <w:rPr>
          <w:color w:val="201F1F"/>
          <w:spacing w:val="-1"/>
          <w:sz w:val="24"/>
        </w:rPr>
        <w:t xml:space="preserve"> </w:t>
      </w:r>
      <w:r>
        <w:rPr>
          <w:color w:val="201F1F"/>
          <w:sz w:val="24"/>
        </w:rPr>
        <w:t>the appointment of</w:t>
      </w:r>
      <w:r>
        <w:rPr>
          <w:color w:val="201F1F"/>
          <w:spacing w:val="-12"/>
          <w:sz w:val="24"/>
        </w:rPr>
        <w:t xml:space="preserve"> </w:t>
      </w:r>
      <w:r>
        <w:rPr>
          <w:color w:val="201F1F"/>
          <w:sz w:val="24"/>
        </w:rPr>
        <w:t>the</w:t>
      </w:r>
      <w:r>
        <w:rPr>
          <w:color w:val="201F1F"/>
          <w:spacing w:val="-7"/>
          <w:sz w:val="24"/>
        </w:rPr>
        <w:t xml:space="preserve"> </w:t>
      </w:r>
      <w:r>
        <w:rPr>
          <w:color w:val="201F1F"/>
          <w:sz w:val="24"/>
        </w:rPr>
        <w:t>Adjudicator,</w:t>
      </w:r>
      <w:r>
        <w:rPr>
          <w:color w:val="201F1F"/>
          <w:spacing w:val="-7"/>
          <w:sz w:val="24"/>
        </w:rPr>
        <w:t xml:space="preserve"> </w:t>
      </w:r>
      <w:r>
        <w:rPr>
          <w:color w:val="201F1F"/>
          <w:sz w:val="24"/>
        </w:rPr>
        <w:t>the Procuring Entity</w:t>
      </w:r>
      <w:r>
        <w:rPr>
          <w:color w:val="201F1F"/>
          <w:spacing w:val="-4"/>
          <w:sz w:val="24"/>
        </w:rPr>
        <w:t xml:space="preserve"> </w:t>
      </w:r>
      <w:r>
        <w:rPr>
          <w:color w:val="201F1F"/>
          <w:sz w:val="24"/>
        </w:rPr>
        <w:t>will request the Appointing</w:t>
      </w:r>
      <w:r>
        <w:rPr>
          <w:color w:val="201F1F"/>
          <w:spacing w:val="40"/>
          <w:sz w:val="24"/>
        </w:rPr>
        <w:t xml:space="preserve"> </w:t>
      </w:r>
      <w:r>
        <w:rPr>
          <w:color w:val="201F1F"/>
          <w:sz w:val="24"/>
        </w:rPr>
        <w:t>Authority</w:t>
      </w:r>
      <w:r>
        <w:rPr>
          <w:color w:val="201F1F"/>
          <w:spacing w:val="-28"/>
          <w:sz w:val="24"/>
        </w:rPr>
        <w:t xml:space="preserve"> </w:t>
      </w:r>
      <w:r>
        <w:rPr>
          <w:color w:val="201F1F"/>
          <w:sz w:val="24"/>
        </w:rPr>
        <w:t>designated</w:t>
      </w:r>
      <w:r>
        <w:rPr>
          <w:color w:val="201F1F"/>
          <w:spacing w:val="40"/>
          <w:sz w:val="24"/>
        </w:rPr>
        <w:t xml:space="preserve"> </w:t>
      </w:r>
      <w:r>
        <w:rPr>
          <w:color w:val="201F1F"/>
          <w:sz w:val="24"/>
        </w:rPr>
        <w:t>in</w:t>
      </w:r>
      <w:r>
        <w:rPr>
          <w:color w:val="201F1F"/>
          <w:spacing w:val="40"/>
          <w:sz w:val="24"/>
        </w:rPr>
        <w:t xml:space="preserve"> </w:t>
      </w:r>
      <w:r>
        <w:rPr>
          <w:color w:val="201F1F"/>
          <w:sz w:val="24"/>
        </w:rPr>
        <w:t>the</w:t>
      </w:r>
    </w:p>
    <w:p w14:paraId="0302B7D6" w14:textId="77777777" w:rsidR="00BB77C0" w:rsidRDefault="00BB77C0">
      <w:pPr>
        <w:pStyle w:val="ListParagraph"/>
        <w:spacing w:line="211" w:lineRule="auto"/>
        <w:jc w:val="both"/>
        <w:rPr>
          <w:sz w:val="24"/>
        </w:rPr>
        <w:sectPr w:rsidR="00BB77C0">
          <w:pgSz w:w="11930" w:h="16870"/>
          <w:pgMar w:top="1360" w:right="1080" w:bottom="280" w:left="1080" w:header="720" w:footer="720" w:gutter="0"/>
          <w:cols w:space="720"/>
        </w:sectPr>
      </w:pPr>
    </w:p>
    <w:p w14:paraId="1A534671" w14:textId="77777777" w:rsidR="00BB77C0" w:rsidRDefault="00370BAA">
      <w:pPr>
        <w:spacing w:before="96" w:line="213" w:lineRule="auto"/>
        <w:ind w:left="1441" w:right="655"/>
        <w:rPr>
          <w:sz w:val="24"/>
        </w:rPr>
      </w:pPr>
      <w:r>
        <w:rPr>
          <w:color w:val="201F1F"/>
          <w:sz w:val="24"/>
        </w:rPr>
        <w:lastRenderedPageBreak/>
        <w:t>Special</w:t>
      </w:r>
      <w:r>
        <w:rPr>
          <w:color w:val="201F1F"/>
          <w:spacing w:val="34"/>
          <w:sz w:val="24"/>
        </w:rPr>
        <w:t xml:space="preserve"> </w:t>
      </w:r>
      <w:r>
        <w:rPr>
          <w:color w:val="201F1F"/>
          <w:sz w:val="24"/>
        </w:rPr>
        <w:t>Conditions</w:t>
      </w:r>
      <w:r>
        <w:rPr>
          <w:color w:val="201F1F"/>
          <w:spacing w:val="36"/>
          <w:sz w:val="24"/>
        </w:rPr>
        <w:t xml:space="preserve"> </w:t>
      </w:r>
      <w:r>
        <w:rPr>
          <w:color w:val="201F1F"/>
          <w:sz w:val="24"/>
        </w:rPr>
        <w:t>of</w:t>
      </w:r>
      <w:r>
        <w:rPr>
          <w:color w:val="201F1F"/>
          <w:spacing w:val="29"/>
          <w:sz w:val="24"/>
        </w:rPr>
        <w:t xml:space="preserve"> </w:t>
      </w:r>
      <w:r>
        <w:rPr>
          <w:color w:val="201F1F"/>
          <w:sz w:val="24"/>
        </w:rPr>
        <w:t>Contract</w:t>
      </w:r>
      <w:r>
        <w:rPr>
          <w:color w:val="201F1F"/>
          <w:spacing w:val="38"/>
          <w:sz w:val="24"/>
        </w:rPr>
        <w:t xml:space="preserve"> </w:t>
      </w:r>
      <w:r>
        <w:rPr>
          <w:color w:val="201F1F"/>
          <w:sz w:val="24"/>
        </w:rPr>
        <w:t>(SCC)</w:t>
      </w:r>
      <w:r>
        <w:rPr>
          <w:color w:val="201F1F"/>
          <w:spacing w:val="38"/>
          <w:sz w:val="24"/>
        </w:rPr>
        <w:t xml:space="preserve"> </w:t>
      </w:r>
      <w:r>
        <w:rPr>
          <w:color w:val="201F1F"/>
          <w:sz w:val="24"/>
        </w:rPr>
        <w:t>pursuant</w:t>
      </w:r>
      <w:r>
        <w:rPr>
          <w:color w:val="201F1F"/>
          <w:spacing w:val="37"/>
          <w:sz w:val="24"/>
        </w:rPr>
        <w:t xml:space="preserve"> </w:t>
      </w:r>
      <w:r>
        <w:rPr>
          <w:color w:val="201F1F"/>
          <w:sz w:val="24"/>
        </w:rPr>
        <w:t>to</w:t>
      </w:r>
      <w:r>
        <w:rPr>
          <w:color w:val="201F1F"/>
          <w:spacing w:val="40"/>
          <w:sz w:val="24"/>
        </w:rPr>
        <w:t xml:space="preserve"> </w:t>
      </w:r>
      <w:r>
        <w:rPr>
          <w:color w:val="201F1F"/>
          <w:sz w:val="24"/>
        </w:rPr>
        <w:t>Clause</w:t>
      </w:r>
      <w:r>
        <w:rPr>
          <w:color w:val="201F1F"/>
          <w:spacing w:val="36"/>
          <w:sz w:val="24"/>
        </w:rPr>
        <w:t xml:space="preserve"> </w:t>
      </w:r>
      <w:r>
        <w:rPr>
          <w:color w:val="201F1F"/>
          <w:sz w:val="24"/>
        </w:rPr>
        <w:t>23.1</w:t>
      </w:r>
      <w:r>
        <w:rPr>
          <w:color w:val="201F1F"/>
          <w:spacing w:val="37"/>
          <w:sz w:val="24"/>
        </w:rPr>
        <w:t xml:space="preserve"> </w:t>
      </w:r>
      <w:r>
        <w:rPr>
          <w:color w:val="201F1F"/>
          <w:sz w:val="24"/>
        </w:rPr>
        <w:t>of</w:t>
      </w:r>
      <w:r>
        <w:rPr>
          <w:color w:val="201F1F"/>
          <w:spacing w:val="30"/>
          <w:sz w:val="24"/>
        </w:rPr>
        <w:t xml:space="preserve"> </w:t>
      </w:r>
      <w:r>
        <w:rPr>
          <w:color w:val="201F1F"/>
          <w:sz w:val="24"/>
        </w:rPr>
        <w:t>the General Conditions of Contract (GCC), to appoint the</w:t>
      </w:r>
      <w:r>
        <w:rPr>
          <w:color w:val="201F1F"/>
          <w:spacing w:val="-6"/>
          <w:sz w:val="24"/>
        </w:rPr>
        <w:t xml:space="preserve"> </w:t>
      </w:r>
      <w:r>
        <w:rPr>
          <w:color w:val="201F1F"/>
          <w:sz w:val="24"/>
        </w:rPr>
        <w:t>Adjudicator.</w:t>
      </w:r>
    </w:p>
    <w:p w14:paraId="07C20B4A" w14:textId="77777777" w:rsidR="00BB77C0" w:rsidRDefault="00BB77C0">
      <w:pPr>
        <w:pStyle w:val="BodyText"/>
        <w:spacing w:before="255"/>
        <w:rPr>
          <w:sz w:val="24"/>
        </w:rPr>
      </w:pPr>
    </w:p>
    <w:p w14:paraId="3A37BCC5" w14:textId="77777777" w:rsidR="00BB77C0" w:rsidRDefault="00370BAA">
      <w:pPr>
        <w:pStyle w:val="Heading6"/>
        <w:numPr>
          <w:ilvl w:val="0"/>
          <w:numId w:val="75"/>
        </w:numPr>
        <w:tabs>
          <w:tab w:val="left" w:pos="720"/>
        </w:tabs>
        <w:ind w:hanging="720"/>
      </w:pPr>
      <w:bookmarkStart w:id="116" w:name="52.0_Performance_Security"/>
      <w:bookmarkStart w:id="117" w:name="_bookmark57"/>
      <w:bookmarkEnd w:id="116"/>
      <w:bookmarkEnd w:id="117"/>
      <w:r>
        <w:t>Performance</w:t>
      </w:r>
      <w:r>
        <w:rPr>
          <w:spacing w:val="-10"/>
        </w:rPr>
        <w:t xml:space="preserve"> </w:t>
      </w:r>
      <w:r>
        <w:rPr>
          <w:spacing w:val="-2"/>
        </w:rPr>
        <w:t>Security</w:t>
      </w:r>
    </w:p>
    <w:p w14:paraId="0751B5D3" w14:textId="77777777" w:rsidR="00BB77C0" w:rsidRDefault="00370BAA">
      <w:pPr>
        <w:pStyle w:val="ListParagraph"/>
        <w:numPr>
          <w:ilvl w:val="1"/>
          <w:numId w:val="75"/>
        </w:numPr>
        <w:tabs>
          <w:tab w:val="left" w:pos="1441"/>
        </w:tabs>
        <w:spacing w:before="79" w:line="259" w:lineRule="auto"/>
        <w:ind w:right="162"/>
        <w:rPr>
          <w:sz w:val="24"/>
        </w:rPr>
      </w:pPr>
      <w:r>
        <w:rPr>
          <w:sz w:val="24"/>
        </w:rPr>
        <w:t>Within</w:t>
      </w:r>
      <w:r>
        <w:rPr>
          <w:spacing w:val="-4"/>
          <w:sz w:val="24"/>
        </w:rPr>
        <w:t xml:space="preserve"> </w:t>
      </w:r>
      <w:r>
        <w:rPr>
          <w:sz w:val="24"/>
        </w:rPr>
        <w:t>twenty-one</w:t>
      </w:r>
      <w:r>
        <w:rPr>
          <w:spacing w:val="-5"/>
          <w:sz w:val="24"/>
        </w:rPr>
        <w:t xml:space="preserve"> </w:t>
      </w:r>
      <w:r>
        <w:rPr>
          <w:sz w:val="24"/>
        </w:rPr>
        <w:t>(21)</w:t>
      </w:r>
      <w:r>
        <w:rPr>
          <w:spacing w:val="-3"/>
          <w:sz w:val="24"/>
        </w:rPr>
        <w:t xml:space="preserve"> </w:t>
      </w:r>
      <w:r>
        <w:rPr>
          <w:sz w:val="24"/>
        </w:rPr>
        <w:t>days</w:t>
      </w:r>
      <w:r>
        <w:rPr>
          <w:spacing w:val="-2"/>
          <w:sz w:val="24"/>
        </w:rPr>
        <w:t xml:space="preserve"> </w:t>
      </w:r>
      <w:r>
        <w:rPr>
          <w:sz w:val="24"/>
        </w:rPr>
        <w:t>of</w:t>
      </w:r>
      <w:r>
        <w:rPr>
          <w:spacing w:val="-12"/>
          <w:sz w:val="24"/>
        </w:rPr>
        <w:t xml:space="preserve"> </w:t>
      </w:r>
      <w:r>
        <w:rPr>
          <w:sz w:val="24"/>
        </w:rPr>
        <w:t>the</w:t>
      </w:r>
      <w:r>
        <w:rPr>
          <w:spacing w:val="-6"/>
          <w:sz w:val="24"/>
        </w:rPr>
        <w:t xml:space="preserve"> </w:t>
      </w:r>
      <w:r>
        <w:rPr>
          <w:sz w:val="24"/>
        </w:rPr>
        <w:t>receipt of</w:t>
      </w:r>
      <w:r>
        <w:rPr>
          <w:spacing w:val="-13"/>
          <w:sz w:val="24"/>
        </w:rPr>
        <w:t xml:space="preserve"> </w:t>
      </w:r>
      <w:r>
        <w:rPr>
          <w:sz w:val="24"/>
        </w:rPr>
        <w:t>the</w:t>
      </w:r>
      <w:r>
        <w:rPr>
          <w:spacing w:val="-1"/>
          <w:sz w:val="24"/>
        </w:rPr>
        <w:t xml:space="preserve"> </w:t>
      </w:r>
      <w:r>
        <w:rPr>
          <w:sz w:val="24"/>
        </w:rPr>
        <w:t>Letter</w:t>
      </w:r>
      <w:r>
        <w:rPr>
          <w:spacing w:val="-7"/>
          <w:sz w:val="24"/>
        </w:rPr>
        <w:t xml:space="preserve"> </w:t>
      </w:r>
      <w:r>
        <w:rPr>
          <w:sz w:val="24"/>
        </w:rPr>
        <w:t>of</w:t>
      </w:r>
      <w:r>
        <w:rPr>
          <w:spacing w:val="-13"/>
          <w:sz w:val="24"/>
        </w:rPr>
        <w:t xml:space="preserve"> </w:t>
      </w:r>
      <w:r>
        <w:rPr>
          <w:sz w:val="24"/>
        </w:rPr>
        <w:t>Award from</w:t>
      </w:r>
      <w:r>
        <w:rPr>
          <w:spacing w:val="-8"/>
          <w:sz w:val="24"/>
        </w:rPr>
        <w:t xml:space="preserve"> </w:t>
      </w:r>
      <w:r>
        <w:rPr>
          <w:sz w:val="24"/>
        </w:rPr>
        <w:t>the</w:t>
      </w:r>
      <w:r>
        <w:rPr>
          <w:spacing w:val="-1"/>
          <w:sz w:val="24"/>
        </w:rPr>
        <w:t xml:space="preserve"> </w:t>
      </w:r>
      <w:r>
        <w:rPr>
          <w:sz w:val="24"/>
        </w:rPr>
        <w:t>Procuring Entity, the</w:t>
      </w:r>
      <w:r>
        <w:rPr>
          <w:spacing w:val="-2"/>
          <w:sz w:val="24"/>
        </w:rPr>
        <w:t xml:space="preserve"> </w:t>
      </w:r>
      <w:r>
        <w:rPr>
          <w:sz w:val="24"/>
        </w:rPr>
        <w:t>successful</w:t>
      </w:r>
      <w:r>
        <w:rPr>
          <w:spacing w:val="-6"/>
          <w:sz w:val="24"/>
        </w:rPr>
        <w:t xml:space="preserve"> </w:t>
      </w:r>
      <w:r>
        <w:rPr>
          <w:sz w:val="24"/>
        </w:rPr>
        <w:t>Tenderer shall furnish</w:t>
      </w:r>
      <w:r>
        <w:rPr>
          <w:spacing w:val="-6"/>
          <w:sz w:val="24"/>
        </w:rPr>
        <w:t xml:space="preserve"> </w:t>
      </w:r>
      <w:r>
        <w:rPr>
          <w:sz w:val="24"/>
        </w:rPr>
        <w:t>the</w:t>
      </w:r>
      <w:r>
        <w:rPr>
          <w:spacing w:val="-2"/>
          <w:sz w:val="24"/>
        </w:rPr>
        <w:t xml:space="preserve"> </w:t>
      </w:r>
      <w:r>
        <w:rPr>
          <w:sz w:val="24"/>
        </w:rPr>
        <w:t>Performance</w:t>
      </w:r>
      <w:r>
        <w:rPr>
          <w:spacing w:val="-2"/>
          <w:sz w:val="24"/>
        </w:rPr>
        <w:t xml:space="preserve"> </w:t>
      </w:r>
      <w:r>
        <w:rPr>
          <w:sz w:val="24"/>
        </w:rPr>
        <w:t>Security</w:t>
      </w:r>
      <w:r>
        <w:rPr>
          <w:spacing w:val="-10"/>
          <w:sz w:val="24"/>
        </w:rPr>
        <w:t xml:space="preserve"> </w:t>
      </w:r>
      <w:r>
        <w:rPr>
          <w:sz w:val="24"/>
        </w:rPr>
        <w:t>and, any</w:t>
      </w:r>
      <w:r>
        <w:rPr>
          <w:spacing w:val="-6"/>
          <w:sz w:val="24"/>
        </w:rPr>
        <w:t xml:space="preserve"> </w:t>
      </w:r>
      <w:r>
        <w:rPr>
          <w:sz w:val="24"/>
        </w:rPr>
        <w:t xml:space="preserve">other documents required in the </w:t>
      </w:r>
      <w:r>
        <w:rPr>
          <w:b/>
          <w:sz w:val="24"/>
        </w:rPr>
        <w:t>TDS</w:t>
      </w:r>
      <w:r>
        <w:rPr>
          <w:sz w:val="24"/>
        </w:rPr>
        <w:t>, in accordance with the General Conditions of Contract, subject to ITT 38.2 (b), using the Performance Security and other Forms included in Section X, Contract Forms, or another form acceptable to the Procuring Entity. A foreign institution providing a bank guarantee shall have a correspondent financial institution located in Kenya, unless the Procuring Entity has agreed in writing that a correspondent bank is not required.</w:t>
      </w:r>
    </w:p>
    <w:p w14:paraId="64B9147A" w14:textId="77777777" w:rsidR="00BB77C0" w:rsidRDefault="00370BAA">
      <w:pPr>
        <w:pStyle w:val="ListParagraph"/>
        <w:numPr>
          <w:ilvl w:val="1"/>
          <w:numId w:val="75"/>
        </w:numPr>
        <w:tabs>
          <w:tab w:val="left" w:pos="1441"/>
        </w:tabs>
        <w:spacing w:before="155" w:line="259" w:lineRule="auto"/>
        <w:ind w:right="37"/>
        <w:rPr>
          <w:sz w:val="24"/>
        </w:rPr>
      </w:pPr>
      <w:r>
        <w:rPr>
          <w:sz w:val="24"/>
        </w:rPr>
        <w:t>Failure of the successful Tenderer to submit the above-mentioned Performance Security</w:t>
      </w:r>
      <w:r>
        <w:rPr>
          <w:spacing w:val="-10"/>
          <w:sz w:val="24"/>
        </w:rPr>
        <w:t xml:space="preserve"> </w:t>
      </w:r>
      <w:r>
        <w:rPr>
          <w:sz w:val="24"/>
        </w:rPr>
        <w:t>and</w:t>
      </w:r>
      <w:r>
        <w:rPr>
          <w:spacing w:val="-2"/>
          <w:sz w:val="24"/>
        </w:rPr>
        <w:t xml:space="preserve"> </w:t>
      </w:r>
      <w:r>
        <w:rPr>
          <w:sz w:val="24"/>
        </w:rPr>
        <w:t>other</w:t>
      </w:r>
      <w:r>
        <w:rPr>
          <w:spacing w:val="-4"/>
          <w:sz w:val="24"/>
        </w:rPr>
        <w:t xml:space="preserve"> </w:t>
      </w:r>
      <w:r>
        <w:rPr>
          <w:sz w:val="24"/>
        </w:rPr>
        <w:t>documents</w:t>
      </w:r>
      <w:r>
        <w:rPr>
          <w:spacing w:val="-3"/>
          <w:sz w:val="24"/>
        </w:rPr>
        <w:t xml:space="preserve"> </w:t>
      </w:r>
      <w:r>
        <w:rPr>
          <w:sz w:val="24"/>
        </w:rPr>
        <w:t>required in</w:t>
      </w:r>
      <w:r>
        <w:rPr>
          <w:spacing w:val="-7"/>
          <w:sz w:val="24"/>
        </w:rPr>
        <w:t xml:space="preserve"> </w:t>
      </w:r>
      <w:r>
        <w:rPr>
          <w:sz w:val="24"/>
        </w:rPr>
        <w:t>the</w:t>
      </w:r>
      <w:r>
        <w:rPr>
          <w:spacing w:val="-7"/>
          <w:sz w:val="24"/>
        </w:rPr>
        <w:t xml:space="preserve"> </w:t>
      </w:r>
      <w:r>
        <w:rPr>
          <w:b/>
          <w:sz w:val="24"/>
        </w:rPr>
        <w:t>TDS</w:t>
      </w:r>
      <w:r>
        <w:rPr>
          <w:b/>
          <w:spacing w:val="-6"/>
          <w:sz w:val="24"/>
        </w:rPr>
        <w:t xml:space="preserve"> </w:t>
      </w:r>
      <w:r>
        <w:rPr>
          <w:sz w:val="24"/>
        </w:rPr>
        <w:t>or</w:t>
      </w:r>
      <w:r>
        <w:rPr>
          <w:spacing w:val="-5"/>
          <w:sz w:val="24"/>
        </w:rPr>
        <w:t xml:space="preserve"> </w:t>
      </w:r>
      <w:r>
        <w:rPr>
          <w:sz w:val="24"/>
        </w:rPr>
        <w:t>sign</w:t>
      </w:r>
      <w:r>
        <w:rPr>
          <w:spacing w:val="-6"/>
          <w:sz w:val="24"/>
        </w:rPr>
        <w:t xml:space="preserve"> </w:t>
      </w:r>
      <w:r>
        <w:rPr>
          <w:sz w:val="24"/>
        </w:rPr>
        <w:t>the</w:t>
      </w:r>
      <w:r>
        <w:rPr>
          <w:spacing w:val="-8"/>
          <w:sz w:val="24"/>
        </w:rPr>
        <w:t xml:space="preserve"> </w:t>
      </w:r>
      <w:r>
        <w:rPr>
          <w:sz w:val="24"/>
        </w:rPr>
        <w:t>Contract shall</w:t>
      </w:r>
      <w:r>
        <w:rPr>
          <w:spacing w:val="-10"/>
          <w:sz w:val="24"/>
        </w:rPr>
        <w:t xml:space="preserve"> </w:t>
      </w:r>
      <w:r>
        <w:rPr>
          <w:sz w:val="24"/>
        </w:rPr>
        <w:t>constitute sufficient grounds for the annulment of the award and forfeiture of the Tender Security. In that event the Procuring Entity may award the Contract to the Tenderer offering the next Best Evaluated Tender.</w:t>
      </w:r>
    </w:p>
    <w:p w14:paraId="2B536855" w14:textId="77777777" w:rsidR="00BB77C0" w:rsidRDefault="00370BAA">
      <w:pPr>
        <w:tabs>
          <w:tab w:val="left" w:pos="1440"/>
        </w:tabs>
        <w:spacing w:before="162" w:line="254" w:lineRule="auto"/>
        <w:ind w:left="1441" w:right="189" w:hanging="721"/>
        <w:rPr>
          <w:sz w:val="24"/>
        </w:rPr>
      </w:pPr>
      <w:r>
        <w:rPr>
          <w:spacing w:val="-4"/>
          <w:sz w:val="24"/>
        </w:rPr>
        <w:t>53.3</w:t>
      </w:r>
      <w:r>
        <w:rPr>
          <w:sz w:val="24"/>
        </w:rPr>
        <w:tab/>
        <w:t>Performance</w:t>
      </w:r>
      <w:r>
        <w:rPr>
          <w:spacing w:val="-3"/>
          <w:sz w:val="24"/>
        </w:rPr>
        <w:t xml:space="preserve"> </w:t>
      </w:r>
      <w:r>
        <w:rPr>
          <w:sz w:val="24"/>
        </w:rPr>
        <w:t>security</w:t>
      </w:r>
      <w:r>
        <w:rPr>
          <w:spacing w:val="-11"/>
          <w:sz w:val="24"/>
        </w:rPr>
        <w:t xml:space="preserve"> </w:t>
      </w:r>
      <w:r>
        <w:rPr>
          <w:sz w:val="24"/>
        </w:rPr>
        <w:t>shall</w:t>
      </w:r>
      <w:r>
        <w:rPr>
          <w:spacing w:val="-7"/>
          <w:sz w:val="24"/>
        </w:rPr>
        <w:t xml:space="preserve"> </w:t>
      </w:r>
      <w:r>
        <w:rPr>
          <w:sz w:val="24"/>
        </w:rPr>
        <w:t>not</w:t>
      </w:r>
      <w:r>
        <w:rPr>
          <w:spacing w:val="-3"/>
          <w:sz w:val="24"/>
        </w:rPr>
        <w:t xml:space="preserve"> </w:t>
      </w:r>
      <w:r>
        <w:rPr>
          <w:sz w:val="24"/>
        </w:rPr>
        <w:t>be</w:t>
      </w:r>
      <w:r>
        <w:rPr>
          <w:spacing w:val="-9"/>
          <w:sz w:val="24"/>
        </w:rPr>
        <w:t xml:space="preserve"> </w:t>
      </w:r>
      <w:r>
        <w:rPr>
          <w:sz w:val="24"/>
        </w:rPr>
        <w:t>required</w:t>
      </w:r>
      <w:r>
        <w:rPr>
          <w:spacing w:val="-3"/>
          <w:sz w:val="24"/>
        </w:rPr>
        <w:t xml:space="preserve"> </w:t>
      </w:r>
      <w:r>
        <w:rPr>
          <w:sz w:val="24"/>
        </w:rPr>
        <w:t>for</w:t>
      </w:r>
      <w:r>
        <w:rPr>
          <w:spacing w:val="-7"/>
          <w:sz w:val="24"/>
        </w:rPr>
        <w:t xml:space="preserve"> </w:t>
      </w:r>
      <w:r>
        <w:rPr>
          <w:sz w:val="24"/>
        </w:rPr>
        <w:t>contract</w:t>
      </w:r>
      <w:r>
        <w:rPr>
          <w:spacing w:val="-3"/>
          <w:sz w:val="24"/>
        </w:rPr>
        <w:t xml:space="preserve"> </w:t>
      </w:r>
      <w:r>
        <w:rPr>
          <w:sz w:val="24"/>
        </w:rPr>
        <w:t>estimated</w:t>
      </w:r>
      <w:r>
        <w:rPr>
          <w:spacing w:val="-3"/>
          <w:sz w:val="24"/>
        </w:rPr>
        <w:t xml:space="preserve"> </w:t>
      </w:r>
      <w:r>
        <w:rPr>
          <w:sz w:val="24"/>
        </w:rPr>
        <w:t>to</w:t>
      </w:r>
      <w:r>
        <w:rPr>
          <w:spacing w:val="-4"/>
          <w:sz w:val="24"/>
        </w:rPr>
        <w:t xml:space="preserve"> </w:t>
      </w:r>
      <w:r>
        <w:rPr>
          <w:sz w:val="24"/>
        </w:rPr>
        <w:t>cost</w:t>
      </w:r>
      <w:r>
        <w:rPr>
          <w:spacing w:val="-3"/>
          <w:sz w:val="24"/>
        </w:rPr>
        <w:t xml:space="preserve"> </w:t>
      </w:r>
      <w:r>
        <w:rPr>
          <w:sz w:val="24"/>
        </w:rPr>
        <w:t>less</w:t>
      </w:r>
      <w:r>
        <w:rPr>
          <w:spacing w:val="-6"/>
          <w:sz w:val="24"/>
        </w:rPr>
        <w:t xml:space="preserve"> </w:t>
      </w:r>
      <w:r>
        <w:rPr>
          <w:sz w:val="24"/>
        </w:rPr>
        <w:t>than</w:t>
      </w:r>
      <w:r>
        <w:rPr>
          <w:spacing w:val="-8"/>
          <w:sz w:val="24"/>
        </w:rPr>
        <w:t xml:space="preserve"> </w:t>
      </w:r>
      <w:r>
        <w:rPr>
          <w:sz w:val="24"/>
        </w:rPr>
        <w:t>the amount specified in the Regulations.</w:t>
      </w:r>
    </w:p>
    <w:p w14:paraId="39D660D1" w14:textId="77777777" w:rsidR="00BB77C0" w:rsidRDefault="00370BAA">
      <w:pPr>
        <w:pStyle w:val="Heading6"/>
        <w:numPr>
          <w:ilvl w:val="0"/>
          <w:numId w:val="75"/>
        </w:numPr>
        <w:tabs>
          <w:tab w:val="left" w:pos="720"/>
        </w:tabs>
        <w:spacing w:before="250"/>
        <w:ind w:hanging="720"/>
      </w:pPr>
      <w:bookmarkStart w:id="118" w:name="53.0_Publication_of_Procurement_Contract"/>
      <w:bookmarkStart w:id="119" w:name="_bookmark58"/>
      <w:bookmarkEnd w:id="118"/>
      <w:bookmarkEnd w:id="119"/>
      <w:r>
        <w:t>Publication</w:t>
      </w:r>
      <w:r>
        <w:rPr>
          <w:spacing w:val="-5"/>
        </w:rPr>
        <w:t xml:space="preserve"> </w:t>
      </w:r>
      <w:r>
        <w:t>of</w:t>
      </w:r>
      <w:r>
        <w:rPr>
          <w:spacing w:val="-9"/>
        </w:rPr>
        <w:t xml:space="preserve"> </w:t>
      </w:r>
      <w:r>
        <w:t>Procurement</w:t>
      </w:r>
      <w:r>
        <w:rPr>
          <w:spacing w:val="1"/>
        </w:rPr>
        <w:t xml:space="preserve"> </w:t>
      </w:r>
      <w:r>
        <w:rPr>
          <w:spacing w:val="-2"/>
        </w:rPr>
        <w:t>Contract</w:t>
      </w:r>
    </w:p>
    <w:p w14:paraId="704D06E4" w14:textId="77777777" w:rsidR="00BB77C0" w:rsidRDefault="00370BAA">
      <w:pPr>
        <w:pStyle w:val="ListParagraph"/>
        <w:numPr>
          <w:ilvl w:val="1"/>
          <w:numId w:val="75"/>
        </w:numPr>
        <w:tabs>
          <w:tab w:val="left" w:pos="1441"/>
        </w:tabs>
        <w:spacing w:before="80" w:line="259" w:lineRule="auto"/>
        <w:ind w:right="180"/>
        <w:rPr>
          <w:sz w:val="24"/>
        </w:rPr>
      </w:pPr>
      <w:r>
        <w:rPr>
          <w:sz w:val="24"/>
        </w:rPr>
        <w:t>Within</w:t>
      </w:r>
      <w:r>
        <w:rPr>
          <w:spacing w:val="-1"/>
          <w:sz w:val="24"/>
        </w:rPr>
        <w:t xml:space="preserve"> </w:t>
      </w:r>
      <w:r>
        <w:rPr>
          <w:sz w:val="24"/>
        </w:rPr>
        <w:t>fourteen</w:t>
      </w:r>
      <w:r>
        <w:rPr>
          <w:spacing w:val="-10"/>
          <w:sz w:val="24"/>
        </w:rPr>
        <w:t xml:space="preserve"> </w:t>
      </w:r>
      <w:r>
        <w:rPr>
          <w:sz w:val="24"/>
        </w:rPr>
        <w:t>days</w:t>
      </w:r>
      <w:r>
        <w:rPr>
          <w:spacing w:val="-3"/>
          <w:sz w:val="24"/>
        </w:rPr>
        <w:t xml:space="preserve"> </w:t>
      </w:r>
      <w:r>
        <w:rPr>
          <w:sz w:val="24"/>
        </w:rPr>
        <w:t>after</w:t>
      </w:r>
      <w:r>
        <w:rPr>
          <w:spacing w:val="-5"/>
          <w:sz w:val="24"/>
        </w:rPr>
        <w:t xml:space="preserve"> </w:t>
      </w:r>
      <w:r>
        <w:rPr>
          <w:sz w:val="24"/>
        </w:rPr>
        <w:t>signing</w:t>
      </w:r>
      <w:r>
        <w:rPr>
          <w:spacing w:val="-5"/>
          <w:sz w:val="24"/>
        </w:rPr>
        <w:t xml:space="preserve"> </w:t>
      </w:r>
      <w:r>
        <w:rPr>
          <w:sz w:val="24"/>
        </w:rPr>
        <w:t>the</w:t>
      </w:r>
      <w:r>
        <w:rPr>
          <w:spacing w:val="-7"/>
          <w:sz w:val="24"/>
        </w:rPr>
        <w:t xml:space="preserve"> </w:t>
      </w:r>
      <w:r>
        <w:rPr>
          <w:sz w:val="24"/>
        </w:rPr>
        <w:t>contract,</w:t>
      </w:r>
      <w:r>
        <w:rPr>
          <w:spacing w:val="-12"/>
          <w:sz w:val="24"/>
        </w:rPr>
        <w:t xml:space="preserve"> </w:t>
      </w:r>
      <w:r>
        <w:rPr>
          <w:sz w:val="24"/>
        </w:rPr>
        <w:t>the Procuring</w:t>
      </w:r>
      <w:r>
        <w:rPr>
          <w:spacing w:val="-5"/>
          <w:sz w:val="24"/>
        </w:rPr>
        <w:t xml:space="preserve"> </w:t>
      </w:r>
      <w:r>
        <w:rPr>
          <w:sz w:val="24"/>
        </w:rPr>
        <w:t>Entity</w:t>
      </w:r>
      <w:r>
        <w:rPr>
          <w:spacing w:val="-9"/>
          <w:sz w:val="24"/>
        </w:rPr>
        <w:t xml:space="preserve"> </w:t>
      </w:r>
      <w:r>
        <w:rPr>
          <w:sz w:val="24"/>
        </w:rPr>
        <w:t>shall</w:t>
      </w:r>
      <w:r>
        <w:rPr>
          <w:spacing w:val="-14"/>
          <w:sz w:val="24"/>
        </w:rPr>
        <w:t xml:space="preserve"> </w:t>
      </w:r>
      <w:r>
        <w:rPr>
          <w:sz w:val="24"/>
        </w:rPr>
        <w:t>publish</w:t>
      </w:r>
      <w:r>
        <w:rPr>
          <w:spacing w:val="-5"/>
          <w:sz w:val="24"/>
        </w:rPr>
        <w:t xml:space="preserve"> </w:t>
      </w:r>
      <w:r>
        <w:rPr>
          <w:sz w:val="24"/>
        </w:rPr>
        <w:t>the awarded contract at its notice boards and websites; and on the Website of the Authority. At the minimum, the notice shall contain the following information:</w:t>
      </w:r>
    </w:p>
    <w:p w14:paraId="560E5848" w14:textId="77777777" w:rsidR="00BB77C0" w:rsidRDefault="00370BAA">
      <w:pPr>
        <w:pStyle w:val="ListParagraph"/>
        <w:numPr>
          <w:ilvl w:val="0"/>
          <w:numId w:val="71"/>
        </w:numPr>
        <w:tabs>
          <w:tab w:val="left" w:pos="1440"/>
        </w:tabs>
        <w:spacing w:before="162" w:line="275" w:lineRule="exact"/>
        <w:ind w:left="1440" w:hanging="359"/>
        <w:rPr>
          <w:sz w:val="24"/>
        </w:rPr>
      </w:pPr>
      <w:r>
        <w:rPr>
          <w:sz w:val="24"/>
        </w:rPr>
        <w:t>name</w:t>
      </w:r>
      <w:r>
        <w:rPr>
          <w:spacing w:val="-3"/>
          <w:sz w:val="24"/>
        </w:rPr>
        <w:t xml:space="preserve"> </w:t>
      </w:r>
      <w:r>
        <w:rPr>
          <w:sz w:val="24"/>
        </w:rPr>
        <w:t>and</w:t>
      </w:r>
      <w:r>
        <w:rPr>
          <w:spacing w:val="-2"/>
          <w:sz w:val="24"/>
        </w:rPr>
        <w:t xml:space="preserve"> </w:t>
      </w:r>
      <w:r>
        <w:rPr>
          <w:sz w:val="24"/>
        </w:rPr>
        <w:t>address</w:t>
      </w:r>
      <w:r>
        <w:rPr>
          <w:spacing w:val="-3"/>
          <w:sz w:val="24"/>
        </w:rPr>
        <w:t xml:space="preserve"> </w:t>
      </w:r>
      <w:r>
        <w:rPr>
          <w:sz w:val="24"/>
        </w:rPr>
        <w:t>of</w:t>
      </w:r>
      <w:r>
        <w:rPr>
          <w:spacing w:val="-9"/>
          <w:sz w:val="24"/>
        </w:rPr>
        <w:t xml:space="preserve"> </w:t>
      </w:r>
      <w:r>
        <w:rPr>
          <w:sz w:val="24"/>
        </w:rPr>
        <w:t>the</w:t>
      </w:r>
      <w:r>
        <w:rPr>
          <w:spacing w:val="-3"/>
          <w:sz w:val="24"/>
        </w:rPr>
        <w:t xml:space="preserve"> </w:t>
      </w:r>
      <w:r>
        <w:rPr>
          <w:sz w:val="24"/>
        </w:rPr>
        <w:t xml:space="preserve">Procuring </w:t>
      </w:r>
      <w:r>
        <w:rPr>
          <w:spacing w:val="-2"/>
          <w:sz w:val="24"/>
        </w:rPr>
        <w:t>Entity;</w:t>
      </w:r>
    </w:p>
    <w:p w14:paraId="7F5D9AF1" w14:textId="77777777" w:rsidR="00BB77C0" w:rsidRDefault="00370BAA">
      <w:pPr>
        <w:pStyle w:val="ListParagraph"/>
        <w:numPr>
          <w:ilvl w:val="0"/>
          <w:numId w:val="71"/>
        </w:numPr>
        <w:tabs>
          <w:tab w:val="left" w:pos="1441"/>
        </w:tabs>
        <w:spacing w:before="1" w:line="237" w:lineRule="auto"/>
        <w:ind w:right="435"/>
        <w:rPr>
          <w:sz w:val="24"/>
        </w:rPr>
      </w:pPr>
      <w:r>
        <w:rPr>
          <w:sz w:val="24"/>
        </w:rPr>
        <w:t>name</w:t>
      </w:r>
      <w:r>
        <w:rPr>
          <w:spacing w:val="-7"/>
          <w:sz w:val="24"/>
        </w:rPr>
        <w:t xml:space="preserve"> </w:t>
      </w:r>
      <w:r>
        <w:rPr>
          <w:sz w:val="24"/>
        </w:rPr>
        <w:t>and</w:t>
      </w:r>
      <w:r>
        <w:rPr>
          <w:spacing w:val="-2"/>
          <w:sz w:val="24"/>
        </w:rPr>
        <w:t xml:space="preserve"> </w:t>
      </w:r>
      <w:r>
        <w:rPr>
          <w:sz w:val="24"/>
        </w:rPr>
        <w:t>reference</w:t>
      </w:r>
      <w:r>
        <w:rPr>
          <w:spacing w:val="-2"/>
          <w:sz w:val="24"/>
        </w:rPr>
        <w:t xml:space="preserve"> </w:t>
      </w:r>
      <w:r>
        <w:rPr>
          <w:sz w:val="24"/>
        </w:rPr>
        <w:t>number</w:t>
      </w:r>
      <w:r>
        <w:rPr>
          <w:spacing w:val="-5"/>
          <w:sz w:val="24"/>
        </w:rPr>
        <w:t xml:space="preserve"> </w:t>
      </w:r>
      <w:r>
        <w:rPr>
          <w:sz w:val="24"/>
        </w:rPr>
        <w:t>of</w:t>
      </w:r>
      <w:r>
        <w:rPr>
          <w:spacing w:val="-14"/>
          <w:sz w:val="24"/>
        </w:rPr>
        <w:t xml:space="preserve"> </w:t>
      </w:r>
      <w:r>
        <w:rPr>
          <w:sz w:val="24"/>
        </w:rPr>
        <w:t>the</w:t>
      </w:r>
      <w:r>
        <w:rPr>
          <w:spacing w:val="-3"/>
          <w:sz w:val="24"/>
        </w:rPr>
        <w:t xml:space="preserve"> </w:t>
      </w:r>
      <w:r>
        <w:rPr>
          <w:sz w:val="24"/>
        </w:rPr>
        <w:t>contract</w:t>
      </w:r>
      <w:r>
        <w:rPr>
          <w:spacing w:val="-1"/>
          <w:sz w:val="24"/>
        </w:rPr>
        <w:t xml:space="preserve"> </w:t>
      </w:r>
      <w:r>
        <w:rPr>
          <w:sz w:val="24"/>
        </w:rPr>
        <w:t>being</w:t>
      </w:r>
      <w:r>
        <w:rPr>
          <w:spacing w:val="-2"/>
          <w:sz w:val="24"/>
        </w:rPr>
        <w:t xml:space="preserve"> </w:t>
      </w:r>
      <w:r>
        <w:rPr>
          <w:sz w:val="24"/>
        </w:rPr>
        <w:t>awarded, a</w:t>
      </w:r>
      <w:r>
        <w:rPr>
          <w:spacing w:val="-8"/>
          <w:sz w:val="24"/>
        </w:rPr>
        <w:t xml:space="preserve"> </w:t>
      </w:r>
      <w:r>
        <w:rPr>
          <w:sz w:val="24"/>
        </w:rPr>
        <w:t>summary</w:t>
      </w:r>
      <w:r>
        <w:rPr>
          <w:spacing w:val="-11"/>
          <w:sz w:val="24"/>
        </w:rPr>
        <w:t xml:space="preserve"> </w:t>
      </w:r>
      <w:r>
        <w:rPr>
          <w:sz w:val="24"/>
        </w:rPr>
        <w:t>of</w:t>
      </w:r>
      <w:r>
        <w:rPr>
          <w:spacing w:val="-10"/>
          <w:sz w:val="24"/>
        </w:rPr>
        <w:t xml:space="preserve"> </w:t>
      </w:r>
      <w:r>
        <w:rPr>
          <w:sz w:val="24"/>
        </w:rPr>
        <w:t>its</w:t>
      </w:r>
      <w:r>
        <w:rPr>
          <w:spacing w:val="-4"/>
          <w:sz w:val="24"/>
        </w:rPr>
        <w:t xml:space="preserve"> </w:t>
      </w:r>
      <w:r>
        <w:rPr>
          <w:sz w:val="24"/>
        </w:rPr>
        <w:t>scope and the selection method used;</w:t>
      </w:r>
    </w:p>
    <w:p w14:paraId="450E191E" w14:textId="77777777" w:rsidR="00BB77C0" w:rsidRDefault="00370BAA">
      <w:pPr>
        <w:pStyle w:val="ListParagraph"/>
        <w:numPr>
          <w:ilvl w:val="0"/>
          <w:numId w:val="71"/>
        </w:numPr>
        <w:tabs>
          <w:tab w:val="left" w:pos="1441"/>
        </w:tabs>
        <w:spacing w:before="3"/>
        <w:ind w:right="806"/>
        <w:rPr>
          <w:sz w:val="24"/>
        </w:rPr>
      </w:pPr>
      <w:r>
        <w:rPr>
          <w:sz w:val="24"/>
        </w:rPr>
        <w:t>The</w:t>
      </w:r>
      <w:r>
        <w:rPr>
          <w:spacing w:val="-7"/>
          <w:sz w:val="24"/>
        </w:rPr>
        <w:t xml:space="preserve"> </w:t>
      </w:r>
      <w:r>
        <w:rPr>
          <w:sz w:val="24"/>
        </w:rPr>
        <w:t>name</w:t>
      </w:r>
      <w:r>
        <w:rPr>
          <w:spacing w:val="-6"/>
          <w:sz w:val="24"/>
        </w:rPr>
        <w:t xml:space="preserve"> </w:t>
      </w:r>
      <w:r>
        <w:rPr>
          <w:sz w:val="24"/>
        </w:rPr>
        <w:t>of</w:t>
      </w:r>
      <w:r>
        <w:rPr>
          <w:spacing w:val="-14"/>
          <w:sz w:val="24"/>
        </w:rPr>
        <w:t xml:space="preserve"> </w:t>
      </w:r>
      <w:r>
        <w:rPr>
          <w:sz w:val="24"/>
        </w:rPr>
        <w:t>the</w:t>
      </w:r>
      <w:r>
        <w:rPr>
          <w:spacing w:val="-7"/>
          <w:sz w:val="24"/>
        </w:rPr>
        <w:t xml:space="preserve"> </w:t>
      </w:r>
      <w:r>
        <w:rPr>
          <w:sz w:val="24"/>
        </w:rPr>
        <w:t>successful</w:t>
      </w:r>
      <w:r>
        <w:rPr>
          <w:spacing w:val="-9"/>
          <w:sz w:val="24"/>
        </w:rPr>
        <w:t xml:space="preserve"> </w:t>
      </w:r>
      <w:r>
        <w:rPr>
          <w:sz w:val="24"/>
        </w:rPr>
        <w:t>Tenderer,</w:t>
      </w:r>
      <w:r>
        <w:rPr>
          <w:spacing w:val="-7"/>
          <w:sz w:val="24"/>
        </w:rPr>
        <w:t xml:space="preserve"> </w:t>
      </w:r>
      <w:r>
        <w:rPr>
          <w:sz w:val="24"/>
        </w:rPr>
        <w:t>the</w:t>
      </w:r>
      <w:r>
        <w:rPr>
          <w:spacing w:val="-2"/>
          <w:sz w:val="24"/>
        </w:rPr>
        <w:t xml:space="preserve"> </w:t>
      </w:r>
      <w:r>
        <w:rPr>
          <w:sz w:val="24"/>
        </w:rPr>
        <w:t>final</w:t>
      </w:r>
      <w:r>
        <w:rPr>
          <w:spacing w:val="-9"/>
          <w:sz w:val="24"/>
        </w:rPr>
        <w:t xml:space="preserve"> </w:t>
      </w:r>
      <w:r>
        <w:rPr>
          <w:sz w:val="24"/>
        </w:rPr>
        <w:t>total</w:t>
      </w:r>
      <w:r>
        <w:rPr>
          <w:spacing w:val="-10"/>
          <w:sz w:val="24"/>
        </w:rPr>
        <w:t xml:space="preserve"> </w:t>
      </w:r>
      <w:r>
        <w:rPr>
          <w:sz w:val="24"/>
        </w:rPr>
        <w:t>contract price,</w:t>
      </w:r>
      <w:r>
        <w:rPr>
          <w:spacing w:val="-3"/>
          <w:sz w:val="24"/>
        </w:rPr>
        <w:t xml:space="preserve"> </w:t>
      </w:r>
      <w:r>
        <w:rPr>
          <w:sz w:val="24"/>
        </w:rPr>
        <w:t>the</w:t>
      </w:r>
      <w:r>
        <w:rPr>
          <w:spacing w:val="-6"/>
          <w:sz w:val="24"/>
        </w:rPr>
        <w:t xml:space="preserve"> </w:t>
      </w:r>
      <w:r>
        <w:rPr>
          <w:sz w:val="24"/>
        </w:rPr>
        <w:t xml:space="preserve">contract </w:t>
      </w:r>
      <w:r>
        <w:rPr>
          <w:spacing w:val="-2"/>
          <w:sz w:val="24"/>
        </w:rPr>
        <w:t>duration.</w:t>
      </w:r>
    </w:p>
    <w:p w14:paraId="48E6809F" w14:textId="77777777" w:rsidR="00BB77C0" w:rsidRDefault="00370BAA">
      <w:pPr>
        <w:pStyle w:val="ListParagraph"/>
        <w:numPr>
          <w:ilvl w:val="0"/>
          <w:numId w:val="71"/>
        </w:numPr>
        <w:tabs>
          <w:tab w:val="left" w:pos="1441"/>
        </w:tabs>
        <w:spacing w:before="1" w:line="275" w:lineRule="exact"/>
        <w:rPr>
          <w:sz w:val="24"/>
        </w:rPr>
      </w:pPr>
      <w:r>
        <w:rPr>
          <w:sz w:val="24"/>
        </w:rPr>
        <w:t>dates</w:t>
      </w:r>
      <w:r>
        <w:rPr>
          <w:spacing w:val="-14"/>
          <w:sz w:val="24"/>
        </w:rPr>
        <w:t xml:space="preserve"> </w:t>
      </w:r>
      <w:r>
        <w:rPr>
          <w:sz w:val="24"/>
        </w:rPr>
        <w:t>of</w:t>
      </w:r>
      <w:r>
        <w:rPr>
          <w:spacing w:val="-13"/>
          <w:sz w:val="24"/>
        </w:rPr>
        <w:t xml:space="preserve"> </w:t>
      </w:r>
      <w:r>
        <w:rPr>
          <w:sz w:val="24"/>
        </w:rPr>
        <w:t>signature,</w:t>
      </w:r>
      <w:r>
        <w:rPr>
          <w:spacing w:val="1"/>
          <w:sz w:val="24"/>
        </w:rPr>
        <w:t xml:space="preserve"> </w:t>
      </w:r>
      <w:r>
        <w:rPr>
          <w:sz w:val="24"/>
        </w:rPr>
        <w:t>commencement</w:t>
      </w:r>
      <w:r>
        <w:rPr>
          <w:spacing w:val="3"/>
          <w:sz w:val="24"/>
        </w:rPr>
        <w:t xml:space="preserve"> </w:t>
      </w:r>
      <w:r>
        <w:rPr>
          <w:sz w:val="24"/>
        </w:rPr>
        <w:t>and</w:t>
      </w:r>
      <w:r>
        <w:rPr>
          <w:spacing w:val="4"/>
          <w:sz w:val="24"/>
        </w:rPr>
        <w:t xml:space="preserve"> </w:t>
      </w:r>
      <w:r>
        <w:rPr>
          <w:sz w:val="24"/>
        </w:rPr>
        <w:t>completion</w:t>
      </w:r>
      <w:r>
        <w:rPr>
          <w:spacing w:val="-4"/>
          <w:sz w:val="24"/>
        </w:rPr>
        <w:t xml:space="preserve"> </w:t>
      </w:r>
      <w:r>
        <w:rPr>
          <w:sz w:val="24"/>
        </w:rPr>
        <w:t>of</w:t>
      </w:r>
      <w:r>
        <w:rPr>
          <w:spacing w:val="-8"/>
          <w:sz w:val="24"/>
        </w:rPr>
        <w:t xml:space="preserve"> </w:t>
      </w:r>
      <w:r>
        <w:rPr>
          <w:spacing w:val="-2"/>
          <w:sz w:val="24"/>
        </w:rPr>
        <w:t>contract;</w:t>
      </w:r>
    </w:p>
    <w:p w14:paraId="4DE11CBE" w14:textId="77777777" w:rsidR="00BB77C0" w:rsidRDefault="00370BAA">
      <w:pPr>
        <w:pStyle w:val="ListParagraph"/>
        <w:numPr>
          <w:ilvl w:val="0"/>
          <w:numId w:val="71"/>
        </w:numPr>
        <w:tabs>
          <w:tab w:val="left" w:pos="1441"/>
        </w:tabs>
        <w:spacing w:line="242" w:lineRule="auto"/>
        <w:ind w:right="248"/>
        <w:rPr>
          <w:sz w:val="24"/>
        </w:rPr>
      </w:pPr>
      <w:r>
        <w:rPr>
          <w:sz w:val="24"/>
        </w:rPr>
        <w:t>Names</w:t>
      </w:r>
      <w:r>
        <w:rPr>
          <w:spacing w:val="-8"/>
          <w:sz w:val="24"/>
        </w:rPr>
        <w:t xml:space="preserve"> </w:t>
      </w:r>
      <w:r>
        <w:rPr>
          <w:sz w:val="24"/>
        </w:rPr>
        <w:t>of</w:t>
      </w:r>
      <w:r>
        <w:rPr>
          <w:spacing w:val="-14"/>
          <w:sz w:val="24"/>
        </w:rPr>
        <w:t xml:space="preserve"> </w:t>
      </w:r>
      <w:r>
        <w:rPr>
          <w:sz w:val="24"/>
        </w:rPr>
        <w:t>all</w:t>
      </w:r>
      <w:r>
        <w:rPr>
          <w:spacing w:val="-10"/>
          <w:sz w:val="24"/>
        </w:rPr>
        <w:t xml:space="preserve"> </w:t>
      </w:r>
      <w:r>
        <w:rPr>
          <w:sz w:val="24"/>
        </w:rPr>
        <w:t>Tenderers</w:t>
      </w:r>
      <w:r>
        <w:rPr>
          <w:spacing w:val="-7"/>
          <w:sz w:val="24"/>
        </w:rPr>
        <w:t xml:space="preserve"> </w:t>
      </w:r>
      <w:r>
        <w:rPr>
          <w:sz w:val="24"/>
        </w:rPr>
        <w:t>that</w:t>
      </w:r>
      <w:r>
        <w:rPr>
          <w:spacing w:val="-1"/>
          <w:sz w:val="24"/>
        </w:rPr>
        <w:t xml:space="preserve"> </w:t>
      </w:r>
      <w:r>
        <w:rPr>
          <w:sz w:val="24"/>
        </w:rPr>
        <w:t>submitted</w:t>
      </w:r>
      <w:r>
        <w:rPr>
          <w:spacing w:val="-6"/>
          <w:sz w:val="24"/>
        </w:rPr>
        <w:t xml:space="preserve"> </w:t>
      </w:r>
      <w:r>
        <w:rPr>
          <w:sz w:val="24"/>
        </w:rPr>
        <w:t>Tenders</w:t>
      </w:r>
      <w:r>
        <w:rPr>
          <w:spacing w:val="-8"/>
          <w:sz w:val="24"/>
        </w:rPr>
        <w:t xml:space="preserve"> </w:t>
      </w:r>
      <w:r>
        <w:rPr>
          <w:sz w:val="24"/>
        </w:rPr>
        <w:t>and</w:t>
      </w:r>
      <w:r>
        <w:rPr>
          <w:spacing w:val="-2"/>
          <w:sz w:val="24"/>
        </w:rPr>
        <w:t xml:space="preserve"> </w:t>
      </w:r>
      <w:r>
        <w:rPr>
          <w:sz w:val="24"/>
        </w:rPr>
        <w:t>their</w:t>
      </w:r>
      <w:r>
        <w:rPr>
          <w:spacing w:val="-4"/>
          <w:sz w:val="24"/>
        </w:rPr>
        <w:t xml:space="preserve"> </w:t>
      </w:r>
      <w:r>
        <w:rPr>
          <w:sz w:val="24"/>
        </w:rPr>
        <w:t>Tender</w:t>
      </w:r>
      <w:r>
        <w:rPr>
          <w:spacing w:val="-5"/>
          <w:sz w:val="24"/>
        </w:rPr>
        <w:t xml:space="preserve"> </w:t>
      </w:r>
      <w:r>
        <w:rPr>
          <w:sz w:val="24"/>
        </w:rPr>
        <w:t>prices</w:t>
      </w:r>
      <w:r>
        <w:rPr>
          <w:spacing w:val="-3"/>
          <w:sz w:val="24"/>
        </w:rPr>
        <w:t xml:space="preserve"> </w:t>
      </w:r>
      <w:r>
        <w:rPr>
          <w:sz w:val="24"/>
        </w:rPr>
        <w:t>as</w:t>
      </w:r>
      <w:r>
        <w:rPr>
          <w:spacing w:val="-9"/>
          <w:sz w:val="24"/>
        </w:rPr>
        <w:t xml:space="preserve"> </w:t>
      </w:r>
      <w:r>
        <w:rPr>
          <w:sz w:val="24"/>
        </w:rPr>
        <w:t>read</w:t>
      </w:r>
      <w:r>
        <w:rPr>
          <w:spacing w:val="-7"/>
          <w:sz w:val="24"/>
        </w:rPr>
        <w:t xml:space="preserve"> </w:t>
      </w:r>
      <w:r>
        <w:rPr>
          <w:sz w:val="24"/>
        </w:rPr>
        <w:t>out</w:t>
      </w:r>
      <w:r>
        <w:rPr>
          <w:spacing w:val="-1"/>
          <w:sz w:val="24"/>
        </w:rPr>
        <w:t xml:space="preserve"> </w:t>
      </w:r>
      <w:r>
        <w:rPr>
          <w:sz w:val="24"/>
        </w:rPr>
        <w:t xml:space="preserve">at </w:t>
      </w:r>
      <w:bookmarkStart w:id="120" w:name="_bookmark59"/>
      <w:bookmarkEnd w:id="120"/>
      <w:r>
        <w:rPr>
          <w:sz w:val="24"/>
        </w:rPr>
        <w:t>Tender opening.</w:t>
      </w:r>
    </w:p>
    <w:p w14:paraId="50187BB7" w14:textId="77777777" w:rsidR="00BB77C0" w:rsidRDefault="00370BAA">
      <w:pPr>
        <w:pStyle w:val="Heading6"/>
        <w:numPr>
          <w:ilvl w:val="0"/>
          <w:numId w:val="75"/>
        </w:numPr>
        <w:tabs>
          <w:tab w:val="left" w:pos="720"/>
        </w:tabs>
        <w:spacing w:before="238"/>
        <w:ind w:hanging="720"/>
      </w:pPr>
      <w:bookmarkStart w:id="121" w:name="54.0_Procurement_Related_Complaint"/>
      <w:bookmarkEnd w:id="121"/>
      <w:r>
        <w:t>Procurement</w:t>
      </w:r>
      <w:r>
        <w:rPr>
          <w:spacing w:val="-9"/>
        </w:rPr>
        <w:t xml:space="preserve"> </w:t>
      </w:r>
      <w:r>
        <w:t>Related</w:t>
      </w:r>
      <w:r>
        <w:rPr>
          <w:spacing w:val="-9"/>
        </w:rPr>
        <w:t xml:space="preserve"> </w:t>
      </w:r>
      <w:r>
        <w:rPr>
          <w:spacing w:val="-2"/>
        </w:rPr>
        <w:t>Complaint</w:t>
      </w:r>
    </w:p>
    <w:p w14:paraId="564EFB63" w14:textId="77777777" w:rsidR="00BB77C0" w:rsidRDefault="00370BAA">
      <w:pPr>
        <w:pStyle w:val="ListParagraph"/>
        <w:numPr>
          <w:ilvl w:val="1"/>
          <w:numId w:val="75"/>
        </w:numPr>
        <w:tabs>
          <w:tab w:val="left" w:pos="1440"/>
        </w:tabs>
        <w:spacing w:before="80"/>
        <w:ind w:left="1440" w:hanging="720"/>
        <w:rPr>
          <w:sz w:val="24"/>
        </w:rPr>
      </w:pPr>
      <w:r>
        <w:rPr>
          <w:sz w:val="24"/>
        </w:rPr>
        <w:t>The</w:t>
      </w:r>
      <w:r>
        <w:rPr>
          <w:spacing w:val="-11"/>
          <w:sz w:val="24"/>
        </w:rPr>
        <w:t xml:space="preserve"> </w:t>
      </w:r>
      <w:r>
        <w:rPr>
          <w:sz w:val="24"/>
        </w:rPr>
        <w:t>procedures</w:t>
      </w:r>
      <w:r>
        <w:rPr>
          <w:spacing w:val="-4"/>
          <w:sz w:val="24"/>
        </w:rPr>
        <w:t xml:space="preserve"> </w:t>
      </w:r>
      <w:r>
        <w:rPr>
          <w:sz w:val="24"/>
        </w:rPr>
        <w:t>for</w:t>
      </w:r>
      <w:r>
        <w:rPr>
          <w:spacing w:val="-5"/>
          <w:sz w:val="24"/>
        </w:rPr>
        <w:t xml:space="preserve"> </w:t>
      </w:r>
      <w:r>
        <w:rPr>
          <w:sz w:val="24"/>
        </w:rPr>
        <w:t>making</w:t>
      </w:r>
      <w:r>
        <w:rPr>
          <w:spacing w:val="-4"/>
          <w:sz w:val="24"/>
        </w:rPr>
        <w:t xml:space="preserve"> </w:t>
      </w:r>
      <w:r>
        <w:rPr>
          <w:sz w:val="24"/>
        </w:rPr>
        <w:t>Procurement-related</w:t>
      </w:r>
      <w:r>
        <w:rPr>
          <w:spacing w:val="-3"/>
          <w:sz w:val="24"/>
        </w:rPr>
        <w:t xml:space="preserve"> </w:t>
      </w:r>
      <w:r>
        <w:rPr>
          <w:sz w:val="24"/>
        </w:rPr>
        <w:t>Complaints</w:t>
      </w:r>
      <w:r>
        <w:rPr>
          <w:spacing w:val="-2"/>
          <w:sz w:val="24"/>
        </w:rPr>
        <w:t xml:space="preserve"> </w:t>
      </w:r>
      <w:r>
        <w:rPr>
          <w:sz w:val="24"/>
        </w:rPr>
        <w:t>shall</w:t>
      </w:r>
      <w:r>
        <w:rPr>
          <w:spacing w:val="-6"/>
          <w:sz w:val="24"/>
        </w:rPr>
        <w:t xml:space="preserve"> </w:t>
      </w:r>
      <w:r>
        <w:rPr>
          <w:sz w:val="24"/>
        </w:rPr>
        <w:t>be</w:t>
      </w:r>
      <w:r>
        <w:rPr>
          <w:spacing w:val="-4"/>
          <w:sz w:val="24"/>
        </w:rPr>
        <w:t xml:space="preserve"> </w:t>
      </w:r>
      <w:r>
        <w:rPr>
          <w:sz w:val="24"/>
        </w:rPr>
        <w:t>specified</w:t>
      </w:r>
      <w:r>
        <w:rPr>
          <w:spacing w:val="1"/>
          <w:sz w:val="24"/>
        </w:rPr>
        <w:t xml:space="preserve"> </w:t>
      </w:r>
      <w:r>
        <w:rPr>
          <w:sz w:val="24"/>
        </w:rPr>
        <w:t>in</w:t>
      </w:r>
      <w:r>
        <w:rPr>
          <w:spacing w:val="-6"/>
          <w:sz w:val="24"/>
        </w:rPr>
        <w:t xml:space="preserve"> </w:t>
      </w:r>
      <w:r>
        <w:rPr>
          <w:spacing w:val="-5"/>
          <w:sz w:val="24"/>
        </w:rPr>
        <w:t>the</w:t>
      </w:r>
    </w:p>
    <w:p w14:paraId="2F0EF1FD" w14:textId="77777777" w:rsidR="00BB77C0" w:rsidRDefault="00370BAA">
      <w:pPr>
        <w:pStyle w:val="Heading5"/>
        <w:spacing w:before="26"/>
        <w:ind w:left="1441"/>
      </w:pPr>
      <w:bookmarkStart w:id="122" w:name="TDS."/>
      <w:bookmarkEnd w:id="122"/>
      <w:r>
        <w:rPr>
          <w:spacing w:val="-4"/>
        </w:rPr>
        <w:t>TDS.</w:t>
      </w:r>
    </w:p>
    <w:p w14:paraId="6B663566" w14:textId="77777777" w:rsidR="00BB77C0" w:rsidRDefault="00370BAA">
      <w:pPr>
        <w:pStyle w:val="ListParagraph"/>
        <w:numPr>
          <w:ilvl w:val="1"/>
          <w:numId w:val="75"/>
        </w:numPr>
        <w:tabs>
          <w:tab w:val="left" w:pos="1441"/>
        </w:tabs>
        <w:spacing w:before="182" w:line="196" w:lineRule="auto"/>
        <w:ind w:right="899"/>
        <w:rPr>
          <w:sz w:val="24"/>
        </w:rPr>
      </w:pPr>
      <w:r>
        <w:rPr>
          <w:sz w:val="24"/>
        </w:rPr>
        <w:t>A</w:t>
      </w:r>
      <w:r>
        <w:rPr>
          <w:spacing w:val="-9"/>
          <w:sz w:val="24"/>
        </w:rPr>
        <w:t xml:space="preserve"> </w:t>
      </w:r>
      <w:r>
        <w:rPr>
          <w:sz w:val="24"/>
        </w:rPr>
        <w:t>request for</w:t>
      </w:r>
      <w:r>
        <w:rPr>
          <w:spacing w:val="-3"/>
          <w:sz w:val="24"/>
        </w:rPr>
        <w:t xml:space="preserve"> </w:t>
      </w:r>
      <w:r>
        <w:rPr>
          <w:sz w:val="24"/>
        </w:rPr>
        <w:t>administrative</w:t>
      </w:r>
      <w:r>
        <w:rPr>
          <w:spacing w:val="-5"/>
          <w:sz w:val="24"/>
        </w:rPr>
        <w:t xml:space="preserve"> </w:t>
      </w:r>
      <w:r>
        <w:rPr>
          <w:sz w:val="24"/>
        </w:rPr>
        <w:t>review</w:t>
      </w:r>
      <w:r>
        <w:rPr>
          <w:spacing w:val="-5"/>
          <w:sz w:val="24"/>
        </w:rPr>
        <w:t xml:space="preserve"> </w:t>
      </w:r>
      <w:r>
        <w:rPr>
          <w:sz w:val="24"/>
        </w:rPr>
        <w:t>shall</w:t>
      </w:r>
      <w:r>
        <w:rPr>
          <w:spacing w:val="-8"/>
          <w:sz w:val="24"/>
        </w:rPr>
        <w:t xml:space="preserve"> </w:t>
      </w:r>
      <w:r>
        <w:rPr>
          <w:sz w:val="24"/>
        </w:rPr>
        <w:t>be made in</w:t>
      </w:r>
      <w:r>
        <w:rPr>
          <w:spacing w:val="-8"/>
          <w:sz w:val="24"/>
        </w:rPr>
        <w:t xml:space="preserve"> </w:t>
      </w:r>
      <w:r>
        <w:rPr>
          <w:sz w:val="24"/>
        </w:rPr>
        <w:t>the form</w:t>
      </w:r>
      <w:r>
        <w:rPr>
          <w:spacing w:val="-12"/>
          <w:sz w:val="24"/>
        </w:rPr>
        <w:t xml:space="preserve"> </w:t>
      </w:r>
      <w:r>
        <w:rPr>
          <w:sz w:val="24"/>
        </w:rPr>
        <w:t>provided</w:t>
      </w:r>
      <w:r>
        <w:rPr>
          <w:spacing w:val="-4"/>
          <w:sz w:val="24"/>
        </w:rPr>
        <w:t xml:space="preserve"> </w:t>
      </w:r>
      <w:r>
        <w:rPr>
          <w:sz w:val="24"/>
        </w:rPr>
        <w:t xml:space="preserve">under </w:t>
      </w:r>
      <w:r>
        <w:rPr>
          <w:color w:val="201F1F"/>
          <w:sz w:val="24"/>
        </w:rPr>
        <w:t>contract forms.</w:t>
      </w:r>
    </w:p>
    <w:p w14:paraId="4B1B76A0" w14:textId="77777777" w:rsidR="00BB77C0" w:rsidRDefault="00BB77C0">
      <w:pPr>
        <w:pStyle w:val="ListParagraph"/>
        <w:spacing w:line="196" w:lineRule="auto"/>
        <w:rPr>
          <w:sz w:val="24"/>
        </w:rPr>
        <w:sectPr w:rsidR="00BB77C0">
          <w:pgSz w:w="11930" w:h="16870"/>
          <w:pgMar w:top="1320" w:right="1080" w:bottom="280" w:left="1080" w:header="720" w:footer="720" w:gutter="0"/>
          <w:cols w:space="720"/>
        </w:sectPr>
      </w:pPr>
    </w:p>
    <w:p w14:paraId="77A2B99B" w14:textId="77777777" w:rsidR="00BB77C0" w:rsidRDefault="00BB77C0">
      <w:pPr>
        <w:pStyle w:val="BodyText"/>
        <w:rPr>
          <w:sz w:val="24"/>
        </w:rPr>
      </w:pPr>
    </w:p>
    <w:p w14:paraId="38B75536" w14:textId="77777777" w:rsidR="00BB77C0" w:rsidRDefault="00BB77C0">
      <w:pPr>
        <w:pStyle w:val="BodyText"/>
        <w:rPr>
          <w:sz w:val="24"/>
        </w:rPr>
      </w:pPr>
    </w:p>
    <w:p w14:paraId="6C4CD3A7" w14:textId="77777777" w:rsidR="00BB77C0" w:rsidRDefault="00BB77C0">
      <w:pPr>
        <w:pStyle w:val="BodyText"/>
        <w:rPr>
          <w:sz w:val="24"/>
        </w:rPr>
      </w:pPr>
    </w:p>
    <w:p w14:paraId="5A60A21B" w14:textId="77777777" w:rsidR="00BB77C0" w:rsidRDefault="00BB77C0">
      <w:pPr>
        <w:pStyle w:val="BodyText"/>
        <w:rPr>
          <w:sz w:val="24"/>
        </w:rPr>
      </w:pPr>
    </w:p>
    <w:p w14:paraId="4837CA23" w14:textId="77777777" w:rsidR="00BB77C0" w:rsidRDefault="00BB77C0">
      <w:pPr>
        <w:pStyle w:val="BodyText"/>
        <w:rPr>
          <w:sz w:val="24"/>
        </w:rPr>
      </w:pPr>
    </w:p>
    <w:p w14:paraId="1F5282E0" w14:textId="77777777" w:rsidR="00BB77C0" w:rsidRDefault="00BB77C0">
      <w:pPr>
        <w:pStyle w:val="BodyText"/>
        <w:rPr>
          <w:sz w:val="24"/>
        </w:rPr>
      </w:pPr>
    </w:p>
    <w:p w14:paraId="3B737CE7" w14:textId="77777777" w:rsidR="00BB77C0" w:rsidRDefault="00BB77C0">
      <w:pPr>
        <w:pStyle w:val="BodyText"/>
        <w:rPr>
          <w:sz w:val="24"/>
        </w:rPr>
      </w:pPr>
    </w:p>
    <w:p w14:paraId="588B863A" w14:textId="77777777" w:rsidR="00BB77C0" w:rsidRDefault="00BB77C0">
      <w:pPr>
        <w:pStyle w:val="BodyText"/>
        <w:rPr>
          <w:sz w:val="24"/>
        </w:rPr>
      </w:pPr>
    </w:p>
    <w:p w14:paraId="7BA956E1" w14:textId="77777777" w:rsidR="00BB77C0" w:rsidRDefault="00BB77C0">
      <w:pPr>
        <w:pStyle w:val="BodyText"/>
        <w:rPr>
          <w:sz w:val="24"/>
        </w:rPr>
      </w:pPr>
    </w:p>
    <w:p w14:paraId="2A76E096" w14:textId="77777777" w:rsidR="00BB77C0" w:rsidRDefault="00BB77C0">
      <w:pPr>
        <w:pStyle w:val="BodyText"/>
        <w:spacing w:before="9"/>
        <w:rPr>
          <w:sz w:val="24"/>
        </w:rPr>
      </w:pPr>
    </w:p>
    <w:p w14:paraId="2D92B53B" w14:textId="77777777" w:rsidR="00BB77C0" w:rsidRDefault="00370BAA">
      <w:pPr>
        <w:pStyle w:val="Heading5"/>
        <w:ind w:left="0"/>
        <w:jc w:val="both"/>
      </w:pPr>
      <w:bookmarkStart w:id="123" w:name="SECTION_III_-_TENDER_DATA_SHEET_(TDS)"/>
      <w:bookmarkStart w:id="124" w:name="_bookmark60"/>
      <w:bookmarkEnd w:id="123"/>
      <w:bookmarkEnd w:id="124"/>
      <w:r>
        <w:t>SECTION</w:t>
      </w:r>
      <w:r>
        <w:rPr>
          <w:spacing w:val="-6"/>
        </w:rPr>
        <w:t xml:space="preserve"> </w:t>
      </w:r>
      <w:r>
        <w:t>III</w:t>
      </w:r>
      <w:r>
        <w:rPr>
          <w:spacing w:val="-4"/>
        </w:rPr>
        <w:t xml:space="preserve"> </w:t>
      </w:r>
      <w:r>
        <w:t>- TENDER</w:t>
      </w:r>
      <w:r>
        <w:rPr>
          <w:spacing w:val="-2"/>
        </w:rPr>
        <w:t xml:space="preserve"> </w:t>
      </w:r>
      <w:r>
        <w:t>DATA</w:t>
      </w:r>
      <w:r>
        <w:rPr>
          <w:spacing w:val="-2"/>
        </w:rPr>
        <w:t xml:space="preserve"> </w:t>
      </w:r>
      <w:r>
        <w:t>SHEET</w:t>
      </w:r>
      <w:r>
        <w:rPr>
          <w:spacing w:val="-3"/>
        </w:rPr>
        <w:t xml:space="preserve"> </w:t>
      </w:r>
      <w:r>
        <w:rPr>
          <w:spacing w:val="-4"/>
        </w:rPr>
        <w:t>(TDS)</w:t>
      </w:r>
    </w:p>
    <w:p w14:paraId="703F70FF" w14:textId="77777777" w:rsidR="00BB77C0" w:rsidRDefault="00370BAA">
      <w:pPr>
        <w:spacing w:before="79" w:line="247" w:lineRule="auto"/>
        <w:ind w:right="683"/>
        <w:jc w:val="both"/>
        <w:rPr>
          <w:sz w:val="24"/>
        </w:rPr>
      </w:pPr>
      <w:r>
        <w:rPr>
          <w:color w:val="211F1F"/>
          <w:sz w:val="24"/>
        </w:rPr>
        <w:t>The following specific data for the Works and Services to be procured shall complement, supplement,</w:t>
      </w:r>
      <w:r>
        <w:rPr>
          <w:color w:val="211F1F"/>
          <w:spacing w:val="-5"/>
          <w:sz w:val="24"/>
        </w:rPr>
        <w:t xml:space="preserve"> </w:t>
      </w:r>
      <w:r>
        <w:rPr>
          <w:color w:val="211F1F"/>
          <w:sz w:val="24"/>
        </w:rPr>
        <w:t>or</w:t>
      </w:r>
      <w:r>
        <w:rPr>
          <w:color w:val="211F1F"/>
          <w:spacing w:val="-2"/>
          <w:sz w:val="24"/>
        </w:rPr>
        <w:t xml:space="preserve"> </w:t>
      </w:r>
      <w:r>
        <w:rPr>
          <w:color w:val="211F1F"/>
          <w:sz w:val="24"/>
        </w:rPr>
        <w:t>amend</w:t>
      </w:r>
      <w:r>
        <w:rPr>
          <w:color w:val="211F1F"/>
          <w:spacing w:val="-3"/>
          <w:sz w:val="24"/>
        </w:rPr>
        <w:t xml:space="preserve"> </w:t>
      </w:r>
      <w:r>
        <w:rPr>
          <w:color w:val="211F1F"/>
          <w:sz w:val="24"/>
        </w:rPr>
        <w:t>the</w:t>
      </w:r>
      <w:r>
        <w:rPr>
          <w:color w:val="211F1F"/>
          <w:spacing w:val="-5"/>
          <w:sz w:val="24"/>
        </w:rPr>
        <w:t xml:space="preserve"> </w:t>
      </w:r>
      <w:r>
        <w:rPr>
          <w:color w:val="211F1F"/>
          <w:sz w:val="24"/>
        </w:rPr>
        <w:t>provisions in</w:t>
      </w:r>
      <w:r>
        <w:rPr>
          <w:color w:val="211F1F"/>
          <w:spacing w:val="-4"/>
          <w:sz w:val="24"/>
        </w:rPr>
        <w:t xml:space="preserve"> </w:t>
      </w:r>
      <w:r>
        <w:rPr>
          <w:color w:val="211F1F"/>
          <w:sz w:val="24"/>
        </w:rPr>
        <w:t>the Instructions to</w:t>
      </w:r>
      <w:r>
        <w:rPr>
          <w:color w:val="211F1F"/>
          <w:spacing w:val="-4"/>
          <w:sz w:val="24"/>
        </w:rPr>
        <w:t xml:space="preserve"> </w:t>
      </w:r>
      <w:r>
        <w:rPr>
          <w:color w:val="211F1F"/>
          <w:sz w:val="24"/>
        </w:rPr>
        <w:t>Tenderers</w:t>
      </w:r>
      <w:r>
        <w:rPr>
          <w:color w:val="211F1F"/>
          <w:spacing w:val="-2"/>
          <w:sz w:val="24"/>
        </w:rPr>
        <w:t xml:space="preserve"> </w:t>
      </w:r>
      <w:r>
        <w:rPr>
          <w:color w:val="211F1F"/>
          <w:sz w:val="24"/>
        </w:rPr>
        <w:t>(ITT). Whenever</w:t>
      </w:r>
      <w:r>
        <w:rPr>
          <w:color w:val="211F1F"/>
          <w:spacing w:val="-1"/>
          <w:sz w:val="24"/>
        </w:rPr>
        <w:t xml:space="preserve"> </w:t>
      </w:r>
      <w:r>
        <w:rPr>
          <w:color w:val="211F1F"/>
          <w:sz w:val="24"/>
        </w:rPr>
        <w:t>there is a conflict, the provisions herein shall prevail over those in ITT.</w:t>
      </w:r>
    </w:p>
    <w:p w14:paraId="4CDEDB4D" w14:textId="77777777" w:rsidR="00BB77C0" w:rsidRDefault="00BB77C0">
      <w:pPr>
        <w:pStyle w:val="BodyText"/>
        <w:spacing w:before="8"/>
        <w:rPr>
          <w:sz w:val="19"/>
        </w:rPr>
      </w:pPr>
    </w:p>
    <w:tbl>
      <w:tblPr>
        <w:tblW w:w="0" w:type="auto"/>
        <w:tblInd w:w="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647"/>
        <w:gridCol w:w="8087"/>
      </w:tblGrid>
      <w:tr w:rsidR="00BB77C0" w14:paraId="4472E077" w14:textId="77777777">
        <w:trPr>
          <w:trHeight w:val="253"/>
        </w:trPr>
        <w:tc>
          <w:tcPr>
            <w:tcW w:w="1647" w:type="dxa"/>
            <w:tcBorders>
              <w:right w:val="single" w:sz="6" w:space="0" w:color="000000"/>
            </w:tcBorders>
          </w:tcPr>
          <w:p w14:paraId="1C8FEBC5" w14:textId="77777777" w:rsidR="00BB77C0" w:rsidRDefault="00370BAA">
            <w:pPr>
              <w:pStyle w:val="TableParagraph"/>
              <w:spacing w:line="233" w:lineRule="exact"/>
              <w:ind w:left="138" w:right="-15"/>
              <w:rPr>
                <w:b/>
                <w:sz w:val="24"/>
              </w:rPr>
            </w:pPr>
            <w:r>
              <w:rPr>
                <w:b/>
                <w:sz w:val="24"/>
              </w:rPr>
              <w:t xml:space="preserve">ITT </w:t>
            </w:r>
            <w:r>
              <w:rPr>
                <w:b/>
                <w:spacing w:val="-2"/>
                <w:sz w:val="24"/>
              </w:rPr>
              <w:t>Reference</w:t>
            </w:r>
          </w:p>
        </w:tc>
        <w:tc>
          <w:tcPr>
            <w:tcW w:w="8087" w:type="dxa"/>
            <w:tcBorders>
              <w:left w:val="single" w:sz="6" w:space="0" w:color="000000"/>
            </w:tcBorders>
          </w:tcPr>
          <w:p w14:paraId="5854B364" w14:textId="77777777" w:rsidR="00BB77C0" w:rsidRDefault="00370BAA">
            <w:pPr>
              <w:pStyle w:val="TableParagraph"/>
              <w:spacing w:line="233" w:lineRule="exact"/>
              <w:ind w:left="141"/>
              <w:rPr>
                <w:b/>
                <w:sz w:val="24"/>
              </w:rPr>
            </w:pPr>
            <w:r>
              <w:rPr>
                <w:b/>
                <w:sz w:val="24"/>
              </w:rPr>
              <w:t>PARTICULARS</w:t>
            </w:r>
            <w:r>
              <w:rPr>
                <w:b/>
                <w:spacing w:val="36"/>
                <w:sz w:val="24"/>
              </w:rPr>
              <w:t xml:space="preserve"> </w:t>
            </w:r>
            <w:r>
              <w:rPr>
                <w:b/>
                <w:sz w:val="24"/>
              </w:rPr>
              <w:t>OF</w:t>
            </w:r>
            <w:r>
              <w:rPr>
                <w:b/>
                <w:spacing w:val="33"/>
                <w:sz w:val="24"/>
              </w:rPr>
              <w:t xml:space="preserve"> </w:t>
            </w:r>
            <w:r>
              <w:rPr>
                <w:b/>
                <w:sz w:val="24"/>
              </w:rPr>
              <w:t>APPENDIX</w:t>
            </w:r>
            <w:r>
              <w:rPr>
                <w:b/>
                <w:spacing w:val="29"/>
                <w:sz w:val="24"/>
              </w:rPr>
              <w:t xml:space="preserve"> </w:t>
            </w:r>
            <w:r>
              <w:rPr>
                <w:b/>
                <w:sz w:val="24"/>
              </w:rPr>
              <w:t>TO</w:t>
            </w:r>
            <w:r>
              <w:rPr>
                <w:b/>
                <w:spacing w:val="28"/>
                <w:sz w:val="24"/>
              </w:rPr>
              <w:t xml:space="preserve"> </w:t>
            </w:r>
            <w:r>
              <w:rPr>
                <w:b/>
                <w:sz w:val="24"/>
              </w:rPr>
              <w:t>INSTRUCTIONS</w:t>
            </w:r>
            <w:r>
              <w:rPr>
                <w:b/>
                <w:spacing w:val="37"/>
                <w:sz w:val="24"/>
              </w:rPr>
              <w:t xml:space="preserve"> </w:t>
            </w:r>
            <w:r>
              <w:rPr>
                <w:b/>
                <w:sz w:val="24"/>
              </w:rPr>
              <w:t>TO</w:t>
            </w:r>
            <w:r>
              <w:rPr>
                <w:b/>
                <w:spacing w:val="28"/>
                <w:sz w:val="24"/>
              </w:rPr>
              <w:t xml:space="preserve"> </w:t>
            </w:r>
            <w:r>
              <w:rPr>
                <w:b/>
                <w:spacing w:val="-2"/>
                <w:sz w:val="24"/>
              </w:rPr>
              <w:t>TENDERS</w:t>
            </w:r>
          </w:p>
        </w:tc>
      </w:tr>
      <w:tr w:rsidR="00BB77C0" w14:paraId="48C3EE5D" w14:textId="77777777">
        <w:trPr>
          <w:trHeight w:val="272"/>
        </w:trPr>
        <w:tc>
          <w:tcPr>
            <w:tcW w:w="1647" w:type="dxa"/>
            <w:tcBorders>
              <w:right w:val="single" w:sz="6" w:space="0" w:color="000000"/>
            </w:tcBorders>
          </w:tcPr>
          <w:p w14:paraId="061A069B" w14:textId="77777777" w:rsidR="00BB77C0" w:rsidRDefault="00BB77C0">
            <w:pPr>
              <w:pStyle w:val="TableParagraph"/>
              <w:rPr>
                <w:sz w:val="20"/>
              </w:rPr>
            </w:pPr>
          </w:p>
        </w:tc>
        <w:tc>
          <w:tcPr>
            <w:tcW w:w="8087" w:type="dxa"/>
            <w:tcBorders>
              <w:left w:val="single" w:sz="6" w:space="0" w:color="000000"/>
            </w:tcBorders>
          </w:tcPr>
          <w:p w14:paraId="2F7C25D3" w14:textId="77777777" w:rsidR="00BB77C0" w:rsidRDefault="00370BAA">
            <w:pPr>
              <w:pStyle w:val="TableParagraph"/>
              <w:spacing w:line="243" w:lineRule="exact"/>
              <w:ind w:left="141"/>
              <w:rPr>
                <w:sz w:val="24"/>
              </w:rPr>
            </w:pPr>
            <w:r>
              <w:rPr>
                <w:sz w:val="24"/>
              </w:rPr>
              <w:t>A.</w:t>
            </w:r>
            <w:r>
              <w:rPr>
                <w:spacing w:val="11"/>
                <w:sz w:val="24"/>
              </w:rPr>
              <w:t xml:space="preserve"> </w:t>
            </w:r>
            <w:r>
              <w:rPr>
                <w:spacing w:val="-2"/>
                <w:sz w:val="24"/>
              </w:rPr>
              <w:t>General</w:t>
            </w:r>
          </w:p>
        </w:tc>
      </w:tr>
      <w:tr w:rsidR="00BB77C0" w14:paraId="2DCEA393" w14:textId="77777777">
        <w:trPr>
          <w:trHeight w:val="1520"/>
        </w:trPr>
        <w:tc>
          <w:tcPr>
            <w:tcW w:w="1647" w:type="dxa"/>
          </w:tcPr>
          <w:p w14:paraId="1F9C300B" w14:textId="77777777" w:rsidR="00BB77C0" w:rsidRDefault="00370BAA">
            <w:pPr>
              <w:pStyle w:val="TableParagraph"/>
              <w:spacing w:line="267" w:lineRule="exact"/>
              <w:ind w:left="138"/>
              <w:rPr>
                <w:sz w:val="24"/>
              </w:rPr>
            </w:pPr>
            <w:r>
              <w:rPr>
                <w:w w:val="110"/>
                <w:sz w:val="24"/>
              </w:rPr>
              <w:t>ITT</w:t>
            </w:r>
            <w:r>
              <w:rPr>
                <w:spacing w:val="-8"/>
                <w:w w:val="110"/>
                <w:sz w:val="24"/>
              </w:rPr>
              <w:t xml:space="preserve"> </w:t>
            </w:r>
            <w:r>
              <w:rPr>
                <w:spacing w:val="-5"/>
                <w:w w:val="110"/>
                <w:sz w:val="24"/>
              </w:rPr>
              <w:t>1.1</w:t>
            </w:r>
          </w:p>
        </w:tc>
        <w:tc>
          <w:tcPr>
            <w:tcW w:w="8087" w:type="dxa"/>
          </w:tcPr>
          <w:p w14:paraId="45EBC9B2" w14:textId="77777777" w:rsidR="00BB77C0" w:rsidRDefault="00370BAA">
            <w:pPr>
              <w:pStyle w:val="TableParagraph"/>
              <w:spacing w:line="216" w:lineRule="auto"/>
              <w:ind w:left="133" w:right="314"/>
              <w:rPr>
                <w:b/>
                <w:sz w:val="24"/>
              </w:rPr>
            </w:pPr>
            <w:r>
              <w:rPr>
                <w:w w:val="105"/>
                <w:sz w:val="24"/>
              </w:rPr>
              <w:t>The</w:t>
            </w:r>
            <w:r>
              <w:rPr>
                <w:spacing w:val="-17"/>
                <w:w w:val="105"/>
                <w:sz w:val="24"/>
              </w:rPr>
              <w:t xml:space="preserve"> </w:t>
            </w:r>
            <w:r>
              <w:rPr>
                <w:w w:val="105"/>
                <w:sz w:val="24"/>
              </w:rPr>
              <w:t>name</w:t>
            </w:r>
            <w:r>
              <w:rPr>
                <w:spacing w:val="-16"/>
                <w:w w:val="105"/>
                <w:sz w:val="24"/>
              </w:rPr>
              <w:t xml:space="preserve"> </w:t>
            </w:r>
            <w:r>
              <w:rPr>
                <w:w w:val="105"/>
                <w:sz w:val="24"/>
              </w:rPr>
              <w:t>of</w:t>
            </w:r>
            <w:r>
              <w:rPr>
                <w:spacing w:val="-16"/>
                <w:w w:val="105"/>
                <w:sz w:val="24"/>
              </w:rPr>
              <w:t xml:space="preserve"> </w:t>
            </w:r>
            <w:r>
              <w:rPr>
                <w:w w:val="105"/>
                <w:sz w:val="24"/>
              </w:rPr>
              <w:t>the</w:t>
            </w:r>
            <w:r>
              <w:rPr>
                <w:spacing w:val="-16"/>
                <w:w w:val="105"/>
                <w:sz w:val="24"/>
              </w:rPr>
              <w:t xml:space="preserve"> </w:t>
            </w:r>
            <w:r>
              <w:rPr>
                <w:w w:val="105"/>
                <w:sz w:val="24"/>
              </w:rPr>
              <w:t>contract</w:t>
            </w:r>
            <w:r>
              <w:rPr>
                <w:spacing w:val="-13"/>
                <w:w w:val="105"/>
                <w:sz w:val="24"/>
              </w:rPr>
              <w:t xml:space="preserve"> </w:t>
            </w:r>
            <w:r>
              <w:rPr>
                <w:w w:val="105"/>
                <w:sz w:val="24"/>
              </w:rPr>
              <w:t>is</w:t>
            </w:r>
            <w:r>
              <w:rPr>
                <w:spacing w:val="-15"/>
                <w:w w:val="105"/>
                <w:sz w:val="24"/>
              </w:rPr>
              <w:t xml:space="preserve"> </w:t>
            </w:r>
            <w:r>
              <w:rPr>
                <w:b/>
                <w:w w:val="105"/>
                <w:sz w:val="24"/>
              </w:rPr>
              <w:t>SUPPLY</w:t>
            </w:r>
            <w:r>
              <w:rPr>
                <w:b/>
                <w:spacing w:val="-13"/>
                <w:w w:val="105"/>
                <w:sz w:val="24"/>
              </w:rPr>
              <w:t xml:space="preserve"> </w:t>
            </w:r>
            <w:r>
              <w:rPr>
                <w:b/>
                <w:w w:val="105"/>
                <w:sz w:val="24"/>
              </w:rPr>
              <w:t>AND</w:t>
            </w:r>
            <w:r>
              <w:rPr>
                <w:b/>
                <w:spacing w:val="-13"/>
                <w:w w:val="105"/>
                <w:sz w:val="24"/>
              </w:rPr>
              <w:t xml:space="preserve"> </w:t>
            </w:r>
            <w:r>
              <w:rPr>
                <w:b/>
                <w:w w:val="105"/>
                <w:sz w:val="24"/>
              </w:rPr>
              <w:t>INSTALLATION</w:t>
            </w:r>
            <w:r>
              <w:rPr>
                <w:b/>
                <w:spacing w:val="-12"/>
                <w:w w:val="105"/>
                <w:sz w:val="24"/>
              </w:rPr>
              <w:t xml:space="preserve"> </w:t>
            </w:r>
            <w:r>
              <w:rPr>
                <w:b/>
                <w:w w:val="105"/>
                <w:sz w:val="24"/>
              </w:rPr>
              <w:t>OF</w:t>
            </w:r>
            <w:r>
              <w:rPr>
                <w:b/>
                <w:spacing w:val="-15"/>
                <w:w w:val="105"/>
                <w:sz w:val="24"/>
              </w:rPr>
              <w:t xml:space="preserve"> </w:t>
            </w:r>
            <w:r>
              <w:rPr>
                <w:b/>
                <w:w w:val="105"/>
                <w:sz w:val="24"/>
              </w:rPr>
              <w:t>A COFFEE PULPING MACHINE</w:t>
            </w:r>
          </w:p>
          <w:p w14:paraId="01A5983F" w14:textId="77777777" w:rsidR="00BB77C0" w:rsidRDefault="00370BAA">
            <w:pPr>
              <w:pStyle w:val="TableParagraph"/>
              <w:spacing w:line="255" w:lineRule="exact"/>
              <w:ind w:left="133"/>
              <w:rPr>
                <w:b/>
                <w:sz w:val="24"/>
              </w:rPr>
            </w:pPr>
            <w:r>
              <w:rPr>
                <w:sz w:val="24"/>
              </w:rPr>
              <w:t>The</w:t>
            </w:r>
            <w:r>
              <w:rPr>
                <w:spacing w:val="30"/>
                <w:sz w:val="24"/>
              </w:rPr>
              <w:t xml:space="preserve"> </w:t>
            </w:r>
            <w:r>
              <w:rPr>
                <w:sz w:val="24"/>
              </w:rPr>
              <w:t>reference</w:t>
            </w:r>
            <w:r>
              <w:rPr>
                <w:spacing w:val="39"/>
                <w:sz w:val="24"/>
              </w:rPr>
              <w:t xml:space="preserve"> </w:t>
            </w:r>
            <w:r>
              <w:rPr>
                <w:sz w:val="24"/>
              </w:rPr>
              <w:t>number</w:t>
            </w:r>
            <w:r>
              <w:rPr>
                <w:spacing w:val="39"/>
                <w:sz w:val="24"/>
              </w:rPr>
              <w:t xml:space="preserve"> </w:t>
            </w:r>
            <w:r>
              <w:rPr>
                <w:sz w:val="24"/>
              </w:rPr>
              <w:t>of</w:t>
            </w:r>
            <w:r>
              <w:rPr>
                <w:spacing w:val="21"/>
                <w:sz w:val="24"/>
              </w:rPr>
              <w:t xml:space="preserve"> </w:t>
            </w:r>
            <w:r>
              <w:rPr>
                <w:sz w:val="24"/>
              </w:rPr>
              <w:t>the</w:t>
            </w:r>
            <w:r>
              <w:rPr>
                <w:spacing w:val="32"/>
                <w:sz w:val="24"/>
              </w:rPr>
              <w:t xml:space="preserve"> </w:t>
            </w:r>
            <w:r>
              <w:rPr>
                <w:sz w:val="24"/>
              </w:rPr>
              <w:t>Contract</w:t>
            </w:r>
            <w:r>
              <w:rPr>
                <w:spacing w:val="40"/>
                <w:sz w:val="24"/>
              </w:rPr>
              <w:t xml:space="preserve"> </w:t>
            </w:r>
            <w:r>
              <w:rPr>
                <w:sz w:val="24"/>
              </w:rPr>
              <w:t>is</w:t>
            </w:r>
            <w:r>
              <w:rPr>
                <w:spacing w:val="7"/>
                <w:sz w:val="24"/>
              </w:rPr>
              <w:t xml:space="preserve"> </w:t>
            </w:r>
            <w:r>
              <w:rPr>
                <w:b/>
                <w:sz w:val="24"/>
              </w:rPr>
              <w:t>2106328</w:t>
            </w:r>
            <w:r w:rsidR="00D76550">
              <w:rPr>
                <w:b/>
                <w:sz w:val="24"/>
              </w:rPr>
              <w:t>-2-</w:t>
            </w:r>
            <w:r>
              <w:rPr>
                <w:b/>
                <w:sz w:val="24"/>
              </w:rPr>
              <w:t>/2025</w:t>
            </w:r>
            <w:r>
              <w:rPr>
                <w:b/>
                <w:spacing w:val="2"/>
                <w:sz w:val="24"/>
              </w:rPr>
              <w:t xml:space="preserve"> </w:t>
            </w:r>
            <w:r>
              <w:rPr>
                <w:b/>
                <w:sz w:val="24"/>
              </w:rPr>
              <w:t>-</w:t>
            </w:r>
            <w:r>
              <w:rPr>
                <w:b/>
                <w:spacing w:val="-4"/>
                <w:sz w:val="24"/>
              </w:rPr>
              <w:t>2026</w:t>
            </w:r>
          </w:p>
          <w:p w14:paraId="48CE4F8D" w14:textId="77777777" w:rsidR="00BB77C0" w:rsidRDefault="00370BAA">
            <w:pPr>
              <w:pStyle w:val="TableParagraph"/>
              <w:spacing w:before="3" w:line="213" w:lineRule="auto"/>
              <w:ind w:left="133" w:right="314"/>
              <w:rPr>
                <w:b/>
                <w:sz w:val="24"/>
              </w:rPr>
            </w:pPr>
            <w:r>
              <w:rPr>
                <w:sz w:val="24"/>
              </w:rPr>
              <w:t>The</w:t>
            </w:r>
            <w:r>
              <w:rPr>
                <w:spacing w:val="30"/>
                <w:sz w:val="24"/>
              </w:rPr>
              <w:t xml:space="preserve"> </w:t>
            </w:r>
            <w:r>
              <w:rPr>
                <w:sz w:val="24"/>
              </w:rPr>
              <w:t>number</w:t>
            </w:r>
            <w:r>
              <w:rPr>
                <w:spacing w:val="78"/>
                <w:sz w:val="24"/>
              </w:rPr>
              <w:t xml:space="preserve"> </w:t>
            </w:r>
            <w:r>
              <w:rPr>
                <w:sz w:val="24"/>
              </w:rPr>
              <w:t>and</w:t>
            </w:r>
            <w:r>
              <w:rPr>
                <w:spacing w:val="80"/>
                <w:sz w:val="24"/>
              </w:rPr>
              <w:t xml:space="preserve"> </w:t>
            </w:r>
            <w:r>
              <w:rPr>
                <w:sz w:val="24"/>
              </w:rPr>
              <w:t>identification</w:t>
            </w:r>
            <w:r>
              <w:rPr>
                <w:spacing w:val="40"/>
                <w:sz w:val="24"/>
              </w:rPr>
              <w:t xml:space="preserve"> </w:t>
            </w:r>
            <w:r>
              <w:rPr>
                <w:sz w:val="24"/>
              </w:rPr>
              <w:t>of</w:t>
            </w:r>
            <w:r>
              <w:rPr>
                <w:spacing w:val="40"/>
                <w:sz w:val="24"/>
              </w:rPr>
              <w:t xml:space="preserve"> </w:t>
            </w:r>
            <w:r>
              <w:rPr>
                <w:sz w:val="24"/>
              </w:rPr>
              <w:t>lots</w:t>
            </w:r>
            <w:r>
              <w:rPr>
                <w:spacing w:val="40"/>
                <w:sz w:val="24"/>
              </w:rPr>
              <w:t xml:space="preserve"> </w:t>
            </w:r>
            <w:r>
              <w:rPr>
                <w:sz w:val="24"/>
              </w:rPr>
              <w:t>(contracts)</w:t>
            </w:r>
            <w:r>
              <w:rPr>
                <w:spacing w:val="40"/>
                <w:sz w:val="24"/>
              </w:rPr>
              <w:t xml:space="preserve"> </w:t>
            </w:r>
            <w:r>
              <w:rPr>
                <w:sz w:val="24"/>
              </w:rPr>
              <w:t>comprising</w:t>
            </w:r>
            <w:r>
              <w:rPr>
                <w:spacing w:val="77"/>
                <w:sz w:val="24"/>
              </w:rPr>
              <w:t xml:space="preserve"> </w:t>
            </w:r>
            <w:r>
              <w:rPr>
                <w:sz w:val="24"/>
              </w:rPr>
              <w:t>this</w:t>
            </w:r>
            <w:r>
              <w:rPr>
                <w:spacing w:val="40"/>
                <w:sz w:val="24"/>
              </w:rPr>
              <w:t xml:space="preserve"> </w:t>
            </w:r>
            <w:r>
              <w:rPr>
                <w:sz w:val="24"/>
              </w:rPr>
              <w:t>tender are</w:t>
            </w:r>
            <w:r>
              <w:rPr>
                <w:spacing w:val="40"/>
                <w:sz w:val="24"/>
              </w:rPr>
              <w:t xml:space="preserve"> </w:t>
            </w:r>
            <w:r>
              <w:rPr>
                <w:b/>
                <w:sz w:val="24"/>
              </w:rPr>
              <w:t>NOTAPPLICABLE</w:t>
            </w:r>
          </w:p>
        </w:tc>
      </w:tr>
      <w:tr w:rsidR="00BB77C0" w14:paraId="04BC8EF3" w14:textId="77777777">
        <w:trPr>
          <w:trHeight w:val="464"/>
        </w:trPr>
        <w:tc>
          <w:tcPr>
            <w:tcW w:w="1647" w:type="dxa"/>
          </w:tcPr>
          <w:p w14:paraId="6B660B0D" w14:textId="77777777" w:rsidR="00BB77C0" w:rsidRDefault="00370BAA">
            <w:pPr>
              <w:pStyle w:val="TableParagraph"/>
              <w:spacing w:line="243" w:lineRule="exact"/>
              <w:ind w:left="138"/>
              <w:rPr>
                <w:sz w:val="24"/>
              </w:rPr>
            </w:pPr>
            <w:r>
              <w:rPr>
                <w:w w:val="110"/>
                <w:sz w:val="24"/>
              </w:rPr>
              <w:t>ITT</w:t>
            </w:r>
            <w:r>
              <w:rPr>
                <w:spacing w:val="-8"/>
                <w:w w:val="110"/>
                <w:sz w:val="24"/>
              </w:rPr>
              <w:t xml:space="preserve"> </w:t>
            </w:r>
            <w:r>
              <w:rPr>
                <w:spacing w:val="-5"/>
                <w:w w:val="110"/>
                <w:sz w:val="24"/>
              </w:rPr>
              <w:t>2.3</w:t>
            </w:r>
          </w:p>
        </w:tc>
        <w:tc>
          <w:tcPr>
            <w:tcW w:w="8087" w:type="dxa"/>
          </w:tcPr>
          <w:p w14:paraId="44C2EAF5" w14:textId="77777777" w:rsidR="00BB77C0" w:rsidRDefault="00370BAA">
            <w:pPr>
              <w:pStyle w:val="TableParagraph"/>
              <w:spacing w:line="230" w:lineRule="exact"/>
              <w:ind w:left="133" w:right="314"/>
              <w:rPr>
                <w:b/>
                <w:sz w:val="24"/>
              </w:rPr>
            </w:pPr>
            <w:r>
              <w:rPr>
                <w:sz w:val="24"/>
              </w:rPr>
              <w:t>The</w:t>
            </w:r>
            <w:r>
              <w:rPr>
                <w:spacing w:val="-6"/>
                <w:sz w:val="24"/>
              </w:rPr>
              <w:t xml:space="preserve"> </w:t>
            </w:r>
            <w:r>
              <w:rPr>
                <w:sz w:val="24"/>
              </w:rPr>
              <w:t>Information</w:t>
            </w:r>
            <w:r>
              <w:rPr>
                <w:spacing w:val="-5"/>
                <w:sz w:val="24"/>
              </w:rPr>
              <w:t xml:space="preserve"> </w:t>
            </w:r>
            <w:r>
              <w:rPr>
                <w:sz w:val="24"/>
              </w:rPr>
              <w:t>made</w:t>
            </w:r>
            <w:r>
              <w:rPr>
                <w:spacing w:val="-6"/>
                <w:sz w:val="24"/>
              </w:rPr>
              <w:t xml:space="preserve"> </w:t>
            </w:r>
            <w:r>
              <w:rPr>
                <w:sz w:val="24"/>
              </w:rPr>
              <w:t>available</w:t>
            </w:r>
            <w:r>
              <w:rPr>
                <w:spacing w:val="-6"/>
                <w:sz w:val="24"/>
              </w:rPr>
              <w:t xml:space="preserve"> </w:t>
            </w:r>
            <w:r>
              <w:rPr>
                <w:sz w:val="24"/>
              </w:rPr>
              <w:t>on</w:t>
            </w:r>
            <w:r>
              <w:rPr>
                <w:spacing w:val="-9"/>
                <w:sz w:val="24"/>
              </w:rPr>
              <w:t xml:space="preserve"> </w:t>
            </w:r>
            <w:r>
              <w:rPr>
                <w:sz w:val="24"/>
              </w:rPr>
              <w:t>competing</w:t>
            </w:r>
            <w:r>
              <w:rPr>
                <w:spacing w:val="-1"/>
                <w:sz w:val="24"/>
              </w:rPr>
              <w:t xml:space="preserve"> </w:t>
            </w:r>
            <w:r>
              <w:rPr>
                <w:sz w:val="24"/>
              </w:rPr>
              <w:t>firms</w:t>
            </w:r>
            <w:r>
              <w:rPr>
                <w:spacing w:val="-3"/>
                <w:sz w:val="24"/>
              </w:rPr>
              <w:t xml:space="preserve"> </w:t>
            </w:r>
            <w:r>
              <w:rPr>
                <w:sz w:val="24"/>
              </w:rPr>
              <w:t>is</w:t>
            </w:r>
            <w:r>
              <w:rPr>
                <w:spacing w:val="-7"/>
                <w:sz w:val="24"/>
              </w:rPr>
              <w:t xml:space="preserve"> </w:t>
            </w:r>
            <w:r>
              <w:rPr>
                <w:sz w:val="24"/>
              </w:rPr>
              <w:t>as</w:t>
            </w:r>
            <w:r>
              <w:rPr>
                <w:spacing w:val="-3"/>
                <w:sz w:val="24"/>
              </w:rPr>
              <w:t xml:space="preserve"> </w:t>
            </w:r>
            <w:r>
              <w:rPr>
                <w:sz w:val="24"/>
              </w:rPr>
              <w:t xml:space="preserve">follows: </w:t>
            </w:r>
            <w:r>
              <w:rPr>
                <w:b/>
                <w:sz w:val="24"/>
              </w:rPr>
              <w:t xml:space="preserve">NOT </w:t>
            </w:r>
            <w:r>
              <w:rPr>
                <w:b/>
                <w:spacing w:val="-2"/>
                <w:sz w:val="24"/>
              </w:rPr>
              <w:t>APPLICABLE</w:t>
            </w:r>
          </w:p>
        </w:tc>
      </w:tr>
      <w:tr w:rsidR="00BB77C0" w14:paraId="3D1C8F47" w14:textId="77777777">
        <w:trPr>
          <w:trHeight w:val="507"/>
        </w:trPr>
        <w:tc>
          <w:tcPr>
            <w:tcW w:w="1647" w:type="dxa"/>
          </w:tcPr>
          <w:p w14:paraId="50C4C0DD" w14:textId="77777777" w:rsidR="00BB77C0" w:rsidRDefault="00370BAA">
            <w:pPr>
              <w:pStyle w:val="TableParagraph"/>
              <w:spacing w:line="263" w:lineRule="exact"/>
              <w:ind w:left="138"/>
              <w:rPr>
                <w:sz w:val="24"/>
              </w:rPr>
            </w:pPr>
            <w:r>
              <w:rPr>
                <w:w w:val="110"/>
                <w:sz w:val="24"/>
              </w:rPr>
              <w:t>ITT</w:t>
            </w:r>
            <w:r>
              <w:rPr>
                <w:spacing w:val="-8"/>
                <w:w w:val="110"/>
                <w:sz w:val="24"/>
              </w:rPr>
              <w:t xml:space="preserve"> </w:t>
            </w:r>
            <w:r>
              <w:rPr>
                <w:spacing w:val="-5"/>
                <w:w w:val="110"/>
                <w:sz w:val="24"/>
              </w:rPr>
              <w:t>2.4</w:t>
            </w:r>
          </w:p>
        </w:tc>
        <w:tc>
          <w:tcPr>
            <w:tcW w:w="8087" w:type="dxa"/>
          </w:tcPr>
          <w:p w14:paraId="2727CE28" w14:textId="77777777" w:rsidR="00BB77C0" w:rsidRDefault="00370BAA">
            <w:pPr>
              <w:pStyle w:val="TableParagraph"/>
              <w:spacing w:line="244" w:lineRule="exact"/>
              <w:ind w:left="133" w:right="314"/>
              <w:rPr>
                <w:b/>
                <w:sz w:val="24"/>
              </w:rPr>
            </w:pPr>
            <w:r>
              <w:rPr>
                <w:sz w:val="24"/>
              </w:rPr>
              <w:t>The</w:t>
            </w:r>
            <w:r>
              <w:rPr>
                <w:spacing w:val="-5"/>
                <w:sz w:val="24"/>
              </w:rPr>
              <w:t xml:space="preserve"> </w:t>
            </w:r>
            <w:r>
              <w:rPr>
                <w:sz w:val="24"/>
              </w:rPr>
              <w:t>firms</w:t>
            </w:r>
            <w:r>
              <w:rPr>
                <w:spacing w:val="-7"/>
                <w:sz w:val="24"/>
              </w:rPr>
              <w:t xml:space="preserve"> </w:t>
            </w:r>
            <w:r>
              <w:rPr>
                <w:sz w:val="24"/>
              </w:rPr>
              <w:t>that</w:t>
            </w:r>
            <w:r>
              <w:rPr>
                <w:spacing w:val="-4"/>
                <w:sz w:val="24"/>
              </w:rPr>
              <w:t xml:space="preserve"> </w:t>
            </w:r>
            <w:r>
              <w:rPr>
                <w:sz w:val="24"/>
              </w:rPr>
              <w:t>provided</w:t>
            </w:r>
            <w:r>
              <w:rPr>
                <w:spacing w:val="-5"/>
                <w:sz w:val="24"/>
              </w:rPr>
              <w:t xml:space="preserve"> </w:t>
            </w:r>
            <w:r>
              <w:rPr>
                <w:sz w:val="24"/>
              </w:rPr>
              <w:t>consulting</w:t>
            </w:r>
            <w:r>
              <w:rPr>
                <w:spacing w:val="-4"/>
                <w:sz w:val="24"/>
              </w:rPr>
              <w:t xml:space="preserve"> </w:t>
            </w:r>
            <w:r>
              <w:rPr>
                <w:sz w:val="24"/>
              </w:rPr>
              <w:t>services</w:t>
            </w:r>
            <w:r>
              <w:rPr>
                <w:spacing w:val="-2"/>
                <w:sz w:val="24"/>
              </w:rPr>
              <w:t xml:space="preserve"> </w:t>
            </w:r>
            <w:r>
              <w:rPr>
                <w:sz w:val="24"/>
              </w:rPr>
              <w:t>for</w:t>
            </w:r>
            <w:r>
              <w:rPr>
                <w:spacing w:val="-8"/>
                <w:sz w:val="24"/>
              </w:rPr>
              <w:t xml:space="preserve"> </w:t>
            </w:r>
            <w:r>
              <w:rPr>
                <w:sz w:val="24"/>
              </w:rPr>
              <w:t>the</w:t>
            </w:r>
            <w:r>
              <w:rPr>
                <w:spacing w:val="-11"/>
                <w:sz w:val="24"/>
              </w:rPr>
              <w:t xml:space="preserve"> </w:t>
            </w:r>
            <w:r>
              <w:rPr>
                <w:sz w:val="24"/>
              </w:rPr>
              <w:t>contract</w:t>
            </w:r>
            <w:r>
              <w:rPr>
                <w:spacing w:val="-5"/>
                <w:sz w:val="24"/>
              </w:rPr>
              <w:t xml:space="preserve"> </w:t>
            </w:r>
            <w:r>
              <w:rPr>
                <w:sz w:val="24"/>
              </w:rPr>
              <w:t>being</w:t>
            </w:r>
            <w:r>
              <w:rPr>
                <w:spacing w:val="-3"/>
                <w:sz w:val="24"/>
              </w:rPr>
              <w:t xml:space="preserve"> </w:t>
            </w:r>
            <w:r>
              <w:rPr>
                <w:sz w:val="24"/>
              </w:rPr>
              <w:t>tendered</w:t>
            </w:r>
            <w:r>
              <w:rPr>
                <w:spacing w:val="-5"/>
                <w:sz w:val="24"/>
              </w:rPr>
              <w:t xml:space="preserve"> </w:t>
            </w:r>
            <w:r>
              <w:rPr>
                <w:sz w:val="24"/>
              </w:rPr>
              <w:t xml:space="preserve">for are: </w:t>
            </w:r>
            <w:r>
              <w:rPr>
                <w:b/>
                <w:sz w:val="24"/>
              </w:rPr>
              <w:t>NOT APPLICABLE</w:t>
            </w:r>
          </w:p>
        </w:tc>
      </w:tr>
      <w:tr w:rsidR="00BB77C0" w14:paraId="438DD74F" w14:textId="77777777">
        <w:trPr>
          <w:trHeight w:val="502"/>
        </w:trPr>
        <w:tc>
          <w:tcPr>
            <w:tcW w:w="1647" w:type="dxa"/>
          </w:tcPr>
          <w:p w14:paraId="0BB159DB" w14:textId="77777777" w:rsidR="00BB77C0" w:rsidRDefault="00370BAA">
            <w:pPr>
              <w:pStyle w:val="TableParagraph"/>
              <w:spacing w:line="263" w:lineRule="exact"/>
              <w:ind w:left="138"/>
              <w:rPr>
                <w:sz w:val="24"/>
              </w:rPr>
            </w:pPr>
            <w:r>
              <w:rPr>
                <w:w w:val="110"/>
                <w:sz w:val="24"/>
              </w:rPr>
              <w:t>ITT</w:t>
            </w:r>
            <w:r>
              <w:rPr>
                <w:spacing w:val="-8"/>
                <w:w w:val="110"/>
                <w:sz w:val="24"/>
              </w:rPr>
              <w:t xml:space="preserve"> </w:t>
            </w:r>
            <w:r>
              <w:rPr>
                <w:spacing w:val="-5"/>
                <w:w w:val="110"/>
                <w:sz w:val="24"/>
              </w:rPr>
              <w:t>3.1</w:t>
            </w:r>
          </w:p>
        </w:tc>
        <w:tc>
          <w:tcPr>
            <w:tcW w:w="8087" w:type="dxa"/>
          </w:tcPr>
          <w:p w14:paraId="2DD0EFD7" w14:textId="77777777" w:rsidR="00BB77C0" w:rsidRDefault="00370BAA">
            <w:pPr>
              <w:pStyle w:val="TableParagraph"/>
              <w:spacing w:line="263" w:lineRule="exact"/>
              <w:ind w:left="133"/>
              <w:rPr>
                <w:b/>
                <w:sz w:val="24"/>
              </w:rPr>
            </w:pPr>
            <w:r>
              <w:rPr>
                <w:sz w:val="24"/>
              </w:rPr>
              <w:t>Maximum</w:t>
            </w:r>
            <w:r>
              <w:rPr>
                <w:spacing w:val="7"/>
                <w:sz w:val="24"/>
              </w:rPr>
              <w:t xml:space="preserve"> </w:t>
            </w:r>
            <w:r>
              <w:rPr>
                <w:sz w:val="24"/>
              </w:rPr>
              <w:t>number</w:t>
            </w:r>
            <w:r>
              <w:rPr>
                <w:spacing w:val="11"/>
                <w:sz w:val="24"/>
              </w:rPr>
              <w:t xml:space="preserve"> </w:t>
            </w:r>
            <w:r>
              <w:rPr>
                <w:sz w:val="24"/>
              </w:rPr>
              <w:t>of</w:t>
            </w:r>
            <w:r>
              <w:rPr>
                <w:spacing w:val="4"/>
                <w:sz w:val="24"/>
              </w:rPr>
              <w:t xml:space="preserve"> </w:t>
            </w:r>
            <w:r>
              <w:rPr>
                <w:sz w:val="24"/>
              </w:rPr>
              <w:t>members</w:t>
            </w:r>
            <w:r>
              <w:rPr>
                <w:spacing w:val="12"/>
                <w:sz w:val="24"/>
              </w:rPr>
              <w:t xml:space="preserve"> </w:t>
            </w:r>
            <w:r>
              <w:rPr>
                <w:sz w:val="24"/>
              </w:rPr>
              <w:t>in</w:t>
            </w:r>
            <w:r>
              <w:rPr>
                <w:spacing w:val="8"/>
                <w:sz w:val="24"/>
              </w:rPr>
              <w:t xml:space="preserve"> </w:t>
            </w:r>
            <w:r>
              <w:rPr>
                <w:sz w:val="24"/>
              </w:rPr>
              <w:t>the</w:t>
            </w:r>
            <w:r>
              <w:rPr>
                <w:spacing w:val="8"/>
                <w:sz w:val="24"/>
              </w:rPr>
              <w:t xml:space="preserve"> </w:t>
            </w:r>
            <w:r>
              <w:rPr>
                <w:sz w:val="24"/>
              </w:rPr>
              <w:t>Joint</w:t>
            </w:r>
            <w:r>
              <w:rPr>
                <w:spacing w:val="13"/>
                <w:sz w:val="24"/>
              </w:rPr>
              <w:t xml:space="preserve"> </w:t>
            </w:r>
            <w:r>
              <w:rPr>
                <w:sz w:val="24"/>
              </w:rPr>
              <w:t>Venture</w:t>
            </w:r>
            <w:r>
              <w:rPr>
                <w:spacing w:val="9"/>
                <w:sz w:val="24"/>
              </w:rPr>
              <w:t xml:space="preserve"> </w:t>
            </w:r>
            <w:r>
              <w:rPr>
                <w:b/>
                <w:sz w:val="24"/>
              </w:rPr>
              <w:t>NOT</w:t>
            </w:r>
            <w:r>
              <w:rPr>
                <w:b/>
                <w:spacing w:val="12"/>
                <w:sz w:val="24"/>
              </w:rPr>
              <w:t xml:space="preserve"> </w:t>
            </w:r>
            <w:r>
              <w:rPr>
                <w:b/>
                <w:spacing w:val="-2"/>
                <w:sz w:val="24"/>
              </w:rPr>
              <w:t>APPLICABLE</w:t>
            </w:r>
          </w:p>
        </w:tc>
      </w:tr>
      <w:tr w:rsidR="00BB77C0" w14:paraId="3604BF6D" w14:textId="77777777">
        <w:trPr>
          <w:trHeight w:val="786"/>
        </w:trPr>
        <w:tc>
          <w:tcPr>
            <w:tcW w:w="1647" w:type="dxa"/>
          </w:tcPr>
          <w:p w14:paraId="3389C120" w14:textId="77777777" w:rsidR="00BB77C0" w:rsidRDefault="00370BAA">
            <w:pPr>
              <w:pStyle w:val="TableParagraph"/>
              <w:spacing w:line="267" w:lineRule="exact"/>
              <w:ind w:left="138"/>
              <w:rPr>
                <w:sz w:val="24"/>
              </w:rPr>
            </w:pPr>
            <w:r>
              <w:rPr>
                <w:w w:val="110"/>
                <w:sz w:val="24"/>
              </w:rPr>
              <w:t>ITT</w:t>
            </w:r>
            <w:r>
              <w:rPr>
                <w:spacing w:val="-8"/>
                <w:w w:val="110"/>
                <w:sz w:val="24"/>
              </w:rPr>
              <w:t xml:space="preserve"> </w:t>
            </w:r>
            <w:r>
              <w:rPr>
                <w:spacing w:val="-4"/>
                <w:w w:val="110"/>
                <w:sz w:val="24"/>
              </w:rPr>
              <w:t>3.10</w:t>
            </w:r>
          </w:p>
        </w:tc>
        <w:tc>
          <w:tcPr>
            <w:tcW w:w="8087" w:type="dxa"/>
          </w:tcPr>
          <w:p w14:paraId="46C2B0C8" w14:textId="77777777" w:rsidR="00BB77C0" w:rsidRDefault="00370BAA">
            <w:pPr>
              <w:pStyle w:val="TableParagraph"/>
              <w:spacing w:line="218" w:lineRule="auto"/>
              <w:ind w:left="133"/>
              <w:rPr>
                <w:b/>
                <w:sz w:val="24"/>
              </w:rPr>
            </w:pPr>
            <w:r>
              <w:rPr>
                <w:color w:val="201F1F"/>
                <w:sz w:val="24"/>
              </w:rPr>
              <w:t>Foreign tenderers are required to source at least forty (40%) percent of their contract</w:t>
            </w:r>
            <w:r>
              <w:rPr>
                <w:color w:val="201F1F"/>
                <w:spacing w:val="-4"/>
                <w:sz w:val="24"/>
              </w:rPr>
              <w:t xml:space="preserve"> </w:t>
            </w:r>
            <w:r>
              <w:rPr>
                <w:color w:val="201F1F"/>
                <w:sz w:val="24"/>
              </w:rPr>
              <w:t>inputs</w:t>
            </w:r>
            <w:r>
              <w:rPr>
                <w:color w:val="201F1F"/>
                <w:spacing w:val="-9"/>
                <w:sz w:val="24"/>
              </w:rPr>
              <w:t xml:space="preserve"> </w:t>
            </w:r>
            <w:r>
              <w:rPr>
                <w:color w:val="201F1F"/>
                <w:sz w:val="24"/>
              </w:rPr>
              <w:t>(in</w:t>
            </w:r>
            <w:r>
              <w:rPr>
                <w:color w:val="201F1F"/>
                <w:spacing w:val="-9"/>
                <w:sz w:val="24"/>
              </w:rPr>
              <w:t xml:space="preserve"> </w:t>
            </w:r>
            <w:r>
              <w:rPr>
                <w:color w:val="201F1F"/>
                <w:sz w:val="24"/>
              </w:rPr>
              <w:t>supplies,</w:t>
            </w:r>
            <w:r>
              <w:rPr>
                <w:color w:val="201F1F"/>
                <w:spacing w:val="-1"/>
                <w:sz w:val="24"/>
              </w:rPr>
              <w:t xml:space="preserve"> </w:t>
            </w:r>
            <w:r>
              <w:rPr>
                <w:color w:val="201F1F"/>
                <w:sz w:val="24"/>
              </w:rPr>
              <w:t>subcontracts</w:t>
            </w:r>
            <w:r>
              <w:rPr>
                <w:color w:val="201F1F"/>
                <w:spacing w:val="-6"/>
                <w:sz w:val="24"/>
              </w:rPr>
              <w:t xml:space="preserve"> </w:t>
            </w:r>
            <w:r>
              <w:rPr>
                <w:color w:val="201F1F"/>
                <w:sz w:val="24"/>
              </w:rPr>
              <w:t>and labor)</w:t>
            </w:r>
            <w:r>
              <w:rPr>
                <w:color w:val="201F1F"/>
                <w:spacing w:val="-3"/>
                <w:sz w:val="24"/>
              </w:rPr>
              <w:t xml:space="preserve"> </w:t>
            </w:r>
            <w:r>
              <w:rPr>
                <w:color w:val="201F1F"/>
                <w:sz w:val="24"/>
              </w:rPr>
              <w:t>from</w:t>
            </w:r>
            <w:r>
              <w:rPr>
                <w:color w:val="201F1F"/>
                <w:spacing w:val="-9"/>
                <w:sz w:val="24"/>
              </w:rPr>
              <w:t xml:space="preserve"> </w:t>
            </w:r>
            <w:r>
              <w:rPr>
                <w:color w:val="201F1F"/>
                <w:sz w:val="24"/>
              </w:rPr>
              <w:t>national</w:t>
            </w:r>
            <w:r>
              <w:rPr>
                <w:color w:val="201F1F"/>
                <w:spacing w:val="-9"/>
                <w:sz w:val="24"/>
              </w:rPr>
              <w:t xml:space="preserve"> </w:t>
            </w:r>
            <w:r>
              <w:rPr>
                <w:color w:val="201F1F"/>
                <w:sz w:val="24"/>
              </w:rPr>
              <w:t>suppliers</w:t>
            </w:r>
            <w:r>
              <w:rPr>
                <w:color w:val="201F1F"/>
                <w:spacing w:val="-6"/>
                <w:sz w:val="24"/>
              </w:rPr>
              <w:t xml:space="preserve"> </w:t>
            </w:r>
            <w:r>
              <w:rPr>
                <w:color w:val="201F1F"/>
                <w:sz w:val="24"/>
              </w:rPr>
              <w:t>and contractors</w:t>
            </w:r>
            <w:r>
              <w:rPr>
                <w:sz w:val="24"/>
              </w:rPr>
              <w:t>.</w:t>
            </w:r>
            <w:r>
              <w:rPr>
                <w:spacing w:val="40"/>
                <w:sz w:val="24"/>
              </w:rPr>
              <w:t xml:space="preserve"> </w:t>
            </w:r>
            <w:r>
              <w:rPr>
                <w:b/>
                <w:sz w:val="24"/>
              </w:rPr>
              <w:t>NOTAPPLICABLE</w:t>
            </w:r>
          </w:p>
        </w:tc>
      </w:tr>
      <w:tr w:rsidR="00BB77C0" w14:paraId="31A31013" w14:textId="77777777">
        <w:trPr>
          <w:trHeight w:val="253"/>
        </w:trPr>
        <w:tc>
          <w:tcPr>
            <w:tcW w:w="9734" w:type="dxa"/>
            <w:gridSpan w:val="2"/>
          </w:tcPr>
          <w:p w14:paraId="6F30791C" w14:textId="77777777" w:rsidR="00BB77C0" w:rsidRDefault="00370BAA">
            <w:pPr>
              <w:pStyle w:val="TableParagraph"/>
              <w:spacing w:line="233" w:lineRule="exact"/>
              <w:ind w:left="138"/>
              <w:rPr>
                <w:b/>
                <w:sz w:val="24"/>
              </w:rPr>
            </w:pPr>
            <w:r>
              <w:rPr>
                <w:b/>
                <w:sz w:val="24"/>
              </w:rPr>
              <w:t>B.</w:t>
            </w:r>
            <w:r>
              <w:rPr>
                <w:b/>
                <w:spacing w:val="2"/>
                <w:sz w:val="24"/>
              </w:rPr>
              <w:t xml:space="preserve"> </w:t>
            </w:r>
            <w:r>
              <w:rPr>
                <w:b/>
                <w:sz w:val="24"/>
              </w:rPr>
              <w:t>Contents</w:t>
            </w:r>
            <w:r>
              <w:rPr>
                <w:b/>
                <w:spacing w:val="-5"/>
                <w:sz w:val="24"/>
              </w:rPr>
              <w:t xml:space="preserve"> </w:t>
            </w:r>
            <w:r>
              <w:rPr>
                <w:b/>
                <w:sz w:val="24"/>
              </w:rPr>
              <w:t>of</w:t>
            </w:r>
            <w:r>
              <w:rPr>
                <w:b/>
                <w:spacing w:val="-2"/>
                <w:sz w:val="24"/>
              </w:rPr>
              <w:t xml:space="preserve"> </w:t>
            </w:r>
            <w:r>
              <w:rPr>
                <w:b/>
                <w:sz w:val="24"/>
              </w:rPr>
              <w:t>Tender</w:t>
            </w:r>
            <w:r>
              <w:rPr>
                <w:b/>
                <w:spacing w:val="-4"/>
                <w:sz w:val="24"/>
              </w:rPr>
              <w:t xml:space="preserve"> </w:t>
            </w:r>
            <w:r>
              <w:rPr>
                <w:b/>
                <w:spacing w:val="-2"/>
                <w:sz w:val="24"/>
              </w:rPr>
              <w:t>Document</w:t>
            </w:r>
          </w:p>
        </w:tc>
      </w:tr>
      <w:tr w:rsidR="00BB77C0" w14:paraId="378A916A" w14:textId="77777777">
        <w:trPr>
          <w:trHeight w:val="330"/>
        </w:trPr>
        <w:tc>
          <w:tcPr>
            <w:tcW w:w="1647" w:type="dxa"/>
          </w:tcPr>
          <w:p w14:paraId="57AC67C4" w14:textId="77777777" w:rsidR="00BB77C0" w:rsidRDefault="00370BAA">
            <w:pPr>
              <w:pStyle w:val="TableParagraph"/>
              <w:spacing w:line="263" w:lineRule="exact"/>
              <w:ind w:left="138"/>
              <w:rPr>
                <w:sz w:val="24"/>
              </w:rPr>
            </w:pPr>
            <w:r>
              <w:rPr>
                <w:w w:val="110"/>
                <w:sz w:val="24"/>
              </w:rPr>
              <w:t>ITT</w:t>
            </w:r>
            <w:r>
              <w:rPr>
                <w:spacing w:val="-8"/>
                <w:w w:val="110"/>
                <w:sz w:val="24"/>
              </w:rPr>
              <w:t xml:space="preserve"> </w:t>
            </w:r>
            <w:r>
              <w:rPr>
                <w:spacing w:val="-5"/>
                <w:w w:val="110"/>
                <w:sz w:val="24"/>
              </w:rPr>
              <w:t>7.1</w:t>
            </w:r>
          </w:p>
        </w:tc>
        <w:tc>
          <w:tcPr>
            <w:tcW w:w="8087" w:type="dxa"/>
          </w:tcPr>
          <w:p w14:paraId="0C15B342" w14:textId="77777777" w:rsidR="00BB77C0" w:rsidRDefault="00370BAA">
            <w:pPr>
              <w:pStyle w:val="TableParagraph"/>
              <w:spacing w:line="263" w:lineRule="exact"/>
              <w:ind w:left="133"/>
              <w:rPr>
                <w:b/>
                <w:sz w:val="24"/>
              </w:rPr>
            </w:pPr>
            <w:r>
              <w:rPr>
                <w:sz w:val="24"/>
              </w:rPr>
              <w:t>Pretender</w:t>
            </w:r>
            <w:r>
              <w:rPr>
                <w:spacing w:val="5"/>
                <w:sz w:val="24"/>
              </w:rPr>
              <w:t xml:space="preserve"> </w:t>
            </w:r>
            <w:r>
              <w:rPr>
                <w:sz w:val="24"/>
              </w:rPr>
              <w:t>Site</w:t>
            </w:r>
            <w:r>
              <w:rPr>
                <w:spacing w:val="3"/>
                <w:sz w:val="24"/>
              </w:rPr>
              <w:t xml:space="preserve"> </w:t>
            </w:r>
            <w:r>
              <w:rPr>
                <w:sz w:val="24"/>
              </w:rPr>
              <w:t>Visit</w:t>
            </w:r>
            <w:r>
              <w:rPr>
                <w:spacing w:val="3"/>
                <w:sz w:val="24"/>
              </w:rPr>
              <w:t xml:space="preserve"> </w:t>
            </w:r>
            <w:r>
              <w:rPr>
                <w:b/>
                <w:sz w:val="24"/>
              </w:rPr>
              <w:t>WILL</w:t>
            </w:r>
            <w:r>
              <w:rPr>
                <w:b/>
                <w:spacing w:val="-2"/>
                <w:sz w:val="24"/>
              </w:rPr>
              <w:t xml:space="preserve"> </w:t>
            </w:r>
            <w:r>
              <w:rPr>
                <w:b/>
                <w:sz w:val="24"/>
              </w:rPr>
              <w:t>NOT</w:t>
            </w:r>
            <w:r>
              <w:rPr>
                <w:b/>
                <w:spacing w:val="-4"/>
                <w:sz w:val="24"/>
              </w:rPr>
              <w:t xml:space="preserve"> </w:t>
            </w:r>
            <w:r>
              <w:rPr>
                <w:b/>
                <w:sz w:val="24"/>
              </w:rPr>
              <w:t>BE</w:t>
            </w:r>
            <w:r>
              <w:rPr>
                <w:b/>
                <w:spacing w:val="-3"/>
                <w:sz w:val="24"/>
              </w:rPr>
              <w:t xml:space="preserve"> </w:t>
            </w:r>
            <w:r>
              <w:rPr>
                <w:b/>
                <w:spacing w:val="-4"/>
                <w:sz w:val="24"/>
              </w:rPr>
              <w:t>HELD.</w:t>
            </w:r>
          </w:p>
        </w:tc>
      </w:tr>
      <w:tr w:rsidR="00BB77C0" w14:paraId="256DF533" w14:textId="77777777">
        <w:trPr>
          <w:trHeight w:val="1050"/>
        </w:trPr>
        <w:tc>
          <w:tcPr>
            <w:tcW w:w="1647" w:type="dxa"/>
          </w:tcPr>
          <w:p w14:paraId="59F97050" w14:textId="77777777" w:rsidR="00BB77C0" w:rsidRDefault="00370BAA">
            <w:pPr>
              <w:pStyle w:val="TableParagraph"/>
              <w:spacing w:line="263" w:lineRule="exact"/>
              <w:ind w:left="138"/>
              <w:rPr>
                <w:sz w:val="24"/>
              </w:rPr>
            </w:pPr>
            <w:r>
              <w:rPr>
                <w:w w:val="110"/>
                <w:sz w:val="24"/>
              </w:rPr>
              <w:t>ITT</w:t>
            </w:r>
            <w:r>
              <w:rPr>
                <w:spacing w:val="-8"/>
                <w:w w:val="110"/>
                <w:sz w:val="24"/>
              </w:rPr>
              <w:t xml:space="preserve"> </w:t>
            </w:r>
            <w:r>
              <w:rPr>
                <w:spacing w:val="-5"/>
                <w:w w:val="110"/>
                <w:sz w:val="24"/>
              </w:rPr>
              <w:t>8.2</w:t>
            </w:r>
          </w:p>
        </w:tc>
        <w:tc>
          <w:tcPr>
            <w:tcW w:w="8087" w:type="dxa"/>
          </w:tcPr>
          <w:p w14:paraId="5156A0FA" w14:textId="77777777" w:rsidR="00BB77C0" w:rsidRDefault="00370BAA">
            <w:pPr>
              <w:pStyle w:val="TableParagraph"/>
              <w:numPr>
                <w:ilvl w:val="0"/>
                <w:numId w:val="70"/>
              </w:numPr>
              <w:tabs>
                <w:tab w:val="left" w:pos="494"/>
              </w:tabs>
              <w:spacing w:before="18" w:line="187" w:lineRule="auto"/>
              <w:ind w:right="517"/>
              <w:rPr>
                <w:sz w:val="24"/>
              </w:rPr>
            </w:pPr>
            <w:r>
              <w:rPr>
                <w:sz w:val="24"/>
              </w:rPr>
              <w:t>The</w:t>
            </w:r>
            <w:r>
              <w:rPr>
                <w:spacing w:val="-5"/>
                <w:sz w:val="24"/>
              </w:rPr>
              <w:t xml:space="preserve"> </w:t>
            </w:r>
            <w:r>
              <w:rPr>
                <w:sz w:val="24"/>
              </w:rPr>
              <w:t>Tenderer</w:t>
            </w:r>
            <w:r>
              <w:rPr>
                <w:spacing w:val="-4"/>
                <w:sz w:val="24"/>
              </w:rPr>
              <w:t xml:space="preserve"> </w:t>
            </w:r>
            <w:r>
              <w:rPr>
                <w:sz w:val="24"/>
              </w:rPr>
              <w:t>will</w:t>
            </w:r>
            <w:r>
              <w:rPr>
                <w:spacing w:val="-11"/>
                <w:sz w:val="24"/>
              </w:rPr>
              <w:t xml:space="preserve"> </w:t>
            </w:r>
            <w:r>
              <w:rPr>
                <w:sz w:val="24"/>
              </w:rPr>
              <w:t>submit</w:t>
            </w:r>
            <w:r>
              <w:rPr>
                <w:spacing w:val="-4"/>
                <w:sz w:val="24"/>
              </w:rPr>
              <w:t xml:space="preserve"> </w:t>
            </w:r>
            <w:r>
              <w:rPr>
                <w:sz w:val="24"/>
              </w:rPr>
              <w:t>any</w:t>
            </w:r>
            <w:r>
              <w:rPr>
                <w:spacing w:val="-13"/>
                <w:sz w:val="24"/>
              </w:rPr>
              <w:t xml:space="preserve"> </w:t>
            </w:r>
            <w:r>
              <w:rPr>
                <w:sz w:val="24"/>
              </w:rPr>
              <w:t>questions</w:t>
            </w:r>
            <w:r>
              <w:rPr>
                <w:spacing w:val="-1"/>
                <w:sz w:val="24"/>
              </w:rPr>
              <w:t xml:space="preserve"> </w:t>
            </w:r>
            <w:r>
              <w:rPr>
                <w:sz w:val="24"/>
              </w:rPr>
              <w:t>in</w:t>
            </w:r>
            <w:r>
              <w:rPr>
                <w:spacing w:val="-9"/>
                <w:sz w:val="24"/>
              </w:rPr>
              <w:t xml:space="preserve"> </w:t>
            </w:r>
            <w:r>
              <w:rPr>
                <w:sz w:val="24"/>
              </w:rPr>
              <w:t>writing,</w:t>
            </w:r>
            <w:r>
              <w:rPr>
                <w:spacing w:val="-2"/>
                <w:sz w:val="24"/>
              </w:rPr>
              <w:t xml:space="preserve"> </w:t>
            </w:r>
            <w:r>
              <w:rPr>
                <w:sz w:val="24"/>
              </w:rPr>
              <w:t>to</w:t>
            </w:r>
            <w:r>
              <w:rPr>
                <w:spacing w:val="-4"/>
                <w:sz w:val="24"/>
              </w:rPr>
              <w:t xml:space="preserve"> </w:t>
            </w:r>
            <w:r>
              <w:rPr>
                <w:sz w:val="24"/>
              </w:rPr>
              <w:t>reach</w:t>
            </w:r>
            <w:r>
              <w:rPr>
                <w:spacing w:val="-8"/>
                <w:sz w:val="24"/>
              </w:rPr>
              <w:t xml:space="preserve"> </w:t>
            </w:r>
            <w:r>
              <w:rPr>
                <w:sz w:val="24"/>
              </w:rPr>
              <w:t>the</w:t>
            </w:r>
            <w:r>
              <w:rPr>
                <w:spacing w:val="-4"/>
                <w:sz w:val="24"/>
              </w:rPr>
              <w:t xml:space="preserve"> </w:t>
            </w:r>
            <w:r>
              <w:rPr>
                <w:sz w:val="24"/>
              </w:rPr>
              <w:t>Procuring Entitynot later than 7 days before closure/opening date.</w:t>
            </w:r>
          </w:p>
          <w:p w14:paraId="036A7097" w14:textId="77777777" w:rsidR="00BB77C0" w:rsidRDefault="00370BAA">
            <w:pPr>
              <w:pStyle w:val="TableParagraph"/>
              <w:numPr>
                <w:ilvl w:val="0"/>
                <w:numId w:val="70"/>
              </w:numPr>
              <w:tabs>
                <w:tab w:val="left" w:pos="491"/>
                <w:tab w:val="left" w:pos="494"/>
              </w:tabs>
              <w:spacing w:line="270" w:lineRule="atLeast"/>
              <w:ind w:right="2528"/>
              <w:rPr>
                <w:b/>
                <w:i/>
                <w:sz w:val="24"/>
              </w:rPr>
            </w:pPr>
            <w:r>
              <w:rPr>
                <w:sz w:val="24"/>
              </w:rPr>
              <w:t>The</w:t>
            </w:r>
            <w:r>
              <w:rPr>
                <w:spacing w:val="-9"/>
                <w:sz w:val="24"/>
              </w:rPr>
              <w:t xml:space="preserve"> </w:t>
            </w:r>
            <w:r>
              <w:rPr>
                <w:sz w:val="24"/>
              </w:rPr>
              <w:t>Procuring</w:t>
            </w:r>
            <w:r>
              <w:rPr>
                <w:spacing w:val="-6"/>
                <w:sz w:val="24"/>
              </w:rPr>
              <w:t xml:space="preserve"> </w:t>
            </w:r>
            <w:r>
              <w:rPr>
                <w:sz w:val="24"/>
              </w:rPr>
              <w:t>Entity</w:t>
            </w:r>
            <w:r>
              <w:rPr>
                <w:spacing w:val="-15"/>
                <w:sz w:val="24"/>
              </w:rPr>
              <w:t xml:space="preserve"> </w:t>
            </w:r>
            <w:r>
              <w:rPr>
                <w:sz w:val="24"/>
              </w:rPr>
              <w:t>will</w:t>
            </w:r>
            <w:r>
              <w:rPr>
                <w:spacing w:val="-11"/>
                <w:sz w:val="24"/>
              </w:rPr>
              <w:t xml:space="preserve"> </w:t>
            </w:r>
            <w:r>
              <w:rPr>
                <w:sz w:val="24"/>
              </w:rPr>
              <w:t>publish</w:t>
            </w:r>
            <w:r>
              <w:rPr>
                <w:spacing w:val="-12"/>
                <w:sz w:val="24"/>
              </w:rPr>
              <w:t xml:space="preserve"> </w:t>
            </w:r>
            <w:r>
              <w:rPr>
                <w:sz w:val="24"/>
              </w:rPr>
              <w:t>the</w:t>
            </w:r>
            <w:r>
              <w:rPr>
                <w:spacing w:val="-8"/>
                <w:sz w:val="24"/>
              </w:rPr>
              <w:t xml:space="preserve"> </w:t>
            </w:r>
            <w:r>
              <w:rPr>
                <w:sz w:val="24"/>
              </w:rPr>
              <w:t>response</w:t>
            </w:r>
            <w:r>
              <w:rPr>
                <w:spacing w:val="-8"/>
                <w:sz w:val="24"/>
              </w:rPr>
              <w:t xml:space="preserve"> </w:t>
            </w:r>
            <w:r>
              <w:rPr>
                <w:sz w:val="24"/>
              </w:rPr>
              <w:t>at</w:t>
            </w:r>
            <w:r>
              <w:rPr>
                <w:spacing w:val="-3"/>
                <w:sz w:val="24"/>
              </w:rPr>
              <w:t xml:space="preserve"> </w:t>
            </w:r>
            <w:r>
              <w:rPr>
                <w:sz w:val="24"/>
              </w:rPr>
              <w:t xml:space="preserve">the </w:t>
            </w:r>
            <w:r>
              <w:rPr>
                <w:spacing w:val="-2"/>
                <w:sz w:val="24"/>
              </w:rPr>
              <w:t>Website</w:t>
            </w:r>
            <w:hyperlink r:id="rId15">
              <w:r>
                <w:rPr>
                  <w:b/>
                  <w:i/>
                  <w:color w:val="0461C1"/>
                  <w:spacing w:val="-2"/>
                  <w:sz w:val="24"/>
                  <w:u w:val="single" w:color="0000FF"/>
                </w:rPr>
                <w:t>www.bungoma.go.ke</w:t>
              </w:r>
            </w:hyperlink>
          </w:p>
        </w:tc>
      </w:tr>
      <w:tr w:rsidR="00BB77C0" w14:paraId="788D704C" w14:textId="77777777">
        <w:trPr>
          <w:trHeight w:val="507"/>
        </w:trPr>
        <w:tc>
          <w:tcPr>
            <w:tcW w:w="1647" w:type="dxa"/>
          </w:tcPr>
          <w:p w14:paraId="06645CAE" w14:textId="77777777" w:rsidR="00BB77C0" w:rsidRDefault="00370BAA">
            <w:pPr>
              <w:pStyle w:val="TableParagraph"/>
              <w:spacing w:line="263" w:lineRule="exact"/>
              <w:ind w:left="138"/>
              <w:rPr>
                <w:sz w:val="24"/>
              </w:rPr>
            </w:pPr>
            <w:r>
              <w:rPr>
                <w:w w:val="110"/>
                <w:sz w:val="24"/>
              </w:rPr>
              <w:t>ITT</w:t>
            </w:r>
            <w:r>
              <w:rPr>
                <w:spacing w:val="-8"/>
                <w:w w:val="110"/>
                <w:sz w:val="24"/>
              </w:rPr>
              <w:t xml:space="preserve"> </w:t>
            </w:r>
            <w:r>
              <w:rPr>
                <w:spacing w:val="-5"/>
                <w:w w:val="110"/>
                <w:sz w:val="24"/>
              </w:rPr>
              <w:t>8.4</w:t>
            </w:r>
          </w:p>
        </w:tc>
        <w:tc>
          <w:tcPr>
            <w:tcW w:w="8087" w:type="dxa"/>
          </w:tcPr>
          <w:p w14:paraId="534426B3" w14:textId="77777777" w:rsidR="00BB77C0" w:rsidRDefault="00370BAA">
            <w:pPr>
              <w:pStyle w:val="TableParagraph"/>
              <w:spacing w:line="250" w:lineRule="exact"/>
              <w:ind w:left="133" w:right="314"/>
              <w:rPr>
                <w:sz w:val="24"/>
              </w:rPr>
            </w:pPr>
            <w:r>
              <w:rPr>
                <w:sz w:val="24"/>
              </w:rPr>
              <w:t>The</w:t>
            </w:r>
            <w:r>
              <w:rPr>
                <w:spacing w:val="-4"/>
                <w:sz w:val="24"/>
              </w:rPr>
              <w:t xml:space="preserve"> </w:t>
            </w:r>
            <w:r>
              <w:rPr>
                <w:sz w:val="24"/>
              </w:rPr>
              <w:t>Procuring</w:t>
            </w:r>
            <w:r>
              <w:rPr>
                <w:spacing w:val="-4"/>
                <w:sz w:val="24"/>
              </w:rPr>
              <w:t xml:space="preserve"> </w:t>
            </w:r>
            <w:r>
              <w:rPr>
                <w:sz w:val="24"/>
              </w:rPr>
              <w:t>Entity’s</w:t>
            </w:r>
            <w:r>
              <w:rPr>
                <w:spacing w:val="-6"/>
                <w:sz w:val="24"/>
              </w:rPr>
              <w:t xml:space="preserve"> </w:t>
            </w:r>
            <w:r>
              <w:rPr>
                <w:sz w:val="24"/>
              </w:rPr>
              <w:t>website</w:t>
            </w:r>
            <w:r>
              <w:rPr>
                <w:spacing w:val="-4"/>
                <w:sz w:val="24"/>
              </w:rPr>
              <w:t xml:space="preserve"> </w:t>
            </w:r>
            <w:r>
              <w:rPr>
                <w:sz w:val="24"/>
              </w:rPr>
              <w:t>where</w:t>
            </w:r>
            <w:r>
              <w:rPr>
                <w:spacing w:val="-4"/>
                <w:sz w:val="24"/>
              </w:rPr>
              <w:t xml:space="preserve"> </w:t>
            </w:r>
            <w:r>
              <w:rPr>
                <w:sz w:val="24"/>
              </w:rPr>
              <w:t>Minutes</w:t>
            </w:r>
            <w:r>
              <w:rPr>
                <w:spacing w:val="-6"/>
                <w:sz w:val="24"/>
              </w:rPr>
              <w:t xml:space="preserve"> </w:t>
            </w:r>
            <w:r>
              <w:rPr>
                <w:sz w:val="24"/>
              </w:rPr>
              <w:t>of</w:t>
            </w:r>
            <w:r>
              <w:rPr>
                <w:spacing w:val="-11"/>
                <w:sz w:val="24"/>
              </w:rPr>
              <w:t xml:space="preserve"> </w:t>
            </w:r>
            <w:r>
              <w:rPr>
                <w:sz w:val="24"/>
              </w:rPr>
              <w:t>the</w:t>
            </w:r>
            <w:r>
              <w:rPr>
                <w:spacing w:val="-4"/>
                <w:sz w:val="24"/>
              </w:rPr>
              <w:t xml:space="preserve"> </w:t>
            </w:r>
            <w:r>
              <w:rPr>
                <w:sz w:val="24"/>
              </w:rPr>
              <w:t>pre-Tender meeting</w:t>
            </w:r>
            <w:r>
              <w:rPr>
                <w:spacing w:val="-4"/>
                <w:sz w:val="24"/>
              </w:rPr>
              <w:t xml:space="preserve"> </w:t>
            </w:r>
            <w:r>
              <w:rPr>
                <w:sz w:val="24"/>
              </w:rPr>
              <w:t>and the pre-arranged pretender site visit will be published NOT APPLICABLE</w:t>
            </w:r>
          </w:p>
        </w:tc>
      </w:tr>
      <w:tr w:rsidR="00BB77C0" w14:paraId="5F016984" w14:textId="77777777">
        <w:trPr>
          <w:trHeight w:val="1996"/>
        </w:trPr>
        <w:tc>
          <w:tcPr>
            <w:tcW w:w="1647" w:type="dxa"/>
          </w:tcPr>
          <w:p w14:paraId="651A1A8E" w14:textId="77777777" w:rsidR="00BB77C0" w:rsidRDefault="00370BAA">
            <w:pPr>
              <w:pStyle w:val="TableParagraph"/>
              <w:spacing w:line="263" w:lineRule="exact"/>
              <w:ind w:left="138"/>
              <w:rPr>
                <w:sz w:val="24"/>
              </w:rPr>
            </w:pPr>
            <w:r>
              <w:rPr>
                <w:w w:val="110"/>
                <w:sz w:val="24"/>
              </w:rPr>
              <w:t>ITT</w:t>
            </w:r>
            <w:r>
              <w:rPr>
                <w:spacing w:val="-8"/>
                <w:w w:val="110"/>
                <w:sz w:val="24"/>
              </w:rPr>
              <w:t xml:space="preserve"> </w:t>
            </w:r>
            <w:r>
              <w:rPr>
                <w:spacing w:val="-5"/>
                <w:w w:val="110"/>
                <w:sz w:val="24"/>
              </w:rPr>
              <w:t>9.1</w:t>
            </w:r>
          </w:p>
        </w:tc>
        <w:tc>
          <w:tcPr>
            <w:tcW w:w="8087" w:type="dxa"/>
          </w:tcPr>
          <w:p w14:paraId="357998AC" w14:textId="77777777" w:rsidR="00BB77C0" w:rsidRDefault="00370BAA">
            <w:pPr>
              <w:pStyle w:val="TableParagraph"/>
              <w:spacing w:before="1" w:line="204" w:lineRule="auto"/>
              <w:ind w:left="133" w:right="314"/>
              <w:rPr>
                <w:sz w:val="24"/>
              </w:rPr>
            </w:pPr>
            <w:r>
              <w:rPr>
                <w:sz w:val="24"/>
              </w:rPr>
              <w:t>For</w:t>
            </w:r>
            <w:r>
              <w:rPr>
                <w:spacing w:val="-8"/>
                <w:sz w:val="24"/>
              </w:rPr>
              <w:t xml:space="preserve"> </w:t>
            </w:r>
            <w:r>
              <w:rPr>
                <w:sz w:val="24"/>
              </w:rPr>
              <w:t>Clarification</w:t>
            </w:r>
            <w:r>
              <w:rPr>
                <w:spacing w:val="-13"/>
                <w:sz w:val="24"/>
              </w:rPr>
              <w:t xml:space="preserve"> </w:t>
            </w:r>
            <w:r>
              <w:rPr>
                <w:sz w:val="24"/>
              </w:rPr>
              <w:t>of</w:t>
            </w:r>
            <w:r>
              <w:rPr>
                <w:spacing w:val="-13"/>
                <w:sz w:val="24"/>
              </w:rPr>
              <w:t xml:space="preserve"> </w:t>
            </w:r>
            <w:r>
              <w:rPr>
                <w:sz w:val="24"/>
              </w:rPr>
              <w:t>Tender</w:t>
            </w:r>
            <w:r>
              <w:rPr>
                <w:spacing w:val="-7"/>
                <w:sz w:val="24"/>
              </w:rPr>
              <w:t xml:space="preserve"> </w:t>
            </w:r>
            <w:r>
              <w:rPr>
                <w:sz w:val="24"/>
              </w:rPr>
              <w:t>purposes,</w:t>
            </w:r>
            <w:r>
              <w:rPr>
                <w:spacing w:val="-7"/>
                <w:sz w:val="24"/>
              </w:rPr>
              <w:t xml:space="preserve"> </w:t>
            </w:r>
            <w:r>
              <w:rPr>
                <w:sz w:val="24"/>
              </w:rPr>
              <w:t>for</w:t>
            </w:r>
            <w:r>
              <w:rPr>
                <w:spacing w:val="-8"/>
                <w:sz w:val="24"/>
              </w:rPr>
              <w:t xml:space="preserve"> </w:t>
            </w:r>
            <w:r>
              <w:rPr>
                <w:sz w:val="24"/>
              </w:rPr>
              <w:t>obtaining</w:t>
            </w:r>
            <w:r>
              <w:rPr>
                <w:spacing w:val="-5"/>
                <w:sz w:val="24"/>
              </w:rPr>
              <w:t xml:space="preserve"> </w:t>
            </w:r>
            <w:r>
              <w:rPr>
                <w:sz w:val="24"/>
              </w:rPr>
              <w:t>further</w:t>
            </w:r>
            <w:r>
              <w:rPr>
                <w:spacing w:val="-3"/>
                <w:sz w:val="24"/>
              </w:rPr>
              <w:t xml:space="preserve"> </w:t>
            </w:r>
            <w:r>
              <w:rPr>
                <w:sz w:val="24"/>
              </w:rPr>
              <w:t>information</w:t>
            </w:r>
            <w:r>
              <w:rPr>
                <w:spacing w:val="-13"/>
                <w:sz w:val="24"/>
              </w:rPr>
              <w:t xml:space="preserve"> </w:t>
            </w:r>
            <w:r>
              <w:rPr>
                <w:sz w:val="24"/>
              </w:rPr>
              <w:t>and</w:t>
            </w:r>
            <w:r>
              <w:rPr>
                <w:spacing w:val="-1"/>
                <w:sz w:val="24"/>
              </w:rPr>
              <w:t xml:space="preserve"> </w:t>
            </w:r>
            <w:r>
              <w:rPr>
                <w:sz w:val="24"/>
              </w:rPr>
              <w:t>for purchasing tender documents, the Procuring Entity’s address is:</w:t>
            </w:r>
          </w:p>
          <w:p w14:paraId="14E2C538" w14:textId="77777777" w:rsidR="00BB77C0" w:rsidRDefault="00370BAA">
            <w:pPr>
              <w:pStyle w:val="TableParagraph"/>
              <w:spacing w:line="235" w:lineRule="auto"/>
              <w:ind w:left="3015" w:right="1950" w:firstLine="139"/>
              <w:rPr>
                <w:b/>
                <w:i/>
                <w:sz w:val="24"/>
              </w:rPr>
            </w:pPr>
            <w:r>
              <w:rPr>
                <w:b/>
                <w:i/>
                <w:sz w:val="24"/>
              </w:rPr>
              <w:t xml:space="preserve">The Chief Officer, </w:t>
            </w:r>
            <w:r>
              <w:rPr>
                <w:b/>
                <w:i/>
                <w:spacing w:val="-2"/>
                <w:sz w:val="24"/>
              </w:rPr>
              <w:t>Department</w:t>
            </w:r>
            <w:r>
              <w:rPr>
                <w:b/>
                <w:i/>
                <w:spacing w:val="-9"/>
                <w:sz w:val="24"/>
              </w:rPr>
              <w:t xml:space="preserve"> </w:t>
            </w:r>
            <w:r>
              <w:rPr>
                <w:b/>
                <w:i/>
                <w:spacing w:val="-2"/>
                <w:sz w:val="24"/>
              </w:rPr>
              <w:t>of</w:t>
            </w:r>
            <w:r>
              <w:rPr>
                <w:b/>
                <w:i/>
                <w:spacing w:val="-9"/>
                <w:sz w:val="24"/>
              </w:rPr>
              <w:t xml:space="preserve"> </w:t>
            </w:r>
            <w:r>
              <w:rPr>
                <w:b/>
                <w:i/>
                <w:spacing w:val="-2"/>
                <w:sz w:val="24"/>
              </w:rPr>
              <w:t>Co-operatives</w:t>
            </w:r>
          </w:p>
          <w:p w14:paraId="5AB4BACD" w14:textId="77777777" w:rsidR="00BB77C0" w:rsidRDefault="00370BAA">
            <w:pPr>
              <w:pStyle w:val="TableParagraph"/>
              <w:spacing w:line="275" w:lineRule="exact"/>
              <w:ind w:left="3792"/>
              <w:rPr>
                <w:b/>
                <w:i/>
                <w:sz w:val="24"/>
              </w:rPr>
            </w:pPr>
            <w:r>
              <w:rPr>
                <w:b/>
                <w:i/>
                <w:spacing w:val="-2"/>
                <w:sz w:val="24"/>
              </w:rPr>
              <w:t>Development</w:t>
            </w:r>
          </w:p>
          <w:p w14:paraId="626F32EC" w14:textId="77777777" w:rsidR="00BB77C0" w:rsidRDefault="00370BAA">
            <w:pPr>
              <w:pStyle w:val="TableParagraph"/>
              <w:spacing w:line="237" w:lineRule="auto"/>
              <w:ind w:left="3874" w:right="2437" w:hanging="341"/>
              <w:rPr>
                <w:b/>
                <w:i/>
                <w:sz w:val="24"/>
              </w:rPr>
            </w:pPr>
            <w:r>
              <w:rPr>
                <w:b/>
                <w:i/>
                <w:sz w:val="24"/>
              </w:rPr>
              <w:t>P.O.</w:t>
            </w:r>
            <w:r>
              <w:rPr>
                <w:b/>
                <w:i/>
                <w:spacing w:val="-15"/>
                <w:sz w:val="24"/>
              </w:rPr>
              <w:t xml:space="preserve"> </w:t>
            </w:r>
            <w:r>
              <w:rPr>
                <w:b/>
                <w:i/>
                <w:sz w:val="24"/>
              </w:rPr>
              <w:t>Box</w:t>
            </w:r>
            <w:r>
              <w:rPr>
                <w:b/>
                <w:i/>
                <w:spacing w:val="-15"/>
                <w:sz w:val="24"/>
              </w:rPr>
              <w:t xml:space="preserve"> </w:t>
            </w:r>
            <w:r>
              <w:rPr>
                <w:b/>
                <w:i/>
                <w:sz w:val="24"/>
              </w:rPr>
              <w:t>437</w:t>
            </w:r>
            <w:r>
              <w:rPr>
                <w:b/>
                <w:i/>
                <w:spacing w:val="-17"/>
                <w:sz w:val="24"/>
              </w:rPr>
              <w:t xml:space="preserve"> </w:t>
            </w:r>
            <w:r>
              <w:rPr>
                <w:b/>
                <w:i/>
                <w:sz w:val="24"/>
              </w:rPr>
              <w:t>-</w:t>
            </w:r>
            <w:r>
              <w:rPr>
                <w:b/>
                <w:i/>
                <w:spacing w:val="-15"/>
                <w:sz w:val="24"/>
              </w:rPr>
              <w:t xml:space="preserve"> </w:t>
            </w:r>
            <w:r>
              <w:rPr>
                <w:b/>
                <w:i/>
                <w:sz w:val="24"/>
              </w:rPr>
              <w:t xml:space="preserve">50200 </w:t>
            </w:r>
            <w:r>
              <w:rPr>
                <w:b/>
                <w:i/>
                <w:spacing w:val="-2"/>
                <w:sz w:val="24"/>
              </w:rPr>
              <w:t>BUNGOMA.</w:t>
            </w:r>
          </w:p>
        </w:tc>
      </w:tr>
      <w:tr w:rsidR="00BB77C0" w14:paraId="47C888B4" w14:textId="77777777">
        <w:trPr>
          <w:trHeight w:val="253"/>
        </w:trPr>
        <w:tc>
          <w:tcPr>
            <w:tcW w:w="9734" w:type="dxa"/>
            <w:gridSpan w:val="2"/>
          </w:tcPr>
          <w:p w14:paraId="5439C85D" w14:textId="77777777" w:rsidR="00BB77C0" w:rsidRDefault="00370BAA">
            <w:pPr>
              <w:pStyle w:val="TableParagraph"/>
              <w:spacing w:line="233" w:lineRule="exact"/>
              <w:ind w:left="138"/>
              <w:rPr>
                <w:b/>
                <w:sz w:val="24"/>
              </w:rPr>
            </w:pPr>
            <w:r>
              <w:rPr>
                <w:b/>
                <w:sz w:val="24"/>
              </w:rPr>
              <w:t>C.</w:t>
            </w:r>
            <w:r>
              <w:rPr>
                <w:b/>
                <w:spacing w:val="4"/>
                <w:sz w:val="24"/>
              </w:rPr>
              <w:t xml:space="preserve"> </w:t>
            </w:r>
            <w:r>
              <w:rPr>
                <w:b/>
                <w:sz w:val="24"/>
              </w:rPr>
              <w:t>Preparation</w:t>
            </w:r>
            <w:r>
              <w:rPr>
                <w:b/>
                <w:spacing w:val="1"/>
                <w:sz w:val="24"/>
              </w:rPr>
              <w:t xml:space="preserve"> </w:t>
            </w:r>
            <w:r>
              <w:rPr>
                <w:b/>
                <w:sz w:val="24"/>
              </w:rPr>
              <w:t>of</w:t>
            </w:r>
            <w:r>
              <w:rPr>
                <w:b/>
                <w:spacing w:val="1"/>
                <w:sz w:val="24"/>
              </w:rPr>
              <w:t xml:space="preserve"> </w:t>
            </w:r>
            <w:r>
              <w:rPr>
                <w:b/>
                <w:spacing w:val="-2"/>
                <w:sz w:val="24"/>
              </w:rPr>
              <w:t>Tenders</w:t>
            </w:r>
          </w:p>
        </w:tc>
      </w:tr>
    </w:tbl>
    <w:p w14:paraId="733130F6" w14:textId="77777777" w:rsidR="00BB77C0" w:rsidRDefault="00BB77C0">
      <w:pPr>
        <w:pStyle w:val="TableParagraph"/>
        <w:spacing w:line="233" w:lineRule="exact"/>
        <w:rPr>
          <w:b/>
          <w:sz w:val="24"/>
        </w:rPr>
        <w:sectPr w:rsidR="00BB77C0">
          <w:pgSz w:w="11930" w:h="16870"/>
          <w:pgMar w:top="1940" w:right="1080" w:bottom="280" w:left="1080" w:header="720" w:footer="720" w:gutter="0"/>
          <w:cols w:space="720"/>
        </w:sectPr>
      </w:pPr>
    </w:p>
    <w:p w14:paraId="413049D3" w14:textId="77777777" w:rsidR="00BB77C0" w:rsidRDefault="00BB77C0">
      <w:pPr>
        <w:pStyle w:val="BodyText"/>
        <w:spacing w:before="5"/>
        <w:rPr>
          <w:sz w:val="2"/>
        </w:rPr>
      </w:pPr>
    </w:p>
    <w:tbl>
      <w:tblPr>
        <w:tblW w:w="0" w:type="auto"/>
        <w:tblInd w:w="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647"/>
        <w:gridCol w:w="8087"/>
      </w:tblGrid>
      <w:tr w:rsidR="00BB77C0" w14:paraId="2B1BA0A6" w14:textId="77777777">
        <w:trPr>
          <w:trHeight w:val="959"/>
        </w:trPr>
        <w:tc>
          <w:tcPr>
            <w:tcW w:w="1647" w:type="dxa"/>
          </w:tcPr>
          <w:p w14:paraId="748CF240" w14:textId="77777777" w:rsidR="00BB77C0" w:rsidRDefault="00370BAA">
            <w:pPr>
              <w:pStyle w:val="TableParagraph"/>
              <w:spacing w:line="263" w:lineRule="exact"/>
              <w:ind w:left="138"/>
              <w:rPr>
                <w:sz w:val="24"/>
              </w:rPr>
            </w:pPr>
            <w:r>
              <w:rPr>
                <w:w w:val="110"/>
                <w:sz w:val="24"/>
              </w:rPr>
              <w:t>ITT</w:t>
            </w:r>
            <w:r>
              <w:rPr>
                <w:spacing w:val="-6"/>
                <w:w w:val="110"/>
                <w:sz w:val="24"/>
              </w:rPr>
              <w:t xml:space="preserve"> </w:t>
            </w:r>
            <w:r>
              <w:rPr>
                <w:w w:val="110"/>
                <w:sz w:val="24"/>
              </w:rPr>
              <w:t>13.1</w:t>
            </w:r>
            <w:r>
              <w:rPr>
                <w:spacing w:val="-8"/>
                <w:w w:val="110"/>
                <w:sz w:val="24"/>
              </w:rPr>
              <w:t xml:space="preserve"> </w:t>
            </w:r>
            <w:r>
              <w:rPr>
                <w:spacing w:val="-5"/>
                <w:w w:val="110"/>
                <w:sz w:val="24"/>
              </w:rPr>
              <w:t>(h)</w:t>
            </w:r>
          </w:p>
        </w:tc>
        <w:tc>
          <w:tcPr>
            <w:tcW w:w="8087" w:type="dxa"/>
          </w:tcPr>
          <w:p w14:paraId="5E366FD8" w14:textId="77777777" w:rsidR="00BB77C0" w:rsidRDefault="00370BAA">
            <w:pPr>
              <w:pStyle w:val="TableParagraph"/>
              <w:spacing w:line="263" w:lineRule="exact"/>
              <w:ind w:left="133"/>
              <w:rPr>
                <w:sz w:val="24"/>
              </w:rPr>
            </w:pPr>
            <w:r>
              <w:rPr>
                <w:sz w:val="24"/>
              </w:rPr>
              <w:t>The</w:t>
            </w:r>
            <w:r>
              <w:rPr>
                <w:spacing w:val="-6"/>
                <w:sz w:val="24"/>
              </w:rPr>
              <w:t xml:space="preserve"> </w:t>
            </w:r>
            <w:r>
              <w:rPr>
                <w:sz w:val="24"/>
              </w:rPr>
              <w:t>Tenderer</w:t>
            </w:r>
            <w:r>
              <w:rPr>
                <w:spacing w:val="5"/>
                <w:sz w:val="24"/>
              </w:rPr>
              <w:t xml:space="preserve"> </w:t>
            </w:r>
            <w:r>
              <w:rPr>
                <w:sz w:val="24"/>
              </w:rPr>
              <w:t>shall</w:t>
            </w:r>
            <w:r>
              <w:rPr>
                <w:spacing w:val="-2"/>
                <w:sz w:val="24"/>
              </w:rPr>
              <w:t xml:space="preserve"> </w:t>
            </w:r>
            <w:r>
              <w:rPr>
                <w:sz w:val="24"/>
              </w:rPr>
              <w:t>submit</w:t>
            </w:r>
            <w:r>
              <w:rPr>
                <w:spacing w:val="7"/>
                <w:sz w:val="24"/>
              </w:rPr>
              <w:t xml:space="preserve"> </w:t>
            </w:r>
            <w:r>
              <w:rPr>
                <w:sz w:val="24"/>
              </w:rPr>
              <w:t>the following</w:t>
            </w:r>
            <w:r>
              <w:rPr>
                <w:spacing w:val="-2"/>
                <w:sz w:val="24"/>
              </w:rPr>
              <w:t xml:space="preserve"> </w:t>
            </w:r>
            <w:r>
              <w:rPr>
                <w:sz w:val="24"/>
              </w:rPr>
              <w:t>additional</w:t>
            </w:r>
            <w:r>
              <w:rPr>
                <w:spacing w:val="4"/>
                <w:sz w:val="24"/>
              </w:rPr>
              <w:t xml:space="preserve"> </w:t>
            </w:r>
            <w:r>
              <w:rPr>
                <w:sz w:val="24"/>
              </w:rPr>
              <w:t>documents</w:t>
            </w:r>
            <w:r>
              <w:rPr>
                <w:spacing w:val="-1"/>
                <w:sz w:val="24"/>
              </w:rPr>
              <w:t xml:space="preserve"> </w:t>
            </w:r>
            <w:r>
              <w:rPr>
                <w:sz w:val="24"/>
              </w:rPr>
              <w:t>in</w:t>
            </w:r>
            <w:r>
              <w:rPr>
                <w:spacing w:val="2"/>
                <w:sz w:val="24"/>
              </w:rPr>
              <w:t xml:space="preserve"> </w:t>
            </w:r>
            <w:r>
              <w:rPr>
                <w:sz w:val="24"/>
              </w:rPr>
              <w:t xml:space="preserve">its </w:t>
            </w:r>
            <w:r>
              <w:rPr>
                <w:spacing w:val="-2"/>
                <w:sz w:val="24"/>
              </w:rPr>
              <w:t>Tender:</w:t>
            </w:r>
          </w:p>
          <w:p w14:paraId="696D8F34" w14:textId="77777777" w:rsidR="00BB77C0" w:rsidRDefault="00370BAA">
            <w:pPr>
              <w:pStyle w:val="TableParagraph"/>
              <w:spacing w:before="146"/>
              <w:ind w:left="234"/>
              <w:rPr>
                <w:i/>
                <w:sz w:val="24"/>
              </w:rPr>
            </w:pPr>
            <w:r>
              <w:rPr>
                <w:i/>
                <w:sz w:val="24"/>
              </w:rPr>
              <w:t>As</w:t>
            </w:r>
            <w:r>
              <w:rPr>
                <w:i/>
                <w:spacing w:val="-15"/>
                <w:sz w:val="24"/>
              </w:rPr>
              <w:t xml:space="preserve"> </w:t>
            </w:r>
            <w:r>
              <w:rPr>
                <w:i/>
                <w:sz w:val="24"/>
              </w:rPr>
              <w:t>indicated</w:t>
            </w:r>
            <w:r>
              <w:rPr>
                <w:i/>
                <w:spacing w:val="-14"/>
                <w:sz w:val="24"/>
              </w:rPr>
              <w:t xml:space="preserve"> </w:t>
            </w:r>
            <w:r>
              <w:rPr>
                <w:i/>
                <w:sz w:val="24"/>
              </w:rPr>
              <w:t>in</w:t>
            </w:r>
            <w:r>
              <w:rPr>
                <w:i/>
                <w:spacing w:val="-13"/>
                <w:sz w:val="24"/>
              </w:rPr>
              <w:t xml:space="preserve"> </w:t>
            </w:r>
            <w:r>
              <w:rPr>
                <w:i/>
                <w:sz w:val="24"/>
              </w:rPr>
              <w:t>the</w:t>
            </w:r>
            <w:r>
              <w:rPr>
                <w:i/>
                <w:spacing w:val="-14"/>
                <w:sz w:val="24"/>
              </w:rPr>
              <w:t xml:space="preserve"> </w:t>
            </w:r>
            <w:r>
              <w:rPr>
                <w:i/>
                <w:sz w:val="24"/>
              </w:rPr>
              <w:t>qualification</w:t>
            </w:r>
            <w:r>
              <w:rPr>
                <w:i/>
                <w:spacing w:val="-16"/>
                <w:sz w:val="24"/>
              </w:rPr>
              <w:t xml:space="preserve"> </w:t>
            </w:r>
            <w:r>
              <w:rPr>
                <w:i/>
                <w:sz w:val="24"/>
              </w:rPr>
              <w:t>criteria</w:t>
            </w:r>
            <w:r>
              <w:rPr>
                <w:i/>
                <w:spacing w:val="-12"/>
                <w:sz w:val="24"/>
              </w:rPr>
              <w:t xml:space="preserve"> </w:t>
            </w:r>
            <w:r>
              <w:rPr>
                <w:i/>
                <w:sz w:val="24"/>
              </w:rPr>
              <w:t>and</w:t>
            </w:r>
            <w:r>
              <w:rPr>
                <w:i/>
                <w:spacing w:val="-13"/>
                <w:sz w:val="24"/>
              </w:rPr>
              <w:t xml:space="preserve"> </w:t>
            </w:r>
            <w:r>
              <w:rPr>
                <w:i/>
                <w:sz w:val="24"/>
              </w:rPr>
              <w:t>Tender</w:t>
            </w:r>
            <w:r>
              <w:rPr>
                <w:i/>
                <w:spacing w:val="-10"/>
                <w:sz w:val="24"/>
              </w:rPr>
              <w:t xml:space="preserve"> </w:t>
            </w:r>
            <w:r>
              <w:rPr>
                <w:i/>
                <w:spacing w:val="-2"/>
                <w:sz w:val="24"/>
              </w:rPr>
              <w:t>Notice</w:t>
            </w:r>
          </w:p>
        </w:tc>
      </w:tr>
      <w:tr w:rsidR="00BB77C0" w14:paraId="17DB9262" w14:textId="77777777">
        <w:trPr>
          <w:trHeight w:val="761"/>
        </w:trPr>
        <w:tc>
          <w:tcPr>
            <w:tcW w:w="1647" w:type="dxa"/>
          </w:tcPr>
          <w:p w14:paraId="5DEEC337" w14:textId="77777777" w:rsidR="00BB77C0" w:rsidRDefault="00370BAA">
            <w:pPr>
              <w:pStyle w:val="TableParagraph"/>
              <w:spacing w:line="263" w:lineRule="exact"/>
              <w:ind w:left="138"/>
              <w:rPr>
                <w:sz w:val="24"/>
              </w:rPr>
            </w:pPr>
            <w:r>
              <w:rPr>
                <w:w w:val="110"/>
                <w:sz w:val="24"/>
              </w:rPr>
              <w:t>ITT</w:t>
            </w:r>
            <w:r>
              <w:rPr>
                <w:spacing w:val="-12"/>
                <w:w w:val="110"/>
                <w:sz w:val="24"/>
              </w:rPr>
              <w:t xml:space="preserve"> </w:t>
            </w:r>
            <w:r>
              <w:rPr>
                <w:spacing w:val="-4"/>
                <w:w w:val="110"/>
                <w:sz w:val="24"/>
              </w:rPr>
              <w:t>13.2</w:t>
            </w:r>
          </w:p>
        </w:tc>
        <w:tc>
          <w:tcPr>
            <w:tcW w:w="8087" w:type="dxa"/>
          </w:tcPr>
          <w:p w14:paraId="2BC3F6B0" w14:textId="77777777" w:rsidR="00BB77C0" w:rsidRDefault="00370BAA">
            <w:pPr>
              <w:pStyle w:val="TableParagraph"/>
              <w:spacing w:line="213" w:lineRule="auto"/>
              <w:ind w:left="133" w:right="342"/>
              <w:jc w:val="both"/>
              <w:rPr>
                <w:sz w:val="24"/>
              </w:rPr>
            </w:pPr>
            <w:r>
              <w:rPr>
                <w:color w:val="201F1F"/>
                <w:spacing w:val="-2"/>
                <w:w w:val="105"/>
                <w:sz w:val="24"/>
              </w:rPr>
              <w:t>The</w:t>
            </w:r>
            <w:r>
              <w:rPr>
                <w:color w:val="201F1F"/>
                <w:spacing w:val="-14"/>
                <w:w w:val="105"/>
                <w:sz w:val="24"/>
              </w:rPr>
              <w:t xml:space="preserve"> </w:t>
            </w:r>
            <w:r>
              <w:rPr>
                <w:color w:val="201F1F"/>
                <w:spacing w:val="-2"/>
                <w:w w:val="105"/>
                <w:sz w:val="24"/>
              </w:rPr>
              <w:t>Tenderer</w:t>
            </w:r>
            <w:r>
              <w:rPr>
                <w:color w:val="201F1F"/>
                <w:spacing w:val="-12"/>
                <w:w w:val="105"/>
                <w:sz w:val="24"/>
              </w:rPr>
              <w:t xml:space="preserve"> </w:t>
            </w:r>
            <w:r>
              <w:rPr>
                <w:color w:val="201F1F"/>
                <w:spacing w:val="-2"/>
                <w:w w:val="105"/>
                <w:sz w:val="24"/>
              </w:rPr>
              <w:t>shall</w:t>
            </w:r>
            <w:r>
              <w:rPr>
                <w:color w:val="201F1F"/>
                <w:spacing w:val="-9"/>
                <w:w w:val="105"/>
                <w:sz w:val="24"/>
              </w:rPr>
              <w:t xml:space="preserve"> </w:t>
            </w:r>
            <w:r>
              <w:rPr>
                <w:spacing w:val="-2"/>
                <w:w w:val="105"/>
                <w:sz w:val="24"/>
              </w:rPr>
              <w:t>chronologically</w:t>
            </w:r>
            <w:r>
              <w:rPr>
                <w:spacing w:val="-6"/>
                <w:w w:val="105"/>
                <w:sz w:val="24"/>
              </w:rPr>
              <w:t xml:space="preserve"> </w:t>
            </w:r>
            <w:r>
              <w:rPr>
                <w:spacing w:val="-2"/>
                <w:w w:val="105"/>
                <w:sz w:val="24"/>
              </w:rPr>
              <w:t>and</w:t>
            </w:r>
            <w:r>
              <w:rPr>
                <w:spacing w:val="-7"/>
                <w:w w:val="105"/>
                <w:sz w:val="24"/>
              </w:rPr>
              <w:t xml:space="preserve"> </w:t>
            </w:r>
            <w:r>
              <w:rPr>
                <w:spacing w:val="-2"/>
                <w:w w:val="105"/>
                <w:sz w:val="24"/>
              </w:rPr>
              <w:t>sequentially</w:t>
            </w:r>
            <w:r>
              <w:rPr>
                <w:spacing w:val="-4"/>
                <w:w w:val="105"/>
                <w:sz w:val="24"/>
              </w:rPr>
              <w:t xml:space="preserve"> </w:t>
            </w:r>
            <w:r>
              <w:rPr>
                <w:spacing w:val="-2"/>
                <w:w w:val="105"/>
                <w:sz w:val="24"/>
              </w:rPr>
              <w:t>serialize</w:t>
            </w:r>
            <w:r>
              <w:rPr>
                <w:spacing w:val="-7"/>
                <w:w w:val="105"/>
                <w:sz w:val="24"/>
              </w:rPr>
              <w:t xml:space="preserve"> </w:t>
            </w:r>
            <w:r>
              <w:rPr>
                <w:spacing w:val="-2"/>
                <w:w w:val="105"/>
                <w:sz w:val="24"/>
              </w:rPr>
              <w:t>all</w:t>
            </w:r>
            <w:r>
              <w:rPr>
                <w:spacing w:val="-3"/>
                <w:w w:val="105"/>
                <w:sz w:val="24"/>
              </w:rPr>
              <w:t xml:space="preserve"> </w:t>
            </w:r>
            <w:r>
              <w:rPr>
                <w:spacing w:val="-2"/>
                <w:w w:val="105"/>
                <w:sz w:val="24"/>
              </w:rPr>
              <w:t>pages</w:t>
            </w:r>
            <w:r>
              <w:rPr>
                <w:spacing w:val="-8"/>
                <w:w w:val="105"/>
                <w:sz w:val="24"/>
              </w:rPr>
              <w:t xml:space="preserve"> </w:t>
            </w:r>
            <w:r>
              <w:rPr>
                <w:spacing w:val="-2"/>
                <w:w w:val="105"/>
                <w:sz w:val="24"/>
              </w:rPr>
              <w:t>of</w:t>
            </w:r>
            <w:r>
              <w:rPr>
                <w:spacing w:val="-9"/>
                <w:w w:val="105"/>
                <w:sz w:val="24"/>
              </w:rPr>
              <w:t xml:space="preserve"> </w:t>
            </w:r>
            <w:r>
              <w:rPr>
                <w:spacing w:val="-2"/>
                <w:w w:val="105"/>
                <w:sz w:val="24"/>
              </w:rPr>
              <w:t>the Tender</w:t>
            </w:r>
            <w:r>
              <w:rPr>
                <w:spacing w:val="-12"/>
                <w:w w:val="105"/>
                <w:sz w:val="24"/>
              </w:rPr>
              <w:t xml:space="preserve"> </w:t>
            </w:r>
            <w:r>
              <w:rPr>
                <w:spacing w:val="-2"/>
                <w:w w:val="105"/>
                <w:sz w:val="24"/>
              </w:rPr>
              <w:t>Documents</w:t>
            </w:r>
            <w:r>
              <w:rPr>
                <w:spacing w:val="-6"/>
                <w:w w:val="105"/>
                <w:sz w:val="24"/>
              </w:rPr>
              <w:t xml:space="preserve"> </w:t>
            </w:r>
            <w:r>
              <w:rPr>
                <w:spacing w:val="-2"/>
                <w:w w:val="105"/>
                <w:sz w:val="24"/>
              </w:rPr>
              <w:t>submitted</w:t>
            </w:r>
            <w:r>
              <w:rPr>
                <w:spacing w:val="-9"/>
                <w:w w:val="105"/>
                <w:sz w:val="24"/>
              </w:rPr>
              <w:t xml:space="preserve"> </w:t>
            </w:r>
            <w:r>
              <w:rPr>
                <w:spacing w:val="-2"/>
                <w:w w:val="105"/>
                <w:sz w:val="24"/>
              </w:rPr>
              <w:t>in</w:t>
            </w:r>
            <w:r>
              <w:rPr>
                <w:spacing w:val="-12"/>
                <w:w w:val="105"/>
                <w:sz w:val="24"/>
              </w:rPr>
              <w:t xml:space="preserve"> </w:t>
            </w:r>
            <w:r>
              <w:rPr>
                <w:spacing w:val="-2"/>
                <w:w w:val="105"/>
                <w:sz w:val="24"/>
              </w:rPr>
              <w:t>the</w:t>
            </w:r>
            <w:r>
              <w:rPr>
                <w:spacing w:val="-12"/>
                <w:w w:val="105"/>
                <w:sz w:val="24"/>
              </w:rPr>
              <w:t xml:space="preserve"> </w:t>
            </w:r>
            <w:r>
              <w:rPr>
                <w:spacing w:val="-2"/>
                <w:w w:val="105"/>
                <w:sz w:val="24"/>
              </w:rPr>
              <w:t>format</w:t>
            </w:r>
            <w:r>
              <w:rPr>
                <w:spacing w:val="-8"/>
                <w:w w:val="105"/>
                <w:sz w:val="24"/>
              </w:rPr>
              <w:t xml:space="preserve"> </w:t>
            </w:r>
            <w:r>
              <w:rPr>
                <w:spacing w:val="-2"/>
                <w:w w:val="105"/>
                <w:sz w:val="24"/>
              </w:rPr>
              <w:t>of</w:t>
            </w:r>
            <w:r>
              <w:rPr>
                <w:spacing w:val="-13"/>
                <w:w w:val="105"/>
                <w:sz w:val="24"/>
              </w:rPr>
              <w:t xml:space="preserve"> </w:t>
            </w:r>
            <w:r>
              <w:rPr>
                <w:spacing w:val="-2"/>
                <w:w w:val="105"/>
                <w:sz w:val="24"/>
              </w:rPr>
              <w:t>1,</w:t>
            </w:r>
            <w:r>
              <w:rPr>
                <w:spacing w:val="-5"/>
                <w:w w:val="105"/>
                <w:sz w:val="24"/>
              </w:rPr>
              <w:t xml:space="preserve"> </w:t>
            </w:r>
            <w:r>
              <w:rPr>
                <w:spacing w:val="-2"/>
                <w:w w:val="105"/>
                <w:sz w:val="24"/>
              </w:rPr>
              <w:t>2,</w:t>
            </w:r>
            <w:r>
              <w:rPr>
                <w:spacing w:val="-9"/>
                <w:w w:val="105"/>
                <w:sz w:val="24"/>
              </w:rPr>
              <w:t xml:space="preserve"> </w:t>
            </w:r>
            <w:r>
              <w:rPr>
                <w:spacing w:val="-2"/>
                <w:w w:val="105"/>
                <w:sz w:val="24"/>
              </w:rPr>
              <w:t>3,</w:t>
            </w:r>
            <w:r>
              <w:rPr>
                <w:spacing w:val="-10"/>
                <w:w w:val="105"/>
                <w:sz w:val="24"/>
              </w:rPr>
              <w:t xml:space="preserve"> </w:t>
            </w:r>
            <w:r>
              <w:rPr>
                <w:spacing w:val="-2"/>
                <w:w w:val="105"/>
                <w:sz w:val="24"/>
              </w:rPr>
              <w:t>4,</w:t>
            </w:r>
            <w:r>
              <w:rPr>
                <w:spacing w:val="-10"/>
                <w:w w:val="105"/>
                <w:sz w:val="24"/>
              </w:rPr>
              <w:t xml:space="preserve"> </w:t>
            </w:r>
            <w:r>
              <w:rPr>
                <w:spacing w:val="-2"/>
                <w:w w:val="105"/>
                <w:sz w:val="24"/>
              </w:rPr>
              <w:t>5…….</w:t>
            </w:r>
            <w:r>
              <w:rPr>
                <w:spacing w:val="-9"/>
                <w:w w:val="105"/>
                <w:sz w:val="24"/>
              </w:rPr>
              <w:t xml:space="preserve"> </w:t>
            </w:r>
            <w:r>
              <w:rPr>
                <w:spacing w:val="-2"/>
                <w:w w:val="105"/>
                <w:sz w:val="24"/>
              </w:rPr>
              <w:t>Including</w:t>
            </w:r>
            <w:r>
              <w:rPr>
                <w:spacing w:val="-10"/>
                <w:w w:val="105"/>
                <w:sz w:val="24"/>
              </w:rPr>
              <w:t xml:space="preserve"> </w:t>
            </w:r>
            <w:r>
              <w:rPr>
                <w:spacing w:val="-2"/>
                <w:w w:val="105"/>
                <w:sz w:val="24"/>
              </w:rPr>
              <w:t xml:space="preserve">the </w:t>
            </w:r>
            <w:r>
              <w:rPr>
                <w:w w:val="105"/>
                <w:sz w:val="24"/>
              </w:rPr>
              <w:t>cover page and All other pages.</w:t>
            </w:r>
          </w:p>
        </w:tc>
      </w:tr>
      <w:tr w:rsidR="00BB77C0" w14:paraId="1BCFB699" w14:textId="77777777">
        <w:trPr>
          <w:trHeight w:val="762"/>
        </w:trPr>
        <w:tc>
          <w:tcPr>
            <w:tcW w:w="1647" w:type="dxa"/>
          </w:tcPr>
          <w:p w14:paraId="5D8B8846" w14:textId="77777777" w:rsidR="00BB77C0" w:rsidRDefault="00370BAA">
            <w:pPr>
              <w:pStyle w:val="TableParagraph"/>
              <w:spacing w:line="257" w:lineRule="exact"/>
              <w:ind w:left="138"/>
              <w:rPr>
                <w:sz w:val="24"/>
              </w:rPr>
            </w:pPr>
            <w:r>
              <w:rPr>
                <w:spacing w:val="-5"/>
                <w:w w:val="110"/>
                <w:sz w:val="24"/>
              </w:rPr>
              <w:t>ITT</w:t>
            </w:r>
          </w:p>
          <w:p w14:paraId="4CF7DAFE" w14:textId="77777777" w:rsidR="00BB77C0" w:rsidRDefault="00370BAA">
            <w:pPr>
              <w:pStyle w:val="TableParagraph"/>
              <w:spacing w:line="270" w:lineRule="exact"/>
              <w:ind w:left="138"/>
              <w:rPr>
                <w:sz w:val="24"/>
              </w:rPr>
            </w:pPr>
            <w:r>
              <w:rPr>
                <w:spacing w:val="-2"/>
                <w:w w:val="110"/>
                <w:sz w:val="24"/>
              </w:rPr>
              <w:t>Reference</w:t>
            </w:r>
          </w:p>
        </w:tc>
        <w:tc>
          <w:tcPr>
            <w:tcW w:w="8087" w:type="dxa"/>
          </w:tcPr>
          <w:p w14:paraId="5B991BE3" w14:textId="77777777" w:rsidR="00BB77C0" w:rsidRDefault="00370BAA">
            <w:pPr>
              <w:pStyle w:val="TableParagraph"/>
              <w:spacing w:line="253" w:lineRule="exact"/>
              <w:ind w:left="133"/>
              <w:rPr>
                <w:sz w:val="24"/>
              </w:rPr>
            </w:pPr>
            <w:r>
              <w:rPr>
                <w:color w:val="201F1F"/>
                <w:sz w:val="24"/>
              </w:rPr>
              <w:t>PARTICULARS</w:t>
            </w:r>
            <w:r>
              <w:rPr>
                <w:color w:val="201F1F"/>
                <w:spacing w:val="-3"/>
                <w:sz w:val="24"/>
              </w:rPr>
              <w:t xml:space="preserve"> </w:t>
            </w:r>
            <w:r>
              <w:rPr>
                <w:color w:val="201F1F"/>
                <w:sz w:val="24"/>
              </w:rPr>
              <w:t>OF</w:t>
            </w:r>
            <w:r>
              <w:rPr>
                <w:color w:val="201F1F"/>
                <w:spacing w:val="-10"/>
                <w:sz w:val="24"/>
              </w:rPr>
              <w:t xml:space="preserve"> </w:t>
            </w:r>
            <w:r>
              <w:rPr>
                <w:color w:val="201F1F"/>
                <w:sz w:val="24"/>
              </w:rPr>
              <w:t>APPENDIX</w:t>
            </w:r>
            <w:r>
              <w:rPr>
                <w:color w:val="201F1F"/>
                <w:spacing w:val="-5"/>
                <w:sz w:val="24"/>
              </w:rPr>
              <w:t xml:space="preserve"> </w:t>
            </w:r>
            <w:r>
              <w:rPr>
                <w:color w:val="201F1F"/>
                <w:sz w:val="24"/>
              </w:rPr>
              <w:t>TO</w:t>
            </w:r>
            <w:r>
              <w:rPr>
                <w:color w:val="201F1F"/>
                <w:spacing w:val="-6"/>
                <w:sz w:val="24"/>
              </w:rPr>
              <w:t xml:space="preserve"> </w:t>
            </w:r>
            <w:r>
              <w:rPr>
                <w:color w:val="201F1F"/>
                <w:sz w:val="24"/>
              </w:rPr>
              <w:t>INSTRUCTIONS</w:t>
            </w:r>
            <w:r>
              <w:rPr>
                <w:color w:val="201F1F"/>
                <w:spacing w:val="-3"/>
                <w:sz w:val="24"/>
              </w:rPr>
              <w:t xml:space="preserve"> </w:t>
            </w:r>
            <w:r>
              <w:rPr>
                <w:color w:val="201F1F"/>
                <w:sz w:val="24"/>
              </w:rPr>
              <w:t>TO</w:t>
            </w:r>
            <w:r>
              <w:rPr>
                <w:color w:val="201F1F"/>
                <w:spacing w:val="-10"/>
                <w:sz w:val="24"/>
              </w:rPr>
              <w:t xml:space="preserve"> </w:t>
            </w:r>
            <w:r>
              <w:rPr>
                <w:color w:val="201F1F"/>
                <w:spacing w:val="-2"/>
                <w:sz w:val="24"/>
              </w:rPr>
              <w:t>TENDERS</w:t>
            </w:r>
          </w:p>
        </w:tc>
      </w:tr>
      <w:tr w:rsidR="00BB77C0" w14:paraId="38E16744" w14:textId="77777777">
        <w:trPr>
          <w:trHeight w:val="762"/>
        </w:trPr>
        <w:tc>
          <w:tcPr>
            <w:tcW w:w="1647" w:type="dxa"/>
          </w:tcPr>
          <w:p w14:paraId="0A9CCAFA" w14:textId="77777777" w:rsidR="00BB77C0" w:rsidRDefault="00370BAA">
            <w:pPr>
              <w:pStyle w:val="TableParagraph"/>
              <w:spacing w:line="263" w:lineRule="exact"/>
              <w:ind w:left="138"/>
              <w:rPr>
                <w:sz w:val="24"/>
              </w:rPr>
            </w:pPr>
            <w:r>
              <w:rPr>
                <w:w w:val="110"/>
                <w:sz w:val="24"/>
              </w:rPr>
              <w:t>ITT</w:t>
            </w:r>
            <w:r>
              <w:rPr>
                <w:spacing w:val="-3"/>
                <w:w w:val="110"/>
                <w:sz w:val="24"/>
              </w:rPr>
              <w:t xml:space="preserve"> </w:t>
            </w:r>
            <w:r>
              <w:rPr>
                <w:spacing w:val="-4"/>
                <w:w w:val="110"/>
                <w:sz w:val="24"/>
              </w:rPr>
              <w:t>15.1</w:t>
            </w:r>
          </w:p>
        </w:tc>
        <w:tc>
          <w:tcPr>
            <w:tcW w:w="8087" w:type="dxa"/>
          </w:tcPr>
          <w:p w14:paraId="3C237F8F" w14:textId="77777777" w:rsidR="00BB77C0" w:rsidRDefault="00370BAA">
            <w:pPr>
              <w:pStyle w:val="TableParagraph"/>
              <w:spacing w:line="253" w:lineRule="exact"/>
              <w:ind w:left="133"/>
              <w:rPr>
                <w:sz w:val="24"/>
              </w:rPr>
            </w:pPr>
            <w:r>
              <w:rPr>
                <w:color w:val="201F1F"/>
                <w:sz w:val="24"/>
              </w:rPr>
              <w:t>Alternative</w:t>
            </w:r>
            <w:r>
              <w:rPr>
                <w:color w:val="201F1F"/>
                <w:spacing w:val="-6"/>
                <w:sz w:val="24"/>
              </w:rPr>
              <w:t xml:space="preserve"> </w:t>
            </w:r>
            <w:r>
              <w:rPr>
                <w:color w:val="201F1F"/>
                <w:sz w:val="24"/>
              </w:rPr>
              <w:t>Tenders</w:t>
            </w:r>
            <w:r>
              <w:rPr>
                <w:color w:val="201F1F"/>
                <w:spacing w:val="-3"/>
                <w:sz w:val="24"/>
              </w:rPr>
              <w:t xml:space="preserve"> </w:t>
            </w:r>
            <w:r>
              <w:rPr>
                <w:color w:val="201F1F"/>
                <w:sz w:val="24"/>
              </w:rPr>
              <w:t>SHALL</w:t>
            </w:r>
            <w:r>
              <w:rPr>
                <w:color w:val="201F1F"/>
                <w:spacing w:val="-7"/>
                <w:sz w:val="24"/>
              </w:rPr>
              <w:t xml:space="preserve"> </w:t>
            </w:r>
            <w:r>
              <w:rPr>
                <w:color w:val="201F1F"/>
                <w:sz w:val="24"/>
              </w:rPr>
              <w:t>NOT</w:t>
            </w:r>
            <w:r>
              <w:rPr>
                <w:color w:val="201F1F"/>
                <w:spacing w:val="-4"/>
                <w:sz w:val="24"/>
              </w:rPr>
              <w:t xml:space="preserve"> </w:t>
            </w:r>
            <w:r>
              <w:rPr>
                <w:color w:val="201F1F"/>
                <w:sz w:val="24"/>
              </w:rPr>
              <w:t>be</w:t>
            </w:r>
            <w:r>
              <w:rPr>
                <w:color w:val="201F1F"/>
                <w:spacing w:val="-2"/>
                <w:sz w:val="24"/>
              </w:rPr>
              <w:t xml:space="preserve"> permitted</w:t>
            </w:r>
          </w:p>
        </w:tc>
      </w:tr>
      <w:tr w:rsidR="00BB77C0" w14:paraId="6F7D6803" w14:textId="77777777">
        <w:trPr>
          <w:trHeight w:val="757"/>
        </w:trPr>
        <w:tc>
          <w:tcPr>
            <w:tcW w:w="1647" w:type="dxa"/>
          </w:tcPr>
          <w:p w14:paraId="3A437F22" w14:textId="77777777" w:rsidR="00BB77C0" w:rsidRDefault="00370BAA">
            <w:pPr>
              <w:pStyle w:val="TableParagraph"/>
              <w:spacing w:line="263" w:lineRule="exact"/>
              <w:ind w:left="138"/>
              <w:rPr>
                <w:sz w:val="24"/>
              </w:rPr>
            </w:pPr>
            <w:r>
              <w:rPr>
                <w:w w:val="110"/>
                <w:sz w:val="24"/>
              </w:rPr>
              <w:t>ITT</w:t>
            </w:r>
            <w:r>
              <w:rPr>
                <w:spacing w:val="-3"/>
                <w:w w:val="110"/>
                <w:sz w:val="24"/>
              </w:rPr>
              <w:t xml:space="preserve"> </w:t>
            </w:r>
            <w:r>
              <w:rPr>
                <w:spacing w:val="-4"/>
                <w:w w:val="110"/>
                <w:sz w:val="24"/>
              </w:rPr>
              <w:t>15.2</w:t>
            </w:r>
          </w:p>
        </w:tc>
        <w:tc>
          <w:tcPr>
            <w:tcW w:w="8087" w:type="dxa"/>
          </w:tcPr>
          <w:p w14:paraId="4A71169D" w14:textId="77777777" w:rsidR="00BB77C0" w:rsidRDefault="00370BAA">
            <w:pPr>
              <w:pStyle w:val="TableParagraph"/>
              <w:spacing w:line="253" w:lineRule="exact"/>
              <w:ind w:left="133"/>
              <w:rPr>
                <w:sz w:val="24"/>
              </w:rPr>
            </w:pPr>
            <w:r>
              <w:rPr>
                <w:color w:val="201F1F"/>
                <w:sz w:val="24"/>
              </w:rPr>
              <w:t>Alternative</w:t>
            </w:r>
            <w:r>
              <w:rPr>
                <w:color w:val="201F1F"/>
                <w:spacing w:val="-10"/>
                <w:sz w:val="24"/>
              </w:rPr>
              <w:t xml:space="preserve"> </w:t>
            </w:r>
            <w:r>
              <w:rPr>
                <w:color w:val="201F1F"/>
                <w:sz w:val="24"/>
              </w:rPr>
              <w:t>times</w:t>
            </w:r>
            <w:r>
              <w:rPr>
                <w:color w:val="201F1F"/>
                <w:spacing w:val="-4"/>
                <w:sz w:val="24"/>
              </w:rPr>
              <w:t xml:space="preserve"> </w:t>
            </w:r>
            <w:r>
              <w:rPr>
                <w:color w:val="201F1F"/>
                <w:sz w:val="24"/>
              </w:rPr>
              <w:t>for</w:t>
            </w:r>
            <w:r>
              <w:rPr>
                <w:color w:val="201F1F"/>
                <w:spacing w:val="-2"/>
                <w:sz w:val="24"/>
              </w:rPr>
              <w:t xml:space="preserve"> </w:t>
            </w:r>
            <w:r>
              <w:rPr>
                <w:color w:val="201F1F"/>
                <w:sz w:val="24"/>
              </w:rPr>
              <w:t>completion</w:t>
            </w:r>
            <w:r>
              <w:rPr>
                <w:color w:val="201F1F"/>
                <w:spacing w:val="-6"/>
                <w:sz w:val="24"/>
              </w:rPr>
              <w:t xml:space="preserve"> </w:t>
            </w:r>
            <w:r>
              <w:rPr>
                <w:color w:val="201F1F"/>
                <w:sz w:val="24"/>
              </w:rPr>
              <w:t>SHALL</w:t>
            </w:r>
            <w:r>
              <w:rPr>
                <w:color w:val="201F1F"/>
                <w:spacing w:val="-9"/>
                <w:sz w:val="24"/>
              </w:rPr>
              <w:t xml:space="preserve"> </w:t>
            </w:r>
            <w:r>
              <w:rPr>
                <w:color w:val="201F1F"/>
                <w:sz w:val="24"/>
              </w:rPr>
              <w:t>NOT</w:t>
            </w:r>
            <w:r>
              <w:rPr>
                <w:color w:val="201F1F"/>
                <w:spacing w:val="-1"/>
                <w:sz w:val="24"/>
              </w:rPr>
              <w:t xml:space="preserve"> </w:t>
            </w:r>
            <w:r>
              <w:rPr>
                <w:color w:val="201F1F"/>
                <w:spacing w:val="-2"/>
                <w:sz w:val="24"/>
              </w:rPr>
              <w:t>permitted.</w:t>
            </w:r>
          </w:p>
        </w:tc>
      </w:tr>
      <w:tr w:rsidR="00BB77C0" w14:paraId="3ABD4EB7" w14:textId="77777777">
        <w:trPr>
          <w:trHeight w:val="762"/>
        </w:trPr>
        <w:tc>
          <w:tcPr>
            <w:tcW w:w="1647" w:type="dxa"/>
          </w:tcPr>
          <w:p w14:paraId="390C3945" w14:textId="77777777" w:rsidR="00BB77C0" w:rsidRDefault="00370BAA">
            <w:pPr>
              <w:pStyle w:val="TableParagraph"/>
              <w:spacing w:line="263" w:lineRule="exact"/>
              <w:ind w:left="138"/>
              <w:rPr>
                <w:sz w:val="24"/>
              </w:rPr>
            </w:pPr>
            <w:r>
              <w:rPr>
                <w:w w:val="110"/>
                <w:sz w:val="24"/>
              </w:rPr>
              <w:t>ITT</w:t>
            </w:r>
            <w:r>
              <w:rPr>
                <w:spacing w:val="-3"/>
                <w:w w:val="110"/>
                <w:sz w:val="24"/>
              </w:rPr>
              <w:t xml:space="preserve"> </w:t>
            </w:r>
            <w:r>
              <w:rPr>
                <w:spacing w:val="-4"/>
                <w:w w:val="110"/>
                <w:sz w:val="24"/>
              </w:rPr>
              <w:t>15.4</w:t>
            </w:r>
          </w:p>
        </w:tc>
        <w:tc>
          <w:tcPr>
            <w:tcW w:w="8087" w:type="dxa"/>
          </w:tcPr>
          <w:p w14:paraId="24FDE169" w14:textId="77777777" w:rsidR="00BB77C0" w:rsidRDefault="00370BAA">
            <w:pPr>
              <w:pStyle w:val="TableParagraph"/>
              <w:spacing w:line="254" w:lineRule="exact"/>
              <w:ind w:left="133"/>
              <w:rPr>
                <w:sz w:val="24"/>
              </w:rPr>
            </w:pPr>
            <w:r>
              <w:rPr>
                <w:color w:val="201F1F"/>
                <w:sz w:val="24"/>
              </w:rPr>
              <w:t>Alternative</w:t>
            </w:r>
            <w:r>
              <w:rPr>
                <w:color w:val="201F1F"/>
                <w:spacing w:val="-7"/>
                <w:sz w:val="24"/>
              </w:rPr>
              <w:t xml:space="preserve"> </w:t>
            </w:r>
            <w:r>
              <w:rPr>
                <w:color w:val="201F1F"/>
                <w:sz w:val="24"/>
              </w:rPr>
              <w:t>technical</w:t>
            </w:r>
            <w:r>
              <w:rPr>
                <w:color w:val="201F1F"/>
                <w:spacing w:val="-4"/>
                <w:sz w:val="24"/>
              </w:rPr>
              <w:t xml:space="preserve"> </w:t>
            </w:r>
            <w:r>
              <w:rPr>
                <w:color w:val="201F1F"/>
                <w:sz w:val="24"/>
              </w:rPr>
              <w:t>solutions</w:t>
            </w:r>
            <w:r>
              <w:rPr>
                <w:color w:val="201F1F"/>
                <w:spacing w:val="-2"/>
                <w:sz w:val="24"/>
              </w:rPr>
              <w:t xml:space="preserve"> </w:t>
            </w:r>
            <w:r>
              <w:rPr>
                <w:color w:val="201F1F"/>
                <w:sz w:val="24"/>
              </w:rPr>
              <w:t>SHALL</w:t>
            </w:r>
            <w:r>
              <w:rPr>
                <w:color w:val="201F1F"/>
                <w:spacing w:val="-8"/>
                <w:sz w:val="24"/>
              </w:rPr>
              <w:t xml:space="preserve"> </w:t>
            </w:r>
            <w:r>
              <w:rPr>
                <w:color w:val="201F1F"/>
                <w:sz w:val="24"/>
              </w:rPr>
              <w:t>NOT</w:t>
            </w:r>
            <w:r>
              <w:rPr>
                <w:color w:val="201F1F"/>
                <w:spacing w:val="-4"/>
                <w:sz w:val="24"/>
              </w:rPr>
              <w:t xml:space="preserve"> </w:t>
            </w:r>
            <w:r>
              <w:rPr>
                <w:color w:val="201F1F"/>
                <w:sz w:val="24"/>
              </w:rPr>
              <w:t>be</w:t>
            </w:r>
            <w:r>
              <w:rPr>
                <w:color w:val="201F1F"/>
                <w:spacing w:val="-2"/>
                <w:sz w:val="24"/>
              </w:rPr>
              <w:t xml:space="preserve"> permitted.</w:t>
            </w:r>
          </w:p>
        </w:tc>
      </w:tr>
      <w:tr w:rsidR="00BB77C0" w14:paraId="5E6ADEF6" w14:textId="77777777">
        <w:trPr>
          <w:trHeight w:val="757"/>
        </w:trPr>
        <w:tc>
          <w:tcPr>
            <w:tcW w:w="1647" w:type="dxa"/>
          </w:tcPr>
          <w:p w14:paraId="0B818698" w14:textId="77777777" w:rsidR="00BB77C0" w:rsidRDefault="00370BAA">
            <w:pPr>
              <w:pStyle w:val="TableParagraph"/>
              <w:spacing w:line="263" w:lineRule="exact"/>
              <w:ind w:left="138"/>
              <w:rPr>
                <w:sz w:val="24"/>
              </w:rPr>
            </w:pPr>
            <w:r>
              <w:rPr>
                <w:w w:val="110"/>
                <w:sz w:val="24"/>
              </w:rPr>
              <w:t>ITT</w:t>
            </w:r>
            <w:r>
              <w:rPr>
                <w:spacing w:val="-3"/>
                <w:w w:val="110"/>
                <w:sz w:val="24"/>
              </w:rPr>
              <w:t xml:space="preserve"> </w:t>
            </w:r>
            <w:r>
              <w:rPr>
                <w:spacing w:val="-4"/>
                <w:w w:val="110"/>
                <w:sz w:val="24"/>
              </w:rPr>
              <w:t>16.5</w:t>
            </w:r>
          </w:p>
        </w:tc>
        <w:tc>
          <w:tcPr>
            <w:tcW w:w="8087" w:type="dxa"/>
          </w:tcPr>
          <w:p w14:paraId="03152CF8" w14:textId="77777777" w:rsidR="00BB77C0" w:rsidRDefault="00370BAA">
            <w:pPr>
              <w:pStyle w:val="TableParagraph"/>
              <w:spacing w:line="253" w:lineRule="exact"/>
              <w:ind w:left="133"/>
              <w:rPr>
                <w:sz w:val="24"/>
              </w:rPr>
            </w:pPr>
            <w:r>
              <w:rPr>
                <w:color w:val="201F1F"/>
                <w:sz w:val="24"/>
              </w:rPr>
              <w:t>The</w:t>
            </w:r>
            <w:r>
              <w:rPr>
                <w:color w:val="201F1F"/>
                <w:spacing w:val="-5"/>
                <w:sz w:val="24"/>
              </w:rPr>
              <w:t xml:space="preserve"> </w:t>
            </w:r>
            <w:r>
              <w:rPr>
                <w:color w:val="201F1F"/>
                <w:sz w:val="24"/>
              </w:rPr>
              <w:t>prices</w:t>
            </w:r>
            <w:r>
              <w:rPr>
                <w:color w:val="201F1F"/>
                <w:spacing w:val="-2"/>
                <w:sz w:val="24"/>
              </w:rPr>
              <w:t xml:space="preserve"> </w:t>
            </w:r>
            <w:r>
              <w:rPr>
                <w:color w:val="201F1F"/>
                <w:sz w:val="24"/>
              </w:rPr>
              <w:t>quoted</w:t>
            </w:r>
            <w:r>
              <w:rPr>
                <w:color w:val="201F1F"/>
                <w:spacing w:val="-4"/>
                <w:sz w:val="24"/>
              </w:rPr>
              <w:t xml:space="preserve"> </w:t>
            </w:r>
            <w:r>
              <w:rPr>
                <w:color w:val="201F1F"/>
                <w:sz w:val="24"/>
              </w:rPr>
              <w:t>by</w:t>
            </w:r>
            <w:r>
              <w:rPr>
                <w:color w:val="201F1F"/>
                <w:spacing w:val="-9"/>
                <w:sz w:val="24"/>
              </w:rPr>
              <w:t xml:space="preserve"> </w:t>
            </w:r>
            <w:r>
              <w:rPr>
                <w:color w:val="201F1F"/>
                <w:sz w:val="24"/>
              </w:rPr>
              <w:t>the</w:t>
            </w:r>
            <w:r>
              <w:rPr>
                <w:color w:val="201F1F"/>
                <w:spacing w:val="-1"/>
                <w:sz w:val="24"/>
              </w:rPr>
              <w:t xml:space="preserve"> </w:t>
            </w:r>
            <w:r>
              <w:rPr>
                <w:color w:val="201F1F"/>
                <w:sz w:val="24"/>
              </w:rPr>
              <w:t>Tenderer</w:t>
            </w:r>
            <w:r>
              <w:rPr>
                <w:color w:val="201F1F"/>
                <w:spacing w:val="3"/>
                <w:sz w:val="24"/>
              </w:rPr>
              <w:t xml:space="preserve"> </w:t>
            </w:r>
            <w:r>
              <w:rPr>
                <w:color w:val="201F1F"/>
                <w:sz w:val="24"/>
              </w:rPr>
              <w:t>shall</w:t>
            </w:r>
            <w:r>
              <w:rPr>
                <w:color w:val="201F1F"/>
                <w:spacing w:val="-3"/>
                <w:sz w:val="24"/>
              </w:rPr>
              <w:t xml:space="preserve"> </w:t>
            </w:r>
            <w:r>
              <w:rPr>
                <w:color w:val="201F1F"/>
                <w:sz w:val="24"/>
              </w:rPr>
              <w:t>be:</w:t>
            </w:r>
            <w:r>
              <w:rPr>
                <w:color w:val="201F1F"/>
                <w:spacing w:val="1"/>
                <w:sz w:val="24"/>
              </w:rPr>
              <w:t xml:space="preserve"> </w:t>
            </w:r>
            <w:r>
              <w:rPr>
                <w:color w:val="201F1F"/>
                <w:spacing w:val="-4"/>
                <w:sz w:val="24"/>
              </w:rPr>
              <w:t>FIXED</w:t>
            </w:r>
          </w:p>
        </w:tc>
      </w:tr>
      <w:tr w:rsidR="00BB77C0" w14:paraId="7A073BE4" w14:textId="77777777">
        <w:trPr>
          <w:trHeight w:val="987"/>
        </w:trPr>
        <w:tc>
          <w:tcPr>
            <w:tcW w:w="1647" w:type="dxa"/>
          </w:tcPr>
          <w:p w14:paraId="44F87E67" w14:textId="77777777" w:rsidR="00BB77C0" w:rsidRDefault="00370BAA">
            <w:pPr>
              <w:pStyle w:val="TableParagraph"/>
              <w:spacing w:line="268" w:lineRule="exact"/>
              <w:ind w:left="138"/>
              <w:rPr>
                <w:sz w:val="24"/>
              </w:rPr>
            </w:pPr>
            <w:r>
              <w:rPr>
                <w:w w:val="110"/>
                <w:sz w:val="24"/>
              </w:rPr>
              <w:t>ITT</w:t>
            </w:r>
            <w:r>
              <w:rPr>
                <w:spacing w:val="-3"/>
                <w:w w:val="110"/>
                <w:sz w:val="24"/>
              </w:rPr>
              <w:t xml:space="preserve"> </w:t>
            </w:r>
            <w:r>
              <w:rPr>
                <w:spacing w:val="-4"/>
                <w:w w:val="110"/>
                <w:sz w:val="24"/>
              </w:rPr>
              <w:t>17.1</w:t>
            </w:r>
          </w:p>
        </w:tc>
        <w:tc>
          <w:tcPr>
            <w:tcW w:w="8087" w:type="dxa"/>
          </w:tcPr>
          <w:p w14:paraId="0C1609A4" w14:textId="77777777" w:rsidR="00BB77C0" w:rsidRDefault="00370BAA">
            <w:pPr>
              <w:pStyle w:val="TableParagraph"/>
              <w:spacing w:line="216" w:lineRule="auto"/>
              <w:ind w:left="133" w:right="314"/>
              <w:rPr>
                <w:sz w:val="24"/>
              </w:rPr>
            </w:pPr>
            <w:r>
              <w:rPr>
                <w:color w:val="201F1F"/>
                <w:sz w:val="24"/>
              </w:rPr>
              <w:t>The</w:t>
            </w:r>
            <w:r>
              <w:rPr>
                <w:color w:val="201F1F"/>
                <w:spacing w:val="-10"/>
                <w:sz w:val="24"/>
              </w:rPr>
              <w:t xml:space="preserve"> </w:t>
            </w:r>
            <w:r>
              <w:rPr>
                <w:color w:val="201F1F"/>
                <w:sz w:val="24"/>
              </w:rPr>
              <w:t>currency(ies)</w:t>
            </w:r>
            <w:r>
              <w:rPr>
                <w:color w:val="201F1F"/>
                <w:spacing w:val="-6"/>
                <w:sz w:val="24"/>
              </w:rPr>
              <w:t xml:space="preserve"> </w:t>
            </w:r>
            <w:r>
              <w:rPr>
                <w:color w:val="201F1F"/>
                <w:sz w:val="24"/>
              </w:rPr>
              <w:t>of</w:t>
            </w:r>
            <w:r>
              <w:rPr>
                <w:color w:val="201F1F"/>
                <w:spacing w:val="-15"/>
                <w:sz w:val="24"/>
              </w:rPr>
              <w:t xml:space="preserve"> </w:t>
            </w:r>
            <w:r>
              <w:rPr>
                <w:color w:val="201F1F"/>
                <w:sz w:val="24"/>
              </w:rPr>
              <w:t>the</w:t>
            </w:r>
            <w:r>
              <w:rPr>
                <w:color w:val="201F1F"/>
                <w:spacing w:val="-10"/>
                <w:sz w:val="24"/>
              </w:rPr>
              <w:t xml:space="preserve"> </w:t>
            </w:r>
            <w:r>
              <w:rPr>
                <w:color w:val="201F1F"/>
                <w:sz w:val="24"/>
              </w:rPr>
              <w:t>Tender</w:t>
            </w:r>
            <w:r>
              <w:rPr>
                <w:color w:val="201F1F"/>
                <w:spacing w:val="-6"/>
                <w:sz w:val="24"/>
              </w:rPr>
              <w:t xml:space="preserve"> </w:t>
            </w:r>
            <w:r>
              <w:rPr>
                <w:color w:val="201F1F"/>
                <w:sz w:val="24"/>
              </w:rPr>
              <w:t>and</w:t>
            </w:r>
            <w:r>
              <w:rPr>
                <w:color w:val="201F1F"/>
                <w:spacing w:val="-9"/>
                <w:sz w:val="24"/>
              </w:rPr>
              <w:t xml:space="preserve"> </w:t>
            </w:r>
            <w:r>
              <w:rPr>
                <w:color w:val="201F1F"/>
                <w:sz w:val="24"/>
              </w:rPr>
              <w:t>the</w:t>
            </w:r>
            <w:r>
              <w:rPr>
                <w:color w:val="201F1F"/>
                <w:spacing w:val="-9"/>
                <w:sz w:val="24"/>
              </w:rPr>
              <w:t xml:space="preserve"> </w:t>
            </w:r>
            <w:r>
              <w:rPr>
                <w:color w:val="201F1F"/>
                <w:sz w:val="24"/>
              </w:rPr>
              <w:t>payment currency(ies)</w:t>
            </w:r>
            <w:r>
              <w:rPr>
                <w:color w:val="201F1F"/>
                <w:spacing w:val="-5"/>
                <w:sz w:val="24"/>
              </w:rPr>
              <w:t xml:space="preserve"> </w:t>
            </w:r>
            <w:r>
              <w:rPr>
                <w:color w:val="201F1F"/>
                <w:sz w:val="24"/>
              </w:rPr>
              <w:t>shall</w:t>
            </w:r>
            <w:r>
              <w:rPr>
                <w:color w:val="201F1F"/>
                <w:spacing w:val="-8"/>
                <w:sz w:val="24"/>
              </w:rPr>
              <w:t xml:space="preserve"> </w:t>
            </w:r>
            <w:r>
              <w:rPr>
                <w:color w:val="201F1F"/>
                <w:sz w:val="24"/>
              </w:rPr>
              <w:t>be</w:t>
            </w:r>
            <w:r>
              <w:rPr>
                <w:color w:val="201F1F"/>
                <w:spacing w:val="-10"/>
                <w:sz w:val="24"/>
              </w:rPr>
              <w:t xml:space="preserve"> </w:t>
            </w:r>
            <w:r>
              <w:rPr>
                <w:color w:val="201F1F"/>
                <w:sz w:val="24"/>
              </w:rPr>
              <w:t>as described below:</w:t>
            </w:r>
          </w:p>
          <w:p w14:paraId="447C9259" w14:textId="77777777" w:rsidR="00BB77C0" w:rsidRDefault="00370BAA">
            <w:pPr>
              <w:pStyle w:val="TableParagraph"/>
              <w:spacing w:line="236" w:lineRule="exact"/>
              <w:ind w:left="133" w:right="314"/>
              <w:rPr>
                <w:sz w:val="24"/>
              </w:rPr>
            </w:pPr>
            <w:r>
              <w:rPr>
                <w:color w:val="201F1F"/>
                <w:sz w:val="24"/>
              </w:rPr>
              <w:t>(a)</w:t>
            </w:r>
            <w:r>
              <w:rPr>
                <w:color w:val="201F1F"/>
                <w:spacing w:val="-5"/>
                <w:sz w:val="24"/>
              </w:rPr>
              <w:t xml:space="preserve"> </w:t>
            </w:r>
            <w:r>
              <w:rPr>
                <w:color w:val="201F1F"/>
                <w:sz w:val="24"/>
              </w:rPr>
              <w:t>The</w:t>
            </w:r>
            <w:r>
              <w:rPr>
                <w:color w:val="201F1F"/>
                <w:spacing w:val="-3"/>
                <w:sz w:val="24"/>
              </w:rPr>
              <w:t xml:space="preserve"> </w:t>
            </w:r>
            <w:r>
              <w:rPr>
                <w:color w:val="201F1F"/>
                <w:sz w:val="24"/>
              </w:rPr>
              <w:t>unit rates</w:t>
            </w:r>
            <w:r>
              <w:rPr>
                <w:color w:val="201F1F"/>
                <w:spacing w:val="-3"/>
                <w:sz w:val="24"/>
              </w:rPr>
              <w:t xml:space="preserve"> </w:t>
            </w:r>
            <w:r>
              <w:rPr>
                <w:color w:val="201F1F"/>
                <w:sz w:val="24"/>
              </w:rPr>
              <w:t>and</w:t>
            </w:r>
            <w:r>
              <w:rPr>
                <w:color w:val="201F1F"/>
                <w:spacing w:val="-7"/>
                <w:sz w:val="24"/>
              </w:rPr>
              <w:t xml:space="preserve"> </w:t>
            </w:r>
            <w:r>
              <w:rPr>
                <w:color w:val="201F1F"/>
                <w:sz w:val="24"/>
              </w:rPr>
              <w:t>the</w:t>
            </w:r>
            <w:r>
              <w:rPr>
                <w:color w:val="201F1F"/>
                <w:spacing w:val="-3"/>
                <w:sz w:val="24"/>
              </w:rPr>
              <w:t xml:space="preserve"> </w:t>
            </w:r>
            <w:r>
              <w:rPr>
                <w:color w:val="201F1F"/>
                <w:sz w:val="24"/>
              </w:rPr>
              <w:t>prices</w:t>
            </w:r>
            <w:r>
              <w:rPr>
                <w:color w:val="201F1F"/>
                <w:spacing w:val="-4"/>
                <w:sz w:val="24"/>
              </w:rPr>
              <w:t xml:space="preserve"> </w:t>
            </w:r>
            <w:r>
              <w:rPr>
                <w:color w:val="201F1F"/>
                <w:sz w:val="24"/>
              </w:rPr>
              <w:t>shall</w:t>
            </w:r>
            <w:r>
              <w:rPr>
                <w:color w:val="201F1F"/>
                <w:spacing w:val="-5"/>
                <w:sz w:val="24"/>
              </w:rPr>
              <w:t xml:space="preserve"> </w:t>
            </w:r>
            <w:r>
              <w:rPr>
                <w:color w:val="201F1F"/>
                <w:sz w:val="24"/>
              </w:rPr>
              <w:t>be</w:t>
            </w:r>
            <w:r>
              <w:rPr>
                <w:color w:val="201F1F"/>
                <w:spacing w:val="-3"/>
                <w:sz w:val="24"/>
              </w:rPr>
              <w:t xml:space="preserve"> </w:t>
            </w:r>
            <w:r>
              <w:rPr>
                <w:color w:val="201F1F"/>
                <w:sz w:val="24"/>
              </w:rPr>
              <w:t>quoted</w:t>
            </w:r>
            <w:r>
              <w:rPr>
                <w:color w:val="201F1F"/>
                <w:spacing w:val="-2"/>
                <w:sz w:val="24"/>
              </w:rPr>
              <w:t xml:space="preserve"> </w:t>
            </w:r>
            <w:r>
              <w:rPr>
                <w:color w:val="201F1F"/>
                <w:sz w:val="24"/>
              </w:rPr>
              <w:t>by</w:t>
            </w:r>
            <w:r>
              <w:rPr>
                <w:color w:val="201F1F"/>
                <w:spacing w:val="-7"/>
                <w:sz w:val="24"/>
              </w:rPr>
              <w:t xml:space="preserve"> </w:t>
            </w:r>
            <w:r>
              <w:rPr>
                <w:color w:val="201F1F"/>
                <w:sz w:val="24"/>
              </w:rPr>
              <w:t>the</w:t>
            </w:r>
            <w:r>
              <w:rPr>
                <w:color w:val="201F1F"/>
                <w:spacing w:val="-2"/>
                <w:sz w:val="24"/>
              </w:rPr>
              <w:t xml:space="preserve"> </w:t>
            </w:r>
            <w:r>
              <w:rPr>
                <w:color w:val="201F1F"/>
                <w:sz w:val="24"/>
              </w:rPr>
              <w:t>Tenderer in</w:t>
            </w:r>
            <w:r>
              <w:rPr>
                <w:color w:val="201F1F"/>
                <w:spacing w:val="-7"/>
                <w:sz w:val="24"/>
              </w:rPr>
              <w:t xml:space="preserve"> </w:t>
            </w:r>
            <w:r>
              <w:rPr>
                <w:color w:val="201F1F"/>
                <w:sz w:val="24"/>
              </w:rPr>
              <w:t>the</w:t>
            </w:r>
            <w:r>
              <w:rPr>
                <w:color w:val="201F1F"/>
                <w:spacing w:val="-3"/>
                <w:sz w:val="24"/>
              </w:rPr>
              <w:t xml:space="preserve"> </w:t>
            </w:r>
            <w:r>
              <w:rPr>
                <w:color w:val="201F1F"/>
                <w:sz w:val="24"/>
              </w:rPr>
              <w:t>Bill</w:t>
            </w:r>
            <w:r>
              <w:rPr>
                <w:color w:val="201F1F"/>
                <w:spacing w:val="-10"/>
                <w:sz w:val="24"/>
              </w:rPr>
              <w:t xml:space="preserve"> </w:t>
            </w:r>
            <w:r>
              <w:rPr>
                <w:color w:val="201F1F"/>
                <w:sz w:val="24"/>
              </w:rPr>
              <w:t>of Quantities, entirely in Kenya Shillings.</w:t>
            </w:r>
          </w:p>
        </w:tc>
      </w:tr>
      <w:tr w:rsidR="00BB77C0" w14:paraId="2BE5D2FF" w14:textId="77777777">
        <w:trPr>
          <w:trHeight w:val="762"/>
        </w:trPr>
        <w:tc>
          <w:tcPr>
            <w:tcW w:w="1647" w:type="dxa"/>
          </w:tcPr>
          <w:p w14:paraId="029198B0" w14:textId="77777777" w:rsidR="00BB77C0" w:rsidRDefault="00370BAA">
            <w:pPr>
              <w:pStyle w:val="TableParagraph"/>
              <w:spacing w:line="263" w:lineRule="exact"/>
              <w:ind w:left="138"/>
              <w:rPr>
                <w:sz w:val="24"/>
              </w:rPr>
            </w:pPr>
            <w:r>
              <w:rPr>
                <w:w w:val="110"/>
                <w:sz w:val="24"/>
              </w:rPr>
              <w:t>ITT</w:t>
            </w:r>
            <w:r>
              <w:rPr>
                <w:spacing w:val="-3"/>
                <w:w w:val="110"/>
                <w:sz w:val="24"/>
              </w:rPr>
              <w:t xml:space="preserve"> </w:t>
            </w:r>
            <w:r>
              <w:rPr>
                <w:spacing w:val="-4"/>
                <w:w w:val="110"/>
                <w:sz w:val="24"/>
              </w:rPr>
              <w:t>20.1</w:t>
            </w:r>
          </w:p>
        </w:tc>
        <w:tc>
          <w:tcPr>
            <w:tcW w:w="8087" w:type="dxa"/>
          </w:tcPr>
          <w:p w14:paraId="269B38FC" w14:textId="77777777" w:rsidR="00BB77C0" w:rsidRDefault="00370BAA">
            <w:pPr>
              <w:pStyle w:val="TableParagraph"/>
              <w:spacing w:line="253" w:lineRule="exact"/>
              <w:ind w:left="133"/>
              <w:rPr>
                <w:sz w:val="24"/>
              </w:rPr>
            </w:pPr>
            <w:r>
              <w:rPr>
                <w:color w:val="201F1F"/>
                <w:sz w:val="24"/>
              </w:rPr>
              <w:t>The</w:t>
            </w:r>
            <w:r>
              <w:rPr>
                <w:color w:val="201F1F"/>
                <w:spacing w:val="-6"/>
                <w:sz w:val="24"/>
              </w:rPr>
              <w:t xml:space="preserve"> </w:t>
            </w:r>
            <w:r>
              <w:rPr>
                <w:color w:val="201F1F"/>
                <w:sz w:val="24"/>
              </w:rPr>
              <w:t>Tender</w:t>
            </w:r>
            <w:r>
              <w:rPr>
                <w:color w:val="201F1F"/>
                <w:spacing w:val="1"/>
                <w:sz w:val="24"/>
              </w:rPr>
              <w:t xml:space="preserve"> </w:t>
            </w:r>
            <w:r>
              <w:rPr>
                <w:color w:val="201F1F"/>
                <w:sz w:val="24"/>
              </w:rPr>
              <w:t>validity</w:t>
            </w:r>
            <w:r>
              <w:rPr>
                <w:color w:val="201F1F"/>
                <w:spacing w:val="-10"/>
                <w:sz w:val="24"/>
              </w:rPr>
              <w:t xml:space="preserve"> </w:t>
            </w:r>
            <w:r>
              <w:rPr>
                <w:color w:val="201F1F"/>
                <w:sz w:val="24"/>
              </w:rPr>
              <w:t>period</w:t>
            </w:r>
            <w:r>
              <w:rPr>
                <w:color w:val="201F1F"/>
                <w:spacing w:val="2"/>
                <w:sz w:val="24"/>
              </w:rPr>
              <w:t xml:space="preserve"> </w:t>
            </w:r>
            <w:r>
              <w:rPr>
                <w:color w:val="201F1F"/>
                <w:sz w:val="24"/>
              </w:rPr>
              <w:t>shall</w:t>
            </w:r>
            <w:r>
              <w:rPr>
                <w:color w:val="201F1F"/>
                <w:spacing w:val="-5"/>
                <w:sz w:val="24"/>
              </w:rPr>
              <w:t xml:space="preserve"> </w:t>
            </w:r>
            <w:r>
              <w:rPr>
                <w:color w:val="201F1F"/>
                <w:sz w:val="24"/>
              </w:rPr>
              <w:t>be</w:t>
            </w:r>
            <w:r>
              <w:rPr>
                <w:color w:val="201F1F"/>
                <w:spacing w:val="-1"/>
                <w:sz w:val="24"/>
              </w:rPr>
              <w:t xml:space="preserve"> </w:t>
            </w:r>
            <w:r>
              <w:rPr>
                <w:color w:val="201F1F"/>
                <w:sz w:val="24"/>
              </w:rPr>
              <w:t xml:space="preserve">120 </w:t>
            </w:r>
            <w:r>
              <w:rPr>
                <w:color w:val="201F1F"/>
                <w:spacing w:val="-4"/>
                <w:sz w:val="24"/>
              </w:rPr>
              <w:t>days.</w:t>
            </w:r>
          </w:p>
        </w:tc>
      </w:tr>
      <w:tr w:rsidR="00BB77C0" w14:paraId="12968DE7" w14:textId="77777777">
        <w:trPr>
          <w:trHeight w:val="757"/>
        </w:trPr>
        <w:tc>
          <w:tcPr>
            <w:tcW w:w="1647" w:type="dxa"/>
          </w:tcPr>
          <w:p w14:paraId="2ADC5B00" w14:textId="77777777" w:rsidR="00BB77C0" w:rsidRDefault="00370BAA">
            <w:pPr>
              <w:pStyle w:val="TableParagraph"/>
              <w:spacing w:line="263" w:lineRule="exact"/>
              <w:ind w:left="138"/>
              <w:rPr>
                <w:sz w:val="24"/>
              </w:rPr>
            </w:pPr>
            <w:r>
              <w:rPr>
                <w:w w:val="110"/>
                <w:sz w:val="24"/>
              </w:rPr>
              <w:t>ITT</w:t>
            </w:r>
            <w:r>
              <w:rPr>
                <w:spacing w:val="-3"/>
                <w:w w:val="110"/>
                <w:sz w:val="24"/>
              </w:rPr>
              <w:t xml:space="preserve"> </w:t>
            </w:r>
            <w:r>
              <w:rPr>
                <w:spacing w:val="-4"/>
                <w:w w:val="110"/>
                <w:sz w:val="24"/>
              </w:rPr>
              <w:t>21.1</w:t>
            </w:r>
          </w:p>
        </w:tc>
        <w:tc>
          <w:tcPr>
            <w:tcW w:w="8087" w:type="dxa"/>
          </w:tcPr>
          <w:p w14:paraId="629BEB16" w14:textId="77777777" w:rsidR="00BB77C0" w:rsidRDefault="00370BAA">
            <w:pPr>
              <w:pStyle w:val="TableParagraph"/>
              <w:spacing w:line="253" w:lineRule="exact"/>
              <w:ind w:left="133"/>
              <w:rPr>
                <w:sz w:val="24"/>
              </w:rPr>
            </w:pPr>
            <w:r>
              <w:rPr>
                <w:color w:val="201F1F"/>
                <w:sz w:val="24"/>
              </w:rPr>
              <w:t>A</w:t>
            </w:r>
            <w:r>
              <w:rPr>
                <w:color w:val="201F1F"/>
                <w:spacing w:val="-14"/>
                <w:sz w:val="24"/>
              </w:rPr>
              <w:t xml:space="preserve"> </w:t>
            </w:r>
            <w:r>
              <w:rPr>
                <w:color w:val="201F1F"/>
                <w:sz w:val="24"/>
              </w:rPr>
              <w:t>Tender-Securing</w:t>
            </w:r>
            <w:r>
              <w:rPr>
                <w:color w:val="201F1F"/>
                <w:spacing w:val="-1"/>
                <w:sz w:val="24"/>
              </w:rPr>
              <w:t xml:space="preserve"> </w:t>
            </w:r>
            <w:r>
              <w:rPr>
                <w:color w:val="201F1F"/>
                <w:sz w:val="24"/>
              </w:rPr>
              <w:t>Declaration</w:t>
            </w:r>
            <w:r>
              <w:rPr>
                <w:color w:val="201F1F"/>
                <w:spacing w:val="-4"/>
                <w:sz w:val="24"/>
              </w:rPr>
              <w:t xml:space="preserve"> </w:t>
            </w:r>
            <w:r>
              <w:rPr>
                <w:color w:val="201F1F"/>
                <w:sz w:val="24"/>
              </w:rPr>
              <w:t>SHALL</w:t>
            </w:r>
            <w:r>
              <w:rPr>
                <w:color w:val="201F1F"/>
                <w:spacing w:val="-9"/>
                <w:sz w:val="24"/>
              </w:rPr>
              <w:t xml:space="preserve"> </w:t>
            </w:r>
            <w:r>
              <w:rPr>
                <w:color w:val="201F1F"/>
                <w:sz w:val="24"/>
              </w:rPr>
              <w:t>BE</w:t>
            </w:r>
            <w:r>
              <w:rPr>
                <w:color w:val="201F1F"/>
                <w:spacing w:val="-4"/>
                <w:sz w:val="24"/>
              </w:rPr>
              <w:t xml:space="preserve"> </w:t>
            </w:r>
            <w:r>
              <w:rPr>
                <w:color w:val="201F1F"/>
                <w:spacing w:val="-2"/>
                <w:sz w:val="24"/>
              </w:rPr>
              <w:t>required.</w:t>
            </w:r>
          </w:p>
        </w:tc>
      </w:tr>
      <w:tr w:rsidR="00BB77C0" w14:paraId="5185244B" w14:textId="77777777">
        <w:trPr>
          <w:trHeight w:val="762"/>
        </w:trPr>
        <w:tc>
          <w:tcPr>
            <w:tcW w:w="1647" w:type="dxa"/>
          </w:tcPr>
          <w:p w14:paraId="34CE8167" w14:textId="77777777" w:rsidR="00BB77C0" w:rsidRDefault="00370BAA">
            <w:pPr>
              <w:pStyle w:val="TableParagraph"/>
              <w:spacing w:line="263" w:lineRule="exact"/>
              <w:ind w:left="138"/>
              <w:rPr>
                <w:sz w:val="24"/>
              </w:rPr>
            </w:pPr>
            <w:r>
              <w:rPr>
                <w:w w:val="110"/>
                <w:sz w:val="24"/>
              </w:rPr>
              <w:t>ITT</w:t>
            </w:r>
            <w:r>
              <w:rPr>
                <w:spacing w:val="-1"/>
                <w:w w:val="110"/>
                <w:sz w:val="24"/>
              </w:rPr>
              <w:t xml:space="preserve"> </w:t>
            </w:r>
            <w:r>
              <w:rPr>
                <w:w w:val="110"/>
                <w:sz w:val="24"/>
              </w:rPr>
              <w:t>21.2</w:t>
            </w:r>
            <w:r>
              <w:rPr>
                <w:spacing w:val="-3"/>
                <w:w w:val="110"/>
                <w:sz w:val="24"/>
              </w:rPr>
              <w:t xml:space="preserve"> </w:t>
            </w:r>
            <w:r>
              <w:rPr>
                <w:spacing w:val="-5"/>
                <w:w w:val="110"/>
                <w:sz w:val="24"/>
              </w:rPr>
              <w:t>(d)</w:t>
            </w:r>
          </w:p>
        </w:tc>
        <w:tc>
          <w:tcPr>
            <w:tcW w:w="8087" w:type="dxa"/>
          </w:tcPr>
          <w:p w14:paraId="714725E1" w14:textId="77777777" w:rsidR="00BB77C0" w:rsidRDefault="00370BAA">
            <w:pPr>
              <w:pStyle w:val="TableParagraph"/>
              <w:spacing w:line="253" w:lineRule="exact"/>
              <w:ind w:left="133"/>
              <w:rPr>
                <w:sz w:val="24"/>
              </w:rPr>
            </w:pPr>
            <w:r>
              <w:rPr>
                <w:color w:val="201F1F"/>
                <w:sz w:val="24"/>
              </w:rPr>
              <w:t>The</w:t>
            </w:r>
            <w:r>
              <w:rPr>
                <w:color w:val="201F1F"/>
                <w:spacing w:val="-1"/>
                <w:sz w:val="24"/>
              </w:rPr>
              <w:t xml:space="preserve"> </w:t>
            </w:r>
            <w:r>
              <w:rPr>
                <w:color w:val="201F1F"/>
                <w:sz w:val="24"/>
              </w:rPr>
              <w:t>other</w:t>
            </w:r>
            <w:r>
              <w:rPr>
                <w:color w:val="201F1F"/>
                <w:spacing w:val="-3"/>
                <w:sz w:val="24"/>
              </w:rPr>
              <w:t xml:space="preserve"> </w:t>
            </w:r>
            <w:r>
              <w:rPr>
                <w:color w:val="201F1F"/>
                <w:sz w:val="24"/>
              </w:rPr>
              <w:t>Tender</w:t>
            </w:r>
            <w:r>
              <w:rPr>
                <w:color w:val="201F1F"/>
                <w:spacing w:val="2"/>
                <w:sz w:val="24"/>
              </w:rPr>
              <w:t xml:space="preserve"> </w:t>
            </w:r>
            <w:r>
              <w:rPr>
                <w:color w:val="201F1F"/>
                <w:sz w:val="24"/>
              </w:rPr>
              <w:t>Security</w:t>
            </w:r>
            <w:r>
              <w:rPr>
                <w:color w:val="201F1F"/>
                <w:spacing w:val="-8"/>
                <w:sz w:val="24"/>
              </w:rPr>
              <w:t xml:space="preserve"> </w:t>
            </w:r>
            <w:r>
              <w:rPr>
                <w:color w:val="201F1F"/>
                <w:sz w:val="24"/>
              </w:rPr>
              <w:t>shall</w:t>
            </w:r>
            <w:r>
              <w:rPr>
                <w:color w:val="201F1F"/>
                <w:spacing w:val="-8"/>
                <w:sz w:val="24"/>
              </w:rPr>
              <w:t xml:space="preserve"> </w:t>
            </w:r>
            <w:r>
              <w:rPr>
                <w:color w:val="201F1F"/>
                <w:sz w:val="24"/>
              </w:rPr>
              <w:t>NOT</w:t>
            </w:r>
            <w:r>
              <w:rPr>
                <w:color w:val="201F1F"/>
                <w:spacing w:val="1"/>
                <w:sz w:val="24"/>
              </w:rPr>
              <w:t xml:space="preserve"> </w:t>
            </w:r>
            <w:r>
              <w:rPr>
                <w:color w:val="201F1F"/>
                <w:sz w:val="24"/>
              </w:rPr>
              <w:t>BE</w:t>
            </w:r>
            <w:r>
              <w:rPr>
                <w:color w:val="201F1F"/>
                <w:spacing w:val="3"/>
                <w:sz w:val="24"/>
              </w:rPr>
              <w:t xml:space="preserve"> </w:t>
            </w:r>
            <w:r>
              <w:rPr>
                <w:color w:val="201F1F"/>
                <w:spacing w:val="-2"/>
                <w:sz w:val="24"/>
              </w:rPr>
              <w:t>APPLICABLE</w:t>
            </w:r>
          </w:p>
        </w:tc>
      </w:tr>
      <w:tr w:rsidR="00BB77C0" w14:paraId="22314DA1" w14:textId="77777777">
        <w:trPr>
          <w:trHeight w:val="762"/>
        </w:trPr>
        <w:tc>
          <w:tcPr>
            <w:tcW w:w="1647" w:type="dxa"/>
          </w:tcPr>
          <w:p w14:paraId="7BCE3F50" w14:textId="77777777" w:rsidR="00BB77C0" w:rsidRDefault="00370BAA">
            <w:pPr>
              <w:pStyle w:val="TableParagraph"/>
              <w:spacing w:line="263" w:lineRule="exact"/>
              <w:ind w:left="138"/>
              <w:rPr>
                <w:sz w:val="24"/>
              </w:rPr>
            </w:pPr>
            <w:r>
              <w:rPr>
                <w:w w:val="110"/>
                <w:sz w:val="24"/>
              </w:rPr>
              <w:t>ITT</w:t>
            </w:r>
            <w:r>
              <w:rPr>
                <w:spacing w:val="-3"/>
                <w:w w:val="110"/>
                <w:sz w:val="24"/>
              </w:rPr>
              <w:t xml:space="preserve"> </w:t>
            </w:r>
            <w:r>
              <w:rPr>
                <w:spacing w:val="-4"/>
                <w:w w:val="110"/>
                <w:sz w:val="24"/>
              </w:rPr>
              <w:t>21.5</w:t>
            </w:r>
          </w:p>
        </w:tc>
        <w:tc>
          <w:tcPr>
            <w:tcW w:w="8087" w:type="dxa"/>
          </w:tcPr>
          <w:p w14:paraId="325FD9BF" w14:textId="77777777" w:rsidR="00BB77C0" w:rsidRDefault="00370BAA">
            <w:pPr>
              <w:pStyle w:val="TableParagraph"/>
              <w:spacing w:line="213" w:lineRule="auto"/>
              <w:ind w:left="133" w:right="314"/>
              <w:rPr>
                <w:sz w:val="24"/>
              </w:rPr>
            </w:pPr>
            <w:r>
              <w:rPr>
                <w:color w:val="201F1F"/>
                <w:sz w:val="24"/>
              </w:rPr>
              <w:t>On</w:t>
            </w:r>
            <w:r>
              <w:rPr>
                <w:color w:val="201F1F"/>
                <w:spacing w:val="-13"/>
                <w:sz w:val="24"/>
              </w:rPr>
              <w:t xml:space="preserve"> </w:t>
            </w:r>
            <w:r>
              <w:rPr>
                <w:color w:val="201F1F"/>
                <w:sz w:val="24"/>
              </w:rPr>
              <w:t>the</w:t>
            </w:r>
            <w:r>
              <w:rPr>
                <w:color w:val="201F1F"/>
                <w:spacing w:val="-10"/>
                <w:sz w:val="24"/>
              </w:rPr>
              <w:t xml:space="preserve"> </w:t>
            </w:r>
            <w:r>
              <w:rPr>
                <w:color w:val="201F1F"/>
                <w:sz w:val="24"/>
              </w:rPr>
              <w:t>Performance</w:t>
            </w:r>
            <w:r>
              <w:rPr>
                <w:color w:val="201F1F"/>
                <w:spacing w:val="-8"/>
                <w:sz w:val="24"/>
              </w:rPr>
              <w:t xml:space="preserve"> </w:t>
            </w:r>
            <w:r>
              <w:rPr>
                <w:color w:val="201F1F"/>
                <w:sz w:val="24"/>
              </w:rPr>
              <w:t>Security,</w:t>
            </w:r>
            <w:r>
              <w:rPr>
                <w:color w:val="201F1F"/>
                <w:spacing w:val="-6"/>
                <w:sz w:val="24"/>
              </w:rPr>
              <w:t xml:space="preserve"> </w:t>
            </w:r>
            <w:r>
              <w:rPr>
                <w:color w:val="201F1F"/>
                <w:sz w:val="24"/>
              </w:rPr>
              <w:t>other</w:t>
            </w:r>
            <w:r>
              <w:rPr>
                <w:color w:val="201F1F"/>
                <w:spacing w:val="-7"/>
                <w:sz w:val="24"/>
              </w:rPr>
              <w:t xml:space="preserve"> </w:t>
            </w:r>
            <w:r>
              <w:rPr>
                <w:color w:val="201F1F"/>
                <w:sz w:val="24"/>
              </w:rPr>
              <w:t>documents</w:t>
            </w:r>
            <w:r>
              <w:rPr>
                <w:color w:val="201F1F"/>
                <w:spacing w:val="-10"/>
                <w:sz w:val="24"/>
              </w:rPr>
              <w:t xml:space="preserve"> </w:t>
            </w:r>
            <w:r>
              <w:rPr>
                <w:color w:val="201F1F"/>
                <w:sz w:val="24"/>
              </w:rPr>
              <w:t>required</w:t>
            </w:r>
            <w:r>
              <w:rPr>
                <w:color w:val="201F1F"/>
                <w:spacing w:val="-7"/>
                <w:sz w:val="24"/>
              </w:rPr>
              <w:t xml:space="preserve"> </w:t>
            </w:r>
            <w:r>
              <w:rPr>
                <w:color w:val="201F1F"/>
                <w:sz w:val="24"/>
              </w:rPr>
              <w:t>shall</w:t>
            </w:r>
            <w:r>
              <w:rPr>
                <w:color w:val="201F1F"/>
                <w:spacing w:val="-12"/>
                <w:sz w:val="24"/>
              </w:rPr>
              <w:t xml:space="preserve"> </w:t>
            </w:r>
            <w:r>
              <w:rPr>
                <w:color w:val="201F1F"/>
                <w:sz w:val="24"/>
              </w:rPr>
              <w:t>be:</w:t>
            </w:r>
            <w:r>
              <w:rPr>
                <w:color w:val="201F1F"/>
                <w:spacing w:val="-8"/>
                <w:sz w:val="24"/>
              </w:rPr>
              <w:t xml:space="preserve"> </w:t>
            </w:r>
            <w:r>
              <w:rPr>
                <w:color w:val="201F1F"/>
                <w:sz w:val="24"/>
              </w:rPr>
              <w:t xml:space="preserve">NOT </w:t>
            </w:r>
            <w:r>
              <w:rPr>
                <w:color w:val="201F1F"/>
                <w:spacing w:val="-2"/>
                <w:sz w:val="24"/>
              </w:rPr>
              <w:t>APPLICABLE</w:t>
            </w:r>
          </w:p>
        </w:tc>
      </w:tr>
      <w:tr w:rsidR="00BB77C0" w14:paraId="1DAC911D" w14:textId="77777777">
        <w:trPr>
          <w:trHeight w:val="983"/>
        </w:trPr>
        <w:tc>
          <w:tcPr>
            <w:tcW w:w="1647" w:type="dxa"/>
          </w:tcPr>
          <w:p w14:paraId="587BD9C7" w14:textId="77777777" w:rsidR="00BB77C0" w:rsidRDefault="00370BAA">
            <w:pPr>
              <w:pStyle w:val="TableParagraph"/>
              <w:spacing w:line="263" w:lineRule="exact"/>
              <w:ind w:left="138"/>
              <w:rPr>
                <w:sz w:val="24"/>
              </w:rPr>
            </w:pPr>
            <w:r>
              <w:rPr>
                <w:w w:val="110"/>
                <w:sz w:val="24"/>
              </w:rPr>
              <w:t>ITT</w:t>
            </w:r>
            <w:r>
              <w:rPr>
                <w:spacing w:val="-3"/>
                <w:w w:val="110"/>
                <w:sz w:val="24"/>
              </w:rPr>
              <w:t xml:space="preserve"> </w:t>
            </w:r>
            <w:r>
              <w:rPr>
                <w:spacing w:val="-4"/>
                <w:w w:val="110"/>
                <w:sz w:val="24"/>
              </w:rPr>
              <w:t>22.1</w:t>
            </w:r>
          </w:p>
        </w:tc>
        <w:tc>
          <w:tcPr>
            <w:tcW w:w="8087" w:type="dxa"/>
          </w:tcPr>
          <w:p w14:paraId="225E7B4A" w14:textId="77777777" w:rsidR="00BB77C0" w:rsidRDefault="00370BAA">
            <w:pPr>
              <w:pStyle w:val="TableParagraph"/>
              <w:spacing w:before="236" w:line="213" w:lineRule="auto"/>
              <w:ind w:left="133"/>
              <w:rPr>
                <w:sz w:val="24"/>
              </w:rPr>
            </w:pPr>
            <w:r>
              <w:rPr>
                <w:color w:val="201F1F"/>
                <w:sz w:val="24"/>
              </w:rPr>
              <w:t>Manual</w:t>
            </w:r>
            <w:r>
              <w:rPr>
                <w:color w:val="201F1F"/>
                <w:spacing w:val="-9"/>
                <w:sz w:val="24"/>
              </w:rPr>
              <w:t xml:space="preserve"> </w:t>
            </w:r>
            <w:r>
              <w:rPr>
                <w:color w:val="201F1F"/>
                <w:sz w:val="24"/>
              </w:rPr>
              <w:t>submission</w:t>
            </w:r>
            <w:r>
              <w:rPr>
                <w:color w:val="201F1F"/>
                <w:spacing w:val="-9"/>
                <w:sz w:val="24"/>
              </w:rPr>
              <w:t xml:space="preserve"> </w:t>
            </w:r>
            <w:r>
              <w:rPr>
                <w:color w:val="201F1F"/>
                <w:sz w:val="24"/>
              </w:rPr>
              <w:t>of</w:t>
            </w:r>
            <w:r>
              <w:rPr>
                <w:color w:val="201F1F"/>
                <w:spacing w:val="-14"/>
                <w:sz w:val="24"/>
              </w:rPr>
              <w:t xml:space="preserve"> </w:t>
            </w:r>
            <w:r>
              <w:rPr>
                <w:color w:val="201F1F"/>
                <w:sz w:val="24"/>
              </w:rPr>
              <w:t>documents</w:t>
            </w:r>
            <w:r>
              <w:rPr>
                <w:color w:val="201F1F"/>
                <w:spacing w:val="-7"/>
                <w:sz w:val="24"/>
              </w:rPr>
              <w:t xml:space="preserve"> </w:t>
            </w:r>
            <w:r>
              <w:rPr>
                <w:color w:val="201F1F"/>
                <w:sz w:val="24"/>
              </w:rPr>
              <w:t>shall</w:t>
            </w:r>
            <w:r>
              <w:rPr>
                <w:color w:val="201F1F"/>
                <w:spacing w:val="-9"/>
                <w:sz w:val="24"/>
              </w:rPr>
              <w:t xml:space="preserve"> </w:t>
            </w:r>
            <w:r>
              <w:rPr>
                <w:color w:val="201F1F"/>
                <w:sz w:val="24"/>
              </w:rPr>
              <w:t>not</w:t>
            </w:r>
            <w:r>
              <w:rPr>
                <w:color w:val="201F1F"/>
                <w:spacing w:val="-1"/>
                <w:sz w:val="24"/>
              </w:rPr>
              <w:t xml:space="preserve"> </w:t>
            </w:r>
            <w:r>
              <w:rPr>
                <w:color w:val="201F1F"/>
                <w:sz w:val="24"/>
              </w:rPr>
              <w:t>be</w:t>
            </w:r>
            <w:r>
              <w:rPr>
                <w:color w:val="201F1F"/>
                <w:spacing w:val="-7"/>
                <w:sz w:val="24"/>
              </w:rPr>
              <w:t xml:space="preserve"> </w:t>
            </w:r>
            <w:r>
              <w:rPr>
                <w:color w:val="201F1F"/>
                <w:sz w:val="24"/>
              </w:rPr>
              <w:t>allowed.</w:t>
            </w:r>
            <w:r>
              <w:rPr>
                <w:color w:val="201F1F"/>
                <w:spacing w:val="-3"/>
                <w:sz w:val="24"/>
              </w:rPr>
              <w:t xml:space="preserve"> </w:t>
            </w:r>
            <w:r>
              <w:rPr>
                <w:color w:val="201F1F"/>
                <w:sz w:val="24"/>
              </w:rPr>
              <w:t>Submissions</w:t>
            </w:r>
            <w:r>
              <w:rPr>
                <w:color w:val="201F1F"/>
                <w:spacing w:val="-7"/>
                <w:sz w:val="24"/>
              </w:rPr>
              <w:t xml:space="preserve"> </w:t>
            </w:r>
            <w:r>
              <w:rPr>
                <w:color w:val="201F1F"/>
                <w:sz w:val="24"/>
              </w:rPr>
              <w:t>will</w:t>
            </w:r>
            <w:r>
              <w:rPr>
                <w:color w:val="201F1F"/>
                <w:spacing w:val="-14"/>
                <w:sz w:val="24"/>
              </w:rPr>
              <w:t xml:space="preserve"> </w:t>
            </w:r>
            <w:r>
              <w:rPr>
                <w:color w:val="201F1F"/>
                <w:sz w:val="24"/>
              </w:rPr>
              <w:t xml:space="preserve">through </w:t>
            </w:r>
            <w:r>
              <w:rPr>
                <w:color w:val="201F1F"/>
                <w:spacing w:val="-2"/>
                <w:sz w:val="24"/>
              </w:rPr>
              <w:t>IFMIS.</w:t>
            </w:r>
          </w:p>
        </w:tc>
      </w:tr>
      <w:tr w:rsidR="00BB77C0" w14:paraId="15AECAAE" w14:textId="77777777">
        <w:trPr>
          <w:trHeight w:val="757"/>
        </w:trPr>
        <w:tc>
          <w:tcPr>
            <w:tcW w:w="1647" w:type="dxa"/>
          </w:tcPr>
          <w:p w14:paraId="0047C71A" w14:textId="77777777" w:rsidR="00BB77C0" w:rsidRDefault="00370BAA">
            <w:pPr>
              <w:pStyle w:val="TableParagraph"/>
              <w:spacing w:line="263" w:lineRule="exact"/>
              <w:ind w:left="138"/>
              <w:rPr>
                <w:sz w:val="24"/>
              </w:rPr>
            </w:pPr>
            <w:r>
              <w:rPr>
                <w:w w:val="110"/>
                <w:sz w:val="24"/>
              </w:rPr>
              <w:t>ITT</w:t>
            </w:r>
            <w:r>
              <w:rPr>
                <w:spacing w:val="-3"/>
                <w:w w:val="110"/>
                <w:sz w:val="24"/>
              </w:rPr>
              <w:t xml:space="preserve"> </w:t>
            </w:r>
            <w:r>
              <w:rPr>
                <w:spacing w:val="-4"/>
                <w:w w:val="110"/>
                <w:sz w:val="24"/>
              </w:rPr>
              <w:t>22.2</w:t>
            </w:r>
          </w:p>
        </w:tc>
        <w:tc>
          <w:tcPr>
            <w:tcW w:w="8087" w:type="dxa"/>
          </w:tcPr>
          <w:p w14:paraId="5CADE172" w14:textId="77777777" w:rsidR="00BB77C0" w:rsidRDefault="00370BAA">
            <w:pPr>
              <w:pStyle w:val="TableParagraph"/>
              <w:spacing w:line="213" w:lineRule="auto"/>
              <w:ind w:left="133"/>
              <w:rPr>
                <w:sz w:val="24"/>
              </w:rPr>
            </w:pPr>
            <w:r>
              <w:rPr>
                <w:color w:val="201F1F"/>
                <w:sz w:val="24"/>
              </w:rPr>
              <w:t>The</w:t>
            </w:r>
            <w:r>
              <w:rPr>
                <w:color w:val="201F1F"/>
                <w:spacing w:val="-5"/>
                <w:sz w:val="24"/>
              </w:rPr>
              <w:t xml:space="preserve"> </w:t>
            </w:r>
            <w:r>
              <w:rPr>
                <w:color w:val="201F1F"/>
                <w:sz w:val="24"/>
              </w:rPr>
              <w:t>written</w:t>
            </w:r>
            <w:r>
              <w:rPr>
                <w:color w:val="201F1F"/>
                <w:spacing w:val="-9"/>
                <w:sz w:val="24"/>
              </w:rPr>
              <w:t xml:space="preserve"> </w:t>
            </w:r>
            <w:r>
              <w:rPr>
                <w:color w:val="201F1F"/>
                <w:sz w:val="24"/>
              </w:rPr>
              <w:t>confirmation</w:t>
            </w:r>
            <w:r>
              <w:rPr>
                <w:color w:val="201F1F"/>
                <w:spacing w:val="-8"/>
                <w:sz w:val="24"/>
              </w:rPr>
              <w:t xml:space="preserve"> </w:t>
            </w:r>
            <w:r>
              <w:rPr>
                <w:color w:val="201F1F"/>
                <w:sz w:val="24"/>
              </w:rPr>
              <w:t>of</w:t>
            </w:r>
            <w:r>
              <w:rPr>
                <w:color w:val="201F1F"/>
                <w:spacing w:val="-12"/>
                <w:sz w:val="24"/>
              </w:rPr>
              <w:t xml:space="preserve"> </w:t>
            </w:r>
            <w:r>
              <w:rPr>
                <w:color w:val="201F1F"/>
                <w:sz w:val="24"/>
              </w:rPr>
              <w:t>authorization</w:t>
            </w:r>
            <w:r>
              <w:rPr>
                <w:color w:val="201F1F"/>
                <w:spacing w:val="-8"/>
                <w:sz w:val="24"/>
              </w:rPr>
              <w:t xml:space="preserve"> </w:t>
            </w:r>
            <w:r>
              <w:rPr>
                <w:color w:val="201F1F"/>
                <w:sz w:val="24"/>
              </w:rPr>
              <w:t>to sign</w:t>
            </w:r>
            <w:r>
              <w:rPr>
                <w:color w:val="201F1F"/>
                <w:spacing w:val="-9"/>
                <w:sz w:val="24"/>
              </w:rPr>
              <w:t xml:space="preserve"> </w:t>
            </w:r>
            <w:r>
              <w:rPr>
                <w:color w:val="201F1F"/>
                <w:sz w:val="24"/>
              </w:rPr>
              <w:t>on</w:t>
            </w:r>
            <w:r>
              <w:rPr>
                <w:color w:val="201F1F"/>
                <w:spacing w:val="-4"/>
                <w:sz w:val="24"/>
              </w:rPr>
              <w:t xml:space="preserve"> </w:t>
            </w:r>
            <w:r>
              <w:rPr>
                <w:color w:val="201F1F"/>
                <w:sz w:val="24"/>
              </w:rPr>
              <w:t>behalf</w:t>
            </w:r>
            <w:r>
              <w:rPr>
                <w:color w:val="201F1F"/>
                <w:spacing w:val="-12"/>
                <w:sz w:val="24"/>
              </w:rPr>
              <w:t xml:space="preserve"> </w:t>
            </w:r>
            <w:r>
              <w:rPr>
                <w:color w:val="201F1F"/>
                <w:sz w:val="24"/>
              </w:rPr>
              <w:t>of</w:t>
            </w:r>
            <w:r>
              <w:rPr>
                <w:color w:val="201F1F"/>
                <w:spacing w:val="-13"/>
                <w:sz w:val="24"/>
              </w:rPr>
              <w:t xml:space="preserve"> </w:t>
            </w:r>
            <w:r>
              <w:rPr>
                <w:color w:val="201F1F"/>
                <w:sz w:val="24"/>
              </w:rPr>
              <w:t>the</w:t>
            </w:r>
            <w:r>
              <w:rPr>
                <w:color w:val="201F1F"/>
                <w:spacing w:val="-5"/>
                <w:sz w:val="24"/>
              </w:rPr>
              <w:t xml:space="preserve"> </w:t>
            </w:r>
            <w:r>
              <w:rPr>
                <w:color w:val="201F1F"/>
                <w:sz w:val="24"/>
              </w:rPr>
              <w:t>Tenderer</w:t>
            </w:r>
            <w:r>
              <w:rPr>
                <w:color w:val="201F1F"/>
                <w:spacing w:val="-3"/>
                <w:sz w:val="24"/>
              </w:rPr>
              <w:t xml:space="preserve"> </w:t>
            </w:r>
            <w:r>
              <w:rPr>
                <w:color w:val="201F1F"/>
                <w:sz w:val="24"/>
              </w:rPr>
              <w:t>shall consist of Certificate of Independent Tender Determination</w:t>
            </w:r>
          </w:p>
        </w:tc>
      </w:tr>
      <w:tr w:rsidR="00BB77C0" w14:paraId="00789FB1" w14:textId="77777777">
        <w:trPr>
          <w:trHeight w:val="258"/>
        </w:trPr>
        <w:tc>
          <w:tcPr>
            <w:tcW w:w="9734" w:type="dxa"/>
            <w:gridSpan w:val="2"/>
          </w:tcPr>
          <w:p w14:paraId="6DA2252A" w14:textId="77777777" w:rsidR="00BB77C0" w:rsidRDefault="00370BAA">
            <w:pPr>
              <w:pStyle w:val="TableParagraph"/>
              <w:spacing w:line="238" w:lineRule="exact"/>
              <w:ind w:left="138"/>
              <w:rPr>
                <w:b/>
                <w:sz w:val="24"/>
              </w:rPr>
            </w:pPr>
            <w:r>
              <w:rPr>
                <w:b/>
                <w:sz w:val="24"/>
              </w:rPr>
              <w:t>D.</w:t>
            </w:r>
            <w:r>
              <w:rPr>
                <w:b/>
                <w:spacing w:val="20"/>
                <w:sz w:val="24"/>
              </w:rPr>
              <w:t xml:space="preserve"> </w:t>
            </w:r>
            <w:r>
              <w:rPr>
                <w:b/>
                <w:sz w:val="24"/>
              </w:rPr>
              <w:t>Submission</w:t>
            </w:r>
            <w:r>
              <w:rPr>
                <w:b/>
                <w:spacing w:val="13"/>
                <w:sz w:val="24"/>
              </w:rPr>
              <w:t xml:space="preserve"> </w:t>
            </w:r>
            <w:r>
              <w:rPr>
                <w:b/>
                <w:sz w:val="24"/>
              </w:rPr>
              <w:t>and</w:t>
            </w:r>
            <w:r>
              <w:rPr>
                <w:b/>
                <w:spacing w:val="6"/>
                <w:sz w:val="24"/>
              </w:rPr>
              <w:t xml:space="preserve"> </w:t>
            </w:r>
            <w:r>
              <w:rPr>
                <w:b/>
                <w:sz w:val="24"/>
              </w:rPr>
              <w:t>Opening</w:t>
            </w:r>
            <w:r>
              <w:rPr>
                <w:b/>
                <w:spacing w:val="6"/>
                <w:sz w:val="24"/>
              </w:rPr>
              <w:t xml:space="preserve"> </w:t>
            </w:r>
            <w:r>
              <w:rPr>
                <w:b/>
                <w:sz w:val="24"/>
              </w:rPr>
              <w:t>of</w:t>
            </w:r>
            <w:r>
              <w:rPr>
                <w:b/>
                <w:spacing w:val="3"/>
                <w:sz w:val="24"/>
              </w:rPr>
              <w:t xml:space="preserve"> </w:t>
            </w:r>
            <w:r>
              <w:rPr>
                <w:b/>
                <w:spacing w:val="-2"/>
                <w:sz w:val="24"/>
              </w:rPr>
              <w:t>Tenders</w:t>
            </w:r>
          </w:p>
        </w:tc>
      </w:tr>
    </w:tbl>
    <w:p w14:paraId="2E92FE47" w14:textId="77777777" w:rsidR="00BB77C0" w:rsidRDefault="00BB77C0">
      <w:pPr>
        <w:pStyle w:val="TableParagraph"/>
        <w:spacing w:line="238" w:lineRule="exact"/>
        <w:rPr>
          <w:b/>
          <w:sz w:val="24"/>
        </w:rPr>
        <w:sectPr w:rsidR="00BB77C0">
          <w:pgSz w:w="11930" w:h="16870"/>
          <w:pgMar w:top="1400" w:right="1080" w:bottom="280" w:left="1080" w:header="720" w:footer="720" w:gutter="0"/>
          <w:cols w:space="720"/>
        </w:sectPr>
      </w:pPr>
    </w:p>
    <w:p w14:paraId="5831AD61" w14:textId="77777777" w:rsidR="00BB77C0" w:rsidRDefault="00BB77C0">
      <w:pPr>
        <w:pStyle w:val="BodyText"/>
        <w:spacing w:before="5"/>
        <w:rPr>
          <w:sz w:val="2"/>
        </w:rPr>
      </w:pPr>
    </w:p>
    <w:tbl>
      <w:tblPr>
        <w:tblW w:w="0" w:type="auto"/>
        <w:tblInd w:w="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647"/>
        <w:gridCol w:w="8087"/>
      </w:tblGrid>
      <w:tr w:rsidR="00BB77C0" w14:paraId="3F637320" w14:textId="77777777">
        <w:trPr>
          <w:trHeight w:val="3038"/>
        </w:trPr>
        <w:tc>
          <w:tcPr>
            <w:tcW w:w="1647" w:type="dxa"/>
          </w:tcPr>
          <w:p w14:paraId="04D54170" w14:textId="77777777" w:rsidR="00BB77C0" w:rsidRDefault="00370BAA">
            <w:pPr>
              <w:pStyle w:val="TableParagraph"/>
              <w:spacing w:line="263" w:lineRule="exact"/>
              <w:ind w:left="138"/>
              <w:rPr>
                <w:sz w:val="24"/>
              </w:rPr>
            </w:pPr>
            <w:r>
              <w:rPr>
                <w:w w:val="110"/>
                <w:sz w:val="24"/>
              </w:rPr>
              <w:t>ITT</w:t>
            </w:r>
            <w:r>
              <w:rPr>
                <w:spacing w:val="-12"/>
                <w:w w:val="110"/>
                <w:sz w:val="24"/>
              </w:rPr>
              <w:t xml:space="preserve"> </w:t>
            </w:r>
            <w:r>
              <w:rPr>
                <w:spacing w:val="-4"/>
                <w:w w:val="110"/>
                <w:sz w:val="24"/>
              </w:rPr>
              <w:t>24.1</w:t>
            </w:r>
          </w:p>
        </w:tc>
        <w:tc>
          <w:tcPr>
            <w:tcW w:w="8087" w:type="dxa"/>
          </w:tcPr>
          <w:p w14:paraId="043C23BB" w14:textId="77777777" w:rsidR="00BB77C0" w:rsidRDefault="00370BAA">
            <w:pPr>
              <w:pStyle w:val="TableParagraph"/>
              <w:spacing w:line="263" w:lineRule="exact"/>
              <w:ind w:left="133"/>
              <w:rPr>
                <w:sz w:val="24"/>
              </w:rPr>
            </w:pPr>
            <w:r>
              <w:rPr>
                <w:sz w:val="24"/>
              </w:rPr>
              <w:t>(A)</w:t>
            </w:r>
            <w:r>
              <w:rPr>
                <w:spacing w:val="-9"/>
                <w:sz w:val="24"/>
              </w:rPr>
              <w:t xml:space="preserve"> </w:t>
            </w:r>
            <w:r>
              <w:rPr>
                <w:sz w:val="24"/>
              </w:rPr>
              <w:t>For</w:t>
            </w:r>
            <w:r>
              <w:rPr>
                <w:spacing w:val="4"/>
                <w:sz w:val="24"/>
              </w:rPr>
              <w:t xml:space="preserve"> </w:t>
            </w:r>
            <w:r>
              <w:rPr>
                <w:sz w:val="24"/>
                <w:u w:val="single"/>
              </w:rPr>
              <w:t>Tender</w:t>
            </w:r>
            <w:r>
              <w:rPr>
                <w:spacing w:val="5"/>
                <w:sz w:val="24"/>
                <w:u w:val="single"/>
              </w:rPr>
              <w:t xml:space="preserve"> </w:t>
            </w:r>
            <w:r>
              <w:rPr>
                <w:sz w:val="24"/>
                <w:u w:val="single"/>
              </w:rPr>
              <w:t>submission</w:t>
            </w:r>
            <w:r>
              <w:rPr>
                <w:spacing w:val="-7"/>
                <w:sz w:val="24"/>
                <w:u w:val="single"/>
              </w:rPr>
              <w:t xml:space="preserve"> </w:t>
            </w:r>
            <w:r>
              <w:rPr>
                <w:sz w:val="24"/>
                <w:u w:val="single"/>
              </w:rPr>
              <w:t>purposes</w:t>
            </w:r>
            <w:r>
              <w:rPr>
                <w:spacing w:val="1"/>
                <w:sz w:val="24"/>
                <w:u w:val="single"/>
              </w:rPr>
              <w:t xml:space="preserve"> </w:t>
            </w:r>
            <w:r>
              <w:rPr>
                <w:sz w:val="24"/>
              </w:rPr>
              <w:t>only,</w:t>
            </w:r>
            <w:r>
              <w:rPr>
                <w:spacing w:val="1"/>
                <w:sz w:val="24"/>
              </w:rPr>
              <w:t xml:space="preserve"> </w:t>
            </w:r>
            <w:r>
              <w:rPr>
                <w:sz w:val="24"/>
              </w:rPr>
              <w:t>the</w:t>
            </w:r>
            <w:r>
              <w:rPr>
                <w:spacing w:val="-3"/>
                <w:sz w:val="24"/>
              </w:rPr>
              <w:t xml:space="preserve"> </w:t>
            </w:r>
            <w:r>
              <w:rPr>
                <w:sz w:val="24"/>
              </w:rPr>
              <w:t>Procuring Entity’s</w:t>
            </w:r>
            <w:r>
              <w:rPr>
                <w:spacing w:val="1"/>
                <w:sz w:val="24"/>
              </w:rPr>
              <w:t xml:space="preserve"> </w:t>
            </w:r>
            <w:r>
              <w:rPr>
                <w:sz w:val="24"/>
              </w:rPr>
              <w:t>address</w:t>
            </w:r>
            <w:r>
              <w:rPr>
                <w:spacing w:val="6"/>
                <w:sz w:val="24"/>
              </w:rPr>
              <w:t xml:space="preserve"> </w:t>
            </w:r>
            <w:r>
              <w:rPr>
                <w:spacing w:val="-5"/>
                <w:sz w:val="24"/>
              </w:rPr>
              <w:t>is:</w:t>
            </w:r>
          </w:p>
          <w:p w14:paraId="12337FB3" w14:textId="77777777" w:rsidR="00BB77C0" w:rsidRDefault="00370BAA">
            <w:pPr>
              <w:pStyle w:val="TableParagraph"/>
              <w:spacing w:before="261" w:line="247" w:lineRule="auto"/>
              <w:ind w:left="28" w:right="1950"/>
              <w:rPr>
                <w:b/>
                <w:i/>
                <w:sz w:val="24"/>
              </w:rPr>
            </w:pPr>
            <w:r>
              <w:rPr>
                <w:sz w:val="24"/>
              </w:rPr>
              <w:t>Name</w:t>
            </w:r>
            <w:r>
              <w:rPr>
                <w:spacing w:val="-7"/>
                <w:sz w:val="24"/>
              </w:rPr>
              <w:t xml:space="preserve"> </w:t>
            </w:r>
            <w:r>
              <w:rPr>
                <w:sz w:val="24"/>
              </w:rPr>
              <w:t>of</w:t>
            </w:r>
            <w:r>
              <w:rPr>
                <w:spacing w:val="-13"/>
                <w:sz w:val="24"/>
              </w:rPr>
              <w:t xml:space="preserve"> </w:t>
            </w:r>
            <w:r>
              <w:rPr>
                <w:sz w:val="24"/>
              </w:rPr>
              <w:t>Procuring</w:t>
            </w:r>
            <w:r>
              <w:rPr>
                <w:spacing w:val="-6"/>
                <w:sz w:val="24"/>
              </w:rPr>
              <w:t xml:space="preserve"> </w:t>
            </w:r>
            <w:r>
              <w:rPr>
                <w:sz w:val="24"/>
              </w:rPr>
              <w:t>Entity:</w:t>
            </w:r>
            <w:r>
              <w:rPr>
                <w:spacing w:val="-3"/>
                <w:sz w:val="24"/>
              </w:rPr>
              <w:t xml:space="preserve"> </w:t>
            </w:r>
            <w:r>
              <w:rPr>
                <w:b/>
                <w:i/>
                <w:sz w:val="24"/>
              </w:rPr>
              <w:t>COUNTY</w:t>
            </w:r>
            <w:r>
              <w:rPr>
                <w:b/>
                <w:i/>
                <w:spacing w:val="-5"/>
                <w:sz w:val="24"/>
              </w:rPr>
              <w:t xml:space="preserve"> </w:t>
            </w:r>
            <w:r>
              <w:rPr>
                <w:b/>
                <w:i/>
                <w:sz w:val="24"/>
              </w:rPr>
              <w:t>GOVERNMENT</w:t>
            </w:r>
            <w:r>
              <w:rPr>
                <w:b/>
                <w:i/>
                <w:spacing w:val="-6"/>
                <w:sz w:val="24"/>
              </w:rPr>
              <w:t xml:space="preserve"> </w:t>
            </w:r>
            <w:r>
              <w:rPr>
                <w:b/>
                <w:i/>
                <w:sz w:val="24"/>
              </w:rPr>
              <w:t xml:space="preserve">OF </w:t>
            </w:r>
            <w:r>
              <w:rPr>
                <w:b/>
                <w:i/>
                <w:spacing w:val="-2"/>
                <w:sz w:val="24"/>
              </w:rPr>
              <w:t>BUNGOMA</w:t>
            </w:r>
          </w:p>
          <w:p w14:paraId="5CB6A36F" w14:textId="77777777" w:rsidR="00BB77C0" w:rsidRDefault="00370BAA">
            <w:pPr>
              <w:pStyle w:val="TableParagraph"/>
              <w:spacing w:line="220" w:lineRule="exact"/>
              <w:ind w:left="196"/>
              <w:rPr>
                <w:sz w:val="24"/>
              </w:rPr>
            </w:pPr>
            <w:r>
              <w:rPr>
                <w:sz w:val="24"/>
              </w:rPr>
              <w:t>Postal</w:t>
            </w:r>
            <w:r>
              <w:rPr>
                <w:spacing w:val="-16"/>
                <w:sz w:val="24"/>
              </w:rPr>
              <w:t xml:space="preserve"> </w:t>
            </w:r>
            <w:r>
              <w:rPr>
                <w:sz w:val="24"/>
              </w:rPr>
              <w:t>Address:…</w:t>
            </w:r>
            <w:r>
              <w:rPr>
                <w:spacing w:val="-6"/>
                <w:sz w:val="24"/>
              </w:rPr>
              <w:t xml:space="preserve"> </w:t>
            </w:r>
            <w:r>
              <w:rPr>
                <w:b/>
                <w:i/>
                <w:sz w:val="24"/>
              </w:rPr>
              <w:t>P.O.</w:t>
            </w:r>
            <w:r>
              <w:rPr>
                <w:b/>
                <w:i/>
                <w:spacing w:val="-7"/>
                <w:sz w:val="24"/>
              </w:rPr>
              <w:t xml:space="preserve"> </w:t>
            </w:r>
            <w:r>
              <w:rPr>
                <w:b/>
                <w:i/>
                <w:sz w:val="24"/>
              </w:rPr>
              <w:t>Box</w:t>
            </w:r>
            <w:r>
              <w:rPr>
                <w:b/>
                <w:i/>
                <w:spacing w:val="-8"/>
                <w:sz w:val="24"/>
              </w:rPr>
              <w:t xml:space="preserve"> </w:t>
            </w:r>
            <w:r>
              <w:rPr>
                <w:b/>
                <w:i/>
                <w:sz w:val="24"/>
              </w:rPr>
              <w:t>437</w:t>
            </w:r>
            <w:r>
              <w:rPr>
                <w:b/>
                <w:i/>
                <w:spacing w:val="-10"/>
                <w:sz w:val="24"/>
              </w:rPr>
              <w:t xml:space="preserve"> </w:t>
            </w:r>
            <w:r>
              <w:rPr>
                <w:b/>
                <w:i/>
                <w:sz w:val="24"/>
              </w:rPr>
              <w:t>-</w:t>
            </w:r>
            <w:r>
              <w:rPr>
                <w:b/>
                <w:i/>
                <w:spacing w:val="-12"/>
                <w:sz w:val="24"/>
              </w:rPr>
              <w:t xml:space="preserve"> </w:t>
            </w:r>
            <w:r>
              <w:rPr>
                <w:b/>
                <w:i/>
                <w:spacing w:val="-2"/>
                <w:sz w:val="24"/>
              </w:rPr>
              <w:t>50200</w:t>
            </w:r>
            <w:r>
              <w:rPr>
                <w:color w:val="FF0000"/>
                <w:spacing w:val="-2"/>
                <w:sz w:val="24"/>
              </w:rPr>
              <w:t>.</w:t>
            </w:r>
          </w:p>
          <w:p w14:paraId="65A8B602" w14:textId="77777777" w:rsidR="00BB77C0" w:rsidRDefault="00370BAA">
            <w:pPr>
              <w:pStyle w:val="TableParagraph"/>
              <w:spacing w:line="260" w:lineRule="exact"/>
              <w:ind w:left="133"/>
              <w:rPr>
                <w:b/>
                <w:sz w:val="24"/>
              </w:rPr>
            </w:pPr>
            <w:r>
              <w:rPr>
                <w:sz w:val="24"/>
              </w:rPr>
              <w:t>Physical</w:t>
            </w:r>
            <w:r>
              <w:rPr>
                <w:spacing w:val="-8"/>
                <w:sz w:val="24"/>
              </w:rPr>
              <w:t xml:space="preserve"> </w:t>
            </w:r>
            <w:r>
              <w:rPr>
                <w:sz w:val="24"/>
              </w:rPr>
              <w:t>address</w:t>
            </w:r>
            <w:r>
              <w:rPr>
                <w:spacing w:val="2"/>
                <w:sz w:val="24"/>
              </w:rPr>
              <w:t xml:space="preserve"> </w:t>
            </w:r>
            <w:r>
              <w:rPr>
                <w:b/>
                <w:sz w:val="24"/>
              </w:rPr>
              <w:t xml:space="preserve">Agriculure </w:t>
            </w:r>
            <w:r>
              <w:rPr>
                <w:b/>
                <w:spacing w:val="-2"/>
                <w:sz w:val="24"/>
              </w:rPr>
              <w:t>offices</w:t>
            </w:r>
          </w:p>
          <w:p w14:paraId="145B5F05" w14:textId="77777777" w:rsidR="00BB77C0" w:rsidRPr="000C5CA9" w:rsidRDefault="00370BAA">
            <w:pPr>
              <w:pStyle w:val="TableParagraph"/>
              <w:spacing w:before="272" w:line="208" w:lineRule="auto"/>
              <w:ind w:left="28"/>
              <w:rPr>
                <w:b/>
                <w:sz w:val="24"/>
              </w:rPr>
            </w:pPr>
            <w:r>
              <w:rPr>
                <w:sz w:val="24"/>
              </w:rPr>
              <w:t>Date</w:t>
            </w:r>
            <w:r>
              <w:rPr>
                <w:spacing w:val="-9"/>
                <w:sz w:val="24"/>
              </w:rPr>
              <w:t xml:space="preserve"> </w:t>
            </w:r>
            <w:r>
              <w:rPr>
                <w:sz w:val="24"/>
              </w:rPr>
              <w:t>and</w:t>
            </w:r>
            <w:r>
              <w:rPr>
                <w:spacing w:val="-7"/>
                <w:sz w:val="24"/>
              </w:rPr>
              <w:t xml:space="preserve"> </w:t>
            </w:r>
            <w:r>
              <w:rPr>
                <w:sz w:val="24"/>
              </w:rPr>
              <w:t>time</w:t>
            </w:r>
            <w:r>
              <w:rPr>
                <w:spacing w:val="-3"/>
                <w:sz w:val="24"/>
              </w:rPr>
              <w:t xml:space="preserve"> </w:t>
            </w:r>
            <w:r>
              <w:rPr>
                <w:sz w:val="24"/>
              </w:rPr>
              <w:t>for submission</w:t>
            </w:r>
            <w:r>
              <w:rPr>
                <w:spacing w:val="-6"/>
                <w:sz w:val="24"/>
              </w:rPr>
              <w:t xml:space="preserve"> </w:t>
            </w:r>
            <w:r>
              <w:rPr>
                <w:sz w:val="24"/>
              </w:rPr>
              <w:t>of</w:t>
            </w:r>
            <w:r>
              <w:rPr>
                <w:spacing w:val="-14"/>
                <w:sz w:val="24"/>
              </w:rPr>
              <w:t xml:space="preserve"> </w:t>
            </w:r>
            <w:r w:rsidR="000C5CA9">
              <w:rPr>
                <w:sz w:val="24"/>
              </w:rPr>
              <w:t xml:space="preserve">Tenders </w:t>
            </w:r>
            <w:r w:rsidR="000C5CA9" w:rsidRPr="000C5CA9">
              <w:rPr>
                <w:b/>
                <w:sz w:val="24"/>
              </w:rPr>
              <w:t>TUESDAY 7</w:t>
            </w:r>
            <w:r w:rsidR="000C5CA9" w:rsidRPr="000C5CA9">
              <w:rPr>
                <w:b/>
                <w:sz w:val="24"/>
                <w:vertAlign w:val="superscript"/>
              </w:rPr>
              <w:t>TH</w:t>
            </w:r>
            <w:r w:rsidR="000C5CA9" w:rsidRPr="000C5CA9">
              <w:rPr>
                <w:b/>
                <w:sz w:val="24"/>
              </w:rPr>
              <w:t xml:space="preserve"> APRIL,2026</w:t>
            </w:r>
            <w:r w:rsidRPr="000C5CA9">
              <w:rPr>
                <w:b/>
                <w:spacing w:val="-2"/>
                <w:sz w:val="24"/>
              </w:rPr>
              <w:t xml:space="preserve"> </w:t>
            </w:r>
            <w:r w:rsidRPr="000C5CA9">
              <w:rPr>
                <w:b/>
                <w:sz w:val="24"/>
              </w:rPr>
              <w:t>at</w:t>
            </w:r>
            <w:r w:rsidRPr="000C5CA9">
              <w:rPr>
                <w:b/>
                <w:spacing w:val="-5"/>
                <w:sz w:val="24"/>
              </w:rPr>
              <w:t xml:space="preserve"> </w:t>
            </w:r>
            <w:r w:rsidR="000C5CA9" w:rsidRPr="000C5CA9">
              <w:rPr>
                <w:b/>
                <w:sz w:val="24"/>
              </w:rPr>
              <w:t>11.3</w:t>
            </w:r>
            <w:r w:rsidRPr="000C5CA9">
              <w:rPr>
                <w:b/>
                <w:sz w:val="24"/>
              </w:rPr>
              <w:t xml:space="preserve">0 </w:t>
            </w:r>
            <w:r w:rsidRPr="000C5CA9">
              <w:rPr>
                <w:b/>
                <w:spacing w:val="-4"/>
                <w:sz w:val="24"/>
              </w:rPr>
              <w:t>A.M</w:t>
            </w:r>
          </w:p>
          <w:p w14:paraId="1058F2B3" w14:textId="77777777" w:rsidR="00BB77C0" w:rsidRDefault="00370BAA">
            <w:pPr>
              <w:pStyle w:val="TableParagraph"/>
              <w:spacing w:before="206"/>
              <w:ind w:left="28"/>
              <w:rPr>
                <w:sz w:val="24"/>
              </w:rPr>
            </w:pPr>
            <w:r>
              <w:rPr>
                <w:sz w:val="24"/>
              </w:rPr>
              <w:t>Tenders</w:t>
            </w:r>
            <w:r>
              <w:rPr>
                <w:spacing w:val="-7"/>
                <w:sz w:val="24"/>
              </w:rPr>
              <w:t xml:space="preserve"> </w:t>
            </w:r>
            <w:r>
              <w:rPr>
                <w:sz w:val="24"/>
              </w:rPr>
              <w:t>shall</w:t>
            </w:r>
            <w:r>
              <w:rPr>
                <w:spacing w:val="-8"/>
                <w:sz w:val="24"/>
              </w:rPr>
              <w:t xml:space="preserve"> </w:t>
            </w:r>
            <w:r>
              <w:rPr>
                <w:sz w:val="24"/>
              </w:rPr>
              <w:t>be</w:t>
            </w:r>
            <w:r>
              <w:rPr>
                <w:spacing w:val="-10"/>
                <w:sz w:val="24"/>
              </w:rPr>
              <w:t xml:space="preserve"> </w:t>
            </w:r>
            <w:r>
              <w:rPr>
                <w:sz w:val="24"/>
              </w:rPr>
              <w:t>submitted</w:t>
            </w:r>
            <w:r>
              <w:rPr>
                <w:spacing w:val="1"/>
                <w:sz w:val="24"/>
              </w:rPr>
              <w:t xml:space="preserve"> </w:t>
            </w:r>
            <w:r>
              <w:rPr>
                <w:spacing w:val="-2"/>
                <w:sz w:val="24"/>
              </w:rPr>
              <w:t>electronically.</w:t>
            </w:r>
          </w:p>
        </w:tc>
      </w:tr>
      <w:tr w:rsidR="00BB77C0" w14:paraId="49A668E2" w14:textId="77777777">
        <w:trPr>
          <w:trHeight w:val="2265"/>
        </w:trPr>
        <w:tc>
          <w:tcPr>
            <w:tcW w:w="1647" w:type="dxa"/>
          </w:tcPr>
          <w:p w14:paraId="65447202" w14:textId="77777777" w:rsidR="00BB77C0" w:rsidRDefault="00BB77C0">
            <w:pPr>
              <w:pStyle w:val="TableParagraph"/>
              <w:rPr>
                <w:sz w:val="24"/>
              </w:rPr>
            </w:pPr>
          </w:p>
        </w:tc>
        <w:tc>
          <w:tcPr>
            <w:tcW w:w="8087" w:type="dxa"/>
          </w:tcPr>
          <w:p w14:paraId="0DD69956" w14:textId="77777777" w:rsidR="00BB77C0" w:rsidRDefault="00370BAA">
            <w:pPr>
              <w:pStyle w:val="TableParagraph"/>
              <w:spacing w:line="208" w:lineRule="auto"/>
              <w:ind w:left="133" w:right="314"/>
              <w:rPr>
                <w:sz w:val="24"/>
              </w:rPr>
            </w:pPr>
            <w:r>
              <w:rPr>
                <w:sz w:val="24"/>
              </w:rPr>
              <w:t>The</w:t>
            </w:r>
            <w:r>
              <w:rPr>
                <w:spacing w:val="-7"/>
                <w:sz w:val="24"/>
              </w:rPr>
              <w:t xml:space="preserve"> </w:t>
            </w:r>
            <w:r>
              <w:rPr>
                <w:sz w:val="24"/>
              </w:rPr>
              <w:t>Tender</w:t>
            </w:r>
            <w:r>
              <w:rPr>
                <w:spacing w:val="-5"/>
                <w:sz w:val="24"/>
              </w:rPr>
              <w:t xml:space="preserve"> </w:t>
            </w:r>
            <w:r>
              <w:rPr>
                <w:sz w:val="24"/>
              </w:rPr>
              <w:t>opening</w:t>
            </w:r>
            <w:r>
              <w:rPr>
                <w:spacing w:val="-1"/>
                <w:sz w:val="24"/>
              </w:rPr>
              <w:t xml:space="preserve"> </w:t>
            </w:r>
            <w:r>
              <w:rPr>
                <w:sz w:val="24"/>
              </w:rPr>
              <w:t>shall</w:t>
            </w:r>
            <w:r>
              <w:rPr>
                <w:spacing w:val="-10"/>
                <w:sz w:val="24"/>
              </w:rPr>
              <w:t xml:space="preserve"> </w:t>
            </w:r>
            <w:r>
              <w:rPr>
                <w:sz w:val="24"/>
              </w:rPr>
              <w:t>take</w:t>
            </w:r>
            <w:r>
              <w:rPr>
                <w:spacing w:val="-7"/>
                <w:sz w:val="24"/>
              </w:rPr>
              <w:t xml:space="preserve"> </w:t>
            </w:r>
            <w:r>
              <w:rPr>
                <w:sz w:val="24"/>
              </w:rPr>
              <w:t>place</w:t>
            </w:r>
            <w:r>
              <w:rPr>
                <w:spacing w:val="-3"/>
                <w:sz w:val="24"/>
              </w:rPr>
              <w:t xml:space="preserve"> </w:t>
            </w:r>
            <w:r>
              <w:rPr>
                <w:sz w:val="24"/>
              </w:rPr>
              <w:t>at</w:t>
            </w:r>
            <w:r>
              <w:rPr>
                <w:spacing w:val="-1"/>
                <w:sz w:val="24"/>
              </w:rPr>
              <w:t xml:space="preserve"> </w:t>
            </w:r>
            <w:r>
              <w:rPr>
                <w:sz w:val="24"/>
              </w:rPr>
              <w:t>the</w:t>
            </w:r>
            <w:r>
              <w:rPr>
                <w:spacing w:val="-8"/>
                <w:sz w:val="24"/>
              </w:rPr>
              <w:t xml:space="preserve"> </w:t>
            </w:r>
            <w:r>
              <w:rPr>
                <w:sz w:val="24"/>
              </w:rPr>
              <w:t>time</w:t>
            </w:r>
            <w:r>
              <w:rPr>
                <w:spacing w:val="-7"/>
                <w:sz w:val="24"/>
              </w:rPr>
              <w:t xml:space="preserve"> </w:t>
            </w:r>
            <w:r>
              <w:rPr>
                <w:sz w:val="24"/>
              </w:rPr>
              <w:t>and</w:t>
            </w:r>
            <w:r>
              <w:rPr>
                <w:spacing w:val="-6"/>
                <w:sz w:val="24"/>
              </w:rPr>
              <w:t xml:space="preserve"> </w:t>
            </w:r>
            <w:r>
              <w:rPr>
                <w:sz w:val="24"/>
              </w:rPr>
              <w:t>the</w:t>
            </w:r>
            <w:r>
              <w:rPr>
                <w:spacing w:val="-8"/>
                <w:sz w:val="24"/>
              </w:rPr>
              <w:t xml:space="preserve"> </w:t>
            </w:r>
            <w:r>
              <w:rPr>
                <w:sz w:val="24"/>
              </w:rPr>
              <w:t>address for Opening</w:t>
            </w:r>
            <w:r>
              <w:rPr>
                <w:spacing w:val="-7"/>
                <w:sz w:val="24"/>
              </w:rPr>
              <w:t xml:space="preserve"> </w:t>
            </w:r>
            <w:r>
              <w:rPr>
                <w:sz w:val="24"/>
              </w:rPr>
              <w:t>of Tenders provided below:</w:t>
            </w:r>
          </w:p>
          <w:p w14:paraId="7CC52D37" w14:textId="77777777" w:rsidR="00BB77C0" w:rsidRDefault="00370BAA">
            <w:pPr>
              <w:pStyle w:val="TableParagraph"/>
              <w:spacing w:before="240" w:line="261" w:lineRule="exact"/>
              <w:ind w:left="133"/>
              <w:rPr>
                <w:b/>
                <w:i/>
                <w:sz w:val="24"/>
              </w:rPr>
            </w:pPr>
            <w:r>
              <w:rPr>
                <w:sz w:val="24"/>
              </w:rPr>
              <w:t>Name</w:t>
            </w:r>
            <w:r>
              <w:rPr>
                <w:spacing w:val="11"/>
                <w:sz w:val="24"/>
              </w:rPr>
              <w:t xml:space="preserve"> </w:t>
            </w:r>
            <w:r>
              <w:rPr>
                <w:sz w:val="24"/>
              </w:rPr>
              <w:t>of</w:t>
            </w:r>
            <w:r>
              <w:rPr>
                <w:spacing w:val="8"/>
                <w:sz w:val="24"/>
              </w:rPr>
              <w:t xml:space="preserve"> </w:t>
            </w:r>
            <w:r>
              <w:rPr>
                <w:sz w:val="24"/>
              </w:rPr>
              <w:t>Procuring</w:t>
            </w:r>
            <w:r>
              <w:rPr>
                <w:spacing w:val="13"/>
                <w:sz w:val="24"/>
              </w:rPr>
              <w:t xml:space="preserve"> </w:t>
            </w:r>
            <w:r>
              <w:rPr>
                <w:sz w:val="24"/>
              </w:rPr>
              <w:t>Entity:</w:t>
            </w:r>
            <w:r>
              <w:rPr>
                <w:spacing w:val="14"/>
                <w:sz w:val="24"/>
              </w:rPr>
              <w:t xml:space="preserve"> </w:t>
            </w:r>
            <w:r>
              <w:rPr>
                <w:b/>
                <w:i/>
                <w:sz w:val="24"/>
              </w:rPr>
              <w:t>COUNTY</w:t>
            </w:r>
            <w:r>
              <w:rPr>
                <w:b/>
                <w:i/>
                <w:spacing w:val="14"/>
                <w:sz w:val="24"/>
              </w:rPr>
              <w:t xml:space="preserve"> </w:t>
            </w:r>
            <w:r>
              <w:rPr>
                <w:b/>
                <w:i/>
                <w:sz w:val="24"/>
              </w:rPr>
              <w:t>GOVERNMENT</w:t>
            </w:r>
            <w:r>
              <w:rPr>
                <w:b/>
                <w:i/>
                <w:spacing w:val="19"/>
                <w:sz w:val="24"/>
              </w:rPr>
              <w:t xml:space="preserve"> </w:t>
            </w:r>
            <w:r>
              <w:rPr>
                <w:b/>
                <w:i/>
                <w:spacing w:val="-5"/>
                <w:sz w:val="24"/>
              </w:rPr>
              <w:t>OF</w:t>
            </w:r>
          </w:p>
          <w:p w14:paraId="336480EE" w14:textId="77777777" w:rsidR="00BB77C0" w:rsidRDefault="00370BAA">
            <w:pPr>
              <w:pStyle w:val="TableParagraph"/>
              <w:spacing w:line="252" w:lineRule="exact"/>
              <w:ind w:left="2059"/>
              <w:rPr>
                <w:sz w:val="24"/>
              </w:rPr>
            </w:pPr>
            <w:r>
              <w:rPr>
                <w:b/>
                <w:i/>
                <w:spacing w:val="-2"/>
                <w:sz w:val="24"/>
              </w:rPr>
              <w:t>BUNGOMA</w:t>
            </w:r>
            <w:r>
              <w:rPr>
                <w:color w:val="FF0000"/>
                <w:spacing w:val="-2"/>
                <w:sz w:val="24"/>
              </w:rPr>
              <w:t>.</w:t>
            </w:r>
          </w:p>
          <w:p w14:paraId="31B2FE4F" w14:textId="77777777" w:rsidR="00BB77C0" w:rsidRDefault="00370BAA">
            <w:pPr>
              <w:pStyle w:val="TableParagraph"/>
              <w:spacing w:line="268" w:lineRule="exact"/>
              <w:ind w:left="133"/>
              <w:rPr>
                <w:b/>
                <w:sz w:val="24"/>
              </w:rPr>
            </w:pPr>
            <w:r>
              <w:rPr>
                <w:sz w:val="24"/>
              </w:rPr>
              <w:t>Physical</w:t>
            </w:r>
            <w:r>
              <w:rPr>
                <w:spacing w:val="6"/>
                <w:sz w:val="24"/>
              </w:rPr>
              <w:t xml:space="preserve"> </w:t>
            </w:r>
            <w:r>
              <w:rPr>
                <w:sz w:val="24"/>
              </w:rPr>
              <w:t>address</w:t>
            </w:r>
            <w:r>
              <w:rPr>
                <w:color w:val="FF0000"/>
                <w:sz w:val="24"/>
              </w:rPr>
              <w:t>:</w:t>
            </w:r>
            <w:r>
              <w:rPr>
                <w:color w:val="FF0000"/>
                <w:spacing w:val="63"/>
                <w:w w:val="150"/>
                <w:sz w:val="24"/>
              </w:rPr>
              <w:t xml:space="preserve"> </w:t>
            </w:r>
            <w:r>
              <w:rPr>
                <w:b/>
                <w:sz w:val="24"/>
              </w:rPr>
              <w:t>Agriculuture</w:t>
            </w:r>
            <w:r>
              <w:rPr>
                <w:b/>
                <w:spacing w:val="20"/>
                <w:sz w:val="24"/>
              </w:rPr>
              <w:t xml:space="preserve"> </w:t>
            </w:r>
            <w:r>
              <w:rPr>
                <w:b/>
                <w:spacing w:val="-2"/>
                <w:sz w:val="24"/>
              </w:rPr>
              <w:t>Offices</w:t>
            </w:r>
          </w:p>
          <w:p w14:paraId="3AD2D9FE" w14:textId="77777777" w:rsidR="000C5CA9" w:rsidRPr="000C5CA9" w:rsidRDefault="00370BAA" w:rsidP="000C5CA9">
            <w:pPr>
              <w:pStyle w:val="TableParagraph"/>
              <w:spacing w:before="272" w:line="208" w:lineRule="auto"/>
              <w:ind w:left="28"/>
              <w:rPr>
                <w:b/>
                <w:sz w:val="24"/>
              </w:rPr>
            </w:pPr>
            <w:r>
              <w:rPr>
                <w:sz w:val="24"/>
              </w:rPr>
              <w:t>Date</w:t>
            </w:r>
            <w:r>
              <w:rPr>
                <w:spacing w:val="-7"/>
                <w:sz w:val="24"/>
              </w:rPr>
              <w:t xml:space="preserve"> </w:t>
            </w:r>
            <w:r>
              <w:rPr>
                <w:sz w:val="24"/>
              </w:rPr>
              <w:t>and</w:t>
            </w:r>
            <w:r>
              <w:rPr>
                <w:spacing w:val="-1"/>
                <w:sz w:val="24"/>
              </w:rPr>
              <w:t xml:space="preserve"> </w:t>
            </w:r>
            <w:r>
              <w:rPr>
                <w:sz w:val="24"/>
              </w:rPr>
              <w:t>Time:</w:t>
            </w:r>
            <w:r>
              <w:rPr>
                <w:spacing w:val="-1"/>
                <w:sz w:val="24"/>
              </w:rPr>
              <w:t xml:space="preserve"> </w:t>
            </w:r>
            <w:r w:rsidR="000C5CA9" w:rsidRPr="000C5CA9">
              <w:rPr>
                <w:b/>
                <w:sz w:val="24"/>
              </w:rPr>
              <w:t>TUESDAY 7</w:t>
            </w:r>
            <w:r w:rsidR="000C5CA9" w:rsidRPr="000C5CA9">
              <w:rPr>
                <w:b/>
                <w:sz w:val="24"/>
                <w:vertAlign w:val="superscript"/>
              </w:rPr>
              <w:t>TH</w:t>
            </w:r>
            <w:r w:rsidR="000C5CA9" w:rsidRPr="000C5CA9">
              <w:rPr>
                <w:b/>
                <w:sz w:val="24"/>
              </w:rPr>
              <w:t xml:space="preserve"> APRIL,2026</w:t>
            </w:r>
            <w:r w:rsidR="000C5CA9" w:rsidRPr="000C5CA9">
              <w:rPr>
                <w:b/>
                <w:spacing w:val="-2"/>
                <w:sz w:val="24"/>
              </w:rPr>
              <w:t xml:space="preserve"> </w:t>
            </w:r>
            <w:r w:rsidR="000C5CA9" w:rsidRPr="000C5CA9">
              <w:rPr>
                <w:b/>
                <w:sz w:val="24"/>
              </w:rPr>
              <w:t>at</w:t>
            </w:r>
            <w:r w:rsidR="000C5CA9" w:rsidRPr="000C5CA9">
              <w:rPr>
                <w:b/>
                <w:spacing w:val="-5"/>
                <w:sz w:val="24"/>
              </w:rPr>
              <w:t xml:space="preserve"> </w:t>
            </w:r>
            <w:r w:rsidR="000C5CA9" w:rsidRPr="000C5CA9">
              <w:rPr>
                <w:b/>
                <w:sz w:val="24"/>
              </w:rPr>
              <w:t xml:space="preserve">11.30 </w:t>
            </w:r>
            <w:r w:rsidR="000C5CA9" w:rsidRPr="000C5CA9">
              <w:rPr>
                <w:b/>
                <w:spacing w:val="-4"/>
                <w:sz w:val="24"/>
              </w:rPr>
              <w:t>A.M</w:t>
            </w:r>
          </w:p>
          <w:p w14:paraId="4601AF14" w14:textId="77777777" w:rsidR="00BB77C0" w:rsidRDefault="00BB77C0">
            <w:pPr>
              <w:pStyle w:val="TableParagraph"/>
              <w:spacing w:before="185"/>
              <w:ind w:left="133"/>
              <w:rPr>
                <w:b/>
                <w:sz w:val="24"/>
              </w:rPr>
            </w:pPr>
          </w:p>
        </w:tc>
      </w:tr>
      <w:tr w:rsidR="00BB77C0" w14:paraId="1B51F769" w14:textId="77777777">
        <w:trPr>
          <w:trHeight w:val="253"/>
        </w:trPr>
        <w:tc>
          <w:tcPr>
            <w:tcW w:w="1647" w:type="dxa"/>
            <w:tcBorders>
              <w:right w:val="single" w:sz="6" w:space="0" w:color="000000"/>
            </w:tcBorders>
          </w:tcPr>
          <w:p w14:paraId="10127F0B" w14:textId="77777777" w:rsidR="00BB77C0" w:rsidRDefault="00370BAA">
            <w:pPr>
              <w:pStyle w:val="TableParagraph"/>
              <w:spacing w:line="233" w:lineRule="exact"/>
              <w:ind w:left="138" w:right="-15"/>
              <w:rPr>
                <w:b/>
                <w:sz w:val="24"/>
              </w:rPr>
            </w:pPr>
            <w:r>
              <w:rPr>
                <w:b/>
                <w:sz w:val="24"/>
              </w:rPr>
              <w:t xml:space="preserve">ITT </w:t>
            </w:r>
            <w:r>
              <w:rPr>
                <w:b/>
                <w:spacing w:val="-2"/>
                <w:sz w:val="24"/>
              </w:rPr>
              <w:t>Reference</w:t>
            </w:r>
          </w:p>
        </w:tc>
        <w:tc>
          <w:tcPr>
            <w:tcW w:w="8087" w:type="dxa"/>
            <w:tcBorders>
              <w:left w:val="single" w:sz="6" w:space="0" w:color="000000"/>
            </w:tcBorders>
          </w:tcPr>
          <w:p w14:paraId="30A093C7" w14:textId="77777777" w:rsidR="00BB77C0" w:rsidRDefault="00370BAA">
            <w:pPr>
              <w:pStyle w:val="TableParagraph"/>
              <w:spacing w:line="233" w:lineRule="exact"/>
              <w:ind w:right="87"/>
              <w:jc w:val="center"/>
              <w:rPr>
                <w:b/>
                <w:sz w:val="24"/>
              </w:rPr>
            </w:pPr>
            <w:r>
              <w:rPr>
                <w:b/>
                <w:sz w:val="24"/>
              </w:rPr>
              <w:t>PARTICULARS</w:t>
            </w:r>
            <w:r>
              <w:rPr>
                <w:b/>
                <w:spacing w:val="36"/>
                <w:sz w:val="24"/>
              </w:rPr>
              <w:t xml:space="preserve"> </w:t>
            </w:r>
            <w:r>
              <w:rPr>
                <w:b/>
                <w:sz w:val="24"/>
              </w:rPr>
              <w:t>OF</w:t>
            </w:r>
            <w:r>
              <w:rPr>
                <w:b/>
                <w:spacing w:val="33"/>
                <w:sz w:val="24"/>
              </w:rPr>
              <w:t xml:space="preserve"> </w:t>
            </w:r>
            <w:r>
              <w:rPr>
                <w:b/>
                <w:sz w:val="24"/>
              </w:rPr>
              <w:t>APPENDIX</w:t>
            </w:r>
            <w:r>
              <w:rPr>
                <w:b/>
                <w:spacing w:val="29"/>
                <w:sz w:val="24"/>
              </w:rPr>
              <w:t xml:space="preserve"> </w:t>
            </w:r>
            <w:r>
              <w:rPr>
                <w:b/>
                <w:sz w:val="24"/>
              </w:rPr>
              <w:t>TO</w:t>
            </w:r>
            <w:r>
              <w:rPr>
                <w:b/>
                <w:spacing w:val="28"/>
                <w:sz w:val="24"/>
              </w:rPr>
              <w:t xml:space="preserve"> </w:t>
            </w:r>
            <w:r>
              <w:rPr>
                <w:b/>
                <w:sz w:val="24"/>
              </w:rPr>
              <w:t>INSTRUCTIONS</w:t>
            </w:r>
            <w:r>
              <w:rPr>
                <w:b/>
                <w:spacing w:val="37"/>
                <w:sz w:val="24"/>
              </w:rPr>
              <w:t xml:space="preserve"> </w:t>
            </w:r>
            <w:r>
              <w:rPr>
                <w:b/>
                <w:sz w:val="24"/>
              </w:rPr>
              <w:t>TO</w:t>
            </w:r>
            <w:r>
              <w:rPr>
                <w:b/>
                <w:spacing w:val="28"/>
                <w:sz w:val="24"/>
              </w:rPr>
              <w:t xml:space="preserve"> </w:t>
            </w:r>
            <w:r>
              <w:rPr>
                <w:b/>
                <w:spacing w:val="-2"/>
                <w:sz w:val="24"/>
              </w:rPr>
              <w:t>TENDERS</w:t>
            </w:r>
          </w:p>
        </w:tc>
      </w:tr>
      <w:tr w:rsidR="00BB77C0" w14:paraId="6FFEA105" w14:textId="77777777">
        <w:trPr>
          <w:trHeight w:val="253"/>
        </w:trPr>
        <w:tc>
          <w:tcPr>
            <w:tcW w:w="9734" w:type="dxa"/>
            <w:gridSpan w:val="2"/>
          </w:tcPr>
          <w:p w14:paraId="328D40E0" w14:textId="77777777" w:rsidR="00BB77C0" w:rsidRDefault="00370BAA">
            <w:pPr>
              <w:pStyle w:val="TableParagraph"/>
              <w:spacing w:line="234" w:lineRule="exact"/>
              <w:ind w:left="138"/>
              <w:rPr>
                <w:sz w:val="24"/>
              </w:rPr>
            </w:pPr>
            <w:r>
              <w:rPr>
                <w:sz w:val="24"/>
              </w:rPr>
              <w:t>E.</w:t>
            </w:r>
            <w:r>
              <w:rPr>
                <w:spacing w:val="10"/>
                <w:sz w:val="24"/>
              </w:rPr>
              <w:t xml:space="preserve"> </w:t>
            </w:r>
            <w:r>
              <w:rPr>
                <w:sz w:val="24"/>
              </w:rPr>
              <w:t>Evaluation,</w:t>
            </w:r>
            <w:r>
              <w:rPr>
                <w:spacing w:val="8"/>
                <w:sz w:val="24"/>
              </w:rPr>
              <w:t xml:space="preserve"> </w:t>
            </w:r>
            <w:r>
              <w:rPr>
                <w:sz w:val="24"/>
              </w:rPr>
              <w:t>and</w:t>
            </w:r>
            <w:r>
              <w:rPr>
                <w:spacing w:val="3"/>
                <w:sz w:val="24"/>
              </w:rPr>
              <w:t xml:space="preserve"> </w:t>
            </w:r>
            <w:r>
              <w:rPr>
                <w:sz w:val="24"/>
              </w:rPr>
              <w:t>Comparison of</w:t>
            </w:r>
            <w:r>
              <w:rPr>
                <w:spacing w:val="-3"/>
                <w:sz w:val="24"/>
              </w:rPr>
              <w:t xml:space="preserve"> </w:t>
            </w:r>
            <w:r>
              <w:rPr>
                <w:spacing w:val="-2"/>
                <w:sz w:val="24"/>
              </w:rPr>
              <w:t>Tenders</w:t>
            </w:r>
          </w:p>
        </w:tc>
      </w:tr>
      <w:tr w:rsidR="00BB77C0" w14:paraId="6DB9AFD6" w14:textId="77777777">
        <w:trPr>
          <w:trHeight w:val="1266"/>
        </w:trPr>
        <w:tc>
          <w:tcPr>
            <w:tcW w:w="1647" w:type="dxa"/>
          </w:tcPr>
          <w:p w14:paraId="1674403E" w14:textId="77777777" w:rsidR="00BB77C0" w:rsidRDefault="00370BAA">
            <w:pPr>
              <w:pStyle w:val="TableParagraph"/>
              <w:spacing w:line="267" w:lineRule="exact"/>
              <w:ind w:left="138"/>
              <w:rPr>
                <w:sz w:val="24"/>
              </w:rPr>
            </w:pPr>
            <w:r>
              <w:rPr>
                <w:w w:val="110"/>
                <w:sz w:val="24"/>
              </w:rPr>
              <w:t>ITT</w:t>
            </w:r>
            <w:r>
              <w:rPr>
                <w:spacing w:val="-12"/>
                <w:w w:val="110"/>
                <w:sz w:val="24"/>
              </w:rPr>
              <w:t xml:space="preserve"> </w:t>
            </w:r>
            <w:r>
              <w:rPr>
                <w:spacing w:val="-4"/>
                <w:w w:val="110"/>
                <w:sz w:val="24"/>
              </w:rPr>
              <w:t>32.3</w:t>
            </w:r>
          </w:p>
        </w:tc>
        <w:tc>
          <w:tcPr>
            <w:tcW w:w="8087" w:type="dxa"/>
          </w:tcPr>
          <w:p w14:paraId="04D15515" w14:textId="77777777" w:rsidR="00BB77C0" w:rsidRDefault="00370BAA">
            <w:pPr>
              <w:pStyle w:val="TableParagraph"/>
              <w:spacing w:before="3" w:line="206" w:lineRule="auto"/>
              <w:ind w:left="133" w:right="314"/>
              <w:rPr>
                <w:sz w:val="24"/>
              </w:rPr>
            </w:pPr>
            <w:r>
              <w:rPr>
                <w:sz w:val="24"/>
              </w:rPr>
              <w:t>The</w:t>
            </w:r>
            <w:r>
              <w:rPr>
                <w:spacing w:val="-15"/>
                <w:sz w:val="24"/>
              </w:rPr>
              <w:t xml:space="preserve"> </w:t>
            </w:r>
            <w:r>
              <w:rPr>
                <w:sz w:val="24"/>
              </w:rPr>
              <w:t>adjustment</w:t>
            </w:r>
            <w:r>
              <w:rPr>
                <w:spacing w:val="-9"/>
                <w:sz w:val="24"/>
              </w:rPr>
              <w:t xml:space="preserve"> </w:t>
            </w:r>
            <w:r>
              <w:rPr>
                <w:sz w:val="24"/>
              </w:rPr>
              <w:t>shall</w:t>
            </w:r>
            <w:r>
              <w:rPr>
                <w:spacing w:val="-15"/>
                <w:sz w:val="24"/>
              </w:rPr>
              <w:t xml:space="preserve"> </w:t>
            </w:r>
            <w:r>
              <w:rPr>
                <w:sz w:val="24"/>
              </w:rPr>
              <w:t>be</w:t>
            </w:r>
            <w:r>
              <w:rPr>
                <w:spacing w:val="-13"/>
                <w:sz w:val="24"/>
              </w:rPr>
              <w:t xml:space="preserve"> </w:t>
            </w:r>
            <w:r>
              <w:rPr>
                <w:sz w:val="24"/>
              </w:rPr>
              <w:t>based</w:t>
            </w:r>
            <w:r>
              <w:rPr>
                <w:spacing w:val="-11"/>
                <w:sz w:val="24"/>
              </w:rPr>
              <w:t xml:space="preserve"> </w:t>
            </w:r>
            <w:r>
              <w:rPr>
                <w:sz w:val="24"/>
              </w:rPr>
              <w:t>on</w:t>
            </w:r>
            <w:r>
              <w:rPr>
                <w:spacing w:val="-15"/>
                <w:sz w:val="24"/>
              </w:rPr>
              <w:t xml:space="preserve"> </w:t>
            </w:r>
            <w:r>
              <w:rPr>
                <w:sz w:val="24"/>
              </w:rPr>
              <w:t>the</w:t>
            </w:r>
            <w:r>
              <w:rPr>
                <w:spacing w:val="-12"/>
                <w:sz w:val="24"/>
              </w:rPr>
              <w:t xml:space="preserve"> </w:t>
            </w:r>
            <w:r>
              <w:rPr>
                <w:sz w:val="24"/>
              </w:rPr>
              <w:t>average</w:t>
            </w:r>
            <w:r>
              <w:rPr>
                <w:spacing w:val="-12"/>
                <w:sz w:val="24"/>
              </w:rPr>
              <w:t xml:space="preserve"> </w:t>
            </w:r>
            <w:r>
              <w:rPr>
                <w:sz w:val="24"/>
              </w:rPr>
              <w:t>price</w:t>
            </w:r>
            <w:r>
              <w:rPr>
                <w:spacing w:val="-4"/>
                <w:sz w:val="24"/>
              </w:rPr>
              <w:t xml:space="preserve"> </w:t>
            </w:r>
            <w:r>
              <w:rPr>
                <w:sz w:val="24"/>
              </w:rPr>
              <w:t>of</w:t>
            </w:r>
            <w:r>
              <w:rPr>
                <w:spacing w:val="-15"/>
                <w:sz w:val="24"/>
              </w:rPr>
              <w:t xml:space="preserve"> </w:t>
            </w:r>
            <w:r>
              <w:rPr>
                <w:sz w:val="24"/>
              </w:rPr>
              <w:t>the</w:t>
            </w:r>
            <w:r>
              <w:rPr>
                <w:spacing w:val="-8"/>
                <w:sz w:val="24"/>
              </w:rPr>
              <w:t xml:space="preserve"> </w:t>
            </w:r>
            <w:r>
              <w:rPr>
                <w:sz w:val="24"/>
              </w:rPr>
              <w:t>item</w:t>
            </w:r>
            <w:r>
              <w:rPr>
                <w:spacing w:val="-16"/>
                <w:sz w:val="24"/>
              </w:rPr>
              <w:t xml:space="preserve"> </w:t>
            </w:r>
            <w:r>
              <w:rPr>
                <w:sz w:val="24"/>
              </w:rPr>
              <w:t>or</w:t>
            </w:r>
            <w:r>
              <w:rPr>
                <w:spacing w:val="-10"/>
                <w:sz w:val="24"/>
              </w:rPr>
              <w:t xml:space="preserve"> </w:t>
            </w:r>
            <w:r>
              <w:rPr>
                <w:sz w:val="24"/>
              </w:rPr>
              <w:t>component</w:t>
            </w:r>
            <w:r>
              <w:rPr>
                <w:spacing w:val="-7"/>
                <w:sz w:val="24"/>
              </w:rPr>
              <w:t xml:space="preserve"> </w:t>
            </w:r>
            <w:r>
              <w:rPr>
                <w:sz w:val="24"/>
              </w:rPr>
              <w:t>as quoted in other substantially responsive Tenders. If the price of the item or component cannot be derived from</w:t>
            </w:r>
            <w:r>
              <w:rPr>
                <w:spacing w:val="-3"/>
                <w:sz w:val="24"/>
              </w:rPr>
              <w:t xml:space="preserve"> </w:t>
            </w:r>
            <w:r>
              <w:rPr>
                <w:sz w:val="24"/>
              </w:rPr>
              <w:t>the price of</w:t>
            </w:r>
            <w:r>
              <w:rPr>
                <w:spacing w:val="-2"/>
                <w:sz w:val="24"/>
              </w:rPr>
              <w:t xml:space="preserve"> </w:t>
            </w:r>
            <w:r>
              <w:rPr>
                <w:sz w:val="24"/>
              </w:rPr>
              <w:t>other substantially responsive Tenders, the Procuring Entity</w:t>
            </w:r>
            <w:r>
              <w:rPr>
                <w:spacing w:val="-8"/>
                <w:sz w:val="24"/>
              </w:rPr>
              <w:t xml:space="preserve"> </w:t>
            </w:r>
            <w:r>
              <w:rPr>
                <w:sz w:val="24"/>
              </w:rPr>
              <w:t>shall</w:t>
            </w:r>
            <w:r>
              <w:rPr>
                <w:spacing w:val="-2"/>
                <w:sz w:val="24"/>
              </w:rPr>
              <w:t xml:space="preserve"> </w:t>
            </w:r>
            <w:r>
              <w:rPr>
                <w:sz w:val="24"/>
              </w:rPr>
              <w:t>use its best estimate. NOT APPLICABLE</w:t>
            </w:r>
          </w:p>
        </w:tc>
      </w:tr>
      <w:tr w:rsidR="00BB77C0" w14:paraId="789FEA37" w14:textId="77777777">
        <w:trPr>
          <w:trHeight w:val="455"/>
        </w:trPr>
        <w:tc>
          <w:tcPr>
            <w:tcW w:w="1647" w:type="dxa"/>
          </w:tcPr>
          <w:p w14:paraId="079BA134" w14:textId="77777777" w:rsidR="00BB77C0" w:rsidRDefault="00370BAA">
            <w:pPr>
              <w:pStyle w:val="TableParagraph"/>
              <w:spacing w:line="263" w:lineRule="exact"/>
              <w:ind w:left="138"/>
              <w:rPr>
                <w:sz w:val="24"/>
              </w:rPr>
            </w:pPr>
            <w:r>
              <w:rPr>
                <w:w w:val="110"/>
                <w:sz w:val="24"/>
              </w:rPr>
              <w:t>ITT</w:t>
            </w:r>
            <w:r>
              <w:rPr>
                <w:spacing w:val="-12"/>
                <w:w w:val="110"/>
                <w:sz w:val="24"/>
              </w:rPr>
              <w:t xml:space="preserve"> </w:t>
            </w:r>
            <w:r>
              <w:rPr>
                <w:spacing w:val="-4"/>
                <w:w w:val="110"/>
                <w:sz w:val="24"/>
              </w:rPr>
              <w:t>35.2</w:t>
            </w:r>
          </w:p>
        </w:tc>
        <w:tc>
          <w:tcPr>
            <w:tcW w:w="8087" w:type="dxa"/>
          </w:tcPr>
          <w:p w14:paraId="7883F020" w14:textId="77777777" w:rsidR="00BB77C0" w:rsidRDefault="00370BAA">
            <w:pPr>
              <w:pStyle w:val="TableParagraph"/>
              <w:spacing w:line="263" w:lineRule="exact"/>
              <w:ind w:right="93"/>
              <w:jc w:val="center"/>
              <w:rPr>
                <w:sz w:val="24"/>
              </w:rPr>
            </w:pPr>
            <w:r>
              <w:rPr>
                <w:sz w:val="24"/>
              </w:rPr>
              <w:t>The</w:t>
            </w:r>
            <w:r>
              <w:rPr>
                <w:spacing w:val="-4"/>
                <w:sz w:val="24"/>
              </w:rPr>
              <w:t xml:space="preserve"> </w:t>
            </w:r>
            <w:r>
              <w:rPr>
                <w:sz w:val="24"/>
              </w:rPr>
              <w:t>invitation</w:t>
            </w:r>
            <w:r>
              <w:rPr>
                <w:spacing w:val="-10"/>
                <w:sz w:val="24"/>
              </w:rPr>
              <w:t xml:space="preserve"> </w:t>
            </w:r>
            <w:r>
              <w:rPr>
                <w:sz w:val="24"/>
              </w:rPr>
              <w:t>to</w:t>
            </w:r>
            <w:r>
              <w:rPr>
                <w:spacing w:val="-6"/>
                <w:sz w:val="24"/>
              </w:rPr>
              <w:t xml:space="preserve"> </w:t>
            </w:r>
            <w:r>
              <w:rPr>
                <w:sz w:val="24"/>
              </w:rPr>
              <w:t>tender</w:t>
            </w:r>
            <w:r>
              <w:rPr>
                <w:spacing w:val="-5"/>
                <w:sz w:val="24"/>
              </w:rPr>
              <w:t xml:space="preserve"> </w:t>
            </w:r>
            <w:r>
              <w:rPr>
                <w:sz w:val="24"/>
              </w:rPr>
              <w:t>is</w:t>
            </w:r>
            <w:r>
              <w:rPr>
                <w:spacing w:val="-4"/>
                <w:sz w:val="24"/>
              </w:rPr>
              <w:t xml:space="preserve"> </w:t>
            </w:r>
            <w:r>
              <w:rPr>
                <w:sz w:val="24"/>
              </w:rPr>
              <w:t>extended</w:t>
            </w:r>
            <w:r>
              <w:rPr>
                <w:spacing w:val="-7"/>
                <w:sz w:val="24"/>
              </w:rPr>
              <w:t xml:space="preserve"> </w:t>
            </w:r>
            <w:r>
              <w:rPr>
                <w:sz w:val="24"/>
              </w:rPr>
              <w:t>to</w:t>
            </w:r>
            <w:r>
              <w:rPr>
                <w:spacing w:val="-2"/>
                <w:sz w:val="24"/>
              </w:rPr>
              <w:t xml:space="preserve"> </w:t>
            </w:r>
            <w:r>
              <w:rPr>
                <w:sz w:val="24"/>
              </w:rPr>
              <w:t>bidders</w:t>
            </w:r>
            <w:r>
              <w:rPr>
                <w:spacing w:val="-7"/>
                <w:sz w:val="24"/>
              </w:rPr>
              <w:t xml:space="preserve"> </w:t>
            </w:r>
            <w:r>
              <w:rPr>
                <w:sz w:val="24"/>
              </w:rPr>
              <w:t>as</w:t>
            </w:r>
            <w:r>
              <w:rPr>
                <w:spacing w:val="-4"/>
                <w:sz w:val="24"/>
              </w:rPr>
              <w:t xml:space="preserve"> </w:t>
            </w:r>
            <w:r>
              <w:rPr>
                <w:sz w:val="24"/>
              </w:rPr>
              <w:t>indicated</w:t>
            </w:r>
            <w:r>
              <w:rPr>
                <w:spacing w:val="-1"/>
                <w:sz w:val="24"/>
              </w:rPr>
              <w:t xml:space="preserve"> </w:t>
            </w:r>
            <w:r>
              <w:rPr>
                <w:sz w:val="24"/>
              </w:rPr>
              <w:t>in</w:t>
            </w:r>
            <w:r>
              <w:rPr>
                <w:spacing w:val="-11"/>
                <w:sz w:val="24"/>
              </w:rPr>
              <w:t xml:space="preserve"> </w:t>
            </w:r>
            <w:r>
              <w:rPr>
                <w:sz w:val="24"/>
              </w:rPr>
              <w:t>the</w:t>
            </w:r>
            <w:r>
              <w:rPr>
                <w:spacing w:val="-7"/>
                <w:sz w:val="24"/>
              </w:rPr>
              <w:t xml:space="preserve"> </w:t>
            </w:r>
            <w:r>
              <w:rPr>
                <w:sz w:val="24"/>
              </w:rPr>
              <w:t>Tender</w:t>
            </w:r>
            <w:r>
              <w:rPr>
                <w:spacing w:val="-4"/>
                <w:sz w:val="24"/>
              </w:rPr>
              <w:t xml:space="preserve"> </w:t>
            </w:r>
            <w:r>
              <w:rPr>
                <w:spacing w:val="-2"/>
                <w:sz w:val="24"/>
              </w:rPr>
              <w:t>Notice.</w:t>
            </w:r>
          </w:p>
        </w:tc>
      </w:tr>
      <w:tr w:rsidR="00BB77C0" w14:paraId="26BC06F7" w14:textId="77777777">
        <w:trPr>
          <w:trHeight w:val="757"/>
        </w:trPr>
        <w:tc>
          <w:tcPr>
            <w:tcW w:w="1647" w:type="dxa"/>
          </w:tcPr>
          <w:p w14:paraId="29E94415" w14:textId="77777777" w:rsidR="00BB77C0" w:rsidRDefault="00370BAA">
            <w:pPr>
              <w:pStyle w:val="TableParagraph"/>
              <w:spacing w:line="263" w:lineRule="exact"/>
              <w:ind w:left="138"/>
              <w:rPr>
                <w:sz w:val="24"/>
              </w:rPr>
            </w:pPr>
            <w:r>
              <w:rPr>
                <w:w w:val="110"/>
                <w:sz w:val="24"/>
              </w:rPr>
              <w:t>ITT</w:t>
            </w:r>
            <w:r>
              <w:rPr>
                <w:spacing w:val="-12"/>
                <w:w w:val="110"/>
                <w:sz w:val="24"/>
              </w:rPr>
              <w:t xml:space="preserve"> </w:t>
            </w:r>
            <w:r>
              <w:rPr>
                <w:spacing w:val="-4"/>
                <w:w w:val="110"/>
                <w:sz w:val="24"/>
              </w:rPr>
              <w:t>36.1</w:t>
            </w:r>
          </w:p>
        </w:tc>
        <w:tc>
          <w:tcPr>
            <w:tcW w:w="8087" w:type="dxa"/>
          </w:tcPr>
          <w:p w14:paraId="74E59618" w14:textId="77777777" w:rsidR="00BB77C0" w:rsidRDefault="00370BAA">
            <w:pPr>
              <w:pStyle w:val="TableParagraph"/>
              <w:spacing w:line="204" w:lineRule="auto"/>
              <w:ind w:left="133"/>
              <w:rPr>
                <w:sz w:val="24"/>
              </w:rPr>
            </w:pPr>
            <w:r>
              <w:rPr>
                <w:spacing w:val="-2"/>
                <w:sz w:val="24"/>
              </w:rPr>
              <w:t>At</w:t>
            </w:r>
            <w:r>
              <w:rPr>
                <w:spacing w:val="-11"/>
                <w:sz w:val="24"/>
              </w:rPr>
              <w:t xml:space="preserve"> </w:t>
            </w:r>
            <w:r>
              <w:rPr>
                <w:spacing w:val="-2"/>
                <w:sz w:val="24"/>
              </w:rPr>
              <w:t>this</w:t>
            </w:r>
            <w:r>
              <w:rPr>
                <w:spacing w:val="-14"/>
                <w:sz w:val="24"/>
              </w:rPr>
              <w:t xml:space="preserve"> </w:t>
            </w:r>
            <w:r>
              <w:rPr>
                <w:spacing w:val="-2"/>
                <w:sz w:val="24"/>
              </w:rPr>
              <w:t>time,</w:t>
            </w:r>
            <w:r>
              <w:rPr>
                <w:spacing w:val="-11"/>
                <w:sz w:val="24"/>
              </w:rPr>
              <w:t xml:space="preserve"> </w:t>
            </w:r>
            <w:r>
              <w:rPr>
                <w:spacing w:val="-2"/>
                <w:sz w:val="24"/>
              </w:rPr>
              <w:t>the</w:t>
            </w:r>
            <w:r>
              <w:rPr>
                <w:spacing w:val="-13"/>
                <w:sz w:val="24"/>
              </w:rPr>
              <w:t xml:space="preserve"> </w:t>
            </w:r>
            <w:r>
              <w:rPr>
                <w:spacing w:val="-2"/>
                <w:sz w:val="24"/>
              </w:rPr>
              <w:t>Procuring</w:t>
            </w:r>
            <w:r>
              <w:rPr>
                <w:spacing w:val="-8"/>
                <w:sz w:val="24"/>
              </w:rPr>
              <w:t xml:space="preserve"> </w:t>
            </w:r>
            <w:r>
              <w:rPr>
                <w:spacing w:val="-2"/>
                <w:sz w:val="24"/>
              </w:rPr>
              <w:t>Entity</w:t>
            </w:r>
            <w:r>
              <w:rPr>
                <w:spacing w:val="-12"/>
                <w:sz w:val="24"/>
              </w:rPr>
              <w:t xml:space="preserve"> </w:t>
            </w:r>
            <w:r>
              <w:rPr>
                <w:i/>
                <w:spacing w:val="-2"/>
                <w:sz w:val="24"/>
              </w:rPr>
              <w:t>DOES</w:t>
            </w:r>
            <w:r>
              <w:rPr>
                <w:i/>
                <w:spacing w:val="-8"/>
                <w:sz w:val="24"/>
              </w:rPr>
              <w:t xml:space="preserve"> </w:t>
            </w:r>
            <w:r>
              <w:rPr>
                <w:i/>
                <w:spacing w:val="-2"/>
                <w:sz w:val="24"/>
              </w:rPr>
              <w:t>NOT</w:t>
            </w:r>
            <w:r>
              <w:rPr>
                <w:i/>
                <w:spacing w:val="-8"/>
                <w:sz w:val="24"/>
              </w:rPr>
              <w:t xml:space="preserve"> </w:t>
            </w:r>
            <w:r>
              <w:rPr>
                <w:i/>
                <w:spacing w:val="-2"/>
                <w:sz w:val="24"/>
              </w:rPr>
              <w:t>INTEND</w:t>
            </w:r>
            <w:r>
              <w:rPr>
                <w:i/>
                <w:spacing w:val="-5"/>
                <w:sz w:val="24"/>
              </w:rPr>
              <w:t xml:space="preserve"> </w:t>
            </w:r>
            <w:r>
              <w:rPr>
                <w:i/>
                <w:spacing w:val="-2"/>
                <w:sz w:val="24"/>
              </w:rPr>
              <w:t>to</w:t>
            </w:r>
            <w:r>
              <w:rPr>
                <w:i/>
                <w:spacing w:val="-9"/>
                <w:sz w:val="24"/>
              </w:rPr>
              <w:t xml:space="preserve"> </w:t>
            </w:r>
            <w:r>
              <w:rPr>
                <w:spacing w:val="-2"/>
                <w:sz w:val="24"/>
              </w:rPr>
              <w:t>execute</w:t>
            </w:r>
            <w:r>
              <w:rPr>
                <w:spacing w:val="-13"/>
                <w:sz w:val="24"/>
              </w:rPr>
              <w:t xml:space="preserve"> </w:t>
            </w:r>
            <w:r>
              <w:rPr>
                <w:spacing w:val="-2"/>
                <w:sz w:val="24"/>
              </w:rPr>
              <w:t>certain</w:t>
            </w:r>
            <w:r>
              <w:rPr>
                <w:spacing w:val="-17"/>
                <w:sz w:val="24"/>
              </w:rPr>
              <w:t xml:space="preserve"> </w:t>
            </w:r>
            <w:r>
              <w:rPr>
                <w:spacing w:val="-2"/>
                <w:sz w:val="24"/>
              </w:rPr>
              <w:t xml:space="preserve">specific </w:t>
            </w:r>
            <w:r>
              <w:rPr>
                <w:sz w:val="24"/>
              </w:rPr>
              <w:t>partsof the Works by subcontractors selected in advance.</w:t>
            </w:r>
          </w:p>
        </w:tc>
      </w:tr>
      <w:tr w:rsidR="00BB77C0" w14:paraId="6361682D" w14:textId="77777777">
        <w:trPr>
          <w:trHeight w:val="1146"/>
        </w:trPr>
        <w:tc>
          <w:tcPr>
            <w:tcW w:w="1647" w:type="dxa"/>
          </w:tcPr>
          <w:p w14:paraId="1663E91B" w14:textId="77777777" w:rsidR="00BB77C0" w:rsidRDefault="00370BAA">
            <w:pPr>
              <w:pStyle w:val="TableParagraph"/>
              <w:spacing w:line="267" w:lineRule="exact"/>
              <w:ind w:left="138"/>
              <w:rPr>
                <w:sz w:val="24"/>
              </w:rPr>
            </w:pPr>
            <w:r>
              <w:rPr>
                <w:w w:val="110"/>
                <w:sz w:val="24"/>
              </w:rPr>
              <w:t>ITT</w:t>
            </w:r>
            <w:r>
              <w:rPr>
                <w:spacing w:val="-12"/>
                <w:w w:val="110"/>
                <w:sz w:val="24"/>
              </w:rPr>
              <w:t xml:space="preserve"> </w:t>
            </w:r>
            <w:r>
              <w:rPr>
                <w:spacing w:val="-4"/>
                <w:w w:val="110"/>
                <w:sz w:val="24"/>
              </w:rPr>
              <w:t>36.3</w:t>
            </w:r>
          </w:p>
        </w:tc>
        <w:tc>
          <w:tcPr>
            <w:tcW w:w="8087" w:type="dxa"/>
          </w:tcPr>
          <w:p w14:paraId="11F26D34" w14:textId="77777777" w:rsidR="00BB77C0" w:rsidRDefault="00370BAA">
            <w:pPr>
              <w:pStyle w:val="TableParagraph"/>
              <w:spacing w:before="5" w:line="204" w:lineRule="auto"/>
              <w:ind w:left="133"/>
              <w:rPr>
                <w:sz w:val="24"/>
              </w:rPr>
            </w:pPr>
            <w:r>
              <w:rPr>
                <w:spacing w:val="-2"/>
                <w:sz w:val="24"/>
              </w:rPr>
              <w:t>The</w:t>
            </w:r>
            <w:r>
              <w:rPr>
                <w:spacing w:val="-18"/>
                <w:sz w:val="24"/>
              </w:rPr>
              <w:t xml:space="preserve"> </w:t>
            </w:r>
            <w:r>
              <w:rPr>
                <w:spacing w:val="-2"/>
                <w:sz w:val="24"/>
              </w:rPr>
              <w:t>parts</w:t>
            </w:r>
            <w:r>
              <w:rPr>
                <w:spacing w:val="-19"/>
                <w:sz w:val="24"/>
              </w:rPr>
              <w:t xml:space="preserve"> </w:t>
            </w:r>
            <w:r>
              <w:rPr>
                <w:spacing w:val="-2"/>
                <w:sz w:val="24"/>
              </w:rPr>
              <w:t>of</w:t>
            </w:r>
            <w:r>
              <w:rPr>
                <w:spacing w:val="-25"/>
                <w:sz w:val="24"/>
              </w:rPr>
              <w:t xml:space="preserve"> </w:t>
            </w:r>
            <w:r>
              <w:rPr>
                <w:spacing w:val="-2"/>
                <w:sz w:val="24"/>
              </w:rPr>
              <w:t>the</w:t>
            </w:r>
            <w:r>
              <w:rPr>
                <w:spacing w:val="-13"/>
                <w:sz w:val="24"/>
              </w:rPr>
              <w:t xml:space="preserve"> </w:t>
            </w:r>
            <w:r>
              <w:rPr>
                <w:spacing w:val="-2"/>
                <w:sz w:val="24"/>
              </w:rPr>
              <w:t>Works</w:t>
            </w:r>
            <w:r>
              <w:rPr>
                <w:spacing w:val="-14"/>
                <w:sz w:val="24"/>
              </w:rPr>
              <w:t xml:space="preserve"> </w:t>
            </w:r>
            <w:r>
              <w:rPr>
                <w:spacing w:val="-2"/>
                <w:sz w:val="24"/>
              </w:rPr>
              <w:t>for</w:t>
            </w:r>
            <w:r>
              <w:rPr>
                <w:spacing w:val="-16"/>
                <w:sz w:val="24"/>
              </w:rPr>
              <w:t xml:space="preserve"> </w:t>
            </w:r>
            <w:r>
              <w:rPr>
                <w:spacing w:val="-2"/>
                <w:sz w:val="24"/>
              </w:rPr>
              <w:t>which</w:t>
            </w:r>
            <w:r>
              <w:rPr>
                <w:spacing w:val="-17"/>
                <w:sz w:val="24"/>
              </w:rPr>
              <w:t xml:space="preserve"> </w:t>
            </w:r>
            <w:r>
              <w:rPr>
                <w:spacing w:val="-2"/>
                <w:sz w:val="24"/>
              </w:rPr>
              <w:t>the</w:t>
            </w:r>
            <w:r>
              <w:rPr>
                <w:spacing w:val="-13"/>
                <w:sz w:val="24"/>
              </w:rPr>
              <w:t xml:space="preserve"> </w:t>
            </w:r>
            <w:r>
              <w:rPr>
                <w:spacing w:val="-2"/>
                <w:sz w:val="24"/>
              </w:rPr>
              <w:t>Procuring</w:t>
            </w:r>
            <w:r>
              <w:rPr>
                <w:spacing w:val="-12"/>
                <w:sz w:val="24"/>
              </w:rPr>
              <w:t xml:space="preserve"> </w:t>
            </w:r>
            <w:r>
              <w:rPr>
                <w:spacing w:val="-2"/>
                <w:sz w:val="24"/>
              </w:rPr>
              <w:t>Entity</w:t>
            </w:r>
            <w:r>
              <w:rPr>
                <w:spacing w:val="-20"/>
                <w:sz w:val="24"/>
              </w:rPr>
              <w:t xml:space="preserve"> </w:t>
            </w:r>
            <w:r>
              <w:rPr>
                <w:spacing w:val="-2"/>
                <w:sz w:val="24"/>
              </w:rPr>
              <w:t>permits</w:t>
            </w:r>
            <w:r>
              <w:rPr>
                <w:spacing w:val="-14"/>
                <w:sz w:val="24"/>
              </w:rPr>
              <w:t xml:space="preserve"> </w:t>
            </w:r>
            <w:r>
              <w:rPr>
                <w:spacing w:val="-2"/>
                <w:sz w:val="24"/>
              </w:rPr>
              <w:t>Tenderers</w:t>
            </w:r>
            <w:r>
              <w:rPr>
                <w:spacing w:val="-18"/>
                <w:sz w:val="24"/>
              </w:rPr>
              <w:t xml:space="preserve"> </w:t>
            </w:r>
            <w:r>
              <w:rPr>
                <w:spacing w:val="-2"/>
                <w:sz w:val="24"/>
              </w:rPr>
              <w:t>to</w:t>
            </w:r>
            <w:r>
              <w:rPr>
                <w:spacing w:val="-17"/>
                <w:sz w:val="24"/>
              </w:rPr>
              <w:t xml:space="preserve"> </w:t>
            </w:r>
            <w:r>
              <w:rPr>
                <w:spacing w:val="-2"/>
                <w:sz w:val="24"/>
              </w:rPr>
              <w:t xml:space="preserve">propose </w:t>
            </w:r>
            <w:r>
              <w:rPr>
                <w:sz w:val="24"/>
              </w:rPr>
              <w:t>Specialized Subcontractors are designated as follows:</w:t>
            </w:r>
          </w:p>
          <w:p w14:paraId="1C5426CE" w14:textId="77777777" w:rsidR="00BB77C0" w:rsidRDefault="00370BAA">
            <w:pPr>
              <w:pStyle w:val="TableParagraph"/>
              <w:spacing w:line="268" w:lineRule="exact"/>
              <w:ind w:left="133"/>
              <w:rPr>
                <w:sz w:val="24"/>
              </w:rPr>
            </w:pPr>
            <w:r>
              <w:rPr>
                <w:w w:val="105"/>
                <w:sz w:val="24"/>
              </w:rPr>
              <w:t>NOT</w:t>
            </w:r>
            <w:r>
              <w:rPr>
                <w:spacing w:val="-16"/>
                <w:w w:val="105"/>
                <w:sz w:val="24"/>
              </w:rPr>
              <w:t xml:space="preserve"> </w:t>
            </w:r>
            <w:r>
              <w:rPr>
                <w:spacing w:val="-2"/>
                <w:w w:val="105"/>
                <w:sz w:val="24"/>
              </w:rPr>
              <w:t>APPLICABLE</w:t>
            </w:r>
          </w:p>
        </w:tc>
      </w:tr>
      <w:tr w:rsidR="00BB77C0" w14:paraId="568F8274" w14:textId="77777777">
        <w:trPr>
          <w:trHeight w:val="766"/>
        </w:trPr>
        <w:tc>
          <w:tcPr>
            <w:tcW w:w="1647" w:type="dxa"/>
          </w:tcPr>
          <w:p w14:paraId="2AE68128" w14:textId="77777777" w:rsidR="00BB77C0" w:rsidRDefault="00370BAA">
            <w:pPr>
              <w:pStyle w:val="TableParagraph"/>
              <w:spacing w:line="263" w:lineRule="exact"/>
              <w:ind w:left="138"/>
              <w:rPr>
                <w:sz w:val="24"/>
              </w:rPr>
            </w:pPr>
            <w:r>
              <w:rPr>
                <w:w w:val="110"/>
                <w:sz w:val="24"/>
              </w:rPr>
              <w:t>ITT</w:t>
            </w:r>
            <w:r>
              <w:rPr>
                <w:spacing w:val="-11"/>
                <w:w w:val="110"/>
                <w:sz w:val="24"/>
              </w:rPr>
              <w:t xml:space="preserve"> </w:t>
            </w:r>
            <w:r>
              <w:rPr>
                <w:w w:val="110"/>
                <w:sz w:val="24"/>
              </w:rPr>
              <w:t>37.2</w:t>
            </w:r>
            <w:r>
              <w:rPr>
                <w:spacing w:val="-13"/>
                <w:w w:val="110"/>
                <w:sz w:val="24"/>
              </w:rPr>
              <w:t xml:space="preserve"> </w:t>
            </w:r>
            <w:r>
              <w:rPr>
                <w:spacing w:val="-5"/>
                <w:w w:val="110"/>
                <w:sz w:val="24"/>
              </w:rPr>
              <w:t>(d)</w:t>
            </w:r>
          </w:p>
        </w:tc>
        <w:tc>
          <w:tcPr>
            <w:tcW w:w="8087" w:type="dxa"/>
          </w:tcPr>
          <w:p w14:paraId="67F5AA34" w14:textId="77777777" w:rsidR="00BB77C0" w:rsidRDefault="00370BAA">
            <w:pPr>
              <w:pStyle w:val="TableParagraph"/>
              <w:spacing w:line="208" w:lineRule="auto"/>
              <w:ind w:left="133" w:right="314"/>
              <w:rPr>
                <w:sz w:val="24"/>
              </w:rPr>
            </w:pPr>
            <w:r>
              <w:rPr>
                <w:sz w:val="24"/>
              </w:rPr>
              <w:t>Additional</w:t>
            </w:r>
            <w:r>
              <w:rPr>
                <w:spacing w:val="-11"/>
                <w:sz w:val="24"/>
              </w:rPr>
              <w:t xml:space="preserve"> </w:t>
            </w:r>
            <w:r>
              <w:rPr>
                <w:sz w:val="24"/>
              </w:rPr>
              <w:t>requirements</w:t>
            </w:r>
            <w:r>
              <w:rPr>
                <w:spacing w:val="-6"/>
                <w:sz w:val="24"/>
              </w:rPr>
              <w:t xml:space="preserve"> </w:t>
            </w:r>
            <w:r>
              <w:rPr>
                <w:sz w:val="24"/>
              </w:rPr>
              <w:t>apply.</w:t>
            </w:r>
            <w:r>
              <w:rPr>
                <w:spacing w:val="-2"/>
                <w:sz w:val="24"/>
              </w:rPr>
              <w:t xml:space="preserve"> </w:t>
            </w:r>
            <w:r>
              <w:rPr>
                <w:sz w:val="24"/>
              </w:rPr>
              <w:t>These</w:t>
            </w:r>
            <w:r>
              <w:rPr>
                <w:spacing w:val="-1"/>
                <w:sz w:val="24"/>
              </w:rPr>
              <w:t xml:space="preserve"> </w:t>
            </w:r>
            <w:r>
              <w:rPr>
                <w:sz w:val="24"/>
              </w:rPr>
              <w:t>are</w:t>
            </w:r>
            <w:r>
              <w:rPr>
                <w:spacing w:val="-4"/>
                <w:sz w:val="24"/>
              </w:rPr>
              <w:t xml:space="preserve"> </w:t>
            </w:r>
            <w:r>
              <w:rPr>
                <w:sz w:val="24"/>
              </w:rPr>
              <w:t>detailed</w:t>
            </w:r>
            <w:r>
              <w:rPr>
                <w:spacing w:val="-4"/>
                <w:sz w:val="24"/>
              </w:rPr>
              <w:t xml:space="preserve"> </w:t>
            </w:r>
            <w:r>
              <w:rPr>
                <w:sz w:val="24"/>
              </w:rPr>
              <w:t>in</w:t>
            </w:r>
            <w:r>
              <w:rPr>
                <w:spacing w:val="-9"/>
                <w:sz w:val="24"/>
              </w:rPr>
              <w:t xml:space="preserve"> </w:t>
            </w:r>
            <w:r>
              <w:rPr>
                <w:sz w:val="24"/>
              </w:rPr>
              <w:t>the</w:t>
            </w:r>
            <w:r>
              <w:rPr>
                <w:spacing w:val="-3"/>
                <w:sz w:val="24"/>
              </w:rPr>
              <w:t xml:space="preserve"> </w:t>
            </w:r>
            <w:r>
              <w:rPr>
                <w:sz w:val="24"/>
              </w:rPr>
              <w:t>evaluation</w:t>
            </w:r>
            <w:r>
              <w:rPr>
                <w:spacing w:val="-7"/>
                <w:sz w:val="24"/>
              </w:rPr>
              <w:t xml:space="preserve"> </w:t>
            </w:r>
            <w:r>
              <w:rPr>
                <w:sz w:val="24"/>
              </w:rPr>
              <w:t>criteria</w:t>
            </w:r>
            <w:r>
              <w:rPr>
                <w:spacing w:val="-1"/>
                <w:sz w:val="24"/>
              </w:rPr>
              <w:t xml:space="preserve"> </w:t>
            </w:r>
            <w:r>
              <w:rPr>
                <w:sz w:val="24"/>
              </w:rPr>
              <w:t>in Section</w:t>
            </w:r>
            <w:r>
              <w:rPr>
                <w:spacing w:val="40"/>
                <w:sz w:val="24"/>
              </w:rPr>
              <w:t xml:space="preserve"> </w:t>
            </w:r>
            <w:r>
              <w:rPr>
                <w:sz w:val="24"/>
              </w:rPr>
              <w:t>III,</w:t>
            </w:r>
            <w:r>
              <w:rPr>
                <w:spacing w:val="40"/>
                <w:sz w:val="24"/>
              </w:rPr>
              <w:t xml:space="preserve"> </w:t>
            </w:r>
            <w:r>
              <w:rPr>
                <w:sz w:val="24"/>
              </w:rPr>
              <w:t>Evaluation</w:t>
            </w:r>
            <w:r>
              <w:rPr>
                <w:spacing w:val="40"/>
                <w:sz w:val="24"/>
              </w:rPr>
              <w:t xml:space="preserve"> </w:t>
            </w:r>
            <w:r>
              <w:rPr>
                <w:sz w:val="24"/>
              </w:rPr>
              <w:t>and</w:t>
            </w:r>
            <w:r>
              <w:rPr>
                <w:spacing w:val="40"/>
                <w:sz w:val="24"/>
              </w:rPr>
              <w:t xml:space="preserve"> </w:t>
            </w:r>
            <w:r>
              <w:rPr>
                <w:sz w:val="24"/>
              </w:rPr>
              <w:t>Qualification</w:t>
            </w:r>
            <w:r>
              <w:rPr>
                <w:spacing w:val="40"/>
                <w:sz w:val="24"/>
              </w:rPr>
              <w:t xml:space="preserve"> </w:t>
            </w:r>
            <w:r>
              <w:rPr>
                <w:sz w:val="24"/>
              </w:rPr>
              <w:t>Criteria.</w:t>
            </w:r>
          </w:p>
        </w:tc>
      </w:tr>
    </w:tbl>
    <w:p w14:paraId="5A8C75C1" w14:textId="77777777" w:rsidR="00BB77C0" w:rsidRDefault="00BB77C0">
      <w:pPr>
        <w:pStyle w:val="TableParagraph"/>
        <w:spacing w:line="208" w:lineRule="auto"/>
        <w:rPr>
          <w:sz w:val="24"/>
        </w:rPr>
        <w:sectPr w:rsidR="00BB77C0">
          <w:pgSz w:w="11930" w:h="16870"/>
          <w:pgMar w:top="1400" w:right="1080" w:bottom="280" w:left="1080" w:header="720" w:footer="720" w:gutter="0"/>
          <w:cols w:space="720"/>
        </w:sectPr>
      </w:pPr>
    </w:p>
    <w:p w14:paraId="598E503E" w14:textId="77777777" w:rsidR="00BB77C0" w:rsidRDefault="00BB77C0">
      <w:pPr>
        <w:pStyle w:val="BodyText"/>
        <w:spacing w:before="5"/>
        <w:rPr>
          <w:sz w:val="2"/>
        </w:rPr>
      </w:pPr>
    </w:p>
    <w:tbl>
      <w:tblPr>
        <w:tblW w:w="0" w:type="auto"/>
        <w:tblInd w:w="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647"/>
        <w:gridCol w:w="8087"/>
      </w:tblGrid>
      <w:tr w:rsidR="00BB77C0" w14:paraId="513BBD62" w14:textId="77777777">
        <w:trPr>
          <w:trHeight w:val="5823"/>
        </w:trPr>
        <w:tc>
          <w:tcPr>
            <w:tcW w:w="1647" w:type="dxa"/>
          </w:tcPr>
          <w:p w14:paraId="43A94047" w14:textId="77777777" w:rsidR="00BB77C0" w:rsidRDefault="00370BAA">
            <w:pPr>
              <w:pStyle w:val="TableParagraph"/>
              <w:spacing w:line="263" w:lineRule="exact"/>
              <w:ind w:left="138"/>
              <w:rPr>
                <w:sz w:val="24"/>
              </w:rPr>
            </w:pPr>
            <w:r>
              <w:rPr>
                <w:w w:val="110"/>
                <w:sz w:val="24"/>
              </w:rPr>
              <w:t>ITT</w:t>
            </w:r>
            <w:r>
              <w:rPr>
                <w:spacing w:val="-12"/>
                <w:w w:val="110"/>
                <w:sz w:val="24"/>
              </w:rPr>
              <w:t xml:space="preserve"> </w:t>
            </w:r>
            <w:r>
              <w:rPr>
                <w:spacing w:val="-4"/>
                <w:w w:val="110"/>
                <w:sz w:val="24"/>
              </w:rPr>
              <w:t>54.1</w:t>
            </w:r>
          </w:p>
        </w:tc>
        <w:tc>
          <w:tcPr>
            <w:tcW w:w="8087" w:type="dxa"/>
          </w:tcPr>
          <w:p w14:paraId="4F13B0E5" w14:textId="77777777" w:rsidR="00BB77C0" w:rsidRDefault="00370BAA">
            <w:pPr>
              <w:pStyle w:val="TableParagraph"/>
              <w:spacing w:line="242" w:lineRule="auto"/>
              <w:ind w:left="128" w:right="70" w:firstLine="4"/>
              <w:rPr>
                <w:sz w:val="24"/>
              </w:rPr>
            </w:pPr>
            <w:r>
              <w:rPr>
                <w:color w:val="342D2F"/>
                <w:sz w:val="24"/>
              </w:rPr>
              <w:t>The</w:t>
            </w:r>
            <w:r>
              <w:rPr>
                <w:color w:val="342D2F"/>
                <w:spacing w:val="-10"/>
                <w:sz w:val="24"/>
              </w:rPr>
              <w:t xml:space="preserve"> </w:t>
            </w:r>
            <w:r>
              <w:rPr>
                <w:color w:val="342D2F"/>
                <w:sz w:val="24"/>
              </w:rPr>
              <w:t>procedures</w:t>
            </w:r>
            <w:r>
              <w:rPr>
                <w:color w:val="342D2F"/>
                <w:spacing w:val="-11"/>
                <w:sz w:val="24"/>
              </w:rPr>
              <w:t xml:space="preserve"> </w:t>
            </w:r>
            <w:r>
              <w:rPr>
                <w:color w:val="342D2F"/>
                <w:sz w:val="24"/>
              </w:rPr>
              <w:t>for</w:t>
            </w:r>
            <w:r>
              <w:rPr>
                <w:color w:val="342D2F"/>
                <w:spacing w:val="-8"/>
                <w:sz w:val="24"/>
              </w:rPr>
              <w:t xml:space="preserve"> </w:t>
            </w:r>
            <w:r>
              <w:rPr>
                <w:color w:val="342D2F"/>
                <w:sz w:val="24"/>
              </w:rPr>
              <w:t>making</w:t>
            </w:r>
            <w:r>
              <w:rPr>
                <w:color w:val="342D2F"/>
                <w:spacing w:val="-9"/>
                <w:sz w:val="24"/>
              </w:rPr>
              <w:t xml:space="preserve"> </w:t>
            </w:r>
            <w:r>
              <w:rPr>
                <w:color w:val="342D2F"/>
                <w:sz w:val="24"/>
              </w:rPr>
              <w:t>a</w:t>
            </w:r>
            <w:r>
              <w:rPr>
                <w:color w:val="342D2F"/>
                <w:spacing w:val="-11"/>
                <w:sz w:val="24"/>
              </w:rPr>
              <w:t xml:space="preserve"> </w:t>
            </w:r>
            <w:r>
              <w:rPr>
                <w:color w:val="342D2F"/>
                <w:sz w:val="24"/>
              </w:rPr>
              <w:t>Procurement-related</w:t>
            </w:r>
            <w:r>
              <w:rPr>
                <w:color w:val="342D2F"/>
                <w:spacing w:val="-9"/>
                <w:sz w:val="24"/>
              </w:rPr>
              <w:t xml:space="preserve"> </w:t>
            </w:r>
            <w:r>
              <w:rPr>
                <w:color w:val="342D2F"/>
                <w:sz w:val="24"/>
              </w:rPr>
              <w:t>Complaint</w:t>
            </w:r>
            <w:r>
              <w:rPr>
                <w:color w:val="342D2F"/>
                <w:spacing w:val="-4"/>
                <w:sz w:val="24"/>
              </w:rPr>
              <w:t xml:space="preserve"> </w:t>
            </w:r>
            <w:r>
              <w:rPr>
                <w:color w:val="342D2F"/>
                <w:sz w:val="24"/>
              </w:rPr>
              <w:t>are</w:t>
            </w:r>
            <w:r>
              <w:rPr>
                <w:color w:val="342D2F"/>
                <w:spacing w:val="-10"/>
                <w:sz w:val="24"/>
              </w:rPr>
              <w:t xml:space="preserve"> </w:t>
            </w:r>
            <w:r>
              <w:rPr>
                <w:color w:val="342D2F"/>
                <w:sz w:val="24"/>
              </w:rPr>
              <w:t>available</w:t>
            </w:r>
            <w:r>
              <w:rPr>
                <w:color w:val="342D2F"/>
                <w:spacing w:val="-5"/>
                <w:sz w:val="24"/>
              </w:rPr>
              <w:t xml:space="preserve"> </w:t>
            </w:r>
            <w:r>
              <w:rPr>
                <w:color w:val="342D2F"/>
                <w:sz w:val="24"/>
              </w:rPr>
              <w:t xml:space="preserve">from </w:t>
            </w:r>
            <w:r>
              <w:rPr>
                <w:color w:val="342D2F"/>
                <w:spacing w:val="-4"/>
                <w:sz w:val="24"/>
              </w:rPr>
              <w:t>the</w:t>
            </w:r>
          </w:p>
          <w:p w14:paraId="41761782" w14:textId="77777777" w:rsidR="00BB77C0" w:rsidRDefault="00370BAA">
            <w:pPr>
              <w:pStyle w:val="TableParagraph"/>
              <w:spacing w:before="86" w:line="242" w:lineRule="auto"/>
              <w:ind w:left="128" w:right="314" w:firstLine="62"/>
              <w:rPr>
                <w:sz w:val="24"/>
              </w:rPr>
            </w:pPr>
            <w:r>
              <w:rPr>
                <w:color w:val="342D2F"/>
                <w:sz w:val="24"/>
              </w:rPr>
              <w:t>PPRA</w:t>
            </w:r>
            <w:r>
              <w:rPr>
                <w:color w:val="342D2F"/>
                <w:spacing w:val="-14"/>
                <w:sz w:val="24"/>
              </w:rPr>
              <w:t xml:space="preserve"> </w:t>
            </w:r>
            <w:r>
              <w:rPr>
                <w:color w:val="342D2F"/>
                <w:sz w:val="24"/>
              </w:rPr>
              <w:t>website</w:t>
            </w:r>
            <w:r>
              <w:rPr>
                <w:color w:val="342D2F"/>
                <w:spacing w:val="-4"/>
                <w:sz w:val="24"/>
              </w:rPr>
              <w:t xml:space="preserve"> </w:t>
            </w:r>
            <w:hyperlink r:id="rId16">
              <w:r>
                <w:rPr>
                  <w:color w:val="342D2F"/>
                  <w:sz w:val="24"/>
                  <w:u w:val="single" w:color="211F1F"/>
                </w:rPr>
                <w:t>info</w:t>
              </w:r>
              <w:r>
                <w:rPr>
                  <w:color w:val="5D5B5B"/>
                  <w:sz w:val="24"/>
                  <w:u w:val="single" w:color="211F1F"/>
                </w:rPr>
                <w:t>@</w:t>
              </w:r>
              <w:r>
                <w:rPr>
                  <w:color w:val="342D2F"/>
                  <w:sz w:val="24"/>
                  <w:u w:val="single" w:color="211F1F"/>
                </w:rPr>
                <w:t>ppra.go</w:t>
              </w:r>
              <w:r>
                <w:rPr>
                  <w:color w:val="5D5B5B"/>
                  <w:sz w:val="24"/>
                  <w:u w:val="single" w:color="211F1F"/>
                </w:rPr>
                <w:t>.</w:t>
              </w:r>
              <w:r>
                <w:rPr>
                  <w:color w:val="342D2F"/>
                  <w:sz w:val="24"/>
                  <w:u w:val="single" w:color="211F1F"/>
                </w:rPr>
                <w:t>ke</w:t>
              </w:r>
              <w:r>
                <w:rPr>
                  <w:color w:val="342D2F"/>
                  <w:spacing w:val="-15"/>
                  <w:sz w:val="24"/>
                </w:rPr>
                <w:t xml:space="preserve"> </w:t>
              </w:r>
              <w:r>
                <w:rPr>
                  <w:color w:val="342D2F"/>
                  <w:sz w:val="24"/>
                </w:rPr>
                <w:t>or</w:t>
              </w:r>
            </w:hyperlink>
            <w:r>
              <w:rPr>
                <w:color w:val="342D2F"/>
                <w:spacing w:val="-11"/>
                <w:sz w:val="24"/>
              </w:rPr>
              <w:t xml:space="preserve"> </w:t>
            </w:r>
            <w:hyperlink r:id="rId17">
              <w:r>
                <w:rPr>
                  <w:color w:val="342D2F"/>
                  <w:sz w:val="24"/>
                  <w:u w:val="single" w:color="342D2F"/>
                </w:rPr>
                <w:t>complaints</w:t>
              </w:r>
              <w:r>
                <w:rPr>
                  <w:color w:val="342D2F"/>
                  <w:spacing w:val="-5"/>
                  <w:sz w:val="24"/>
                  <w:u w:val="single" w:color="342D2F"/>
                </w:rPr>
                <w:t xml:space="preserve"> </w:t>
              </w:r>
              <w:r>
                <w:rPr>
                  <w:color w:val="5D5B5B"/>
                  <w:sz w:val="24"/>
                  <w:u w:val="single" w:color="342D2F"/>
                </w:rPr>
                <w:t>@</w:t>
              </w:r>
              <w:r>
                <w:rPr>
                  <w:color w:val="342D2F"/>
                  <w:sz w:val="24"/>
                  <w:u w:val="single" w:color="342D2F"/>
                </w:rPr>
                <w:t>ppra</w:t>
              </w:r>
              <w:r>
                <w:rPr>
                  <w:color w:val="5D5B5B"/>
                  <w:sz w:val="24"/>
                  <w:u w:val="single" w:color="342D2F"/>
                </w:rPr>
                <w:t>.</w:t>
              </w:r>
              <w:r>
                <w:rPr>
                  <w:color w:val="342D2F"/>
                  <w:sz w:val="24"/>
                  <w:u w:val="single" w:color="342D2F"/>
                </w:rPr>
                <w:t>go.ke</w:t>
              </w:r>
              <w:r>
                <w:rPr>
                  <w:color w:val="342D2F"/>
                  <w:sz w:val="24"/>
                </w:rPr>
                <w:t>.</w:t>
              </w:r>
            </w:hyperlink>
            <w:r>
              <w:rPr>
                <w:color w:val="342D2F"/>
                <w:spacing w:val="-10"/>
                <w:sz w:val="24"/>
              </w:rPr>
              <w:t xml:space="preserve"> </w:t>
            </w:r>
            <w:r>
              <w:rPr>
                <w:color w:val="342D2F"/>
                <w:sz w:val="24"/>
              </w:rPr>
              <w:t>If</w:t>
            </w:r>
            <w:r>
              <w:rPr>
                <w:color w:val="342D2F"/>
                <w:spacing w:val="-15"/>
                <w:sz w:val="24"/>
              </w:rPr>
              <w:t xml:space="preserve"> </w:t>
            </w:r>
            <w:r>
              <w:rPr>
                <w:color w:val="342D2F"/>
                <w:sz w:val="24"/>
              </w:rPr>
              <w:t>a</w:t>
            </w:r>
            <w:r>
              <w:rPr>
                <w:color w:val="342D2F"/>
                <w:spacing w:val="-8"/>
                <w:sz w:val="24"/>
              </w:rPr>
              <w:t xml:space="preserve"> </w:t>
            </w:r>
            <w:r>
              <w:rPr>
                <w:color w:val="342D2F"/>
                <w:sz w:val="24"/>
              </w:rPr>
              <w:t xml:space="preserve">Tenderer </w:t>
            </w:r>
            <w:r>
              <w:rPr>
                <w:color w:val="342D2F"/>
                <w:spacing w:val="-2"/>
                <w:sz w:val="24"/>
              </w:rPr>
              <w:t>wishes</w:t>
            </w:r>
          </w:p>
          <w:p w14:paraId="6A70B9A7" w14:textId="77777777" w:rsidR="00BB77C0" w:rsidRDefault="00370BAA">
            <w:pPr>
              <w:pStyle w:val="TableParagraph"/>
              <w:spacing w:before="87" w:line="247" w:lineRule="auto"/>
              <w:ind w:left="128" w:right="314" w:firstLine="4"/>
              <w:rPr>
                <w:sz w:val="24"/>
              </w:rPr>
            </w:pPr>
            <w:r>
              <w:rPr>
                <w:color w:val="342D2F"/>
                <w:sz w:val="24"/>
              </w:rPr>
              <w:t>to</w:t>
            </w:r>
            <w:r>
              <w:rPr>
                <w:color w:val="342D2F"/>
                <w:spacing w:val="-7"/>
                <w:sz w:val="24"/>
              </w:rPr>
              <w:t xml:space="preserve"> </w:t>
            </w:r>
            <w:r>
              <w:rPr>
                <w:color w:val="342D2F"/>
                <w:sz w:val="24"/>
              </w:rPr>
              <w:t>make</w:t>
            </w:r>
            <w:r>
              <w:rPr>
                <w:color w:val="342D2F"/>
                <w:spacing w:val="-13"/>
                <w:sz w:val="24"/>
              </w:rPr>
              <w:t xml:space="preserve"> </w:t>
            </w:r>
            <w:r>
              <w:rPr>
                <w:color w:val="342D2F"/>
                <w:sz w:val="24"/>
              </w:rPr>
              <w:t>a</w:t>
            </w:r>
            <w:r>
              <w:rPr>
                <w:color w:val="342D2F"/>
                <w:spacing w:val="-13"/>
                <w:sz w:val="24"/>
              </w:rPr>
              <w:t xml:space="preserve"> </w:t>
            </w:r>
            <w:r>
              <w:rPr>
                <w:color w:val="342D2F"/>
                <w:sz w:val="24"/>
              </w:rPr>
              <w:t>Procurement-related</w:t>
            </w:r>
            <w:r>
              <w:rPr>
                <w:color w:val="342D2F"/>
                <w:spacing w:val="-11"/>
                <w:sz w:val="24"/>
              </w:rPr>
              <w:t xml:space="preserve"> </w:t>
            </w:r>
            <w:r>
              <w:rPr>
                <w:color w:val="342D2F"/>
                <w:sz w:val="24"/>
              </w:rPr>
              <w:t>Complaint,</w:t>
            </w:r>
            <w:r>
              <w:rPr>
                <w:color w:val="342D2F"/>
                <w:spacing w:val="-8"/>
                <w:sz w:val="24"/>
              </w:rPr>
              <w:t xml:space="preserve"> </w:t>
            </w:r>
            <w:r>
              <w:rPr>
                <w:color w:val="342D2F"/>
                <w:sz w:val="24"/>
              </w:rPr>
              <w:t>the</w:t>
            </w:r>
            <w:r>
              <w:rPr>
                <w:color w:val="342D2F"/>
                <w:spacing w:val="-13"/>
                <w:sz w:val="24"/>
              </w:rPr>
              <w:t xml:space="preserve"> </w:t>
            </w:r>
            <w:r>
              <w:rPr>
                <w:color w:val="342D2F"/>
                <w:sz w:val="24"/>
              </w:rPr>
              <w:t>Tenderer</w:t>
            </w:r>
            <w:r>
              <w:rPr>
                <w:color w:val="342D2F"/>
                <w:spacing w:val="-9"/>
                <w:sz w:val="24"/>
              </w:rPr>
              <w:t xml:space="preserve"> </w:t>
            </w:r>
            <w:r>
              <w:rPr>
                <w:color w:val="342D2F"/>
                <w:sz w:val="24"/>
              </w:rPr>
              <w:t>should</w:t>
            </w:r>
            <w:r>
              <w:rPr>
                <w:color w:val="342D2F"/>
                <w:spacing w:val="-7"/>
                <w:sz w:val="24"/>
              </w:rPr>
              <w:t xml:space="preserve"> </w:t>
            </w:r>
            <w:r>
              <w:rPr>
                <w:color w:val="342D2F"/>
                <w:sz w:val="24"/>
              </w:rPr>
              <w:t>submit</w:t>
            </w:r>
            <w:r>
              <w:rPr>
                <w:color w:val="342D2F"/>
                <w:spacing w:val="-2"/>
                <w:sz w:val="24"/>
              </w:rPr>
              <w:t xml:space="preserve"> </w:t>
            </w:r>
            <w:r>
              <w:rPr>
                <w:color w:val="342D2F"/>
                <w:sz w:val="24"/>
              </w:rPr>
              <w:t xml:space="preserve">its </w:t>
            </w:r>
            <w:r>
              <w:rPr>
                <w:color w:val="342D2F"/>
                <w:spacing w:val="-2"/>
                <w:sz w:val="24"/>
              </w:rPr>
              <w:t>complaint</w:t>
            </w:r>
          </w:p>
          <w:p w14:paraId="018F3D4C" w14:textId="77777777" w:rsidR="00BB77C0" w:rsidRDefault="00370BAA">
            <w:pPr>
              <w:pStyle w:val="TableParagraph"/>
              <w:spacing w:before="94" w:line="316" w:lineRule="auto"/>
              <w:ind w:left="133" w:right="314"/>
              <w:rPr>
                <w:sz w:val="24"/>
              </w:rPr>
            </w:pPr>
            <w:r>
              <w:rPr>
                <w:color w:val="342D2F"/>
                <w:sz w:val="24"/>
              </w:rPr>
              <w:t>following</w:t>
            </w:r>
            <w:r>
              <w:rPr>
                <w:color w:val="342D2F"/>
                <w:spacing w:val="-8"/>
                <w:sz w:val="24"/>
              </w:rPr>
              <w:t xml:space="preserve"> </w:t>
            </w:r>
            <w:r>
              <w:rPr>
                <w:color w:val="342D2F"/>
                <w:sz w:val="24"/>
              </w:rPr>
              <w:t>these</w:t>
            </w:r>
            <w:r>
              <w:rPr>
                <w:color w:val="342D2F"/>
                <w:spacing w:val="-9"/>
                <w:sz w:val="24"/>
              </w:rPr>
              <w:t xml:space="preserve"> </w:t>
            </w:r>
            <w:r>
              <w:rPr>
                <w:color w:val="342D2F"/>
                <w:sz w:val="24"/>
              </w:rPr>
              <w:t>procedures,</w:t>
            </w:r>
            <w:r>
              <w:rPr>
                <w:color w:val="342D2F"/>
                <w:spacing w:val="-5"/>
                <w:sz w:val="24"/>
              </w:rPr>
              <w:t xml:space="preserve"> </w:t>
            </w:r>
            <w:r>
              <w:rPr>
                <w:color w:val="342D2F"/>
                <w:sz w:val="24"/>
              </w:rPr>
              <w:t>in</w:t>
            </w:r>
            <w:r>
              <w:rPr>
                <w:color w:val="342D2F"/>
                <w:spacing w:val="-13"/>
                <w:sz w:val="24"/>
              </w:rPr>
              <w:t xml:space="preserve"> </w:t>
            </w:r>
            <w:r>
              <w:rPr>
                <w:color w:val="342D2F"/>
                <w:sz w:val="24"/>
              </w:rPr>
              <w:t>writing</w:t>
            </w:r>
            <w:r>
              <w:rPr>
                <w:color w:val="342D2F"/>
                <w:spacing w:val="-8"/>
                <w:sz w:val="24"/>
              </w:rPr>
              <w:t xml:space="preserve"> </w:t>
            </w:r>
            <w:r>
              <w:rPr>
                <w:color w:val="342D2F"/>
                <w:sz w:val="24"/>
              </w:rPr>
              <w:t>(by</w:t>
            </w:r>
            <w:r>
              <w:rPr>
                <w:color w:val="342D2F"/>
                <w:spacing w:val="-12"/>
                <w:sz w:val="24"/>
              </w:rPr>
              <w:t xml:space="preserve"> </w:t>
            </w:r>
            <w:r>
              <w:rPr>
                <w:color w:val="342D2F"/>
                <w:sz w:val="24"/>
              </w:rPr>
              <w:t>the</w:t>
            </w:r>
            <w:r>
              <w:rPr>
                <w:color w:val="342D2F"/>
                <w:spacing w:val="-10"/>
                <w:sz w:val="24"/>
              </w:rPr>
              <w:t xml:space="preserve"> </w:t>
            </w:r>
            <w:r>
              <w:rPr>
                <w:color w:val="342D2F"/>
                <w:sz w:val="24"/>
              </w:rPr>
              <w:t>quickest</w:t>
            </w:r>
            <w:r>
              <w:rPr>
                <w:color w:val="342D2F"/>
                <w:spacing w:val="-2"/>
                <w:sz w:val="24"/>
              </w:rPr>
              <w:t xml:space="preserve"> </w:t>
            </w:r>
            <w:r>
              <w:rPr>
                <w:color w:val="342D2F"/>
                <w:sz w:val="24"/>
              </w:rPr>
              <w:t>means</w:t>
            </w:r>
            <w:r>
              <w:rPr>
                <w:color w:val="342D2F"/>
                <w:spacing w:val="-11"/>
                <w:sz w:val="24"/>
              </w:rPr>
              <w:t xml:space="preserve"> </w:t>
            </w:r>
            <w:r>
              <w:rPr>
                <w:color w:val="342D2F"/>
                <w:sz w:val="24"/>
              </w:rPr>
              <w:t>available,</w:t>
            </w:r>
            <w:r>
              <w:rPr>
                <w:color w:val="342D2F"/>
                <w:spacing w:val="-5"/>
                <w:sz w:val="24"/>
              </w:rPr>
              <w:t xml:space="preserve"> </w:t>
            </w:r>
            <w:r>
              <w:rPr>
                <w:color w:val="342D2F"/>
                <w:sz w:val="24"/>
              </w:rPr>
              <w:t>that</w:t>
            </w:r>
            <w:r>
              <w:rPr>
                <w:color w:val="342D2F"/>
                <w:spacing w:val="-3"/>
                <w:sz w:val="24"/>
              </w:rPr>
              <w:t xml:space="preserve"> </w:t>
            </w:r>
            <w:r>
              <w:rPr>
                <w:color w:val="342D2F"/>
                <w:sz w:val="24"/>
              </w:rPr>
              <w:t>is either by hand delivery or email to:</w:t>
            </w:r>
          </w:p>
          <w:p w14:paraId="6F2F4939" w14:textId="77777777" w:rsidR="00BB77C0" w:rsidRDefault="00BB77C0">
            <w:pPr>
              <w:pStyle w:val="TableParagraph"/>
              <w:spacing w:before="94"/>
              <w:rPr>
                <w:sz w:val="24"/>
              </w:rPr>
            </w:pPr>
          </w:p>
          <w:p w14:paraId="04190DE4" w14:textId="77777777" w:rsidR="00BB77C0" w:rsidRDefault="00370BAA">
            <w:pPr>
              <w:pStyle w:val="TableParagraph"/>
              <w:spacing w:before="1"/>
              <w:ind w:left="128"/>
              <w:rPr>
                <w:b/>
                <w:i/>
                <w:sz w:val="24"/>
              </w:rPr>
            </w:pPr>
            <w:r>
              <w:rPr>
                <w:color w:val="342D2F"/>
                <w:sz w:val="24"/>
              </w:rPr>
              <w:t>For</w:t>
            </w:r>
            <w:r>
              <w:rPr>
                <w:color w:val="342D2F"/>
                <w:spacing w:val="-5"/>
                <w:sz w:val="24"/>
              </w:rPr>
              <w:t xml:space="preserve"> </w:t>
            </w:r>
            <w:r>
              <w:rPr>
                <w:color w:val="342D2F"/>
                <w:sz w:val="24"/>
              </w:rPr>
              <w:t>the</w:t>
            </w:r>
            <w:r>
              <w:rPr>
                <w:color w:val="342D2F"/>
                <w:spacing w:val="-3"/>
                <w:sz w:val="24"/>
              </w:rPr>
              <w:t xml:space="preserve"> </w:t>
            </w:r>
            <w:r>
              <w:rPr>
                <w:color w:val="342D2F"/>
                <w:sz w:val="24"/>
              </w:rPr>
              <w:t xml:space="preserve">attention: </w:t>
            </w:r>
            <w:r>
              <w:rPr>
                <w:b/>
                <w:i/>
                <w:color w:val="342D2F"/>
                <w:sz w:val="24"/>
              </w:rPr>
              <w:t>County</w:t>
            </w:r>
            <w:r>
              <w:rPr>
                <w:b/>
                <w:i/>
                <w:color w:val="342D2F"/>
                <w:spacing w:val="-6"/>
                <w:sz w:val="24"/>
              </w:rPr>
              <w:t xml:space="preserve"> </w:t>
            </w:r>
            <w:r>
              <w:rPr>
                <w:b/>
                <w:i/>
                <w:color w:val="342D2F"/>
                <w:spacing w:val="-2"/>
                <w:sz w:val="24"/>
              </w:rPr>
              <w:t>Secretary</w:t>
            </w:r>
          </w:p>
          <w:p w14:paraId="50369E59" w14:textId="77777777" w:rsidR="00BB77C0" w:rsidRDefault="00370BAA">
            <w:pPr>
              <w:pStyle w:val="TableParagraph"/>
              <w:spacing w:before="88"/>
              <w:ind w:left="128"/>
              <w:rPr>
                <w:b/>
                <w:i/>
                <w:sz w:val="24"/>
              </w:rPr>
            </w:pPr>
            <w:r>
              <w:rPr>
                <w:color w:val="342D2F"/>
                <w:sz w:val="24"/>
              </w:rPr>
              <w:t>Procuring</w:t>
            </w:r>
            <w:r>
              <w:rPr>
                <w:color w:val="342D2F"/>
                <w:spacing w:val="-2"/>
                <w:sz w:val="24"/>
              </w:rPr>
              <w:t xml:space="preserve"> </w:t>
            </w:r>
            <w:r>
              <w:rPr>
                <w:color w:val="342D2F"/>
                <w:sz w:val="24"/>
              </w:rPr>
              <w:t>Entity:</w:t>
            </w:r>
            <w:r>
              <w:rPr>
                <w:color w:val="342D2F"/>
                <w:spacing w:val="-1"/>
                <w:sz w:val="24"/>
              </w:rPr>
              <w:t xml:space="preserve"> </w:t>
            </w:r>
            <w:r>
              <w:rPr>
                <w:b/>
                <w:i/>
                <w:color w:val="342D2F"/>
                <w:sz w:val="24"/>
              </w:rPr>
              <w:t>County</w:t>
            </w:r>
            <w:r>
              <w:rPr>
                <w:b/>
                <w:i/>
                <w:color w:val="342D2F"/>
                <w:spacing w:val="-3"/>
                <w:sz w:val="24"/>
              </w:rPr>
              <w:t xml:space="preserve"> </w:t>
            </w:r>
            <w:r>
              <w:rPr>
                <w:b/>
                <w:i/>
                <w:color w:val="342D2F"/>
                <w:sz w:val="24"/>
              </w:rPr>
              <w:t>Government</w:t>
            </w:r>
            <w:r>
              <w:rPr>
                <w:b/>
                <w:i/>
                <w:color w:val="342D2F"/>
                <w:spacing w:val="-6"/>
                <w:sz w:val="24"/>
              </w:rPr>
              <w:t xml:space="preserve"> </w:t>
            </w:r>
            <w:r>
              <w:rPr>
                <w:b/>
                <w:i/>
                <w:color w:val="342D2F"/>
                <w:sz w:val="24"/>
              </w:rPr>
              <w:t>of</w:t>
            </w:r>
            <w:r>
              <w:rPr>
                <w:b/>
                <w:i/>
                <w:color w:val="342D2F"/>
                <w:spacing w:val="-5"/>
                <w:sz w:val="24"/>
              </w:rPr>
              <w:t xml:space="preserve"> </w:t>
            </w:r>
            <w:r>
              <w:rPr>
                <w:b/>
                <w:i/>
                <w:color w:val="342D2F"/>
                <w:spacing w:val="-2"/>
                <w:sz w:val="24"/>
              </w:rPr>
              <w:t>Bungoma</w:t>
            </w:r>
          </w:p>
          <w:p w14:paraId="5A6590DA" w14:textId="77777777" w:rsidR="00BB77C0" w:rsidRDefault="00370BAA">
            <w:pPr>
              <w:pStyle w:val="TableParagraph"/>
              <w:spacing w:before="104"/>
              <w:ind w:left="128"/>
              <w:rPr>
                <w:b/>
                <w:i/>
                <w:sz w:val="24"/>
              </w:rPr>
            </w:pPr>
            <w:r>
              <w:rPr>
                <w:color w:val="342D2F"/>
                <w:sz w:val="24"/>
              </w:rPr>
              <w:t>Email</w:t>
            </w:r>
            <w:r>
              <w:rPr>
                <w:color w:val="342D2F"/>
                <w:spacing w:val="-11"/>
                <w:sz w:val="24"/>
              </w:rPr>
              <w:t xml:space="preserve"> </w:t>
            </w:r>
            <w:r>
              <w:rPr>
                <w:color w:val="342D2F"/>
                <w:sz w:val="24"/>
              </w:rPr>
              <w:t xml:space="preserve">address: </w:t>
            </w:r>
            <w:hyperlink r:id="rId18">
              <w:r>
                <w:rPr>
                  <w:b/>
                  <w:i/>
                  <w:color w:val="342D2F"/>
                  <w:spacing w:val="-2"/>
                  <w:sz w:val="24"/>
                </w:rPr>
                <w:t>www.bungoma.go.ke</w:t>
              </w:r>
            </w:hyperlink>
          </w:p>
          <w:p w14:paraId="0572D0D8" w14:textId="77777777" w:rsidR="00BB77C0" w:rsidRDefault="00370BAA">
            <w:pPr>
              <w:pStyle w:val="TableParagraph"/>
              <w:spacing w:before="81" w:line="232" w:lineRule="auto"/>
              <w:ind w:left="133" w:right="314"/>
              <w:rPr>
                <w:sz w:val="24"/>
              </w:rPr>
            </w:pPr>
            <w:r>
              <w:rPr>
                <w:color w:val="342D2F"/>
                <w:sz w:val="24"/>
              </w:rPr>
              <w:t>In</w:t>
            </w:r>
            <w:r>
              <w:rPr>
                <w:color w:val="342D2F"/>
                <w:spacing w:val="-12"/>
                <w:sz w:val="24"/>
              </w:rPr>
              <w:t xml:space="preserve"> </w:t>
            </w:r>
            <w:r>
              <w:rPr>
                <w:color w:val="342D2F"/>
                <w:sz w:val="24"/>
              </w:rPr>
              <w:t>summary,</w:t>
            </w:r>
            <w:r>
              <w:rPr>
                <w:color w:val="342D2F"/>
                <w:spacing w:val="-6"/>
                <w:sz w:val="24"/>
              </w:rPr>
              <w:t xml:space="preserve"> </w:t>
            </w:r>
            <w:r>
              <w:rPr>
                <w:color w:val="342D2F"/>
                <w:sz w:val="24"/>
              </w:rPr>
              <w:t>a</w:t>
            </w:r>
            <w:r>
              <w:rPr>
                <w:color w:val="342D2F"/>
                <w:spacing w:val="-8"/>
                <w:sz w:val="24"/>
              </w:rPr>
              <w:t xml:space="preserve"> </w:t>
            </w:r>
            <w:r>
              <w:rPr>
                <w:color w:val="342D2F"/>
                <w:sz w:val="24"/>
              </w:rPr>
              <w:t>Procurement-related</w:t>
            </w:r>
            <w:r>
              <w:rPr>
                <w:color w:val="342D2F"/>
                <w:spacing w:val="-8"/>
                <w:sz w:val="24"/>
              </w:rPr>
              <w:t xml:space="preserve"> </w:t>
            </w:r>
            <w:r>
              <w:rPr>
                <w:color w:val="342D2F"/>
                <w:sz w:val="24"/>
              </w:rPr>
              <w:t>Complaint may</w:t>
            </w:r>
            <w:r>
              <w:rPr>
                <w:color w:val="342D2F"/>
                <w:spacing w:val="-12"/>
                <w:sz w:val="24"/>
              </w:rPr>
              <w:t xml:space="preserve"> </w:t>
            </w:r>
            <w:r>
              <w:rPr>
                <w:color w:val="342D2F"/>
                <w:sz w:val="24"/>
              </w:rPr>
              <w:t>challenge</w:t>
            </w:r>
            <w:r>
              <w:rPr>
                <w:color w:val="342D2F"/>
                <w:spacing w:val="-8"/>
                <w:sz w:val="24"/>
              </w:rPr>
              <w:t xml:space="preserve"> </w:t>
            </w:r>
            <w:r>
              <w:rPr>
                <w:color w:val="342D2F"/>
                <w:sz w:val="24"/>
              </w:rPr>
              <w:t>any</w:t>
            </w:r>
            <w:r>
              <w:rPr>
                <w:color w:val="342D2F"/>
                <w:spacing w:val="-12"/>
                <w:sz w:val="24"/>
              </w:rPr>
              <w:t xml:space="preserve"> </w:t>
            </w:r>
            <w:r>
              <w:rPr>
                <w:color w:val="342D2F"/>
                <w:sz w:val="24"/>
              </w:rPr>
              <w:t>of</w:t>
            </w:r>
            <w:r>
              <w:rPr>
                <w:color w:val="342D2F"/>
                <w:spacing w:val="-15"/>
                <w:sz w:val="24"/>
              </w:rPr>
              <w:t xml:space="preserve"> </w:t>
            </w:r>
            <w:r>
              <w:rPr>
                <w:color w:val="342D2F"/>
                <w:sz w:val="24"/>
              </w:rPr>
              <w:t xml:space="preserve">the </w:t>
            </w:r>
            <w:r>
              <w:rPr>
                <w:color w:val="342D2F"/>
                <w:spacing w:val="-2"/>
                <w:sz w:val="24"/>
              </w:rPr>
              <w:t>following:</w:t>
            </w:r>
          </w:p>
          <w:p w14:paraId="20C29330" w14:textId="77777777" w:rsidR="00BB77C0" w:rsidRDefault="00370BAA">
            <w:pPr>
              <w:pStyle w:val="TableParagraph"/>
              <w:numPr>
                <w:ilvl w:val="0"/>
                <w:numId w:val="69"/>
              </w:numPr>
              <w:tabs>
                <w:tab w:val="left" w:pos="423"/>
              </w:tabs>
              <w:spacing w:before="102"/>
              <w:ind w:left="423" w:hanging="290"/>
              <w:rPr>
                <w:sz w:val="24"/>
              </w:rPr>
            </w:pPr>
            <w:r>
              <w:rPr>
                <w:color w:val="342D2F"/>
                <w:sz w:val="24"/>
              </w:rPr>
              <w:t>the</w:t>
            </w:r>
            <w:r>
              <w:rPr>
                <w:color w:val="342D2F"/>
                <w:spacing w:val="-8"/>
                <w:sz w:val="24"/>
              </w:rPr>
              <w:t xml:space="preserve"> </w:t>
            </w:r>
            <w:r>
              <w:rPr>
                <w:color w:val="342D2F"/>
                <w:sz w:val="24"/>
              </w:rPr>
              <w:t>terms</w:t>
            </w:r>
            <w:r>
              <w:rPr>
                <w:color w:val="342D2F"/>
                <w:spacing w:val="-1"/>
                <w:sz w:val="24"/>
              </w:rPr>
              <w:t xml:space="preserve"> </w:t>
            </w:r>
            <w:r>
              <w:rPr>
                <w:color w:val="342D2F"/>
                <w:sz w:val="24"/>
              </w:rPr>
              <w:t>of</w:t>
            </w:r>
            <w:r>
              <w:rPr>
                <w:color w:val="342D2F"/>
                <w:spacing w:val="-7"/>
                <w:sz w:val="24"/>
              </w:rPr>
              <w:t xml:space="preserve"> </w:t>
            </w:r>
            <w:r>
              <w:rPr>
                <w:color w:val="342D2F"/>
                <w:sz w:val="24"/>
              </w:rPr>
              <w:t>the</w:t>
            </w:r>
            <w:r>
              <w:rPr>
                <w:color w:val="342D2F"/>
                <w:spacing w:val="-5"/>
                <w:sz w:val="24"/>
              </w:rPr>
              <w:t xml:space="preserve"> </w:t>
            </w:r>
            <w:r>
              <w:rPr>
                <w:color w:val="342D2F"/>
                <w:sz w:val="24"/>
              </w:rPr>
              <w:t>Tender</w:t>
            </w:r>
            <w:r>
              <w:rPr>
                <w:color w:val="342D2F"/>
                <w:spacing w:val="1"/>
                <w:sz w:val="24"/>
              </w:rPr>
              <w:t xml:space="preserve"> </w:t>
            </w:r>
            <w:r>
              <w:rPr>
                <w:color w:val="342D2F"/>
                <w:sz w:val="24"/>
              </w:rPr>
              <w:t>Documents;</w:t>
            </w:r>
            <w:r>
              <w:rPr>
                <w:color w:val="342D2F"/>
                <w:spacing w:val="-1"/>
                <w:sz w:val="24"/>
              </w:rPr>
              <w:t xml:space="preserve"> </w:t>
            </w:r>
            <w:r>
              <w:rPr>
                <w:color w:val="342D2F"/>
                <w:spacing w:val="-5"/>
                <w:sz w:val="24"/>
              </w:rPr>
              <w:t>and</w:t>
            </w:r>
          </w:p>
          <w:p w14:paraId="63954C10" w14:textId="77777777" w:rsidR="00BB77C0" w:rsidRDefault="00BB77C0">
            <w:pPr>
              <w:pStyle w:val="TableParagraph"/>
              <w:spacing w:before="146"/>
              <w:rPr>
                <w:sz w:val="24"/>
              </w:rPr>
            </w:pPr>
          </w:p>
          <w:p w14:paraId="7193E16B" w14:textId="77777777" w:rsidR="00BB77C0" w:rsidRDefault="00370BAA">
            <w:pPr>
              <w:pStyle w:val="TableParagraph"/>
              <w:numPr>
                <w:ilvl w:val="0"/>
                <w:numId w:val="69"/>
              </w:numPr>
              <w:tabs>
                <w:tab w:val="left" w:pos="422"/>
              </w:tabs>
              <w:ind w:left="422" w:hanging="289"/>
              <w:rPr>
                <w:sz w:val="24"/>
              </w:rPr>
            </w:pPr>
            <w:r>
              <w:rPr>
                <w:color w:val="342D2F"/>
                <w:sz w:val="24"/>
              </w:rPr>
              <w:t>the</w:t>
            </w:r>
            <w:r>
              <w:rPr>
                <w:color w:val="342D2F"/>
                <w:spacing w:val="-7"/>
                <w:sz w:val="24"/>
              </w:rPr>
              <w:t xml:space="preserve"> </w:t>
            </w:r>
            <w:r>
              <w:rPr>
                <w:color w:val="342D2F"/>
                <w:sz w:val="24"/>
              </w:rPr>
              <w:t>Procuring Entity's</w:t>
            </w:r>
            <w:r>
              <w:rPr>
                <w:color w:val="342D2F"/>
                <w:spacing w:val="-2"/>
                <w:sz w:val="24"/>
              </w:rPr>
              <w:t xml:space="preserve"> </w:t>
            </w:r>
            <w:r>
              <w:rPr>
                <w:color w:val="342D2F"/>
                <w:sz w:val="24"/>
              </w:rPr>
              <w:t>decision</w:t>
            </w:r>
            <w:r>
              <w:rPr>
                <w:color w:val="342D2F"/>
                <w:spacing w:val="-4"/>
                <w:sz w:val="24"/>
              </w:rPr>
              <w:t xml:space="preserve"> </w:t>
            </w:r>
            <w:r>
              <w:rPr>
                <w:color w:val="342D2F"/>
                <w:sz w:val="24"/>
              </w:rPr>
              <w:t>to</w:t>
            </w:r>
            <w:r>
              <w:rPr>
                <w:color w:val="342D2F"/>
                <w:spacing w:val="-1"/>
                <w:sz w:val="24"/>
              </w:rPr>
              <w:t xml:space="preserve"> </w:t>
            </w:r>
            <w:r>
              <w:rPr>
                <w:color w:val="342D2F"/>
                <w:sz w:val="24"/>
              </w:rPr>
              <w:t>award</w:t>
            </w:r>
            <w:r>
              <w:rPr>
                <w:color w:val="342D2F"/>
                <w:spacing w:val="-10"/>
                <w:sz w:val="24"/>
              </w:rPr>
              <w:t xml:space="preserve"> </w:t>
            </w:r>
            <w:r>
              <w:rPr>
                <w:color w:val="342D2F"/>
                <w:sz w:val="24"/>
              </w:rPr>
              <w:t>the</w:t>
            </w:r>
            <w:r>
              <w:rPr>
                <w:color w:val="342D2F"/>
                <w:spacing w:val="-1"/>
                <w:sz w:val="24"/>
              </w:rPr>
              <w:t xml:space="preserve"> </w:t>
            </w:r>
            <w:r>
              <w:rPr>
                <w:color w:val="342D2F"/>
                <w:spacing w:val="-2"/>
                <w:sz w:val="24"/>
              </w:rPr>
              <w:t>contract.</w:t>
            </w:r>
          </w:p>
        </w:tc>
      </w:tr>
    </w:tbl>
    <w:p w14:paraId="7BDD27A6" w14:textId="77777777" w:rsidR="00BB77C0" w:rsidRDefault="00BB77C0">
      <w:pPr>
        <w:pStyle w:val="TableParagraph"/>
        <w:rPr>
          <w:sz w:val="24"/>
        </w:rPr>
        <w:sectPr w:rsidR="00BB77C0">
          <w:pgSz w:w="11930" w:h="16870"/>
          <w:pgMar w:top="1400" w:right="1080" w:bottom="280" w:left="1080" w:header="720" w:footer="720" w:gutter="0"/>
          <w:cols w:space="720"/>
        </w:sectPr>
      </w:pPr>
    </w:p>
    <w:p w14:paraId="6E46FD58" w14:textId="77777777" w:rsidR="00BB77C0" w:rsidRDefault="00370BAA">
      <w:pPr>
        <w:pStyle w:val="BodyText"/>
      </w:pPr>
      <w:r>
        <w:rPr>
          <w:noProof/>
        </w:rPr>
        <w:lastRenderedPageBreak/>
        <mc:AlternateContent>
          <mc:Choice Requires="wpg">
            <w:drawing>
              <wp:anchor distT="0" distB="0" distL="0" distR="0" simplePos="0" relativeHeight="15729664" behindDoc="0" locked="0" layoutInCell="1" allowOverlap="1" wp14:anchorId="2E25DCB1" wp14:editId="7D903A14">
                <wp:simplePos x="0" y="0"/>
                <wp:positionH relativeFrom="page">
                  <wp:posOffset>0</wp:posOffset>
                </wp:positionH>
                <wp:positionV relativeFrom="page">
                  <wp:posOffset>0</wp:posOffset>
                </wp:positionV>
                <wp:extent cx="7559675" cy="22860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675" cy="228600"/>
                          <a:chOff x="0" y="0"/>
                          <a:chExt cx="7559675" cy="228600"/>
                        </a:xfrm>
                      </wpg:grpSpPr>
                      <wps:wsp>
                        <wps:cNvPr id="5" name="Graphic 5"/>
                        <wps:cNvSpPr/>
                        <wps:spPr>
                          <a:xfrm>
                            <a:off x="0" y="0"/>
                            <a:ext cx="6701155" cy="228600"/>
                          </a:xfrm>
                          <a:custGeom>
                            <a:avLst/>
                            <a:gdLst/>
                            <a:ahLst/>
                            <a:cxnLst/>
                            <a:rect l="l" t="t" r="r" b="b"/>
                            <a:pathLst>
                              <a:path w="6701155" h="228600">
                                <a:moveTo>
                                  <a:pt x="6700647" y="0"/>
                                </a:moveTo>
                                <a:lnTo>
                                  <a:pt x="0" y="0"/>
                                </a:lnTo>
                                <a:lnTo>
                                  <a:pt x="0" y="223520"/>
                                </a:lnTo>
                                <a:lnTo>
                                  <a:pt x="6516497" y="228600"/>
                                </a:lnTo>
                                <a:lnTo>
                                  <a:pt x="6700647" y="0"/>
                                </a:lnTo>
                                <a:close/>
                              </a:path>
                            </a:pathLst>
                          </a:custGeom>
                          <a:solidFill>
                            <a:srgbClr val="E6E7E8"/>
                          </a:solidFill>
                        </wps:spPr>
                        <wps:bodyPr wrap="square" lIns="0" tIns="0" rIns="0" bIns="0" rtlCol="0">
                          <a:prstTxWarp prst="textNoShape">
                            <a:avLst/>
                          </a:prstTxWarp>
                          <a:noAutofit/>
                        </wps:bodyPr>
                      </wps:wsp>
                      <wps:wsp>
                        <wps:cNvPr id="6" name="Graphic 6"/>
                        <wps:cNvSpPr/>
                        <wps:spPr>
                          <a:xfrm>
                            <a:off x="6892925" y="0"/>
                            <a:ext cx="666750" cy="228600"/>
                          </a:xfrm>
                          <a:custGeom>
                            <a:avLst/>
                            <a:gdLst/>
                            <a:ahLst/>
                            <a:cxnLst/>
                            <a:rect l="l" t="t" r="r" b="b"/>
                            <a:pathLst>
                              <a:path w="666750" h="228600">
                                <a:moveTo>
                                  <a:pt x="666750" y="0"/>
                                </a:moveTo>
                                <a:lnTo>
                                  <a:pt x="126365" y="0"/>
                                </a:lnTo>
                                <a:lnTo>
                                  <a:pt x="0" y="228600"/>
                                </a:lnTo>
                                <a:lnTo>
                                  <a:pt x="666750" y="228600"/>
                                </a:lnTo>
                                <a:lnTo>
                                  <a:pt x="666750" y="0"/>
                                </a:lnTo>
                                <a:close/>
                              </a:path>
                            </a:pathLst>
                          </a:custGeom>
                          <a:solidFill>
                            <a:srgbClr val="EB1C22"/>
                          </a:solidFill>
                        </wps:spPr>
                        <wps:bodyPr wrap="square" lIns="0" tIns="0" rIns="0" bIns="0" rtlCol="0">
                          <a:prstTxWarp prst="textNoShape">
                            <a:avLst/>
                          </a:prstTxWarp>
                          <a:noAutofit/>
                        </wps:bodyPr>
                      </wps:wsp>
                      <wps:wsp>
                        <wps:cNvPr id="7" name="Graphic 7"/>
                        <wps:cNvSpPr/>
                        <wps:spPr>
                          <a:xfrm>
                            <a:off x="6664452" y="0"/>
                            <a:ext cx="330200" cy="228600"/>
                          </a:xfrm>
                          <a:custGeom>
                            <a:avLst/>
                            <a:gdLst/>
                            <a:ahLst/>
                            <a:cxnLst/>
                            <a:rect l="l" t="t" r="r" b="b"/>
                            <a:pathLst>
                              <a:path w="330200" h="228600">
                                <a:moveTo>
                                  <a:pt x="330073" y="0"/>
                                </a:moveTo>
                                <a:lnTo>
                                  <a:pt x="126365" y="0"/>
                                </a:lnTo>
                                <a:lnTo>
                                  <a:pt x="0" y="228600"/>
                                </a:lnTo>
                                <a:lnTo>
                                  <a:pt x="200532" y="228600"/>
                                </a:lnTo>
                                <a:lnTo>
                                  <a:pt x="330073" y="0"/>
                                </a:lnTo>
                                <a:close/>
                              </a:path>
                            </a:pathLst>
                          </a:custGeom>
                          <a:solidFill>
                            <a:srgbClr val="00A650"/>
                          </a:solidFill>
                        </wps:spPr>
                        <wps:bodyPr wrap="square" lIns="0" tIns="0" rIns="0" bIns="0" rtlCol="0">
                          <a:prstTxWarp prst="textNoShape">
                            <a:avLst/>
                          </a:prstTxWarp>
                          <a:noAutofit/>
                        </wps:bodyPr>
                      </wps:wsp>
                      <wps:wsp>
                        <wps:cNvPr id="8" name="Graphic 8"/>
                        <wps:cNvSpPr/>
                        <wps:spPr>
                          <a:xfrm>
                            <a:off x="6435216" y="0"/>
                            <a:ext cx="330200" cy="228600"/>
                          </a:xfrm>
                          <a:custGeom>
                            <a:avLst/>
                            <a:gdLst/>
                            <a:ahLst/>
                            <a:cxnLst/>
                            <a:rect l="l" t="t" r="r" b="b"/>
                            <a:pathLst>
                              <a:path w="330200" h="228600">
                                <a:moveTo>
                                  <a:pt x="330200" y="0"/>
                                </a:moveTo>
                                <a:lnTo>
                                  <a:pt x="126364" y="0"/>
                                </a:lnTo>
                                <a:lnTo>
                                  <a:pt x="0" y="228600"/>
                                </a:lnTo>
                                <a:lnTo>
                                  <a:pt x="200660" y="228600"/>
                                </a:lnTo>
                                <a:lnTo>
                                  <a:pt x="330200" y="0"/>
                                </a:lnTo>
                                <a:close/>
                              </a:path>
                            </a:pathLst>
                          </a:custGeom>
                          <a:solidFill>
                            <a:srgbClr val="A7A9AC"/>
                          </a:solidFill>
                        </wps:spPr>
                        <wps:bodyPr wrap="square" lIns="0" tIns="0" rIns="0" bIns="0" rtlCol="0">
                          <a:prstTxWarp prst="textNoShape">
                            <a:avLst/>
                          </a:prstTxWarp>
                          <a:noAutofit/>
                        </wps:bodyPr>
                      </wps:wsp>
                    </wpg:wgp>
                  </a:graphicData>
                </a:graphic>
              </wp:anchor>
            </w:drawing>
          </mc:Choice>
          <mc:Fallback>
            <w:pict>
              <v:group w14:anchorId="1E581992" id="Group 4" o:spid="_x0000_s1026" style="position:absolute;margin-left:0;margin-top:0;width:595.25pt;height:18pt;z-index:15729664;mso-wrap-distance-left:0;mso-wrap-distance-right:0;mso-position-horizontal-relative:page;mso-position-vertical-relative:page" coordsize="75596,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">
                <v:shape id="Graphic 5" o:spid="_x0000_s1027" style="position:absolute;width:67011;height:2286;visibility:visible;mso-wrap-style:square;v-text-anchor:top" coordsize="670115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" path="m6700647,l,,,223520r6516497,5080l6700647,xe" fillcolor="#e6e7e8" stroked="f">
                  <v:path arrowok="t"/>
                </v:shape>
                <v:shape id="Graphic 6" o:spid="_x0000_s1028" style="position:absolute;left:68929;width:6667;height:2286;visibility:visible;mso-wrap-style:square;v-text-anchor:top" coordsize="6667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" path="m666750,l126365,,,228600r666750,l666750,xe" fillcolor="#eb1c22" stroked="f">
                  <v:path arrowok="t"/>
                </v:shape>
                <v:shape id="Graphic 7" o:spid="_x0000_s1029" style="position:absolute;left:66644;width:3302;height:2286;visibility:visible;mso-wrap-style:square;v-text-anchor:top" coordsize="3302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" path="m330073,l126365,,,228600r200532,l330073,xe" fillcolor="#00a650" stroked="f">
                  <v:path arrowok="t"/>
                </v:shape>
                <v:shape id="Graphic 8" o:spid="_x0000_s1030" style="position:absolute;left:64352;width:3302;height:2286;visibility:visible;mso-wrap-style:square;v-text-anchor:top" coordsize="3302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" path="m330200,l126364,,,228600r200660,l330200,xe" fillcolor="#a7a9ac" stroked="f">
                  <v:path arrowok="t"/>
                </v:shape>
                <w10:wrap anchorx="page" anchory="page"/>
              </v:group>
            </w:pict>
          </mc:Fallback>
        </mc:AlternateContent>
      </w:r>
      <w:r>
        <w:rPr>
          <w:noProof/>
        </w:rPr>
        <mc:AlternateContent>
          <mc:Choice Requires="wpg">
            <w:drawing>
              <wp:anchor distT="0" distB="0" distL="0" distR="0" simplePos="0" relativeHeight="15730176" behindDoc="0" locked="0" layoutInCell="1" allowOverlap="1" wp14:anchorId="211111EB" wp14:editId="26E93991">
                <wp:simplePos x="0" y="0"/>
                <wp:positionH relativeFrom="page">
                  <wp:posOffset>0</wp:posOffset>
                </wp:positionH>
                <wp:positionV relativeFrom="page">
                  <wp:posOffset>10234295</wp:posOffset>
                </wp:positionV>
                <wp:extent cx="7561580" cy="459105"/>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1580" cy="459105"/>
                          <a:chOff x="0" y="0"/>
                          <a:chExt cx="7561580" cy="459105"/>
                        </a:xfrm>
                      </wpg:grpSpPr>
                      <wps:wsp>
                        <wps:cNvPr id="10" name="Graphic 10"/>
                        <wps:cNvSpPr/>
                        <wps:spPr>
                          <a:xfrm>
                            <a:off x="6449059" y="5714"/>
                            <a:ext cx="1110615" cy="451484"/>
                          </a:xfrm>
                          <a:custGeom>
                            <a:avLst/>
                            <a:gdLst/>
                            <a:ahLst/>
                            <a:cxnLst/>
                            <a:rect l="l" t="t" r="r" b="b"/>
                            <a:pathLst>
                              <a:path w="1110615" h="451484">
                                <a:moveTo>
                                  <a:pt x="1110614" y="0"/>
                                </a:moveTo>
                                <a:lnTo>
                                  <a:pt x="0" y="0"/>
                                </a:lnTo>
                                <a:lnTo>
                                  <a:pt x="260349" y="451483"/>
                                </a:lnTo>
                                <a:lnTo>
                                  <a:pt x="1110614" y="451483"/>
                                </a:lnTo>
                                <a:lnTo>
                                  <a:pt x="1110614" y="0"/>
                                </a:lnTo>
                                <a:close/>
                              </a:path>
                            </a:pathLst>
                          </a:custGeom>
                          <a:solidFill>
                            <a:srgbClr val="FAD2C1"/>
                          </a:solidFill>
                        </wps:spPr>
                        <wps:bodyPr wrap="square" lIns="0" tIns="0" rIns="0" bIns="0" rtlCol="0">
                          <a:prstTxWarp prst="textNoShape">
                            <a:avLst/>
                          </a:prstTxWarp>
                          <a:noAutofit/>
                        </wps:bodyPr>
                      </wps:wsp>
                      <wps:wsp>
                        <wps:cNvPr id="11" name="Graphic 11"/>
                        <wps:cNvSpPr/>
                        <wps:spPr>
                          <a:xfrm>
                            <a:off x="6449059" y="5714"/>
                            <a:ext cx="1110615" cy="451484"/>
                          </a:xfrm>
                          <a:custGeom>
                            <a:avLst/>
                            <a:gdLst/>
                            <a:ahLst/>
                            <a:cxnLst/>
                            <a:rect l="l" t="t" r="r" b="b"/>
                            <a:pathLst>
                              <a:path w="1110615" h="451484">
                                <a:moveTo>
                                  <a:pt x="0" y="0"/>
                                </a:moveTo>
                                <a:lnTo>
                                  <a:pt x="1110614" y="0"/>
                                </a:lnTo>
                                <a:lnTo>
                                  <a:pt x="1110614" y="451483"/>
                                </a:lnTo>
                                <a:lnTo>
                                  <a:pt x="260349" y="451483"/>
                                </a:lnTo>
                                <a:lnTo>
                                  <a:pt x="0" y="0"/>
                                </a:lnTo>
                              </a:path>
                            </a:pathLst>
                          </a:custGeom>
                          <a:ln w="3051">
                            <a:solidFill>
                              <a:srgbClr val="FAD2C1"/>
                            </a:solidFill>
                            <a:prstDash val="solid"/>
                          </a:ln>
                        </wps:spPr>
                        <wps:bodyPr wrap="square" lIns="0" tIns="0" rIns="0" bIns="0" rtlCol="0">
                          <a:prstTxWarp prst="textNoShape">
                            <a:avLst/>
                          </a:prstTxWarp>
                          <a:noAutofit/>
                        </wps:bodyPr>
                      </wps:wsp>
                      <wps:wsp>
                        <wps:cNvPr id="12" name="Graphic 12"/>
                        <wps:cNvSpPr/>
                        <wps:spPr>
                          <a:xfrm>
                            <a:off x="0" y="6350"/>
                            <a:ext cx="7560309" cy="1270"/>
                          </a:xfrm>
                          <a:custGeom>
                            <a:avLst/>
                            <a:gdLst/>
                            <a:ahLst/>
                            <a:cxnLst/>
                            <a:rect l="l" t="t" r="r" b="b"/>
                            <a:pathLst>
                              <a:path w="7560309">
                                <a:moveTo>
                                  <a:pt x="0" y="0"/>
                                </a:moveTo>
                                <a:lnTo>
                                  <a:pt x="7560309" y="0"/>
                                </a:lnTo>
                              </a:path>
                            </a:pathLst>
                          </a:custGeom>
                          <a:ln w="12700">
                            <a:solidFill>
                              <a:srgbClr val="FAD2C1"/>
                            </a:solidFill>
                            <a:prstDash val="solid"/>
                          </a:ln>
                        </wps:spPr>
                        <wps:bodyPr wrap="square" lIns="0" tIns="0" rIns="0" bIns="0" rtlCol="0">
                          <a:prstTxWarp prst="textNoShape">
                            <a:avLst/>
                          </a:prstTxWarp>
                          <a:noAutofit/>
                        </wps:bodyPr>
                      </wps:wsp>
                      <wps:wsp>
                        <wps:cNvPr id="13" name="Textbox 13"/>
                        <wps:cNvSpPr txBox="1"/>
                        <wps:spPr>
                          <a:xfrm>
                            <a:off x="6882130" y="68873"/>
                            <a:ext cx="159385" cy="146685"/>
                          </a:xfrm>
                          <a:prstGeom prst="rect">
                            <a:avLst/>
                          </a:prstGeom>
                        </wps:spPr>
                        <wps:txbx>
                          <w:txbxContent>
                            <w:p w14:paraId="52CCBC8F" w14:textId="77777777" w:rsidR="00BB77C0" w:rsidRDefault="00370BAA">
                              <w:pPr>
                                <w:spacing w:line="230" w:lineRule="exact"/>
                                <w:rPr>
                                  <w:rFonts w:ascii="Corbel"/>
                                  <w:sz w:val="23"/>
                                </w:rPr>
                              </w:pPr>
                              <w:r>
                                <w:rPr>
                                  <w:rFonts w:ascii="Corbel"/>
                                  <w:color w:val="211F1F"/>
                                  <w:spacing w:val="-5"/>
                                  <w:sz w:val="23"/>
                                </w:rPr>
                                <w:t>22</w:t>
                              </w:r>
                            </w:p>
                          </w:txbxContent>
                        </wps:txbx>
                        <wps:bodyPr wrap="square" lIns="0" tIns="0" rIns="0" bIns="0" rtlCol="0">
                          <a:noAutofit/>
                        </wps:bodyPr>
                      </wps:wsp>
                    </wpg:wgp>
                  </a:graphicData>
                </a:graphic>
              </wp:anchor>
            </w:drawing>
          </mc:Choice>
          <mc:Fallback>
            <w:pict>
              <v:group w14:anchorId="211111EB" id="Group 9" o:spid="_x0000_s1026" style="position:absolute;margin-left:0;margin-top:805.85pt;width:595.4pt;height:36.15pt;z-index:15730176;mso-wrap-distance-left:0;mso-wrap-distance-right:0;mso-position-horizontal-relative:page;mso-position-vertical-relative:page" coordsize="75615,4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">
                <v:shape id="Graphic 10" o:spid="_x0000_s1027" style="position:absolute;left:64490;top:57;width:11106;height:4514;visibility:visible;mso-wrap-style:square;v-text-anchor:top" coordsize="1110615,4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" path="m1110614,l,,260349,451483r850265,l1110614,xe" fillcolor="#fad2c1" stroked="f">
                  <v:path arrowok="t"/>
                </v:shape>
                <v:shape id="Graphic 11" o:spid="_x0000_s1028" style="position:absolute;left:64490;top:57;width:11106;height:4514;visibility:visible;mso-wrap-style:square;v-text-anchor:top" coordsize="1110615,4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" path="m,l1110614,r,451483l260349,451483,,e" filled="f" strokecolor="#fad2c1" strokeweight=".08475mm">
                  <v:path arrowok="t"/>
                </v:shape>
                <v:shape id="Graphic 12" o:spid="_x0000_s1029" style="position:absolute;top:63;width:75603;height:13;visibility:visible;mso-wrap-style:square;v-text-anchor:top" coordsize="756030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" path="m,l7560309,e" filled="f" strokecolor="#fad2c1" strokeweight="1pt">
                  <v:path arrowok="t"/>
                </v:shape>
                <v:shapetype id="_x0000_t202" coordsize="21600,21600" o:spt="202" path="m,l,21600r21600,l21600,xe">
                  <v:stroke joinstyle="miter"/>
                  <v:path gradientshapeok="t" o:connecttype="rect"/>
                </v:shapetype>
                <v:shape id="Textbox 13" o:spid="_x0000_s1030" type="#_x0000_t202" style="position:absolute;left:68821;top:688;width:1594;height:1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52CCBC8F" w14:textId="77777777" w:rsidR="00BB77C0" w:rsidRDefault="00370BAA">
                        <w:pPr>
                          <w:spacing w:line="230" w:lineRule="exact"/>
                          <w:rPr>
                            <w:rFonts w:ascii="Corbel"/>
                            <w:sz w:val="23"/>
                          </w:rPr>
                        </w:pPr>
                        <w:r>
                          <w:rPr>
                            <w:rFonts w:ascii="Corbel"/>
                            <w:color w:val="211F1F"/>
                            <w:spacing w:val="-5"/>
                            <w:sz w:val="23"/>
                          </w:rPr>
                          <w:t>22</w:t>
                        </w:r>
                      </w:p>
                    </w:txbxContent>
                  </v:textbox>
                </v:shape>
                <w10:wrap anchorx="page" anchory="page"/>
              </v:group>
            </w:pict>
          </mc:Fallback>
        </mc:AlternateContent>
      </w:r>
    </w:p>
    <w:p w14:paraId="3472047E" w14:textId="77777777" w:rsidR="00BB77C0" w:rsidRDefault="00BB77C0">
      <w:pPr>
        <w:pStyle w:val="BodyText"/>
        <w:spacing w:before="116"/>
      </w:pPr>
    </w:p>
    <w:p w14:paraId="1523226E" w14:textId="77777777" w:rsidR="00BB77C0" w:rsidRDefault="00370BAA">
      <w:pPr>
        <w:ind w:left="130"/>
        <w:rPr>
          <w:b/>
        </w:rPr>
      </w:pPr>
      <w:r>
        <w:rPr>
          <w:b/>
          <w:color w:val="211F1F"/>
          <w:u w:val="single" w:color="211F1F"/>
        </w:rPr>
        <w:t>SECTION</w:t>
      </w:r>
      <w:r>
        <w:rPr>
          <w:b/>
          <w:color w:val="211F1F"/>
          <w:spacing w:val="-15"/>
          <w:u w:val="single" w:color="211F1F"/>
        </w:rPr>
        <w:t xml:space="preserve"> </w:t>
      </w:r>
      <w:r>
        <w:rPr>
          <w:b/>
          <w:color w:val="211F1F"/>
          <w:u w:val="single" w:color="211F1F"/>
        </w:rPr>
        <w:t>III</w:t>
      </w:r>
      <w:r>
        <w:rPr>
          <w:b/>
          <w:color w:val="211F1F"/>
          <w:spacing w:val="-12"/>
          <w:u w:val="single" w:color="211F1F"/>
        </w:rPr>
        <w:t xml:space="preserve"> </w:t>
      </w:r>
      <w:r>
        <w:rPr>
          <w:b/>
          <w:color w:val="211F1F"/>
          <w:u w:val="single" w:color="211F1F"/>
        </w:rPr>
        <w:t>-</w:t>
      </w:r>
      <w:r>
        <w:rPr>
          <w:b/>
          <w:color w:val="211F1F"/>
          <w:spacing w:val="-14"/>
          <w:u w:val="single" w:color="211F1F"/>
        </w:rPr>
        <w:t xml:space="preserve"> </w:t>
      </w:r>
      <w:r>
        <w:rPr>
          <w:b/>
          <w:color w:val="211F1F"/>
          <w:u w:val="single" w:color="211F1F"/>
        </w:rPr>
        <w:t>EVALUATION</w:t>
      </w:r>
      <w:r>
        <w:rPr>
          <w:b/>
          <w:color w:val="211F1F"/>
          <w:spacing w:val="-7"/>
          <w:u w:val="single" w:color="211F1F"/>
        </w:rPr>
        <w:t xml:space="preserve"> </w:t>
      </w:r>
      <w:r>
        <w:rPr>
          <w:b/>
          <w:color w:val="211F1F"/>
          <w:u w:val="single" w:color="211F1F"/>
        </w:rPr>
        <w:t>AND</w:t>
      </w:r>
      <w:r>
        <w:rPr>
          <w:b/>
          <w:color w:val="211F1F"/>
          <w:spacing w:val="-13"/>
          <w:u w:val="single" w:color="211F1F"/>
        </w:rPr>
        <w:t xml:space="preserve"> </w:t>
      </w:r>
      <w:r>
        <w:rPr>
          <w:b/>
          <w:color w:val="211F1F"/>
          <w:u w:val="single" w:color="211F1F"/>
        </w:rPr>
        <w:t>QUALIFICATION</w:t>
      </w:r>
      <w:r>
        <w:rPr>
          <w:b/>
          <w:color w:val="211F1F"/>
          <w:spacing w:val="-12"/>
          <w:u w:val="single" w:color="211F1F"/>
        </w:rPr>
        <w:t xml:space="preserve"> </w:t>
      </w:r>
      <w:r>
        <w:rPr>
          <w:b/>
          <w:color w:val="211F1F"/>
          <w:spacing w:val="-2"/>
          <w:u w:val="single" w:color="211F1F"/>
        </w:rPr>
        <w:t>CRITERIA</w:t>
      </w:r>
    </w:p>
    <w:p w14:paraId="7FEC8277" w14:textId="77777777" w:rsidR="00BB77C0" w:rsidRDefault="00370BAA">
      <w:pPr>
        <w:pStyle w:val="Heading7"/>
        <w:numPr>
          <w:ilvl w:val="0"/>
          <w:numId w:val="68"/>
        </w:numPr>
        <w:tabs>
          <w:tab w:val="left" w:pos="686"/>
        </w:tabs>
        <w:spacing w:before="232"/>
        <w:ind w:hanging="556"/>
        <w:jc w:val="left"/>
        <w:rPr>
          <w:color w:val="211F1F"/>
        </w:rPr>
      </w:pPr>
      <w:bookmarkStart w:id="125" w:name="1._General_Provisions"/>
      <w:bookmarkEnd w:id="125"/>
      <w:r>
        <w:rPr>
          <w:color w:val="211F1F"/>
          <w:spacing w:val="-4"/>
        </w:rPr>
        <w:t>General</w:t>
      </w:r>
      <w:r>
        <w:rPr>
          <w:color w:val="211F1F"/>
          <w:spacing w:val="-2"/>
        </w:rPr>
        <w:t xml:space="preserve"> Provisions</w:t>
      </w:r>
    </w:p>
    <w:p w14:paraId="2F560B63" w14:textId="77777777" w:rsidR="00BB77C0" w:rsidRDefault="00370BAA">
      <w:pPr>
        <w:pStyle w:val="BodyText"/>
        <w:spacing w:before="233" w:line="232" w:lineRule="auto"/>
        <w:ind w:left="701" w:right="748" w:hanging="15"/>
        <w:jc w:val="both"/>
      </w:pPr>
      <w:r>
        <w:rPr>
          <w:color w:val="211F1F"/>
        </w:rPr>
        <w:t>Wherever a</w:t>
      </w:r>
      <w:r>
        <w:rPr>
          <w:color w:val="211F1F"/>
          <w:spacing w:val="-3"/>
        </w:rPr>
        <w:t xml:space="preserve"> </w:t>
      </w:r>
      <w:r>
        <w:rPr>
          <w:color w:val="211F1F"/>
        </w:rPr>
        <w:t>Tenderer is</w:t>
      </w:r>
      <w:r>
        <w:rPr>
          <w:color w:val="211F1F"/>
          <w:spacing w:val="-1"/>
        </w:rPr>
        <w:t xml:space="preserve"> </w:t>
      </w:r>
      <w:r>
        <w:rPr>
          <w:color w:val="211F1F"/>
        </w:rPr>
        <w:t>required</w:t>
      </w:r>
      <w:r>
        <w:rPr>
          <w:color w:val="211F1F"/>
          <w:spacing w:val="-1"/>
        </w:rPr>
        <w:t xml:space="preserve"> </w:t>
      </w:r>
      <w:r>
        <w:rPr>
          <w:color w:val="211F1F"/>
        </w:rPr>
        <w:t>to</w:t>
      </w:r>
      <w:r>
        <w:rPr>
          <w:color w:val="211F1F"/>
          <w:spacing w:val="-7"/>
        </w:rPr>
        <w:t xml:space="preserve"> </w:t>
      </w:r>
      <w:r>
        <w:rPr>
          <w:color w:val="211F1F"/>
        </w:rPr>
        <w:t>state</w:t>
      </w:r>
      <w:r>
        <w:rPr>
          <w:color w:val="211F1F"/>
          <w:spacing w:val="-8"/>
        </w:rPr>
        <w:t xml:space="preserve"> </w:t>
      </w:r>
      <w:r>
        <w:rPr>
          <w:color w:val="211F1F"/>
        </w:rPr>
        <w:t>a monetary</w:t>
      </w:r>
      <w:r>
        <w:rPr>
          <w:color w:val="211F1F"/>
          <w:spacing w:val="-1"/>
        </w:rPr>
        <w:t xml:space="preserve"> </w:t>
      </w:r>
      <w:r>
        <w:rPr>
          <w:color w:val="211F1F"/>
        </w:rPr>
        <w:t>amount, Tenderers</w:t>
      </w:r>
      <w:r>
        <w:rPr>
          <w:color w:val="211F1F"/>
          <w:spacing w:val="-1"/>
        </w:rPr>
        <w:t xml:space="preserve"> </w:t>
      </w:r>
      <w:r>
        <w:rPr>
          <w:color w:val="211F1F"/>
        </w:rPr>
        <w:t>should</w:t>
      </w:r>
      <w:r>
        <w:rPr>
          <w:color w:val="211F1F"/>
          <w:spacing w:val="-6"/>
        </w:rPr>
        <w:t xml:space="preserve"> </w:t>
      </w:r>
      <w:r>
        <w:rPr>
          <w:color w:val="211F1F"/>
        </w:rPr>
        <w:t>indicate</w:t>
      </w:r>
      <w:r>
        <w:rPr>
          <w:color w:val="211F1F"/>
          <w:spacing w:val="-8"/>
        </w:rPr>
        <w:t xml:space="preserve"> </w:t>
      </w:r>
      <w:r>
        <w:rPr>
          <w:color w:val="211F1F"/>
        </w:rPr>
        <w:t>the</w:t>
      </w:r>
      <w:r>
        <w:rPr>
          <w:color w:val="211F1F"/>
          <w:spacing w:val="-4"/>
        </w:rPr>
        <w:t xml:space="preserve"> </w:t>
      </w:r>
      <w:r>
        <w:rPr>
          <w:color w:val="211F1F"/>
        </w:rPr>
        <w:t>Kenya Shilling equivalent using the rate of exchange determined as follows:</w:t>
      </w:r>
    </w:p>
    <w:p w14:paraId="12FFAE0F" w14:textId="77777777" w:rsidR="00BB77C0" w:rsidRDefault="00370BAA">
      <w:pPr>
        <w:pStyle w:val="ListParagraph"/>
        <w:numPr>
          <w:ilvl w:val="1"/>
          <w:numId w:val="68"/>
        </w:numPr>
        <w:tabs>
          <w:tab w:val="left" w:pos="1256"/>
          <w:tab w:val="left" w:pos="1263"/>
        </w:tabs>
        <w:spacing w:before="1" w:line="230" w:lineRule="auto"/>
        <w:ind w:right="344" w:hanging="577"/>
        <w:jc w:val="both"/>
      </w:pPr>
      <w:r>
        <w:rPr>
          <w:color w:val="211F1F"/>
        </w:rPr>
        <w:t>For</w:t>
      </w:r>
      <w:r>
        <w:rPr>
          <w:color w:val="211F1F"/>
          <w:spacing w:val="-14"/>
        </w:rPr>
        <w:t xml:space="preserve"> </w:t>
      </w:r>
      <w:r>
        <w:rPr>
          <w:color w:val="211F1F"/>
        </w:rPr>
        <w:t>construction</w:t>
      </w:r>
      <w:r>
        <w:rPr>
          <w:color w:val="211F1F"/>
          <w:spacing w:val="-14"/>
        </w:rPr>
        <w:t xml:space="preserve"> </w:t>
      </w:r>
      <w:r>
        <w:rPr>
          <w:color w:val="211F1F"/>
        </w:rPr>
        <w:t>turnover</w:t>
      </w:r>
      <w:r>
        <w:rPr>
          <w:color w:val="211F1F"/>
          <w:spacing w:val="-14"/>
        </w:rPr>
        <w:t xml:space="preserve"> </w:t>
      </w:r>
      <w:r>
        <w:rPr>
          <w:color w:val="211F1F"/>
        </w:rPr>
        <w:t>or</w:t>
      </w:r>
      <w:r>
        <w:rPr>
          <w:color w:val="211F1F"/>
          <w:spacing w:val="-13"/>
        </w:rPr>
        <w:t xml:space="preserve"> </w:t>
      </w:r>
      <w:r>
        <w:rPr>
          <w:color w:val="211F1F"/>
        </w:rPr>
        <w:t>financial</w:t>
      </w:r>
      <w:r>
        <w:rPr>
          <w:color w:val="211F1F"/>
          <w:spacing w:val="-14"/>
        </w:rPr>
        <w:t xml:space="preserve"> </w:t>
      </w:r>
      <w:r>
        <w:rPr>
          <w:color w:val="211F1F"/>
        </w:rPr>
        <w:t>data</w:t>
      </w:r>
      <w:r>
        <w:rPr>
          <w:color w:val="211F1F"/>
          <w:spacing w:val="-14"/>
        </w:rPr>
        <w:t xml:space="preserve"> </w:t>
      </w:r>
      <w:r>
        <w:rPr>
          <w:color w:val="211F1F"/>
        </w:rPr>
        <w:t>required</w:t>
      </w:r>
      <w:r>
        <w:rPr>
          <w:color w:val="211F1F"/>
          <w:spacing w:val="-14"/>
        </w:rPr>
        <w:t xml:space="preserve"> </w:t>
      </w:r>
      <w:r>
        <w:rPr>
          <w:color w:val="211F1F"/>
        </w:rPr>
        <w:t>for</w:t>
      </w:r>
      <w:r>
        <w:rPr>
          <w:color w:val="211F1F"/>
          <w:spacing w:val="-13"/>
        </w:rPr>
        <w:t xml:space="preserve"> </w:t>
      </w:r>
      <w:r>
        <w:rPr>
          <w:color w:val="211F1F"/>
        </w:rPr>
        <w:t>each</w:t>
      </w:r>
      <w:r>
        <w:rPr>
          <w:color w:val="211F1F"/>
          <w:spacing w:val="-14"/>
        </w:rPr>
        <w:t xml:space="preserve"> </w:t>
      </w:r>
      <w:r>
        <w:rPr>
          <w:color w:val="211F1F"/>
        </w:rPr>
        <w:t>year</w:t>
      </w:r>
      <w:r>
        <w:rPr>
          <w:color w:val="211F1F"/>
          <w:spacing w:val="-14"/>
        </w:rPr>
        <w:t xml:space="preserve"> </w:t>
      </w:r>
      <w:r>
        <w:rPr>
          <w:color w:val="211F1F"/>
        </w:rPr>
        <w:t>-</w:t>
      </w:r>
      <w:r>
        <w:rPr>
          <w:color w:val="211F1F"/>
          <w:spacing w:val="-14"/>
        </w:rPr>
        <w:t xml:space="preserve"> </w:t>
      </w:r>
      <w:r>
        <w:rPr>
          <w:color w:val="211F1F"/>
        </w:rPr>
        <w:t>Exchange</w:t>
      </w:r>
      <w:r>
        <w:rPr>
          <w:color w:val="211F1F"/>
          <w:spacing w:val="-13"/>
        </w:rPr>
        <w:t xml:space="preserve"> </w:t>
      </w:r>
      <w:r>
        <w:rPr>
          <w:color w:val="211F1F"/>
        </w:rPr>
        <w:t>rate</w:t>
      </w:r>
      <w:r>
        <w:rPr>
          <w:color w:val="211F1F"/>
          <w:spacing w:val="-14"/>
        </w:rPr>
        <w:t xml:space="preserve"> </w:t>
      </w:r>
      <w:r>
        <w:rPr>
          <w:color w:val="211F1F"/>
        </w:rPr>
        <w:t>prevailing</w:t>
      </w:r>
      <w:r>
        <w:rPr>
          <w:color w:val="211F1F"/>
          <w:spacing w:val="-14"/>
        </w:rPr>
        <w:t xml:space="preserve"> </w:t>
      </w:r>
      <w:r>
        <w:rPr>
          <w:color w:val="211F1F"/>
        </w:rPr>
        <w:t>on</w:t>
      </w:r>
      <w:r>
        <w:rPr>
          <w:color w:val="211F1F"/>
          <w:spacing w:val="-14"/>
        </w:rPr>
        <w:t xml:space="preserve"> </w:t>
      </w:r>
      <w:r>
        <w:rPr>
          <w:color w:val="211F1F"/>
        </w:rPr>
        <w:t>the</w:t>
      </w:r>
      <w:r>
        <w:rPr>
          <w:color w:val="211F1F"/>
          <w:spacing w:val="-13"/>
        </w:rPr>
        <w:t xml:space="preserve"> </w:t>
      </w:r>
      <w:r>
        <w:rPr>
          <w:color w:val="211F1F"/>
        </w:rPr>
        <w:t>last</w:t>
      </w:r>
      <w:r>
        <w:rPr>
          <w:color w:val="211F1F"/>
          <w:spacing w:val="-14"/>
        </w:rPr>
        <w:t xml:space="preserve"> </w:t>
      </w:r>
      <w:r>
        <w:rPr>
          <w:color w:val="211F1F"/>
        </w:rPr>
        <w:t xml:space="preserve">day of the respective calendar year (in which the amounts for that year is to be converted) was originally </w:t>
      </w:r>
      <w:r>
        <w:rPr>
          <w:color w:val="211F1F"/>
          <w:spacing w:val="-2"/>
        </w:rPr>
        <w:t>established.</w:t>
      </w:r>
    </w:p>
    <w:p w14:paraId="75C527CC" w14:textId="77777777" w:rsidR="00BB77C0" w:rsidRDefault="00370BAA">
      <w:pPr>
        <w:pStyle w:val="ListParagraph"/>
        <w:numPr>
          <w:ilvl w:val="1"/>
          <w:numId w:val="68"/>
        </w:numPr>
        <w:tabs>
          <w:tab w:val="left" w:pos="1261"/>
        </w:tabs>
        <w:spacing w:line="237" w:lineRule="exact"/>
        <w:ind w:left="1261" w:hanging="575"/>
        <w:jc w:val="both"/>
      </w:pPr>
      <w:r>
        <w:rPr>
          <w:color w:val="211F1F"/>
          <w:spacing w:val="-2"/>
        </w:rPr>
        <w:t>Value</w:t>
      </w:r>
      <w:r>
        <w:rPr>
          <w:color w:val="211F1F"/>
          <w:spacing w:val="-31"/>
        </w:rPr>
        <w:t xml:space="preserve"> </w:t>
      </w:r>
      <w:r>
        <w:rPr>
          <w:color w:val="211F1F"/>
          <w:spacing w:val="-2"/>
        </w:rPr>
        <w:t>of</w:t>
      </w:r>
      <w:r>
        <w:rPr>
          <w:color w:val="211F1F"/>
          <w:spacing w:val="-19"/>
        </w:rPr>
        <w:t xml:space="preserve"> </w:t>
      </w:r>
      <w:r>
        <w:rPr>
          <w:color w:val="211F1F"/>
          <w:spacing w:val="-2"/>
        </w:rPr>
        <w:t>single</w:t>
      </w:r>
      <w:r>
        <w:rPr>
          <w:color w:val="211F1F"/>
          <w:spacing w:val="-23"/>
        </w:rPr>
        <w:t xml:space="preserve"> </w:t>
      </w:r>
      <w:r>
        <w:rPr>
          <w:color w:val="211F1F"/>
          <w:spacing w:val="-2"/>
        </w:rPr>
        <w:t>contract</w:t>
      </w:r>
      <w:r>
        <w:rPr>
          <w:color w:val="211F1F"/>
          <w:spacing w:val="-20"/>
        </w:rPr>
        <w:t xml:space="preserve"> </w:t>
      </w:r>
      <w:r>
        <w:rPr>
          <w:color w:val="211F1F"/>
          <w:spacing w:val="-2"/>
        </w:rPr>
        <w:t>-</w:t>
      </w:r>
      <w:r>
        <w:rPr>
          <w:color w:val="211F1F"/>
          <w:spacing w:val="-19"/>
        </w:rPr>
        <w:t xml:space="preserve"> </w:t>
      </w:r>
      <w:r>
        <w:rPr>
          <w:color w:val="211F1F"/>
          <w:spacing w:val="-2"/>
        </w:rPr>
        <w:t>Exchange</w:t>
      </w:r>
      <w:r>
        <w:rPr>
          <w:color w:val="211F1F"/>
          <w:spacing w:val="-23"/>
        </w:rPr>
        <w:t xml:space="preserve"> </w:t>
      </w:r>
      <w:r>
        <w:rPr>
          <w:color w:val="211F1F"/>
          <w:spacing w:val="-2"/>
        </w:rPr>
        <w:t>rate</w:t>
      </w:r>
      <w:r>
        <w:rPr>
          <w:color w:val="211F1F"/>
          <w:spacing w:val="-23"/>
        </w:rPr>
        <w:t xml:space="preserve"> </w:t>
      </w:r>
      <w:r>
        <w:rPr>
          <w:color w:val="211F1F"/>
          <w:spacing w:val="-2"/>
        </w:rPr>
        <w:t>prevailing</w:t>
      </w:r>
      <w:r>
        <w:rPr>
          <w:color w:val="211F1F"/>
          <w:spacing w:val="-21"/>
        </w:rPr>
        <w:t xml:space="preserve"> </w:t>
      </w:r>
      <w:r>
        <w:rPr>
          <w:color w:val="211F1F"/>
          <w:spacing w:val="-2"/>
        </w:rPr>
        <w:t>on</w:t>
      </w:r>
      <w:r>
        <w:rPr>
          <w:color w:val="211F1F"/>
          <w:spacing w:val="-22"/>
        </w:rPr>
        <w:t xml:space="preserve"> </w:t>
      </w:r>
      <w:r>
        <w:rPr>
          <w:color w:val="211F1F"/>
          <w:spacing w:val="-2"/>
        </w:rPr>
        <w:t>the</w:t>
      </w:r>
      <w:r>
        <w:rPr>
          <w:color w:val="211F1F"/>
          <w:spacing w:val="-23"/>
        </w:rPr>
        <w:t xml:space="preserve"> </w:t>
      </w:r>
      <w:r>
        <w:rPr>
          <w:color w:val="211F1F"/>
          <w:spacing w:val="-2"/>
        </w:rPr>
        <w:t>date</w:t>
      </w:r>
      <w:r>
        <w:rPr>
          <w:color w:val="211F1F"/>
          <w:spacing w:val="-24"/>
        </w:rPr>
        <w:t xml:space="preserve"> </w:t>
      </w:r>
      <w:r>
        <w:rPr>
          <w:color w:val="211F1F"/>
          <w:spacing w:val="-2"/>
        </w:rPr>
        <w:t>of</w:t>
      </w:r>
      <w:r>
        <w:rPr>
          <w:color w:val="211F1F"/>
          <w:spacing w:val="-19"/>
        </w:rPr>
        <w:t xml:space="preserve"> </w:t>
      </w:r>
      <w:r>
        <w:rPr>
          <w:color w:val="211F1F"/>
          <w:spacing w:val="-2"/>
        </w:rPr>
        <w:t>the</w:t>
      </w:r>
      <w:r>
        <w:rPr>
          <w:color w:val="211F1F"/>
          <w:spacing w:val="-24"/>
        </w:rPr>
        <w:t xml:space="preserve"> </w:t>
      </w:r>
      <w:r>
        <w:rPr>
          <w:color w:val="211F1F"/>
          <w:spacing w:val="-2"/>
        </w:rPr>
        <w:t>contract</w:t>
      </w:r>
      <w:r>
        <w:rPr>
          <w:color w:val="211F1F"/>
          <w:spacing w:val="-14"/>
        </w:rPr>
        <w:t xml:space="preserve"> </w:t>
      </w:r>
      <w:r>
        <w:rPr>
          <w:color w:val="211F1F"/>
          <w:spacing w:val="-2"/>
        </w:rPr>
        <w:t>signature.</w:t>
      </w:r>
    </w:p>
    <w:p w14:paraId="2794BFB6" w14:textId="77777777" w:rsidR="00BB77C0" w:rsidRDefault="00370BAA">
      <w:pPr>
        <w:pStyle w:val="ListParagraph"/>
        <w:numPr>
          <w:ilvl w:val="1"/>
          <w:numId w:val="68"/>
        </w:numPr>
        <w:tabs>
          <w:tab w:val="left" w:pos="1256"/>
          <w:tab w:val="left" w:pos="1263"/>
        </w:tabs>
        <w:spacing w:before="6" w:line="228" w:lineRule="auto"/>
        <w:ind w:right="488" w:hanging="577"/>
        <w:jc w:val="both"/>
      </w:pPr>
      <w:r>
        <w:rPr>
          <w:color w:val="211F1F"/>
        </w:rPr>
        <w:t>Exchange</w:t>
      </w:r>
      <w:r>
        <w:rPr>
          <w:color w:val="211F1F"/>
          <w:spacing w:val="-6"/>
        </w:rPr>
        <w:t xml:space="preserve"> </w:t>
      </w:r>
      <w:r>
        <w:rPr>
          <w:color w:val="211F1F"/>
        </w:rPr>
        <w:t>rates</w:t>
      </w:r>
      <w:r>
        <w:rPr>
          <w:color w:val="211F1F"/>
          <w:spacing w:val="-3"/>
        </w:rPr>
        <w:t xml:space="preserve"> </w:t>
      </w:r>
      <w:r>
        <w:rPr>
          <w:color w:val="211F1F"/>
        </w:rPr>
        <w:t>shall</w:t>
      </w:r>
      <w:r>
        <w:rPr>
          <w:color w:val="211F1F"/>
          <w:spacing w:val="-4"/>
        </w:rPr>
        <w:t xml:space="preserve"> </w:t>
      </w:r>
      <w:r>
        <w:rPr>
          <w:color w:val="211F1F"/>
        </w:rPr>
        <w:t>be</w:t>
      </w:r>
      <w:r>
        <w:rPr>
          <w:color w:val="211F1F"/>
          <w:spacing w:val="-7"/>
        </w:rPr>
        <w:t xml:space="preserve"> </w:t>
      </w:r>
      <w:r>
        <w:rPr>
          <w:color w:val="211F1F"/>
        </w:rPr>
        <w:t>taken</w:t>
      </w:r>
      <w:r>
        <w:rPr>
          <w:color w:val="211F1F"/>
          <w:spacing w:val="-4"/>
        </w:rPr>
        <w:t xml:space="preserve"> </w:t>
      </w:r>
      <w:r>
        <w:rPr>
          <w:color w:val="211F1F"/>
        </w:rPr>
        <w:t>from</w:t>
      </w:r>
      <w:r>
        <w:rPr>
          <w:color w:val="211F1F"/>
          <w:spacing w:val="-8"/>
        </w:rPr>
        <w:t xml:space="preserve"> </w:t>
      </w:r>
      <w:r>
        <w:rPr>
          <w:color w:val="211F1F"/>
        </w:rPr>
        <w:t>the</w:t>
      </w:r>
      <w:r>
        <w:rPr>
          <w:color w:val="211F1F"/>
          <w:spacing w:val="-6"/>
        </w:rPr>
        <w:t xml:space="preserve"> </w:t>
      </w:r>
      <w:r>
        <w:rPr>
          <w:color w:val="211F1F"/>
        </w:rPr>
        <w:t>publicly</w:t>
      </w:r>
      <w:r>
        <w:rPr>
          <w:color w:val="211F1F"/>
          <w:spacing w:val="-4"/>
        </w:rPr>
        <w:t xml:space="preserve"> </w:t>
      </w:r>
      <w:r>
        <w:rPr>
          <w:color w:val="211F1F"/>
        </w:rPr>
        <w:t>available</w:t>
      </w:r>
      <w:r>
        <w:rPr>
          <w:color w:val="211F1F"/>
          <w:spacing w:val="-5"/>
        </w:rPr>
        <w:t xml:space="preserve"> </w:t>
      </w:r>
      <w:r>
        <w:rPr>
          <w:color w:val="211F1F"/>
        </w:rPr>
        <w:t>source</w:t>
      </w:r>
      <w:r>
        <w:rPr>
          <w:color w:val="211F1F"/>
          <w:spacing w:val="-7"/>
        </w:rPr>
        <w:t xml:space="preserve"> </w:t>
      </w:r>
      <w:r>
        <w:rPr>
          <w:color w:val="211F1F"/>
        </w:rPr>
        <w:t>identified</w:t>
      </w:r>
      <w:r>
        <w:rPr>
          <w:color w:val="211F1F"/>
          <w:spacing w:val="-3"/>
        </w:rPr>
        <w:t xml:space="preserve"> </w:t>
      </w:r>
      <w:r>
        <w:rPr>
          <w:color w:val="211F1F"/>
        </w:rPr>
        <w:t>in</w:t>
      </w:r>
      <w:r>
        <w:rPr>
          <w:color w:val="211F1F"/>
          <w:spacing w:val="-5"/>
        </w:rPr>
        <w:t xml:space="preserve"> </w:t>
      </w:r>
      <w:r>
        <w:rPr>
          <w:color w:val="211F1F"/>
        </w:rPr>
        <w:t>the</w:t>
      </w:r>
      <w:r>
        <w:rPr>
          <w:color w:val="211F1F"/>
          <w:spacing w:val="-6"/>
        </w:rPr>
        <w:t xml:space="preserve"> </w:t>
      </w:r>
      <w:r>
        <w:rPr>
          <w:color w:val="211F1F"/>
        </w:rPr>
        <w:t>ITT</w:t>
      </w:r>
      <w:r>
        <w:rPr>
          <w:color w:val="211F1F"/>
          <w:spacing w:val="-6"/>
        </w:rPr>
        <w:t xml:space="preserve"> </w:t>
      </w:r>
      <w:r>
        <w:rPr>
          <w:color w:val="211F1F"/>
        </w:rPr>
        <w:t>14.3.</w:t>
      </w:r>
      <w:r>
        <w:rPr>
          <w:color w:val="211F1F"/>
          <w:spacing w:val="-12"/>
        </w:rPr>
        <w:t xml:space="preserve"> </w:t>
      </w:r>
      <w:r>
        <w:rPr>
          <w:color w:val="211F1F"/>
        </w:rPr>
        <w:t>Any</w:t>
      </w:r>
      <w:r>
        <w:rPr>
          <w:color w:val="211F1F"/>
          <w:spacing w:val="-4"/>
        </w:rPr>
        <w:t xml:space="preserve"> </w:t>
      </w:r>
      <w:r>
        <w:rPr>
          <w:color w:val="211F1F"/>
        </w:rPr>
        <w:t>error</w:t>
      </w:r>
      <w:r>
        <w:rPr>
          <w:color w:val="211F1F"/>
          <w:spacing w:val="-2"/>
        </w:rPr>
        <w:t xml:space="preserve"> </w:t>
      </w:r>
      <w:r>
        <w:rPr>
          <w:color w:val="211F1F"/>
        </w:rPr>
        <w:t>in determining</w:t>
      </w:r>
      <w:r>
        <w:rPr>
          <w:color w:val="211F1F"/>
          <w:spacing w:val="-6"/>
        </w:rPr>
        <w:t xml:space="preserve"> </w:t>
      </w:r>
      <w:r>
        <w:rPr>
          <w:color w:val="211F1F"/>
        </w:rPr>
        <w:t>the</w:t>
      </w:r>
      <w:r>
        <w:rPr>
          <w:color w:val="211F1F"/>
          <w:spacing w:val="-4"/>
        </w:rPr>
        <w:t xml:space="preserve"> </w:t>
      </w:r>
      <w:r>
        <w:rPr>
          <w:color w:val="211F1F"/>
        </w:rPr>
        <w:t>exchange</w:t>
      </w:r>
      <w:r>
        <w:rPr>
          <w:color w:val="211F1F"/>
          <w:spacing w:val="-9"/>
        </w:rPr>
        <w:t xml:space="preserve"> </w:t>
      </w:r>
      <w:r>
        <w:rPr>
          <w:color w:val="211F1F"/>
        </w:rPr>
        <w:t>rates in</w:t>
      </w:r>
      <w:r>
        <w:rPr>
          <w:color w:val="211F1F"/>
          <w:spacing w:val="-7"/>
        </w:rPr>
        <w:t xml:space="preserve"> </w:t>
      </w:r>
      <w:r>
        <w:rPr>
          <w:color w:val="211F1F"/>
        </w:rPr>
        <w:t>the</w:t>
      </w:r>
      <w:r>
        <w:rPr>
          <w:color w:val="211F1F"/>
          <w:spacing w:val="-16"/>
        </w:rPr>
        <w:t xml:space="preserve"> </w:t>
      </w:r>
      <w:r>
        <w:rPr>
          <w:color w:val="211F1F"/>
        </w:rPr>
        <w:t>Tender may</w:t>
      </w:r>
      <w:r>
        <w:rPr>
          <w:color w:val="211F1F"/>
          <w:spacing w:val="-7"/>
        </w:rPr>
        <w:t xml:space="preserve"> </w:t>
      </w:r>
      <w:r>
        <w:rPr>
          <w:color w:val="211F1F"/>
        </w:rPr>
        <w:t>be</w:t>
      </w:r>
      <w:r>
        <w:rPr>
          <w:color w:val="211F1F"/>
          <w:spacing w:val="-10"/>
        </w:rPr>
        <w:t xml:space="preserve"> </w:t>
      </w:r>
      <w:r>
        <w:rPr>
          <w:color w:val="211F1F"/>
        </w:rPr>
        <w:t>corrected</w:t>
      </w:r>
      <w:r>
        <w:rPr>
          <w:color w:val="211F1F"/>
          <w:spacing w:val="-6"/>
        </w:rPr>
        <w:t xml:space="preserve"> </w:t>
      </w:r>
      <w:r>
        <w:rPr>
          <w:color w:val="211F1F"/>
        </w:rPr>
        <w:t>by</w:t>
      </w:r>
      <w:r>
        <w:rPr>
          <w:color w:val="211F1F"/>
          <w:spacing w:val="-7"/>
        </w:rPr>
        <w:t xml:space="preserve"> </w:t>
      </w:r>
      <w:r>
        <w:rPr>
          <w:color w:val="211F1F"/>
        </w:rPr>
        <w:t>the</w:t>
      </w:r>
      <w:r>
        <w:rPr>
          <w:color w:val="211F1F"/>
          <w:spacing w:val="-9"/>
        </w:rPr>
        <w:t xml:space="preserve"> </w:t>
      </w:r>
      <w:r>
        <w:rPr>
          <w:color w:val="211F1F"/>
        </w:rPr>
        <w:t>Procuring</w:t>
      </w:r>
      <w:r>
        <w:rPr>
          <w:color w:val="211F1F"/>
          <w:spacing w:val="-6"/>
        </w:rPr>
        <w:t xml:space="preserve"> </w:t>
      </w:r>
      <w:r>
        <w:rPr>
          <w:color w:val="211F1F"/>
        </w:rPr>
        <w:t>Entity.</w:t>
      </w:r>
    </w:p>
    <w:p w14:paraId="108B73AD" w14:textId="77777777" w:rsidR="00BB77C0" w:rsidRDefault="00370BAA">
      <w:pPr>
        <w:pStyle w:val="BodyText"/>
        <w:spacing w:before="242" w:line="230" w:lineRule="auto"/>
        <w:ind w:left="701" w:right="351" w:hanging="15"/>
        <w:jc w:val="both"/>
      </w:pPr>
      <w:r>
        <w:rPr>
          <w:color w:val="211F1F"/>
        </w:rPr>
        <w:t>This section contains the</w:t>
      </w:r>
      <w:r>
        <w:rPr>
          <w:color w:val="211F1F"/>
          <w:spacing w:val="-3"/>
        </w:rPr>
        <w:t xml:space="preserve"> </w:t>
      </w:r>
      <w:r>
        <w:rPr>
          <w:color w:val="211F1F"/>
        </w:rPr>
        <w:t>criteria that the</w:t>
      </w:r>
      <w:r>
        <w:rPr>
          <w:color w:val="211F1F"/>
          <w:spacing w:val="-3"/>
        </w:rPr>
        <w:t xml:space="preserve"> </w:t>
      </w:r>
      <w:r>
        <w:rPr>
          <w:color w:val="211F1F"/>
        </w:rPr>
        <w:t>Employer shall use to</w:t>
      </w:r>
      <w:r>
        <w:rPr>
          <w:color w:val="211F1F"/>
          <w:spacing w:val="-1"/>
        </w:rPr>
        <w:t xml:space="preserve"> </w:t>
      </w:r>
      <w:r>
        <w:rPr>
          <w:color w:val="211F1F"/>
        </w:rPr>
        <w:t>evaluate</w:t>
      </w:r>
      <w:r>
        <w:rPr>
          <w:color w:val="211F1F"/>
          <w:spacing w:val="-1"/>
        </w:rPr>
        <w:t xml:space="preserve"> </w:t>
      </w:r>
      <w:r>
        <w:rPr>
          <w:color w:val="211F1F"/>
        </w:rPr>
        <w:t>tender and</w:t>
      </w:r>
      <w:r>
        <w:rPr>
          <w:color w:val="211F1F"/>
          <w:spacing w:val="-1"/>
        </w:rPr>
        <w:t xml:space="preserve"> </w:t>
      </w:r>
      <w:r>
        <w:rPr>
          <w:color w:val="211F1F"/>
        </w:rPr>
        <w:t>qualify</w:t>
      </w:r>
      <w:r>
        <w:rPr>
          <w:color w:val="211F1F"/>
          <w:spacing w:val="-1"/>
        </w:rPr>
        <w:t xml:space="preserve"> </w:t>
      </w:r>
      <w:r>
        <w:rPr>
          <w:color w:val="211F1F"/>
        </w:rPr>
        <w:t>tenderers. No</w:t>
      </w:r>
      <w:r>
        <w:rPr>
          <w:color w:val="211F1F"/>
          <w:spacing w:val="-1"/>
        </w:rPr>
        <w:t xml:space="preserve"> </w:t>
      </w:r>
      <w:r>
        <w:rPr>
          <w:color w:val="211F1F"/>
        </w:rPr>
        <w:t>other factors,</w:t>
      </w:r>
      <w:r>
        <w:rPr>
          <w:color w:val="211F1F"/>
          <w:spacing w:val="-14"/>
        </w:rPr>
        <w:t xml:space="preserve"> </w:t>
      </w:r>
      <w:r>
        <w:rPr>
          <w:color w:val="211F1F"/>
        </w:rPr>
        <w:t>methods</w:t>
      </w:r>
      <w:r>
        <w:rPr>
          <w:color w:val="211F1F"/>
          <w:spacing w:val="-14"/>
        </w:rPr>
        <w:t xml:space="preserve"> </w:t>
      </w:r>
      <w:r>
        <w:rPr>
          <w:color w:val="211F1F"/>
        </w:rPr>
        <w:t>or</w:t>
      </w:r>
      <w:r>
        <w:rPr>
          <w:color w:val="211F1F"/>
          <w:spacing w:val="-14"/>
        </w:rPr>
        <w:t xml:space="preserve"> </w:t>
      </w:r>
      <w:r>
        <w:rPr>
          <w:color w:val="211F1F"/>
        </w:rPr>
        <w:t>criteria</w:t>
      </w:r>
      <w:r>
        <w:rPr>
          <w:color w:val="211F1F"/>
          <w:spacing w:val="-13"/>
        </w:rPr>
        <w:t xml:space="preserve"> </w:t>
      </w:r>
      <w:r>
        <w:rPr>
          <w:color w:val="211F1F"/>
        </w:rPr>
        <w:t>shall</w:t>
      </w:r>
      <w:r>
        <w:rPr>
          <w:color w:val="211F1F"/>
          <w:spacing w:val="-14"/>
        </w:rPr>
        <w:t xml:space="preserve"> </w:t>
      </w:r>
      <w:r>
        <w:rPr>
          <w:color w:val="211F1F"/>
        </w:rPr>
        <w:t>be</w:t>
      </w:r>
      <w:r>
        <w:rPr>
          <w:color w:val="211F1F"/>
          <w:spacing w:val="-14"/>
        </w:rPr>
        <w:t xml:space="preserve"> </w:t>
      </w:r>
      <w:r>
        <w:rPr>
          <w:color w:val="211F1F"/>
        </w:rPr>
        <w:t>used</w:t>
      </w:r>
      <w:r>
        <w:rPr>
          <w:color w:val="211F1F"/>
          <w:spacing w:val="-14"/>
        </w:rPr>
        <w:t xml:space="preserve"> </w:t>
      </w:r>
      <w:r>
        <w:rPr>
          <w:color w:val="211F1F"/>
        </w:rPr>
        <w:t>other</w:t>
      </w:r>
      <w:r>
        <w:rPr>
          <w:color w:val="211F1F"/>
          <w:spacing w:val="-13"/>
        </w:rPr>
        <w:t xml:space="preserve"> </w:t>
      </w:r>
      <w:r>
        <w:rPr>
          <w:color w:val="211F1F"/>
        </w:rPr>
        <w:t>than</w:t>
      </w:r>
      <w:r>
        <w:rPr>
          <w:color w:val="211F1F"/>
          <w:spacing w:val="-14"/>
        </w:rPr>
        <w:t xml:space="preserve"> </w:t>
      </w:r>
      <w:r>
        <w:rPr>
          <w:color w:val="211F1F"/>
        </w:rPr>
        <w:t>specified</w:t>
      </w:r>
      <w:r>
        <w:rPr>
          <w:color w:val="211F1F"/>
          <w:spacing w:val="-14"/>
        </w:rPr>
        <w:t xml:space="preserve"> </w:t>
      </w:r>
      <w:r>
        <w:rPr>
          <w:color w:val="211F1F"/>
        </w:rPr>
        <w:t>in</w:t>
      </w:r>
      <w:r>
        <w:rPr>
          <w:color w:val="211F1F"/>
          <w:spacing w:val="-14"/>
        </w:rPr>
        <w:t xml:space="preserve"> </w:t>
      </w:r>
      <w:r>
        <w:rPr>
          <w:color w:val="211F1F"/>
        </w:rPr>
        <w:t>this</w:t>
      </w:r>
      <w:r>
        <w:rPr>
          <w:color w:val="211F1F"/>
          <w:spacing w:val="-13"/>
        </w:rPr>
        <w:t xml:space="preserve"> </w:t>
      </w:r>
      <w:r>
        <w:rPr>
          <w:color w:val="211F1F"/>
        </w:rPr>
        <w:t>tender</w:t>
      </w:r>
      <w:r>
        <w:rPr>
          <w:color w:val="211F1F"/>
          <w:spacing w:val="-14"/>
        </w:rPr>
        <w:t xml:space="preserve"> </w:t>
      </w:r>
      <w:r>
        <w:rPr>
          <w:color w:val="211F1F"/>
        </w:rPr>
        <w:t>document.</w:t>
      </w:r>
      <w:r>
        <w:rPr>
          <w:color w:val="211F1F"/>
          <w:spacing w:val="-12"/>
        </w:rPr>
        <w:t xml:space="preserve"> </w:t>
      </w:r>
      <w:r>
        <w:rPr>
          <w:color w:val="211F1F"/>
        </w:rPr>
        <w:t>The</w:t>
      </w:r>
      <w:r>
        <w:rPr>
          <w:color w:val="211F1F"/>
          <w:spacing w:val="-14"/>
        </w:rPr>
        <w:t xml:space="preserve"> </w:t>
      </w:r>
      <w:r>
        <w:rPr>
          <w:color w:val="211F1F"/>
        </w:rPr>
        <w:t>Tenderer</w:t>
      </w:r>
      <w:r>
        <w:rPr>
          <w:color w:val="211F1F"/>
          <w:spacing w:val="-10"/>
        </w:rPr>
        <w:t xml:space="preserve"> </w:t>
      </w:r>
      <w:r>
        <w:rPr>
          <w:color w:val="211F1F"/>
        </w:rPr>
        <w:t>shall</w:t>
      </w:r>
      <w:r>
        <w:rPr>
          <w:color w:val="211F1F"/>
          <w:spacing w:val="-14"/>
        </w:rPr>
        <w:t xml:space="preserve"> </w:t>
      </w:r>
      <w:r>
        <w:rPr>
          <w:color w:val="211F1F"/>
        </w:rPr>
        <w:t>provide all</w:t>
      </w:r>
      <w:r>
        <w:rPr>
          <w:color w:val="211F1F"/>
          <w:spacing w:val="-14"/>
        </w:rPr>
        <w:t xml:space="preserve"> </w:t>
      </w:r>
      <w:r>
        <w:rPr>
          <w:color w:val="211F1F"/>
        </w:rPr>
        <w:t>the</w:t>
      </w:r>
      <w:r>
        <w:rPr>
          <w:color w:val="211F1F"/>
          <w:spacing w:val="-14"/>
        </w:rPr>
        <w:t xml:space="preserve"> </w:t>
      </w:r>
      <w:r>
        <w:rPr>
          <w:color w:val="211F1F"/>
        </w:rPr>
        <w:t>information</w:t>
      </w:r>
      <w:r>
        <w:rPr>
          <w:color w:val="211F1F"/>
          <w:spacing w:val="-13"/>
        </w:rPr>
        <w:t xml:space="preserve"> </w:t>
      </w:r>
      <w:r>
        <w:rPr>
          <w:color w:val="211F1F"/>
        </w:rPr>
        <w:t>requested</w:t>
      </w:r>
      <w:r>
        <w:rPr>
          <w:color w:val="211F1F"/>
          <w:spacing w:val="-14"/>
        </w:rPr>
        <w:t xml:space="preserve"> </w:t>
      </w:r>
      <w:r>
        <w:rPr>
          <w:color w:val="211F1F"/>
        </w:rPr>
        <w:t>in</w:t>
      </w:r>
      <w:r>
        <w:rPr>
          <w:color w:val="211F1F"/>
          <w:spacing w:val="-13"/>
        </w:rPr>
        <w:t xml:space="preserve"> </w:t>
      </w:r>
      <w:r>
        <w:rPr>
          <w:color w:val="211F1F"/>
        </w:rPr>
        <w:t>the</w:t>
      </w:r>
      <w:r>
        <w:rPr>
          <w:color w:val="211F1F"/>
          <w:spacing w:val="-14"/>
        </w:rPr>
        <w:t xml:space="preserve"> </w:t>
      </w:r>
      <w:r>
        <w:rPr>
          <w:color w:val="211F1F"/>
        </w:rPr>
        <w:t>forms</w:t>
      </w:r>
      <w:r>
        <w:rPr>
          <w:color w:val="211F1F"/>
          <w:spacing w:val="-9"/>
        </w:rPr>
        <w:t xml:space="preserve"> </w:t>
      </w:r>
      <w:r>
        <w:rPr>
          <w:color w:val="211F1F"/>
        </w:rPr>
        <w:t>included</w:t>
      </w:r>
      <w:r>
        <w:rPr>
          <w:color w:val="211F1F"/>
          <w:spacing w:val="-13"/>
        </w:rPr>
        <w:t xml:space="preserve"> </w:t>
      </w:r>
      <w:r>
        <w:rPr>
          <w:color w:val="211F1F"/>
        </w:rPr>
        <w:t>in</w:t>
      </w:r>
      <w:r>
        <w:rPr>
          <w:color w:val="211F1F"/>
          <w:spacing w:val="-14"/>
        </w:rPr>
        <w:t xml:space="preserve"> </w:t>
      </w:r>
      <w:r>
        <w:rPr>
          <w:color w:val="211F1F"/>
        </w:rPr>
        <w:t>Section</w:t>
      </w:r>
      <w:r>
        <w:rPr>
          <w:color w:val="211F1F"/>
          <w:spacing w:val="-9"/>
        </w:rPr>
        <w:t xml:space="preserve"> </w:t>
      </w:r>
      <w:r>
        <w:rPr>
          <w:color w:val="211F1F"/>
        </w:rPr>
        <w:t>IV,</w:t>
      </w:r>
      <w:r>
        <w:rPr>
          <w:color w:val="211F1F"/>
          <w:spacing w:val="-12"/>
        </w:rPr>
        <w:t xml:space="preserve"> </w:t>
      </w:r>
      <w:r>
        <w:rPr>
          <w:color w:val="211F1F"/>
        </w:rPr>
        <w:t>Tendering</w:t>
      </w:r>
      <w:r>
        <w:rPr>
          <w:color w:val="211F1F"/>
          <w:spacing w:val="-13"/>
        </w:rPr>
        <w:t xml:space="preserve"> </w:t>
      </w:r>
      <w:r>
        <w:rPr>
          <w:color w:val="211F1F"/>
        </w:rPr>
        <w:t>Forms.</w:t>
      </w:r>
      <w:r>
        <w:rPr>
          <w:color w:val="211F1F"/>
          <w:spacing w:val="-11"/>
        </w:rPr>
        <w:t xml:space="preserve"> </w:t>
      </w:r>
      <w:r>
        <w:rPr>
          <w:color w:val="211F1F"/>
        </w:rPr>
        <w:t>The</w:t>
      </w:r>
      <w:r>
        <w:rPr>
          <w:color w:val="211F1F"/>
          <w:spacing w:val="-11"/>
        </w:rPr>
        <w:t xml:space="preserve"> </w:t>
      </w:r>
      <w:r>
        <w:rPr>
          <w:color w:val="211F1F"/>
        </w:rPr>
        <w:t>Procuring</w:t>
      </w:r>
      <w:r>
        <w:rPr>
          <w:color w:val="211F1F"/>
          <w:spacing w:val="-14"/>
        </w:rPr>
        <w:t xml:space="preserve"> </w:t>
      </w:r>
      <w:r>
        <w:rPr>
          <w:color w:val="211F1F"/>
        </w:rPr>
        <w:t>Entity</w:t>
      </w:r>
      <w:r>
        <w:rPr>
          <w:color w:val="211F1F"/>
          <w:spacing w:val="-8"/>
        </w:rPr>
        <w:t xml:space="preserve"> </w:t>
      </w:r>
      <w:r>
        <w:rPr>
          <w:color w:val="211F1F"/>
        </w:rPr>
        <w:t>should use</w:t>
      </w:r>
      <w:r>
        <w:rPr>
          <w:color w:val="211F1F"/>
          <w:spacing w:val="-9"/>
        </w:rPr>
        <w:t xml:space="preserve"> </w:t>
      </w:r>
      <w:r>
        <w:rPr>
          <w:b/>
          <w:color w:val="211F1F"/>
          <w:u w:val="single" w:color="211F1F"/>
        </w:rPr>
        <w:t>the</w:t>
      </w:r>
      <w:r>
        <w:rPr>
          <w:b/>
          <w:color w:val="211F1F"/>
          <w:spacing w:val="-2"/>
          <w:u w:val="single" w:color="211F1F"/>
        </w:rPr>
        <w:t xml:space="preserve"> </w:t>
      </w:r>
      <w:r>
        <w:rPr>
          <w:b/>
          <w:color w:val="211F1F"/>
          <w:u w:val="single" w:color="211F1F"/>
        </w:rPr>
        <w:t>Standard</w:t>
      </w:r>
      <w:r>
        <w:rPr>
          <w:b/>
          <w:color w:val="211F1F"/>
          <w:spacing w:val="-9"/>
          <w:u w:val="single" w:color="211F1F"/>
        </w:rPr>
        <w:t xml:space="preserve"> </w:t>
      </w:r>
      <w:r>
        <w:rPr>
          <w:b/>
          <w:color w:val="211F1F"/>
          <w:u w:val="single" w:color="211F1F"/>
        </w:rPr>
        <w:t>Tender</w:t>
      </w:r>
      <w:r>
        <w:rPr>
          <w:b/>
          <w:color w:val="211F1F"/>
          <w:spacing w:val="-21"/>
          <w:u w:val="single" w:color="211F1F"/>
        </w:rPr>
        <w:t xml:space="preserve"> </w:t>
      </w:r>
      <w:r>
        <w:rPr>
          <w:b/>
          <w:color w:val="211F1F"/>
          <w:u w:val="single" w:color="211F1F"/>
        </w:rPr>
        <w:t>Evaluation</w:t>
      </w:r>
      <w:r>
        <w:rPr>
          <w:b/>
          <w:color w:val="211F1F"/>
          <w:spacing w:val="-9"/>
          <w:u w:val="single" w:color="211F1F"/>
        </w:rPr>
        <w:t xml:space="preserve"> </w:t>
      </w:r>
      <w:r>
        <w:rPr>
          <w:b/>
          <w:color w:val="211F1F"/>
          <w:u w:val="single" w:color="211F1F"/>
        </w:rPr>
        <w:t>Document for</w:t>
      </w:r>
      <w:r>
        <w:rPr>
          <w:b/>
          <w:color w:val="211F1F"/>
          <w:spacing w:val="-15"/>
          <w:u w:val="single" w:color="211F1F"/>
        </w:rPr>
        <w:t xml:space="preserve"> </w:t>
      </w:r>
      <w:r>
        <w:rPr>
          <w:b/>
          <w:color w:val="211F1F"/>
          <w:u w:val="single" w:color="211F1F"/>
        </w:rPr>
        <w:t>Goods and</w:t>
      </w:r>
      <w:r>
        <w:rPr>
          <w:b/>
          <w:color w:val="211F1F"/>
          <w:spacing w:val="-10"/>
          <w:u w:val="single" w:color="211F1F"/>
        </w:rPr>
        <w:t xml:space="preserve"> </w:t>
      </w:r>
      <w:r>
        <w:rPr>
          <w:b/>
          <w:color w:val="211F1F"/>
          <w:u w:val="single" w:color="211F1F"/>
        </w:rPr>
        <w:t>Works</w:t>
      </w:r>
      <w:r>
        <w:rPr>
          <w:b/>
          <w:color w:val="211F1F"/>
          <w:spacing w:val="-5"/>
        </w:rPr>
        <w:t xml:space="preserve"> </w:t>
      </w:r>
      <w:r>
        <w:rPr>
          <w:color w:val="211F1F"/>
        </w:rPr>
        <w:t>for evaluating</w:t>
      </w:r>
      <w:r>
        <w:rPr>
          <w:color w:val="211F1F"/>
          <w:spacing w:val="-18"/>
        </w:rPr>
        <w:t xml:space="preserve"> </w:t>
      </w:r>
      <w:r>
        <w:rPr>
          <w:color w:val="211F1F"/>
        </w:rPr>
        <w:t>Tenders.</w:t>
      </w:r>
    </w:p>
    <w:p w14:paraId="50E15D0F" w14:textId="77777777" w:rsidR="00BB77C0" w:rsidRDefault="00370BAA">
      <w:pPr>
        <w:pStyle w:val="Heading7"/>
        <w:spacing w:before="245"/>
        <w:ind w:left="686"/>
        <w:jc w:val="both"/>
      </w:pPr>
      <w:bookmarkStart w:id="126" w:name="Evaluation_and_contract_award_Criteria"/>
      <w:bookmarkEnd w:id="126"/>
      <w:r>
        <w:rPr>
          <w:color w:val="211F1F"/>
          <w:spacing w:val="-4"/>
        </w:rPr>
        <w:t>Evaluation</w:t>
      </w:r>
      <w:r>
        <w:rPr>
          <w:color w:val="211F1F"/>
          <w:spacing w:val="-11"/>
        </w:rPr>
        <w:t xml:space="preserve"> </w:t>
      </w:r>
      <w:r>
        <w:rPr>
          <w:color w:val="211F1F"/>
          <w:spacing w:val="-4"/>
        </w:rPr>
        <w:t>and</w:t>
      </w:r>
      <w:r>
        <w:rPr>
          <w:color w:val="211F1F"/>
          <w:spacing w:val="-5"/>
        </w:rPr>
        <w:t xml:space="preserve"> </w:t>
      </w:r>
      <w:r>
        <w:rPr>
          <w:color w:val="211F1F"/>
          <w:spacing w:val="-4"/>
        </w:rPr>
        <w:t>contract</w:t>
      </w:r>
      <w:r>
        <w:rPr>
          <w:color w:val="211F1F"/>
          <w:spacing w:val="-3"/>
        </w:rPr>
        <w:t xml:space="preserve"> </w:t>
      </w:r>
      <w:r>
        <w:rPr>
          <w:color w:val="211F1F"/>
          <w:spacing w:val="-4"/>
        </w:rPr>
        <w:t>award Criteria</w:t>
      </w:r>
    </w:p>
    <w:p w14:paraId="70BBDE8A" w14:textId="77777777" w:rsidR="00BB77C0" w:rsidRDefault="00370BAA">
      <w:pPr>
        <w:pStyle w:val="BodyText"/>
        <w:spacing w:before="235" w:line="230" w:lineRule="auto"/>
        <w:ind w:left="691" w:right="342" w:hanging="5"/>
        <w:jc w:val="both"/>
      </w:pPr>
      <w:r>
        <w:rPr>
          <w:color w:val="211F1F"/>
          <w:spacing w:val="-2"/>
        </w:rPr>
        <w:t>The</w:t>
      </w:r>
      <w:r>
        <w:rPr>
          <w:color w:val="211F1F"/>
          <w:spacing w:val="-12"/>
        </w:rPr>
        <w:t xml:space="preserve"> </w:t>
      </w:r>
      <w:r>
        <w:rPr>
          <w:color w:val="211F1F"/>
          <w:spacing w:val="-2"/>
        </w:rPr>
        <w:t>Procuring</w:t>
      </w:r>
      <w:r>
        <w:rPr>
          <w:color w:val="211F1F"/>
          <w:spacing w:val="-7"/>
        </w:rPr>
        <w:t xml:space="preserve"> </w:t>
      </w:r>
      <w:r>
        <w:rPr>
          <w:color w:val="211F1F"/>
          <w:spacing w:val="-2"/>
        </w:rPr>
        <w:t>Entity</w:t>
      </w:r>
      <w:r>
        <w:rPr>
          <w:color w:val="211F1F"/>
          <w:spacing w:val="-12"/>
        </w:rPr>
        <w:t xml:space="preserve"> </w:t>
      </w:r>
      <w:r>
        <w:rPr>
          <w:color w:val="211F1F"/>
          <w:spacing w:val="-2"/>
        </w:rPr>
        <w:t>shall</w:t>
      </w:r>
      <w:r>
        <w:rPr>
          <w:color w:val="211F1F"/>
          <w:spacing w:val="-5"/>
        </w:rPr>
        <w:t xml:space="preserve"> </w:t>
      </w:r>
      <w:r>
        <w:rPr>
          <w:color w:val="211F1F"/>
          <w:spacing w:val="-2"/>
        </w:rPr>
        <w:t>use</w:t>
      </w:r>
      <w:r>
        <w:rPr>
          <w:color w:val="211F1F"/>
          <w:spacing w:val="-8"/>
        </w:rPr>
        <w:t xml:space="preserve"> </w:t>
      </w:r>
      <w:r>
        <w:rPr>
          <w:color w:val="211F1F"/>
          <w:spacing w:val="-2"/>
        </w:rPr>
        <w:t>the</w:t>
      </w:r>
      <w:r>
        <w:rPr>
          <w:color w:val="211F1F"/>
          <w:spacing w:val="-12"/>
        </w:rPr>
        <w:t xml:space="preserve"> </w:t>
      </w:r>
      <w:r>
        <w:rPr>
          <w:color w:val="211F1F"/>
          <w:spacing w:val="-2"/>
        </w:rPr>
        <w:t>criteria</w:t>
      </w:r>
      <w:r>
        <w:rPr>
          <w:color w:val="211F1F"/>
          <w:spacing w:val="-3"/>
        </w:rPr>
        <w:t xml:space="preserve"> </w:t>
      </w:r>
      <w:r>
        <w:rPr>
          <w:color w:val="211F1F"/>
          <w:spacing w:val="-2"/>
        </w:rPr>
        <w:t>and</w:t>
      </w:r>
      <w:r>
        <w:rPr>
          <w:color w:val="211F1F"/>
          <w:spacing w:val="-12"/>
        </w:rPr>
        <w:t xml:space="preserve"> </w:t>
      </w:r>
      <w:r>
        <w:rPr>
          <w:color w:val="211F1F"/>
          <w:spacing w:val="-2"/>
        </w:rPr>
        <w:t>methodologies</w:t>
      </w:r>
      <w:r>
        <w:rPr>
          <w:color w:val="211F1F"/>
          <w:spacing w:val="-5"/>
        </w:rPr>
        <w:t xml:space="preserve"> </w:t>
      </w:r>
      <w:r>
        <w:rPr>
          <w:color w:val="211F1F"/>
          <w:spacing w:val="-2"/>
        </w:rPr>
        <w:t>listed</w:t>
      </w:r>
      <w:r>
        <w:rPr>
          <w:color w:val="211F1F"/>
          <w:spacing w:val="-6"/>
        </w:rPr>
        <w:t xml:space="preserve"> </w:t>
      </w:r>
      <w:r>
        <w:rPr>
          <w:color w:val="211F1F"/>
          <w:spacing w:val="-2"/>
        </w:rPr>
        <w:t>in</w:t>
      </w:r>
      <w:r>
        <w:rPr>
          <w:color w:val="211F1F"/>
          <w:spacing w:val="-12"/>
        </w:rPr>
        <w:t xml:space="preserve"> </w:t>
      </w:r>
      <w:r>
        <w:rPr>
          <w:color w:val="211F1F"/>
          <w:spacing w:val="-2"/>
        </w:rPr>
        <w:t>this</w:t>
      </w:r>
      <w:r>
        <w:rPr>
          <w:color w:val="211F1F"/>
          <w:spacing w:val="-5"/>
        </w:rPr>
        <w:t xml:space="preserve"> </w:t>
      </w:r>
      <w:r>
        <w:rPr>
          <w:color w:val="211F1F"/>
          <w:spacing w:val="-2"/>
        </w:rPr>
        <w:t>Section</w:t>
      </w:r>
      <w:r>
        <w:rPr>
          <w:color w:val="211F1F"/>
          <w:spacing w:val="-6"/>
        </w:rPr>
        <w:t xml:space="preserve"> </w:t>
      </w:r>
      <w:r>
        <w:rPr>
          <w:color w:val="211F1F"/>
          <w:spacing w:val="-2"/>
        </w:rPr>
        <w:t>to</w:t>
      </w:r>
      <w:r>
        <w:rPr>
          <w:color w:val="211F1F"/>
          <w:spacing w:val="-12"/>
        </w:rPr>
        <w:t xml:space="preserve"> </w:t>
      </w:r>
      <w:r>
        <w:rPr>
          <w:color w:val="211F1F"/>
          <w:spacing w:val="-2"/>
        </w:rPr>
        <w:t>evaluate</w:t>
      </w:r>
      <w:r>
        <w:rPr>
          <w:color w:val="211F1F"/>
          <w:spacing w:val="-12"/>
        </w:rPr>
        <w:t xml:space="preserve"> </w:t>
      </w:r>
      <w:r>
        <w:rPr>
          <w:color w:val="211F1F"/>
          <w:spacing w:val="-2"/>
        </w:rPr>
        <w:t>tenders</w:t>
      </w:r>
      <w:r>
        <w:rPr>
          <w:color w:val="211F1F"/>
          <w:spacing w:val="-6"/>
        </w:rPr>
        <w:t xml:space="preserve"> </w:t>
      </w:r>
      <w:r>
        <w:rPr>
          <w:color w:val="211F1F"/>
          <w:spacing w:val="-2"/>
        </w:rPr>
        <w:t>and</w:t>
      </w:r>
      <w:r>
        <w:rPr>
          <w:color w:val="211F1F"/>
          <w:spacing w:val="-11"/>
        </w:rPr>
        <w:t xml:space="preserve"> </w:t>
      </w:r>
      <w:r>
        <w:rPr>
          <w:color w:val="211F1F"/>
          <w:spacing w:val="-2"/>
        </w:rPr>
        <w:t>arrive</w:t>
      </w:r>
      <w:r>
        <w:rPr>
          <w:color w:val="211F1F"/>
          <w:spacing w:val="6"/>
        </w:rPr>
        <w:t xml:space="preserve"> </w:t>
      </w:r>
      <w:r>
        <w:rPr>
          <w:color w:val="211F1F"/>
          <w:spacing w:val="-2"/>
        </w:rPr>
        <w:t xml:space="preserve">at </w:t>
      </w:r>
      <w:r>
        <w:rPr>
          <w:color w:val="211F1F"/>
        </w:rPr>
        <w:t>the</w:t>
      </w:r>
      <w:r>
        <w:rPr>
          <w:color w:val="211F1F"/>
          <w:spacing w:val="-4"/>
        </w:rPr>
        <w:t xml:space="preserve"> </w:t>
      </w:r>
      <w:r>
        <w:rPr>
          <w:color w:val="211F1F"/>
        </w:rPr>
        <w:t>Lowest Evaluated</w:t>
      </w:r>
      <w:r>
        <w:rPr>
          <w:color w:val="211F1F"/>
          <w:spacing w:val="-4"/>
        </w:rPr>
        <w:t xml:space="preserve"> </w:t>
      </w:r>
      <w:r>
        <w:rPr>
          <w:color w:val="211F1F"/>
        </w:rPr>
        <w:t>Tender.</w:t>
      </w:r>
      <w:r>
        <w:rPr>
          <w:color w:val="211F1F"/>
          <w:spacing w:val="-8"/>
        </w:rPr>
        <w:t xml:space="preserve"> </w:t>
      </w:r>
      <w:r>
        <w:rPr>
          <w:color w:val="211F1F"/>
        </w:rPr>
        <w:t>The</w:t>
      </w:r>
      <w:r>
        <w:rPr>
          <w:color w:val="211F1F"/>
          <w:spacing w:val="-3"/>
        </w:rPr>
        <w:t xml:space="preserve"> </w:t>
      </w:r>
      <w:r>
        <w:rPr>
          <w:color w:val="211F1F"/>
        </w:rPr>
        <w:t>tender that (i) meets the</w:t>
      </w:r>
      <w:r>
        <w:rPr>
          <w:color w:val="211F1F"/>
          <w:spacing w:val="-4"/>
        </w:rPr>
        <w:t xml:space="preserve"> </w:t>
      </w:r>
      <w:r>
        <w:rPr>
          <w:color w:val="211F1F"/>
        </w:rPr>
        <w:t>qualification</w:t>
      </w:r>
      <w:r>
        <w:rPr>
          <w:color w:val="211F1F"/>
          <w:spacing w:val="-2"/>
        </w:rPr>
        <w:t xml:space="preserve"> </w:t>
      </w:r>
      <w:r>
        <w:rPr>
          <w:color w:val="211F1F"/>
        </w:rPr>
        <w:t>criteria, (ii) has been</w:t>
      </w:r>
      <w:r>
        <w:rPr>
          <w:color w:val="211F1F"/>
          <w:spacing w:val="-2"/>
        </w:rPr>
        <w:t xml:space="preserve"> </w:t>
      </w:r>
      <w:r>
        <w:rPr>
          <w:color w:val="211F1F"/>
        </w:rPr>
        <w:t>determined</w:t>
      </w:r>
      <w:r>
        <w:rPr>
          <w:color w:val="211F1F"/>
          <w:spacing w:val="-2"/>
        </w:rPr>
        <w:t xml:space="preserve"> </w:t>
      </w:r>
      <w:r>
        <w:rPr>
          <w:color w:val="211F1F"/>
        </w:rPr>
        <w:t>to be substantially responsive</w:t>
      </w:r>
      <w:r>
        <w:rPr>
          <w:color w:val="211F1F"/>
          <w:spacing w:val="-3"/>
        </w:rPr>
        <w:t xml:space="preserve"> </w:t>
      </w:r>
      <w:r>
        <w:rPr>
          <w:color w:val="211F1F"/>
        </w:rPr>
        <w:t>to</w:t>
      </w:r>
      <w:r>
        <w:rPr>
          <w:color w:val="211F1F"/>
          <w:spacing w:val="-5"/>
        </w:rPr>
        <w:t xml:space="preserve"> </w:t>
      </w:r>
      <w:r>
        <w:rPr>
          <w:color w:val="211F1F"/>
        </w:rPr>
        <w:t>the</w:t>
      </w:r>
      <w:r>
        <w:rPr>
          <w:color w:val="211F1F"/>
          <w:spacing w:val="-8"/>
        </w:rPr>
        <w:t xml:space="preserve"> </w:t>
      </w:r>
      <w:r>
        <w:rPr>
          <w:color w:val="211F1F"/>
        </w:rPr>
        <w:t>Tender Documents, and</w:t>
      </w:r>
      <w:r>
        <w:rPr>
          <w:color w:val="211F1F"/>
          <w:spacing w:val="-1"/>
        </w:rPr>
        <w:t xml:space="preserve"> </w:t>
      </w:r>
      <w:r>
        <w:rPr>
          <w:color w:val="211F1F"/>
        </w:rPr>
        <w:t>(iii) is determined</w:t>
      </w:r>
      <w:r>
        <w:rPr>
          <w:color w:val="211F1F"/>
          <w:spacing w:val="-4"/>
        </w:rPr>
        <w:t xml:space="preserve"> </w:t>
      </w:r>
      <w:r>
        <w:rPr>
          <w:color w:val="211F1F"/>
        </w:rPr>
        <w:t>to</w:t>
      </w:r>
      <w:r>
        <w:rPr>
          <w:color w:val="211F1F"/>
          <w:spacing w:val="-1"/>
        </w:rPr>
        <w:t xml:space="preserve"> </w:t>
      </w:r>
      <w:r>
        <w:rPr>
          <w:color w:val="211F1F"/>
        </w:rPr>
        <w:t>have</w:t>
      </w:r>
      <w:r>
        <w:rPr>
          <w:color w:val="211F1F"/>
          <w:spacing w:val="-7"/>
        </w:rPr>
        <w:t xml:space="preserve"> </w:t>
      </w:r>
      <w:r>
        <w:rPr>
          <w:color w:val="211F1F"/>
        </w:rPr>
        <w:t>the</w:t>
      </w:r>
      <w:r>
        <w:rPr>
          <w:color w:val="211F1F"/>
          <w:spacing w:val="-3"/>
        </w:rPr>
        <w:t xml:space="preserve"> </w:t>
      </w:r>
      <w:r>
        <w:rPr>
          <w:color w:val="211F1F"/>
        </w:rPr>
        <w:t>Lowest Evaluated</w:t>
      </w:r>
      <w:r>
        <w:rPr>
          <w:color w:val="211F1F"/>
          <w:spacing w:val="-9"/>
        </w:rPr>
        <w:t xml:space="preserve"> </w:t>
      </w:r>
      <w:r>
        <w:rPr>
          <w:color w:val="211F1F"/>
        </w:rPr>
        <w:t>Tender price shall be selected for award of contract.</w:t>
      </w:r>
    </w:p>
    <w:p w14:paraId="72554905" w14:textId="77777777" w:rsidR="00BB77C0" w:rsidRDefault="00370BAA">
      <w:pPr>
        <w:pStyle w:val="Heading7"/>
        <w:numPr>
          <w:ilvl w:val="0"/>
          <w:numId w:val="68"/>
        </w:numPr>
        <w:tabs>
          <w:tab w:val="left" w:pos="686"/>
        </w:tabs>
        <w:spacing w:before="245"/>
        <w:ind w:hanging="556"/>
        <w:jc w:val="left"/>
        <w:rPr>
          <w:color w:val="211F1F"/>
        </w:rPr>
      </w:pPr>
      <w:bookmarkStart w:id="127" w:name="2._Preliminary_examination_for_Determina"/>
      <w:bookmarkEnd w:id="127"/>
      <w:r>
        <w:rPr>
          <w:color w:val="211F1F"/>
          <w:spacing w:val="-4"/>
        </w:rPr>
        <w:t>Preliminary</w:t>
      </w:r>
      <w:r>
        <w:rPr>
          <w:color w:val="211F1F"/>
          <w:spacing w:val="1"/>
        </w:rPr>
        <w:t xml:space="preserve"> </w:t>
      </w:r>
      <w:r>
        <w:rPr>
          <w:color w:val="211F1F"/>
          <w:spacing w:val="-4"/>
        </w:rPr>
        <w:t>examination</w:t>
      </w:r>
      <w:r>
        <w:rPr>
          <w:color w:val="211F1F"/>
          <w:spacing w:val="-8"/>
        </w:rPr>
        <w:t xml:space="preserve"> </w:t>
      </w:r>
      <w:r>
        <w:rPr>
          <w:color w:val="211F1F"/>
          <w:spacing w:val="-4"/>
        </w:rPr>
        <w:t>for</w:t>
      </w:r>
      <w:r>
        <w:rPr>
          <w:color w:val="211F1F"/>
          <w:spacing w:val="-2"/>
        </w:rPr>
        <w:t xml:space="preserve"> </w:t>
      </w:r>
      <w:r>
        <w:rPr>
          <w:color w:val="211F1F"/>
          <w:spacing w:val="-4"/>
        </w:rPr>
        <w:t>Determination</w:t>
      </w:r>
      <w:r>
        <w:rPr>
          <w:color w:val="211F1F"/>
          <w:spacing w:val="-9"/>
        </w:rPr>
        <w:t xml:space="preserve"> </w:t>
      </w:r>
      <w:r>
        <w:rPr>
          <w:color w:val="211F1F"/>
          <w:spacing w:val="-4"/>
        </w:rPr>
        <w:t>of</w:t>
      </w:r>
      <w:r>
        <w:rPr>
          <w:color w:val="211F1F"/>
          <w:spacing w:val="-1"/>
        </w:rPr>
        <w:t xml:space="preserve"> </w:t>
      </w:r>
      <w:r>
        <w:rPr>
          <w:color w:val="211F1F"/>
          <w:spacing w:val="-4"/>
        </w:rPr>
        <w:t>Responsiveness</w:t>
      </w:r>
    </w:p>
    <w:p w14:paraId="4CDF2C71" w14:textId="77777777" w:rsidR="00BB77C0" w:rsidRDefault="00370BAA">
      <w:pPr>
        <w:pStyle w:val="BodyText"/>
        <w:spacing w:before="235" w:line="230" w:lineRule="auto"/>
        <w:ind w:left="691" w:right="348" w:hanging="5"/>
        <w:jc w:val="both"/>
      </w:pPr>
      <w:r>
        <w:rPr>
          <w:color w:val="211F1F"/>
        </w:rPr>
        <w:t>The</w:t>
      </w:r>
      <w:r>
        <w:rPr>
          <w:color w:val="211F1F"/>
          <w:spacing w:val="-9"/>
        </w:rPr>
        <w:t xml:space="preserve"> </w:t>
      </w:r>
      <w:r>
        <w:rPr>
          <w:color w:val="211F1F"/>
        </w:rPr>
        <w:t>Procuring</w:t>
      </w:r>
      <w:r>
        <w:rPr>
          <w:color w:val="211F1F"/>
          <w:spacing w:val="-7"/>
        </w:rPr>
        <w:t xml:space="preserve"> </w:t>
      </w:r>
      <w:r>
        <w:rPr>
          <w:color w:val="211F1F"/>
        </w:rPr>
        <w:t>Entity</w:t>
      </w:r>
      <w:r>
        <w:rPr>
          <w:color w:val="211F1F"/>
          <w:spacing w:val="-6"/>
        </w:rPr>
        <w:t xml:space="preserve"> </w:t>
      </w:r>
      <w:r>
        <w:rPr>
          <w:color w:val="211F1F"/>
        </w:rPr>
        <w:t>will</w:t>
      </w:r>
      <w:r>
        <w:rPr>
          <w:color w:val="211F1F"/>
          <w:spacing w:val="-6"/>
        </w:rPr>
        <w:t xml:space="preserve"> </w:t>
      </w:r>
      <w:r>
        <w:rPr>
          <w:color w:val="211F1F"/>
        </w:rPr>
        <w:t>start</w:t>
      </w:r>
      <w:r>
        <w:rPr>
          <w:color w:val="211F1F"/>
          <w:spacing w:val="-1"/>
        </w:rPr>
        <w:t xml:space="preserve"> </w:t>
      </w:r>
      <w:r>
        <w:rPr>
          <w:color w:val="211F1F"/>
        </w:rPr>
        <w:t>by</w:t>
      </w:r>
      <w:r>
        <w:rPr>
          <w:color w:val="211F1F"/>
          <w:spacing w:val="-7"/>
        </w:rPr>
        <w:t xml:space="preserve"> </w:t>
      </w:r>
      <w:r>
        <w:rPr>
          <w:color w:val="211F1F"/>
        </w:rPr>
        <w:t>examining</w:t>
      </w:r>
      <w:r>
        <w:rPr>
          <w:color w:val="211F1F"/>
          <w:spacing w:val="-11"/>
        </w:rPr>
        <w:t xml:space="preserve"> </w:t>
      </w:r>
      <w:r>
        <w:rPr>
          <w:color w:val="211F1F"/>
        </w:rPr>
        <w:t>all</w:t>
      </w:r>
      <w:r>
        <w:rPr>
          <w:color w:val="211F1F"/>
          <w:spacing w:val="-6"/>
        </w:rPr>
        <w:t xml:space="preserve"> </w:t>
      </w:r>
      <w:r>
        <w:rPr>
          <w:color w:val="211F1F"/>
        </w:rPr>
        <w:t>tenders</w:t>
      </w:r>
      <w:r>
        <w:rPr>
          <w:color w:val="211F1F"/>
          <w:spacing w:val="-2"/>
        </w:rPr>
        <w:t xml:space="preserve"> </w:t>
      </w:r>
      <w:r>
        <w:rPr>
          <w:color w:val="211F1F"/>
        </w:rPr>
        <w:t>to</w:t>
      </w:r>
      <w:r>
        <w:rPr>
          <w:color w:val="211F1F"/>
          <w:spacing w:val="-7"/>
        </w:rPr>
        <w:t xml:space="preserve"> </w:t>
      </w:r>
      <w:r>
        <w:rPr>
          <w:color w:val="211F1F"/>
        </w:rPr>
        <w:t>ensure</w:t>
      </w:r>
      <w:r>
        <w:rPr>
          <w:color w:val="211F1F"/>
          <w:spacing w:val="-9"/>
        </w:rPr>
        <w:t xml:space="preserve"> </w:t>
      </w:r>
      <w:r>
        <w:rPr>
          <w:color w:val="211F1F"/>
        </w:rPr>
        <w:t>they</w:t>
      </w:r>
      <w:r>
        <w:rPr>
          <w:color w:val="211F1F"/>
          <w:spacing w:val="-3"/>
        </w:rPr>
        <w:t xml:space="preserve"> </w:t>
      </w:r>
      <w:r>
        <w:rPr>
          <w:color w:val="211F1F"/>
        </w:rPr>
        <w:t>meet in</w:t>
      </w:r>
      <w:r>
        <w:rPr>
          <w:color w:val="211F1F"/>
          <w:spacing w:val="-7"/>
        </w:rPr>
        <w:t xml:space="preserve"> </w:t>
      </w:r>
      <w:r>
        <w:rPr>
          <w:color w:val="211F1F"/>
        </w:rPr>
        <w:t>all</w:t>
      </w:r>
      <w:r>
        <w:rPr>
          <w:color w:val="211F1F"/>
          <w:spacing w:val="-6"/>
        </w:rPr>
        <w:t xml:space="preserve"> </w:t>
      </w:r>
      <w:r>
        <w:rPr>
          <w:color w:val="211F1F"/>
        </w:rPr>
        <w:t>respects</w:t>
      </w:r>
      <w:r>
        <w:rPr>
          <w:color w:val="211F1F"/>
          <w:spacing w:val="-1"/>
        </w:rPr>
        <w:t xml:space="preserve"> </w:t>
      </w:r>
      <w:r>
        <w:rPr>
          <w:color w:val="211F1F"/>
        </w:rPr>
        <w:t>the</w:t>
      </w:r>
      <w:r>
        <w:rPr>
          <w:color w:val="211F1F"/>
          <w:spacing w:val="-5"/>
        </w:rPr>
        <w:t xml:space="preserve"> </w:t>
      </w:r>
      <w:r>
        <w:rPr>
          <w:color w:val="211F1F"/>
        </w:rPr>
        <w:t>eligibility</w:t>
      </w:r>
      <w:r>
        <w:rPr>
          <w:color w:val="211F1F"/>
          <w:spacing w:val="-6"/>
        </w:rPr>
        <w:t xml:space="preserve"> </w:t>
      </w:r>
      <w:r>
        <w:rPr>
          <w:color w:val="211F1F"/>
        </w:rPr>
        <w:t>criteria and</w:t>
      </w:r>
      <w:r>
        <w:rPr>
          <w:color w:val="211F1F"/>
          <w:spacing w:val="-1"/>
        </w:rPr>
        <w:t xml:space="preserve"> </w:t>
      </w:r>
      <w:r>
        <w:rPr>
          <w:color w:val="211F1F"/>
        </w:rPr>
        <w:t>other requirements in</w:t>
      </w:r>
      <w:r>
        <w:rPr>
          <w:color w:val="211F1F"/>
          <w:spacing w:val="-1"/>
        </w:rPr>
        <w:t xml:space="preserve"> </w:t>
      </w:r>
      <w:r>
        <w:rPr>
          <w:color w:val="211F1F"/>
        </w:rPr>
        <w:t>the</w:t>
      </w:r>
      <w:r>
        <w:rPr>
          <w:color w:val="211F1F"/>
          <w:spacing w:val="-3"/>
        </w:rPr>
        <w:t xml:space="preserve"> </w:t>
      </w:r>
      <w:r>
        <w:rPr>
          <w:color w:val="211F1F"/>
        </w:rPr>
        <w:t>ITT, and</w:t>
      </w:r>
      <w:r>
        <w:rPr>
          <w:color w:val="211F1F"/>
          <w:spacing w:val="-1"/>
        </w:rPr>
        <w:t xml:space="preserve"> </w:t>
      </w:r>
      <w:r>
        <w:rPr>
          <w:color w:val="211F1F"/>
        </w:rPr>
        <w:t>that the</w:t>
      </w:r>
      <w:r>
        <w:rPr>
          <w:color w:val="211F1F"/>
          <w:spacing w:val="-3"/>
        </w:rPr>
        <w:t xml:space="preserve"> </w:t>
      </w:r>
      <w:r>
        <w:rPr>
          <w:color w:val="211F1F"/>
        </w:rPr>
        <w:t>tender is complete</w:t>
      </w:r>
      <w:r>
        <w:rPr>
          <w:color w:val="211F1F"/>
          <w:spacing w:val="-3"/>
        </w:rPr>
        <w:t xml:space="preserve"> </w:t>
      </w:r>
      <w:r>
        <w:rPr>
          <w:color w:val="211F1F"/>
        </w:rPr>
        <w:t>in</w:t>
      </w:r>
      <w:r>
        <w:rPr>
          <w:color w:val="211F1F"/>
          <w:spacing w:val="-1"/>
        </w:rPr>
        <w:t xml:space="preserve"> </w:t>
      </w:r>
      <w:r>
        <w:rPr>
          <w:color w:val="211F1F"/>
        </w:rPr>
        <w:t>all aspects in meeting</w:t>
      </w:r>
      <w:r>
        <w:rPr>
          <w:color w:val="211F1F"/>
          <w:spacing w:val="-1"/>
        </w:rPr>
        <w:t xml:space="preserve"> </w:t>
      </w:r>
      <w:r>
        <w:rPr>
          <w:color w:val="211F1F"/>
        </w:rPr>
        <w:t>the</w:t>
      </w:r>
      <w:r>
        <w:rPr>
          <w:color w:val="211F1F"/>
          <w:spacing w:val="-3"/>
        </w:rPr>
        <w:t xml:space="preserve"> </w:t>
      </w:r>
      <w:r>
        <w:rPr>
          <w:color w:val="211F1F"/>
        </w:rPr>
        <w:t>requirements of “Part 2 – Procuring Entity's Works Requirements”, including checking for tenders with unacceptable errors, abnormally low tenders, abnormally high tenders and tenders that are front loaded. The Standard Tender Evaluation</w:t>
      </w:r>
      <w:r>
        <w:rPr>
          <w:color w:val="211F1F"/>
          <w:spacing w:val="-3"/>
        </w:rPr>
        <w:t xml:space="preserve"> </w:t>
      </w:r>
      <w:r>
        <w:rPr>
          <w:color w:val="211F1F"/>
        </w:rPr>
        <w:t>Report Document for Goods</w:t>
      </w:r>
      <w:r>
        <w:rPr>
          <w:color w:val="211F1F"/>
          <w:spacing w:val="-3"/>
        </w:rPr>
        <w:t xml:space="preserve"> </w:t>
      </w:r>
      <w:r>
        <w:rPr>
          <w:color w:val="211F1F"/>
        </w:rPr>
        <w:t>and</w:t>
      </w:r>
      <w:r>
        <w:rPr>
          <w:color w:val="211F1F"/>
          <w:spacing w:val="-7"/>
        </w:rPr>
        <w:t xml:space="preserve"> </w:t>
      </w:r>
      <w:r>
        <w:rPr>
          <w:color w:val="211F1F"/>
        </w:rPr>
        <w:t>Works</w:t>
      </w:r>
      <w:r>
        <w:rPr>
          <w:color w:val="211F1F"/>
          <w:spacing w:val="-7"/>
        </w:rPr>
        <w:t xml:space="preserve"> </w:t>
      </w:r>
      <w:r>
        <w:rPr>
          <w:color w:val="211F1F"/>
        </w:rPr>
        <w:t>for</w:t>
      </w:r>
      <w:r>
        <w:rPr>
          <w:color w:val="211F1F"/>
          <w:spacing w:val="-1"/>
        </w:rPr>
        <w:t xml:space="preserve"> </w:t>
      </w:r>
      <w:r>
        <w:rPr>
          <w:color w:val="211F1F"/>
        </w:rPr>
        <w:t>evaluating</w:t>
      </w:r>
      <w:r>
        <w:rPr>
          <w:color w:val="211F1F"/>
          <w:spacing w:val="-11"/>
        </w:rPr>
        <w:t xml:space="preserve"> </w:t>
      </w:r>
      <w:r>
        <w:rPr>
          <w:color w:val="211F1F"/>
        </w:rPr>
        <w:t>Tenders</w:t>
      </w:r>
      <w:r>
        <w:rPr>
          <w:color w:val="211F1F"/>
          <w:spacing w:val="-2"/>
        </w:rPr>
        <w:t xml:space="preserve"> </w:t>
      </w:r>
      <w:r>
        <w:rPr>
          <w:color w:val="211F1F"/>
        </w:rPr>
        <w:t>provides very</w:t>
      </w:r>
      <w:r>
        <w:rPr>
          <w:color w:val="211F1F"/>
          <w:spacing w:val="-3"/>
        </w:rPr>
        <w:t xml:space="preserve"> </w:t>
      </w:r>
      <w:r>
        <w:rPr>
          <w:color w:val="211F1F"/>
        </w:rPr>
        <w:t>clear guide</w:t>
      </w:r>
      <w:r>
        <w:rPr>
          <w:color w:val="211F1F"/>
          <w:spacing w:val="-4"/>
        </w:rPr>
        <w:t xml:space="preserve"> </w:t>
      </w:r>
      <w:r>
        <w:rPr>
          <w:color w:val="211F1F"/>
        </w:rPr>
        <w:t>on</w:t>
      </w:r>
      <w:r>
        <w:rPr>
          <w:color w:val="211F1F"/>
          <w:spacing w:val="-8"/>
        </w:rPr>
        <w:t xml:space="preserve"> </w:t>
      </w:r>
      <w:r>
        <w:rPr>
          <w:color w:val="211F1F"/>
        </w:rPr>
        <w:t>how</w:t>
      </w:r>
      <w:r>
        <w:rPr>
          <w:color w:val="211F1F"/>
          <w:spacing w:val="-9"/>
        </w:rPr>
        <w:t xml:space="preserve"> </w:t>
      </w:r>
      <w:r>
        <w:rPr>
          <w:color w:val="211F1F"/>
        </w:rPr>
        <w:t>to deal</w:t>
      </w:r>
      <w:r>
        <w:rPr>
          <w:color w:val="211F1F"/>
          <w:spacing w:val="-14"/>
        </w:rPr>
        <w:t xml:space="preserve"> </w:t>
      </w:r>
      <w:r>
        <w:rPr>
          <w:color w:val="211F1F"/>
        </w:rPr>
        <w:t>with</w:t>
      </w:r>
      <w:r>
        <w:rPr>
          <w:color w:val="211F1F"/>
          <w:spacing w:val="-12"/>
        </w:rPr>
        <w:t xml:space="preserve"> </w:t>
      </w:r>
      <w:r>
        <w:rPr>
          <w:color w:val="211F1F"/>
        </w:rPr>
        <w:t>review</w:t>
      </w:r>
      <w:r>
        <w:rPr>
          <w:color w:val="211F1F"/>
          <w:spacing w:val="-12"/>
        </w:rPr>
        <w:t xml:space="preserve"> </w:t>
      </w:r>
      <w:r>
        <w:rPr>
          <w:color w:val="211F1F"/>
        </w:rPr>
        <w:t>of</w:t>
      </w:r>
      <w:r>
        <w:rPr>
          <w:color w:val="211F1F"/>
          <w:spacing w:val="-9"/>
        </w:rPr>
        <w:t xml:space="preserve"> </w:t>
      </w:r>
      <w:r>
        <w:rPr>
          <w:color w:val="211F1F"/>
        </w:rPr>
        <w:t>these</w:t>
      </w:r>
      <w:r>
        <w:rPr>
          <w:color w:val="211F1F"/>
          <w:spacing w:val="-14"/>
        </w:rPr>
        <w:t xml:space="preserve"> </w:t>
      </w:r>
      <w:r>
        <w:rPr>
          <w:color w:val="211F1F"/>
        </w:rPr>
        <w:t>requirements.</w:t>
      </w:r>
      <w:r>
        <w:rPr>
          <w:color w:val="211F1F"/>
          <w:spacing w:val="-7"/>
        </w:rPr>
        <w:t xml:space="preserve"> </w:t>
      </w:r>
      <w:r>
        <w:rPr>
          <w:color w:val="211F1F"/>
        </w:rPr>
        <w:t>Tenders</w:t>
      </w:r>
      <w:r>
        <w:rPr>
          <w:color w:val="211F1F"/>
          <w:spacing w:val="-6"/>
        </w:rPr>
        <w:t xml:space="preserve"> </w:t>
      </w:r>
      <w:r>
        <w:rPr>
          <w:color w:val="211F1F"/>
        </w:rPr>
        <w:t>that</w:t>
      </w:r>
      <w:r>
        <w:rPr>
          <w:color w:val="211F1F"/>
          <w:spacing w:val="-10"/>
        </w:rPr>
        <w:t xml:space="preserve"> </w:t>
      </w:r>
      <w:r>
        <w:rPr>
          <w:color w:val="211F1F"/>
        </w:rPr>
        <w:t>do</w:t>
      </w:r>
      <w:r>
        <w:rPr>
          <w:color w:val="211F1F"/>
          <w:spacing w:val="-14"/>
        </w:rPr>
        <w:t xml:space="preserve"> </w:t>
      </w:r>
      <w:r>
        <w:rPr>
          <w:color w:val="211F1F"/>
        </w:rPr>
        <w:t>not</w:t>
      </w:r>
      <w:r>
        <w:rPr>
          <w:color w:val="211F1F"/>
          <w:spacing w:val="-6"/>
        </w:rPr>
        <w:t xml:space="preserve"> </w:t>
      </w:r>
      <w:r>
        <w:rPr>
          <w:color w:val="211F1F"/>
        </w:rPr>
        <w:t>pass</w:t>
      </w:r>
      <w:r>
        <w:rPr>
          <w:color w:val="211F1F"/>
          <w:spacing w:val="-11"/>
        </w:rPr>
        <w:t xml:space="preserve"> </w:t>
      </w:r>
      <w:r>
        <w:rPr>
          <w:color w:val="211F1F"/>
        </w:rPr>
        <w:t>the</w:t>
      </w:r>
      <w:r>
        <w:rPr>
          <w:color w:val="211F1F"/>
          <w:spacing w:val="-13"/>
        </w:rPr>
        <w:t xml:space="preserve"> </w:t>
      </w:r>
      <w:r>
        <w:rPr>
          <w:color w:val="211F1F"/>
        </w:rPr>
        <w:t>Preliminary</w:t>
      </w:r>
      <w:r>
        <w:rPr>
          <w:color w:val="211F1F"/>
          <w:spacing w:val="-10"/>
        </w:rPr>
        <w:t xml:space="preserve"> </w:t>
      </w:r>
      <w:r>
        <w:rPr>
          <w:color w:val="211F1F"/>
        </w:rPr>
        <w:t>Examination</w:t>
      </w:r>
      <w:r>
        <w:rPr>
          <w:color w:val="211F1F"/>
          <w:spacing w:val="-10"/>
        </w:rPr>
        <w:t xml:space="preserve"> </w:t>
      </w:r>
      <w:r>
        <w:rPr>
          <w:color w:val="211F1F"/>
        </w:rPr>
        <w:t>will</w:t>
      </w:r>
      <w:r>
        <w:rPr>
          <w:color w:val="211F1F"/>
          <w:spacing w:val="-10"/>
        </w:rPr>
        <w:t xml:space="preserve"> </w:t>
      </w:r>
      <w:r>
        <w:rPr>
          <w:color w:val="211F1F"/>
        </w:rPr>
        <w:t>be</w:t>
      </w:r>
      <w:r>
        <w:rPr>
          <w:color w:val="211F1F"/>
          <w:spacing w:val="-13"/>
        </w:rPr>
        <w:t xml:space="preserve"> </w:t>
      </w:r>
      <w:r>
        <w:rPr>
          <w:color w:val="211F1F"/>
        </w:rPr>
        <w:t>considered irresponsive and will not be considered further.</w:t>
      </w:r>
    </w:p>
    <w:p w14:paraId="28B8CCFC" w14:textId="77777777" w:rsidR="00BB77C0" w:rsidRDefault="00370BAA">
      <w:pPr>
        <w:spacing w:before="245" w:line="230" w:lineRule="auto"/>
        <w:ind w:left="686" w:right="347" w:hanging="5"/>
        <w:jc w:val="both"/>
        <w:rPr>
          <w:i/>
        </w:rPr>
      </w:pPr>
      <w:r>
        <w:rPr>
          <w:i/>
          <w:color w:val="211F1F"/>
        </w:rPr>
        <w:t>[The</w:t>
      </w:r>
      <w:r>
        <w:rPr>
          <w:i/>
          <w:color w:val="211F1F"/>
          <w:spacing w:val="-11"/>
        </w:rPr>
        <w:t xml:space="preserve"> </w:t>
      </w:r>
      <w:r>
        <w:rPr>
          <w:i/>
          <w:color w:val="211F1F"/>
        </w:rPr>
        <w:t>Procuring</w:t>
      </w:r>
      <w:r>
        <w:rPr>
          <w:i/>
          <w:color w:val="211F1F"/>
          <w:spacing w:val="-9"/>
        </w:rPr>
        <w:t xml:space="preserve"> </w:t>
      </w:r>
      <w:r>
        <w:rPr>
          <w:i/>
          <w:color w:val="211F1F"/>
        </w:rPr>
        <w:t>Entity</w:t>
      </w:r>
      <w:r>
        <w:rPr>
          <w:i/>
          <w:color w:val="211F1F"/>
          <w:spacing w:val="-7"/>
        </w:rPr>
        <w:t xml:space="preserve"> </w:t>
      </w:r>
      <w:r>
        <w:rPr>
          <w:i/>
          <w:color w:val="211F1F"/>
        </w:rPr>
        <w:t>will</w:t>
      </w:r>
      <w:r>
        <w:rPr>
          <w:i/>
          <w:color w:val="211F1F"/>
          <w:spacing w:val="-4"/>
        </w:rPr>
        <w:t xml:space="preserve"> </w:t>
      </w:r>
      <w:r>
        <w:rPr>
          <w:i/>
          <w:color w:val="211F1F"/>
        </w:rPr>
        <w:t>provide</w:t>
      </w:r>
      <w:r>
        <w:rPr>
          <w:i/>
          <w:color w:val="211F1F"/>
          <w:spacing w:val="-11"/>
        </w:rPr>
        <w:t xml:space="preserve"> </w:t>
      </w:r>
      <w:r>
        <w:rPr>
          <w:i/>
          <w:color w:val="211F1F"/>
        </w:rPr>
        <w:t>the</w:t>
      </w:r>
      <w:r>
        <w:rPr>
          <w:i/>
          <w:color w:val="211F1F"/>
          <w:spacing w:val="-8"/>
        </w:rPr>
        <w:t xml:space="preserve"> </w:t>
      </w:r>
      <w:r>
        <w:rPr>
          <w:i/>
          <w:color w:val="211F1F"/>
        </w:rPr>
        <w:t>preliminary</w:t>
      </w:r>
      <w:r>
        <w:rPr>
          <w:i/>
          <w:color w:val="211F1F"/>
          <w:spacing w:val="-6"/>
        </w:rPr>
        <w:t xml:space="preserve"> </w:t>
      </w:r>
      <w:r>
        <w:rPr>
          <w:i/>
          <w:color w:val="211F1F"/>
        </w:rPr>
        <w:t>evaluation</w:t>
      </w:r>
      <w:r>
        <w:rPr>
          <w:i/>
          <w:color w:val="211F1F"/>
          <w:spacing w:val="-9"/>
        </w:rPr>
        <w:t xml:space="preserve"> </w:t>
      </w:r>
      <w:r>
        <w:rPr>
          <w:i/>
          <w:color w:val="211F1F"/>
        </w:rPr>
        <w:t>criteria.</w:t>
      </w:r>
      <w:r>
        <w:rPr>
          <w:i/>
          <w:color w:val="211F1F"/>
          <w:spacing w:val="-7"/>
        </w:rPr>
        <w:t xml:space="preserve"> </w:t>
      </w:r>
      <w:r>
        <w:rPr>
          <w:i/>
          <w:color w:val="211F1F"/>
        </w:rPr>
        <w:t>To</w:t>
      </w:r>
      <w:r>
        <w:rPr>
          <w:i/>
          <w:color w:val="211F1F"/>
          <w:spacing w:val="-14"/>
        </w:rPr>
        <w:t xml:space="preserve"> </w:t>
      </w:r>
      <w:r>
        <w:rPr>
          <w:i/>
          <w:color w:val="211F1F"/>
        </w:rPr>
        <w:t>facilitate,</w:t>
      </w:r>
      <w:r>
        <w:rPr>
          <w:i/>
          <w:color w:val="211F1F"/>
          <w:spacing w:val="-6"/>
        </w:rPr>
        <w:t xml:space="preserve"> </w:t>
      </w:r>
      <w:r>
        <w:rPr>
          <w:i/>
          <w:color w:val="211F1F"/>
        </w:rPr>
        <w:t>a</w:t>
      </w:r>
      <w:r>
        <w:rPr>
          <w:i/>
          <w:color w:val="211F1F"/>
          <w:spacing w:val="-9"/>
        </w:rPr>
        <w:t xml:space="preserve"> </w:t>
      </w:r>
      <w:r>
        <w:rPr>
          <w:i/>
          <w:color w:val="211F1F"/>
        </w:rPr>
        <w:t>template</w:t>
      </w:r>
      <w:r>
        <w:rPr>
          <w:i/>
          <w:color w:val="211F1F"/>
          <w:spacing w:val="-7"/>
        </w:rPr>
        <w:t xml:space="preserve"> </w:t>
      </w:r>
      <w:r>
        <w:rPr>
          <w:i/>
          <w:color w:val="211F1F"/>
        </w:rPr>
        <w:t>may</w:t>
      </w:r>
      <w:r>
        <w:rPr>
          <w:i/>
          <w:color w:val="211F1F"/>
          <w:spacing w:val="-11"/>
        </w:rPr>
        <w:t xml:space="preserve"> </w:t>
      </w:r>
      <w:r>
        <w:rPr>
          <w:i/>
          <w:color w:val="211F1F"/>
        </w:rPr>
        <w:t>be</w:t>
      </w:r>
      <w:r>
        <w:rPr>
          <w:i/>
          <w:color w:val="211F1F"/>
          <w:spacing w:val="-8"/>
        </w:rPr>
        <w:t xml:space="preserve"> </w:t>
      </w:r>
      <w:r>
        <w:rPr>
          <w:i/>
          <w:color w:val="211F1F"/>
        </w:rPr>
        <w:t xml:space="preserve">attached </w:t>
      </w:r>
      <w:r>
        <w:rPr>
          <w:i/>
          <w:color w:val="211F1F"/>
          <w:spacing w:val="-2"/>
        </w:rPr>
        <w:t>or clearly</w:t>
      </w:r>
      <w:r>
        <w:rPr>
          <w:i/>
          <w:color w:val="211F1F"/>
          <w:spacing w:val="-4"/>
        </w:rPr>
        <w:t xml:space="preserve"> </w:t>
      </w:r>
      <w:r>
        <w:rPr>
          <w:i/>
          <w:color w:val="211F1F"/>
          <w:spacing w:val="-2"/>
        </w:rPr>
        <w:t>described</w:t>
      </w:r>
      <w:r>
        <w:rPr>
          <w:i/>
          <w:color w:val="211F1F"/>
          <w:spacing w:val="-7"/>
        </w:rPr>
        <w:t xml:space="preserve"> </w:t>
      </w:r>
      <w:r>
        <w:rPr>
          <w:i/>
          <w:color w:val="211F1F"/>
          <w:spacing w:val="-2"/>
        </w:rPr>
        <w:t>all information and</w:t>
      </w:r>
      <w:r>
        <w:rPr>
          <w:i/>
          <w:color w:val="211F1F"/>
          <w:spacing w:val="-7"/>
        </w:rPr>
        <w:t xml:space="preserve"> </w:t>
      </w:r>
      <w:r>
        <w:rPr>
          <w:i/>
          <w:color w:val="211F1F"/>
          <w:spacing w:val="-2"/>
        </w:rPr>
        <w:t>list of documentation</w:t>
      </w:r>
      <w:r>
        <w:rPr>
          <w:i/>
          <w:color w:val="211F1F"/>
          <w:spacing w:val="-7"/>
        </w:rPr>
        <w:t xml:space="preserve"> </w:t>
      </w:r>
      <w:r>
        <w:rPr>
          <w:i/>
          <w:color w:val="211F1F"/>
          <w:spacing w:val="-2"/>
        </w:rPr>
        <w:t>to</w:t>
      </w:r>
      <w:r>
        <w:rPr>
          <w:i/>
          <w:color w:val="211F1F"/>
          <w:spacing w:val="-7"/>
        </w:rPr>
        <w:t xml:space="preserve"> </w:t>
      </w:r>
      <w:r>
        <w:rPr>
          <w:i/>
          <w:color w:val="211F1F"/>
          <w:spacing w:val="-2"/>
        </w:rPr>
        <w:t>be</w:t>
      </w:r>
      <w:r>
        <w:rPr>
          <w:i/>
          <w:color w:val="211F1F"/>
          <w:spacing w:val="-5"/>
        </w:rPr>
        <w:t xml:space="preserve"> </w:t>
      </w:r>
      <w:r>
        <w:rPr>
          <w:i/>
          <w:color w:val="211F1F"/>
          <w:spacing w:val="-2"/>
        </w:rPr>
        <w:t>submitted by</w:t>
      </w:r>
      <w:r>
        <w:rPr>
          <w:i/>
          <w:color w:val="211F1F"/>
          <w:spacing w:val="-5"/>
        </w:rPr>
        <w:t xml:space="preserve"> </w:t>
      </w:r>
      <w:r>
        <w:rPr>
          <w:i/>
          <w:color w:val="211F1F"/>
          <w:spacing w:val="-2"/>
        </w:rPr>
        <w:t>Tenderers</w:t>
      </w:r>
      <w:r>
        <w:rPr>
          <w:i/>
          <w:color w:val="211F1F"/>
          <w:spacing w:val="-11"/>
        </w:rPr>
        <w:t xml:space="preserve"> </w:t>
      </w:r>
      <w:r>
        <w:rPr>
          <w:i/>
          <w:color w:val="211F1F"/>
          <w:spacing w:val="-2"/>
        </w:rPr>
        <w:t>to</w:t>
      </w:r>
      <w:r>
        <w:rPr>
          <w:i/>
          <w:color w:val="211F1F"/>
          <w:spacing w:val="-7"/>
        </w:rPr>
        <w:t xml:space="preserve"> </w:t>
      </w:r>
      <w:r>
        <w:rPr>
          <w:i/>
          <w:color w:val="211F1F"/>
          <w:spacing w:val="-2"/>
        </w:rPr>
        <w:t>enable</w:t>
      </w:r>
      <w:r>
        <w:rPr>
          <w:i/>
          <w:color w:val="211F1F"/>
          <w:spacing w:val="-4"/>
        </w:rPr>
        <w:t xml:space="preserve"> </w:t>
      </w:r>
      <w:r>
        <w:rPr>
          <w:i/>
          <w:color w:val="211F1F"/>
          <w:spacing w:val="-2"/>
        </w:rPr>
        <w:t xml:space="preserve">preliminary </w:t>
      </w:r>
      <w:r>
        <w:rPr>
          <w:i/>
          <w:color w:val="211F1F"/>
        </w:rPr>
        <w:t>evaluation of the Tender]</w:t>
      </w:r>
    </w:p>
    <w:p w14:paraId="549CA288" w14:textId="77777777" w:rsidR="00BB77C0" w:rsidRDefault="00370BAA">
      <w:pPr>
        <w:pStyle w:val="ListParagraph"/>
        <w:numPr>
          <w:ilvl w:val="0"/>
          <w:numId w:val="68"/>
        </w:numPr>
        <w:tabs>
          <w:tab w:val="left" w:pos="684"/>
          <w:tab w:val="left" w:pos="686"/>
        </w:tabs>
        <w:spacing w:before="11" w:line="480" w:lineRule="atLeast"/>
        <w:ind w:right="556"/>
        <w:jc w:val="both"/>
        <w:rPr>
          <w:b/>
          <w:color w:val="211F1F"/>
        </w:rPr>
      </w:pPr>
      <w:r>
        <w:rPr>
          <w:b/>
          <w:color w:val="211F1F"/>
          <w:spacing w:val="-4"/>
        </w:rPr>
        <w:t>Tender</w:t>
      </w:r>
      <w:r>
        <w:rPr>
          <w:b/>
          <w:color w:val="211F1F"/>
          <w:spacing w:val="-10"/>
        </w:rPr>
        <w:t xml:space="preserve"> </w:t>
      </w:r>
      <w:r>
        <w:rPr>
          <w:b/>
          <w:color w:val="211F1F"/>
          <w:spacing w:val="-4"/>
        </w:rPr>
        <w:t>Evaluation</w:t>
      </w:r>
      <w:r>
        <w:rPr>
          <w:b/>
          <w:color w:val="211F1F"/>
          <w:spacing w:val="-10"/>
        </w:rPr>
        <w:t xml:space="preserve"> </w:t>
      </w:r>
      <w:r>
        <w:rPr>
          <w:b/>
          <w:color w:val="211F1F"/>
          <w:spacing w:val="-4"/>
        </w:rPr>
        <w:t>(ITT</w:t>
      </w:r>
      <w:r>
        <w:rPr>
          <w:b/>
          <w:color w:val="211F1F"/>
          <w:spacing w:val="-1"/>
        </w:rPr>
        <w:t xml:space="preserve"> </w:t>
      </w:r>
      <w:r>
        <w:rPr>
          <w:b/>
          <w:color w:val="211F1F"/>
          <w:spacing w:val="-4"/>
        </w:rPr>
        <w:t>35)</w:t>
      </w:r>
      <w:r>
        <w:rPr>
          <w:b/>
          <w:color w:val="211F1F"/>
          <w:spacing w:val="22"/>
        </w:rPr>
        <w:t xml:space="preserve"> </w:t>
      </w:r>
      <w:r>
        <w:rPr>
          <w:b/>
          <w:color w:val="211F1F"/>
          <w:spacing w:val="-4"/>
        </w:rPr>
        <w:t>Price</w:t>
      </w:r>
      <w:r>
        <w:rPr>
          <w:b/>
          <w:color w:val="211F1F"/>
          <w:spacing w:val="-8"/>
        </w:rPr>
        <w:t xml:space="preserve"> </w:t>
      </w:r>
      <w:r>
        <w:rPr>
          <w:b/>
          <w:color w:val="211F1F"/>
          <w:spacing w:val="-4"/>
        </w:rPr>
        <w:t>evaluation</w:t>
      </w:r>
      <w:r>
        <w:rPr>
          <w:color w:val="211F1F"/>
          <w:spacing w:val="-4"/>
        </w:rPr>
        <w:t>:</w:t>
      </w:r>
      <w:r>
        <w:rPr>
          <w:color w:val="211F1F"/>
          <w:spacing w:val="-10"/>
        </w:rPr>
        <w:t xml:space="preserve"> </w:t>
      </w:r>
      <w:r>
        <w:rPr>
          <w:color w:val="211F1F"/>
          <w:spacing w:val="-4"/>
        </w:rPr>
        <w:t>in</w:t>
      </w:r>
      <w:r>
        <w:rPr>
          <w:color w:val="211F1F"/>
          <w:spacing w:val="-10"/>
        </w:rPr>
        <w:t xml:space="preserve"> </w:t>
      </w:r>
      <w:r>
        <w:rPr>
          <w:color w:val="211F1F"/>
          <w:spacing w:val="-4"/>
        </w:rPr>
        <w:t>addition</w:t>
      </w:r>
      <w:r>
        <w:rPr>
          <w:color w:val="211F1F"/>
          <w:spacing w:val="-10"/>
        </w:rPr>
        <w:t xml:space="preserve"> </w:t>
      </w:r>
      <w:r>
        <w:rPr>
          <w:color w:val="211F1F"/>
          <w:spacing w:val="-4"/>
        </w:rPr>
        <w:t>to</w:t>
      </w:r>
      <w:r>
        <w:rPr>
          <w:color w:val="211F1F"/>
          <w:spacing w:val="-9"/>
        </w:rPr>
        <w:t xml:space="preserve"> </w:t>
      </w:r>
      <w:r>
        <w:rPr>
          <w:color w:val="211F1F"/>
          <w:spacing w:val="-4"/>
        </w:rPr>
        <w:t>the</w:t>
      </w:r>
      <w:r>
        <w:rPr>
          <w:color w:val="211F1F"/>
          <w:spacing w:val="-10"/>
        </w:rPr>
        <w:t xml:space="preserve"> </w:t>
      </w:r>
      <w:r>
        <w:rPr>
          <w:color w:val="211F1F"/>
          <w:spacing w:val="-4"/>
        </w:rPr>
        <w:t>criteria</w:t>
      </w:r>
      <w:r>
        <w:rPr>
          <w:color w:val="211F1F"/>
          <w:spacing w:val="-8"/>
        </w:rPr>
        <w:t xml:space="preserve"> </w:t>
      </w:r>
      <w:r>
        <w:rPr>
          <w:color w:val="211F1F"/>
          <w:spacing w:val="-4"/>
        </w:rPr>
        <w:t>listed</w:t>
      </w:r>
      <w:r>
        <w:rPr>
          <w:color w:val="211F1F"/>
          <w:spacing w:val="-10"/>
        </w:rPr>
        <w:t xml:space="preserve"> </w:t>
      </w:r>
      <w:r>
        <w:rPr>
          <w:color w:val="211F1F"/>
          <w:spacing w:val="-4"/>
        </w:rPr>
        <w:t>in</w:t>
      </w:r>
      <w:r>
        <w:rPr>
          <w:color w:val="211F1F"/>
          <w:spacing w:val="-10"/>
        </w:rPr>
        <w:t xml:space="preserve"> </w:t>
      </w:r>
      <w:r>
        <w:rPr>
          <w:color w:val="211F1F"/>
          <w:spacing w:val="-4"/>
        </w:rPr>
        <w:t>ITT</w:t>
      </w:r>
      <w:r>
        <w:rPr>
          <w:color w:val="211F1F"/>
          <w:spacing w:val="-10"/>
        </w:rPr>
        <w:t xml:space="preserve"> </w:t>
      </w:r>
      <w:r>
        <w:rPr>
          <w:color w:val="211F1F"/>
          <w:spacing w:val="-4"/>
        </w:rPr>
        <w:t>35.2</w:t>
      </w:r>
      <w:r>
        <w:rPr>
          <w:color w:val="211F1F"/>
          <w:spacing w:val="-9"/>
        </w:rPr>
        <w:t xml:space="preserve"> </w:t>
      </w:r>
      <w:r>
        <w:rPr>
          <w:color w:val="211F1F"/>
          <w:spacing w:val="-4"/>
        </w:rPr>
        <w:t>(a)</w:t>
      </w:r>
      <w:r>
        <w:rPr>
          <w:color w:val="211F1F"/>
          <w:spacing w:val="-10"/>
        </w:rPr>
        <w:t xml:space="preserve"> </w:t>
      </w:r>
      <w:r>
        <w:rPr>
          <w:color w:val="211F1F"/>
          <w:spacing w:val="-4"/>
        </w:rPr>
        <w:t>–</w:t>
      </w:r>
      <w:r>
        <w:rPr>
          <w:color w:val="211F1F"/>
          <w:spacing w:val="-7"/>
        </w:rPr>
        <w:t xml:space="preserve"> </w:t>
      </w:r>
      <w:r>
        <w:rPr>
          <w:color w:val="211F1F"/>
          <w:spacing w:val="-4"/>
        </w:rPr>
        <w:t>(c)</w:t>
      </w:r>
      <w:r>
        <w:rPr>
          <w:color w:val="211F1F"/>
          <w:spacing w:val="-10"/>
        </w:rPr>
        <w:t xml:space="preserve"> </w:t>
      </w:r>
      <w:r>
        <w:rPr>
          <w:color w:val="211F1F"/>
          <w:spacing w:val="-4"/>
        </w:rPr>
        <w:t>the</w:t>
      </w:r>
      <w:r>
        <w:rPr>
          <w:color w:val="211F1F"/>
          <w:spacing w:val="-10"/>
        </w:rPr>
        <w:t xml:space="preserve"> </w:t>
      </w:r>
      <w:r>
        <w:rPr>
          <w:color w:val="211F1F"/>
          <w:spacing w:val="-4"/>
        </w:rPr>
        <w:t xml:space="preserve">following </w:t>
      </w:r>
      <w:r>
        <w:rPr>
          <w:color w:val="211F1F"/>
        </w:rPr>
        <w:t>criteria shall</w:t>
      </w:r>
      <w:r>
        <w:rPr>
          <w:color w:val="211F1F"/>
          <w:spacing w:val="-5"/>
        </w:rPr>
        <w:t xml:space="preserve"> </w:t>
      </w:r>
      <w:r>
        <w:rPr>
          <w:color w:val="211F1F"/>
        </w:rPr>
        <w:t>apply:</w:t>
      </w:r>
    </w:p>
    <w:p w14:paraId="18142415" w14:textId="77777777" w:rsidR="00BB77C0" w:rsidRDefault="00370BAA">
      <w:pPr>
        <w:pStyle w:val="ListParagraph"/>
        <w:numPr>
          <w:ilvl w:val="0"/>
          <w:numId w:val="67"/>
        </w:numPr>
        <w:tabs>
          <w:tab w:val="left" w:pos="1256"/>
        </w:tabs>
        <w:spacing w:line="244" w:lineRule="exact"/>
        <w:ind w:left="1256" w:hanging="570"/>
        <w:jc w:val="both"/>
      </w:pPr>
      <w:r>
        <w:rPr>
          <w:b/>
          <w:color w:val="211F1F"/>
        </w:rPr>
        <w:t>Alternative</w:t>
      </w:r>
      <w:r>
        <w:rPr>
          <w:b/>
          <w:color w:val="211F1F"/>
          <w:spacing w:val="10"/>
        </w:rPr>
        <w:t xml:space="preserve"> </w:t>
      </w:r>
      <w:r>
        <w:rPr>
          <w:b/>
          <w:color w:val="211F1F"/>
        </w:rPr>
        <w:t>Completion</w:t>
      </w:r>
      <w:r>
        <w:rPr>
          <w:b/>
          <w:color w:val="211F1F"/>
          <w:spacing w:val="2"/>
        </w:rPr>
        <w:t xml:space="preserve"> </w:t>
      </w:r>
      <w:r>
        <w:rPr>
          <w:b/>
          <w:color w:val="211F1F"/>
        </w:rPr>
        <w:t>Times,</w:t>
      </w:r>
      <w:r>
        <w:rPr>
          <w:b/>
          <w:color w:val="211F1F"/>
          <w:spacing w:val="14"/>
        </w:rPr>
        <w:t xml:space="preserve"> </w:t>
      </w:r>
      <w:r>
        <w:rPr>
          <w:b/>
          <w:color w:val="211F1F"/>
        </w:rPr>
        <w:t>i</w:t>
      </w:r>
      <w:r>
        <w:rPr>
          <w:color w:val="211F1F"/>
        </w:rPr>
        <w:t>f</w:t>
      </w:r>
      <w:r>
        <w:rPr>
          <w:color w:val="211F1F"/>
          <w:spacing w:val="10"/>
        </w:rPr>
        <w:t xml:space="preserve"> </w:t>
      </w:r>
      <w:r>
        <w:rPr>
          <w:color w:val="211F1F"/>
        </w:rPr>
        <w:t>permitted</w:t>
      </w:r>
      <w:r>
        <w:rPr>
          <w:color w:val="211F1F"/>
          <w:spacing w:val="8"/>
        </w:rPr>
        <w:t xml:space="preserve"> </w:t>
      </w:r>
      <w:r>
        <w:rPr>
          <w:color w:val="211F1F"/>
        </w:rPr>
        <w:t>under</w:t>
      </w:r>
      <w:r>
        <w:rPr>
          <w:color w:val="211F1F"/>
          <w:spacing w:val="9"/>
        </w:rPr>
        <w:t xml:space="preserve"> </w:t>
      </w:r>
      <w:r>
        <w:rPr>
          <w:color w:val="211F1F"/>
        </w:rPr>
        <w:t>ITT</w:t>
      </w:r>
      <w:r>
        <w:rPr>
          <w:color w:val="211F1F"/>
          <w:spacing w:val="6"/>
        </w:rPr>
        <w:t xml:space="preserve"> </w:t>
      </w:r>
      <w:r>
        <w:rPr>
          <w:color w:val="211F1F"/>
        </w:rPr>
        <w:t>13.2,</w:t>
      </w:r>
      <w:r>
        <w:rPr>
          <w:color w:val="211F1F"/>
          <w:spacing w:val="9"/>
        </w:rPr>
        <w:t xml:space="preserve"> </w:t>
      </w:r>
      <w:r>
        <w:rPr>
          <w:color w:val="211F1F"/>
        </w:rPr>
        <w:t>will</w:t>
      </w:r>
      <w:r>
        <w:rPr>
          <w:color w:val="211F1F"/>
          <w:spacing w:val="9"/>
        </w:rPr>
        <w:t xml:space="preserve"> </w:t>
      </w:r>
      <w:r>
        <w:rPr>
          <w:color w:val="211F1F"/>
        </w:rPr>
        <w:t>be</w:t>
      </w:r>
      <w:r>
        <w:rPr>
          <w:color w:val="211F1F"/>
          <w:spacing w:val="10"/>
        </w:rPr>
        <w:t xml:space="preserve"> </w:t>
      </w:r>
      <w:r>
        <w:rPr>
          <w:color w:val="211F1F"/>
        </w:rPr>
        <w:t>evaluated</w:t>
      </w:r>
      <w:r>
        <w:rPr>
          <w:color w:val="211F1F"/>
          <w:spacing w:val="8"/>
        </w:rPr>
        <w:t xml:space="preserve"> </w:t>
      </w:r>
      <w:r>
        <w:rPr>
          <w:color w:val="211F1F"/>
        </w:rPr>
        <w:t>as</w:t>
      </w:r>
      <w:r>
        <w:rPr>
          <w:color w:val="211F1F"/>
          <w:spacing w:val="7"/>
        </w:rPr>
        <w:t xml:space="preserve"> </w:t>
      </w:r>
      <w:r>
        <w:rPr>
          <w:color w:val="211F1F"/>
          <w:spacing w:val="-2"/>
        </w:rPr>
        <w:t>follows:</w:t>
      </w:r>
    </w:p>
    <w:p w14:paraId="57B909F3" w14:textId="77777777" w:rsidR="00BB77C0" w:rsidRDefault="00370BAA">
      <w:pPr>
        <w:spacing w:line="251" w:lineRule="exact"/>
        <w:ind w:left="1258"/>
      </w:pPr>
      <w:r>
        <w:rPr>
          <w:color w:val="211F1F"/>
          <w:spacing w:val="-2"/>
        </w:rPr>
        <w:t>…………………………………………………………………</w:t>
      </w:r>
    </w:p>
    <w:p w14:paraId="70BFA4B0" w14:textId="77777777" w:rsidR="00BB77C0" w:rsidRDefault="00370BAA">
      <w:pPr>
        <w:pStyle w:val="ListParagraph"/>
        <w:numPr>
          <w:ilvl w:val="0"/>
          <w:numId w:val="67"/>
        </w:numPr>
        <w:tabs>
          <w:tab w:val="left" w:pos="1258"/>
        </w:tabs>
        <w:spacing w:before="233" w:line="232" w:lineRule="auto"/>
        <w:ind w:right="562"/>
      </w:pPr>
      <w:r>
        <w:rPr>
          <w:b/>
          <w:color w:val="211F1F"/>
        </w:rPr>
        <w:t>Alternative</w:t>
      </w:r>
      <w:r>
        <w:rPr>
          <w:b/>
          <w:color w:val="211F1F"/>
          <w:spacing w:val="-4"/>
        </w:rPr>
        <w:t xml:space="preserve"> </w:t>
      </w:r>
      <w:r>
        <w:rPr>
          <w:b/>
          <w:color w:val="211F1F"/>
        </w:rPr>
        <w:t>Technical</w:t>
      </w:r>
      <w:r>
        <w:rPr>
          <w:b/>
          <w:color w:val="211F1F"/>
          <w:spacing w:val="-11"/>
        </w:rPr>
        <w:t xml:space="preserve"> </w:t>
      </w:r>
      <w:r>
        <w:rPr>
          <w:b/>
          <w:color w:val="211F1F"/>
        </w:rPr>
        <w:t>Solutions</w:t>
      </w:r>
      <w:r>
        <w:rPr>
          <w:b/>
          <w:color w:val="211F1F"/>
          <w:spacing w:val="-1"/>
        </w:rPr>
        <w:t xml:space="preserve"> </w:t>
      </w:r>
      <w:r>
        <w:rPr>
          <w:color w:val="211F1F"/>
        </w:rPr>
        <w:t>for specified</w:t>
      </w:r>
      <w:r>
        <w:rPr>
          <w:color w:val="211F1F"/>
          <w:spacing w:val="-7"/>
        </w:rPr>
        <w:t xml:space="preserve"> </w:t>
      </w:r>
      <w:r>
        <w:rPr>
          <w:color w:val="211F1F"/>
        </w:rPr>
        <w:t>parts</w:t>
      </w:r>
      <w:r>
        <w:rPr>
          <w:color w:val="211F1F"/>
          <w:spacing w:val="-6"/>
        </w:rPr>
        <w:t xml:space="preserve"> </w:t>
      </w:r>
      <w:r>
        <w:rPr>
          <w:color w:val="211F1F"/>
        </w:rPr>
        <w:t>of</w:t>
      </w:r>
      <w:r>
        <w:rPr>
          <w:color w:val="211F1F"/>
          <w:spacing w:val="-9"/>
        </w:rPr>
        <w:t xml:space="preserve"> </w:t>
      </w:r>
      <w:r>
        <w:rPr>
          <w:color w:val="211F1F"/>
        </w:rPr>
        <w:t>the</w:t>
      </w:r>
      <w:r>
        <w:rPr>
          <w:color w:val="211F1F"/>
          <w:spacing w:val="-10"/>
        </w:rPr>
        <w:t xml:space="preserve"> </w:t>
      </w:r>
      <w:r>
        <w:rPr>
          <w:color w:val="211F1F"/>
        </w:rPr>
        <w:t>Works,</w:t>
      </w:r>
      <w:r>
        <w:rPr>
          <w:color w:val="211F1F"/>
          <w:spacing w:val="-9"/>
        </w:rPr>
        <w:t xml:space="preserve"> </w:t>
      </w:r>
      <w:r>
        <w:rPr>
          <w:color w:val="211F1F"/>
        </w:rPr>
        <w:t>if</w:t>
      </w:r>
      <w:r>
        <w:rPr>
          <w:color w:val="211F1F"/>
          <w:spacing w:val="-4"/>
        </w:rPr>
        <w:t xml:space="preserve"> </w:t>
      </w:r>
      <w:r>
        <w:rPr>
          <w:color w:val="211F1F"/>
        </w:rPr>
        <w:t>permitted</w:t>
      </w:r>
      <w:r>
        <w:rPr>
          <w:color w:val="211F1F"/>
          <w:spacing w:val="-11"/>
        </w:rPr>
        <w:t xml:space="preserve"> </w:t>
      </w:r>
      <w:r>
        <w:rPr>
          <w:color w:val="211F1F"/>
        </w:rPr>
        <w:t>under ITT</w:t>
      </w:r>
      <w:r>
        <w:rPr>
          <w:color w:val="211F1F"/>
          <w:spacing w:val="-4"/>
        </w:rPr>
        <w:t xml:space="preserve"> </w:t>
      </w:r>
      <w:r>
        <w:rPr>
          <w:color w:val="211F1F"/>
        </w:rPr>
        <w:t>13.4, will</w:t>
      </w:r>
      <w:r>
        <w:rPr>
          <w:color w:val="211F1F"/>
          <w:spacing w:val="-7"/>
        </w:rPr>
        <w:t xml:space="preserve"> </w:t>
      </w:r>
      <w:r>
        <w:rPr>
          <w:color w:val="211F1F"/>
        </w:rPr>
        <w:t>be evaluated as follows: ……………………………………………</w:t>
      </w:r>
    </w:p>
    <w:p w14:paraId="031DE5FB" w14:textId="77777777" w:rsidR="00BB77C0" w:rsidRDefault="00370BAA">
      <w:pPr>
        <w:pStyle w:val="ListParagraph"/>
        <w:numPr>
          <w:ilvl w:val="0"/>
          <w:numId w:val="67"/>
        </w:numPr>
        <w:tabs>
          <w:tab w:val="left" w:pos="1263"/>
        </w:tabs>
        <w:spacing w:before="232" w:line="251" w:lineRule="exact"/>
        <w:ind w:left="1263" w:hanging="577"/>
      </w:pPr>
      <w:r>
        <w:rPr>
          <w:b/>
          <w:color w:val="211F1F"/>
          <w:spacing w:val="-4"/>
        </w:rPr>
        <w:t>Other</w:t>
      </w:r>
      <w:r>
        <w:rPr>
          <w:b/>
          <w:color w:val="211F1F"/>
          <w:spacing w:val="-12"/>
        </w:rPr>
        <w:t xml:space="preserve"> </w:t>
      </w:r>
      <w:r>
        <w:rPr>
          <w:b/>
          <w:color w:val="211F1F"/>
          <w:spacing w:val="-4"/>
        </w:rPr>
        <w:t>Criteria;</w:t>
      </w:r>
      <w:r>
        <w:rPr>
          <w:b/>
          <w:color w:val="211F1F"/>
          <w:spacing w:val="-3"/>
        </w:rPr>
        <w:t xml:space="preserve"> </w:t>
      </w:r>
      <w:r>
        <w:rPr>
          <w:b/>
          <w:color w:val="211F1F"/>
          <w:spacing w:val="-4"/>
        </w:rPr>
        <w:t>i</w:t>
      </w:r>
      <w:r>
        <w:rPr>
          <w:color w:val="211F1F"/>
          <w:spacing w:val="-4"/>
        </w:rPr>
        <w:t>f</w:t>
      </w:r>
      <w:r>
        <w:rPr>
          <w:color w:val="211F1F"/>
          <w:spacing w:val="-11"/>
        </w:rPr>
        <w:t xml:space="preserve"> </w:t>
      </w:r>
      <w:r>
        <w:rPr>
          <w:color w:val="211F1F"/>
          <w:spacing w:val="-4"/>
        </w:rPr>
        <w:t>permitted</w:t>
      </w:r>
      <w:r>
        <w:rPr>
          <w:color w:val="211F1F"/>
          <w:spacing w:val="-14"/>
        </w:rPr>
        <w:t xml:space="preserve"> </w:t>
      </w:r>
      <w:r>
        <w:rPr>
          <w:color w:val="211F1F"/>
          <w:spacing w:val="-4"/>
        </w:rPr>
        <w:t>under</w:t>
      </w:r>
      <w:r>
        <w:rPr>
          <w:color w:val="211F1F"/>
          <w:spacing w:val="1"/>
        </w:rPr>
        <w:t xml:space="preserve"> </w:t>
      </w:r>
      <w:r>
        <w:rPr>
          <w:color w:val="211F1F"/>
          <w:spacing w:val="-4"/>
        </w:rPr>
        <w:t>ITT</w:t>
      </w:r>
      <w:r>
        <w:rPr>
          <w:color w:val="211F1F"/>
          <w:spacing w:val="-15"/>
        </w:rPr>
        <w:t xml:space="preserve"> </w:t>
      </w:r>
      <w:r>
        <w:rPr>
          <w:color w:val="211F1F"/>
          <w:spacing w:val="-4"/>
        </w:rPr>
        <w:t>35.2(d):</w:t>
      </w:r>
    </w:p>
    <w:p w14:paraId="2D0C9358" w14:textId="77777777" w:rsidR="00BB77C0" w:rsidRDefault="00370BAA">
      <w:pPr>
        <w:spacing w:line="251" w:lineRule="exact"/>
        <w:ind w:left="1263"/>
      </w:pPr>
      <w:r>
        <w:rPr>
          <w:color w:val="211F1F"/>
          <w:spacing w:val="-2"/>
        </w:rPr>
        <w:t>…………………………………………………………………………………………………</w:t>
      </w:r>
    </w:p>
    <w:p w14:paraId="567D638C" w14:textId="77777777" w:rsidR="00BB77C0" w:rsidRDefault="00370BAA">
      <w:pPr>
        <w:pStyle w:val="Heading7"/>
        <w:numPr>
          <w:ilvl w:val="0"/>
          <w:numId w:val="68"/>
        </w:numPr>
        <w:tabs>
          <w:tab w:val="left" w:pos="686"/>
        </w:tabs>
        <w:spacing w:before="237"/>
        <w:ind w:hanging="561"/>
        <w:jc w:val="left"/>
        <w:rPr>
          <w:color w:val="211F1F"/>
        </w:rPr>
      </w:pPr>
      <w:bookmarkStart w:id="128" w:name="4._Multiple_Contracts"/>
      <w:bookmarkEnd w:id="128"/>
      <w:r>
        <w:rPr>
          <w:color w:val="211F1F"/>
          <w:spacing w:val="-4"/>
        </w:rPr>
        <w:t>Multiple</w:t>
      </w:r>
      <w:r>
        <w:rPr>
          <w:color w:val="211F1F"/>
        </w:rPr>
        <w:t xml:space="preserve"> </w:t>
      </w:r>
      <w:r>
        <w:rPr>
          <w:color w:val="211F1F"/>
          <w:spacing w:val="-2"/>
        </w:rPr>
        <w:t>Contracts</w:t>
      </w:r>
    </w:p>
    <w:p w14:paraId="2360D4C4" w14:textId="77777777" w:rsidR="00BB77C0" w:rsidRDefault="00370BAA">
      <w:pPr>
        <w:pStyle w:val="BodyText"/>
        <w:spacing w:before="235" w:line="230" w:lineRule="auto"/>
        <w:ind w:left="691" w:right="355" w:hanging="5"/>
        <w:jc w:val="both"/>
      </w:pPr>
      <w:r>
        <w:rPr>
          <w:color w:val="211F1F"/>
        </w:rPr>
        <w:t>Multiple</w:t>
      </w:r>
      <w:r>
        <w:rPr>
          <w:color w:val="211F1F"/>
          <w:spacing w:val="-2"/>
        </w:rPr>
        <w:t xml:space="preserve"> </w:t>
      </w:r>
      <w:r>
        <w:rPr>
          <w:color w:val="211F1F"/>
        </w:rPr>
        <w:t>contracts will be</w:t>
      </w:r>
      <w:r>
        <w:rPr>
          <w:color w:val="211F1F"/>
          <w:spacing w:val="-3"/>
        </w:rPr>
        <w:t xml:space="preserve"> </w:t>
      </w:r>
      <w:r>
        <w:rPr>
          <w:color w:val="211F1F"/>
        </w:rPr>
        <w:t>permitted</w:t>
      </w:r>
      <w:r>
        <w:rPr>
          <w:color w:val="211F1F"/>
          <w:spacing w:val="-1"/>
        </w:rPr>
        <w:t xml:space="preserve"> </w:t>
      </w:r>
      <w:r>
        <w:rPr>
          <w:color w:val="211F1F"/>
        </w:rPr>
        <w:t>in accordance with ITT</w:t>
      </w:r>
      <w:r>
        <w:rPr>
          <w:color w:val="211F1F"/>
          <w:spacing w:val="-1"/>
        </w:rPr>
        <w:t xml:space="preserve"> </w:t>
      </w:r>
      <w:r>
        <w:rPr>
          <w:color w:val="211F1F"/>
        </w:rPr>
        <w:t>35.4.</w:t>
      </w:r>
      <w:r>
        <w:rPr>
          <w:color w:val="211F1F"/>
          <w:spacing w:val="-8"/>
        </w:rPr>
        <w:t xml:space="preserve"> </w:t>
      </w:r>
      <w:r>
        <w:rPr>
          <w:color w:val="211F1F"/>
        </w:rPr>
        <w:t>Tenderers are</w:t>
      </w:r>
      <w:r>
        <w:rPr>
          <w:color w:val="211F1F"/>
          <w:spacing w:val="-3"/>
        </w:rPr>
        <w:t xml:space="preserve"> </w:t>
      </w:r>
      <w:r>
        <w:rPr>
          <w:color w:val="211F1F"/>
        </w:rPr>
        <w:t>evaluated on</w:t>
      </w:r>
      <w:r>
        <w:rPr>
          <w:color w:val="211F1F"/>
          <w:spacing w:val="-1"/>
        </w:rPr>
        <w:t xml:space="preserve"> </w:t>
      </w:r>
      <w:r>
        <w:rPr>
          <w:color w:val="211F1F"/>
        </w:rPr>
        <w:t>basis of Lots</w:t>
      </w:r>
      <w:r>
        <w:rPr>
          <w:color w:val="211F1F"/>
          <w:spacing w:val="-1"/>
        </w:rPr>
        <w:t xml:space="preserve"> </w:t>
      </w:r>
      <w:r>
        <w:rPr>
          <w:color w:val="211F1F"/>
        </w:rPr>
        <w:t>and the lowest evaluated tenderer identified for each Lot. The Procuring Entity will select one Option of the two Options listed below for award of Contracts.</w:t>
      </w:r>
    </w:p>
    <w:p w14:paraId="54CF340D" w14:textId="77777777" w:rsidR="00BB77C0" w:rsidRDefault="00370BAA">
      <w:pPr>
        <w:spacing w:before="234" w:line="249" w:lineRule="exact"/>
        <w:ind w:left="696"/>
        <w:jc w:val="both"/>
        <w:rPr>
          <w:b/>
        </w:rPr>
      </w:pPr>
      <w:r>
        <w:rPr>
          <w:b/>
          <w:color w:val="211F1F"/>
          <w:u w:val="single" w:color="211F1F"/>
        </w:rPr>
        <w:t>OPTION</w:t>
      </w:r>
      <w:r>
        <w:rPr>
          <w:b/>
          <w:color w:val="211F1F"/>
          <w:spacing w:val="-7"/>
          <w:u w:val="single" w:color="211F1F"/>
        </w:rPr>
        <w:t xml:space="preserve"> </w:t>
      </w:r>
      <w:r>
        <w:rPr>
          <w:b/>
          <w:color w:val="211F1F"/>
          <w:spacing w:val="-10"/>
          <w:u w:val="single" w:color="211F1F"/>
        </w:rPr>
        <w:t>1</w:t>
      </w:r>
    </w:p>
    <w:p w14:paraId="2C0CB030" w14:textId="77777777" w:rsidR="00BB77C0" w:rsidRDefault="00370BAA">
      <w:pPr>
        <w:pStyle w:val="ListParagraph"/>
        <w:numPr>
          <w:ilvl w:val="0"/>
          <w:numId w:val="66"/>
        </w:numPr>
        <w:tabs>
          <w:tab w:val="left" w:pos="1258"/>
          <w:tab w:val="left" w:pos="1263"/>
        </w:tabs>
        <w:spacing w:before="2" w:line="232" w:lineRule="auto"/>
        <w:ind w:right="506" w:hanging="567"/>
        <w:jc w:val="left"/>
      </w:pPr>
      <w:r>
        <w:rPr>
          <w:color w:val="211F1F"/>
        </w:rPr>
        <w:t>If</w:t>
      </w:r>
      <w:r>
        <w:rPr>
          <w:color w:val="211F1F"/>
          <w:spacing w:val="-14"/>
        </w:rPr>
        <w:t xml:space="preserve"> </w:t>
      </w:r>
      <w:r>
        <w:rPr>
          <w:color w:val="211F1F"/>
        </w:rPr>
        <w:t>a</w:t>
      </w:r>
      <w:r>
        <w:rPr>
          <w:color w:val="211F1F"/>
          <w:spacing w:val="-14"/>
        </w:rPr>
        <w:t xml:space="preserve"> </w:t>
      </w:r>
      <w:r>
        <w:rPr>
          <w:color w:val="211F1F"/>
        </w:rPr>
        <w:t>tenderer</w:t>
      </w:r>
      <w:r>
        <w:rPr>
          <w:color w:val="211F1F"/>
          <w:spacing w:val="-14"/>
        </w:rPr>
        <w:t xml:space="preserve"> </w:t>
      </w:r>
      <w:r>
        <w:rPr>
          <w:color w:val="211F1F"/>
        </w:rPr>
        <w:t>wins</w:t>
      </w:r>
      <w:r>
        <w:rPr>
          <w:color w:val="211F1F"/>
          <w:spacing w:val="-13"/>
        </w:rPr>
        <w:t xml:space="preserve"> </w:t>
      </w:r>
      <w:r>
        <w:rPr>
          <w:color w:val="211F1F"/>
        </w:rPr>
        <w:t>only</w:t>
      </w:r>
      <w:r>
        <w:rPr>
          <w:color w:val="211F1F"/>
          <w:spacing w:val="-13"/>
        </w:rPr>
        <w:t xml:space="preserve"> </w:t>
      </w:r>
      <w:r>
        <w:rPr>
          <w:color w:val="211F1F"/>
        </w:rPr>
        <w:t>one</w:t>
      </w:r>
      <w:r>
        <w:rPr>
          <w:color w:val="211F1F"/>
          <w:spacing w:val="-18"/>
        </w:rPr>
        <w:t xml:space="preserve"> </w:t>
      </w:r>
      <w:r>
        <w:rPr>
          <w:color w:val="211F1F"/>
        </w:rPr>
        <w:t>Lot,</w:t>
      </w:r>
      <w:r>
        <w:rPr>
          <w:color w:val="211F1F"/>
          <w:spacing w:val="-11"/>
        </w:rPr>
        <w:t xml:space="preserve"> </w:t>
      </w:r>
      <w:r>
        <w:rPr>
          <w:color w:val="211F1F"/>
        </w:rPr>
        <w:t>the</w:t>
      </w:r>
      <w:r>
        <w:rPr>
          <w:color w:val="211F1F"/>
          <w:spacing w:val="-19"/>
        </w:rPr>
        <w:t xml:space="preserve"> </w:t>
      </w:r>
      <w:r>
        <w:rPr>
          <w:color w:val="211F1F"/>
        </w:rPr>
        <w:t>tenderer</w:t>
      </w:r>
      <w:r>
        <w:rPr>
          <w:color w:val="211F1F"/>
          <w:spacing w:val="-10"/>
        </w:rPr>
        <w:t xml:space="preserve"> </w:t>
      </w:r>
      <w:r>
        <w:rPr>
          <w:color w:val="211F1F"/>
        </w:rPr>
        <w:t>will</w:t>
      </w:r>
      <w:r>
        <w:rPr>
          <w:color w:val="211F1F"/>
          <w:spacing w:val="-16"/>
        </w:rPr>
        <w:t xml:space="preserve"> </w:t>
      </w:r>
      <w:r>
        <w:rPr>
          <w:color w:val="211F1F"/>
        </w:rPr>
        <w:t>be</w:t>
      </w:r>
      <w:r>
        <w:rPr>
          <w:color w:val="211F1F"/>
          <w:spacing w:val="-19"/>
        </w:rPr>
        <w:t xml:space="preserve"> </w:t>
      </w:r>
      <w:r>
        <w:rPr>
          <w:color w:val="211F1F"/>
        </w:rPr>
        <w:t>awarded</w:t>
      </w:r>
      <w:r>
        <w:rPr>
          <w:color w:val="211F1F"/>
          <w:spacing w:val="-16"/>
        </w:rPr>
        <w:t xml:space="preserve"> </w:t>
      </w:r>
      <w:r>
        <w:rPr>
          <w:color w:val="211F1F"/>
        </w:rPr>
        <w:t>a</w:t>
      </w:r>
      <w:r>
        <w:rPr>
          <w:color w:val="211F1F"/>
          <w:spacing w:val="-11"/>
        </w:rPr>
        <w:t xml:space="preserve"> </w:t>
      </w:r>
      <w:r>
        <w:rPr>
          <w:color w:val="211F1F"/>
        </w:rPr>
        <w:t>contract</w:t>
      </w:r>
      <w:r>
        <w:rPr>
          <w:color w:val="211F1F"/>
          <w:spacing w:val="-12"/>
        </w:rPr>
        <w:t xml:space="preserve"> </w:t>
      </w:r>
      <w:r>
        <w:rPr>
          <w:color w:val="211F1F"/>
        </w:rPr>
        <w:t>for</w:t>
      </w:r>
      <w:r>
        <w:rPr>
          <w:color w:val="211F1F"/>
          <w:spacing w:val="-11"/>
        </w:rPr>
        <w:t xml:space="preserve"> </w:t>
      </w:r>
      <w:r>
        <w:rPr>
          <w:color w:val="211F1F"/>
        </w:rPr>
        <w:t>that</w:t>
      </w:r>
      <w:r>
        <w:rPr>
          <w:color w:val="211F1F"/>
          <w:spacing w:val="-13"/>
        </w:rPr>
        <w:t xml:space="preserve"> </w:t>
      </w:r>
      <w:r>
        <w:rPr>
          <w:color w:val="211F1F"/>
        </w:rPr>
        <w:t>Lot,</w:t>
      </w:r>
      <w:r>
        <w:rPr>
          <w:color w:val="211F1F"/>
          <w:spacing w:val="-11"/>
        </w:rPr>
        <w:t xml:space="preserve"> </w:t>
      </w:r>
      <w:r>
        <w:rPr>
          <w:color w:val="211F1F"/>
        </w:rPr>
        <w:t>provided</w:t>
      </w:r>
      <w:r>
        <w:rPr>
          <w:color w:val="211F1F"/>
          <w:spacing w:val="-17"/>
        </w:rPr>
        <w:t xml:space="preserve"> </w:t>
      </w:r>
      <w:r>
        <w:rPr>
          <w:color w:val="211F1F"/>
        </w:rPr>
        <w:t>the</w:t>
      </w:r>
      <w:r>
        <w:rPr>
          <w:color w:val="211F1F"/>
          <w:spacing w:val="-18"/>
        </w:rPr>
        <w:t xml:space="preserve"> </w:t>
      </w:r>
      <w:r>
        <w:rPr>
          <w:color w:val="211F1F"/>
        </w:rPr>
        <w:t>tenderer meets the Eligibility and Qualification Criteria for that Lot.</w:t>
      </w:r>
    </w:p>
    <w:p w14:paraId="7DCFF6A1" w14:textId="77777777" w:rsidR="00BB77C0" w:rsidRDefault="00370BAA">
      <w:pPr>
        <w:pStyle w:val="ListParagraph"/>
        <w:numPr>
          <w:ilvl w:val="0"/>
          <w:numId w:val="66"/>
        </w:numPr>
        <w:tabs>
          <w:tab w:val="left" w:pos="693"/>
          <w:tab w:val="left" w:pos="696"/>
        </w:tabs>
        <w:spacing w:before="183" w:line="230" w:lineRule="auto"/>
        <w:ind w:left="696" w:right="350" w:hanging="572"/>
        <w:jc w:val="both"/>
      </w:pPr>
      <w:r>
        <w:rPr>
          <w:color w:val="211F1F"/>
        </w:rPr>
        <w:t>If</w:t>
      </w:r>
      <w:r>
        <w:rPr>
          <w:color w:val="211F1F"/>
          <w:spacing w:val="-14"/>
        </w:rPr>
        <w:t xml:space="preserve"> </w:t>
      </w:r>
      <w:r>
        <w:rPr>
          <w:color w:val="211F1F"/>
        </w:rPr>
        <w:t>a</w:t>
      </w:r>
      <w:r>
        <w:rPr>
          <w:color w:val="211F1F"/>
          <w:spacing w:val="-14"/>
        </w:rPr>
        <w:t xml:space="preserve"> </w:t>
      </w:r>
      <w:r>
        <w:rPr>
          <w:color w:val="211F1F"/>
        </w:rPr>
        <w:t>tenderer</w:t>
      </w:r>
      <w:r>
        <w:rPr>
          <w:color w:val="211F1F"/>
          <w:spacing w:val="-4"/>
        </w:rPr>
        <w:t xml:space="preserve"> </w:t>
      </w:r>
      <w:r>
        <w:rPr>
          <w:color w:val="211F1F"/>
        </w:rPr>
        <w:t>wins</w:t>
      </w:r>
      <w:r>
        <w:rPr>
          <w:color w:val="211F1F"/>
          <w:spacing w:val="-9"/>
        </w:rPr>
        <w:t xml:space="preserve"> </w:t>
      </w:r>
      <w:r>
        <w:rPr>
          <w:color w:val="211F1F"/>
        </w:rPr>
        <w:t>more</w:t>
      </w:r>
      <w:r>
        <w:rPr>
          <w:color w:val="211F1F"/>
          <w:spacing w:val="-14"/>
        </w:rPr>
        <w:t xml:space="preserve"> </w:t>
      </w:r>
      <w:r>
        <w:rPr>
          <w:color w:val="211F1F"/>
        </w:rPr>
        <w:t>than</w:t>
      </w:r>
      <w:r>
        <w:rPr>
          <w:color w:val="211F1F"/>
          <w:spacing w:val="-14"/>
        </w:rPr>
        <w:t xml:space="preserve"> </w:t>
      </w:r>
      <w:r>
        <w:rPr>
          <w:color w:val="211F1F"/>
        </w:rPr>
        <w:t>one</w:t>
      </w:r>
      <w:r>
        <w:rPr>
          <w:color w:val="211F1F"/>
          <w:spacing w:val="-14"/>
        </w:rPr>
        <w:t xml:space="preserve"> </w:t>
      </w:r>
      <w:r>
        <w:rPr>
          <w:color w:val="211F1F"/>
        </w:rPr>
        <w:t>Lot,</w:t>
      </w:r>
      <w:r>
        <w:rPr>
          <w:color w:val="211F1F"/>
          <w:spacing w:val="-6"/>
        </w:rPr>
        <w:t xml:space="preserve"> </w:t>
      </w:r>
      <w:r>
        <w:rPr>
          <w:color w:val="211F1F"/>
        </w:rPr>
        <w:t>the</w:t>
      </w:r>
      <w:r>
        <w:rPr>
          <w:color w:val="211F1F"/>
          <w:spacing w:val="-14"/>
        </w:rPr>
        <w:t xml:space="preserve"> </w:t>
      </w:r>
      <w:r>
        <w:rPr>
          <w:color w:val="211F1F"/>
        </w:rPr>
        <w:t>tender</w:t>
      </w:r>
      <w:r>
        <w:rPr>
          <w:color w:val="211F1F"/>
          <w:spacing w:val="-1"/>
        </w:rPr>
        <w:t xml:space="preserve"> </w:t>
      </w:r>
      <w:r>
        <w:rPr>
          <w:color w:val="211F1F"/>
        </w:rPr>
        <w:t>will</w:t>
      </w:r>
      <w:r>
        <w:rPr>
          <w:color w:val="211F1F"/>
          <w:spacing w:val="-14"/>
        </w:rPr>
        <w:t xml:space="preserve"> </w:t>
      </w:r>
      <w:r>
        <w:rPr>
          <w:color w:val="211F1F"/>
        </w:rPr>
        <w:t>be</w:t>
      </w:r>
      <w:r>
        <w:rPr>
          <w:color w:val="211F1F"/>
          <w:spacing w:val="-14"/>
        </w:rPr>
        <w:t xml:space="preserve"> </w:t>
      </w:r>
      <w:r>
        <w:rPr>
          <w:color w:val="211F1F"/>
        </w:rPr>
        <w:t>awarded</w:t>
      </w:r>
      <w:r>
        <w:rPr>
          <w:color w:val="211F1F"/>
          <w:spacing w:val="-13"/>
        </w:rPr>
        <w:t xml:space="preserve"> </w:t>
      </w:r>
      <w:r>
        <w:rPr>
          <w:color w:val="211F1F"/>
        </w:rPr>
        <w:t>contracts</w:t>
      </w:r>
      <w:r>
        <w:rPr>
          <w:color w:val="211F1F"/>
          <w:spacing w:val="-8"/>
        </w:rPr>
        <w:t xml:space="preserve"> </w:t>
      </w:r>
      <w:r>
        <w:rPr>
          <w:color w:val="211F1F"/>
        </w:rPr>
        <w:t>for</w:t>
      </w:r>
      <w:r>
        <w:rPr>
          <w:color w:val="211F1F"/>
          <w:spacing w:val="-11"/>
        </w:rPr>
        <w:t xml:space="preserve"> </w:t>
      </w:r>
      <w:r>
        <w:rPr>
          <w:color w:val="211F1F"/>
        </w:rPr>
        <w:t>all</w:t>
      </w:r>
      <w:r>
        <w:rPr>
          <w:color w:val="211F1F"/>
          <w:spacing w:val="-8"/>
        </w:rPr>
        <w:t xml:space="preserve"> </w:t>
      </w:r>
      <w:r>
        <w:rPr>
          <w:color w:val="211F1F"/>
        </w:rPr>
        <w:t>won</w:t>
      </w:r>
      <w:r>
        <w:rPr>
          <w:color w:val="211F1F"/>
          <w:spacing w:val="-14"/>
        </w:rPr>
        <w:t xml:space="preserve"> </w:t>
      </w:r>
      <w:r>
        <w:rPr>
          <w:color w:val="211F1F"/>
        </w:rPr>
        <w:t>Lots,</w:t>
      </w:r>
      <w:r>
        <w:rPr>
          <w:color w:val="211F1F"/>
          <w:spacing w:val="-6"/>
        </w:rPr>
        <w:t xml:space="preserve"> </w:t>
      </w:r>
      <w:r>
        <w:rPr>
          <w:color w:val="211F1F"/>
        </w:rPr>
        <w:t>provided</w:t>
      </w:r>
      <w:r>
        <w:rPr>
          <w:color w:val="211F1F"/>
          <w:spacing w:val="-13"/>
        </w:rPr>
        <w:t xml:space="preserve"> </w:t>
      </w:r>
      <w:r>
        <w:rPr>
          <w:color w:val="211F1F"/>
        </w:rPr>
        <w:t>the</w:t>
      </w:r>
      <w:r>
        <w:rPr>
          <w:color w:val="211F1F"/>
          <w:spacing w:val="-14"/>
        </w:rPr>
        <w:t xml:space="preserve"> </w:t>
      </w:r>
      <w:r>
        <w:rPr>
          <w:color w:val="211F1F"/>
        </w:rPr>
        <w:t>tenderer meets the aggregate Eligibility and Qualification Criteria for all the Lots. The tenderer will be awarded the combination</w:t>
      </w:r>
      <w:r>
        <w:rPr>
          <w:color w:val="211F1F"/>
          <w:spacing w:val="-10"/>
        </w:rPr>
        <w:t xml:space="preserve"> </w:t>
      </w:r>
      <w:r>
        <w:rPr>
          <w:color w:val="211F1F"/>
        </w:rPr>
        <w:t>of</w:t>
      </w:r>
      <w:r>
        <w:rPr>
          <w:color w:val="211F1F"/>
          <w:spacing w:val="-13"/>
        </w:rPr>
        <w:t xml:space="preserve"> </w:t>
      </w:r>
      <w:r>
        <w:rPr>
          <w:color w:val="211F1F"/>
        </w:rPr>
        <w:t>Lots</w:t>
      </w:r>
      <w:r>
        <w:rPr>
          <w:color w:val="211F1F"/>
          <w:spacing w:val="-10"/>
        </w:rPr>
        <w:t xml:space="preserve"> </w:t>
      </w:r>
      <w:r>
        <w:rPr>
          <w:color w:val="211F1F"/>
        </w:rPr>
        <w:t>for</w:t>
      </w:r>
      <w:r>
        <w:rPr>
          <w:color w:val="211F1F"/>
          <w:spacing w:val="-8"/>
        </w:rPr>
        <w:t xml:space="preserve"> </w:t>
      </w:r>
      <w:r>
        <w:rPr>
          <w:color w:val="211F1F"/>
        </w:rPr>
        <w:t>which</w:t>
      </w:r>
      <w:r>
        <w:rPr>
          <w:color w:val="211F1F"/>
          <w:spacing w:val="-16"/>
        </w:rPr>
        <w:t xml:space="preserve"> </w:t>
      </w:r>
      <w:r>
        <w:rPr>
          <w:color w:val="211F1F"/>
        </w:rPr>
        <w:t>the</w:t>
      </w:r>
      <w:r>
        <w:rPr>
          <w:color w:val="211F1F"/>
          <w:spacing w:val="-17"/>
        </w:rPr>
        <w:t xml:space="preserve"> </w:t>
      </w:r>
      <w:r>
        <w:rPr>
          <w:color w:val="211F1F"/>
        </w:rPr>
        <w:t>tenderer</w:t>
      </w:r>
      <w:r>
        <w:rPr>
          <w:color w:val="211F1F"/>
          <w:spacing w:val="-7"/>
        </w:rPr>
        <w:t xml:space="preserve"> </w:t>
      </w:r>
      <w:r>
        <w:rPr>
          <w:color w:val="211F1F"/>
        </w:rPr>
        <w:t>qualifies</w:t>
      </w:r>
      <w:r>
        <w:rPr>
          <w:color w:val="211F1F"/>
          <w:spacing w:val="-10"/>
        </w:rPr>
        <w:t xml:space="preserve"> </w:t>
      </w:r>
      <w:r>
        <w:rPr>
          <w:color w:val="211F1F"/>
        </w:rPr>
        <w:t>and</w:t>
      </w:r>
      <w:r>
        <w:rPr>
          <w:color w:val="211F1F"/>
          <w:spacing w:val="-16"/>
        </w:rPr>
        <w:t xml:space="preserve"> </w:t>
      </w:r>
      <w:r>
        <w:rPr>
          <w:color w:val="211F1F"/>
        </w:rPr>
        <w:t>the</w:t>
      </w:r>
      <w:r>
        <w:rPr>
          <w:color w:val="211F1F"/>
          <w:spacing w:val="-13"/>
        </w:rPr>
        <w:t xml:space="preserve"> </w:t>
      </w:r>
      <w:r>
        <w:rPr>
          <w:color w:val="211F1F"/>
        </w:rPr>
        <w:t>others</w:t>
      </w:r>
      <w:r>
        <w:rPr>
          <w:color w:val="211F1F"/>
          <w:spacing w:val="-10"/>
        </w:rPr>
        <w:t xml:space="preserve"> </w:t>
      </w:r>
      <w:r>
        <w:rPr>
          <w:color w:val="211F1F"/>
        </w:rPr>
        <w:t>will</w:t>
      </w:r>
      <w:r>
        <w:rPr>
          <w:color w:val="211F1F"/>
          <w:spacing w:val="-15"/>
        </w:rPr>
        <w:t xml:space="preserve"> </w:t>
      </w:r>
      <w:r>
        <w:rPr>
          <w:color w:val="211F1F"/>
        </w:rPr>
        <w:t>be</w:t>
      </w:r>
      <w:r>
        <w:rPr>
          <w:color w:val="211F1F"/>
          <w:spacing w:val="-17"/>
        </w:rPr>
        <w:t xml:space="preserve"> </w:t>
      </w:r>
      <w:r>
        <w:rPr>
          <w:color w:val="211F1F"/>
        </w:rPr>
        <w:t>considered</w:t>
      </w:r>
      <w:r>
        <w:rPr>
          <w:color w:val="211F1F"/>
          <w:spacing w:val="-15"/>
        </w:rPr>
        <w:t xml:space="preserve"> </w:t>
      </w:r>
      <w:r>
        <w:rPr>
          <w:color w:val="211F1F"/>
        </w:rPr>
        <w:t>for</w:t>
      </w:r>
      <w:r>
        <w:rPr>
          <w:color w:val="211F1F"/>
          <w:spacing w:val="-7"/>
        </w:rPr>
        <w:t xml:space="preserve"> </w:t>
      </w:r>
      <w:r>
        <w:rPr>
          <w:color w:val="211F1F"/>
        </w:rPr>
        <w:t>award</w:t>
      </w:r>
      <w:r>
        <w:rPr>
          <w:color w:val="211F1F"/>
          <w:spacing w:val="-16"/>
        </w:rPr>
        <w:t xml:space="preserve"> </w:t>
      </w:r>
      <w:r>
        <w:rPr>
          <w:color w:val="211F1F"/>
        </w:rPr>
        <w:t>to</w:t>
      </w:r>
      <w:r>
        <w:rPr>
          <w:color w:val="211F1F"/>
          <w:spacing w:val="-16"/>
        </w:rPr>
        <w:t xml:space="preserve"> </w:t>
      </w:r>
      <w:r>
        <w:rPr>
          <w:color w:val="211F1F"/>
        </w:rPr>
        <w:t>second</w:t>
      </w:r>
      <w:r>
        <w:rPr>
          <w:color w:val="211F1F"/>
          <w:spacing w:val="-15"/>
        </w:rPr>
        <w:t xml:space="preserve"> </w:t>
      </w:r>
      <w:r>
        <w:rPr>
          <w:color w:val="211F1F"/>
        </w:rPr>
        <w:t>lowest</w:t>
      </w:r>
    </w:p>
    <w:p w14:paraId="2E356C7C" w14:textId="77777777" w:rsidR="00BB77C0" w:rsidRDefault="00BB77C0">
      <w:pPr>
        <w:pStyle w:val="ListParagraph"/>
        <w:spacing w:line="230" w:lineRule="auto"/>
        <w:jc w:val="both"/>
        <w:sectPr w:rsidR="00BB77C0">
          <w:pgSz w:w="11920" w:h="16850"/>
          <w:pgMar w:top="0" w:right="360" w:bottom="0" w:left="720" w:header="720" w:footer="720" w:gutter="0"/>
          <w:cols w:space="720"/>
        </w:sectPr>
      </w:pPr>
    </w:p>
    <w:p w14:paraId="528F9D66" w14:textId="77777777" w:rsidR="00BB77C0" w:rsidRDefault="00370BAA">
      <w:pPr>
        <w:pStyle w:val="BodyText"/>
      </w:pPr>
      <w:r>
        <w:rPr>
          <w:noProof/>
        </w:rPr>
        <w:lastRenderedPageBreak/>
        <mc:AlternateContent>
          <mc:Choice Requires="wpg">
            <w:drawing>
              <wp:anchor distT="0" distB="0" distL="0" distR="0" simplePos="0" relativeHeight="15730688" behindDoc="0" locked="0" layoutInCell="1" allowOverlap="1" wp14:anchorId="5C52374E" wp14:editId="59209E0D">
                <wp:simplePos x="0" y="0"/>
                <wp:positionH relativeFrom="page">
                  <wp:posOffset>0</wp:posOffset>
                </wp:positionH>
                <wp:positionV relativeFrom="page">
                  <wp:posOffset>0</wp:posOffset>
                </wp:positionV>
                <wp:extent cx="7559675" cy="228600"/>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675" cy="228600"/>
                          <a:chOff x="0" y="0"/>
                          <a:chExt cx="7559675" cy="228600"/>
                        </a:xfrm>
                      </wpg:grpSpPr>
                      <wps:wsp>
                        <wps:cNvPr id="15" name="Graphic 15"/>
                        <wps:cNvSpPr/>
                        <wps:spPr>
                          <a:xfrm>
                            <a:off x="848283" y="0"/>
                            <a:ext cx="6711950" cy="228600"/>
                          </a:xfrm>
                          <a:custGeom>
                            <a:avLst/>
                            <a:gdLst/>
                            <a:ahLst/>
                            <a:cxnLst/>
                            <a:rect l="l" t="t" r="r" b="b"/>
                            <a:pathLst>
                              <a:path w="6711950" h="228600">
                                <a:moveTo>
                                  <a:pt x="6711391" y="0"/>
                                </a:moveTo>
                                <a:lnTo>
                                  <a:pt x="0" y="0"/>
                                </a:lnTo>
                                <a:lnTo>
                                  <a:pt x="184137" y="228600"/>
                                </a:lnTo>
                                <a:lnTo>
                                  <a:pt x="6711391" y="223520"/>
                                </a:lnTo>
                                <a:lnTo>
                                  <a:pt x="6711391" y="0"/>
                                </a:lnTo>
                                <a:close/>
                              </a:path>
                            </a:pathLst>
                          </a:custGeom>
                          <a:solidFill>
                            <a:srgbClr val="E6E7E8"/>
                          </a:solidFill>
                        </wps:spPr>
                        <wps:bodyPr wrap="square" lIns="0" tIns="0" rIns="0" bIns="0" rtlCol="0">
                          <a:prstTxWarp prst="textNoShape">
                            <a:avLst/>
                          </a:prstTxWarp>
                          <a:noAutofit/>
                        </wps:bodyPr>
                      </wps:wsp>
                      <wps:wsp>
                        <wps:cNvPr id="16" name="Graphic 16"/>
                        <wps:cNvSpPr/>
                        <wps:spPr>
                          <a:xfrm>
                            <a:off x="0" y="0"/>
                            <a:ext cx="655955" cy="228600"/>
                          </a:xfrm>
                          <a:custGeom>
                            <a:avLst/>
                            <a:gdLst/>
                            <a:ahLst/>
                            <a:cxnLst/>
                            <a:rect l="l" t="t" r="r" b="b"/>
                            <a:pathLst>
                              <a:path w="655955" h="228600">
                                <a:moveTo>
                                  <a:pt x="530174" y="0"/>
                                </a:moveTo>
                                <a:lnTo>
                                  <a:pt x="0" y="0"/>
                                </a:lnTo>
                                <a:lnTo>
                                  <a:pt x="0" y="228600"/>
                                </a:lnTo>
                                <a:lnTo>
                                  <a:pt x="655904" y="228600"/>
                                </a:lnTo>
                                <a:lnTo>
                                  <a:pt x="530174" y="0"/>
                                </a:lnTo>
                                <a:close/>
                              </a:path>
                            </a:pathLst>
                          </a:custGeom>
                          <a:solidFill>
                            <a:srgbClr val="00A650"/>
                          </a:solidFill>
                        </wps:spPr>
                        <wps:bodyPr wrap="square" lIns="0" tIns="0" rIns="0" bIns="0" rtlCol="0">
                          <a:prstTxWarp prst="textNoShape">
                            <a:avLst/>
                          </a:prstTxWarp>
                          <a:noAutofit/>
                        </wps:bodyPr>
                      </wps:wsp>
                      <wps:wsp>
                        <wps:cNvPr id="17" name="Graphic 17"/>
                        <wps:cNvSpPr/>
                        <wps:spPr>
                          <a:xfrm>
                            <a:off x="554304" y="0"/>
                            <a:ext cx="329565" cy="228600"/>
                          </a:xfrm>
                          <a:custGeom>
                            <a:avLst/>
                            <a:gdLst/>
                            <a:ahLst/>
                            <a:cxnLst/>
                            <a:rect l="l" t="t" r="r" b="b"/>
                            <a:pathLst>
                              <a:path w="329565" h="228600">
                                <a:moveTo>
                                  <a:pt x="203822" y="0"/>
                                </a:moveTo>
                                <a:lnTo>
                                  <a:pt x="0" y="0"/>
                                </a:lnTo>
                                <a:lnTo>
                                  <a:pt x="128904" y="228600"/>
                                </a:lnTo>
                                <a:lnTo>
                                  <a:pt x="329539" y="228600"/>
                                </a:lnTo>
                                <a:lnTo>
                                  <a:pt x="203822" y="0"/>
                                </a:lnTo>
                                <a:close/>
                              </a:path>
                            </a:pathLst>
                          </a:custGeom>
                          <a:solidFill>
                            <a:srgbClr val="EB1C22"/>
                          </a:solidFill>
                        </wps:spPr>
                        <wps:bodyPr wrap="square" lIns="0" tIns="0" rIns="0" bIns="0" rtlCol="0">
                          <a:prstTxWarp prst="textNoShape">
                            <a:avLst/>
                          </a:prstTxWarp>
                          <a:noAutofit/>
                        </wps:bodyPr>
                      </wps:wsp>
                      <wps:wsp>
                        <wps:cNvPr id="18" name="Graphic 18"/>
                        <wps:cNvSpPr/>
                        <wps:spPr>
                          <a:xfrm>
                            <a:off x="783526" y="0"/>
                            <a:ext cx="329565" cy="228600"/>
                          </a:xfrm>
                          <a:custGeom>
                            <a:avLst/>
                            <a:gdLst/>
                            <a:ahLst/>
                            <a:cxnLst/>
                            <a:rect l="l" t="t" r="r" b="b"/>
                            <a:pathLst>
                              <a:path w="329565" h="228600">
                                <a:moveTo>
                                  <a:pt x="203822" y="0"/>
                                </a:moveTo>
                                <a:lnTo>
                                  <a:pt x="0" y="0"/>
                                </a:lnTo>
                                <a:lnTo>
                                  <a:pt x="128879" y="228600"/>
                                </a:lnTo>
                                <a:lnTo>
                                  <a:pt x="329539" y="228600"/>
                                </a:lnTo>
                                <a:lnTo>
                                  <a:pt x="203822" y="0"/>
                                </a:lnTo>
                                <a:close/>
                              </a:path>
                            </a:pathLst>
                          </a:custGeom>
                          <a:solidFill>
                            <a:srgbClr val="A7A9AC"/>
                          </a:solidFill>
                        </wps:spPr>
                        <wps:bodyPr wrap="square" lIns="0" tIns="0" rIns="0" bIns="0" rtlCol="0">
                          <a:prstTxWarp prst="textNoShape">
                            <a:avLst/>
                          </a:prstTxWarp>
                          <a:noAutofit/>
                        </wps:bodyPr>
                      </wps:wsp>
                    </wpg:wgp>
                  </a:graphicData>
                </a:graphic>
              </wp:anchor>
            </w:drawing>
          </mc:Choice>
          <mc:Fallback>
            <w:pict>
              <v:group w14:anchorId="116A48A6" id="Group 14" o:spid="_x0000_s1026" style="position:absolute;margin-left:0;margin-top:0;width:595.25pt;height:18pt;z-index:15730688;mso-wrap-distance-left:0;mso-wrap-distance-right:0;mso-position-horizontal-relative:page;mso-position-vertical-relative:page" coordsize="75596,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">
                <v:shape id="Graphic 15" o:spid="_x0000_s1027" style="position:absolute;left:8482;width:67120;height:2286;visibility:visible;mso-wrap-style:square;v-text-anchor:top" coordsize="67119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" path="m6711391,l,,184137,228600r6527254,-5080l6711391,xe" fillcolor="#e6e7e8" stroked="f">
                  <v:path arrowok="t"/>
                </v:shape>
                <v:shape id="Graphic 16" o:spid="_x0000_s1028" style="position:absolute;width:6559;height:2286;visibility:visible;mso-wrap-style:square;v-text-anchor:top" coordsize="65595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" path="m530174,l,,,228600r655904,l530174,xe" fillcolor="#00a650" stroked="f">
                  <v:path arrowok="t"/>
                </v:shape>
                <v:shape id="Graphic 17" o:spid="_x0000_s1029" style="position:absolute;left:5543;width:3295;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" path="m203822,l,,128904,228600r200635,l203822,xe" fillcolor="#eb1c22" stroked="f">
                  <v:path arrowok="t"/>
                </v:shape>
                <v:shape id="Graphic 18" o:spid="_x0000_s1030" style="position:absolute;left:7835;width:3295;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" path="m203822,l,,128879,228600r200660,l203822,xe" fillcolor="#a7a9ac" stroked="f">
                  <v:path arrowok="t"/>
                </v:shape>
                <w10:wrap anchorx="page" anchory="page"/>
              </v:group>
            </w:pict>
          </mc:Fallback>
        </mc:AlternateContent>
      </w:r>
      <w:r>
        <w:rPr>
          <w:noProof/>
        </w:rPr>
        <mc:AlternateContent>
          <mc:Choice Requires="wpg">
            <w:drawing>
              <wp:anchor distT="0" distB="0" distL="0" distR="0" simplePos="0" relativeHeight="15731200" behindDoc="0" locked="0" layoutInCell="1" allowOverlap="1" wp14:anchorId="535C3615" wp14:editId="1393A9E9">
                <wp:simplePos x="0" y="0"/>
                <wp:positionH relativeFrom="page">
                  <wp:posOffset>0</wp:posOffset>
                </wp:positionH>
                <wp:positionV relativeFrom="page">
                  <wp:posOffset>10234295</wp:posOffset>
                </wp:positionV>
                <wp:extent cx="7559675" cy="457200"/>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675" cy="457200"/>
                          <a:chOff x="0" y="0"/>
                          <a:chExt cx="7559675" cy="457200"/>
                        </a:xfrm>
                      </wpg:grpSpPr>
                      <wps:wsp>
                        <wps:cNvPr id="20" name="Graphic 20"/>
                        <wps:cNvSpPr/>
                        <wps:spPr>
                          <a:xfrm>
                            <a:off x="0" y="5714"/>
                            <a:ext cx="1021080" cy="451484"/>
                          </a:xfrm>
                          <a:custGeom>
                            <a:avLst/>
                            <a:gdLst/>
                            <a:ahLst/>
                            <a:cxnLst/>
                            <a:rect l="l" t="t" r="r" b="b"/>
                            <a:pathLst>
                              <a:path w="1021080" h="451484">
                                <a:moveTo>
                                  <a:pt x="1020991" y="0"/>
                                </a:moveTo>
                                <a:lnTo>
                                  <a:pt x="0" y="0"/>
                                </a:lnTo>
                                <a:lnTo>
                                  <a:pt x="0" y="451483"/>
                                </a:lnTo>
                                <a:lnTo>
                                  <a:pt x="795591" y="451483"/>
                                </a:lnTo>
                                <a:lnTo>
                                  <a:pt x="1020991" y="0"/>
                                </a:lnTo>
                                <a:close/>
                              </a:path>
                            </a:pathLst>
                          </a:custGeom>
                          <a:solidFill>
                            <a:srgbClr val="CCE7D2"/>
                          </a:solidFill>
                        </wps:spPr>
                        <wps:bodyPr wrap="square" lIns="0" tIns="0" rIns="0" bIns="0" rtlCol="0">
                          <a:prstTxWarp prst="textNoShape">
                            <a:avLst/>
                          </a:prstTxWarp>
                          <a:noAutofit/>
                        </wps:bodyPr>
                      </wps:wsp>
                      <wps:wsp>
                        <wps:cNvPr id="21" name="Graphic 21"/>
                        <wps:cNvSpPr/>
                        <wps:spPr>
                          <a:xfrm>
                            <a:off x="0" y="6350"/>
                            <a:ext cx="7559675" cy="1270"/>
                          </a:xfrm>
                          <a:custGeom>
                            <a:avLst/>
                            <a:gdLst/>
                            <a:ahLst/>
                            <a:cxnLst/>
                            <a:rect l="l" t="t" r="r" b="b"/>
                            <a:pathLst>
                              <a:path w="7559675">
                                <a:moveTo>
                                  <a:pt x="0" y="0"/>
                                </a:moveTo>
                                <a:lnTo>
                                  <a:pt x="7559675" y="0"/>
                                </a:lnTo>
                              </a:path>
                            </a:pathLst>
                          </a:custGeom>
                          <a:ln w="12700">
                            <a:solidFill>
                              <a:srgbClr val="CCE7D2"/>
                            </a:solidFill>
                            <a:prstDash val="solid"/>
                          </a:ln>
                        </wps:spPr>
                        <wps:bodyPr wrap="square" lIns="0" tIns="0" rIns="0" bIns="0" rtlCol="0">
                          <a:prstTxWarp prst="textNoShape">
                            <a:avLst/>
                          </a:prstTxWarp>
                          <a:noAutofit/>
                        </wps:bodyPr>
                      </wps:wsp>
                      <wps:wsp>
                        <wps:cNvPr id="22" name="Textbox 22"/>
                        <wps:cNvSpPr txBox="1"/>
                        <wps:spPr>
                          <a:xfrm>
                            <a:off x="530656" y="68873"/>
                            <a:ext cx="150495" cy="146685"/>
                          </a:xfrm>
                          <a:prstGeom prst="rect">
                            <a:avLst/>
                          </a:prstGeom>
                        </wps:spPr>
                        <wps:txbx>
                          <w:txbxContent>
                            <w:p w14:paraId="7DE4D953" w14:textId="77777777" w:rsidR="00BB77C0" w:rsidRDefault="00370BAA">
                              <w:pPr>
                                <w:spacing w:line="230" w:lineRule="exact"/>
                                <w:rPr>
                                  <w:rFonts w:ascii="Corbel"/>
                                  <w:sz w:val="23"/>
                                </w:rPr>
                              </w:pPr>
                              <w:r>
                                <w:rPr>
                                  <w:rFonts w:ascii="Corbel"/>
                                  <w:color w:val="211F1F"/>
                                  <w:spacing w:val="-5"/>
                                  <w:sz w:val="23"/>
                                </w:rPr>
                                <w:t>23</w:t>
                              </w:r>
                            </w:p>
                          </w:txbxContent>
                        </wps:txbx>
                        <wps:bodyPr wrap="square" lIns="0" tIns="0" rIns="0" bIns="0" rtlCol="0">
                          <a:noAutofit/>
                        </wps:bodyPr>
                      </wps:wsp>
                    </wpg:wgp>
                  </a:graphicData>
                </a:graphic>
              </wp:anchor>
            </w:drawing>
          </mc:Choice>
          <mc:Fallback>
            <w:pict>
              <v:group w14:anchorId="535C3615" id="Group 19" o:spid="_x0000_s1031" style="position:absolute;margin-left:0;margin-top:805.85pt;width:595.25pt;height:36pt;z-index:15731200;mso-wrap-distance-left:0;mso-wrap-distance-right:0;mso-position-horizontal-relative:page;mso-position-vertical-relative:page" coordsize="75596,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">
                <v:shape id="Graphic 20" o:spid="_x0000_s1032" style="position:absolute;top:57;width:10210;height:4514;visibility:visible;mso-wrap-style:square;v-text-anchor:top" coordsize="1021080,4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" path="m1020991,l,,,451483r795591,l1020991,xe" fillcolor="#cce7d2" stroked="f">
                  <v:path arrowok="t"/>
                </v:shape>
                <v:shape id="Graphic 21" o:spid="_x0000_s1033" style="position:absolute;top:63;width:75596;height:13;visibility:visible;mso-wrap-style:square;v-text-anchor:top" coordsize="75596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" path="m,l7559675,e" filled="f" strokecolor="#cce7d2" strokeweight="1pt">
                  <v:path arrowok="t"/>
                </v:shape>
                <v:shape id="Textbox 22" o:spid="_x0000_s1034" type="#_x0000_t202" style="position:absolute;left:5306;top:688;width:1505;height:1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7DE4D953" w14:textId="77777777" w:rsidR="00BB77C0" w:rsidRDefault="00370BAA">
                        <w:pPr>
                          <w:spacing w:line="230" w:lineRule="exact"/>
                          <w:rPr>
                            <w:rFonts w:ascii="Corbel"/>
                            <w:sz w:val="23"/>
                          </w:rPr>
                        </w:pPr>
                        <w:r>
                          <w:rPr>
                            <w:rFonts w:ascii="Corbel"/>
                            <w:color w:val="211F1F"/>
                            <w:spacing w:val="-5"/>
                            <w:sz w:val="23"/>
                          </w:rPr>
                          <w:t>23</w:t>
                        </w:r>
                      </w:p>
                    </w:txbxContent>
                  </v:textbox>
                </v:shape>
                <w10:wrap anchorx="page" anchory="page"/>
              </v:group>
            </w:pict>
          </mc:Fallback>
        </mc:AlternateContent>
      </w:r>
    </w:p>
    <w:p w14:paraId="6A962F6A" w14:textId="77777777" w:rsidR="00BB77C0" w:rsidRDefault="00BB77C0">
      <w:pPr>
        <w:pStyle w:val="BodyText"/>
        <w:spacing w:before="101"/>
      </w:pPr>
    </w:p>
    <w:p w14:paraId="1EA5DBCA" w14:textId="77777777" w:rsidR="00BB77C0" w:rsidRDefault="00370BAA">
      <w:pPr>
        <w:pStyle w:val="BodyText"/>
        <w:spacing w:before="1"/>
        <w:ind w:left="696"/>
        <w:jc w:val="both"/>
      </w:pPr>
      <w:r>
        <w:rPr>
          <w:color w:val="211F1F"/>
        </w:rPr>
        <w:t>the</w:t>
      </w:r>
      <w:r>
        <w:rPr>
          <w:color w:val="211F1F"/>
          <w:spacing w:val="-29"/>
        </w:rPr>
        <w:t xml:space="preserve"> </w:t>
      </w:r>
      <w:r>
        <w:rPr>
          <w:color w:val="211F1F"/>
          <w:spacing w:val="-2"/>
        </w:rPr>
        <w:t>tenderers.</w:t>
      </w:r>
    </w:p>
    <w:p w14:paraId="5BED8589" w14:textId="77777777" w:rsidR="00BB77C0" w:rsidRDefault="00370BAA">
      <w:pPr>
        <w:spacing w:before="236"/>
        <w:ind w:left="696"/>
        <w:jc w:val="both"/>
        <w:rPr>
          <w:b/>
        </w:rPr>
      </w:pPr>
      <w:r>
        <w:rPr>
          <w:b/>
          <w:color w:val="211F1F"/>
          <w:u w:val="single" w:color="211F1F"/>
        </w:rPr>
        <w:t>OPTION</w:t>
      </w:r>
      <w:r>
        <w:rPr>
          <w:b/>
          <w:color w:val="211F1F"/>
          <w:spacing w:val="-7"/>
          <w:u w:val="single" w:color="211F1F"/>
        </w:rPr>
        <w:t xml:space="preserve"> </w:t>
      </w:r>
      <w:r>
        <w:rPr>
          <w:b/>
          <w:color w:val="211F1F"/>
          <w:spacing w:val="-10"/>
          <w:u w:val="single" w:color="211F1F"/>
        </w:rPr>
        <w:t>2</w:t>
      </w:r>
    </w:p>
    <w:p w14:paraId="4228B89A" w14:textId="77777777" w:rsidR="00BB77C0" w:rsidRDefault="00370BAA">
      <w:pPr>
        <w:pStyle w:val="BodyText"/>
        <w:spacing w:before="240" w:line="230" w:lineRule="auto"/>
        <w:ind w:left="701" w:right="347" w:hanging="5"/>
        <w:jc w:val="both"/>
      </w:pPr>
      <w:r>
        <w:rPr>
          <w:color w:val="211F1F"/>
        </w:rPr>
        <w:t>The Procuring Entity will consider all possible combinations of won Lots [contract(s)] and determine the combinations with</w:t>
      </w:r>
      <w:r>
        <w:rPr>
          <w:color w:val="211F1F"/>
          <w:spacing w:val="-1"/>
        </w:rPr>
        <w:t xml:space="preserve"> </w:t>
      </w:r>
      <w:r>
        <w:rPr>
          <w:color w:val="211F1F"/>
        </w:rPr>
        <w:t>the</w:t>
      </w:r>
      <w:r>
        <w:rPr>
          <w:color w:val="211F1F"/>
          <w:spacing w:val="-8"/>
        </w:rPr>
        <w:t xml:space="preserve"> </w:t>
      </w:r>
      <w:r>
        <w:rPr>
          <w:color w:val="211F1F"/>
        </w:rPr>
        <w:t>lowest evaluated</w:t>
      </w:r>
      <w:r>
        <w:rPr>
          <w:color w:val="211F1F"/>
          <w:spacing w:val="-5"/>
        </w:rPr>
        <w:t xml:space="preserve"> </w:t>
      </w:r>
      <w:r>
        <w:rPr>
          <w:color w:val="211F1F"/>
        </w:rPr>
        <w:t>price.</w:t>
      </w:r>
      <w:r>
        <w:rPr>
          <w:color w:val="211F1F"/>
          <w:spacing w:val="-4"/>
        </w:rPr>
        <w:t xml:space="preserve"> </w:t>
      </w:r>
      <w:r>
        <w:rPr>
          <w:color w:val="211F1F"/>
        </w:rPr>
        <w:t>Tenders</w:t>
      </w:r>
      <w:r>
        <w:rPr>
          <w:color w:val="211F1F"/>
          <w:spacing w:val="-6"/>
        </w:rPr>
        <w:t xml:space="preserve"> </w:t>
      </w:r>
      <w:r>
        <w:rPr>
          <w:color w:val="211F1F"/>
        </w:rPr>
        <w:t>will</w:t>
      </w:r>
      <w:r>
        <w:rPr>
          <w:color w:val="211F1F"/>
          <w:spacing w:val="-5"/>
        </w:rPr>
        <w:t xml:space="preserve"> </w:t>
      </w:r>
      <w:r>
        <w:rPr>
          <w:color w:val="211F1F"/>
        </w:rPr>
        <w:t>then</w:t>
      </w:r>
      <w:r>
        <w:rPr>
          <w:color w:val="211F1F"/>
          <w:spacing w:val="-7"/>
        </w:rPr>
        <w:t xml:space="preserve"> </w:t>
      </w:r>
      <w:r>
        <w:rPr>
          <w:color w:val="211F1F"/>
        </w:rPr>
        <w:t>be</w:t>
      </w:r>
      <w:r>
        <w:rPr>
          <w:color w:val="211F1F"/>
          <w:spacing w:val="-4"/>
        </w:rPr>
        <w:t xml:space="preserve"> </w:t>
      </w:r>
      <w:r>
        <w:rPr>
          <w:color w:val="211F1F"/>
        </w:rPr>
        <w:t>awarded</w:t>
      </w:r>
      <w:r>
        <w:rPr>
          <w:color w:val="211F1F"/>
          <w:spacing w:val="-6"/>
        </w:rPr>
        <w:t xml:space="preserve"> </w:t>
      </w:r>
      <w:r>
        <w:rPr>
          <w:color w:val="211F1F"/>
        </w:rPr>
        <w:t>to</w:t>
      </w:r>
      <w:r>
        <w:rPr>
          <w:color w:val="211F1F"/>
          <w:spacing w:val="-2"/>
        </w:rPr>
        <w:t xml:space="preserve"> </w:t>
      </w:r>
      <w:r>
        <w:rPr>
          <w:color w:val="211F1F"/>
        </w:rPr>
        <w:t>the</w:t>
      </w:r>
      <w:r>
        <w:rPr>
          <w:color w:val="211F1F"/>
          <w:spacing w:val="-13"/>
        </w:rPr>
        <w:t xml:space="preserve"> </w:t>
      </w:r>
      <w:r>
        <w:rPr>
          <w:color w:val="211F1F"/>
        </w:rPr>
        <w:t>Tenderer or</w:t>
      </w:r>
      <w:r>
        <w:rPr>
          <w:color w:val="211F1F"/>
          <w:spacing w:val="-8"/>
        </w:rPr>
        <w:t xml:space="preserve"> </w:t>
      </w:r>
      <w:r>
        <w:rPr>
          <w:color w:val="211F1F"/>
        </w:rPr>
        <w:t>Tenderers in</w:t>
      </w:r>
      <w:r>
        <w:rPr>
          <w:color w:val="211F1F"/>
          <w:spacing w:val="-2"/>
        </w:rPr>
        <w:t xml:space="preserve"> </w:t>
      </w:r>
      <w:r>
        <w:rPr>
          <w:color w:val="211F1F"/>
        </w:rPr>
        <w:t xml:space="preserve">the combinations provided the tenderer meets the aggregate Eligibility and Qualification Criteria for all the won </w:t>
      </w:r>
      <w:r>
        <w:rPr>
          <w:color w:val="211F1F"/>
          <w:spacing w:val="-2"/>
        </w:rPr>
        <w:t>Lots.</w:t>
      </w:r>
    </w:p>
    <w:p w14:paraId="2F3ED200" w14:textId="77777777" w:rsidR="00BB77C0" w:rsidRDefault="00370BAA">
      <w:pPr>
        <w:pStyle w:val="Heading7"/>
        <w:numPr>
          <w:ilvl w:val="0"/>
          <w:numId w:val="68"/>
        </w:numPr>
        <w:tabs>
          <w:tab w:val="left" w:pos="696"/>
        </w:tabs>
        <w:spacing w:before="240"/>
        <w:ind w:left="696" w:hanging="566"/>
        <w:jc w:val="left"/>
        <w:rPr>
          <w:color w:val="211F1F"/>
        </w:rPr>
      </w:pPr>
      <w:bookmarkStart w:id="129" w:name="5._Alternative_Tenders_(ITT_13.1)"/>
      <w:bookmarkEnd w:id="129"/>
      <w:r>
        <w:rPr>
          <w:color w:val="211F1F"/>
          <w:spacing w:val="-4"/>
        </w:rPr>
        <w:t>Alternative</w:t>
      </w:r>
      <w:r>
        <w:rPr>
          <w:color w:val="211F1F"/>
          <w:spacing w:val="-15"/>
        </w:rPr>
        <w:t xml:space="preserve"> </w:t>
      </w:r>
      <w:r>
        <w:rPr>
          <w:color w:val="211F1F"/>
          <w:spacing w:val="-4"/>
        </w:rPr>
        <w:t>Tenders</w:t>
      </w:r>
      <w:r>
        <w:rPr>
          <w:color w:val="211F1F"/>
          <w:spacing w:val="-11"/>
        </w:rPr>
        <w:t xml:space="preserve"> </w:t>
      </w:r>
      <w:r>
        <w:rPr>
          <w:color w:val="211F1F"/>
          <w:spacing w:val="-4"/>
        </w:rPr>
        <w:t>(ITT</w:t>
      </w:r>
      <w:r>
        <w:rPr>
          <w:color w:val="211F1F"/>
          <w:spacing w:val="-15"/>
        </w:rPr>
        <w:t xml:space="preserve"> </w:t>
      </w:r>
      <w:r>
        <w:rPr>
          <w:color w:val="211F1F"/>
          <w:spacing w:val="-4"/>
        </w:rPr>
        <w:t>13.1)</w:t>
      </w:r>
    </w:p>
    <w:p w14:paraId="180B0C9D" w14:textId="77777777" w:rsidR="00BB77C0" w:rsidRDefault="00370BAA">
      <w:pPr>
        <w:spacing w:before="227"/>
        <w:ind w:left="696"/>
        <w:jc w:val="both"/>
        <w:rPr>
          <w:i/>
        </w:rPr>
      </w:pPr>
      <w:r>
        <w:rPr>
          <w:i/>
          <w:color w:val="211F1F"/>
        </w:rPr>
        <w:t>An</w:t>
      </w:r>
      <w:r>
        <w:rPr>
          <w:i/>
          <w:color w:val="211F1F"/>
          <w:spacing w:val="-10"/>
        </w:rPr>
        <w:t xml:space="preserve"> </w:t>
      </w:r>
      <w:r>
        <w:rPr>
          <w:i/>
          <w:color w:val="211F1F"/>
        </w:rPr>
        <w:t>alternative</w:t>
      </w:r>
      <w:r>
        <w:rPr>
          <w:i/>
          <w:color w:val="211F1F"/>
          <w:spacing w:val="-8"/>
        </w:rPr>
        <w:t xml:space="preserve"> </w:t>
      </w:r>
      <w:r>
        <w:rPr>
          <w:i/>
          <w:color w:val="211F1F"/>
        </w:rPr>
        <w:t>if</w:t>
      </w:r>
      <w:r>
        <w:rPr>
          <w:i/>
          <w:color w:val="211F1F"/>
          <w:spacing w:val="-6"/>
        </w:rPr>
        <w:t xml:space="preserve"> </w:t>
      </w:r>
      <w:r>
        <w:rPr>
          <w:i/>
          <w:color w:val="211F1F"/>
        </w:rPr>
        <w:t>permitted</w:t>
      </w:r>
      <w:r>
        <w:rPr>
          <w:i/>
          <w:color w:val="211F1F"/>
          <w:spacing w:val="-11"/>
        </w:rPr>
        <w:t xml:space="preserve"> </w:t>
      </w:r>
      <w:r>
        <w:rPr>
          <w:i/>
          <w:color w:val="211F1F"/>
        </w:rPr>
        <w:t>under</w:t>
      </w:r>
      <w:r>
        <w:rPr>
          <w:i/>
          <w:color w:val="211F1F"/>
          <w:spacing w:val="-6"/>
        </w:rPr>
        <w:t xml:space="preserve"> </w:t>
      </w:r>
      <w:r>
        <w:rPr>
          <w:i/>
          <w:color w:val="211F1F"/>
        </w:rPr>
        <w:t>ITT</w:t>
      </w:r>
      <w:r>
        <w:rPr>
          <w:i/>
          <w:color w:val="211F1F"/>
          <w:spacing w:val="-6"/>
        </w:rPr>
        <w:t xml:space="preserve"> </w:t>
      </w:r>
      <w:r>
        <w:rPr>
          <w:i/>
          <w:color w:val="211F1F"/>
        </w:rPr>
        <w:t>13.1,</w:t>
      </w:r>
      <w:r>
        <w:rPr>
          <w:i/>
          <w:color w:val="211F1F"/>
          <w:spacing w:val="-4"/>
        </w:rPr>
        <w:t xml:space="preserve"> </w:t>
      </w:r>
      <w:r>
        <w:rPr>
          <w:i/>
          <w:color w:val="211F1F"/>
        </w:rPr>
        <w:t>will</w:t>
      </w:r>
      <w:r>
        <w:rPr>
          <w:i/>
          <w:color w:val="211F1F"/>
          <w:spacing w:val="-1"/>
        </w:rPr>
        <w:t xml:space="preserve"> </w:t>
      </w:r>
      <w:r>
        <w:rPr>
          <w:i/>
          <w:color w:val="211F1F"/>
        </w:rPr>
        <w:t>be</w:t>
      </w:r>
      <w:r>
        <w:rPr>
          <w:i/>
          <w:color w:val="211F1F"/>
          <w:spacing w:val="-9"/>
        </w:rPr>
        <w:t xml:space="preserve"> </w:t>
      </w:r>
      <w:r>
        <w:rPr>
          <w:i/>
          <w:color w:val="211F1F"/>
        </w:rPr>
        <w:t>evaluated</w:t>
      </w:r>
      <w:r>
        <w:rPr>
          <w:i/>
          <w:color w:val="211F1F"/>
          <w:spacing w:val="-7"/>
        </w:rPr>
        <w:t xml:space="preserve"> </w:t>
      </w:r>
      <w:r>
        <w:rPr>
          <w:i/>
          <w:color w:val="211F1F"/>
        </w:rPr>
        <w:t>as</w:t>
      </w:r>
      <w:r>
        <w:rPr>
          <w:i/>
          <w:color w:val="211F1F"/>
          <w:spacing w:val="-10"/>
        </w:rPr>
        <w:t xml:space="preserve"> </w:t>
      </w:r>
      <w:r>
        <w:rPr>
          <w:i/>
          <w:color w:val="211F1F"/>
          <w:spacing w:val="-2"/>
        </w:rPr>
        <w:t>follows:</w:t>
      </w:r>
    </w:p>
    <w:p w14:paraId="7AEFA8DD" w14:textId="77777777" w:rsidR="00BB77C0" w:rsidRDefault="00370BAA">
      <w:pPr>
        <w:pStyle w:val="BodyText"/>
        <w:spacing w:before="245" w:line="230" w:lineRule="auto"/>
        <w:ind w:left="701" w:right="351" w:hanging="5"/>
        <w:jc w:val="both"/>
      </w:pPr>
      <w:r>
        <w:rPr>
          <w:color w:val="211F1F"/>
        </w:rPr>
        <w:t>The</w:t>
      </w:r>
      <w:r>
        <w:rPr>
          <w:color w:val="211F1F"/>
          <w:spacing w:val="-14"/>
        </w:rPr>
        <w:t xml:space="preserve"> </w:t>
      </w:r>
      <w:r>
        <w:rPr>
          <w:color w:val="211F1F"/>
        </w:rPr>
        <w:t>Procuring</w:t>
      </w:r>
      <w:r>
        <w:rPr>
          <w:color w:val="211F1F"/>
          <w:spacing w:val="-13"/>
        </w:rPr>
        <w:t xml:space="preserve"> </w:t>
      </w:r>
      <w:r>
        <w:rPr>
          <w:color w:val="211F1F"/>
        </w:rPr>
        <w:t>Entity</w:t>
      </w:r>
      <w:r>
        <w:rPr>
          <w:color w:val="211F1F"/>
          <w:spacing w:val="-14"/>
        </w:rPr>
        <w:t xml:space="preserve"> </w:t>
      </w:r>
      <w:r>
        <w:rPr>
          <w:color w:val="211F1F"/>
        </w:rPr>
        <w:t>shall</w:t>
      </w:r>
      <w:r>
        <w:rPr>
          <w:color w:val="211F1F"/>
          <w:spacing w:val="-9"/>
        </w:rPr>
        <w:t xml:space="preserve"> </w:t>
      </w:r>
      <w:r>
        <w:rPr>
          <w:color w:val="211F1F"/>
        </w:rPr>
        <w:t>consider</w:t>
      </w:r>
      <w:r>
        <w:rPr>
          <w:color w:val="211F1F"/>
          <w:spacing w:val="-7"/>
        </w:rPr>
        <w:t xml:space="preserve"> </w:t>
      </w:r>
      <w:r>
        <w:rPr>
          <w:color w:val="211F1F"/>
        </w:rPr>
        <w:t>Tenders</w:t>
      </w:r>
      <w:r>
        <w:rPr>
          <w:color w:val="211F1F"/>
          <w:spacing w:val="-6"/>
        </w:rPr>
        <w:t xml:space="preserve"> </w:t>
      </w:r>
      <w:r>
        <w:rPr>
          <w:color w:val="211F1F"/>
        </w:rPr>
        <w:t>offered</w:t>
      </w:r>
      <w:r>
        <w:rPr>
          <w:color w:val="211F1F"/>
          <w:spacing w:val="-11"/>
        </w:rPr>
        <w:t xml:space="preserve"> </w:t>
      </w:r>
      <w:r>
        <w:rPr>
          <w:color w:val="211F1F"/>
        </w:rPr>
        <w:t>for</w:t>
      </w:r>
      <w:r>
        <w:rPr>
          <w:color w:val="211F1F"/>
          <w:spacing w:val="-8"/>
        </w:rPr>
        <w:t xml:space="preserve"> </w:t>
      </w:r>
      <w:r>
        <w:rPr>
          <w:color w:val="211F1F"/>
        </w:rPr>
        <w:t>alternatives</w:t>
      </w:r>
      <w:r>
        <w:rPr>
          <w:color w:val="211F1F"/>
          <w:spacing w:val="-5"/>
        </w:rPr>
        <w:t xml:space="preserve"> </w:t>
      </w:r>
      <w:r>
        <w:rPr>
          <w:color w:val="211F1F"/>
        </w:rPr>
        <w:t>as</w:t>
      </w:r>
      <w:r>
        <w:rPr>
          <w:color w:val="211F1F"/>
          <w:spacing w:val="-6"/>
        </w:rPr>
        <w:t xml:space="preserve"> </w:t>
      </w:r>
      <w:r>
        <w:rPr>
          <w:color w:val="211F1F"/>
        </w:rPr>
        <w:t>specified</w:t>
      </w:r>
      <w:r>
        <w:rPr>
          <w:color w:val="211F1F"/>
          <w:spacing w:val="-10"/>
        </w:rPr>
        <w:t xml:space="preserve"> </w:t>
      </w:r>
      <w:r>
        <w:rPr>
          <w:color w:val="211F1F"/>
        </w:rPr>
        <w:t>in</w:t>
      </w:r>
      <w:r>
        <w:rPr>
          <w:color w:val="211F1F"/>
          <w:spacing w:val="-14"/>
        </w:rPr>
        <w:t xml:space="preserve"> </w:t>
      </w:r>
      <w:r>
        <w:rPr>
          <w:color w:val="211F1F"/>
        </w:rPr>
        <w:t>Part</w:t>
      </w:r>
      <w:r>
        <w:rPr>
          <w:color w:val="211F1F"/>
          <w:spacing w:val="-9"/>
        </w:rPr>
        <w:t xml:space="preserve"> </w:t>
      </w:r>
      <w:r>
        <w:rPr>
          <w:color w:val="211F1F"/>
        </w:rPr>
        <w:t>2-</w:t>
      </w:r>
      <w:r>
        <w:rPr>
          <w:color w:val="211F1F"/>
          <w:spacing w:val="-14"/>
        </w:rPr>
        <w:t xml:space="preserve"> </w:t>
      </w:r>
      <w:r>
        <w:rPr>
          <w:color w:val="211F1F"/>
        </w:rPr>
        <w:t>Works</w:t>
      </w:r>
      <w:r>
        <w:rPr>
          <w:color w:val="211F1F"/>
          <w:spacing w:val="-10"/>
        </w:rPr>
        <w:t xml:space="preserve"> </w:t>
      </w:r>
      <w:r>
        <w:rPr>
          <w:color w:val="211F1F"/>
        </w:rPr>
        <w:t>Requirements. Only</w:t>
      </w:r>
      <w:r>
        <w:rPr>
          <w:color w:val="211F1F"/>
          <w:spacing w:val="-1"/>
        </w:rPr>
        <w:t xml:space="preserve"> </w:t>
      </w:r>
      <w:r>
        <w:rPr>
          <w:color w:val="211F1F"/>
        </w:rPr>
        <w:t>the</w:t>
      </w:r>
      <w:r>
        <w:rPr>
          <w:color w:val="211F1F"/>
          <w:spacing w:val="-3"/>
        </w:rPr>
        <w:t xml:space="preserve"> </w:t>
      </w:r>
      <w:r>
        <w:rPr>
          <w:color w:val="211F1F"/>
        </w:rPr>
        <w:t>technical alternatives, if any, of the</w:t>
      </w:r>
      <w:r>
        <w:rPr>
          <w:color w:val="211F1F"/>
          <w:spacing w:val="-7"/>
        </w:rPr>
        <w:t xml:space="preserve"> </w:t>
      </w:r>
      <w:r>
        <w:rPr>
          <w:color w:val="211F1F"/>
        </w:rPr>
        <w:t>Tenderer with the</w:t>
      </w:r>
      <w:r>
        <w:rPr>
          <w:color w:val="211F1F"/>
          <w:spacing w:val="-3"/>
        </w:rPr>
        <w:t xml:space="preserve"> </w:t>
      </w:r>
      <w:r>
        <w:rPr>
          <w:color w:val="211F1F"/>
        </w:rPr>
        <w:t>Best Evaluated</w:t>
      </w:r>
      <w:r>
        <w:rPr>
          <w:color w:val="211F1F"/>
          <w:spacing w:val="-4"/>
        </w:rPr>
        <w:t xml:space="preserve"> </w:t>
      </w:r>
      <w:r>
        <w:rPr>
          <w:color w:val="211F1F"/>
        </w:rPr>
        <w:t>Tender conforming to</w:t>
      </w:r>
      <w:r>
        <w:rPr>
          <w:color w:val="211F1F"/>
          <w:spacing w:val="-1"/>
        </w:rPr>
        <w:t xml:space="preserve"> </w:t>
      </w:r>
      <w:r>
        <w:rPr>
          <w:color w:val="211F1F"/>
        </w:rPr>
        <w:t>the</w:t>
      </w:r>
      <w:r>
        <w:rPr>
          <w:color w:val="211F1F"/>
          <w:spacing w:val="-3"/>
        </w:rPr>
        <w:t xml:space="preserve"> </w:t>
      </w:r>
      <w:r>
        <w:rPr>
          <w:color w:val="211F1F"/>
        </w:rPr>
        <w:t>basic technical requirements shall be considered by the Procuring Entity.</w:t>
      </w:r>
    </w:p>
    <w:p w14:paraId="572E3193" w14:textId="77777777" w:rsidR="00BB77C0" w:rsidRDefault="00370BAA">
      <w:pPr>
        <w:pStyle w:val="ListParagraph"/>
        <w:numPr>
          <w:ilvl w:val="0"/>
          <w:numId w:val="68"/>
        </w:numPr>
        <w:tabs>
          <w:tab w:val="left" w:pos="696"/>
        </w:tabs>
        <w:spacing w:before="238"/>
        <w:ind w:left="696" w:hanging="566"/>
        <w:jc w:val="left"/>
        <w:rPr>
          <w:b/>
          <w:color w:val="211F1F"/>
        </w:rPr>
      </w:pPr>
      <w:r>
        <w:rPr>
          <w:b/>
          <w:color w:val="211F1F"/>
          <w:spacing w:val="-4"/>
        </w:rPr>
        <w:t>Margin</w:t>
      </w:r>
      <w:r>
        <w:rPr>
          <w:b/>
          <w:color w:val="211F1F"/>
          <w:spacing w:val="-18"/>
        </w:rPr>
        <w:t xml:space="preserve"> </w:t>
      </w:r>
      <w:r>
        <w:rPr>
          <w:b/>
          <w:color w:val="211F1F"/>
          <w:spacing w:val="-4"/>
        </w:rPr>
        <w:t>of</w:t>
      </w:r>
      <w:r>
        <w:rPr>
          <w:b/>
          <w:color w:val="211F1F"/>
          <w:spacing w:val="-12"/>
        </w:rPr>
        <w:t xml:space="preserve"> </w:t>
      </w:r>
      <w:r>
        <w:rPr>
          <w:b/>
          <w:color w:val="211F1F"/>
          <w:spacing w:val="-4"/>
        </w:rPr>
        <w:t>Preference</w:t>
      </w:r>
      <w:r>
        <w:rPr>
          <w:b/>
          <w:color w:val="211F1F"/>
          <w:spacing w:val="-12"/>
        </w:rPr>
        <w:t xml:space="preserve"> </w:t>
      </w:r>
      <w:r>
        <w:rPr>
          <w:color w:val="211F1F"/>
          <w:spacing w:val="-4"/>
        </w:rPr>
        <w:t>is</w:t>
      </w:r>
      <w:r>
        <w:rPr>
          <w:color w:val="211F1F"/>
          <w:spacing w:val="-9"/>
        </w:rPr>
        <w:t xml:space="preserve"> </w:t>
      </w:r>
      <w:r>
        <w:rPr>
          <w:color w:val="211F1F"/>
          <w:spacing w:val="-4"/>
        </w:rPr>
        <w:t>not</w:t>
      </w:r>
      <w:r>
        <w:rPr>
          <w:color w:val="211F1F"/>
          <w:spacing w:val="-8"/>
        </w:rPr>
        <w:t xml:space="preserve"> </w:t>
      </w:r>
      <w:r>
        <w:rPr>
          <w:color w:val="211F1F"/>
          <w:spacing w:val="-4"/>
        </w:rPr>
        <w:t>applicable</w:t>
      </w:r>
    </w:p>
    <w:p w14:paraId="2230C805" w14:textId="77777777" w:rsidR="00BB77C0" w:rsidRDefault="00370BAA">
      <w:pPr>
        <w:pStyle w:val="Heading7"/>
        <w:numPr>
          <w:ilvl w:val="0"/>
          <w:numId w:val="68"/>
        </w:numPr>
        <w:tabs>
          <w:tab w:val="left" w:pos="694"/>
        </w:tabs>
        <w:spacing w:before="232" w:line="249" w:lineRule="exact"/>
        <w:ind w:left="694" w:hanging="560"/>
        <w:jc w:val="both"/>
        <w:rPr>
          <w:color w:val="211F1F"/>
        </w:rPr>
      </w:pPr>
      <w:bookmarkStart w:id="130" w:name="7._Post_qualification_and_Contract_ward_"/>
      <w:bookmarkEnd w:id="130"/>
      <w:r>
        <w:rPr>
          <w:color w:val="211F1F"/>
          <w:spacing w:val="-4"/>
        </w:rPr>
        <w:t>Post</w:t>
      </w:r>
      <w:r>
        <w:rPr>
          <w:color w:val="211F1F"/>
          <w:spacing w:val="-9"/>
        </w:rPr>
        <w:t xml:space="preserve"> </w:t>
      </w:r>
      <w:r>
        <w:rPr>
          <w:color w:val="211F1F"/>
          <w:spacing w:val="-4"/>
        </w:rPr>
        <w:t>qualification</w:t>
      </w:r>
      <w:r>
        <w:rPr>
          <w:color w:val="211F1F"/>
          <w:spacing w:val="-16"/>
        </w:rPr>
        <w:t xml:space="preserve"> </w:t>
      </w:r>
      <w:r>
        <w:rPr>
          <w:color w:val="211F1F"/>
          <w:spacing w:val="-4"/>
        </w:rPr>
        <w:t>and</w:t>
      </w:r>
      <w:r>
        <w:rPr>
          <w:color w:val="211F1F"/>
          <w:spacing w:val="-11"/>
        </w:rPr>
        <w:t xml:space="preserve"> </w:t>
      </w:r>
      <w:r>
        <w:rPr>
          <w:color w:val="211F1F"/>
          <w:spacing w:val="-4"/>
        </w:rPr>
        <w:t>Contract</w:t>
      </w:r>
      <w:r>
        <w:rPr>
          <w:color w:val="211F1F"/>
          <w:spacing w:val="-9"/>
        </w:rPr>
        <w:t xml:space="preserve"> </w:t>
      </w:r>
      <w:r>
        <w:rPr>
          <w:color w:val="211F1F"/>
          <w:spacing w:val="-4"/>
        </w:rPr>
        <w:t>ward</w:t>
      </w:r>
      <w:r>
        <w:rPr>
          <w:color w:val="211F1F"/>
          <w:spacing w:val="-11"/>
        </w:rPr>
        <w:t xml:space="preserve"> </w:t>
      </w:r>
      <w:r>
        <w:rPr>
          <w:color w:val="211F1F"/>
          <w:spacing w:val="-4"/>
        </w:rPr>
        <w:t>(ITT</w:t>
      </w:r>
      <w:r>
        <w:rPr>
          <w:color w:val="211F1F"/>
          <w:spacing w:val="-17"/>
        </w:rPr>
        <w:t xml:space="preserve"> </w:t>
      </w:r>
      <w:r>
        <w:rPr>
          <w:color w:val="211F1F"/>
          <w:spacing w:val="-4"/>
        </w:rPr>
        <w:t>39),</w:t>
      </w:r>
      <w:r>
        <w:rPr>
          <w:color w:val="211F1F"/>
          <w:spacing w:val="-10"/>
        </w:rPr>
        <w:t xml:space="preserve"> </w:t>
      </w:r>
      <w:r>
        <w:rPr>
          <w:color w:val="211F1F"/>
          <w:spacing w:val="-4"/>
        </w:rPr>
        <w:t>more</w:t>
      </w:r>
      <w:r>
        <w:rPr>
          <w:color w:val="211F1F"/>
          <w:spacing w:val="-9"/>
        </w:rPr>
        <w:t xml:space="preserve"> </w:t>
      </w:r>
      <w:r>
        <w:rPr>
          <w:color w:val="211F1F"/>
          <w:spacing w:val="-4"/>
        </w:rPr>
        <w:t>specifically,</w:t>
      </w:r>
    </w:p>
    <w:p w14:paraId="447625B5" w14:textId="77777777" w:rsidR="00BB77C0" w:rsidRDefault="00370BAA">
      <w:pPr>
        <w:pStyle w:val="ListParagraph"/>
        <w:numPr>
          <w:ilvl w:val="1"/>
          <w:numId w:val="68"/>
        </w:numPr>
        <w:tabs>
          <w:tab w:val="left" w:pos="1246"/>
          <w:tab w:val="left" w:pos="1248"/>
        </w:tabs>
        <w:spacing w:before="2" w:line="232" w:lineRule="auto"/>
        <w:ind w:left="1248" w:right="628" w:hanging="553"/>
        <w:jc w:val="both"/>
      </w:pPr>
      <w:r>
        <w:rPr>
          <w:color w:val="211F1F"/>
          <w:spacing w:val="-2"/>
        </w:rPr>
        <w:t>In</w:t>
      </w:r>
      <w:r>
        <w:rPr>
          <w:color w:val="211F1F"/>
          <w:spacing w:val="-8"/>
        </w:rPr>
        <w:t xml:space="preserve"> </w:t>
      </w:r>
      <w:r>
        <w:rPr>
          <w:color w:val="211F1F"/>
          <w:spacing w:val="-2"/>
        </w:rPr>
        <w:t>case</w:t>
      </w:r>
      <w:r>
        <w:rPr>
          <w:color w:val="211F1F"/>
          <w:spacing w:val="-9"/>
        </w:rPr>
        <w:t xml:space="preserve"> </w:t>
      </w:r>
      <w:r>
        <w:rPr>
          <w:color w:val="211F1F"/>
          <w:spacing w:val="-2"/>
        </w:rPr>
        <w:t>the</w:t>
      </w:r>
      <w:r>
        <w:rPr>
          <w:color w:val="211F1F"/>
          <w:spacing w:val="-9"/>
        </w:rPr>
        <w:t xml:space="preserve"> </w:t>
      </w:r>
      <w:r>
        <w:rPr>
          <w:color w:val="211F1F"/>
          <w:spacing w:val="-2"/>
        </w:rPr>
        <w:t xml:space="preserve">tender </w:t>
      </w:r>
      <w:r>
        <w:rPr>
          <w:color w:val="211F1F"/>
          <w:spacing w:val="-2"/>
          <w:u w:val="single" w:color="211F1F"/>
        </w:rPr>
        <w:t>was</w:t>
      </w:r>
      <w:r>
        <w:rPr>
          <w:color w:val="211F1F"/>
          <w:spacing w:val="-7"/>
          <w:u w:val="single" w:color="211F1F"/>
        </w:rPr>
        <w:t xml:space="preserve"> </w:t>
      </w:r>
      <w:r>
        <w:rPr>
          <w:color w:val="211F1F"/>
          <w:spacing w:val="-2"/>
          <w:u w:val="single" w:color="211F1F"/>
        </w:rPr>
        <w:t>subject</w:t>
      </w:r>
      <w:r>
        <w:rPr>
          <w:color w:val="211F1F"/>
          <w:spacing w:val="-6"/>
          <w:u w:val="single" w:color="211F1F"/>
        </w:rPr>
        <w:t xml:space="preserve"> </w:t>
      </w:r>
      <w:r>
        <w:rPr>
          <w:color w:val="211F1F"/>
          <w:spacing w:val="-2"/>
          <w:u w:val="single" w:color="211F1F"/>
        </w:rPr>
        <w:t>to</w:t>
      </w:r>
      <w:r>
        <w:rPr>
          <w:color w:val="211F1F"/>
          <w:spacing w:val="-7"/>
          <w:u w:val="single" w:color="211F1F"/>
        </w:rPr>
        <w:t xml:space="preserve"> </w:t>
      </w:r>
      <w:r>
        <w:rPr>
          <w:color w:val="211F1F"/>
          <w:spacing w:val="-2"/>
          <w:u w:val="single" w:color="211F1F"/>
        </w:rPr>
        <w:t>post-qualification</w:t>
      </w:r>
      <w:r>
        <w:rPr>
          <w:color w:val="211F1F"/>
          <w:spacing w:val="-2"/>
        </w:rPr>
        <w:t>,</w:t>
      </w:r>
      <w:r>
        <w:rPr>
          <w:color w:val="211F1F"/>
          <w:spacing w:val="-10"/>
        </w:rPr>
        <w:t xml:space="preserve"> </w:t>
      </w:r>
      <w:r>
        <w:rPr>
          <w:color w:val="211F1F"/>
          <w:spacing w:val="-2"/>
        </w:rPr>
        <w:t>the</w:t>
      </w:r>
      <w:r>
        <w:rPr>
          <w:color w:val="211F1F"/>
          <w:spacing w:val="-9"/>
        </w:rPr>
        <w:t xml:space="preserve"> </w:t>
      </w:r>
      <w:r>
        <w:rPr>
          <w:color w:val="211F1F"/>
          <w:spacing w:val="-2"/>
        </w:rPr>
        <w:t>contract shall</w:t>
      </w:r>
      <w:r>
        <w:rPr>
          <w:color w:val="211F1F"/>
          <w:spacing w:val="-6"/>
        </w:rPr>
        <w:t xml:space="preserve"> </w:t>
      </w:r>
      <w:r>
        <w:rPr>
          <w:color w:val="211F1F"/>
          <w:spacing w:val="-2"/>
        </w:rPr>
        <w:t>be</w:t>
      </w:r>
      <w:r>
        <w:rPr>
          <w:color w:val="211F1F"/>
          <w:spacing w:val="-12"/>
        </w:rPr>
        <w:t xml:space="preserve"> </w:t>
      </w:r>
      <w:r>
        <w:rPr>
          <w:color w:val="211F1F"/>
          <w:spacing w:val="-2"/>
        </w:rPr>
        <w:t>awarded</w:t>
      </w:r>
      <w:r>
        <w:rPr>
          <w:color w:val="211F1F"/>
          <w:spacing w:val="-6"/>
        </w:rPr>
        <w:t xml:space="preserve"> </w:t>
      </w:r>
      <w:r>
        <w:rPr>
          <w:color w:val="211F1F"/>
          <w:spacing w:val="-2"/>
        </w:rPr>
        <w:t>to</w:t>
      </w:r>
      <w:r>
        <w:rPr>
          <w:color w:val="211F1F"/>
          <w:spacing w:val="-12"/>
        </w:rPr>
        <w:t xml:space="preserve"> </w:t>
      </w:r>
      <w:r>
        <w:rPr>
          <w:color w:val="211F1F"/>
          <w:spacing w:val="-2"/>
        </w:rPr>
        <w:t>the</w:t>
      </w:r>
      <w:r>
        <w:rPr>
          <w:color w:val="211F1F"/>
          <w:spacing w:val="-8"/>
        </w:rPr>
        <w:t xml:space="preserve"> </w:t>
      </w:r>
      <w:r>
        <w:rPr>
          <w:color w:val="211F1F"/>
          <w:spacing w:val="-2"/>
        </w:rPr>
        <w:t xml:space="preserve">lowest evaluated </w:t>
      </w:r>
      <w:r>
        <w:rPr>
          <w:color w:val="211F1F"/>
        </w:rPr>
        <w:t>tenderer,</w:t>
      </w:r>
      <w:r>
        <w:rPr>
          <w:color w:val="211F1F"/>
          <w:spacing w:val="-16"/>
        </w:rPr>
        <w:t xml:space="preserve"> </w:t>
      </w:r>
      <w:r>
        <w:rPr>
          <w:color w:val="211F1F"/>
        </w:rPr>
        <w:t>subject</w:t>
      </w:r>
      <w:r>
        <w:rPr>
          <w:color w:val="211F1F"/>
          <w:spacing w:val="-19"/>
        </w:rPr>
        <w:t xml:space="preserve"> </w:t>
      </w:r>
      <w:r>
        <w:rPr>
          <w:color w:val="211F1F"/>
        </w:rPr>
        <w:t>to</w:t>
      </w:r>
      <w:r>
        <w:rPr>
          <w:color w:val="211F1F"/>
          <w:spacing w:val="-20"/>
        </w:rPr>
        <w:t xml:space="preserve"> </w:t>
      </w:r>
      <w:r>
        <w:rPr>
          <w:color w:val="211F1F"/>
        </w:rPr>
        <w:t>confirmation</w:t>
      </w:r>
      <w:r>
        <w:rPr>
          <w:color w:val="211F1F"/>
          <w:spacing w:val="-19"/>
        </w:rPr>
        <w:t xml:space="preserve"> </w:t>
      </w:r>
      <w:r>
        <w:rPr>
          <w:color w:val="211F1F"/>
        </w:rPr>
        <w:t>of</w:t>
      </w:r>
      <w:r>
        <w:rPr>
          <w:color w:val="211F1F"/>
          <w:spacing w:val="-11"/>
        </w:rPr>
        <w:t xml:space="preserve"> </w:t>
      </w:r>
      <w:r>
        <w:rPr>
          <w:color w:val="211F1F"/>
        </w:rPr>
        <w:t>pre-qualification</w:t>
      </w:r>
      <w:r>
        <w:rPr>
          <w:color w:val="211F1F"/>
          <w:spacing w:val="-19"/>
        </w:rPr>
        <w:t xml:space="preserve"> </w:t>
      </w:r>
      <w:r>
        <w:rPr>
          <w:color w:val="211F1F"/>
        </w:rPr>
        <w:t>data,</w:t>
      </w:r>
      <w:r>
        <w:rPr>
          <w:color w:val="211F1F"/>
          <w:spacing w:val="-16"/>
        </w:rPr>
        <w:t xml:space="preserve"> </w:t>
      </w:r>
      <w:r>
        <w:rPr>
          <w:color w:val="211F1F"/>
        </w:rPr>
        <w:t>if</w:t>
      </w:r>
      <w:r>
        <w:rPr>
          <w:color w:val="211F1F"/>
          <w:spacing w:val="-16"/>
        </w:rPr>
        <w:t xml:space="preserve"> </w:t>
      </w:r>
      <w:r>
        <w:rPr>
          <w:color w:val="211F1F"/>
        </w:rPr>
        <w:t>so</w:t>
      </w:r>
      <w:r>
        <w:rPr>
          <w:color w:val="211F1F"/>
          <w:spacing w:val="-25"/>
        </w:rPr>
        <w:t xml:space="preserve"> </w:t>
      </w:r>
      <w:r>
        <w:rPr>
          <w:color w:val="211F1F"/>
        </w:rPr>
        <w:t>required.</w:t>
      </w:r>
    </w:p>
    <w:p w14:paraId="03916BF2" w14:textId="77777777" w:rsidR="00BB77C0" w:rsidRDefault="00370BAA">
      <w:pPr>
        <w:pStyle w:val="ListParagraph"/>
        <w:numPr>
          <w:ilvl w:val="1"/>
          <w:numId w:val="68"/>
        </w:numPr>
        <w:tabs>
          <w:tab w:val="left" w:pos="1246"/>
          <w:tab w:val="left" w:pos="1248"/>
        </w:tabs>
        <w:spacing w:line="230" w:lineRule="auto"/>
        <w:ind w:left="1248" w:right="350" w:hanging="553"/>
        <w:jc w:val="both"/>
      </w:pPr>
      <w:r>
        <w:rPr>
          <w:color w:val="211F1F"/>
        </w:rPr>
        <w:t>In</w:t>
      </w:r>
      <w:r>
        <w:rPr>
          <w:color w:val="211F1F"/>
          <w:spacing w:val="-14"/>
        </w:rPr>
        <w:t xml:space="preserve"> </w:t>
      </w:r>
      <w:r>
        <w:rPr>
          <w:color w:val="211F1F"/>
        </w:rPr>
        <w:t>case</w:t>
      </w:r>
      <w:r>
        <w:rPr>
          <w:color w:val="211F1F"/>
          <w:spacing w:val="-14"/>
        </w:rPr>
        <w:t xml:space="preserve"> </w:t>
      </w:r>
      <w:r>
        <w:rPr>
          <w:color w:val="211F1F"/>
        </w:rPr>
        <w:t>the</w:t>
      </w:r>
      <w:r>
        <w:rPr>
          <w:color w:val="211F1F"/>
          <w:spacing w:val="-14"/>
        </w:rPr>
        <w:t xml:space="preserve"> </w:t>
      </w:r>
      <w:r>
        <w:rPr>
          <w:color w:val="211F1F"/>
        </w:rPr>
        <w:t>tender</w:t>
      </w:r>
      <w:r>
        <w:rPr>
          <w:color w:val="211F1F"/>
          <w:spacing w:val="-13"/>
        </w:rPr>
        <w:t xml:space="preserve"> </w:t>
      </w:r>
      <w:r>
        <w:rPr>
          <w:color w:val="211F1F"/>
          <w:u w:val="single" w:color="211F1F"/>
        </w:rPr>
        <w:t>was</w:t>
      </w:r>
      <w:r>
        <w:rPr>
          <w:color w:val="211F1F"/>
          <w:spacing w:val="-14"/>
          <w:u w:val="single" w:color="211F1F"/>
        </w:rPr>
        <w:t xml:space="preserve"> </w:t>
      </w:r>
      <w:r>
        <w:rPr>
          <w:color w:val="211F1F"/>
          <w:u w:val="single" w:color="211F1F"/>
        </w:rPr>
        <w:t>not</w:t>
      </w:r>
      <w:r>
        <w:rPr>
          <w:color w:val="211F1F"/>
          <w:spacing w:val="-14"/>
          <w:u w:val="single" w:color="211F1F"/>
        </w:rPr>
        <w:t xml:space="preserve"> </w:t>
      </w:r>
      <w:r>
        <w:rPr>
          <w:color w:val="211F1F"/>
          <w:u w:val="single" w:color="211F1F"/>
        </w:rPr>
        <w:t>subject</w:t>
      </w:r>
      <w:r>
        <w:rPr>
          <w:color w:val="211F1F"/>
          <w:spacing w:val="-14"/>
          <w:u w:val="single" w:color="211F1F"/>
        </w:rPr>
        <w:t xml:space="preserve"> </w:t>
      </w:r>
      <w:r>
        <w:rPr>
          <w:color w:val="211F1F"/>
          <w:u w:val="single" w:color="211F1F"/>
        </w:rPr>
        <w:t>to</w:t>
      </w:r>
      <w:r>
        <w:rPr>
          <w:color w:val="211F1F"/>
          <w:spacing w:val="-13"/>
          <w:u w:val="single" w:color="211F1F"/>
        </w:rPr>
        <w:t xml:space="preserve"> </w:t>
      </w:r>
      <w:r>
        <w:rPr>
          <w:color w:val="211F1F"/>
          <w:u w:val="single" w:color="211F1F"/>
        </w:rPr>
        <w:t>post-qualification</w:t>
      </w:r>
      <w:r>
        <w:rPr>
          <w:color w:val="211F1F"/>
        </w:rPr>
        <w:t>,</w:t>
      </w:r>
      <w:r>
        <w:rPr>
          <w:color w:val="211F1F"/>
          <w:spacing w:val="-14"/>
        </w:rPr>
        <w:t xml:space="preserve"> </w:t>
      </w:r>
      <w:r>
        <w:rPr>
          <w:color w:val="211F1F"/>
        </w:rPr>
        <w:t>the</w:t>
      </w:r>
      <w:r>
        <w:rPr>
          <w:color w:val="211F1F"/>
          <w:spacing w:val="-14"/>
        </w:rPr>
        <w:t xml:space="preserve"> </w:t>
      </w:r>
      <w:r>
        <w:rPr>
          <w:color w:val="211F1F"/>
        </w:rPr>
        <w:t>tender</w:t>
      </w:r>
      <w:r>
        <w:rPr>
          <w:color w:val="211F1F"/>
          <w:spacing w:val="-14"/>
        </w:rPr>
        <w:t xml:space="preserve"> </w:t>
      </w:r>
      <w:r>
        <w:rPr>
          <w:color w:val="211F1F"/>
        </w:rPr>
        <w:t>that</w:t>
      </w:r>
      <w:r>
        <w:rPr>
          <w:color w:val="211F1F"/>
          <w:spacing w:val="-13"/>
        </w:rPr>
        <w:t xml:space="preserve"> </w:t>
      </w:r>
      <w:r>
        <w:rPr>
          <w:color w:val="211F1F"/>
        </w:rPr>
        <w:t>has</w:t>
      </w:r>
      <w:r>
        <w:rPr>
          <w:color w:val="211F1F"/>
          <w:spacing w:val="-14"/>
        </w:rPr>
        <w:t xml:space="preserve"> </w:t>
      </w:r>
      <w:r>
        <w:rPr>
          <w:color w:val="211F1F"/>
        </w:rPr>
        <w:t>been</w:t>
      </w:r>
      <w:r>
        <w:rPr>
          <w:color w:val="211F1F"/>
          <w:spacing w:val="-14"/>
        </w:rPr>
        <w:t xml:space="preserve"> </w:t>
      </w:r>
      <w:r>
        <w:rPr>
          <w:color w:val="211F1F"/>
        </w:rPr>
        <w:t>determined</w:t>
      </w:r>
      <w:r>
        <w:rPr>
          <w:color w:val="211F1F"/>
          <w:spacing w:val="-14"/>
        </w:rPr>
        <w:t xml:space="preserve"> </w:t>
      </w:r>
      <w:r>
        <w:rPr>
          <w:color w:val="211F1F"/>
        </w:rPr>
        <w:t>to</w:t>
      </w:r>
      <w:r>
        <w:rPr>
          <w:color w:val="211F1F"/>
          <w:spacing w:val="-13"/>
        </w:rPr>
        <w:t xml:space="preserve"> </w:t>
      </w:r>
      <w:r>
        <w:rPr>
          <w:color w:val="211F1F"/>
        </w:rPr>
        <w:t>be</w:t>
      </w:r>
      <w:r>
        <w:rPr>
          <w:color w:val="211F1F"/>
          <w:spacing w:val="-14"/>
        </w:rPr>
        <w:t xml:space="preserve"> </w:t>
      </w:r>
      <w:r>
        <w:rPr>
          <w:color w:val="211F1F"/>
        </w:rPr>
        <w:t>the</w:t>
      </w:r>
      <w:r>
        <w:rPr>
          <w:color w:val="211F1F"/>
          <w:spacing w:val="-14"/>
        </w:rPr>
        <w:t xml:space="preserve"> </w:t>
      </w:r>
      <w:r>
        <w:rPr>
          <w:color w:val="211F1F"/>
        </w:rPr>
        <w:t xml:space="preserve">lowest evaluated tenderer shall be considered for contract award, subject to meeting each of the following </w:t>
      </w:r>
      <w:r>
        <w:rPr>
          <w:color w:val="211F1F"/>
          <w:spacing w:val="-2"/>
        </w:rPr>
        <w:t>conditions.</w:t>
      </w:r>
    </w:p>
    <w:p w14:paraId="7CE6D88F" w14:textId="77777777" w:rsidR="00BB77C0" w:rsidRDefault="00370BAA">
      <w:pPr>
        <w:pStyle w:val="ListParagraph"/>
        <w:numPr>
          <w:ilvl w:val="2"/>
          <w:numId w:val="68"/>
        </w:numPr>
        <w:tabs>
          <w:tab w:val="left" w:pos="1827"/>
          <w:tab w:val="left" w:pos="1829"/>
        </w:tabs>
        <w:spacing w:line="230" w:lineRule="auto"/>
        <w:ind w:right="345"/>
        <w:jc w:val="both"/>
        <w:rPr>
          <w:color w:val="211F1F"/>
        </w:rPr>
      </w:pPr>
      <w:r>
        <w:rPr>
          <w:color w:val="211F1F"/>
        </w:rPr>
        <w:t>The</w:t>
      </w:r>
      <w:r>
        <w:rPr>
          <w:color w:val="211F1F"/>
          <w:spacing w:val="-8"/>
        </w:rPr>
        <w:t xml:space="preserve"> </w:t>
      </w:r>
      <w:r>
        <w:rPr>
          <w:color w:val="211F1F"/>
        </w:rPr>
        <w:t>Tenderer shall</w:t>
      </w:r>
      <w:r>
        <w:rPr>
          <w:color w:val="211F1F"/>
          <w:spacing w:val="-2"/>
        </w:rPr>
        <w:t xml:space="preserve"> </w:t>
      </w:r>
      <w:r>
        <w:rPr>
          <w:color w:val="211F1F"/>
        </w:rPr>
        <w:t>demonstrate</w:t>
      </w:r>
      <w:r>
        <w:rPr>
          <w:color w:val="211F1F"/>
          <w:spacing w:val="-3"/>
        </w:rPr>
        <w:t xml:space="preserve"> </w:t>
      </w:r>
      <w:r>
        <w:rPr>
          <w:color w:val="211F1F"/>
        </w:rPr>
        <w:t>that</w:t>
      </w:r>
      <w:r>
        <w:rPr>
          <w:color w:val="211F1F"/>
          <w:spacing w:val="-1"/>
        </w:rPr>
        <w:t xml:space="preserve"> </w:t>
      </w:r>
      <w:r>
        <w:rPr>
          <w:color w:val="211F1F"/>
        </w:rPr>
        <w:t>it</w:t>
      </w:r>
      <w:r>
        <w:rPr>
          <w:color w:val="211F1F"/>
          <w:spacing w:val="-2"/>
        </w:rPr>
        <w:t xml:space="preserve"> </w:t>
      </w:r>
      <w:r>
        <w:rPr>
          <w:color w:val="211F1F"/>
        </w:rPr>
        <w:t>has</w:t>
      </w:r>
      <w:r>
        <w:rPr>
          <w:color w:val="211F1F"/>
          <w:spacing w:val="-2"/>
        </w:rPr>
        <w:t xml:space="preserve"> </w:t>
      </w:r>
      <w:r>
        <w:rPr>
          <w:color w:val="211F1F"/>
        </w:rPr>
        <w:t>access</w:t>
      </w:r>
      <w:r>
        <w:rPr>
          <w:color w:val="211F1F"/>
          <w:spacing w:val="-1"/>
        </w:rPr>
        <w:t xml:space="preserve"> </w:t>
      </w:r>
      <w:r>
        <w:rPr>
          <w:color w:val="211F1F"/>
        </w:rPr>
        <w:t>to, or</w:t>
      </w:r>
      <w:r>
        <w:rPr>
          <w:color w:val="211F1F"/>
          <w:spacing w:val="-3"/>
        </w:rPr>
        <w:t xml:space="preserve"> </w:t>
      </w:r>
      <w:r>
        <w:rPr>
          <w:color w:val="211F1F"/>
        </w:rPr>
        <w:t>has</w:t>
      </w:r>
      <w:r>
        <w:rPr>
          <w:color w:val="211F1F"/>
          <w:spacing w:val="-2"/>
        </w:rPr>
        <w:t xml:space="preserve"> </w:t>
      </w:r>
      <w:r>
        <w:rPr>
          <w:color w:val="211F1F"/>
        </w:rPr>
        <w:t>available, liquid</w:t>
      </w:r>
      <w:r>
        <w:rPr>
          <w:color w:val="211F1F"/>
          <w:spacing w:val="-2"/>
        </w:rPr>
        <w:t xml:space="preserve"> </w:t>
      </w:r>
      <w:r>
        <w:rPr>
          <w:color w:val="211F1F"/>
        </w:rPr>
        <w:t>assets,</w:t>
      </w:r>
      <w:r>
        <w:rPr>
          <w:color w:val="211F1F"/>
          <w:spacing w:val="-3"/>
        </w:rPr>
        <w:t xml:space="preserve"> </w:t>
      </w:r>
      <w:r>
        <w:rPr>
          <w:color w:val="211F1F"/>
        </w:rPr>
        <w:t>unencumbered real</w:t>
      </w:r>
      <w:r>
        <w:rPr>
          <w:color w:val="211F1F"/>
          <w:spacing w:val="-14"/>
        </w:rPr>
        <w:t xml:space="preserve"> </w:t>
      </w:r>
      <w:r>
        <w:rPr>
          <w:color w:val="211F1F"/>
        </w:rPr>
        <w:t>assets,</w:t>
      </w:r>
      <w:r>
        <w:rPr>
          <w:color w:val="211F1F"/>
          <w:spacing w:val="-14"/>
        </w:rPr>
        <w:t xml:space="preserve"> </w:t>
      </w:r>
      <w:r>
        <w:rPr>
          <w:color w:val="211F1F"/>
        </w:rPr>
        <w:t>lines</w:t>
      </w:r>
      <w:r>
        <w:rPr>
          <w:color w:val="211F1F"/>
          <w:spacing w:val="-13"/>
        </w:rPr>
        <w:t xml:space="preserve"> </w:t>
      </w:r>
      <w:r>
        <w:rPr>
          <w:color w:val="211F1F"/>
        </w:rPr>
        <w:t>of</w:t>
      </w:r>
      <w:r>
        <w:rPr>
          <w:color w:val="211F1F"/>
          <w:spacing w:val="-4"/>
        </w:rPr>
        <w:t xml:space="preserve"> </w:t>
      </w:r>
      <w:r>
        <w:rPr>
          <w:color w:val="211F1F"/>
        </w:rPr>
        <w:t>credit,</w:t>
      </w:r>
      <w:r>
        <w:rPr>
          <w:color w:val="211F1F"/>
          <w:spacing w:val="-1"/>
        </w:rPr>
        <w:t xml:space="preserve"> </w:t>
      </w:r>
      <w:r>
        <w:rPr>
          <w:color w:val="211F1F"/>
        </w:rPr>
        <w:t>and</w:t>
      </w:r>
      <w:r>
        <w:rPr>
          <w:color w:val="211F1F"/>
          <w:spacing w:val="-3"/>
        </w:rPr>
        <w:t xml:space="preserve"> </w:t>
      </w:r>
      <w:r>
        <w:rPr>
          <w:color w:val="211F1F"/>
        </w:rPr>
        <w:t>other financial</w:t>
      </w:r>
      <w:r>
        <w:rPr>
          <w:color w:val="211F1F"/>
          <w:spacing w:val="-2"/>
        </w:rPr>
        <w:t xml:space="preserve"> </w:t>
      </w:r>
      <w:r>
        <w:rPr>
          <w:color w:val="211F1F"/>
        </w:rPr>
        <w:t>means (independent of</w:t>
      </w:r>
      <w:r>
        <w:rPr>
          <w:color w:val="211F1F"/>
          <w:spacing w:val="-1"/>
        </w:rPr>
        <w:t xml:space="preserve"> </w:t>
      </w:r>
      <w:r>
        <w:rPr>
          <w:color w:val="211F1F"/>
        </w:rPr>
        <w:t>any</w:t>
      </w:r>
      <w:r>
        <w:rPr>
          <w:color w:val="211F1F"/>
          <w:spacing w:val="-3"/>
        </w:rPr>
        <w:t xml:space="preserve"> </w:t>
      </w:r>
      <w:r>
        <w:rPr>
          <w:color w:val="211F1F"/>
        </w:rPr>
        <w:t>contractual</w:t>
      </w:r>
      <w:r>
        <w:rPr>
          <w:color w:val="211F1F"/>
          <w:spacing w:val="-6"/>
        </w:rPr>
        <w:t xml:space="preserve"> </w:t>
      </w:r>
      <w:r>
        <w:rPr>
          <w:color w:val="211F1F"/>
        </w:rPr>
        <w:t>advance</w:t>
      </w:r>
      <w:r>
        <w:rPr>
          <w:color w:val="211F1F"/>
          <w:spacing w:val="-4"/>
        </w:rPr>
        <w:t xml:space="preserve"> </w:t>
      </w:r>
      <w:r>
        <w:rPr>
          <w:color w:val="211F1F"/>
        </w:rPr>
        <w:t>p</w:t>
      </w:r>
      <w:r>
        <w:rPr>
          <w:color w:val="211F1F"/>
          <w:spacing w:val="-14"/>
        </w:rPr>
        <w:t xml:space="preserve"> </w:t>
      </w:r>
      <w:r>
        <w:rPr>
          <w:color w:val="211F1F"/>
        </w:rPr>
        <w:t>a</w:t>
      </w:r>
      <w:r>
        <w:rPr>
          <w:color w:val="211F1F"/>
          <w:spacing w:val="-10"/>
        </w:rPr>
        <w:t xml:space="preserve"> </w:t>
      </w:r>
      <w:r>
        <w:rPr>
          <w:color w:val="211F1F"/>
        </w:rPr>
        <w:t xml:space="preserve">y </w:t>
      </w:r>
      <w:r>
        <w:rPr>
          <w:color w:val="211F1F"/>
          <w:spacing w:val="14"/>
        </w:rPr>
        <w:t>ment)</w:t>
      </w:r>
      <w:r>
        <w:rPr>
          <w:color w:val="211F1F"/>
          <w:spacing w:val="8"/>
        </w:rPr>
        <w:t xml:space="preserve"> </w:t>
      </w:r>
      <w:r>
        <w:rPr>
          <w:color w:val="211F1F"/>
        </w:rPr>
        <w:t>sufficient</w:t>
      </w:r>
      <w:r>
        <w:rPr>
          <w:color w:val="211F1F"/>
          <w:spacing w:val="40"/>
        </w:rPr>
        <w:t xml:space="preserve"> </w:t>
      </w:r>
      <w:r>
        <w:rPr>
          <w:color w:val="211F1F"/>
        </w:rPr>
        <w:t>to</w:t>
      </w:r>
      <w:r>
        <w:rPr>
          <w:color w:val="211F1F"/>
          <w:spacing w:val="40"/>
        </w:rPr>
        <w:t xml:space="preserve"> </w:t>
      </w:r>
      <w:r>
        <w:rPr>
          <w:color w:val="211F1F"/>
        </w:rPr>
        <w:t>meet</w:t>
      </w:r>
      <w:r>
        <w:rPr>
          <w:color w:val="211F1F"/>
          <w:spacing w:val="40"/>
        </w:rPr>
        <w:t xml:space="preserve"> </w:t>
      </w:r>
      <w:r>
        <w:rPr>
          <w:color w:val="211F1F"/>
          <w:spacing w:val="16"/>
        </w:rPr>
        <w:t xml:space="preserve">the </w:t>
      </w:r>
      <w:r>
        <w:rPr>
          <w:color w:val="211F1F"/>
        </w:rPr>
        <w:t>construction</w:t>
      </w:r>
      <w:r>
        <w:rPr>
          <w:color w:val="211F1F"/>
          <w:spacing w:val="19"/>
        </w:rPr>
        <w:t xml:space="preserve"> cash </w:t>
      </w:r>
      <w:r>
        <w:rPr>
          <w:color w:val="211F1F"/>
        </w:rPr>
        <w:t>fl</w:t>
      </w:r>
      <w:r>
        <w:rPr>
          <w:color w:val="211F1F"/>
          <w:spacing w:val="-33"/>
        </w:rPr>
        <w:t xml:space="preserve"> </w:t>
      </w:r>
      <w:r>
        <w:rPr>
          <w:color w:val="211F1F"/>
          <w:spacing w:val="12"/>
        </w:rPr>
        <w:t>ow</w:t>
      </w:r>
      <w:r>
        <w:rPr>
          <w:color w:val="211F1F"/>
          <w:spacing w:val="40"/>
        </w:rPr>
        <w:t xml:space="preserve"> </w:t>
      </w:r>
      <w:r>
        <w:rPr>
          <w:color w:val="211F1F"/>
          <w:spacing w:val="12"/>
        </w:rPr>
        <w:t>of</w:t>
      </w:r>
      <w:r>
        <w:rPr>
          <w:color w:val="211F1F"/>
          <w:spacing w:val="40"/>
        </w:rPr>
        <w:t xml:space="preserve"> </w:t>
      </w:r>
      <w:r>
        <w:rPr>
          <w:color w:val="211F1F"/>
        </w:rPr>
        <w:t>K</w:t>
      </w:r>
      <w:r>
        <w:rPr>
          <w:color w:val="211F1F"/>
          <w:spacing w:val="-24"/>
        </w:rPr>
        <w:t xml:space="preserve"> </w:t>
      </w:r>
      <w:r>
        <w:rPr>
          <w:color w:val="211F1F"/>
          <w:spacing w:val="16"/>
        </w:rPr>
        <w:t>enya</w:t>
      </w:r>
      <w:r>
        <w:rPr>
          <w:color w:val="211F1F"/>
          <w:spacing w:val="40"/>
        </w:rPr>
        <w:t xml:space="preserve"> </w:t>
      </w:r>
      <w:r>
        <w:rPr>
          <w:color w:val="211F1F"/>
        </w:rPr>
        <w:t>Shillings</w:t>
      </w:r>
    </w:p>
    <w:p w14:paraId="3F0EE840" w14:textId="77777777" w:rsidR="00BB77C0" w:rsidRDefault="00370BAA">
      <w:pPr>
        <w:tabs>
          <w:tab w:val="left" w:pos="5133"/>
        </w:tabs>
        <w:spacing w:line="237" w:lineRule="exact"/>
        <w:ind w:left="1829"/>
      </w:pPr>
      <w:r>
        <w:rPr>
          <w:color w:val="211F1F"/>
          <w:u w:val="single" w:color="201E1F"/>
        </w:rPr>
        <w:tab/>
      </w:r>
      <w:r>
        <w:rPr>
          <w:color w:val="211F1F"/>
          <w:spacing w:val="-10"/>
        </w:rPr>
        <w:t>.</w:t>
      </w:r>
    </w:p>
    <w:p w14:paraId="39F0B44B" w14:textId="77777777" w:rsidR="00BB77C0" w:rsidRDefault="00370BAA">
      <w:pPr>
        <w:pStyle w:val="ListParagraph"/>
        <w:numPr>
          <w:ilvl w:val="2"/>
          <w:numId w:val="68"/>
        </w:numPr>
        <w:tabs>
          <w:tab w:val="left" w:pos="1826"/>
          <w:tab w:val="left" w:pos="1829"/>
          <w:tab w:val="left" w:pos="5368"/>
          <w:tab w:val="left" w:pos="9037"/>
        </w:tabs>
        <w:spacing w:before="2" w:line="230" w:lineRule="auto"/>
        <w:ind w:right="346"/>
        <w:jc w:val="both"/>
        <w:rPr>
          <w:color w:val="211F1F"/>
        </w:rPr>
      </w:pPr>
      <w:r>
        <w:rPr>
          <w:color w:val="211F1F"/>
        </w:rPr>
        <w:t xml:space="preserve">Minimum </w:t>
      </w:r>
      <w:r>
        <w:rPr>
          <w:color w:val="211F1F"/>
          <w:u w:val="single" w:color="211F1F"/>
        </w:rPr>
        <w:t>average</w:t>
      </w:r>
      <w:r>
        <w:rPr>
          <w:color w:val="211F1F"/>
        </w:rPr>
        <w:t xml:space="preserve"> annual construction turnover of Kenya Shillings</w:t>
      </w:r>
      <w:r>
        <w:rPr>
          <w:color w:val="211F1F"/>
          <w:u w:val="single" w:color="201E1E"/>
        </w:rPr>
        <w:tab/>
      </w:r>
      <w:r>
        <w:rPr>
          <w:i/>
          <w:color w:val="211F1F"/>
        </w:rPr>
        <w:t>[insert</w:t>
      </w:r>
      <w:r>
        <w:rPr>
          <w:i/>
          <w:color w:val="211F1F"/>
          <w:spacing w:val="-14"/>
        </w:rPr>
        <w:t xml:space="preserve"> </w:t>
      </w:r>
      <w:r>
        <w:rPr>
          <w:i/>
          <w:color w:val="211F1F"/>
        </w:rPr>
        <w:t>amount]</w:t>
      </w:r>
      <w:r>
        <w:rPr>
          <w:color w:val="211F1F"/>
        </w:rPr>
        <w:t>, equivalent</w:t>
      </w:r>
      <w:r>
        <w:rPr>
          <w:color w:val="211F1F"/>
          <w:spacing w:val="-16"/>
        </w:rPr>
        <w:t xml:space="preserve"> </w:t>
      </w:r>
      <w:r>
        <w:rPr>
          <w:color w:val="211F1F"/>
        </w:rPr>
        <w:t>calculated</w:t>
      </w:r>
      <w:r>
        <w:rPr>
          <w:color w:val="211F1F"/>
          <w:spacing w:val="-14"/>
        </w:rPr>
        <w:t xml:space="preserve"> </w:t>
      </w:r>
      <w:r>
        <w:rPr>
          <w:color w:val="211F1F"/>
        </w:rPr>
        <w:t>as</w:t>
      </w:r>
      <w:r>
        <w:rPr>
          <w:color w:val="211F1F"/>
          <w:spacing w:val="-14"/>
        </w:rPr>
        <w:t xml:space="preserve"> </w:t>
      </w:r>
      <w:r>
        <w:rPr>
          <w:color w:val="211F1F"/>
        </w:rPr>
        <w:t>total</w:t>
      </w:r>
      <w:r>
        <w:rPr>
          <w:color w:val="211F1F"/>
          <w:spacing w:val="-13"/>
        </w:rPr>
        <w:t xml:space="preserve"> </w:t>
      </w:r>
      <w:r>
        <w:rPr>
          <w:color w:val="211F1F"/>
        </w:rPr>
        <w:t>certified</w:t>
      </w:r>
      <w:r>
        <w:rPr>
          <w:color w:val="211F1F"/>
          <w:spacing w:val="-14"/>
        </w:rPr>
        <w:t xml:space="preserve"> </w:t>
      </w:r>
      <w:r>
        <w:rPr>
          <w:color w:val="211F1F"/>
        </w:rPr>
        <w:t>payments</w:t>
      </w:r>
      <w:r>
        <w:rPr>
          <w:color w:val="211F1F"/>
          <w:spacing w:val="-14"/>
        </w:rPr>
        <w:t xml:space="preserve"> </w:t>
      </w:r>
      <w:r>
        <w:rPr>
          <w:color w:val="211F1F"/>
        </w:rPr>
        <w:t>received</w:t>
      </w:r>
      <w:r>
        <w:rPr>
          <w:color w:val="211F1F"/>
          <w:spacing w:val="-14"/>
        </w:rPr>
        <w:t xml:space="preserve"> </w:t>
      </w:r>
      <w:r>
        <w:rPr>
          <w:color w:val="211F1F"/>
        </w:rPr>
        <w:t>for</w:t>
      </w:r>
      <w:r>
        <w:rPr>
          <w:color w:val="211F1F"/>
          <w:spacing w:val="-13"/>
        </w:rPr>
        <w:t xml:space="preserve"> </w:t>
      </w:r>
      <w:r>
        <w:rPr>
          <w:color w:val="211F1F"/>
        </w:rPr>
        <w:t>contracts</w:t>
      </w:r>
      <w:r>
        <w:rPr>
          <w:color w:val="211F1F"/>
          <w:spacing w:val="-14"/>
        </w:rPr>
        <w:t xml:space="preserve"> </w:t>
      </w:r>
      <w:r>
        <w:rPr>
          <w:color w:val="211F1F"/>
        </w:rPr>
        <w:t>in</w:t>
      </w:r>
      <w:r>
        <w:rPr>
          <w:color w:val="211F1F"/>
          <w:spacing w:val="-14"/>
        </w:rPr>
        <w:t xml:space="preserve"> </w:t>
      </w:r>
      <w:r>
        <w:rPr>
          <w:color w:val="211F1F"/>
        </w:rPr>
        <w:t>progress</w:t>
      </w:r>
      <w:r>
        <w:rPr>
          <w:color w:val="211F1F"/>
          <w:spacing w:val="-14"/>
        </w:rPr>
        <w:t xml:space="preserve"> </w:t>
      </w:r>
      <w:r>
        <w:rPr>
          <w:color w:val="211F1F"/>
        </w:rPr>
        <w:t>and/or</w:t>
      </w:r>
      <w:r>
        <w:rPr>
          <w:color w:val="211F1F"/>
          <w:spacing w:val="-13"/>
        </w:rPr>
        <w:t xml:space="preserve"> </w:t>
      </w:r>
      <w:r>
        <w:rPr>
          <w:color w:val="211F1F"/>
        </w:rPr>
        <w:t>completed within the</w:t>
      </w:r>
      <w:r>
        <w:rPr>
          <w:color w:val="211F1F"/>
          <w:spacing w:val="-3"/>
        </w:rPr>
        <w:t xml:space="preserve"> </w:t>
      </w:r>
      <w:r>
        <w:rPr>
          <w:color w:val="211F1F"/>
        </w:rPr>
        <w:t>last</w:t>
      </w:r>
      <w:r>
        <w:rPr>
          <w:i/>
          <w:color w:val="211F1F"/>
          <w:u w:val="single" w:color="201E1F"/>
        </w:rPr>
        <w:tab/>
      </w:r>
      <w:r>
        <w:rPr>
          <w:i/>
          <w:color w:val="211F1F"/>
        </w:rPr>
        <w:t xml:space="preserve">[insert of year] </w:t>
      </w:r>
      <w:r>
        <w:rPr>
          <w:color w:val="211F1F"/>
        </w:rPr>
        <w:t>years.</w:t>
      </w:r>
    </w:p>
    <w:p w14:paraId="6241814D" w14:textId="77777777" w:rsidR="00BB77C0" w:rsidRDefault="00370BAA">
      <w:pPr>
        <w:pStyle w:val="ListParagraph"/>
        <w:numPr>
          <w:ilvl w:val="2"/>
          <w:numId w:val="68"/>
        </w:numPr>
        <w:tabs>
          <w:tab w:val="left" w:pos="1826"/>
          <w:tab w:val="left" w:pos="1829"/>
          <w:tab w:val="left" w:pos="3448"/>
          <w:tab w:val="left" w:pos="4845"/>
        </w:tabs>
        <w:spacing w:before="1" w:line="230" w:lineRule="auto"/>
        <w:ind w:right="342"/>
        <w:jc w:val="both"/>
        <w:rPr>
          <w:color w:val="211F1F"/>
        </w:rPr>
      </w:pPr>
      <w:r>
        <w:rPr>
          <w:color w:val="211F1F"/>
        </w:rPr>
        <w:t>At</w:t>
      </w:r>
      <w:r>
        <w:rPr>
          <w:color w:val="211F1F"/>
          <w:spacing w:val="-8"/>
        </w:rPr>
        <w:t xml:space="preserve"> </w:t>
      </w:r>
      <w:r>
        <w:rPr>
          <w:color w:val="211F1F"/>
        </w:rPr>
        <w:t>least</w:t>
      </w:r>
      <w:r>
        <w:rPr>
          <w:color w:val="211F1F"/>
          <w:u w:val="single" w:color="201E1F"/>
        </w:rPr>
        <w:tab/>
      </w:r>
      <w:r>
        <w:rPr>
          <w:color w:val="211F1F"/>
        </w:rPr>
        <w:t>(</w:t>
      </w:r>
      <w:r>
        <w:rPr>
          <w:i/>
          <w:color w:val="211F1F"/>
        </w:rPr>
        <w:t>insert</w:t>
      </w:r>
      <w:r>
        <w:rPr>
          <w:i/>
          <w:color w:val="211F1F"/>
          <w:spacing w:val="-1"/>
        </w:rPr>
        <w:t xml:space="preserve"> </w:t>
      </w:r>
      <w:r>
        <w:rPr>
          <w:i/>
          <w:color w:val="211F1F"/>
        </w:rPr>
        <w:t>number)</w:t>
      </w:r>
      <w:r>
        <w:rPr>
          <w:i/>
          <w:color w:val="211F1F"/>
          <w:spacing w:val="-3"/>
        </w:rPr>
        <w:t xml:space="preserve"> </w:t>
      </w:r>
      <w:r>
        <w:rPr>
          <w:color w:val="211F1F"/>
        </w:rPr>
        <w:t>of</w:t>
      </w:r>
      <w:r>
        <w:rPr>
          <w:color w:val="211F1F"/>
          <w:spacing w:val="-3"/>
        </w:rPr>
        <w:t xml:space="preserve"> </w:t>
      </w:r>
      <w:r>
        <w:rPr>
          <w:color w:val="211F1F"/>
        </w:rPr>
        <w:t>contract(s)</w:t>
      </w:r>
      <w:r>
        <w:rPr>
          <w:color w:val="211F1F"/>
          <w:spacing w:val="-2"/>
        </w:rPr>
        <w:t xml:space="preserve"> </w:t>
      </w:r>
      <w:r>
        <w:rPr>
          <w:color w:val="211F1F"/>
        </w:rPr>
        <w:t>of</w:t>
      </w:r>
      <w:r>
        <w:rPr>
          <w:color w:val="211F1F"/>
          <w:spacing w:val="-3"/>
        </w:rPr>
        <w:t xml:space="preserve"> </w:t>
      </w:r>
      <w:r>
        <w:rPr>
          <w:color w:val="211F1F"/>
        </w:rPr>
        <w:t>a</w:t>
      </w:r>
      <w:r>
        <w:rPr>
          <w:color w:val="211F1F"/>
          <w:spacing w:val="-4"/>
        </w:rPr>
        <w:t xml:space="preserve"> </w:t>
      </w:r>
      <w:r>
        <w:rPr>
          <w:color w:val="211F1F"/>
        </w:rPr>
        <w:t>similar</w:t>
      </w:r>
      <w:r>
        <w:rPr>
          <w:color w:val="211F1F"/>
          <w:spacing w:val="-2"/>
        </w:rPr>
        <w:t xml:space="preserve"> </w:t>
      </w:r>
      <w:r>
        <w:rPr>
          <w:color w:val="211F1F"/>
        </w:rPr>
        <w:t>nature</w:t>
      </w:r>
      <w:r>
        <w:rPr>
          <w:color w:val="211F1F"/>
          <w:spacing w:val="-13"/>
        </w:rPr>
        <w:t xml:space="preserve"> </w:t>
      </w:r>
      <w:r>
        <w:rPr>
          <w:color w:val="211F1F"/>
        </w:rPr>
        <w:t>executed</w:t>
      </w:r>
      <w:r>
        <w:rPr>
          <w:color w:val="211F1F"/>
          <w:spacing w:val="40"/>
        </w:rPr>
        <w:t xml:space="preserve"> </w:t>
      </w:r>
      <w:r>
        <w:rPr>
          <w:color w:val="211F1F"/>
        </w:rPr>
        <w:t>within</w:t>
      </w:r>
      <w:r>
        <w:rPr>
          <w:color w:val="211F1F"/>
          <w:spacing w:val="-6"/>
        </w:rPr>
        <w:t xml:space="preserve"> </w:t>
      </w:r>
      <w:r>
        <w:rPr>
          <w:color w:val="211F1F"/>
        </w:rPr>
        <w:t>Kenya,</w:t>
      </w:r>
      <w:r>
        <w:rPr>
          <w:color w:val="211F1F"/>
          <w:spacing w:val="-3"/>
        </w:rPr>
        <w:t xml:space="preserve"> </w:t>
      </w:r>
      <w:r>
        <w:rPr>
          <w:color w:val="211F1F"/>
        </w:rPr>
        <w:t>or the East</w:t>
      </w:r>
      <w:r>
        <w:rPr>
          <w:color w:val="211F1F"/>
          <w:spacing w:val="-1"/>
        </w:rPr>
        <w:t xml:space="preserve"> </w:t>
      </w:r>
      <w:r>
        <w:rPr>
          <w:color w:val="211F1F"/>
        </w:rPr>
        <w:t>African Community or abroad, that have</w:t>
      </w:r>
      <w:r>
        <w:rPr>
          <w:color w:val="211F1F"/>
          <w:spacing w:val="-1"/>
        </w:rPr>
        <w:t xml:space="preserve"> </w:t>
      </w:r>
      <w:r>
        <w:rPr>
          <w:color w:val="211F1F"/>
        </w:rPr>
        <w:t xml:space="preserve">been satisfactorily and substantially completed as a prime contractor, or joint venture member or sub-contractor each of minimum value Kenya </w:t>
      </w:r>
      <w:r>
        <w:rPr>
          <w:color w:val="211F1F"/>
          <w:spacing w:val="-2"/>
        </w:rPr>
        <w:t>shillings</w:t>
      </w:r>
      <w:r>
        <w:rPr>
          <w:color w:val="211F1F"/>
          <w:u w:val="single" w:color="201E1F"/>
        </w:rPr>
        <w:tab/>
      </w:r>
      <w:r>
        <w:rPr>
          <w:color w:val="211F1F"/>
          <w:u w:val="single" w:color="201E1F"/>
        </w:rPr>
        <w:tab/>
      </w:r>
      <w:r>
        <w:rPr>
          <w:color w:val="211F1F"/>
          <w:spacing w:val="-2"/>
        </w:rPr>
        <w:t>equivalent.</w:t>
      </w:r>
    </w:p>
    <w:p w14:paraId="060A61EF" w14:textId="77777777" w:rsidR="00BB77C0" w:rsidRDefault="00370BAA">
      <w:pPr>
        <w:pStyle w:val="ListParagraph"/>
        <w:numPr>
          <w:ilvl w:val="2"/>
          <w:numId w:val="68"/>
        </w:numPr>
        <w:tabs>
          <w:tab w:val="left" w:pos="1828"/>
          <w:tab w:val="left" w:pos="10552"/>
        </w:tabs>
        <w:spacing w:line="239" w:lineRule="exact"/>
        <w:ind w:left="1828" w:hanging="565"/>
        <w:jc w:val="both"/>
        <w:rPr>
          <w:color w:val="211F1F"/>
        </w:rPr>
      </w:pPr>
      <w:r>
        <w:rPr>
          <w:color w:val="211F1F"/>
          <w:spacing w:val="-4"/>
        </w:rPr>
        <w:t>Contractor's</w:t>
      </w:r>
      <w:r>
        <w:rPr>
          <w:color w:val="211F1F"/>
          <w:spacing w:val="-11"/>
        </w:rPr>
        <w:t xml:space="preserve"> </w:t>
      </w:r>
      <w:r>
        <w:rPr>
          <w:color w:val="211F1F"/>
          <w:spacing w:val="-4"/>
        </w:rPr>
        <w:t>Representative</w:t>
      </w:r>
      <w:r>
        <w:rPr>
          <w:color w:val="211F1F"/>
          <w:spacing w:val="-7"/>
        </w:rPr>
        <w:t xml:space="preserve"> </w:t>
      </w:r>
      <w:r>
        <w:rPr>
          <w:color w:val="211F1F"/>
          <w:spacing w:val="-4"/>
        </w:rPr>
        <w:t>and</w:t>
      </w:r>
      <w:r>
        <w:rPr>
          <w:color w:val="211F1F"/>
          <w:spacing w:val="-7"/>
        </w:rPr>
        <w:t xml:space="preserve"> </w:t>
      </w:r>
      <w:r>
        <w:rPr>
          <w:color w:val="211F1F"/>
          <w:spacing w:val="-4"/>
        </w:rPr>
        <w:t>Key</w:t>
      </w:r>
      <w:r>
        <w:rPr>
          <w:color w:val="211F1F"/>
          <w:spacing w:val="-7"/>
        </w:rPr>
        <w:t xml:space="preserve"> </w:t>
      </w:r>
      <w:r>
        <w:rPr>
          <w:color w:val="211F1F"/>
          <w:spacing w:val="-4"/>
        </w:rPr>
        <w:t>Personnel,</w:t>
      </w:r>
      <w:r>
        <w:rPr>
          <w:color w:val="211F1F"/>
          <w:spacing w:val="3"/>
        </w:rPr>
        <w:t xml:space="preserve"> </w:t>
      </w:r>
      <w:r>
        <w:rPr>
          <w:color w:val="211F1F"/>
          <w:spacing w:val="-4"/>
        </w:rPr>
        <w:t>which</w:t>
      </w:r>
      <w:r>
        <w:rPr>
          <w:color w:val="211F1F"/>
          <w:spacing w:val="-7"/>
        </w:rPr>
        <w:t xml:space="preserve"> </w:t>
      </w:r>
      <w:r>
        <w:rPr>
          <w:color w:val="211F1F"/>
          <w:spacing w:val="-4"/>
        </w:rPr>
        <w:t>are</w:t>
      </w:r>
      <w:r>
        <w:rPr>
          <w:color w:val="211F1F"/>
          <w:spacing w:val="-10"/>
        </w:rPr>
        <w:t xml:space="preserve"> </w:t>
      </w:r>
      <w:r>
        <w:rPr>
          <w:color w:val="211F1F"/>
          <w:spacing w:val="-4"/>
        </w:rPr>
        <w:t>specified</w:t>
      </w:r>
      <w:r>
        <w:rPr>
          <w:color w:val="211F1F"/>
          <w:spacing w:val="-5"/>
        </w:rPr>
        <w:t xml:space="preserve"> </w:t>
      </w:r>
      <w:r>
        <w:rPr>
          <w:color w:val="211F1F"/>
          <w:spacing w:val="-4"/>
        </w:rPr>
        <w:t>as</w:t>
      </w:r>
      <w:r>
        <w:rPr>
          <w:color w:val="211F1F"/>
          <w:spacing w:val="-12"/>
        </w:rPr>
        <w:t xml:space="preserve"> </w:t>
      </w:r>
      <w:r>
        <w:rPr>
          <w:color w:val="211F1F"/>
          <w:u w:val="single" w:color="201E1F"/>
        </w:rPr>
        <w:tab/>
      </w:r>
    </w:p>
    <w:p w14:paraId="575BC412" w14:textId="77777777" w:rsidR="00BB77C0" w:rsidRDefault="00370BAA">
      <w:pPr>
        <w:pStyle w:val="ListParagraph"/>
        <w:numPr>
          <w:ilvl w:val="2"/>
          <w:numId w:val="68"/>
        </w:numPr>
        <w:tabs>
          <w:tab w:val="left" w:pos="1826"/>
          <w:tab w:val="left" w:pos="1829"/>
          <w:tab w:val="left" w:pos="10451"/>
        </w:tabs>
        <w:spacing w:before="6" w:line="228" w:lineRule="auto"/>
        <w:ind w:right="351"/>
        <w:jc w:val="both"/>
        <w:rPr>
          <w:i/>
          <w:color w:val="211F1F"/>
        </w:rPr>
      </w:pPr>
      <w:r>
        <w:rPr>
          <w:color w:val="211F1F"/>
        </w:rPr>
        <w:t>Contractors key equipment listed on the table “Contractor's Equipment” below and more specifically</w:t>
      </w:r>
      <w:r>
        <w:rPr>
          <w:color w:val="211F1F"/>
          <w:spacing w:val="-9"/>
        </w:rPr>
        <w:t xml:space="preserve"> </w:t>
      </w:r>
      <w:r>
        <w:rPr>
          <w:color w:val="211F1F"/>
        </w:rPr>
        <w:t>listed</w:t>
      </w:r>
      <w:r>
        <w:rPr>
          <w:color w:val="211F1F"/>
          <w:spacing w:val="-9"/>
        </w:rPr>
        <w:t xml:space="preserve"> </w:t>
      </w:r>
      <w:r>
        <w:rPr>
          <w:color w:val="211F1F"/>
        </w:rPr>
        <w:t>as</w:t>
      </w:r>
      <w:r>
        <w:rPr>
          <w:color w:val="211F1F"/>
          <w:spacing w:val="-4"/>
        </w:rPr>
        <w:t xml:space="preserve"> </w:t>
      </w:r>
      <w:r>
        <w:rPr>
          <w:i/>
          <w:color w:val="211F1F"/>
        </w:rPr>
        <w:t>[specify</w:t>
      </w:r>
      <w:r>
        <w:rPr>
          <w:i/>
          <w:color w:val="211F1F"/>
          <w:spacing w:val="-7"/>
        </w:rPr>
        <w:t xml:space="preserve"> </w:t>
      </w:r>
      <w:r>
        <w:rPr>
          <w:i/>
          <w:color w:val="211F1F"/>
        </w:rPr>
        <w:t>requirementsfor</w:t>
      </w:r>
      <w:r>
        <w:rPr>
          <w:i/>
          <w:color w:val="211F1F"/>
          <w:spacing w:val="-4"/>
        </w:rPr>
        <w:t xml:space="preserve"> </w:t>
      </w:r>
      <w:r>
        <w:rPr>
          <w:i/>
          <w:color w:val="211F1F"/>
        </w:rPr>
        <w:t>eachlot</w:t>
      </w:r>
      <w:r>
        <w:rPr>
          <w:i/>
          <w:color w:val="211F1F"/>
          <w:spacing w:val="-4"/>
        </w:rPr>
        <w:t xml:space="preserve"> </w:t>
      </w:r>
      <w:r>
        <w:rPr>
          <w:i/>
          <w:color w:val="211F1F"/>
        </w:rPr>
        <w:t>as</w:t>
      </w:r>
      <w:r>
        <w:rPr>
          <w:i/>
          <w:color w:val="211F1F"/>
          <w:spacing w:val="-9"/>
        </w:rPr>
        <w:t xml:space="preserve"> </w:t>
      </w:r>
      <w:r>
        <w:rPr>
          <w:i/>
          <w:color w:val="211F1F"/>
        </w:rPr>
        <w:t>applicable]</w:t>
      </w:r>
      <w:r>
        <w:rPr>
          <w:i/>
          <w:color w:val="211F1F"/>
          <w:spacing w:val="-4"/>
        </w:rPr>
        <w:t xml:space="preserve"> </w:t>
      </w:r>
      <w:r>
        <w:rPr>
          <w:i/>
          <w:color w:val="211F1F"/>
          <w:u w:val="single" w:color="201E1F"/>
        </w:rPr>
        <w:tab/>
      </w:r>
    </w:p>
    <w:p w14:paraId="767DD3DB" w14:textId="77777777" w:rsidR="00BB77C0" w:rsidRDefault="00370BAA">
      <w:pPr>
        <w:pStyle w:val="ListParagraph"/>
        <w:numPr>
          <w:ilvl w:val="2"/>
          <w:numId w:val="68"/>
        </w:numPr>
        <w:tabs>
          <w:tab w:val="left" w:pos="1828"/>
        </w:tabs>
        <w:spacing w:line="252" w:lineRule="exact"/>
        <w:ind w:left="1828" w:hanging="565"/>
        <w:jc w:val="both"/>
        <w:rPr>
          <w:color w:val="211F1F"/>
        </w:rPr>
      </w:pPr>
      <w:r>
        <w:rPr>
          <w:color w:val="211F1F"/>
          <w:spacing w:val="-4"/>
        </w:rPr>
        <w:t>Other</w:t>
      </w:r>
      <w:r>
        <w:rPr>
          <w:color w:val="211F1F"/>
        </w:rPr>
        <w:t xml:space="preserve"> </w:t>
      </w:r>
      <w:r>
        <w:rPr>
          <w:color w:val="211F1F"/>
          <w:spacing w:val="-4"/>
        </w:rPr>
        <w:t>conditions</w:t>
      </w:r>
      <w:r>
        <w:rPr>
          <w:color w:val="211F1F"/>
          <w:spacing w:val="-3"/>
        </w:rPr>
        <w:t xml:space="preserve"> </w:t>
      </w:r>
      <w:r>
        <w:rPr>
          <w:color w:val="211F1F"/>
          <w:spacing w:val="-4"/>
        </w:rPr>
        <w:t>depending</w:t>
      </w:r>
      <w:r>
        <w:rPr>
          <w:color w:val="211F1F"/>
          <w:spacing w:val="-14"/>
        </w:rPr>
        <w:t xml:space="preserve"> </w:t>
      </w:r>
      <w:r>
        <w:rPr>
          <w:color w:val="211F1F"/>
          <w:spacing w:val="-4"/>
        </w:rPr>
        <w:t>on</w:t>
      </w:r>
      <w:r>
        <w:rPr>
          <w:color w:val="211F1F"/>
          <w:spacing w:val="-10"/>
        </w:rPr>
        <w:t xml:space="preserve"> </w:t>
      </w:r>
      <w:r>
        <w:rPr>
          <w:color w:val="211F1F"/>
          <w:spacing w:val="-4"/>
        </w:rPr>
        <w:t>their</w:t>
      </w:r>
      <w:r>
        <w:rPr>
          <w:color w:val="211F1F"/>
          <w:spacing w:val="1"/>
        </w:rPr>
        <w:t xml:space="preserve"> </w:t>
      </w:r>
      <w:r>
        <w:rPr>
          <w:color w:val="211F1F"/>
          <w:spacing w:val="-4"/>
        </w:rPr>
        <w:t>seriousness.</w:t>
      </w:r>
    </w:p>
    <w:p w14:paraId="54357949" w14:textId="77777777" w:rsidR="00BB77C0" w:rsidRDefault="00370BAA">
      <w:pPr>
        <w:pStyle w:val="Heading7"/>
        <w:numPr>
          <w:ilvl w:val="3"/>
          <w:numId w:val="68"/>
        </w:numPr>
        <w:tabs>
          <w:tab w:val="left" w:pos="2274"/>
        </w:tabs>
        <w:spacing w:before="107" w:line="249" w:lineRule="exact"/>
        <w:ind w:left="2274" w:hanging="445"/>
        <w:jc w:val="both"/>
        <w:rPr>
          <w:b w:val="0"/>
          <w:color w:val="211F1F"/>
        </w:rPr>
      </w:pPr>
      <w:bookmarkStart w:id="131" w:name="a)_History_of_non-performing_contracts:"/>
      <w:bookmarkEnd w:id="131"/>
      <w:r>
        <w:rPr>
          <w:color w:val="211F1F"/>
          <w:spacing w:val="-4"/>
        </w:rPr>
        <w:t>History</w:t>
      </w:r>
      <w:r>
        <w:rPr>
          <w:color w:val="211F1F"/>
          <w:spacing w:val="-8"/>
        </w:rPr>
        <w:t xml:space="preserve"> </w:t>
      </w:r>
      <w:r>
        <w:rPr>
          <w:color w:val="211F1F"/>
          <w:spacing w:val="-4"/>
        </w:rPr>
        <w:t>of non-performing</w:t>
      </w:r>
      <w:r>
        <w:rPr>
          <w:color w:val="211F1F"/>
          <w:spacing w:val="-1"/>
        </w:rPr>
        <w:t xml:space="preserve"> </w:t>
      </w:r>
      <w:r>
        <w:rPr>
          <w:color w:val="211F1F"/>
          <w:spacing w:val="-4"/>
        </w:rPr>
        <w:t>contracts</w:t>
      </w:r>
      <w:r>
        <w:rPr>
          <w:b w:val="0"/>
          <w:color w:val="211F1F"/>
          <w:spacing w:val="-4"/>
        </w:rPr>
        <w:t>:</w:t>
      </w:r>
    </w:p>
    <w:p w14:paraId="227AC1C2" w14:textId="77777777" w:rsidR="00BB77C0" w:rsidRDefault="00370BAA">
      <w:pPr>
        <w:pStyle w:val="BodyText"/>
        <w:tabs>
          <w:tab w:val="left" w:pos="5949"/>
        </w:tabs>
        <w:spacing w:before="4" w:line="230" w:lineRule="auto"/>
        <w:ind w:left="2276" w:right="342"/>
        <w:jc w:val="both"/>
      </w:pPr>
      <w:r>
        <w:rPr>
          <w:color w:val="211F1F"/>
        </w:rPr>
        <w:t>Tenderer and each member of JV in case the Tenderer is a JV, shall demonstrate that Non- performance</w:t>
      </w:r>
      <w:r>
        <w:rPr>
          <w:color w:val="211F1F"/>
          <w:spacing w:val="-12"/>
        </w:rPr>
        <w:t xml:space="preserve"> </w:t>
      </w:r>
      <w:r>
        <w:rPr>
          <w:color w:val="211F1F"/>
        </w:rPr>
        <w:t>of</w:t>
      </w:r>
      <w:r>
        <w:rPr>
          <w:color w:val="211F1F"/>
          <w:spacing w:val="-4"/>
        </w:rPr>
        <w:t xml:space="preserve"> </w:t>
      </w:r>
      <w:r>
        <w:rPr>
          <w:color w:val="211F1F"/>
        </w:rPr>
        <w:t>a</w:t>
      </w:r>
      <w:r>
        <w:rPr>
          <w:color w:val="211F1F"/>
          <w:spacing w:val="-5"/>
        </w:rPr>
        <w:t xml:space="preserve"> </w:t>
      </w:r>
      <w:r>
        <w:rPr>
          <w:color w:val="211F1F"/>
        </w:rPr>
        <w:t>contract</w:t>
      </w:r>
      <w:r>
        <w:rPr>
          <w:color w:val="211F1F"/>
          <w:spacing w:val="-6"/>
        </w:rPr>
        <w:t xml:space="preserve"> </w:t>
      </w:r>
      <w:r>
        <w:rPr>
          <w:color w:val="211F1F"/>
        </w:rPr>
        <w:t>did</w:t>
      </w:r>
      <w:r>
        <w:rPr>
          <w:color w:val="211F1F"/>
          <w:spacing w:val="-7"/>
        </w:rPr>
        <w:t xml:space="preserve"> </w:t>
      </w:r>
      <w:r>
        <w:rPr>
          <w:color w:val="211F1F"/>
        </w:rPr>
        <w:t>not</w:t>
      </w:r>
      <w:r>
        <w:rPr>
          <w:color w:val="211F1F"/>
          <w:spacing w:val="-2"/>
        </w:rPr>
        <w:t xml:space="preserve"> </w:t>
      </w:r>
      <w:r>
        <w:rPr>
          <w:color w:val="211F1F"/>
        </w:rPr>
        <w:t>occur because</w:t>
      </w:r>
      <w:r>
        <w:rPr>
          <w:color w:val="211F1F"/>
          <w:spacing w:val="-9"/>
        </w:rPr>
        <w:t xml:space="preserve"> </w:t>
      </w:r>
      <w:r>
        <w:rPr>
          <w:color w:val="211F1F"/>
        </w:rPr>
        <w:t>of</w:t>
      </w:r>
      <w:r>
        <w:rPr>
          <w:color w:val="211F1F"/>
          <w:spacing w:val="-4"/>
        </w:rPr>
        <w:t xml:space="preserve"> </w:t>
      </w:r>
      <w:r>
        <w:rPr>
          <w:color w:val="211F1F"/>
        </w:rPr>
        <w:t>the</w:t>
      </w:r>
      <w:r>
        <w:rPr>
          <w:color w:val="211F1F"/>
          <w:spacing w:val="-9"/>
        </w:rPr>
        <w:t xml:space="preserve"> </w:t>
      </w:r>
      <w:r>
        <w:rPr>
          <w:color w:val="211F1F"/>
        </w:rPr>
        <w:t>default</w:t>
      </w:r>
      <w:r>
        <w:rPr>
          <w:color w:val="211F1F"/>
          <w:spacing w:val="-2"/>
        </w:rPr>
        <w:t xml:space="preserve"> </w:t>
      </w:r>
      <w:r>
        <w:rPr>
          <w:color w:val="211F1F"/>
        </w:rPr>
        <w:t>of</w:t>
      </w:r>
      <w:r>
        <w:rPr>
          <w:color w:val="211F1F"/>
          <w:spacing w:val="-4"/>
        </w:rPr>
        <w:t xml:space="preserve"> </w:t>
      </w:r>
      <w:r>
        <w:rPr>
          <w:color w:val="211F1F"/>
        </w:rPr>
        <w:t>the</w:t>
      </w:r>
      <w:r>
        <w:rPr>
          <w:color w:val="211F1F"/>
          <w:spacing w:val="-14"/>
        </w:rPr>
        <w:t xml:space="preserve"> </w:t>
      </w:r>
      <w:r>
        <w:rPr>
          <w:color w:val="211F1F"/>
        </w:rPr>
        <w:t>Tenderer,</w:t>
      </w:r>
      <w:r>
        <w:rPr>
          <w:color w:val="211F1F"/>
          <w:spacing w:val="-5"/>
        </w:rPr>
        <w:t xml:space="preserve"> </w:t>
      </w:r>
      <w:r>
        <w:rPr>
          <w:color w:val="211F1F"/>
        </w:rPr>
        <w:t>or</w:t>
      </w:r>
      <w:r>
        <w:rPr>
          <w:color w:val="211F1F"/>
          <w:spacing w:val="-4"/>
        </w:rPr>
        <w:t xml:space="preserve"> </w:t>
      </w:r>
      <w:r>
        <w:rPr>
          <w:color w:val="211F1F"/>
        </w:rPr>
        <w:t>the</w:t>
      </w:r>
      <w:r>
        <w:rPr>
          <w:color w:val="211F1F"/>
          <w:spacing w:val="-5"/>
        </w:rPr>
        <w:t xml:space="preserve"> </w:t>
      </w:r>
      <w:r>
        <w:rPr>
          <w:color w:val="211F1F"/>
        </w:rPr>
        <w:t>member of a JV in the last</w:t>
      </w:r>
      <w:r>
        <w:rPr>
          <w:color w:val="211F1F"/>
          <w:u w:val="single" w:color="201E1F"/>
        </w:rPr>
        <w:tab/>
      </w:r>
      <w:r>
        <w:rPr>
          <w:color w:val="211F1F"/>
        </w:rPr>
        <w:t>(</w:t>
      </w:r>
      <w:r>
        <w:rPr>
          <w:i/>
          <w:color w:val="211F1F"/>
        </w:rPr>
        <w:t>specify years</w:t>
      </w:r>
      <w:r>
        <w:rPr>
          <w:color w:val="211F1F"/>
        </w:rPr>
        <w:t>). The required information shall be furnished in the appropriate form.</w:t>
      </w:r>
    </w:p>
    <w:p w14:paraId="5A67F9F4" w14:textId="77777777" w:rsidR="00BB77C0" w:rsidRDefault="00370BAA">
      <w:pPr>
        <w:pStyle w:val="Heading7"/>
        <w:numPr>
          <w:ilvl w:val="3"/>
          <w:numId w:val="68"/>
        </w:numPr>
        <w:tabs>
          <w:tab w:val="left" w:pos="2274"/>
        </w:tabs>
        <w:spacing w:before="183" w:line="249" w:lineRule="exact"/>
        <w:ind w:left="2274" w:hanging="445"/>
        <w:jc w:val="both"/>
        <w:rPr>
          <w:b w:val="0"/>
          <w:color w:val="211F1F"/>
        </w:rPr>
      </w:pPr>
      <w:bookmarkStart w:id="132" w:name="b)_Pending_Litigation"/>
      <w:bookmarkEnd w:id="132"/>
      <w:r>
        <w:rPr>
          <w:color w:val="211F1F"/>
          <w:spacing w:val="-5"/>
        </w:rPr>
        <w:t>Pending</w:t>
      </w:r>
      <w:r>
        <w:rPr>
          <w:color w:val="211F1F"/>
        </w:rPr>
        <w:t xml:space="preserve"> </w:t>
      </w:r>
      <w:r>
        <w:rPr>
          <w:color w:val="211F1F"/>
          <w:spacing w:val="-2"/>
        </w:rPr>
        <w:t>Litigation</w:t>
      </w:r>
    </w:p>
    <w:p w14:paraId="61ECF49C" w14:textId="77777777" w:rsidR="00BB77C0" w:rsidRDefault="00370BAA">
      <w:pPr>
        <w:pStyle w:val="BodyText"/>
        <w:spacing w:before="4" w:line="230" w:lineRule="auto"/>
        <w:ind w:left="2276" w:right="344"/>
        <w:jc w:val="both"/>
      </w:pPr>
      <w:r>
        <w:rPr>
          <w:color w:val="211F1F"/>
        </w:rPr>
        <w:t>Financial position and prospective long-term profitability of the Single Tenderer, and in the case</w:t>
      </w:r>
      <w:r>
        <w:rPr>
          <w:color w:val="211F1F"/>
          <w:spacing w:val="-3"/>
        </w:rPr>
        <w:t xml:space="preserve"> </w:t>
      </w:r>
      <w:r>
        <w:rPr>
          <w:color w:val="211F1F"/>
        </w:rPr>
        <w:t>the</w:t>
      </w:r>
      <w:r>
        <w:rPr>
          <w:color w:val="211F1F"/>
          <w:spacing w:val="-9"/>
        </w:rPr>
        <w:t xml:space="preserve"> </w:t>
      </w:r>
      <w:r>
        <w:rPr>
          <w:color w:val="211F1F"/>
        </w:rPr>
        <w:t>Tenderer is</w:t>
      </w:r>
      <w:r>
        <w:rPr>
          <w:color w:val="211F1F"/>
          <w:spacing w:val="-1"/>
        </w:rPr>
        <w:t xml:space="preserve"> </w:t>
      </w:r>
      <w:r>
        <w:rPr>
          <w:color w:val="211F1F"/>
        </w:rPr>
        <w:t>a JV,</w:t>
      </w:r>
      <w:r>
        <w:rPr>
          <w:color w:val="211F1F"/>
          <w:spacing w:val="-4"/>
        </w:rPr>
        <w:t xml:space="preserve"> </w:t>
      </w:r>
      <w:r>
        <w:rPr>
          <w:color w:val="211F1F"/>
        </w:rPr>
        <w:t>of each</w:t>
      </w:r>
      <w:r>
        <w:rPr>
          <w:color w:val="211F1F"/>
          <w:spacing w:val="-1"/>
        </w:rPr>
        <w:t xml:space="preserve"> </w:t>
      </w:r>
      <w:r>
        <w:rPr>
          <w:color w:val="211F1F"/>
        </w:rPr>
        <w:t>member of the</w:t>
      </w:r>
      <w:r>
        <w:rPr>
          <w:color w:val="211F1F"/>
          <w:spacing w:val="-4"/>
        </w:rPr>
        <w:t xml:space="preserve"> </w:t>
      </w:r>
      <w:r>
        <w:rPr>
          <w:color w:val="211F1F"/>
        </w:rPr>
        <w:t>JV,</w:t>
      </w:r>
      <w:r>
        <w:rPr>
          <w:color w:val="211F1F"/>
          <w:spacing w:val="-4"/>
        </w:rPr>
        <w:t xml:space="preserve"> </w:t>
      </w:r>
      <w:r>
        <w:rPr>
          <w:color w:val="211F1F"/>
        </w:rPr>
        <w:t>shall</w:t>
      </w:r>
      <w:r>
        <w:rPr>
          <w:color w:val="211F1F"/>
          <w:spacing w:val="-1"/>
        </w:rPr>
        <w:t xml:space="preserve"> </w:t>
      </w:r>
      <w:r>
        <w:rPr>
          <w:color w:val="211F1F"/>
        </w:rPr>
        <w:t>remain</w:t>
      </w:r>
      <w:r>
        <w:rPr>
          <w:color w:val="211F1F"/>
          <w:spacing w:val="-2"/>
        </w:rPr>
        <w:t xml:space="preserve"> </w:t>
      </w:r>
      <w:r>
        <w:rPr>
          <w:color w:val="211F1F"/>
        </w:rPr>
        <w:t>sound according</w:t>
      </w:r>
      <w:r>
        <w:rPr>
          <w:color w:val="211F1F"/>
          <w:spacing w:val="-2"/>
        </w:rPr>
        <w:t xml:space="preserve"> </w:t>
      </w:r>
      <w:r>
        <w:rPr>
          <w:color w:val="211F1F"/>
        </w:rPr>
        <w:t>to criteria established with respect to Financial Capability under Paragraph (i) above if all pending litigation</w:t>
      </w:r>
      <w:r>
        <w:rPr>
          <w:color w:val="211F1F"/>
          <w:spacing w:val="-14"/>
        </w:rPr>
        <w:t xml:space="preserve"> </w:t>
      </w:r>
      <w:r>
        <w:rPr>
          <w:color w:val="211F1F"/>
        </w:rPr>
        <w:t>will</w:t>
      </w:r>
      <w:r>
        <w:rPr>
          <w:color w:val="211F1F"/>
          <w:spacing w:val="-14"/>
        </w:rPr>
        <w:t xml:space="preserve"> </w:t>
      </w:r>
      <w:r>
        <w:rPr>
          <w:color w:val="211F1F"/>
        </w:rPr>
        <w:t>be</w:t>
      </w:r>
      <w:r>
        <w:rPr>
          <w:color w:val="211F1F"/>
          <w:spacing w:val="-14"/>
        </w:rPr>
        <w:t xml:space="preserve"> </w:t>
      </w:r>
      <w:r>
        <w:rPr>
          <w:color w:val="211F1F"/>
        </w:rPr>
        <w:t>resolved</w:t>
      </w:r>
      <w:r>
        <w:rPr>
          <w:color w:val="211F1F"/>
          <w:spacing w:val="-13"/>
        </w:rPr>
        <w:t xml:space="preserve"> </w:t>
      </w:r>
      <w:r>
        <w:rPr>
          <w:color w:val="211F1F"/>
        </w:rPr>
        <w:t>against</w:t>
      </w:r>
      <w:r>
        <w:rPr>
          <w:color w:val="211F1F"/>
          <w:spacing w:val="-14"/>
        </w:rPr>
        <w:t xml:space="preserve"> </w:t>
      </w:r>
      <w:r>
        <w:rPr>
          <w:color w:val="211F1F"/>
        </w:rPr>
        <w:t>the</w:t>
      </w:r>
      <w:r>
        <w:rPr>
          <w:color w:val="211F1F"/>
          <w:spacing w:val="-14"/>
        </w:rPr>
        <w:t xml:space="preserve"> </w:t>
      </w:r>
      <w:r>
        <w:rPr>
          <w:color w:val="211F1F"/>
        </w:rPr>
        <w:t>Tenderer.</w:t>
      </w:r>
      <w:r>
        <w:rPr>
          <w:color w:val="211F1F"/>
          <w:spacing w:val="-12"/>
        </w:rPr>
        <w:t xml:space="preserve"> </w:t>
      </w:r>
      <w:r>
        <w:rPr>
          <w:color w:val="211F1F"/>
        </w:rPr>
        <w:t>Tenderer</w:t>
      </w:r>
      <w:r>
        <w:rPr>
          <w:color w:val="211F1F"/>
          <w:spacing w:val="-11"/>
        </w:rPr>
        <w:t xml:space="preserve"> </w:t>
      </w:r>
      <w:r>
        <w:rPr>
          <w:color w:val="211F1F"/>
        </w:rPr>
        <w:t>shall</w:t>
      </w:r>
      <w:r>
        <w:rPr>
          <w:color w:val="211F1F"/>
          <w:spacing w:val="-14"/>
        </w:rPr>
        <w:t xml:space="preserve"> </w:t>
      </w:r>
      <w:r>
        <w:rPr>
          <w:color w:val="211F1F"/>
        </w:rPr>
        <w:t>provide</w:t>
      </w:r>
      <w:r>
        <w:rPr>
          <w:color w:val="211F1F"/>
          <w:spacing w:val="-14"/>
        </w:rPr>
        <w:t xml:space="preserve"> </w:t>
      </w:r>
      <w:r>
        <w:rPr>
          <w:color w:val="211F1F"/>
        </w:rPr>
        <w:t>information</w:t>
      </w:r>
      <w:r>
        <w:rPr>
          <w:color w:val="211F1F"/>
          <w:spacing w:val="-13"/>
        </w:rPr>
        <w:t xml:space="preserve"> </w:t>
      </w:r>
      <w:r>
        <w:rPr>
          <w:color w:val="211F1F"/>
        </w:rPr>
        <w:t>on</w:t>
      </w:r>
      <w:r>
        <w:rPr>
          <w:color w:val="211F1F"/>
          <w:spacing w:val="-14"/>
        </w:rPr>
        <w:t xml:space="preserve"> </w:t>
      </w:r>
      <w:r>
        <w:rPr>
          <w:color w:val="211F1F"/>
        </w:rPr>
        <w:t>pending litigations in the appropriate form.</w:t>
      </w:r>
    </w:p>
    <w:p w14:paraId="5A70DEE2" w14:textId="77777777" w:rsidR="00BB77C0" w:rsidRDefault="00370BAA">
      <w:pPr>
        <w:pStyle w:val="Heading7"/>
        <w:numPr>
          <w:ilvl w:val="3"/>
          <w:numId w:val="68"/>
        </w:numPr>
        <w:tabs>
          <w:tab w:val="left" w:pos="2274"/>
        </w:tabs>
        <w:spacing w:before="184" w:line="249" w:lineRule="exact"/>
        <w:ind w:left="2274" w:hanging="445"/>
        <w:jc w:val="both"/>
        <w:rPr>
          <w:color w:val="211F1F"/>
        </w:rPr>
      </w:pPr>
      <w:bookmarkStart w:id="133" w:name="c)_Litigation_History"/>
      <w:bookmarkEnd w:id="133"/>
      <w:r>
        <w:rPr>
          <w:color w:val="211F1F"/>
          <w:spacing w:val="-2"/>
        </w:rPr>
        <w:t>Litigation</w:t>
      </w:r>
      <w:r>
        <w:rPr>
          <w:color w:val="211F1F"/>
          <w:spacing w:val="-15"/>
        </w:rPr>
        <w:t xml:space="preserve"> </w:t>
      </w:r>
      <w:r>
        <w:rPr>
          <w:color w:val="211F1F"/>
          <w:spacing w:val="-2"/>
        </w:rPr>
        <w:t>History</w:t>
      </w:r>
    </w:p>
    <w:p w14:paraId="3723789E" w14:textId="77777777" w:rsidR="00BB77C0" w:rsidRDefault="00370BAA">
      <w:pPr>
        <w:pStyle w:val="BodyText"/>
        <w:tabs>
          <w:tab w:val="left" w:pos="5051"/>
        </w:tabs>
        <w:spacing w:before="4" w:line="230" w:lineRule="auto"/>
        <w:ind w:left="2276" w:right="344"/>
        <w:jc w:val="both"/>
      </w:pPr>
      <w:r>
        <w:rPr>
          <w:color w:val="211F1F"/>
        </w:rPr>
        <w:t>There</w:t>
      </w:r>
      <w:r>
        <w:rPr>
          <w:color w:val="211F1F"/>
          <w:spacing w:val="-3"/>
        </w:rPr>
        <w:t xml:space="preserve"> </w:t>
      </w:r>
      <w:r>
        <w:rPr>
          <w:color w:val="211F1F"/>
        </w:rPr>
        <w:t>shall</w:t>
      </w:r>
      <w:r>
        <w:rPr>
          <w:color w:val="211F1F"/>
          <w:spacing w:val="-1"/>
        </w:rPr>
        <w:t xml:space="preserve"> </w:t>
      </w:r>
      <w:r>
        <w:rPr>
          <w:color w:val="211F1F"/>
        </w:rPr>
        <w:t>be no</w:t>
      </w:r>
      <w:r>
        <w:rPr>
          <w:color w:val="211F1F"/>
          <w:spacing w:val="-2"/>
        </w:rPr>
        <w:t xml:space="preserve"> </w:t>
      </w:r>
      <w:r>
        <w:rPr>
          <w:color w:val="211F1F"/>
        </w:rPr>
        <w:t>consistent history</w:t>
      </w:r>
      <w:r>
        <w:rPr>
          <w:color w:val="211F1F"/>
          <w:spacing w:val="-2"/>
        </w:rPr>
        <w:t xml:space="preserve"> </w:t>
      </w:r>
      <w:r>
        <w:rPr>
          <w:color w:val="211F1F"/>
        </w:rPr>
        <w:t>of court/arbitral</w:t>
      </w:r>
      <w:r>
        <w:rPr>
          <w:color w:val="211F1F"/>
          <w:spacing w:val="-1"/>
        </w:rPr>
        <w:t xml:space="preserve"> </w:t>
      </w:r>
      <w:r>
        <w:rPr>
          <w:color w:val="211F1F"/>
        </w:rPr>
        <w:t>award</w:t>
      </w:r>
      <w:r>
        <w:rPr>
          <w:color w:val="211F1F"/>
          <w:spacing w:val="-2"/>
        </w:rPr>
        <w:t xml:space="preserve"> </w:t>
      </w:r>
      <w:r>
        <w:rPr>
          <w:color w:val="211F1F"/>
        </w:rPr>
        <w:t>decisions against the</w:t>
      </w:r>
      <w:r>
        <w:rPr>
          <w:color w:val="211F1F"/>
          <w:spacing w:val="-1"/>
        </w:rPr>
        <w:t xml:space="preserve"> </w:t>
      </w:r>
      <w:r>
        <w:rPr>
          <w:color w:val="211F1F"/>
        </w:rPr>
        <w:t>Tenderer, in the last</w:t>
      </w:r>
      <w:r>
        <w:rPr>
          <w:color w:val="211F1F"/>
          <w:u w:val="single" w:color="201E1F"/>
        </w:rPr>
        <w:tab/>
      </w:r>
      <w:r>
        <w:rPr>
          <w:color w:val="211F1F"/>
        </w:rPr>
        <w:t>(</w:t>
      </w:r>
      <w:r>
        <w:rPr>
          <w:i/>
          <w:color w:val="211F1F"/>
        </w:rPr>
        <w:t>specify years</w:t>
      </w:r>
      <w:r>
        <w:rPr>
          <w:color w:val="211F1F"/>
        </w:rPr>
        <w:t>)</w:t>
      </w:r>
      <w:r>
        <w:rPr>
          <w:i/>
          <w:color w:val="211F1F"/>
        </w:rPr>
        <w:t xml:space="preserve">. </w:t>
      </w:r>
      <w:r>
        <w:rPr>
          <w:color w:val="211F1F"/>
        </w:rPr>
        <w:t>All parties to the contract shall furnish the information</w:t>
      </w:r>
      <w:r>
        <w:rPr>
          <w:color w:val="211F1F"/>
          <w:spacing w:val="-9"/>
        </w:rPr>
        <w:t xml:space="preserve"> </w:t>
      </w:r>
      <w:r>
        <w:rPr>
          <w:color w:val="211F1F"/>
        </w:rPr>
        <w:t>in</w:t>
      </w:r>
      <w:r>
        <w:rPr>
          <w:color w:val="211F1F"/>
          <w:spacing w:val="-5"/>
        </w:rPr>
        <w:t xml:space="preserve"> </w:t>
      </w:r>
      <w:r>
        <w:rPr>
          <w:color w:val="211F1F"/>
        </w:rPr>
        <w:t>the</w:t>
      </w:r>
      <w:r>
        <w:rPr>
          <w:color w:val="211F1F"/>
          <w:spacing w:val="-8"/>
        </w:rPr>
        <w:t xml:space="preserve"> </w:t>
      </w:r>
      <w:r>
        <w:rPr>
          <w:color w:val="211F1F"/>
        </w:rPr>
        <w:t>appropriate</w:t>
      </w:r>
      <w:r>
        <w:rPr>
          <w:color w:val="211F1F"/>
          <w:spacing w:val="-10"/>
        </w:rPr>
        <w:t xml:space="preserve"> </w:t>
      </w:r>
      <w:r>
        <w:rPr>
          <w:color w:val="211F1F"/>
        </w:rPr>
        <w:t>form</w:t>
      </w:r>
      <w:r>
        <w:rPr>
          <w:color w:val="211F1F"/>
          <w:spacing w:val="-9"/>
        </w:rPr>
        <w:t xml:space="preserve"> </w:t>
      </w:r>
      <w:r>
        <w:rPr>
          <w:color w:val="211F1F"/>
        </w:rPr>
        <w:t>about</w:t>
      </w:r>
      <w:r>
        <w:rPr>
          <w:color w:val="211F1F"/>
          <w:spacing w:val="-4"/>
        </w:rPr>
        <w:t xml:space="preserve"> </w:t>
      </w:r>
      <w:r>
        <w:rPr>
          <w:color w:val="211F1F"/>
        </w:rPr>
        <w:t>any</w:t>
      </w:r>
      <w:r>
        <w:rPr>
          <w:color w:val="211F1F"/>
          <w:spacing w:val="-9"/>
        </w:rPr>
        <w:t xml:space="preserve"> </w:t>
      </w:r>
      <w:r>
        <w:rPr>
          <w:color w:val="211F1F"/>
        </w:rPr>
        <w:t>litigation</w:t>
      </w:r>
      <w:r>
        <w:rPr>
          <w:color w:val="211F1F"/>
          <w:spacing w:val="-4"/>
        </w:rPr>
        <w:t xml:space="preserve"> </w:t>
      </w:r>
      <w:r>
        <w:rPr>
          <w:color w:val="211F1F"/>
        </w:rPr>
        <w:t>or</w:t>
      </w:r>
      <w:r>
        <w:rPr>
          <w:color w:val="211F1F"/>
          <w:spacing w:val="-2"/>
        </w:rPr>
        <w:t xml:space="preserve"> </w:t>
      </w:r>
      <w:r>
        <w:rPr>
          <w:color w:val="211F1F"/>
        </w:rPr>
        <w:t>arbitration</w:t>
      </w:r>
      <w:r>
        <w:rPr>
          <w:color w:val="211F1F"/>
          <w:spacing w:val="-9"/>
        </w:rPr>
        <w:t xml:space="preserve"> </w:t>
      </w:r>
      <w:r>
        <w:rPr>
          <w:color w:val="211F1F"/>
        </w:rPr>
        <w:t>resulting</w:t>
      </w:r>
      <w:r>
        <w:rPr>
          <w:color w:val="211F1F"/>
          <w:spacing w:val="-9"/>
        </w:rPr>
        <w:t xml:space="preserve"> </w:t>
      </w:r>
      <w:r>
        <w:rPr>
          <w:color w:val="211F1F"/>
        </w:rPr>
        <w:t>from</w:t>
      </w:r>
      <w:r>
        <w:rPr>
          <w:color w:val="211F1F"/>
          <w:spacing w:val="-9"/>
        </w:rPr>
        <w:t xml:space="preserve"> </w:t>
      </w:r>
      <w:r>
        <w:rPr>
          <w:color w:val="211F1F"/>
        </w:rPr>
        <w:t>contracts completed or ongoing under its execution over the years specified. A consistent history of awards</w:t>
      </w:r>
      <w:r>
        <w:rPr>
          <w:color w:val="211F1F"/>
          <w:spacing w:val="-3"/>
        </w:rPr>
        <w:t xml:space="preserve"> </w:t>
      </w:r>
      <w:r>
        <w:rPr>
          <w:color w:val="211F1F"/>
        </w:rPr>
        <w:t>against</w:t>
      </w:r>
      <w:r>
        <w:rPr>
          <w:color w:val="211F1F"/>
          <w:spacing w:val="-8"/>
        </w:rPr>
        <w:t xml:space="preserve"> </w:t>
      </w:r>
      <w:r>
        <w:rPr>
          <w:color w:val="211F1F"/>
        </w:rPr>
        <w:t>the</w:t>
      </w:r>
      <w:r>
        <w:rPr>
          <w:color w:val="211F1F"/>
          <w:spacing w:val="-18"/>
        </w:rPr>
        <w:t xml:space="preserve"> </w:t>
      </w:r>
      <w:r>
        <w:rPr>
          <w:color w:val="211F1F"/>
        </w:rPr>
        <w:t>Tenderer</w:t>
      </w:r>
      <w:r>
        <w:rPr>
          <w:color w:val="211F1F"/>
          <w:spacing w:val="-5"/>
        </w:rPr>
        <w:t xml:space="preserve"> </w:t>
      </w:r>
      <w:r>
        <w:rPr>
          <w:color w:val="211F1F"/>
        </w:rPr>
        <w:t>or any</w:t>
      </w:r>
      <w:r>
        <w:rPr>
          <w:color w:val="211F1F"/>
          <w:spacing w:val="-10"/>
        </w:rPr>
        <w:t xml:space="preserve"> </w:t>
      </w:r>
      <w:r>
        <w:rPr>
          <w:color w:val="211F1F"/>
        </w:rPr>
        <w:t>member of</w:t>
      </w:r>
      <w:r>
        <w:rPr>
          <w:color w:val="211F1F"/>
          <w:spacing w:val="-6"/>
        </w:rPr>
        <w:t xml:space="preserve"> </w:t>
      </w:r>
      <w:r>
        <w:rPr>
          <w:color w:val="211F1F"/>
        </w:rPr>
        <w:t>a</w:t>
      </w:r>
      <w:r>
        <w:rPr>
          <w:color w:val="211F1F"/>
          <w:spacing w:val="-6"/>
        </w:rPr>
        <w:t xml:space="preserve"> </w:t>
      </w:r>
      <w:r>
        <w:rPr>
          <w:color w:val="211F1F"/>
        </w:rPr>
        <w:t>JV</w:t>
      </w:r>
      <w:r>
        <w:rPr>
          <w:color w:val="211F1F"/>
          <w:spacing w:val="-17"/>
        </w:rPr>
        <w:t xml:space="preserve"> </w:t>
      </w:r>
      <w:r>
        <w:rPr>
          <w:color w:val="211F1F"/>
        </w:rPr>
        <w:t>may</w:t>
      </w:r>
      <w:r>
        <w:rPr>
          <w:color w:val="211F1F"/>
          <w:spacing w:val="-9"/>
        </w:rPr>
        <w:t xml:space="preserve"> </w:t>
      </w:r>
      <w:r>
        <w:rPr>
          <w:color w:val="211F1F"/>
        </w:rPr>
        <w:t>result</w:t>
      </w:r>
      <w:r>
        <w:rPr>
          <w:color w:val="211F1F"/>
          <w:spacing w:val="-3"/>
        </w:rPr>
        <w:t xml:space="preserve"> </w:t>
      </w:r>
      <w:r>
        <w:rPr>
          <w:color w:val="211F1F"/>
        </w:rPr>
        <w:t>in</w:t>
      </w:r>
      <w:r>
        <w:rPr>
          <w:color w:val="211F1F"/>
          <w:spacing w:val="-10"/>
        </w:rPr>
        <w:t xml:space="preserve"> </w:t>
      </w:r>
      <w:r>
        <w:rPr>
          <w:color w:val="211F1F"/>
        </w:rPr>
        <w:t>rejection</w:t>
      </w:r>
      <w:r>
        <w:rPr>
          <w:color w:val="211F1F"/>
          <w:spacing w:val="-9"/>
        </w:rPr>
        <w:t xml:space="preserve"> </w:t>
      </w:r>
      <w:r>
        <w:rPr>
          <w:color w:val="211F1F"/>
        </w:rPr>
        <w:t>of</w:t>
      </w:r>
      <w:r>
        <w:rPr>
          <w:color w:val="211F1F"/>
          <w:spacing w:val="-6"/>
        </w:rPr>
        <w:t xml:space="preserve"> </w:t>
      </w:r>
      <w:r>
        <w:rPr>
          <w:color w:val="211F1F"/>
        </w:rPr>
        <w:t>the</w:t>
      </w:r>
      <w:r>
        <w:rPr>
          <w:color w:val="211F1F"/>
          <w:spacing w:val="-12"/>
        </w:rPr>
        <w:t xml:space="preserve"> </w:t>
      </w:r>
      <w:r>
        <w:rPr>
          <w:color w:val="211F1F"/>
        </w:rPr>
        <w:t>tender.</w:t>
      </w:r>
    </w:p>
    <w:p w14:paraId="66D70A2E" w14:textId="77777777" w:rsidR="00BB77C0" w:rsidRDefault="00BB77C0">
      <w:pPr>
        <w:pStyle w:val="BodyText"/>
        <w:spacing w:line="230" w:lineRule="auto"/>
        <w:jc w:val="both"/>
        <w:sectPr w:rsidR="00BB77C0">
          <w:pgSz w:w="11920" w:h="16850"/>
          <w:pgMar w:top="0" w:right="360" w:bottom="0" w:left="720" w:header="720" w:footer="720" w:gutter="0"/>
          <w:cols w:space="720"/>
        </w:sectPr>
      </w:pPr>
    </w:p>
    <w:p w14:paraId="62AE7D2C" w14:textId="77777777" w:rsidR="00BB77C0" w:rsidRDefault="00370BAA">
      <w:pPr>
        <w:pStyle w:val="BodyText"/>
        <w:ind w:left="-360"/>
        <w:rPr>
          <w:sz w:val="20"/>
        </w:rPr>
      </w:pPr>
      <w:r>
        <w:rPr>
          <w:noProof/>
          <w:sz w:val="20"/>
        </w:rPr>
        <w:lastRenderedPageBreak/>
        <mc:AlternateContent>
          <mc:Choice Requires="wps">
            <w:drawing>
              <wp:anchor distT="0" distB="0" distL="0" distR="0" simplePos="0" relativeHeight="15732224" behindDoc="0" locked="0" layoutInCell="1" allowOverlap="1" wp14:anchorId="22EA00CD" wp14:editId="062D71F2">
                <wp:simplePos x="0" y="0"/>
                <wp:positionH relativeFrom="page">
                  <wp:posOffset>10462894</wp:posOffset>
                </wp:positionH>
                <wp:positionV relativeFrom="page">
                  <wp:posOffset>853439</wp:posOffset>
                </wp:positionV>
                <wp:extent cx="228600" cy="6710045"/>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6710045"/>
                        </a:xfrm>
                        <a:custGeom>
                          <a:avLst/>
                          <a:gdLst/>
                          <a:ahLst/>
                          <a:cxnLst/>
                          <a:rect l="l" t="t" r="r" b="b"/>
                          <a:pathLst>
                            <a:path w="228600" h="6710045">
                              <a:moveTo>
                                <a:pt x="228600" y="0"/>
                              </a:moveTo>
                              <a:lnTo>
                                <a:pt x="0" y="184150"/>
                              </a:lnTo>
                              <a:lnTo>
                                <a:pt x="5079" y="6709928"/>
                              </a:lnTo>
                              <a:lnTo>
                                <a:pt x="228600" y="6709928"/>
                              </a:lnTo>
                              <a:lnTo>
                                <a:pt x="228600" y="0"/>
                              </a:lnTo>
                              <a:close/>
                            </a:path>
                          </a:pathLst>
                        </a:custGeom>
                        <a:solidFill>
                          <a:srgbClr val="E6E7E8"/>
                        </a:solidFill>
                      </wps:spPr>
                      <wps:bodyPr wrap="square" lIns="0" tIns="0" rIns="0" bIns="0" rtlCol="0">
                        <a:prstTxWarp prst="textNoShape">
                          <a:avLst/>
                        </a:prstTxWarp>
                        <a:noAutofit/>
                      </wps:bodyPr>
                    </wps:wsp>
                  </a:graphicData>
                </a:graphic>
              </wp:anchor>
            </w:drawing>
          </mc:Choice>
          <mc:Fallback>
            <w:pict>
              <v:shape w14:anchorId="000808C0" id="Graphic 23" o:spid="_x0000_s1026" style="position:absolute;margin-left:823.85pt;margin-top:67.2pt;width:18pt;height:528.35pt;z-index:15732224;visibility:visible;mso-wrap-style:square;mso-wrap-distance-left:0;mso-wrap-distance-top:0;mso-wrap-distance-right:0;mso-wrap-distance-bottom:0;mso-position-horizontal:absolute;mso-position-horizontal-relative:page;mso-position-vertical:absolute;mso-position-vertical-relative:page;v-text-anchor:top" coordsize="228600,6710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" path="m228600,l,184150,5079,6709928r223521,l228600,xe" fillcolor="#e6e7e8" stroked="f">
                <v:path arrowok="t"/>
                <w10:wrap anchorx="page" anchory="page"/>
              </v:shape>
            </w:pict>
          </mc:Fallback>
        </mc:AlternateContent>
      </w:r>
      <w:r>
        <w:rPr>
          <w:noProof/>
          <w:sz w:val="20"/>
        </w:rPr>
        <mc:AlternateContent>
          <mc:Choice Requires="wpg">
            <w:drawing>
              <wp:inline distT="0" distB="0" distL="0" distR="0" wp14:anchorId="1879109B" wp14:editId="777ECCEB">
                <wp:extent cx="7559675" cy="228600"/>
                <wp:effectExtent l="0" t="0" r="0" b="0"/>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675" cy="228600"/>
                          <a:chOff x="0" y="0"/>
                          <a:chExt cx="7559675" cy="228600"/>
                        </a:xfrm>
                      </wpg:grpSpPr>
                      <wps:wsp>
                        <wps:cNvPr id="25" name="Graphic 25"/>
                        <wps:cNvSpPr/>
                        <wps:spPr>
                          <a:xfrm>
                            <a:off x="0" y="0"/>
                            <a:ext cx="6701155" cy="228600"/>
                          </a:xfrm>
                          <a:custGeom>
                            <a:avLst/>
                            <a:gdLst/>
                            <a:ahLst/>
                            <a:cxnLst/>
                            <a:rect l="l" t="t" r="r" b="b"/>
                            <a:pathLst>
                              <a:path w="6701155" h="228600">
                                <a:moveTo>
                                  <a:pt x="6700647" y="0"/>
                                </a:moveTo>
                                <a:lnTo>
                                  <a:pt x="0" y="0"/>
                                </a:lnTo>
                                <a:lnTo>
                                  <a:pt x="0" y="223520"/>
                                </a:lnTo>
                                <a:lnTo>
                                  <a:pt x="6516497" y="228600"/>
                                </a:lnTo>
                                <a:lnTo>
                                  <a:pt x="6700647" y="0"/>
                                </a:lnTo>
                                <a:close/>
                              </a:path>
                            </a:pathLst>
                          </a:custGeom>
                          <a:solidFill>
                            <a:srgbClr val="E6E7E8"/>
                          </a:solidFill>
                        </wps:spPr>
                        <wps:bodyPr wrap="square" lIns="0" tIns="0" rIns="0" bIns="0" rtlCol="0">
                          <a:prstTxWarp prst="textNoShape">
                            <a:avLst/>
                          </a:prstTxWarp>
                          <a:noAutofit/>
                        </wps:bodyPr>
                      </wps:wsp>
                      <wps:wsp>
                        <wps:cNvPr id="26" name="Graphic 26"/>
                        <wps:cNvSpPr/>
                        <wps:spPr>
                          <a:xfrm>
                            <a:off x="6892925" y="0"/>
                            <a:ext cx="666750" cy="228600"/>
                          </a:xfrm>
                          <a:custGeom>
                            <a:avLst/>
                            <a:gdLst/>
                            <a:ahLst/>
                            <a:cxnLst/>
                            <a:rect l="l" t="t" r="r" b="b"/>
                            <a:pathLst>
                              <a:path w="666750" h="228600">
                                <a:moveTo>
                                  <a:pt x="666750" y="0"/>
                                </a:moveTo>
                                <a:lnTo>
                                  <a:pt x="126365" y="0"/>
                                </a:lnTo>
                                <a:lnTo>
                                  <a:pt x="0" y="228600"/>
                                </a:lnTo>
                                <a:lnTo>
                                  <a:pt x="666750" y="228600"/>
                                </a:lnTo>
                                <a:lnTo>
                                  <a:pt x="666750" y="0"/>
                                </a:lnTo>
                                <a:close/>
                              </a:path>
                            </a:pathLst>
                          </a:custGeom>
                          <a:solidFill>
                            <a:srgbClr val="EB1C22"/>
                          </a:solidFill>
                        </wps:spPr>
                        <wps:bodyPr wrap="square" lIns="0" tIns="0" rIns="0" bIns="0" rtlCol="0">
                          <a:prstTxWarp prst="textNoShape">
                            <a:avLst/>
                          </a:prstTxWarp>
                          <a:noAutofit/>
                        </wps:bodyPr>
                      </wps:wsp>
                      <wps:wsp>
                        <wps:cNvPr id="27" name="Graphic 27"/>
                        <wps:cNvSpPr/>
                        <wps:spPr>
                          <a:xfrm>
                            <a:off x="6664452" y="0"/>
                            <a:ext cx="330200" cy="228600"/>
                          </a:xfrm>
                          <a:custGeom>
                            <a:avLst/>
                            <a:gdLst/>
                            <a:ahLst/>
                            <a:cxnLst/>
                            <a:rect l="l" t="t" r="r" b="b"/>
                            <a:pathLst>
                              <a:path w="330200" h="228600">
                                <a:moveTo>
                                  <a:pt x="330073" y="0"/>
                                </a:moveTo>
                                <a:lnTo>
                                  <a:pt x="126365" y="0"/>
                                </a:lnTo>
                                <a:lnTo>
                                  <a:pt x="0" y="228600"/>
                                </a:lnTo>
                                <a:lnTo>
                                  <a:pt x="200532" y="228600"/>
                                </a:lnTo>
                                <a:lnTo>
                                  <a:pt x="330073" y="0"/>
                                </a:lnTo>
                                <a:close/>
                              </a:path>
                            </a:pathLst>
                          </a:custGeom>
                          <a:solidFill>
                            <a:srgbClr val="00A650"/>
                          </a:solidFill>
                        </wps:spPr>
                        <wps:bodyPr wrap="square" lIns="0" tIns="0" rIns="0" bIns="0" rtlCol="0">
                          <a:prstTxWarp prst="textNoShape">
                            <a:avLst/>
                          </a:prstTxWarp>
                          <a:noAutofit/>
                        </wps:bodyPr>
                      </wps:wsp>
                      <wps:wsp>
                        <wps:cNvPr id="28" name="Graphic 28"/>
                        <wps:cNvSpPr/>
                        <wps:spPr>
                          <a:xfrm>
                            <a:off x="6435216" y="0"/>
                            <a:ext cx="330200" cy="228600"/>
                          </a:xfrm>
                          <a:custGeom>
                            <a:avLst/>
                            <a:gdLst/>
                            <a:ahLst/>
                            <a:cxnLst/>
                            <a:rect l="l" t="t" r="r" b="b"/>
                            <a:pathLst>
                              <a:path w="330200" h="228600">
                                <a:moveTo>
                                  <a:pt x="330200" y="0"/>
                                </a:moveTo>
                                <a:lnTo>
                                  <a:pt x="126364" y="0"/>
                                </a:lnTo>
                                <a:lnTo>
                                  <a:pt x="0" y="228600"/>
                                </a:lnTo>
                                <a:lnTo>
                                  <a:pt x="200660" y="228600"/>
                                </a:lnTo>
                                <a:lnTo>
                                  <a:pt x="330200" y="0"/>
                                </a:lnTo>
                                <a:close/>
                              </a:path>
                            </a:pathLst>
                          </a:custGeom>
                          <a:solidFill>
                            <a:srgbClr val="A7A9AC"/>
                          </a:solidFill>
                        </wps:spPr>
                        <wps:bodyPr wrap="square" lIns="0" tIns="0" rIns="0" bIns="0" rtlCol="0">
                          <a:prstTxWarp prst="textNoShape">
                            <a:avLst/>
                          </a:prstTxWarp>
                          <a:noAutofit/>
                        </wps:bodyPr>
                      </wps:wsp>
                    </wpg:wgp>
                  </a:graphicData>
                </a:graphic>
              </wp:inline>
            </w:drawing>
          </mc:Choice>
          <mc:Fallback>
            <w:pict>
              <v:group w14:anchorId="13C58F35" id="Group 24" o:spid="_x0000_s1026" style="width:595.25pt;height:18pt;mso-position-horizontal-relative:char;mso-position-vertical-relative:line" coordsize="75596,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">
                <v:shape id="Graphic 25" o:spid="_x0000_s1027" style="position:absolute;width:67011;height:2286;visibility:visible;mso-wrap-style:square;v-text-anchor:top" coordsize="670115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" path="m6700647,l,,,223520r6516497,5080l6700647,xe" fillcolor="#e6e7e8" stroked="f">
                  <v:path arrowok="t"/>
                </v:shape>
                <v:shape id="Graphic 26" o:spid="_x0000_s1028" style="position:absolute;left:68929;width:6667;height:2286;visibility:visible;mso-wrap-style:square;v-text-anchor:top" coordsize="6667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" path="m666750,l126365,,,228600r666750,l666750,xe" fillcolor="#eb1c22" stroked="f">
                  <v:path arrowok="t"/>
                </v:shape>
                <v:shape id="Graphic 27" o:spid="_x0000_s1029" style="position:absolute;left:66644;width:3302;height:2286;visibility:visible;mso-wrap-style:square;v-text-anchor:top" coordsize="3302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" path="m330073,l126365,,,228600r200532,l330073,xe" fillcolor="#00a650" stroked="f">
                  <v:path arrowok="t"/>
                </v:shape>
                <v:shape id="Graphic 28" o:spid="_x0000_s1030" style="position:absolute;left:64352;width:3302;height:2286;visibility:visible;mso-wrap-style:square;v-text-anchor:top" coordsize="3302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" path="m330200,l126364,,,228600r200660,l330200,xe" fillcolor="#a7a9ac" stroked="f">
                  <v:path arrowok="t"/>
                </v:shape>
                <w10:anchorlock/>
              </v:group>
            </w:pict>
          </mc:Fallback>
        </mc:AlternateContent>
      </w:r>
    </w:p>
    <w:p w14:paraId="5B04E17E" w14:textId="77777777" w:rsidR="00BB77C0" w:rsidRDefault="00BB77C0">
      <w:pPr>
        <w:pStyle w:val="BodyText"/>
        <w:spacing w:before="76"/>
        <w:rPr>
          <w:sz w:val="24"/>
        </w:rPr>
      </w:pPr>
    </w:p>
    <w:p w14:paraId="654B76D0" w14:textId="77777777" w:rsidR="00BB77C0" w:rsidRDefault="00370BAA">
      <w:pPr>
        <w:pStyle w:val="Heading5"/>
        <w:numPr>
          <w:ilvl w:val="0"/>
          <w:numId w:val="68"/>
        </w:numPr>
        <w:tabs>
          <w:tab w:val="left" w:pos="955"/>
          <w:tab w:val="left" w:pos="14927"/>
        </w:tabs>
        <w:ind w:left="955" w:hanging="360"/>
        <w:jc w:val="left"/>
        <w:rPr>
          <w:color w:val="211F1F"/>
        </w:rPr>
      </w:pPr>
      <w:bookmarkStart w:id="134" w:name="8._QUALIFICATION_FORM_SUMMARY"/>
      <w:bookmarkEnd w:id="134"/>
      <w:r>
        <w:rPr>
          <w:color w:val="211F1F"/>
          <w:spacing w:val="-2"/>
          <w:u w:val="single" w:color="211F1F"/>
        </w:rPr>
        <w:t>QUALIFICATION</w:t>
      </w:r>
      <w:r>
        <w:rPr>
          <w:color w:val="211F1F"/>
          <w:spacing w:val="5"/>
          <w:u w:val="single" w:color="211F1F"/>
        </w:rPr>
        <w:t xml:space="preserve"> </w:t>
      </w:r>
      <w:r>
        <w:rPr>
          <w:color w:val="211F1F"/>
          <w:spacing w:val="-2"/>
          <w:u w:val="single" w:color="211F1F"/>
        </w:rPr>
        <w:t>FORM</w:t>
      </w:r>
      <w:r>
        <w:rPr>
          <w:color w:val="211F1F"/>
          <w:spacing w:val="-14"/>
          <w:u w:val="single" w:color="211F1F"/>
        </w:rPr>
        <w:t xml:space="preserve"> </w:t>
      </w:r>
      <w:r>
        <w:rPr>
          <w:color w:val="211F1F"/>
          <w:spacing w:val="-2"/>
          <w:u w:val="single" w:color="211F1F"/>
        </w:rPr>
        <w:t>SUMMARY</w:t>
      </w:r>
      <w:r>
        <w:rPr>
          <w:color w:val="211F1F"/>
          <w:u w:val="single" w:color="211F1F"/>
        </w:rPr>
        <w:tab/>
      </w:r>
    </w:p>
    <w:p w14:paraId="1B19F3D0" w14:textId="77777777" w:rsidR="00BB77C0" w:rsidRDefault="00BB77C0">
      <w:pPr>
        <w:pStyle w:val="BodyText"/>
        <w:spacing w:before="183" w:after="1"/>
        <w:rPr>
          <w:b/>
          <w:sz w:val="20"/>
        </w:rPr>
      </w:pPr>
    </w:p>
    <w:tbl>
      <w:tblPr>
        <w:tblW w:w="0" w:type="auto"/>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1"/>
        <w:gridCol w:w="2554"/>
        <w:gridCol w:w="5531"/>
        <w:gridCol w:w="2976"/>
        <w:gridCol w:w="2549"/>
      </w:tblGrid>
      <w:tr w:rsidR="00BB77C0" w14:paraId="5D614F21" w14:textId="77777777">
        <w:trPr>
          <w:trHeight w:val="249"/>
        </w:trPr>
        <w:tc>
          <w:tcPr>
            <w:tcW w:w="701" w:type="dxa"/>
          </w:tcPr>
          <w:p w14:paraId="4DAB3BC4" w14:textId="77777777" w:rsidR="00BB77C0" w:rsidRDefault="00370BAA">
            <w:pPr>
              <w:pStyle w:val="TableParagraph"/>
              <w:spacing w:line="229" w:lineRule="exact"/>
              <w:ind w:left="110"/>
              <w:rPr>
                <w:b/>
              </w:rPr>
            </w:pPr>
            <w:r>
              <w:rPr>
                <w:b/>
                <w:spacing w:val="-10"/>
              </w:rPr>
              <w:t>1</w:t>
            </w:r>
          </w:p>
        </w:tc>
        <w:tc>
          <w:tcPr>
            <w:tcW w:w="2554" w:type="dxa"/>
          </w:tcPr>
          <w:p w14:paraId="3D20B9CD" w14:textId="77777777" w:rsidR="00BB77C0" w:rsidRDefault="00370BAA">
            <w:pPr>
              <w:pStyle w:val="TableParagraph"/>
              <w:spacing w:line="229" w:lineRule="exact"/>
              <w:ind w:left="110"/>
              <w:rPr>
                <w:b/>
              </w:rPr>
            </w:pPr>
            <w:r>
              <w:rPr>
                <w:b/>
                <w:spacing w:val="-10"/>
              </w:rPr>
              <w:t>2</w:t>
            </w:r>
          </w:p>
        </w:tc>
        <w:tc>
          <w:tcPr>
            <w:tcW w:w="5531" w:type="dxa"/>
          </w:tcPr>
          <w:p w14:paraId="2B84C105" w14:textId="77777777" w:rsidR="00BB77C0" w:rsidRDefault="00370BAA">
            <w:pPr>
              <w:pStyle w:val="TableParagraph"/>
              <w:spacing w:line="229" w:lineRule="exact"/>
              <w:ind w:left="110"/>
              <w:rPr>
                <w:b/>
              </w:rPr>
            </w:pPr>
            <w:r>
              <w:rPr>
                <w:b/>
                <w:spacing w:val="-10"/>
              </w:rPr>
              <w:t>3</w:t>
            </w:r>
          </w:p>
        </w:tc>
        <w:tc>
          <w:tcPr>
            <w:tcW w:w="2976" w:type="dxa"/>
          </w:tcPr>
          <w:p w14:paraId="1EEDA49A" w14:textId="77777777" w:rsidR="00BB77C0" w:rsidRDefault="00370BAA">
            <w:pPr>
              <w:pStyle w:val="TableParagraph"/>
              <w:spacing w:line="229" w:lineRule="exact"/>
              <w:ind w:left="111"/>
              <w:rPr>
                <w:b/>
                <w:i/>
              </w:rPr>
            </w:pPr>
            <w:r>
              <w:rPr>
                <w:b/>
                <w:i/>
                <w:spacing w:val="-10"/>
              </w:rPr>
              <w:t>4</w:t>
            </w:r>
          </w:p>
        </w:tc>
        <w:tc>
          <w:tcPr>
            <w:tcW w:w="2549" w:type="dxa"/>
          </w:tcPr>
          <w:p w14:paraId="1DD05BDF" w14:textId="77777777" w:rsidR="00BB77C0" w:rsidRDefault="00370BAA">
            <w:pPr>
              <w:pStyle w:val="TableParagraph"/>
              <w:spacing w:line="229" w:lineRule="exact"/>
              <w:ind w:left="111"/>
              <w:rPr>
                <w:b/>
                <w:i/>
              </w:rPr>
            </w:pPr>
            <w:r>
              <w:rPr>
                <w:b/>
                <w:i/>
                <w:spacing w:val="-10"/>
              </w:rPr>
              <w:t>5</w:t>
            </w:r>
          </w:p>
        </w:tc>
      </w:tr>
      <w:tr w:rsidR="00BB77C0" w14:paraId="773274DE" w14:textId="77777777">
        <w:trPr>
          <w:trHeight w:val="758"/>
        </w:trPr>
        <w:tc>
          <w:tcPr>
            <w:tcW w:w="701" w:type="dxa"/>
          </w:tcPr>
          <w:p w14:paraId="79258C03" w14:textId="77777777" w:rsidR="00BB77C0" w:rsidRDefault="00370BAA">
            <w:pPr>
              <w:pStyle w:val="TableParagraph"/>
              <w:spacing w:before="1"/>
              <w:ind w:left="110" w:right="145"/>
              <w:rPr>
                <w:b/>
              </w:rPr>
            </w:pPr>
            <w:r>
              <w:rPr>
                <w:b/>
                <w:spacing w:val="-6"/>
              </w:rPr>
              <w:t xml:space="preserve">Item </w:t>
            </w:r>
            <w:r>
              <w:rPr>
                <w:b/>
                <w:spacing w:val="-4"/>
              </w:rPr>
              <w:t>No.</w:t>
            </w:r>
          </w:p>
        </w:tc>
        <w:tc>
          <w:tcPr>
            <w:tcW w:w="2554" w:type="dxa"/>
          </w:tcPr>
          <w:p w14:paraId="307945ED" w14:textId="77777777" w:rsidR="00BB77C0" w:rsidRDefault="00370BAA">
            <w:pPr>
              <w:pStyle w:val="TableParagraph"/>
              <w:spacing w:before="1"/>
              <w:ind w:left="110"/>
              <w:rPr>
                <w:b/>
              </w:rPr>
            </w:pPr>
            <w:r>
              <w:rPr>
                <w:b/>
                <w:spacing w:val="-2"/>
              </w:rPr>
              <w:t>Qualification</w:t>
            </w:r>
            <w:r>
              <w:rPr>
                <w:b/>
                <w:spacing w:val="4"/>
              </w:rPr>
              <w:t xml:space="preserve"> </w:t>
            </w:r>
            <w:r>
              <w:rPr>
                <w:b/>
                <w:spacing w:val="-2"/>
              </w:rPr>
              <w:t>Subject</w:t>
            </w:r>
          </w:p>
        </w:tc>
        <w:tc>
          <w:tcPr>
            <w:tcW w:w="5531" w:type="dxa"/>
          </w:tcPr>
          <w:p w14:paraId="377C723C" w14:textId="77777777" w:rsidR="00BB77C0" w:rsidRDefault="00370BAA">
            <w:pPr>
              <w:pStyle w:val="TableParagraph"/>
              <w:spacing w:before="1"/>
              <w:ind w:left="110"/>
              <w:rPr>
                <w:b/>
              </w:rPr>
            </w:pPr>
            <w:r>
              <w:rPr>
                <w:b/>
                <w:spacing w:val="-2"/>
              </w:rPr>
              <w:t>Qualification</w:t>
            </w:r>
            <w:r>
              <w:rPr>
                <w:b/>
                <w:spacing w:val="3"/>
              </w:rPr>
              <w:t xml:space="preserve"> </w:t>
            </w:r>
            <w:r>
              <w:rPr>
                <w:b/>
                <w:spacing w:val="-2"/>
              </w:rPr>
              <w:t>Requirement</w:t>
            </w:r>
          </w:p>
        </w:tc>
        <w:tc>
          <w:tcPr>
            <w:tcW w:w="2976" w:type="dxa"/>
          </w:tcPr>
          <w:p w14:paraId="3C37392B" w14:textId="77777777" w:rsidR="00BB77C0" w:rsidRDefault="00370BAA">
            <w:pPr>
              <w:pStyle w:val="TableParagraph"/>
              <w:spacing w:before="1"/>
              <w:ind w:left="111" w:right="223"/>
              <w:rPr>
                <w:b/>
                <w:i/>
              </w:rPr>
            </w:pPr>
            <w:r>
              <w:rPr>
                <w:b/>
                <w:i/>
                <w:spacing w:val="-2"/>
              </w:rPr>
              <w:t>Document</w:t>
            </w:r>
            <w:r>
              <w:rPr>
                <w:b/>
                <w:i/>
                <w:spacing w:val="-12"/>
              </w:rPr>
              <w:t xml:space="preserve"> </w:t>
            </w:r>
            <w:r>
              <w:rPr>
                <w:b/>
                <w:i/>
                <w:spacing w:val="-2"/>
              </w:rPr>
              <w:t>To</w:t>
            </w:r>
            <w:r>
              <w:rPr>
                <w:b/>
                <w:i/>
                <w:spacing w:val="-12"/>
              </w:rPr>
              <w:t xml:space="preserve"> </w:t>
            </w:r>
            <w:r>
              <w:rPr>
                <w:b/>
                <w:i/>
                <w:spacing w:val="-2"/>
              </w:rPr>
              <w:t>be</w:t>
            </w:r>
            <w:r>
              <w:rPr>
                <w:b/>
                <w:i/>
                <w:spacing w:val="-14"/>
              </w:rPr>
              <w:t xml:space="preserve"> </w:t>
            </w:r>
            <w:r>
              <w:rPr>
                <w:b/>
                <w:i/>
                <w:spacing w:val="-2"/>
              </w:rPr>
              <w:t xml:space="preserve">Completed </w:t>
            </w:r>
            <w:r>
              <w:rPr>
                <w:b/>
                <w:i/>
              </w:rPr>
              <w:t>by Tenderer</w:t>
            </w:r>
          </w:p>
        </w:tc>
        <w:tc>
          <w:tcPr>
            <w:tcW w:w="2549" w:type="dxa"/>
          </w:tcPr>
          <w:p w14:paraId="2D990A81" w14:textId="77777777" w:rsidR="00BB77C0" w:rsidRDefault="00370BAA">
            <w:pPr>
              <w:pStyle w:val="TableParagraph"/>
              <w:spacing w:before="3" w:line="237" w:lineRule="auto"/>
              <w:ind w:left="111" w:right="21"/>
              <w:rPr>
                <w:b/>
                <w:i/>
              </w:rPr>
            </w:pPr>
            <w:r>
              <w:rPr>
                <w:b/>
                <w:i/>
              </w:rPr>
              <w:t xml:space="preserve">For Procuring Entity’s </w:t>
            </w:r>
            <w:r>
              <w:rPr>
                <w:b/>
                <w:i/>
                <w:spacing w:val="-2"/>
              </w:rPr>
              <w:t>Use</w:t>
            </w:r>
            <w:r>
              <w:rPr>
                <w:b/>
                <w:i/>
                <w:spacing w:val="-7"/>
              </w:rPr>
              <w:t xml:space="preserve"> </w:t>
            </w:r>
            <w:r>
              <w:rPr>
                <w:b/>
                <w:i/>
                <w:spacing w:val="-2"/>
              </w:rPr>
              <w:t>(Qualification</w:t>
            </w:r>
            <w:r>
              <w:rPr>
                <w:b/>
                <w:i/>
                <w:spacing w:val="-13"/>
              </w:rPr>
              <w:t xml:space="preserve"> </w:t>
            </w:r>
            <w:r>
              <w:rPr>
                <w:b/>
                <w:i/>
                <w:spacing w:val="-2"/>
              </w:rPr>
              <w:t>met</w:t>
            </w:r>
            <w:r>
              <w:rPr>
                <w:b/>
                <w:i/>
                <w:spacing w:val="-10"/>
              </w:rPr>
              <w:t xml:space="preserve"> </w:t>
            </w:r>
            <w:r>
              <w:rPr>
                <w:b/>
                <w:i/>
                <w:spacing w:val="-2"/>
              </w:rPr>
              <w:t>or</w:t>
            </w:r>
          </w:p>
          <w:p w14:paraId="6334AF35" w14:textId="77777777" w:rsidR="00BB77C0" w:rsidRDefault="00370BAA">
            <w:pPr>
              <w:pStyle w:val="TableParagraph"/>
              <w:spacing w:before="1" w:line="233" w:lineRule="exact"/>
              <w:ind w:left="111"/>
              <w:rPr>
                <w:b/>
                <w:i/>
              </w:rPr>
            </w:pPr>
            <w:r>
              <w:rPr>
                <w:b/>
                <w:i/>
              </w:rPr>
              <w:t>Not</w:t>
            </w:r>
            <w:r>
              <w:rPr>
                <w:b/>
                <w:i/>
                <w:spacing w:val="1"/>
              </w:rPr>
              <w:t xml:space="preserve"> </w:t>
            </w:r>
            <w:r>
              <w:rPr>
                <w:b/>
                <w:i/>
                <w:spacing w:val="-4"/>
              </w:rPr>
              <w:t>Met)</w:t>
            </w:r>
          </w:p>
        </w:tc>
      </w:tr>
      <w:tr w:rsidR="00BB77C0" w14:paraId="748F9648" w14:textId="77777777">
        <w:trPr>
          <w:trHeight w:val="508"/>
        </w:trPr>
        <w:tc>
          <w:tcPr>
            <w:tcW w:w="701" w:type="dxa"/>
          </w:tcPr>
          <w:p w14:paraId="65BA6913" w14:textId="77777777" w:rsidR="00BB77C0" w:rsidRDefault="00370BAA">
            <w:pPr>
              <w:pStyle w:val="TableParagraph"/>
              <w:spacing w:line="249" w:lineRule="exact"/>
              <w:ind w:left="110"/>
            </w:pPr>
            <w:r>
              <w:rPr>
                <w:spacing w:val="-10"/>
              </w:rPr>
              <w:t>1</w:t>
            </w:r>
          </w:p>
        </w:tc>
        <w:tc>
          <w:tcPr>
            <w:tcW w:w="2554" w:type="dxa"/>
          </w:tcPr>
          <w:p w14:paraId="3B5DE4A1" w14:textId="77777777" w:rsidR="00BB77C0" w:rsidRDefault="00370BAA">
            <w:pPr>
              <w:pStyle w:val="TableParagraph"/>
              <w:spacing w:line="249" w:lineRule="exact"/>
              <w:ind w:left="110"/>
            </w:pPr>
            <w:r>
              <w:rPr>
                <w:spacing w:val="-2"/>
              </w:rPr>
              <w:t>Nationality</w:t>
            </w:r>
          </w:p>
        </w:tc>
        <w:tc>
          <w:tcPr>
            <w:tcW w:w="5531" w:type="dxa"/>
          </w:tcPr>
          <w:p w14:paraId="1C18CF74" w14:textId="77777777" w:rsidR="00BB77C0" w:rsidRDefault="00370BAA">
            <w:pPr>
              <w:pStyle w:val="TableParagraph"/>
              <w:spacing w:line="249" w:lineRule="exact"/>
              <w:ind w:left="110"/>
            </w:pPr>
            <w:r>
              <w:t>Nationality</w:t>
            </w:r>
            <w:r>
              <w:rPr>
                <w:spacing w:val="-6"/>
              </w:rPr>
              <w:t xml:space="preserve"> </w:t>
            </w:r>
            <w:r>
              <w:t>in</w:t>
            </w:r>
            <w:r>
              <w:rPr>
                <w:spacing w:val="-11"/>
              </w:rPr>
              <w:t xml:space="preserve"> </w:t>
            </w:r>
            <w:r>
              <w:t>accordance</w:t>
            </w:r>
            <w:r>
              <w:rPr>
                <w:spacing w:val="-7"/>
              </w:rPr>
              <w:t xml:space="preserve"> </w:t>
            </w:r>
            <w:r>
              <w:t>with</w:t>
            </w:r>
            <w:r>
              <w:rPr>
                <w:spacing w:val="-7"/>
              </w:rPr>
              <w:t xml:space="preserve"> </w:t>
            </w:r>
            <w:r>
              <w:t>ITT</w:t>
            </w:r>
            <w:r>
              <w:rPr>
                <w:spacing w:val="-3"/>
              </w:rPr>
              <w:t xml:space="preserve"> </w:t>
            </w:r>
            <w:r>
              <w:rPr>
                <w:spacing w:val="-5"/>
              </w:rPr>
              <w:t>3.6</w:t>
            </w:r>
          </w:p>
        </w:tc>
        <w:tc>
          <w:tcPr>
            <w:tcW w:w="2976" w:type="dxa"/>
          </w:tcPr>
          <w:p w14:paraId="7EDB5C3E" w14:textId="77777777" w:rsidR="00BB77C0" w:rsidRDefault="00370BAA">
            <w:pPr>
              <w:pStyle w:val="TableParagraph"/>
              <w:spacing w:line="250" w:lineRule="exact"/>
              <w:ind w:left="111"/>
            </w:pPr>
            <w:r>
              <w:t>Forms</w:t>
            </w:r>
            <w:r>
              <w:rPr>
                <w:spacing w:val="-13"/>
              </w:rPr>
              <w:t xml:space="preserve"> </w:t>
            </w:r>
            <w:r>
              <w:t>ELI</w:t>
            </w:r>
            <w:r>
              <w:rPr>
                <w:spacing w:val="-14"/>
              </w:rPr>
              <w:t xml:space="preserve"> </w:t>
            </w:r>
            <w:r>
              <w:t>–</w:t>
            </w:r>
            <w:r>
              <w:rPr>
                <w:spacing w:val="-10"/>
              </w:rPr>
              <w:t xml:space="preserve"> </w:t>
            </w:r>
            <w:r>
              <w:t>1.1</w:t>
            </w:r>
            <w:r>
              <w:rPr>
                <w:spacing w:val="-14"/>
              </w:rPr>
              <w:t xml:space="preserve"> </w:t>
            </w:r>
            <w:r>
              <w:t>and</w:t>
            </w:r>
            <w:r>
              <w:rPr>
                <w:spacing w:val="-13"/>
              </w:rPr>
              <w:t xml:space="preserve"> </w:t>
            </w:r>
            <w:r>
              <w:t>1.2,</w:t>
            </w:r>
            <w:r>
              <w:rPr>
                <w:spacing w:val="-12"/>
              </w:rPr>
              <w:t xml:space="preserve"> </w:t>
            </w:r>
            <w:r>
              <w:t xml:space="preserve">with </w:t>
            </w:r>
            <w:r>
              <w:rPr>
                <w:spacing w:val="-2"/>
              </w:rPr>
              <w:t>attachments</w:t>
            </w:r>
          </w:p>
        </w:tc>
        <w:tc>
          <w:tcPr>
            <w:tcW w:w="2549" w:type="dxa"/>
          </w:tcPr>
          <w:p w14:paraId="406EC530" w14:textId="77777777" w:rsidR="00BB77C0" w:rsidRDefault="00BB77C0">
            <w:pPr>
              <w:pStyle w:val="TableParagraph"/>
            </w:pPr>
          </w:p>
        </w:tc>
      </w:tr>
      <w:tr w:rsidR="00BB77C0" w14:paraId="59586432" w14:textId="77777777">
        <w:trPr>
          <w:trHeight w:val="758"/>
        </w:trPr>
        <w:tc>
          <w:tcPr>
            <w:tcW w:w="701" w:type="dxa"/>
          </w:tcPr>
          <w:p w14:paraId="43852BD0" w14:textId="77777777" w:rsidR="00BB77C0" w:rsidRDefault="00370BAA">
            <w:pPr>
              <w:pStyle w:val="TableParagraph"/>
              <w:spacing w:line="249" w:lineRule="exact"/>
              <w:ind w:left="110"/>
            </w:pPr>
            <w:r>
              <w:rPr>
                <w:spacing w:val="-10"/>
              </w:rPr>
              <w:t>2</w:t>
            </w:r>
          </w:p>
        </w:tc>
        <w:tc>
          <w:tcPr>
            <w:tcW w:w="2554" w:type="dxa"/>
          </w:tcPr>
          <w:p w14:paraId="66EE9484" w14:textId="77777777" w:rsidR="00BB77C0" w:rsidRDefault="00370BAA">
            <w:pPr>
              <w:pStyle w:val="TableParagraph"/>
              <w:spacing w:line="237" w:lineRule="auto"/>
              <w:ind w:left="110" w:right="706"/>
            </w:pPr>
            <w:r>
              <w:t>Tax</w:t>
            </w:r>
            <w:r>
              <w:rPr>
                <w:spacing w:val="-14"/>
              </w:rPr>
              <w:t xml:space="preserve"> </w:t>
            </w:r>
            <w:r>
              <w:t>Obligations</w:t>
            </w:r>
            <w:r>
              <w:rPr>
                <w:spacing w:val="-14"/>
              </w:rPr>
              <w:t xml:space="preserve"> </w:t>
            </w:r>
            <w:r>
              <w:t>for Kenyan Tenderers</w:t>
            </w:r>
          </w:p>
        </w:tc>
        <w:tc>
          <w:tcPr>
            <w:tcW w:w="5531" w:type="dxa"/>
          </w:tcPr>
          <w:p w14:paraId="69C47081" w14:textId="77777777" w:rsidR="00BB77C0" w:rsidRDefault="00370BAA">
            <w:pPr>
              <w:pStyle w:val="TableParagraph"/>
              <w:spacing w:line="249" w:lineRule="exact"/>
              <w:ind w:left="110"/>
            </w:pPr>
            <w:r>
              <w:t>Has</w:t>
            </w:r>
            <w:r>
              <w:rPr>
                <w:spacing w:val="-7"/>
              </w:rPr>
              <w:t xml:space="preserve"> </w:t>
            </w:r>
            <w:r>
              <w:t>produced</w:t>
            </w:r>
            <w:r>
              <w:rPr>
                <w:spacing w:val="-11"/>
              </w:rPr>
              <w:t xml:space="preserve"> </w:t>
            </w:r>
            <w:r>
              <w:t>a</w:t>
            </w:r>
            <w:r>
              <w:rPr>
                <w:spacing w:val="-4"/>
              </w:rPr>
              <w:t xml:space="preserve"> </w:t>
            </w:r>
            <w:r>
              <w:t>current</w:t>
            </w:r>
            <w:r>
              <w:rPr>
                <w:spacing w:val="-6"/>
              </w:rPr>
              <w:t xml:space="preserve"> </w:t>
            </w:r>
            <w:r>
              <w:t>tax</w:t>
            </w:r>
            <w:r>
              <w:rPr>
                <w:spacing w:val="-11"/>
              </w:rPr>
              <w:t xml:space="preserve"> </w:t>
            </w:r>
            <w:r>
              <w:t>clearance</w:t>
            </w:r>
            <w:r>
              <w:rPr>
                <w:spacing w:val="-13"/>
              </w:rPr>
              <w:t xml:space="preserve"> </w:t>
            </w:r>
            <w:r>
              <w:t>certificate</w:t>
            </w:r>
            <w:r>
              <w:rPr>
                <w:spacing w:val="-7"/>
              </w:rPr>
              <w:t xml:space="preserve"> </w:t>
            </w:r>
            <w:r>
              <w:t>or</w:t>
            </w:r>
            <w:r>
              <w:rPr>
                <w:spacing w:val="-3"/>
              </w:rPr>
              <w:t xml:space="preserve"> </w:t>
            </w:r>
            <w:r>
              <w:rPr>
                <w:spacing w:val="-5"/>
              </w:rPr>
              <w:t>tax</w:t>
            </w:r>
          </w:p>
          <w:p w14:paraId="301CFBED" w14:textId="77777777" w:rsidR="00BB77C0" w:rsidRDefault="00370BAA">
            <w:pPr>
              <w:pStyle w:val="TableParagraph"/>
              <w:spacing w:before="9" w:line="240" w:lineRule="exact"/>
              <w:ind w:left="110"/>
            </w:pPr>
            <w:r>
              <w:t>exemption</w:t>
            </w:r>
            <w:r>
              <w:rPr>
                <w:spacing w:val="-12"/>
              </w:rPr>
              <w:t xml:space="preserve"> </w:t>
            </w:r>
            <w:r>
              <w:t>certificate</w:t>
            </w:r>
            <w:r>
              <w:rPr>
                <w:spacing w:val="-9"/>
              </w:rPr>
              <w:t xml:space="preserve"> </w:t>
            </w:r>
            <w:r>
              <w:t>issued</w:t>
            </w:r>
            <w:r>
              <w:rPr>
                <w:spacing w:val="-13"/>
              </w:rPr>
              <w:t xml:space="preserve"> </w:t>
            </w:r>
            <w:r>
              <w:t>by</w:t>
            </w:r>
            <w:r>
              <w:rPr>
                <w:spacing w:val="-13"/>
              </w:rPr>
              <w:t xml:space="preserve"> </w:t>
            </w:r>
            <w:r>
              <w:t>the</w:t>
            </w:r>
            <w:r>
              <w:rPr>
                <w:spacing w:val="-11"/>
              </w:rPr>
              <w:t xml:space="preserve"> </w:t>
            </w:r>
            <w:r>
              <w:t>the</w:t>
            </w:r>
            <w:r>
              <w:rPr>
                <w:spacing w:val="-14"/>
              </w:rPr>
              <w:t xml:space="preserve"> </w:t>
            </w:r>
            <w:r>
              <w:t>Kenya</w:t>
            </w:r>
            <w:r>
              <w:rPr>
                <w:spacing w:val="-5"/>
              </w:rPr>
              <w:t xml:space="preserve"> </w:t>
            </w:r>
            <w:r>
              <w:t>Revenue Authority in accordance with ITT 3.14.</w:t>
            </w:r>
          </w:p>
        </w:tc>
        <w:tc>
          <w:tcPr>
            <w:tcW w:w="2976" w:type="dxa"/>
          </w:tcPr>
          <w:p w14:paraId="62F97EA0" w14:textId="77777777" w:rsidR="00BB77C0" w:rsidRDefault="00370BAA">
            <w:pPr>
              <w:pStyle w:val="TableParagraph"/>
              <w:spacing w:line="249" w:lineRule="exact"/>
              <w:ind w:left="111"/>
            </w:pPr>
            <w:r>
              <w:t>Form</w:t>
            </w:r>
            <w:r>
              <w:rPr>
                <w:spacing w:val="-9"/>
              </w:rPr>
              <w:t xml:space="preserve"> </w:t>
            </w:r>
            <w:r>
              <w:t>of</w:t>
            </w:r>
            <w:r>
              <w:rPr>
                <w:spacing w:val="-2"/>
              </w:rPr>
              <w:t xml:space="preserve"> Tender</w:t>
            </w:r>
          </w:p>
        </w:tc>
        <w:tc>
          <w:tcPr>
            <w:tcW w:w="2549" w:type="dxa"/>
          </w:tcPr>
          <w:p w14:paraId="187B9D90" w14:textId="77777777" w:rsidR="00BB77C0" w:rsidRDefault="00BB77C0">
            <w:pPr>
              <w:pStyle w:val="TableParagraph"/>
            </w:pPr>
          </w:p>
        </w:tc>
      </w:tr>
      <w:tr w:rsidR="00BB77C0" w14:paraId="0C50BDBE" w14:textId="77777777">
        <w:trPr>
          <w:trHeight w:val="253"/>
        </w:trPr>
        <w:tc>
          <w:tcPr>
            <w:tcW w:w="701" w:type="dxa"/>
          </w:tcPr>
          <w:p w14:paraId="2F08A590" w14:textId="77777777" w:rsidR="00BB77C0" w:rsidRDefault="00370BAA">
            <w:pPr>
              <w:pStyle w:val="TableParagraph"/>
              <w:spacing w:line="234" w:lineRule="exact"/>
              <w:ind w:left="110"/>
            </w:pPr>
            <w:r>
              <w:rPr>
                <w:spacing w:val="-10"/>
              </w:rPr>
              <w:t>3</w:t>
            </w:r>
          </w:p>
        </w:tc>
        <w:tc>
          <w:tcPr>
            <w:tcW w:w="2554" w:type="dxa"/>
          </w:tcPr>
          <w:p w14:paraId="79C43F27" w14:textId="77777777" w:rsidR="00BB77C0" w:rsidRDefault="00370BAA">
            <w:pPr>
              <w:pStyle w:val="TableParagraph"/>
              <w:spacing w:line="234" w:lineRule="exact"/>
              <w:ind w:left="110"/>
            </w:pPr>
            <w:r>
              <w:t>Conflict</w:t>
            </w:r>
            <w:r>
              <w:rPr>
                <w:spacing w:val="-5"/>
              </w:rPr>
              <w:t xml:space="preserve"> </w:t>
            </w:r>
            <w:r>
              <w:t>of</w:t>
            </w:r>
            <w:r>
              <w:rPr>
                <w:spacing w:val="-7"/>
              </w:rPr>
              <w:t xml:space="preserve"> </w:t>
            </w:r>
            <w:r>
              <w:rPr>
                <w:spacing w:val="-2"/>
              </w:rPr>
              <w:t>Interest</w:t>
            </w:r>
          </w:p>
        </w:tc>
        <w:tc>
          <w:tcPr>
            <w:tcW w:w="5531" w:type="dxa"/>
          </w:tcPr>
          <w:p w14:paraId="78B7C40F" w14:textId="77777777" w:rsidR="00BB77C0" w:rsidRDefault="00370BAA">
            <w:pPr>
              <w:pStyle w:val="TableParagraph"/>
              <w:spacing w:line="234" w:lineRule="exact"/>
              <w:ind w:left="110"/>
            </w:pPr>
            <w:r>
              <w:t>No</w:t>
            </w:r>
            <w:r>
              <w:rPr>
                <w:spacing w:val="-11"/>
              </w:rPr>
              <w:t xml:space="preserve"> </w:t>
            </w:r>
            <w:r>
              <w:t>conflicts</w:t>
            </w:r>
            <w:r>
              <w:rPr>
                <w:spacing w:val="-5"/>
              </w:rPr>
              <w:t xml:space="preserve"> </w:t>
            </w:r>
            <w:r>
              <w:t>of</w:t>
            </w:r>
            <w:r>
              <w:rPr>
                <w:spacing w:val="-4"/>
              </w:rPr>
              <w:t xml:space="preserve"> </w:t>
            </w:r>
            <w:r>
              <w:t>interest</w:t>
            </w:r>
            <w:r>
              <w:rPr>
                <w:spacing w:val="-4"/>
              </w:rPr>
              <w:t xml:space="preserve"> </w:t>
            </w:r>
            <w:r>
              <w:t>in</w:t>
            </w:r>
            <w:r>
              <w:rPr>
                <w:spacing w:val="-11"/>
              </w:rPr>
              <w:t xml:space="preserve"> </w:t>
            </w:r>
            <w:r>
              <w:t>accordance</w:t>
            </w:r>
            <w:r>
              <w:rPr>
                <w:spacing w:val="-3"/>
              </w:rPr>
              <w:t xml:space="preserve"> </w:t>
            </w:r>
            <w:r>
              <w:t>with</w:t>
            </w:r>
            <w:r>
              <w:rPr>
                <w:spacing w:val="-6"/>
              </w:rPr>
              <w:t xml:space="preserve"> </w:t>
            </w:r>
            <w:r>
              <w:t>ITT</w:t>
            </w:r>
            <w:r>
              <w:rPr>
                <w:spacing w:val="46"/>
              </w:rPr>
              <w:t xml:space="preserve"> </w:t>
            </w:r>
            <w:r>
              <w:rPr>
                <w:spacing w:val="-5"/>
              </w:rPr>
              <w:t>3.3</w:t>
            </w:r>
          </w:p>
        </w:tc>
        <w:tc>
          <w:tcPr>
            <w:tcW w:w="2976" w:type="dxa"/>
          </w:tcPr>
          <w:p w14:paraId="3CE96E42" w14:textId="77777777" w:rsidR="00BB77C0" w:rsidRDefault="00370BAA">
            <w:pPr>
              <w:pStyle w:val="TableParagraph"/>
              <w:spacing w:line="234" w:lineRule="exact"/>
              <w:ind w:left="111"/>
            </w:pPr>
            <w:r>
              <w:t>Form</w:t>
            </w:r>
            <w:r>
              <w:rPr>
                <w:spacing w:val="-9"/>
              </w:rPr>
              <w:t xml:space="preserve"> </w:t>
            </w:r>
            <w:r>
              <w:t>of</w:t>
            </w:r>
            <w:r>
              <w:rPr>
                <w:spacing w:val="-2"/>
              </w:rPr>
              <w:t xml:space="preserve"> Tender</w:t>
            </w:r>
          </w:p>
        </w:tc>
        <w:tc>
          <w:tcPr>
            <w:tcW w:w="2549" w:type="dxa"/>
          </w:tcPr>
          <w:p w14:paraId="6237A8B9" w14:textId="77777777" w:rsidR="00BB77C0" w:rsidRDefault="00BB77C0">
            <w:pPr>
              <w:pStyle w:val="TableParagraph"/>
              <w:rPr>
                <w:sz w:val="18"/>
              </w:rPr>
            </w:pPr>
          </w:p>
        </w:tc>
      </w:tr>
      <w:tr w:rsidR="00BB77C0" w14:paraId="156F73EF" w14:textId="77777777">
        <w:trPr>
          <w:trHeight w:val="504"/>
        </w:trPr>
        <w:tc>
          <w:tcPr>
            <w:tcW w:w="701" w:type="dxa"/>
          </w:tcPr>
          <w:p w14:paraId="108BD128" w14:textId="77777777" w:rsidR="00BB77C0" w:rsidRDefault="00370BAA">
            <w:pPr>
              <w:pStyle w:val="TableParagraph"/>
              <w:spacing w:line="250" w:lineRule="exact"/>
              <w:ind w:left="110"/>
            </w:pPr>
            <w:r>
              <w:rPr>
                <w:spacing w:val="-10"/>
              </w:rPr>
              <w:t>4</w:t>
            </w:r>
          </w:p>
        </w:tc>
        <w:tc>
          <w:tcPr>
            <w:tcW w:w="2554" w:type="dxa"/>
          </w:tcPr>
          <w:p w14:paraId="5EE3A8AC" w14:textId="77777777" w:rsidR="00BB77C0" w:rsidRDefault="00370BAA">
            <w:pPr>
              <w:pStyle w:val="TableParagraph"/>
              <w:spacing w:line="250" w:lineRule="exact"/>
              <w:ind w:left="110"/>
            </w:pPr>
            <w:r>
              <w:t>PPRA</w:t>
            </w:r>
            <w:r>
              <w:rPr>
                <w:spacing w:val="-5"/>
              </w:rPr>
              <w:t xml:space="preserve"> </w:t>
            </w:r>
            <w:r>
              <w:rPr>
                <w:spacing w:val="-2"/>
              </w:rPr>
              <w:t>Eligibility</w:t>
            </w:r>
          </w:p>
        </w:tc>
        <w:tc>
          <w:tcPr>
            <w:tcW w:w="5531" w:type="dxa"/>
          </w:tcPr>
          <w:p w14:paraId="5ECAB0B7" w14:textId="77777777" w:rsidR="00BB77C0" w:rsidRDefault="00370BAA">
            <w:pPr>
              <w:pStyle w:val="TableParagraph"/>
              <w:spacing w:before="4" w:line="240" w:lineRule="exact"/>
              <w:ind w:left="110" w:right="142"/>
            </w:pPr>
            <w:r>
              <w:t>Not</w:t>
            </w:r>
            <w:r>
              <w:rPr>
                <w:spacing w:val="-4"/>
              </w:rPr>
              <w:t xml:space="preserve"> </w:t>
            </w:r>
            <w:r>
              <w:t>having</w:t>
            </w:r>
            <w:r>
              <w:rPr>
                <w:spacing w:val="-10"/>
              </w:rPr>
              <w:t xml:space="preserve"> </w:t>
            </w:r>
            <w:r>
              <w:t>been</w:t>
            </w:r>
            <w:r>
              <w:rPr>
                <w:spacing w:val="-6"/>
              </w:rPr>
              <w:t xml:space="preserve"> </w:t>
            </w:r>
            <w:r>
              <w:t>declared</w:t>
            </w:r>
            <w:r>
              <w:rPr>
                <w:spacing w:val="-9"/>
              </w:rPr>
              <w:t xml:space="preserve"> </w:t>
            </w:r>
            <w:r>
              <w:t>ineligible</w:t>
            </w:r>
            <w:r>
              <w:rPr>
                <w:spacing w:val="-12"/>
              </w:rPr>
              <w:t xml:space="preserve"> </w:t>
            </w:r>
            <w:r>
              <w:t>by</w:t>
            </w:r>
            <w:r>
              <w:rPr>
                <w:spacing w:val="-10"/>
              </w:rPr>
              <w:t xml:space="preserve"> </w:t>
            </w:r>
            <w:r>
              <w:t>the</w:t>
            </w:r>
            <w:r>
              <w:rPr>
                <w:spacing w:val="-7"/>
              </w:rPr>
              <w:t xml:space="preserve"> </w:t>
            </w:r>
            <w:r>
              <w:t>PPRA</w:t>
            </w:r>
            <w:r>
              <w:rPr>
                <w:spacing w:val="-11"/>
              </w:rPr>
              <w:t xml:space="preserve"> </w:t>
            </w:r>
            <w:r>
              <w:t>as described in ITT 3.8</w:t>
            </w:r>
          </w:p>
        </w:tc>
        <w:tc>
          <w:tcPr>
            <w:tcW w:w="2976" w:type="dxa"/>
          </w:tcPr>
          <w:p w14:paraId="20EA3B58" w14:textId="77777777" w:rsidR="00BB77C0" w:rsidRDefault="00370BAA">
            <w:pPr>
              <w:pStyle w:val="TableParagraph"/>
              <w:spacing w:line="250" w:lineRule="exact"/>
              <w:ind w:left="111"/>
            </w:pPr>
            <w:r>
              <w:t>Form</w:t>
            </w:r>
            <w:r>
              <w:rPr>
                <w:spacing w:val="-9"/>
              </w:rPr>
              <w:t xml:space="preserve"> </w:t>
            </w:r>
            <w:r>
              <w:t>of</w:t>
            </w:r>
            <w:r>
              <w:rPr>
                <w:spacing w:val="-2"/>
              </w:rPr>
              <w:t xml:space="preserve"> Tender</w:t>
            </w:r>
          </w:p>
        </w:tc>
        <w:tc>
          <w:tcPr>
            <w:tcW w:w="2549" w:type="dxa"/>
          </w:tcPr>
          <w:p w14:paraId="54F350CC" w14:textId="77777777" w:rsidR="00BB77C0" w:rsidRDefault="00BB77C0">
            <w:pPr>
              <w:pStyle w:val="TableParagraph"/>
            </w:pPr>
          </w:p>
        </w:tc>
      </w:tr>
      <w:tr w:rsidR="00BB77C0" w14:paraId="7696E2ED" w14:textId="77777777">
        <w:trPr>
          <w:trHeight w:val="508"/>
        </w:trPr>
        <w:tc>
          <w:tcPr>
            <w:tcW w:w="701" w:type="dxa"/>
          </w:tcPr>
          <w:p w14:paraId="6FBF58C9" w14:textId="77777777" w:rsidR="00BB77C0" w:rsidRDefault="00370BAA">
            <w:pPr>
              <w:pStyle w:val="TableParagraph"/>
              <w:spacing w:line="249" w:lineRule="exact"/>
              <w:ind w:left="110"/>
            </w:pPr>
            <w:r>
              <w:rPr>
                <w:spacing w:val="-10"/>
              </w:rPr>
              <w:t>5</w:t>
            </w:r>
          </w:p>
        </w:tc>
        <w:tc>
          <w:tcPr>
            <w:tcW w:w="2554" w:type="dxa"/>
          </w:tcPr>
          <w:p w14:paraId="1ABE035E" w14:textId="77777777" w:rsidR="00BB77C0" w:rsidRDefault="00370BAA">
            <w:pPr>
              <w:pStyle w:val="TableParagraph"/>
              <w:spacing w:line="249" w:lineRule="exact"/>
              <w:ind w:left="110"/>
            </w:pPr>
            <w:r>
              <w:t>State-</w:t>
            </w:r>
            <w:r>
              <w:rPr>
                <w:spacing w:val="-10"/>
              </w:rPr>
              <w:t xml:space="preserve"> </w:t>
            </w:r>
            <w:r>
              <w:t>owned</w:t>
            </w:r>
            <w:r>
              <w:rPr>
                <w:spacing w:val="-8"/>
              </w:rPr>
              <w:t xml:space="preserve"> </w:t>
            </w:r>
            <w:r>
              <w:rPr>
                <w:spacing w:val="-2"/>
              </w:rPr>
              <w:t>Enterprise</w:t>
            </w:r>
          </w:p>
        </w:tc>
        <w:tc>
          <w:tcPr>
            <w:tcW w:w="5531" w:type="dxa"/>
          </w:tcPr>
          <w:p w14:paraId="0693F9CE" w14:textId="77777777" w:rsidR="00BB77C0" w:rsidRDefault="00370BAA">
            <w:pPr>
              <w:pStyle w:val="TableParagraph"/>
              <w:spacing w:line="249" w:lineRule="exact"/>
              <w:ind w:left="110"/>
            </w:pPr>
            <w:r>
              <w:t>Meets</w:t>
            </w:r>
            <w:r>
              <w:rPr>
                <w:spacing w:val="-7"/>
              </w:rPr>
              <w:t xml:space="preserve"> </w:t>
            </w:r>
            <w:r>
              <w:t>conditions</w:t>
            </w:r>
            <w:r>
              <w:rPr>
                <w:spacing w:val="-6"/>
              </w:rPr>
              <w:t xml:space="preserve"> </w:t>
            </w:r>
            <w:r>
              <w:t>of</w:t>
            </w:r>
            <w:r>
              <w:rPr>
                <w:spacing w:val="-9"/>
              </w:rPr>
              <w:t xml:space="preserve"> </w:t>
            </w:r>
            <w:r>
              <w:t>ITT</w:t>
            </w:r>
            <w:r>
              <w:rPr>
                <w:spacing w:val="-2"/>
              </w:rPr>
              <w:t xml:space="preserve"> </w:t>
            </w:r>
            <w:r>
              <w:rPr>
                <w:spacing w:val="-5"/>
              </w:rPr>
              <w:t>3.7</w:t>
            </w:r>
          </w:p>
        </w:tc>
        <w:tc>
          <w:tcPr>
            <w:tcW w:w="2976" w:type="dxa"/>
          </w:tcPr>
          <w:p w14:paraId="75E30057" w14:textId="77777777" w:rsidR="00BB77C0" w:rsidRDefault="00370BAA">
            <w:pPr>
              <w:pStyle w:val="TableParagraph"/>
              <w:spacing w:line="254" w:lineRule="exact"/>
              <w:ind w:left="111"/>
            </w:pPr>
            <w:r>
              <w:t>Forms</w:t>
            </w:r>
            <w:r>
              <w:rPr>
                <w:spacing w:val="-13"/>
              </w:rPr>
              <w:t xml:space="preserve"> </w:t>
            </w:r>
            <w:r>
              <w:t>ELI</w:t>
            </w:r>
            <w:r>
              <w:rPr>
                <w:spacing w:val="-14"/>
              </w:rPr>
              <w:t xml:space="preserve"> </w:t>
            </w:r>
            <w:r>
              <w:t>–</w:t>
            </w:r>
            <w:r>
              <w:rPr>
                <w:spacing w:val="-10"/>
              </w:rPr>
              <w:t xml:space="preserve"> </w:t>
            </w:r>
            <w:r>
              <w:t>1.1</w:t>
            </w:r>
            <w:r>
              <w:rPr>
                <w:spacing w:val="-14"/>
              </w:rPr>
              <w:t xml:space="preserve"> </w:t>
            </w:r>
            <w:r>
              <w:t>and</w:t>
            </w:r>
            <w:r>
              <w:rPr>
                <w:spacing w:val="-13"/>
              </w:rPr>
              <w:t xml:space="preserve"> </w:t>
            </w:r>
            <w:r>
              <w:t>1.2,</w:t>
            </w:r>
            <w:r>
              <w:rPr>
                <w:spacing w:val="-12"/>
              </w:rPr>
              <w:t xml:space="preserve"> </w:t>
            </w:r>
            <w:r>
              <w:t xml:space="preserve">with </w:t>
            </w:r>
            <w:r>
              <w:rPr>
                <w:spacing w:val="-2"/>
              </w:rPr>
              <w:t>attachments</w:t>
            </w:r>
          </w:p>
        </w:tc>
        <w:tc>
          <w:tcPr>
            <w:tcW w:w="2549" w:type="dxa"/>
          </w:tcPr>
          <w:p w14:paraId="209105C4" w14:textId="77777777" w:rsidR="00BB77C0" w:rsidRDefault="00BB77C0">
            <w:pPr>
              <w:pStyle w:val="TableParagraph"/>
            </w:pPr>
          </w:p>
        </w:tc>
      </w:tr>
      <w:tr w:rsidR="00BB77C0" w14:paraId="6AF6D6F3" w14:textId="77777777">
        <w:trPr>
          <w:trHeight w:val="758"/>
        </w:trPr>
        <w:tc>
          <w:tcPr>
            <w:tcW w:w="701" w:type="dxa"/>
          </w:tcPr>
          <w:p w14:paraId="158C9D2E" w14:textId="77777777" w:rsidR="00BB77C0" w:rsidRDefault="00370BAA">
            <w:pPr>
              <w:pStyle w:val="TableParagraph"/>
              <w:spacing w:line="249" w:lineRule="exact"/>
              <w:ind w:left="110"/>
            </w:pPr>
            <w:r>
              <w:rPr>
                <w:spacing w:val="-10"/>
              </w:rPr>
              <w:t>6</w:t>
            </w:r>
          </w:p>
        </w:tc>
        <w:tc>
          <w:tcPr>
            <w:tcW w:w="2554" w:type="dxa"/>
          </w:tcPr>
          <w:p w14:paraId="4E76A395" w14:textId="77777777" w:rsidR="00BB77C0" w:rsidRDefault="00370BAA">
            <w:pPr>
              <w:pStyle w:val="TableParagraph"/>
              <w:spacing w:line="249" w:lineRule="exact"/>
              <w:ind w:left="110"/>
            </w:pPr>
            <w:r>
              <w:rPr>
                <w:spacing w:val="-2"/>
              </w:rPr>
              <w:t>Goods,</w:t>
            </w:r>
            <w:r>
              <w:rPr>
                <w:spacing w:val="-5"/>
              </w:rPr>
              <w:t xml:space="preserve"> </w:t>
            </w:r>
            <w:r>
              <w:rPr>
                <w:spacing w:val="-2"/>
              </w:rPr>
              <w:t>equipment</w:t>
            </w:r>
            <w:r>
              <w:rPr>
                <w:spacing w:val="-5"/>
              </w:rPr>
              <w:t xml:space="preserve"> and</w:t>
            </w:r>
          </w:p>
          <w:p w14:paraId="386E7BF9" w14:textId="77777777" w:rsidR="00BB77C0" w:rsidRDefault="00370BAA">
            <w:pPr>
              <w:pStyle w:val="TableParagraph"/>
              <w:spacing w:before="9" w:line="240" w:lineRule="exact"/>
              <w:ind w:left="110"/>
            </w:pPr>
            <w:r>
              <w:t>services</w:t>
            </w:r>
            <w:r>
              <w:rPr>
                <w:spacing w:val="-14"/>
              </w:rPr>
              <w:t xml:space="preserve"> </w:t>
            </w:r>
            <w:r>
              <w:t>to</w:t>
            </w:r>
            <w:r>
              <w:rPr>
                <w:spacing w:val="-14"/>
              </w:rPr>
              <w:t xml:space="preserve"> </w:t>
            </w:r>
            <w:r>
              <w:t>be</w:t>
            </w:r>
            <w:r>
              <w:rPr>
                <w:spacing w:val="-14"/>
              </w:rPr>
              <w:t xml:space="preserve"> </w:t>
            </w:r>
            <w:r>
              <w:t>supplied under the contract</w:t>
            </w:r>
          </w:p>
        </w:tc>
        <w:tc>
          <w:tcPr>
            <w:tcW w:w="5531" w:type="dxa"/>
          </w:tcPr>
          <w:p w14:paraId="0196C811" w14:textId="77777777" w:rsidR="00BB77C0" w:rsidRDefault="00370BAA">
            <w:pPr>
              <w:pStyle w:val="TableParagraph"/>
              <w:spacing w:line="237" w:lineRule="auto"/>
              <w:ind w:left="110"/>
            </w:pPr>
            <w:r>
              <w:t>To</w:t>
            </w:r>
            <w:r>
              <w:rPr>
                <w:spacing w:val="-9"/>
              </w:rPr>
              <w:t xml:space="preserve"> </w:t>
            </w:r>
            <w:r>
              <w:t>have</w:t>
            </w:r>
            <w:r>
              <w:rPr>
                <w:spacing w:val="-14"/>
              </w:rPr>
              <w:t xml:space="preserve"> </w:t>
            </w:r>
            <w:r>
              <w:t>their</w:t>
            </w:r>
            <w:r>
              <w:rPr>
                <w:spacing w:val="-1"/>
              </w:rPr>
              <w:t xml:space="preserve"> </w:t>
            </w:r>
            <w:r>
              <w:t>origin</w:t>
            </w:r>
            <w:r>
              <w:rPr>
                <w:spacing w:val="-8"/>
              </w:rPr>
              <w:t xml:space="preserve"> </w:t>
            </w:r>
            <w:r>
              <w:t>in</w:t>
            </w:r>
            <w:r>
              <w:rPr>
                <w:spacing w:val="-13"/>
              </w:rPr>
              <w:t xml:space="preserve"> </w:t>
            </w:r>
            <w:r>
              <w:t>any</w:t>
            </w:r>
            <w:r>
              <w:rPr>
                <w:spacing w:val="-13"/>
              </w:rPr>
              <w:t xml:space="preserve"> </w:t>
            </w:r>
            <w:r>
              <w:t>country</w:t>
            </w:r>
            <w:r>
              <w:rPr>
                <w:spacing w:val="-13"/>
              </w:rPr>
              <w:t xml:space="preserve"> </w:t>
            </w:r>
            <w:r>
              <w:t>that</w:t>
            </w:r>
            <w:r>
              <w:rPr>
                <w:spacing w:val="-3"/>
              </w:rPr>
              <w:t xml:space="preserve"> </w:t>
            </w:r>
            <w:r>
              <w:t>is</w:t>
            </w:r>
            <w:r>
              <w:rPr>
                <w:spacing w:val="-4"/>
              </w:rPr>
              <w:t xml:space="preserve"> </w:t>
            </w:r>
            <w:r>
              <w:t>not</w:t>
            </w:r>
            <w:r>
              <w:rPr>
                <w:spacing w:val="-4"/>
              </w:rPr>
              <w:t xml:space="preserve"> </w:t>
            </w:r>
            <w:r>
              <w:t>determined ineligible under ITT 4.1</w:t>
            </w:r>
          </w:p>
        </w:tc>
        <w:tc>
          <w:tcPr>
            <w:tcW w:w="2976" w:type="dxa"/>
          </w:tcPr>
          <w:p w14:paraId="1085E808" w14:textId="77777777" w:rsidR="00BB77C0" w:rsidRDefault="00370BAA">
            <w:pPr>
              <w:pStyle w:val="TableParagraph"/>
              <w:spacing w:line="242" w:lineRule="auto"/>
              <w:ind w:left="111"/>
            </w:pPr>
            <w:r>
              <w:t>Forms</w:t>
            </w:r>
            <w:r>
              <w:rPr>
                <w:spacing w:val="-13"/>
              </w:rPr>
              <w:t xml:space="preserve"> </w:t>
            </w:r>
            <w:r>
              <w:t>ELI</w:t>
            </w:r>
            <w:r>
              <w:rPr>
                <w:spacing w:val="-14"/>
              </w:rPr>
              <w:t xml:space="preserve"> </w:t>
            </w:r>
            <w:r>
              <w:t>–</w:t>
            </w:r>
            <w:r>
              <w:rPr>
                <w:spacing w:val="-10"/>
              </w:rPr>
              <w:t xml:space="preserve"> </w:t>
            </w:r>
            <w:r>
              <w:t>1.1</w:t>
            </w:r>
            <w:r>
              <w:rPr>
                <w:spacing w:val="-14"/>
              </w:rPr>
              <w:t xml:space="preserve"> </w:t>
            </w:r>
            <w:r>
              <w:t>and</w:t>
            </w:r>
            <w:r>
              <w:rPr>
                <w:spacing w:val="-13"/>
              </w:rPr>
              <w:t xml:space="preserve"> </w:t>
            </w:r>
            <w:r>
              <w:t>1.2,</w:t>
            </w:r>
            <w:r>
              <w:rPr>
                <w:spacing w:val="-12"/>
              </w:rPr>
              <w:t xml:space="preserve"> </w:t>
            </w:r>
            <w:r>
              <w:t xml:space="preserve">with </w:t>
            </w:r>
            <w:r>
              <w:rPr>
                <w:spacing w:val="-2"/>
              </w:rPr>
              <w:t>attachments</w:t>
            </w:r>
          </w:p>
        </w:tc>
        <w:tc>
          <w:tcPr>
            <w:tcW w:w="2549" w:type="dxa"/>
          </w:tcPr>
          <w:p w14:paraId="7C2322B1" w14:textId="77777777" w:rsidR="00BB77C0" w:rsidRDefault="00BB77C0">
            <w:pPr>
              <w:pStyle w:val="TableParagraph"/>
            </w:pPr>
          </w:p>
        </w:tc>
      </w:tr>
      <w:tr w:rsidR="00BB77C0" w14:paraId="015B09FA" w14:textId="77777777">
        <w:trPr>
          <w:trHeight w:val="503"/>
        </w:trPr>
        <w:tc>
          <w:tcPr>
            <w:tcW w:w="701" w:type="dxa"/>
          </w:tcPr>
          <w:p w14:paraId="1AA10710" w14:textId="77777777" w:rsidR="00BB77C0" w:rsidRDefault="00370BAA">
            <w:pPr>
              <w:pStyle w:val="TableParagraph"/>
              <w:spacing w:line="249" w:lineRule="exact"/>
              <w:ind w:left="110"/>
            </w:pPr>
            <w:r>
              <w:rPr>
                <w:spacing w:val="-10"/>
              </w:rPr>
              <w:t>7</w:t>
            </w:r>
          </w:p>
        </w:tc>
        <w:tc>
          <w:tcPr>
            <w:tcW w:w="2554" w:type="dxa"/>
          </w:tcPr>
          <w:p w14:paraId="2E98C21C" w14:textId="77777777" w:rsidR="00BB77C0" w:rsidRDefault="00370BAA">
            <w:pPr>
              <w:pStyle w:val="TableParagraph"/>
              <w:spacing w:line="250" w:lineRule="exact"/>
              <w:ind w:left="110" w:right="66"/>
            </w:pPr>
            <w:r>
              <w:t xml:space="preserve">History of Non- </w:t>
            </w:r>
            <w:r>
              <w:rPr>
                <w:spacing w:val="-2"/>
              </w:rPr>
              <w:t>Performing</w:t>
            </w:r>
            <w:r>
              <w:rPr>
                <w:spacing w:val="-16"/>
              </w:rPr>
              <w:t xml:space="preserve"> </w:t>
            </w:r>
            <w:r>
              <w:rPr>
                <w:spacing w:val="-2"/>
              </w:rPr>
              <w:t>Contracts</w:t>
            </w:r>
          </w:p>
        </w:tc>
        <w:tc>
          <w:tcPr>
            <w:tcW w:w="5531" w:type="dxa"/>
          </w:tcPr>
          <w:p w14:paraId="355B8915" w14:textId="77777777" w:rsidR="00BB77C0" w:rsidRDefault="00370BAA">
            <w:pPr>
              <w:pStyle w:val="TableParagraph"/>
              <w:spacing w:line="250" w:lineRule="exact"/>
              <w:ind w:left="110"/>
            </w:pPr>
            <w:r>
              <w:t>Non-performance</w:t>
            </w:r>
            <w:r>
              <w:rPr>
                <w:spacing w:val="-10"/>
              </w:rPr>
              <w:t xml:space="preserve"> </w:t>
            </w:r>
            <w:r>
              <w:t>of</w:t>
            </w:r>
            <w:r>
              <w:rPr>
                <w:spacing w:val="-10"/>
              </w:rPr>
              <w:t xml:space="preserve"> </w:t>
            </w:r>
            <w:r>
              <w:t>a</w:t>
            </w:r>
            <w:r>
              <w:rPr>
                <w:spacing w:val="-6"/>
              </w:rPr>
              <w:t xml:space="preserve"> </w:t>
            </w:r>
            <w:r>
              <w:t>contract</w:t>
            </w:r>
            <w:r>
              <w:rPr>
                <w:spacing w:val="-7"/>
              </w:rPr>
              <w:t xml:space="preserve"> </w:t>
            </w:r>
            <w:r>
              <w:t>did</w:t>
            </w:r>
            <w:r>
              <w:rPr>
                <w:spacing w:val="-12"/>
              </w:rPr>
              <w:t xml:space="preserve"> </w:t>
            </w:r>
            <w:r>
              <w:t>not</w:t>
            </w:r>
            <w:r>
              <w:rPr>
                <w:spacing w:val="-8"/>
              </w:rPr>
              <w:t xml:space="preserve"> </w:t>
            </w:r>
            <w:r>
              <w:t>occur</w:t>
            </w:r>
            <w:r>
              <w:rPr>
                <w:spacing w:val="-5"/>
              </w:rPr>
              <w:t xml:space="preserve"> </w:t>
            </w:r>
            <w:r>
              <w:t>as</w:t>
            </w:r>
            <w:r>
              <w:rPr>
                <w:spacing w:val="-12"/>
              </w:rPr>
              <w:t xml:space="preserve"> </w:t>
            </w:r>
            <w:r>
              <w:t>a</w:t>
            </w:r>
            <w:r>
              <w:rPr>
                <w:spacing w:val="-10"/>
              </w:rPr>
              <w:t xml:space="preserve"> </w:t>
            </w:r>
            <w:r>
              <w:t>result</w:t>
            </w:r>
            <w:r>
              <w:rPr>
                <w:spacing w:val="-7"/>
              </w:rPr>
              <w:t xml:space="preserve"> </w:t>
            </w:r>
            <w:r>
              <w:t>of contractor default since 1</w:t>
            </w:r>
            <w:r>
              <w:rPr>
                <w:vertAlign w:val="superscript"/>
              </w:rPr>
              <w:t>st</w:t>
            </w:r>
            <w:r>
              <w:t xml:space="preserve"> January […….</w:t>
            </w:r>
            <w:r>
              <w:rPr>
                <w:i/>
              </w:rPr>
              <w:t>]</w:t>
            </w:r>
            <w:r>
              <w:t>.</w:t>
            </w:r>
          </w:p>
        </w:tc>
        <w:tc>
          <w:tcPr>
            <w:tcW w:w="2976" w:type="dxa"/>
          </w:tcPr>
          <w:p w14:paraId="13A6CD76" w14:textId="77777777" w:rsidR="00BB77C0" w:rsidRDefault="00370BAA">
            <w:pPr>
              <w:pStyle w:val="TableParagraph"/>
              <w:spacing w:line="249" w:lineRule="exact"/>
              <w:ind w:left="111"/>
            </w:pPr>
            <w:r>
              <w:rPr>
                <w:spacing w:val="-2"/>
              </w:rPr>
              <w:t>Form</w:t>
            </w:r>
            <w:r>
              <w:t xml:space="preserve"> </w:t>
            </w:r>
            <w:r>
              <w:rPr>
                <w:spacing w:val="-2"/>
              </w:rPr>
              <w:t>CON-</w:t>
            </w:r>
            <w:r>
              <w:rPr>
                <w:spacing w:val="-10"/>
              </w:rPr>
              <w:t>2</w:t>
            </w:r>
          </w:p>
        </w:tc>
        <w:tc>
          <w:tcPr>
            <w:tcW w:w="2549" w:type="dxa"/>
          </w:tcPr>
          <w:p w14:paraId="0124F1C0" w14:textId="77777777" w:rsidR="00BB77C0" w:rsidRDefault="00BB77C0">
            <w:pPr>
              <w:pStyle w:val="TableParagraph"/>
            </w:pPr>
          </w:p>
        </w:tc>
      </w:tr>
      <w:tr w:rsidR="00BB77C0" w14:paraId="470B165F" w14:textId="77777777">
        <w:trPr>
          <w:trHeight w:val="1267"/>
        </w:trPr>
        <w:tc>
          <w:tcPr>
            <w:tcW w:w="701" w:type="dxa"/>
          </w:tcPr>
          <w:p w14:paraId="1C9A6A48" w14:textId="77777777" w:rsidR="00BB77C0" w:rsidRDefault="00370BAA">
            <w:pPr>
              <w:pStyle w:val="TableParagraph"/>
              <w:spacing w:line="249" w:lineRule="exact"/>
              <w:ind w:left="110"/>
            </w:pPr>
            <w:r>
              <w:rPr>
                <w:spacing w:val="-10"/>
              </w:rPr>
              <w:t>8</w:t>
            </w:r>
          </w:p>
        </w:tc>
        <w:tc>
          <w:tcPr>
            <w:tcW w:w="2554" w:type="dxa"/>
          </w:tcPr>
          <w:p w14:paraId="6AEBFC71" w14:textId="77777777" w:rsidR="00BB77C0" w:rsidRDefault="00370BAA">
            <w:pPr>
              <w:pStyle w:val="TableParagraph"/>
              <w:ind w:left="110"/>
            </w:pPr>
            <w:r>
              <w:t xml:space="preserve">Suspension Based on Execution of </w:t>
            </w:r>
            <w:r>
              <w:rPr>
                <w:spacing w:val="-2"/>
              </w:rPr>
              <w:t>Tender/Proposal</w:t>
            </w:r>
            <w:r>
              <w:rPr>
                <w:spacing w:val="-14"/>
              </w:rPr>
              <w:t xml:space="preserve"> </w:t>
            </w:r>
            <w:r>
              <w:rPr>
                <w:spacing w:val="-2"/>
              </w:rPr>
              <w:t>Securing</w:t>
            </w:r>
          </w:p>
          <w:p w14:paraId="7A407A03" w14:textId="77777777" w:rsidR="00BB77C0" w:rsidRDefault="00370BAA">
            <w:pPr>
              <w:pStyle w:val="TableParagraph"/>
              <w:spacing w:line="244" w:lineRule="exact"/>
              <w:ind w:left="110"/>
            </w:pPr>
            <w:r>
              <w:t>Declaration</w:t>
            </w:r>
            <w:r>
              <w:rPr>
                <w:spacing w:val="-14"/>
              </w:rPr>
              <w:t xml:space="preserve"> </w:t>
            </w:r>
            <w:r>
              <w:t>by</w:t>
            </w:r>
            <w:r>
              <w:rPr>
                <w:spacing w:val="-14"/>
              </w:rPr>
              <w:t xml:space="preserve"> </w:t>
            </w:r>
            <w:r>
              <w:t>the Procuring Entity</w:t>
            </w:r>
          </w:p>
        </w:tc>
        <w:tc>
          <w:tcPr>
            <w:tcW w:w="5531" w:type="dxa"/>
          </w:tcPr>
          <w:p w14:paraId="1695D089" w14:textId="77777777" w:rsidR="00BB77C0" w:rsidRDefault="00370BAA">
            <w:pPr>
              <w:pStyle w:val="TableParagraph"/>
              <w:spacing w:line="242" w:lineRule="auto"/>
              <w:ind w:left="110"/>
            </w:pPr>
            <w:r>
              <w:t>Not under suspension based on-execution of a Tender/Proposal</w:t>
            </w:r>
            <w:r>
              <w:rPr>
                <w:spacing w:val="-14"/>
              </w:rPr>
              <w:t xml:space="preserve"> </w:t>
            </w:r>
            <w:r>
              <w:t>Securing</w:t>
            </w:r>
            <w:r>
              <w:rPr>
                <w:spacing w:val="-14"/>
              </w:rPr>
              <w:t xml:space="preserve"> </w:t>
            </w:r>
            <w:r>
              <w:t>Declaration</w:t>
            </w:r>
            <w:r>
              <w:rPr>
                <w:spacing w:val="-14"/>
              </w:rPr>
              <w:t xml:space="preserve"> </w:t>
            </w:r>
            <w:r>
              <w:t>pursuant</w:t>
            </w:r>
            <w:r>
              <w:rPr>
                <w:spacing w:val="-11"/>
              </w:rPr>
              <w:t xml:space="preserve"> </w:t>
            </w:r>
            <w:r>
              <w:t>to</w:t>
            </w:r>
            <w:r>
              <w:rPr>
                <w:spacing w:val="-14"/>
              </w:rPr>
              <w:t xml:space="preserve"> </w:t>
            </w:r>
            <w:r>
              <w:t>ITT</w:t>
            </w:r>
            <w:r>
              <w:rPr>
                <w:spacing w:val="-14"/>
              </w:rPr>
              <w:t xml:space="preserve"> </w:t>
            </w:r>
            <w:r>
              <w:t>19.9</w:t>
            </w:r>
          </w:p>
        </w:tc>
        <w:tc>
          <w:tcPr>
            <w:tcW w:w="2976" w:type="dxa"/>
          </w:tcPr>
          <w:p w14:paraId="0C6DCC99" w14:textId="77777777" w:rsidR="00BB77C0" w:rsidRDefault="00370BAA">
            <w:pPr>
              <w:pStyle w:val="TableParagraph"/>
              <w:spacing w:line="249" w:lineRule="exact"/>
              <w:ind w:left="111"/>
            </w:pPr>
            <w:r>
              <w:t>Form</w:t>
            </w:r>
            <w:r>
              <w:rPr>
                <w:spacing w:val="-9"/>
              </w:rPr>
              <w:t xml:space="preserve"> </w:t>
            </w:r>
            <w:r>
              <w:t>of</w:t>
            </w:r>
            <w:r>
              <w:rPr>
                <w:spacing w:val="-2"/>
              </w:rPr>
              <w:t xml:space="preserve"> Tender</w:t>
            </w:r>
          </w:p>
        </w:tc>
        <w:tc>
          <w:tcPr>
            <w:tcW w:w="2549" w:type="dxa"/>
          </w:tcPr>
          <w:p w14:paraId="6B4EBF3A" w14:textId="77777777" w:rsidR="00BB77C0" w:rsidRDefault="00BB77C0">
            <w:pPr>
              <w:pStyle w:val="TableParagraph"/>
            </w:pPr>
          </w:p>
        </w:tc>
      </w:tr>
      <w:tr w:rsidR="00BB77C0" w14:paraId="22E61B27" w14:textId="77777777">
        <w:trPr>
          <w:trHeight w:val="1013"/>
        </w:trPr>
        <w:tc>
          <w:tcPr>
            <w:tcW w:w="701" w:type="dxa"/>
          </w:tcPr>
          <w:p w14:paraId="0F660F8F" w14:textId="77777777" w:rsidR="00BB77C0" w:rsidRDefault="00370BAA">
            <w:pPr>
              <w:pStyle w:val="TableParagraph"/>
              <w:spacing w:line="250" w:lineRule="exact"/>
              <w:ind w:left="110"/>
            </w:pPr>
            <w:r>
              <w:rPr>
                <w:spacing w:val="-10"/>
              </w:rPr>
              <w:t>9</w:t>
            </w:r>
          </w:p>
        </w:tc>
        <w:tc>
          <w:tcPr>
            <w:tcW w:w="2554" w:type="dxa"/>
          </w:tcPr>
          <w:p w14:paraId="596F9AA5" w14:textId="77777777" w:rsidR="00BB77C0" w:rsidRDefault="00370BAA">
            <w:pPr>
              <w:pStyle w:val="TableParagraph"/>
              <w:spacing w:line="250" w:lineRule="exact"/>
              <w:ind w:left="110"/>
            </w:pPr>
            <w:r>
              <w:t>Pending</w:t>
            </w:r>
            <w:r>
              <w:rPr>
                <w:spacing w:val="-13"/>
              </w:rPr>
              <w:t xml:space="preserve"> </w:t>
            </w:r>
            <w:r>
              <w:rPr>
                <w:spacing w:val="-2"/>
              </w:rPr>
              <w:t>Litigation</w:t>
            </w:r>
          </w:p>
        </w:tc>
        <w:tc>
          <w:tcPr>
            <w:tcW w:w="5531" w:type="dxa"/>
          </w:tcPr>
          <w:p w14:paraId="298C808A" w14:textId="77777777" w:rsidR="00BB77C0" w:rsidRDefault="00370BAA">
            <w:pPr>
              <w:pStyle w:val="TableParagraph"/>
              <w:spacing w:line="242" w:lineRule="auto"/>
              <w:ind w:left="110"/>
            </w:pPr>
            <w:r>
              <w:t>Tender’s financial position and prospective long-term profitability</w:t>
            </w:r>
            <w:r>
              <w:rPr>
                <w:spacing w:val="-14"/>
              </w:rPr>
              <w:t xml:space="preserve"> </w:t>
            </w:r>
            <w:r>
              <w:t>still</w:t>
            </w:r>
            <w:r>
              <w:rPr>
                <w:spacing w:val="-11"/>
              </w:rPr>
              <w:t xml:space="preserve"> </w:t>
            </w:r>
            <w:r>
              <w:t>sound</w:t>
            </w:r>
            <w:r>
              <w:rPr>
                <w:spacing w:val="-12"/>
              </w:rPr>
              <w:t xml:space="preserve"> </w:t>
            </w:r>
            <w:r>
              <w:t>according</w:t>
            </w:r>
            <w:r>
              <w:rPr>
                <w:spacing w:val="-12"/>
              </w:rPr>
              <w:t xml:space="preserve"> </w:t>
            </w:r>
            <w:r>
              <w:t>to</w:t>
            </w:r>
            <w:r>
              <w:rPr>
                <w:spacing w:val="-14"/>
              </w:rPr>
              <w:t xml:space="preserve"> </w:t>
            </w:r>
            <w:r>
              <w:t>criteria</w:t>
            </w:r>
            <w:r>
              <w:rPr>
                <w:spacing w:val="-5"/>
              </w:rPr>
              <w:t xml:space="preserve"> </w:t>
            </w:r>
            <w:r>
              <w:t>established</w:t>
            </w:r>
            <w:r>
              <w:rPr>
                <w:spacing w:val="-8"/>
              </w:rPr>
              <w:t xml:space="preserve"> </w:t>
            </w:r>
            <w:r>
              <w:t>in</w:t>
            </w:r>
          </w:p>
          <w:p w14:paraId="0E2BE462" w14:textId="77777777" w:rsidR="00BB77C0" w:rsidRDefault="00370BAA">
            <w:pPr>
              <w:pStyle w:val="TableParagraph"/>
              <w:spacing w:line="250" w:lineRule="exact"/>
              <w:ind w:left="110"/>
            </w:pPr>
            <w:r>
              <w:t>3.1</w:t>
            </w:r>
            <w:r>
              <w:rPr>
                <w:spacing w:val="-11"/>
              </w:rPr>
              <w:t xml:space="preserve"> </w:t>
            </w:r>
            <w:r>
              <w:t>and</w:t>
            </w:r>
            <w:r>
              <w:rPr>
                <w:spacing w:val="-11"/>
              </w:rPr>
              <w:t xml:space="preserve"> </w:t>
            </w:r>
            <w:r>
              <w:t>assuming</w:t>
            </w:r>
            <w:r>
              <w:rPr>
                <w:spacing w:val="-11"/>
              </w:rPr>
              <w:t xml:space="preserve"> </w:t>
            </w:r>
            <w:r>
              <w:t>that</w:t>
            </w:r>
            <w:r>
              <w:rPr>
                <w:spacing w:val="-6"/>
              </w:rPr>
              <w:t xml:space="preserve"> </w:t>
            </w:r>
            <w:r>
              <w:t>all</w:t>
            </w:r>
            <w:r>
              <w:rPr>
                <w:spacing w:val="-11"/>
              </w:rPr>
              <w:t xml:space="preserve"> </w:t>
            </w:r>
            <w:r>
              <w:t>pending</w:t>
            </w:r>
            <w:r>
              <w:rPr>
                <w:spacing w:val="-11"/>
              </w:rPr>
              <w:t xml:space="preserve"> </w:t>
            </w:r>
            <w:r>
              <w:t>litigation</w:t>
            </w:r>
            <w:r>
              <w:rPr>
                <w:spacing w:val="-6"/>
              </w:rPr>
              <w:t xml:space="preserve"> </w:t>
            </w:r>
            <w:r>
              <w:t>will</w:t>
            </w:r>
            <w:r>
              <w:rPr>
                <w:spacing w:val="-11"/>
              </w:rPr>
              <w:t xml:space="preserve"> </w:t>
            </w:r>
            <w:r>
              <w:t>NOT</w:t>
            </w:r>
            <w:r>
              <w:rPr>
                <w:spacing w:val="-3"/>
              </w:rPr>
              <w:t xml:space="preserve"> </w:t>
            </w:r>
            <w:r>
              <w:t>be resolved against the Tenderer.</w:t>
            </w:r>
          </w:p>
        </w:tc>
        <w:tc>
          <w:tcPr>
            <w:tcW w:w="2976" w:type="dxa"/>
          </w:tcPr>
          <w:p w14:paraId="44E54A8F" w14:textId="77777777" w:rsidR="00BB77C0" w:rsidRDefault="00370BAA">
            <w:pPr>
              <w:pStyle w:val="TableParagraph"/>
              <w:spacing w:line="250" w:lineRule="exact"/>
              <w:ind w:left="111"/>
            </w:pPr>
            <w:r>
              <w:t>Form</w:t>
            </w:r>
            <w:r>
              <w:rPr>
                <w:spacing w:val="-7"/>
              </w:rPr>
              <w:t xml:space="preserve"> </w:t>
            </w:r>
            <w:r>
              <w:t>CON –</w:t>
            </w:r>
            <w:r>
              <w:rPr>
                <w:spacing w:val="-3"/>
              </w:rPr>
              <w:t xml:space="preserve"> </w:t>
            </w:r>
            <w:r>
              <w:rPr>
                <w:spacing w:val="-10"/>
              </w:rPr>
              <w:t>2</w:t>
            </w:r>
          </w:p>
        </w:tc>
        <w:tc>
          <w:tcPr>
            <w:tcW w:w="2549" w:type="dxa"/>
          </w:tcPr>
          <w:p w14:paraId="2B6A2A50" w14:textId="77777777" w:rsidR="00BB77C0" w:rsidRDefault="00BB77C0">
            <w:pPr>
              <w:pStyle w:val="TableParagraph"/>
            </w:pPr>
          </w:p>
        </w:tc>
      </w:tr>
      <w:tr w:rsidR="00BB77C0" w14:paraId="7C44FBA3" w14:textId="77777777">
        <w:trPr>
          <w:trHeight w:val="503"/>
        </w:trPr>
        <w:tc>
          <w:tcPr>
            <w:tcW w:w="701" w:type="dxa"/>
          </w:tcPr>
          <w:p w14:paraId="70AC63B5" w14:textId="77777777" w:rsidR="00BB77C0" w:rsidRDefault="00370BAA">
            <w:pPr>
              <w:pStyle w:val="TableParagraph"/>
              <w:spacing w:line="249" w:lineRule="exact"/>
              <w:ind w:left="110"/>
            </w:pPr>
            <w:r>
              <w:rPr>
                <w:spacing w:val="-5"/>
              </w:rPr>
              <w:t>10</w:t>
            </w:r>
          </w:p>
        </w:tc>
        <w:tc>
          <w:tcPr>
            <w:tcW w:w="2554" w:type="dxa"/>
          </w:tcPr>
          <w:p w14:paraId="207A0DF8" w14:textId="77777777" w:rsidR="00BB77C0" w:rsidRDefault="00370BAA">
            <w:pPr>
              <w:pStyle w:val="TableParagraph"/>
              <w:spacing w:line="249" w:lineRule="exact"/>
              <w:ind w:left="110"/>
            </w:pPr>
            <w:r>
              <w:rPr>
                <w:spacing w:val="-2"/>
              </w:rPr>
              <w:t>Litigation</w:t>
            </w:r>
            <w:r>
              <w:rPr>
                <w:spacing w:val="5"/>
              </w:rPr>
              <w:t xml:space="preserve"> </w:t>
            </w:r>
            <w:r>
              <w:rPr>
                <w:spacing w:val="-2"/>
              </w:rPr>
              <w:t>History</w:t>
            </w:r>
          </w:p>
        </w:tc>
        <w:tc>
          <w:tcPr>
            <w:tcW w:w="5531" w:type="dxa"/>
          </w:tcPr>
          <w:p w14:paraId="05769646" w14:textId="77777777" w:rsidR="00BB77C0" w:rsidRDefault="00370BAA">
            <w:pPr>
              <w:pStyle w:val="TableParagraph"/>
              <w:spacing w:before="4" w:line="240" w:lineRule="exact"/>
              <w:ind w:left="110" w:right="142"/>
              <w:rPr>
                <w:i/>
              </w:rPr>
            </w:pPr>
            <w:r>
              <w:t>No</w:t>
            </w:r>
            <w:r>
              <w:rPr>
                <w:spacing w:val="-14"/>
              </w:rPr>
              <w:t xml:space="preserve"> </w:t>
            </w:r>
            <w:r>
              <w:t>consistent</w:t>
            </w:r>
            <w:r>
              <w:rPr>
                <w:spacing w:val="-14"/>
              </w:rPr>
              <w:t xml:space="preserve"> </w:t>
            </w:r>
            <w:r>
              <w:t>history</w:t>
            </w:r>
            <w:r>
              <w:rPr>
                <w:spacing w:val="-13"/>
              </w:rPr>
              <w:t xml:space="preserve"> </w:t>
            </w:r>
            <w:r>
              <w:t>of</w:t>
            </w:r>
            <w:r>
              <w:rPr>
                <w:spacing w:val="-13"/>
              </w:rPr>
              <w:t xml:space="preserve"> </w:t>
            </w:r>
            <w:r>
              <w:t>court/arbitral</w:t>
            </w:r>
            <w:r>
              <w:rPr>
                <w:spacing w:val="-14"/>
              </w:rPr>
              <w:t xml:space="preserve"> </w:t>
            </w:r>
            <w:r>
              <w:t>award</w:t>
            </w:r>
            <w:r>
              <w:rPr>
                <w:spacing w:val="-14"/>
              </w:rPr>
              <w:t xml:space="preserve"> </w:t>
            </w:r>
            <w:r>
              <w:t>decisions against the Tenderer since 1</w:t>
            </w:r>
            <w:r>
              <w:rPr>
                <w:vertAlign w:val="superscript"/>
              </w:rPr>
              <w:t>st</w:t>
            </w:r>
            <w:r>
              <w:t xml:space="preserve"> January </w:t>
            </w:r>
            <w:r>
              <w:rPr>
                <w:i/>
              </w:rPr>
              <w:t>[insert year]</w:t>
            </w:r>
          </w:p>
        </w:tc>
        <w:tc>
          <w:tcPr>
            <w:tcW w:w="2976" w:type="dxa"/>
          </w:tcPr>
          <w:p w14:paraId="316FB13B" w14:textId="77777777" w:rsidR="00BB77C0" w:rsidRDefault="00370BAA">
            <w:pPr>
              <w:pStyle w:val="TableParagraph"/>
              <w:spacing w:line="249" w:lineRule="exact"/>
              <w:ind w:left="111"/>
            </w:pPr>
            <w:r>
              <w:t>Form</w:t>
            </w:r>
            <w:r>
              <w:rPr>
                <w:spacing w:val="-7"/>
              </w:rPr>
              <w:t xml:space="preserve"> </w:t>
            </w:r>
            <w:r>
              <w:t>CON –</w:t>
            </w:r>
            <w:r>
              <w:rPr>
                <w:spacing w:val="-3"/>
              </w:rPr>
              <w:t xml:space="preserve"> </w:t>
            </w:r>
            <w:r>
              <w:rPr>
                <w:spacing w:val="-10"/>
              </w:rPr>
              <w:t>2</w:t>
            </w:r>
          </w:p>
        </w:tc>
        <w:tc>
          <w:tcPr>
            <w:tcW w:w="2549" w:type="dxa"/>
          </w:tcPr>
          <w:p w14:paraId="24EEE7F2" w14:textId="77777777" w:rsidR="00BB77C0" w:rsidRDefault="00BB77C0">
            <w:pPr>
              <w:pStyle w:val="TableParagraph"/>
            </w:pPr>
          </w:p>
        </w:tc>
      </w:tr>
      <w:tr w:rsidR="00BB77C0" w14:paraId="5AEB0A3E" w14:textId="77777777">
        <w:trPr>
          <w:trHeight w:val="2530"/>
        </w:trPr>
        <w:tc>
          <w:tcPr>
            <w:tcW w:w="701" w:type="dxa"/>
          </w:tcPr>
          <w:p w14:paraId="7D769C6A" w14:textId="77777777" w:rsidR="00BB77C0" w:rsidRDefault="00370BAA">
            <w:pPr>
              <w:pStyle w:val="TableParagraph"/>
              <w:spacing w:line="249" w:lineRule="exact"/>
              <w:ind w:left="110"/>
            </w:pPr>
            <w:r>
              <w:rPr>
                <w:spacing w:val="-5"/>
              </w:rPr>
              <w:t>11</w:t>
            </w:r>
          </w:p>
        </w:tc>
        <w:tc>
          <w:tcPr>
            <w:tcW w:w="2554" w:type="dxa"/>
          </w:tcPr>
          <w:p w14:paraId="4A5B869E" w14:textId="77777777" w:rsidR="00BB77C0" w:rsidRDefault="00370BAA">
            <w:pPr>
              <w:pStyle w:val="TableParagraph"/>
              <w:spacing w:line="249" w:lineRule="exact"/>
              <w:ind w:left="110"/>
            </w:pPr>
            <w:r>
              <w:t>Financial</w:t>
            </w:r>
            <w:r>
              <w:rPr>
                <w:spacing w:val="-11"/>
              </w:rPr>
              <w:t xml:space="preserve"> </w:t>
            </w:r>
            <w:r>
              <w:rPr>
                <w:spacing w:val="-2"/>
              </w:rPr>
              <w:t>Capabilities</w:t>
            </w:r>
          </w:p>
        </w:tc>
        <w:tc>
          <w:tcPr>
            <w:tcW w:w="5531" w:type="dxa"/>
          </w:tcPr>
          <w:p w14:paraId="34483BD5" w14:textId="77777777" w:rsidR="00BB77C0" w:rsidRDefault="00370BAA">
            <w:pPr>
              <w:pStyle w:val="TableParagraph"/>
              <w:numPr>
                <w:ilvl w:val="0"/>
                <w:numId w:val="65"/>
              </w:numPr>
              <w:tabs>
                <w:tab w:val="left" w:pos="373"/>
              </w:tabs>
              <w:ind w:right="233" w:firstLine="0"/>
            </w:pPr>
            <w:r>
              <w:t>The</w:t>
            </w:r>
            <w:r>
              <w:rPr>
                <w:spacing w:val="-3"/>
              </w:rPr>
              <w:t xml:space="preserve"> </w:t>
            </w:r>
            <w:r>
              <w:t>Tenderer shall demonstrate</w:t>
            </w:r>
            <w:r>
              <w:rPr>
                <w:spacing w:val="-3"/>
              </w:rPr>
              <w:t xml:space="preserve"> </w:t>
            </w:r>
            <w:r>
              <w:t>that it has access to, or has</w:t>
            </w:r>
            <w:r>
              <w:rPr>
                <w:spacing w:val="-12"/>
              </w:rPr>
              <w:t xml:space="preserve"> </w:t>
            </w:r>
            <w:r>
              <w:t>available,</w:t>
            </w:r>
            <w:r>
              <w:rPr>
                <w:spacing w:val="-9"/>
              </w:rPr>
              <w:t xml:space="preserve"> </w:t>
            </w:r>
            <w:r>
              <w:t>liquid</w:t>
            </w:r>
            <w:r>
              <w:rPr>
                <w:spacing w:val="-14"/>
              </w:rPr>
              <w:t xml:space="preserve"> </w:t>
            </w:r>
            <w:r>
              <w:t>assets,</w:t>
            </w:r>
            <w:r>
              <w:rPr>
                <w:spacing w:val="-12"/>
              </w:rPr>
              <w:t xml:space="preserve"> </w:t>
            </w:r>
            <w:r>
              <w:t>unencumbered</w:t>
            </w:r>
            <w:r>
              <w:rPr>
                <w:spacing w:val="-14"/>
              </w:rPr>
              <w:t xml:space="preserve"> </w:t>
            </w:r>
            <w:r>
              <w:t>real</w:t>
            </w:r>
            <w:r>
              <w:rPr>
                <w:spacing w:val="-14"/>
              </w:rPr>
              <w:t xml:space="preserve"> </w:t>
            </w:r>
            <w:r>
              <w:t>assets,</w:t>
            </w:r>
            <w:r>
              <w:rPr>
                <w:spacing w:val="-7"/>
              </w:rPr>
              <w:t xml:space="preserve"> </w:t>
            </w:r>
            <w:r>
              <w:t xml:space="preserve">lines of credit, and other financial means (independent of any contractual advance payment) sufficient to meet the construction cash flow requirements estimated as Kenya Shillings </w:t>
            </w:r>
            <w:r>
              <w:rPr>
                <w:i/>
              </w:rPr>
              <w:t xml:space="preserve">[insert amount] </w:t>
            </w:r>
            <w:r>
              <w:t>equivalent for the subject contract(s) net of the Tenderer’s other commitments.</w:t>
            </w:r>
          </w:p>
          <w:p w14:paraId="522C2B73" w14:textId="77777777" w:rsidR="00BB77C0" w:rsidRDefault="00BB77C0">
            <w:pPr>
              <w:pStyle w:val="TableParagraph"/>
              <w:spacing w:before="6"/>
              <w:rPr>
                <w:b/>
              </w:rPr>
            </w:pPr>
          </w:p>
          <w:p w14:paraId="038BC927" w14:textId="77777777" w:rsidR="00BB77C0" w:rsidRDefault="00370BAA">
            <w:pPr>
              <w:pStyle w:val="TableParagraph"/>
              <w:numPr>
                <w:ilvl w:val="0"/>
                <w:numId w:val="65"/>
              </w:numPr>
              <w:tabs>
                <w:tab w:val="left" w:pos="434"/>
              </w:tabs>
              <w:spacing w:line="240" w:lineRule="exact"/>
              <w:ind w:right="180" w:firstLine="0"/>
            </w:pPr>
            <w:r>
              <w:t>The</w:t>
            </w:r>
            <w:r>
              <w:rPr>
                <w:spacing w:val="-14"/>
              </w:rPr>
              <w:t xml:space="preserve"> </w:t>
            </w:r>
            <w:r>
              <w:t>Tenderers</w:t>
            </w:r>
            <w:r>
              <w:rPr>
                <w:spacing w:val="-12"/>
              </w:rPr>
              <w:t xml:space="preserve"> </w:t>
            </w:r>
            <w:r>
              <w:t>shall</w:t>
            </w:r>
            <w:r>
              <w:rPr>
                <w:spacing w:val="-13"/>
              </w:rPr>
              <w:t xml:space="preserve"> </w:t>
            </w:r>
            <w:r>
              <w:t>also</w:t>
            </w:r>
            <w:r>
              <w:rPr>
                <w:spacing w:val="-10"/>
              </w:rPr>
              <w:t xml:space="preserve"> </w:t>
            </w:r>
            <w:r>
              <w:t>demonstrate,</w:t>
            </w:r>
            <w:r>
              <w:rPr>
                <w:spacing w:val="-7"/>
              </w:rPr>
              <w:t xml:space="preserve"> </w:t>
            </w:r>
            <w:r>
              <w:t>to</w:t>
            </w:r>
            <w:r>
              <w:rPr>
                <w:spacing w:val="-14"/>
              </w:rPr>
              <w:t xml:space="preserve"> </w:t>
            </w:r>
            <w:r>
              <w:t>the</w:t>
            </w:r>
            <w:r>
              <w:rPr>
                <w:spacing w:val="-14"/>
              </w:rPr>
              <w:t xml:space="preserve"> </w:t>
            </w:r>
            <w:r>
              <w:t>satisfaction of the Procuring Entity, that it has adequate sources of</w:t>
            </w:r>
          </w:p>
        </w:tc>
        <w:tc>
          <w:tcPr>
            <w:tcW w:w="2976" w:type="dxa"/>
          </w:tcPr>
          <w:p w14:paraId="24B07FA3" w14:textId="77777777" w:rsidR="00BB77C0" w:rsidRDefault="00370BAA">
            <w:pPr>
              <w:pStyle w:val="TableParagraph"/>
              <w:spacing w:line="242" w:lineRule="auto"/>
              <w:ind w:left="111" w:right="223"/>
            </w:pPr>
            <w:r>
              <w:t>Form</w:t>
            </w:r>
            <w:r>
              <w:rPr>
                <w:spacing w:val="-16"/>
              </w:rPr>
              <w:t xml:space="preserve"> </w:t>
            </w:r>
            <w:r>
              <w:t>FIN</w:t>
            </w:r>
            <w:r>
              <w:rPr>
                <w:spacing w:val="-14"/>
              </w:rPr>
              <w:t xml:space="preserve"> </w:t>
            </w:r>
            <w:r>
              <w:t>–</w:t>
            </w:r>
            <w:r>
              <w:rPr>
                <w:spacing w:val="-14"/>
              </w:rPr>
              <w:t xml:space="preserve"> </w:t>
            </w:r>
            <w:r>
              <w:t>3.1,</w:t>
            </w:r>
            <w:r>
              <w:rPr>
                <w:spacing w:val="-14"/>
              </w:rPr>
              <w:t xml:space="preserve"> </w:t>
            </w:r>
            <w:r>
              <w:t xml:space="preserve">with </w:t>
            </w:r>
            <w:r>
              <w:rPr>
                <w:spacing w:val="-2"/>
              </w:rPr>
              <w:t>attachments</w:t>
            </w:r>
          </w:p>
        </w:tc>
        <w:tc>
          <w:tcPr>
            <w:tcW w:w="2549" w:type="dxa"/>
          </w:tcPr>
          <w:p w14:paraId="221D58F9" w14:textId="77777777" w:rsidR="00BB77C0" w:rsidRDefault="00BB77C0">
            <w:pPr>
              <w:pStyle w:val="TableParagraph"/>
            </w:pPr>
          </w:p>
        </w:tc>
      </w:tr>
    </w:tbl>
    <w:p w14:paraId="05F4D8CC" w14:textId="77777777" w:rsidR="00BB77C0" w:rsidRDefault="00BB77C0">
      <w:pPr>
        <w:pStyle w:val="TableParagraph"/>
        <w:sectPr w:rsidR="00BB77C0">
          <w:pgSz w:w="16850" w:h="11920" w:orient="landscape"/>
          <w:pgMar w:top="0" w:right="1440" w:bottom="117" w:left="360" w:header="720" w:footer="720" w:gutter="0"/>
          <w:cols w:space="720"/>
        </w:sectPr>
      </w:pPr>
    </w:p>
    <w:tbl>
      <w:tblPr>
        <w:tblW w:w="0" w:type="auto"/>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1"/>
        <w:gridCol w:w="2554"/>
        <w:gridCol w:w="5531"/>
        <w:gridCol w:w="2976"/>
        <w:gridCol w:w="2549"/>
      </w:tblGrid>
      <w:tr w:rsidR="00BB77C0" w14:paraId="13E0D97A" w14:textId="77777777">
        <w:trPr>
          <w:trHeight w:val="249"/>
        </w:trPr>
        <w:tc>
          <w:tcPr>
            <w:tcW w:w="701" w:type="dxa"/>
          </w:tcPr>
          <w:p w14:paraId="1D2DCFA5" w14:textId="77777777" w:rsidR="00BB77C0" w:rsidRDefault="00370BAA">
            <w:pPr>
              <w:pStyle w:val="TableParagraph"/>
              <w:spacing w:line="229" w:lineRule="exact"/>
              <w:ind w:left="110"/>
              <w:rPr>
                <w:b/>
              </w:rPr>
            </w:pPr>
            <w:r>
              <w:rPr>
                <w:b/>
                <w:spacing w:val="-10"/>
              </w:rPr>
              <w:lastRenderedPageBreak/>
              <w:t>1</w:t>
            </w:r>
          </w:p>
        </w:tc>
        <w:tc>
          <w:tcPr>
            <w:tcW w:w="2554" w:type="dxa"/>
          </w:tcPr>
          <w:p w14:paraId="0183B600" w14:textId="77777777" w:rsidR="00BB77C0" w:rsidRDefault="00370BAA">
            <w:pPr>
              <w:pStyle w:val="TableParagraph"/>
              <w:spacing w:line="229" w:lineRule="exact"/>
              <w:ind w:left="110"/>
              <w:rPr>
                <w:b/>
              </w:rPr>
            </w:pPr>
            <w:r>
              <w:rPr>
                <w:b/>
                <w:spacing w:val="-10"/>
              </w:rPr>
              <w:t>2</w:t>
            </w:r>
          </w:p>
        </w:tc>
        <w:tc>
          <w:tcPr>
            <w:tcW w:w="5531" w:type="dxa"/>
          </w:tcPr>
          <w:p w14:paraId="34E9D54C" w14:textId="77777777" w:rsidR="00BB77C0" w:rsidRDefault="00370BAA">
            <w:pPr>
              <w:pStyle w:val="TableParagraph"/>
              <w:spacing w:line="229" w:lineRule="exact"/>
              <w:ind w:left="110"/>
              <w:rPr>
                <w:b/>
              </w:rPr>
            </w:pPr>
            <w:r>
              <w:rPr>
                <w:b/>
                <w:spacing w:val="-10"/>
              </w:rPr>
              <w:t>3</w:t>
            </w:r>
          </w:p>
        </w:tc>
        <w:tc>
          <w:tcPr>
            <w:tcW w:w="2976" w:type="dxa"/>
          </w:tcPr>
          <w:p w14:paraId="09A8A067" w14:textId="77777777" w:rsidR="00BB77C0" w:rsidRDefault="00370BAA">
            <w:pPr>
              <w:pStyle w:val="TableParagraph"/>
              <w:spacing w:line="229" w:lineRule="exact"/>
              <w:ind w:left="111"/>
              <w:rPr>
                <w:b/>
                <w:i/>
              </w:rPr>
            </w:pPr>
            <w:r>
              <w:rPr>
                <w:b/>
                <w:i/>
                <w:spacing w:val="-10"/>
              </w:rPr>
              <w:t>4</w:t>
            </w:r>
          </w:p>
        </w:tc>
        <w:tc>
          <w:tcPr>
            <w:tcW w:w="2549" w:type="dxa"/>
          </w:tcPr>
          <w:p w14:paraId="251E3B97" w14:textId="77777777" w:rsidR="00BB77C0" w:rsidRDefault="00370BAA">
            <w:pPr>
              <w:pStyle w:val="TableParagraph"/>
              <w:spacing w:line="229" w:lineRule="exact"/>
              <w:ind w:left="111"/>
              <w:rPr>
                <w:b/>
                <w:i/>
              </w:rPr>
            </w:pPr>
            <w:r>
              <w:rPr>
                <w:b/>
                <w:i/>
                <w:spacing w:val="-10"/>
              </w:rPr>
              <w:t>5</w:t>
            </w:r>
          </w:p>
        </w:tc>
      </w:tr>
      <w:tr w:rsidR="00BB77C0" w14:paraId="3AE2BE1A" w14:textId="77777777">
        <w:trPr>
          <w:trHeight w:val="763"/>
        </w:trPr>
        <w:tc>
          <w:tcPr>
            <w:tcW w:w="701" w:type="dxa"/>
          </w:tcPr>
          <w:p w14:paraId="3403CF56" w14:textId="77777777" w:rsidR="00BB77C0" w:rsidRDefault="00370BAA">
            <w:pPr>
              <w:pStyle w:val="TableParagraph"/>
              <w:spacing w:before="1"/>
              <w:ind w:left="110" w:right="145"/>
              <w:rPr>
                <w:b/>
              </w:rPr>
            </w:pPr>
            <w:r>
              <w:rPr>
                <w:b/>
                <w:spacing w:val="-6"/>
              </w:rPr>
              <w:t xml:space="preserve">Item </w:t>
            </w:r>
            <w:r>
              <w:rPr>
                <w:b/>
                <w:spacing w:val="-4"/>
              </w:rPr>
              <w:t>No.</w:t>
            </w:r>
          </w:p>
        </w:tc>
        <w:tc>
          <w:tcPr>
            <w:tcW w:w="2554" w:type="dxa"/>
          </w:tcPr>
          <w:p w14:paraId="1135E64E" w14:textId="77777777" w:rsidR="00BB77C0" w:rsidRDefault="00370BAA">
            <w:pPr>
              <w:pStyle w:val="TableParagraph"/>
              <w:spacing w:before="1"/>
              <w:ind w:left="110"/>
              <w:rPr>
                <w:b/>
              </w:rPr>
            </w:pPr>
            <w:r>
              <w:rPr>
                <w:b/>
                <w:spacing w:val="-2"/>
              </w:rPr>
              <w:t>Qualification</w:t>
            </w:r>
            <w:r>
              <w:rPr>
                <w:b/>
                <w:spacing w:val="4"/>
              </w:rPr>
              <w:t xml:space="preserve"> </w:t>
            </w:r>
            <w:r>
              <w:rPr>
                <w:b/>
                <w:spacing w:val="-2"/>
              </w:rPr>
              <w:t>Subject</w:t>
            </w:r>
          </w:p>
        </w:tc>
        <w:tc>
          <w:tcPr>
            <w:tcW w:w="5531" w:type="dxa"/>
          </w:tcPr>
          <w:p w14:paraId="5BD1082D" w14:textId="77777777" w:rsidR="00BB77C0" w:rsidRDefault="00370BAA">
            <w:pPr>
              <w:pStyle w:val="TableParagraph"/>
              <w:spacing w:before="1"/>
              <w:ind w:left="110"/>
              <w:rPr>
                <w:b/>
              </w:rPr>
            </w:pPr>
            <w:r>
              <w:rPr>
                <w:b/>
                <w:spacing w:val="-2"/>
              </w:rPr>
              <w:t>Qualification</w:t>
            </w:r>
            <w:r>
              <w:rPr>
                <w:b/>
                <w:spacing w:val="3"/>
              </w:rPr>
              <w:t xml:space="preserve"> </w:t>
            </w:r>
            <w:r>
              <w:rPr>
                <w:b/>
                <w:spacing w:val="-2"/>
              </w:rPr>
              <w:t>Requirement</w:t>
            </w:r>
          </w:p>
        </w:tc>
        <w:tc>
          <w:tcPr>
            <w:tcW w:w="2976" w:type="dxa"/>
          </w:tcPr>
          <w:p w14:paraId="7D3393A1" w14:textId="77777777" w:rsidR="00BB77C0" w:rsidRDefault="00370BAA">
            <w:pPr>
              <w:pStyle w:val="TableParagraph"/>
              <w:spacing w:before="1"/>
              <w:ind w:left="111" w:right="223"/>
              <w:rPr>
                <w:b/>
                <w:i/>
              </w:rPr>
            </w:pPr>
            <w:r>
              <w:rPr>
                <w:b/>
                <w:i/>
                <w:spacing w:val="-2"/>
              </w:rPr>
              <w:t>Document</w:t>
            </w:r>
            <w:r>
              <w:rPr>
                <w:b/>
                <w:i/>
                <w:spacing w:val="-12"/>
              </w:rPr>
              <w:t xml:space="preserve"> </w:t>
            </w:r>
            <w:r>
              <w:rPr>
                <w:b/>
                <w:i/>
                <w:spacing w:val="-2"/>
              </w:rPr>
              <w:t>To</w:t>
            </w:r>
            <w:r>
              <w:rPr>
                <w:b/>
                <w:i/>
                <w:spacing w:val="-12"/>
              </w:rPr>
              <w:t xml:space="preserve"> </w:t>
            </w:r>
            <w:r>
              <w:rPr>
                <w:b/>
                <w:i/>
                <w:spacing w:val="-2"/>
              </w:rPr>
              <w:t>be</w:t>
            </w:r>
            <w:r>
              <w:rPr>
                <w:b/>
                <w:i/>
                <w:spacing w:val="-14"/>
              </w:rPr>
              <w:t xml:space="preserve"> </w:t>
            </w:r>
            <w:r>
              <w:rPr>
                <w:b/>
                <w:i/>
                <w:spacing w:val="-2"/>
              </w:rPr>
              <w:t xml:space="preserve">Completed </w:t>
            </w:r>
            <w:r>
              <w:rPr>
                <w:b/>
                <w:i/>
              </w:rPr>
              <w:t>by Tenderer</w:t>
            </w:r>
          </w:p>
        </w:tc>
        <w:tc>
          <w:tcPr>
            <w:tcW w:w="2549" w:type="dxa"/>
          </w:tcPr>
          <w:p w14:paraId="3EB37196" w14:textId="77777777" w:rsidR="00BB77C0" w:rsidRDefault="00370BAA">
            <w:pPr>
              <w:pStyle w:val="TableParagraph"/>
              <w:spacing w:before="3" w:line="237" w:lineRule="auto"/>
              <w:ind w:left="111" w:right="21"/>
              <w:rPr>
                <w:b/>
                <w:i/>
              </w:rPr>
            </w:pPr>
            <w:r>
              <w:rPr>
                <w:b/>
                <w:i/>
              </w:rPr>
              <w:t xml:space="preserve">For Procuring Entity’s </w:t>
            </w:r>
            <w:r>
              <w:rPr>
                <w:b/>
                <w:i/>
                <w:spacing w:val="-2"/>
              </w:rPr>
              <w:t>Use</w:t>
            </w:r>
            <w:r>
              <w:rPr>
                <w:b/>
                <w:i/>
                <w:spacing w:val="-7"/>
              </w:rPr>
              <w:t xml:space="preserve"> </w:t>
            </w:r>
            <w:r>
              <w:rPr>
                <w:b/>
                <w:i/>
                <w:spacing w:val="-2"/>
              </w:rPr>
              <w:t>(Qualification</w:t>
            </w:r>
            <w:r>
              <w:rPr>
                <w:b/>
                <w:i/>
                <w:spacing w:val="-13"/>
              </w:rPr>
              <w:t xml:space="preserve"> </w:t>
            </w:r>
            <w:r>
              <w:rPr>
                <w:b/>
                <w:i/>
                <w:spacing w:val="-2"/>
              </w:rPr>
              <w:t>met</w:t>
            </w:r>
            <w:r>
              <w:rPr>
                <w:b/>
                <w:i/>
                <w:spacing w:val="-10"/>
              </w:rPr>
              <w:t xml:space="preserve"> </w:t>
            </w:r>
            <w:r>
              <w:rPr>
                <w:b/>
                <w:i/>
                <w:spacing w:val="-2"/>
              </w:rPr>
              <w:t>or</w:t>
            </w:r>
          </w:p>
          <w:p w14:paraId="05196921" w14:textId="77777777" w:rsidR="00BB77C0" w:rsidRDefault="00370BAA">
            <w:pPr>
              <w:pStyle w:val="TableParagraph"/>
              <w:spacing w:before="1" w:line="238" w:lineRule="exact"/>
              <w:ind w:left="111"/>
              <w:rPr>
                <w:b/>
                <w:i/>
              </w:rPr>
            </w:pPr>
            <w:r>
              <w:rPr>
                <w:b/>
                <w:i/>
              </w:rPr>
              <w:t>Not</w:t>
            </w:r>
            <w:r>
              <w:rPr>
                <w:b/>
                <w:i/>
                <w:spacing w:val="1"/>
              </w:rPr>
              <w:t xml:space="preserve"> </w:t>
            </w:r>
            <w:r>
              <w:rPr>
                <w:b/>
                <w:i/>
                <w:spacing w:val="-4"/>
              </w:rPr>
              <w:t>Met)</w:t>
            </w:r>
          </w:p>
        </w:tc>
      </w:tr>
      <w:tr w:rsidR="00BB77C0" w14:paraId="1305BD14" w14:textId="77777777">
        <w:trPr>
          <w:trHeight w:val="2530"/>
        </w:trPr>
        <w:tc>
          <w:tcPr>
            <w:tcW w:w="701" w:type="dxa"/>
          </w:tcPr>
          <w:p w14:paraId="27A3BE3E" w14:textId="77777777" w:rsidR="00BB77C0" w:rsidRDefault="00BB77C0">
            <w:pPr>
              <w:pStyle w:val="TableParagraph"/>
            </w:pPr>
          </w:p>
        </w:tc>
        <w:tc>
          <w:tcPr>
            <w:tcW w:w="2554" w:type="dxa"/>
          </w:tcPr>
          <w:p w14:paraId="4FC61F59" w14:textId="77777777" w:rsidR="00BB77C0" w:rsidRDefault="00BB77C0">
            <w:pPr>
              <w:pStyle w:val="TableParagraph"/>
            </w:pPr>
          </w:p>
        </w:tc>
        <w:tc>
          <w:tcPr>
            <w:tcW w:w="5531" w:type="dxa"/>
          </w:tcPr>
          <w:p w14:paraId="7EAD7677" w14:textId="77777777" w:rsidR="00BB77C0" w:rsidRDefault="00370BAA">
            <w:pPr>
              <w:pStyle w:val="TableParagraph"/>
              <w:spacing w:line="237" w:lineRule="auto"/>
              <w:ind w:left="110"/>
            </w:pPr>
            <w:r>
              <w:t>finance to meet the cash flow requirements on works currently</w:t>
            </w:r>
            <w:r>
              <w:rPr>
                <w:spacing w:val="-14"/>
              </w:rPr>
              <w:t xml:space="preserve"> </w:t>
            </w:r>
            <w:r>
              <w:t>in</w:t>
            </w:r>
            <w:r>
              <w:rPr>
                <w:spacing w:val="-14"/>
              </w:rPr>
              <w:t xml:space="preserve"> </w:t>
            </w:r>
            <w:r>
              <w:t>progress</w:t>
            </w:r>
            <w:r>
              <w:rPr>
                <w:spacing w:val="-10"/>
              </w:rPr>
              <w:t xml:space="preserve"> </w:t>
            </w:r>
            <w:r>
              <w:t>and</w:t>
            </w:r>
            <w:r>
              <w:rPr>
                <w:spacing w:val="-14"/>
              </w:rPr>
              <w:t xml:space="preserve"> </w:t>
            </w:r>
            <w:r>
              <w:t>for</w:t>
            </w:r>
            <w:r>
              <w:rPr>
                <w:spacing w:val="-6"/>
              </w:rPr>
              <w:t xml:space="preserve"> </w:t>
            </w:r>
            <w:r>
              <w:t>future</w:t>
            </w:r>
            <w:r>
              <w:rPr>
                <w:spacing w:val="-14"/>
              </w:rPr>
              <w:t xml:space="preserve"> </w:t>
            </w:r>
            <w:r>
              <w:t>contract</w:t>
            </w:r>
            <w:r>
              <w:rPr>
                <w:spacing w:val="-8"/>
              </w:rPr>
              <w:t xml:space="preserve"> </w:t>
            </w:r>
            <w:r>
              <w:t>commitments.</w:t>
            </w:r>
          </w:p>
          <w:p w14:paraId="5FA6AAF7" w14:textId="77777777" w:rsidR="00BB77C0" w:rsidRDefault="00370BAA">
            <w:pPr>
              <w:pStyle w:val="TableParagraph"/>
              <w:spacing w:before="248"/>
              <w:ind w:left="110" w:right="142"/>
            </w:pPr>
            <w:r>
              <w:t>(iii) The audited balance sheets or, if not required by the laws</w:t>
            </w:r>
            <w:r>
              <w:rPr>
                <w:spacing w:val="-12"/>
              </w:rPr>
              <w:t xml:space="preserve"> </w:t>
            </w:r>
            <w:r>
              <w:t>of</w:t>
            </w:r>
            <w:r>
              <w:rPr>
                <w:spacing w:val="-12"/>
              </w:rPr>
              <w:t xml:space="preserve"> </w:t>
            </w:r>
            <w:r>
              <w:t>the</w:t>
            </w:r>
            <w:r>
              <w:rPr>
                <w:spacing w:val="-14"/>
              </w:rPr>
              <w:t xml:space="preserve"> </w:t>
            </w:r>
            <w:r>
              <w:t>Tenderer’s</w:t>
            </w:r>
            <w:r>
              <w:rPr>
                <w:spacing w:val="-9"/>
              </w:rPr>
              <w:t xml:space="preserve"> </w:t>
            </w:r>
            <w:r>
              <w:t>country,</w:t>
            </w:r>
            <w:r>
              <w:rPr>
                <w:spacing w:val="-8"/>
              </w:rPr>
              <w:t xml:space="preserve"> </w:t>
            </w:r>
            <w:r>
              <w:t>other</w:t>
            </w:r>
            <w:r>
              <w:rPr>
                <w:spacing w:val="-7"/>
              </w:rPr>
              <w:t xml:space="preserve"> </w:t>
            </w:r>
            <w:r>
              <w:t>financial</w:t>
            </w:r>
            <w:r>
              <w:rPr>
                <w:spacing w:val="-13"/>
              </w:rPr>
              <w:t xml:space="preserve"> </w:t>
            </w:r>
            <w:r>
              <w:t xml:space="preserve">statements acceptable to the Procuring Entity, for the last </w:t>
            </w:r>
            <w:r>
              <w:rPr>
                <w:i/>
              </w:rPr>
              <w:t xml:space="preserve">[insert number of years] </w:t>
            </w:r>
            <w:r>
              <w:t>years shall be submitted and must</w:t>
            </w:r>
          </w:p>
          <w:p w14:paraId="17F9A9C3" w14:textId="77777777" w:rsidR="00BB77C0" w:rsidRDefault="00370BAA">
            <w:pPr>
              <w:pStyle w:val="TableParagraph"/>
              <w:spacing w:before="2"/>
              <w:ind w:left="110"/>
            </w:pPr>
            <w:r>
              <w:t>demonstrate</w:t>
            </w:r>
            <w:r>
              <w:rPr>
                <w:spacing w:val="-9"/>
              </w:rPr>
              <w:t xml:space="preserve"> </w:t>
            </w:r>
            <w:r>
              <w:t>the</w:t>
            </w:r>
            <w:r>
              <w:rPr>
                <w:spacing w:val="-8"/>
              </w:rPr>
              <w:t xml:space="preserve"> </w:t>
            </w:r>
            <w:r>
              <w:t>current</w:t>
            </w:r>
            <w:r>
              <w:rPr>
                <w:spacing w:val="-1"/>
              </w:rPr>
              <w:t xml:space="preserve"> </w:t>
            </w:r>
            <w:r>
              <w:t>soundness</w:t>
            </w:r>
            <w:r>
              <w:rPr>
                <w:spacing w:val="-1"/>
              </w:rPr>
              <w:t xml:space="preserve"> </w:t>
            </w:r>
            <w:r>
              <w:t>of</w:t>
            </w:r>
            <w:r>
              <w:rPr>
                <w:spacing w:val="-4"/>
              </w:rPr>
              <w:t xml:space="preserve"> </w:t>
            </w:r>
            <w:r>
              <w:t>the</w:t>
            </w:r>
            <w:r>
              <w:rPr>
                <w:spacing w:val="-8"/>
              </w:rPr>
              <w:t xml:space="preserve"> </w:t>
            </w:r>
            <w:r>
              <w:rPr>
                <w:spacing w:val="-2"/>
              </w:rPr>
              <w:t>Tenderer’s</w:t>
            </w:r>
          </w:p>
          <w:p w14:paraId="5FF2641F" w14:textId="77777777" w:rsidR="00BB77C0" w:rsidRDefault="00370BAA">
            <w:pPr>
              <w:pStyle w:val="TableParagraph"/>
              <w:spacing w:before="2" w:line="246" w:lineRule="exact"/>
              <w:ind w:left="110"/>
            </w:pPr>
            <w:r>
              <w:t>financial</w:t>
            </w:r>
            <w:r>
              <w:rPr>
                <w:spacing w:val="-6"/>
              </w:rPr>
              <w:t xml:space="preserve"> </w:t>
            </w:r>
            <w:r>
              <w:t>position</w:t>
            </w:r>
            <w:r>
              <w:rPr>
                <w:spacing w:val="-6"/>
              </w:rPr>
              <w:t xml:space="preserve"> </w:t>
            </w:r>
            <w:r>
              <w:t>and</w:t>
            </w:r>
            <w:r>
              <w:rPr>
                <w:spacing w:val="-7"/>
              </w:rPr>
              <w:t xml:space="preserve"> </w:t>
            </w:r>
            <w:r>
              <w:t>indicate</w:t>
            </w:r>
            <w:r>
              <w:rPr>
                <w:spacing w:val="-8"/>
              </w:rPr>
              <w:t xml:space="preserve"> </w:t>
            </w:r>
            <w:r>
              <w:t>its</w:t>
            </w:r>
            <w:r>
              <w:rPr>
                <w:spacing w:val="-2"/>
              </w:rPr>
              <w:t xml:space="preserve"> </w:t>
            </w:r>
            <w:r>
              <w:t>prospective</w:t>
            </w:r>
            <w:r>
              <w:rPr>
                <w:spacing w:val="-8"/>
              </w:rPr>
              <w:t xml:space="preserve"> </w:t>
            </w:r>
            <w:r>
              <w:t xml:space="preserve">long-term </w:t>
            </w:r>
            <w:r>
              <w:rPr>
                <w:spacing w:val="-2"/>
              </w:rPr>
              <w:t>profitability.</w:t>
            </w:r>
          </w:p>
        </w:tc>
        <w:tc>
          <w:tcPr>
            <w:tcW w:w="2976" w:type="dxa"/>
          </w:tcPr>
          <w:p w14:paraId="70F7E1A2" w14:textId="77777777" w:rsidR="00BB77C0" w:rsidRDefault="00BB77C0">
            <w:pPr>
              <w:pStyle w:val="TableParagraph"/>
            </w:pPr>
          </w:p>
        </w:tc>
        <w:tc>
          <w:tcPr>
            <w:tcW w:w="2549" w:type="dxa"/>
          </w:tcPr>
          <w:p w14:paraId="70980506" w14:textId="77777777" w:rsidR="00BB77C0" w:rsidRDefault="00BB77C0">
            <w:pPr>
              <w:pStyle w:val="TableParagraph"/>
            </w:pPr>
          </w:p>
        </w:tc>
      </w:tr>
      <w:tr w:rsidR="00BB77C0" w14:paraId="5707DCF5" w14:textId="77777777">
        <w:trPr>
          <w:trHeight w:val="1262"/>
        </w:trPr>
        <w:tc>
          <w:tcPr>
            <w:tcW w:w="701" w:type="dxa"/>
          </w:tcPr>
          <w:p w14:paraId="5E337285" w14:textId="77777777" w:rsidR="00BB77C0" w:rsidRDefault="00370BAA">
            <w:pPr>
              <w:pStyle w:val="TableParagraph"/>
              <w:spacing w:line="249" w:lineRule="exact"/>
              <w:ind w:left="110"/>
            </w:pPr>
            <w:r>
              <w:rPr>
                <w:spacing w:val="-5"/>
              </w:rPr>
              <w:t>12</w:t>
            </w:r>
          </w:p>
        </w:tc>
        <w:tc>
          <w:tcPr>
            <w:tcW w:w="2554" w:type="dxa"/>
          </w:tcPr>
          <w:p w14:paraId="76BD3261" w14:textId="77777777" w:rsidR="00BB77C0" w:rsidRDefault="00370BAA">
            <w:pPr>
              <w:pStyle w:val="TableParagraph"/>
              <w:spacing w:line="242" w:lineRule="auto"/>
              <w:ind w:left="110" w:right="442"/>
            </w:pPr>
            <w:r>
              <w:t>Average</w:t>
            </w:r>
            <w:r>
              <w:rPr>
                <w:spacing w:val="-4"/>
              </w:rPr>
              <w:t xml:space="preserve"> </w:t>
            </w:r>
            <w:r>
              <w:t xml:space="preserve">Annual </w:t>
            </w:r>
            <w:r>
              <w:rPr>
                <w:spacing w:val="-2"/>
              </w:rPr>
              <w:t>Construction</w:t>
            </w:r>
            <w:r>
              <w:rPr>
                <w:spacing w:val="-12"/>
              </w:rPr>
              <w:t xml:space="preserve"> </w:t>
            </w:r>
            <w:r>
              <w:rPr>
                <w:spacing w:val="-2"/>
              </w:rPr>
              <w:t>Turnover</w:t>
            </w:r>
          </w:p>
        </w:tc>
        <w:tc>
          <w:tcPr>
            <w:tcW w:w="5531" w:type="dxa"/>
          </w:tcPr>
          <w:p w14:paraId="534299D0" w14:textId="77777777" w:rsidR="00BB77C0" w:rsidRDefault="00370BAA">
            <w:pPr>
              <w:pStyle w:val="TableParagraph"/>
              <w:ind w:left="110"/>
            </w:pPr>
            <w:r>
              <w:t xml:space="preserve">Minimum average annual construction turnover of Kenya Shillings </w:t>
            </w:r>
            <w:r>
              <w:rPr>
                <w:i/>
              </w:rPr>
              <w:t>[insert amount]</w:t>
            </w:r>
            <w:r>
              <w:t>, equivalent calculated as total certified</w:t>
            </w:r>
            <w:r>
              <w:rPr>
                <w:spacing w:val="-14"/>
              </w:rPr>
              <w:t xml:space="preserve"> </w:t>
            </w:r>
            <w:r>
              <w:t>payments</w:t>
            </w:r>
            <w:r>
              <w:rPr>
                <w:spacing w:val="-10"/>
              </w:rPr>
              <w:t xml:space="preserve"> </w:t>
            </w:r>
            <w:r>
              <w:t>received</w:t>
            </w:r>
            <w:r>
              <w:rPr>
                <w:spacing w:val="-14"/>
              </w:rPr>
              <w:t xml:space="preserve"> </w:t>
            </w:r>
            <w:r>
              <w:t>for</w:t>
            </w:r>
            <w:r>
              <w:rPr>
                <w:spacing w:val="-8"/>
              </w:rPr>
              <w:t xml:space="preserve"> </w:t>
            </w:r>
            <w:r>
              <w:t>contracts</w:t>
            </w:r>
            <w:r>
              <w:rPr>
                <w:spacing w:val="-10"/>
              </w:rPr>
              <w:t xml:space="preserve"> </w:t>
            </w:r>
            <w:r>
              <w:t>in</w:t>
            </w:r>
            <w:r>
              <w:rPr>
                <w:spacing w:val="-14"/>
              </w:rPr>
              <w:t xml:space="preserve"> </w:t>
            </w:r>
            <w:r>
              <w:t>progress</w:t>
            </w:r>
            <w:r>
              <w:rPr>
                <w:spacing w:val="-9"/>
              </w:rPr>
              <w:t xml:space="preserve"> </w:t>
            </w:r>
            <w:r>
              <w:t>and/or completed</w:t>
            </w:r>
            <w:r>
              <w:rPr>
                <w:spacing w:val="-7"/>
              </w:rPr>
              <w:t xml:space="preserve"> </w:t>
            </w:r>
            <w:r>
              <w:t>within</w:t>
            </w:r>
            <w:r>
              <w:rPr>
                <w:spacing w:val="-6"/>
              </w:rPr>
              <w:t xml:space="preserve"> </w:t>
            </w:r>
            <w:r>
              <w:t>the</w:t>
            </w:r>
            <w:r>
              <w:rPr>
                <w:spacing w:val="-4"/>
              </w:rPr>
              <w:t xml:space="preserve"> </w:t>
            </w:r>
            <w:r>
              <w:t>last</w:t>
            </w:r>
            <w:r>
              <w:rPr>
                <w:spacing w:val="-4"/>
              </w:rPr>
              <w:t xml:space="preserve"> </w:t>
            </w:r>
            <w:r>
              <w:rPr>
                <w:i/>
              </w:rPr>
              <w:t>[insert</w:t>
            </w:r>
            <w:r>
              <w:rPr>
                <w:i/>
                <w:spacing w:val="-1"/>
              </w:rPr>
              <w:t xml:space="preserve"> </w:t>
            </w:r>
            <w:r>
              <w:rPr>
                <w:i/>
              </w:rPr>
              <w:t>of</w:t>
            </w:r>
            <w:r>
              <w:rPr>
                <w:i/>
                <w:spacing w:val="-6"/>
              </w:rPr>
              <w:t xml:space="preserve"> </w:t>
            </w:r>
            <w:r>
              <w:rPr>
                <w:i/>
              </w:rPr>
              <w:t>year]</w:t>
            </w:r>
            <w:r>
              <w:rPr>
                <w:i/>
                <w:spacing w:val="3"/>
              </w:rPr>
              <w:t xml:space="preserve"> </w:t>
            </w:r>
            <w:r>
              <w:t>years,</w:t>
            </w:r>
            <w:r>
              <w:rPr>
                <w:spacing w:val="-4"/>
              </w:rPr>
              <w:t xml:space="preserve"> </w:t>
            </w:r>
            <w:r>
              <w:t>divided</w:t>
            </w:r>
            <w:r>
              <w:rPr>
                <w:spacing w:val="-2"/>
              </w:rPr>
              <w:t xml:space="preserve"> </w:t>
            </w:r>
            <w:r>
              <w:rPr>
                <w:spacing w:val="-5"/>
              </w:rPr>
              <w:t>by</w:t>
            </w:r>
          </w:p>
          <w:p w14:paraId="3D13B407" w14:textId="77777777" w:rsidR="00BB77C0" w:rsidRDefault="00370BAA">
            <w:pPr>
              <w:pStyle w:val="TableParagraph"/>
              <w:spacing w:line="234" w:lineRule="exact"/>
              <w:ind w:left="110"/>
            </w:pPr>
            <w:r>
              <w:rPr>
                <w:i/>
              </w:rPr>
              <w:t>[insert</w:t>
            </w:r>
            <w:r>
              <w:rPr>
                <w:i/>
                <w:spacing w:val="-5"/>
              </w:rPr>
              <w:t xml:space="preserve"> </w:t>
            </w:r>
            <w:r>
              <w:rPr>
                <w:i/>
              </w:rPr>
              <w:t>number</w:t>
            </w:r>
            <w:r>
              <w:rPr>
                <w:i/>
                <w:spacing w:val="-5"/>
              </w:rPr>
              <w:t xml:space="preserve"> </w:t>
            </w:r>
            <w:r>
              <w:rPr>
                <w:i/>
              </w:rPr>
              <w:t>of</w:t>
            </w:r>
            <w:r>
              <w:rPr>
                <w:i/>
                <w:spacing w:val="-9"/>
              </w:rPr>
              <w:t xml:space="preserve"> </w:t>
            </w:r>
            <w:r>
              <w:rPr>
                <w:i/>
              </w:rPr>
              <w:t xml:space="preserve">years] </w:t>
            </w:r>
            <w:r>
              <w:rPr>
                <w:spacing w:val="-2"/>
              </w:rPr>
              <w:t>years</w:t>
            </w:r>
          </w:p>
        </w:tc>
        <w:tc>
          <w:tcPr>
            <w:tcW w:w="2976" w:type="dxa"/>
          </w:tcPr>
          <w:p w14:paraId="37EE46DC" w14:textId="77777777" w:rsidR="00BB77C0" w:rsidRDefault="00370BAA">
            <w:pPr>
              <w:pStyle w:val="TableParagraph"/>
              <w:spacing w:line="249" w:lineRule="exact"/>
              <w:ind w:left="111"/>
            </w:pPr>
            <w:r>
              <w:t>Form</w:t>
            </w:r>
            <w:r>
              <w:rPr>
                <w:spacing w:val="-7"/>
              </w:rPr>
              <w:t xml:space="preserve"> </w:t>
            </w:r>
            <w:r>
              <w:t>FIN –</w:t>
            </w:r>
            <w:r>
              <w:rPr>
                <w:spacing w:val="-3"/>
              </w:rPr>
              <w:t xml:space="preserve"> </w:t>
            </w:r>
            <w:r>
              <w:rPr>
                <w:spacing w:val="-5"/>
              </w:rPr>
              <w:t>3.2</w:t>
            </w:r>
          </w:p>
        </w:tc>
        <w:tc>
          <w:tcPr>
            <w:tcW w:w="2549" w:type="dxa"/>
          </w:tcPr>
          <w:p w14:paraId="4B21495A" w14:textId="77777777" w:rsidR="00BB77C0" w:rsidRDefault="00BB77C0">
            <w:pPr>
              <w:pStyle w:val="TableParagraph"/>
            </w:pPr>
          </w:p>
        </w:tc>
      </w:tr>
      <w:tr w:rsidR="00BB77C0" w14:paraId="31FE4C2F" w14:textId="77777777">
        <w:trPr>
          <w:trHeight w:val="1012"/>
        </w:trPr>
        <w:tc>
          <w:tcPr>
            <w:tcW w:w="701" w:type="dxa"/>
          </w:tcPr>
          <w:p w14:paraId="63B485FB" w14:textId="77777777" w:rsidR="00BB77C0" w:rsidRDefault="00370BAA">
            <w:pPr>
              <w:pStyle w:val="TableParagraph"/>
              <w:spacing w:line="249" w:lineRule="exact"/>
              <w:ind w:left="110"/>
            </w:pPr>
            <w:r>
              <w:rPr>
                <w:spacing w:val="-5"/>
              </w:rPr>
              <w:t>13</w:t>
            </w:r>
          </w:p>
        </w:tc>
        <w:tc>
          <w:tcPr>
            <w:tcW w:w="2554" w:type="dxa"/>
          </w:tcPr>
          <w:p w14:paraId="1F84EC5D" w14:textId="77777777" w:rsidR="00BB77C0" w:rsidRDefault="00370BAA">
            <w:pPr>
              <w:pStyle w:val="TableParagraph"/>
              <w:spacing w:line="237" w:lineRule="auto"/>
              <w:ind w:left="110"/>
            </w:pPr>
            <w:r>
              <w:rPr>
                <w:spacing w:val="-2"/>
              </w:rPr>
              <w:t>General</w:t>
            </w:r>
            <w:r>
              <w:rPr>
                <w:spacing w:val="-12"/>
              </w:rPr>
              <w:t xml:space="preserve"> </w:t>
            </w:r>
            <w:r>
              <w:rPr>
                <w:spacing w:val="-2"/>
              </w:rPr>
              <w:t>Construction Experience</w:t>
            </w:r>
          </w:p>
        </w:tc>
        <w:tc>
          <w:tcPr>
            <w:tcW w:w="5531" w:type="dxa"/>
          </w:tcPr>
          <w:p w14:paraId="496C8121" w14:textId="77777777" w:rsidR="00BB77C0" w:rsidRDefault="00370BAA">
            <w:pPr>
              <w:pStyle w:val="TableParagraph"/>
              <w:ind w:left="110"/>
              <w:rPr>
                <w:i/>
              </w:rPr>
            </w:pPr>
            <w:r>
              <w:t>Experience</w:t>
            </w:r>
            <w:r>
              <w:rPr>
                <w:spacing w:val="-13"/>
              </w:rPr>
              <w:t xml:space="preserve"> </w:t>
            </w:r>
            <w:r>
              <w:t>under</w:t>
            </w:r>
            <w:r>
              <w:rPr>
                <w:spacing w:val="-4"/>
              </w:rPr>
              <w:t xml:space="preserve"> </w:t>
            </w:r>
            <w:r>
              <w:t>construction</w:t>
            </w:r>
            <w:r>
              <w:rPr>
                <w:spacing w:val="-11"/>
              </w:rPr>
              <w:t xml:space="preserve"> </w:t>
            </w:r>
            <w:r>
              <w:t>contracts</w:t>
            </w:r>
            <w:r>
              <w:rPr>
                <w:spacing w:val="-6"/>
              </w:rPr>
              <w:t xml:space="preserve"> </w:t>
            </w:r>
            <w:r>
              <w:t>in</w:t>
            </w:r>
            <w:r>
              <w:rPr>
                <w:spacing w:val="-12"/>
              </w:rPr>
              <w:t xml:space="preserve"> </w:t>
            </w:r>
            <w:r>
              <w:t>the</w:t>
            </w:r>
            <w:r>
              <w:rPr>
                <w:spacing w:val="-13"/>
              </w:rPr>
              <w:t xml:space="preserve"> </w:t>
            </w:r>
            <w:r>
              <w:t>role</w:t>
            </w:r>
            <w:r>
              <w:rPr>
                <w:spacing w:val="-9"/>
              </w:rPr>
              <w:t xml:space="preserve"> </w:t>
            </w:r>
            <w:r>
              <w:t>of</w:t>
            </w:r>
            <w:r>
              <w:rPr>
                <w:spacing w:val="-9"/>
              </w:rPr>
              <w:t xml:space="preserve"> </w:t>
            </w:r>
            <w:r>
              <w:t xml:space="preserve">prime contractor, JV member, sub-contractor, or management contractor for at least the last </w:t>
            </w:r>
            <w:r>
              <w:rPr>
                <w:i/>
              </w:rPr>
              <w:t>[insert number of years]</w:t>
            </w:r>
          </w:p>
          <w:p w14:paraId="62A2A48E" w14:textId="77777777" w:rsidR="00BB77C0" w:rsidRDefault="00370BAA">
            <w:pPr>
              <w:pStyle w:val="TableParagraph"/>
              <w:spacing w:line="238" w:lineRule="exact"/>
              <w:ind w:left="110"/>
            </w:pPr>
            <w:r>
              <w:t>years,</w:t>
            </w:r>
            <w:r>
              <w:rPr>
                <w:spacing w:val="-3"/>
              </w:rPr>
              <w:t xml:space="preserve"> </w:t>
            </w:r>
            <w:r>
              <w:t>starting</w:t>
            </w:r>
            <w:r>
              <w:rPr>
                <w:spacing w:val="-10"/>
              </w:rPr>
              <w:t xml:space="preserve"> </w:t>
            </w:r>
            <w:r>
              <w:t>1</w:t>
            </w:r>
            <w:r>
              <w:rPr>
                <w:vertAlign w:val="superscript"/>
              </w:rPr>
              <w:t>st</w:t>
            </w:r>
            <w:r>
              <w:rPr>
                <w:spacing w:val="-7"/>
              </w:rPr>
              <w:t xml:space="preserve"> </w:t>
            </w:r>
            <w:r>
              <w:t>January</w:t>
            </w:r>
            <w:r>
              <w:rPr>
                <w:spacing w:val="-9"/>
              </w:rPr>
              <w:t xml:space="preserve"> </w:t>
            </w:r>
            <w:r>
              <w:rPr>
                <w:i/>
              </w:rPr>
              <w:t>[insert</w:t>
            </w:r>
            <w:r>
              <w:rPr>
                <w:i/>
                <w:spacing w:val="-4"/>
              </w:rPr>
              <w:t xml:space="preserve"> </w:t>
            </w:r>
            <w:r>
              <w:rPr>
                <w:i/>
                <w:spacing w:val="-2"/>
              </w:rPr>
              <w:t>year]</w:t>
            </w:r>
            <w:r>
              <w:rPr>
                <w:spacing w:val="-2"/>
              </w:rPr>
              <w:t>.</w:t>
            </w:r>
          </w:p>
        </w:tc>
        <w:tc>
          <w:tcPr>
            <w:tcW w:w="2976" w:type="dxa"/>
          </w:tcPr>
          <w:p w14:paraId="148FC610" w14:textId="77777777" w:rsidR="00BB77C0" w:rsidRDefault="00370BAA">
            <w:pPr>
              <w:pStyle w:val="TableParagraph"/>
              <w:spacing w:line="249" w:lineRule="exact"/>
              <w:ind w:left="336"/>
            </w:pPr>
            <w:r>
              <w:t>Form</w:t>
            </w:r>
            <w:r>
              <w:rPr>
                <w:spacing w:val="-7"/>
              </w:rPr>
              <w:t xml:space="preserve"> </w:t>
            </w:r>
            <w:r>
              <w:t>EXP</w:t>
            </w:r>
            <w:r>
              <w:rPr>
                <w:spacing w:val="2"/>
              </w:rPr>
              <w:t xml:space="preserve"> </w:t>
            </w:r>
            <w:r>
              <w:t>–</w:t>
            </w:r>
            <w:r>
              <w:rPr>
                <w:spacing w:val="-2"/>
              </w:rPr>
              <w:t xml:space="preserve"> </w:t>
            </w:r>
            <w:r>
              <w:rPr>
                <w:spacing w:val="-5"/>
              </w:rPr>
              <w:t>4.1</w:t>
            </w:r>
          </w:p>
        </w:tc>
        <w:tc>
          <w:tcPr>
            <w:tcW w:w="2549" w:type="dxa"/>
          </w:tcPr>
          <w:p w14:paraId="6AAE0B8F" w14:textId="77777777" w:rsidR="00BB77C0" w:rsidRDefault="00BB77C0">
            <w:pPr>
              <w:pStyle w:val="TableParagraph"/>
            </w:pPr>
          </w:p>
        </w:tc>
      </w:tr>
      <w:tr w:rsidR="00BB77C0" w14:paraId="2F811A22" w14:textId="77777777">
        <w:trPr>
          <w:trHeight w:val="4301"/>
        </w:trPr>
        <w:tc>
          <w:tcPr>
            <w:tcW w:w="701" w:type="dxa"/>
          </w:tcPr>
          <w:p w14:paraId="03BD7BBF" w14:textId="77777777" w:rsidR="00BB77C0" w:rsidRDefault="00BB77C0">
            <w:pPr>
              <w:pStyle w:val="TableParagraph"/>
            </w:pPr>
          </w:p>
        </w:tc>
        <w:tc>
          <w:tcPr>
            <w:tcW w:w="2554" w:type="dxa"/>
          </w:tcPr>
          <w:p w14:paraId="17410B9B" w14:textId="77777777" w:rsidR="00BB77C0" w:rsidRDefault="00370BAA">
            <w:pPr>
              <w:pStyle w:val="TableParagraph"/>
              <w:ind w:left="110"/>
            </w:pPr>
            <w:r>
              <w:rPr>
                <w:spacing w:val="-2"/>
              </w:rPr>
              <w:t>Specific</w:t>
            </w:r>
            <w:r>
              <w:rPr>
                <w:spacing w:val="-13"/>
              </w:rPr>
              <w:t xml:space="preserve"> </w:t>
            </w:r>
            <w:r>
              <w:rPr>
                <w:spacing w:val="-2"/>
              </w:rPr>
              <w:t>Construction</w:t>
            </w:r>
            <w:r>
              <w:rPr>
                <w:spacing w:val="-14"/>
              </w:rPr>
              <w:t xml:space="preserve"> </w:t>
            </w:r>
            <w:r>
              <w:rPr>
                <w:spacing w:val="-2"/>
              </w:rPr>
              <w:t xml:space="preserve">&amp; </w:t>
            </w:r>
            <w:r>
              <w:t xml:space="preserve">Contract Management </w:t>
            </w:r>
            <w:r>
              <w:rPr>
                <w:spacing w:val="-2"/>
              </w:rPr>
              <w:t>Experience</w:t>
            </w:r>
          </w:p>
        </w:tc>
        <w:tc>
          <w:tcPr>
            <w:tcW w:w="5531" w:type="dxa"/>
          </w:tcPr>
          <w:p w14:paraId="3566FC25" w14:textId="77777777" w:rsidR="00BB77C0" w:rsidRDefault="00370BAA">
            <w:pPr>
              <w:pStyle w:val="TableParagraph"/>
              <w:ind w:left="110" w:right="142"/>
            </w:pPr>
            <w:r>
              <w:t>A</w:t>
            </w:r>
            <w:r>
              <w:rPr>
                <w:spacing w:val="-5"/>
              </w:rPr>
              <w:t xml:space="preserve"> </w:t>
            </w:r>
            <w:r>
              <w:t>minimum</w:t>
            </w:r>
            <w:r>
              <w:rPr>
                <w:spacing w:val="-8"/>
              </w:rPr>
              <w:t xml:space="preserve"> </w:t>
            </w:r>
            <w:r>
              <w:t>number</w:t>
            </w:r>
            <w:r>
              <w:rPr>
                <w:spacing w:val="-2"/>
              </w:rPr>
              <w:t xml:space="preserve"> </w:t>
            </w:r>
            <w:r>
              <w:t>of</w:t>
            </w:r>
            <w:r>
              <w:rPr>
                <w:spacing w:val="-4"/>
              </w:rPr>
              <w:t xml:space="preserve"> </w:t>
            </w:r>
            <w:r>
              <w:rPr>
                <w:i/>
              </w:rPr>
              <w:t>[state</w:t>
            </w:r>
            <w:r>
              <w:rPr>
                <w:i/>
                <w:spacing w:val="-6"/>
              </w:rPr>
              <w:t xml:space="preserve"> </w:t>
            </w:r>
            <w:r>
              <w:rPr>
                <w:i/>
              </w:rPr>
              <w:t>the</w:t>
            </w:r>
            <w:r>
              <w:rPr>
                <w:i/>
                <w:spacing w:val="-11"/>
              </w:rPr>
              <w:t xml:space="preserve"> </w:t>
            </w:r>
            <w:r>
              <w:rPr>
                <w:i/>
              </w:rPr>
              <w:t xml:space="preserve">number] </w:t>
            </w:r>
            <w:r>
              <w:t>similar</w:t>
            </w:r>
            <w:r>
              <w:rPr>
                <w:spacing w:val="-2"/>
              </w:rPr>
              <w:t xml:space="preserve"> </w:t>
            </w:r>
            <w:r>
              <w:t>contracts specified below that have been satisfactorily and substantially</w:t>
            </w:r>
            <w:r>
              <w:rPr>
                <w:spacing w:val="-5"/>
              </w:rPr>
              <w:t xml:space="preserve"> </w:t>
            </w:r>
            <w:r>
              <w:t>completed</w:t>
            </w:r>
            <w:r>
              <w:rPr>
                <w:spacing w:val="-5"/>
              </w:rPr>
              <w:t xml:space="preserve"> </w:t>
            </w:r>
            <w:r>
              <w:t>as</w:t>
            </w:r>
            <w:r>
              <w:rPr>
                <w:spacing w:val="-4"/>
              </w:rPr>
              <w:t xml:space="preserve"> </w:t>
            </w:r>
            <w:r>
              <w:t>a prime</w:t>
            </w:r>
            <w:r>
              <w:rPr>
                <w:spacing w:val="-2"/>
              </w:rPr>
              <w:t xml:space="preserve"> </w:t>
            </w:r>
            <w:r>
              <w:t>contractor, joint venture member,</w:t>
            </w:r>
            <w:r>
              <w:rPr>
                <w:spacing w:val="-9"/>
              </w:rPr>
              <w:t xml:space="preserve"> </w:t>
            </w:r>
            <w:r>
              <w:t>management</w:t>
            </w:r>
            <w:r>
              <w:rPr>
                <w:spacing w:val="-8"/>
              </w:rPr>
              <w:t xml:space="preserve"> </w:t>
            </w:r>
            <w:r>
              <w:t>contractor</w:t>
            </w:r>
            <w:r>
              <w:rPr>
                <w:spacing w:val="-8"/>
              </w:rPr>
              <w:t xml:space="preserve"> </w:t>
            </w:r>
            <w:r>
              <w:t>or</w:t>
            </w:r>
            <w:r>
              <w:rPr>
                <w:spacing w:val="-12"/>
              </w:rPr>
              <w:t xml:space="preserve"> </w:t>
            </w:r>
            <w:r>
              <w:t>sub-contractor</w:t>
            </w:r>
            <w:r>
              <w:rPr>
                <w:spacing w:val="-9"/>
              </w:rPr>
              <w:t xml:space="preserve"> </w:t>
            </w:r>
            <w:r>
              <w:t>between 1st</w:t>
            </w:r>
            <w:r>
              <w:rPr>
                <w:spacing w:val="-5"/>
              </w:rPr>
              <w:t xml:space="preserve"> </w:t>
            </w:r>
            <w:r>
              <w:t>January</w:t>
            </w:r>
            <w:r>
              <w:rPr>
                <w:spacing w:val="-11"/>
              </w:rPr>
              <w:t xml:space="preserve"> </w:t>
            </w:r>
            <w:r>
              <w:t>[</w:t>
            </w:r>
            <w:r>
              <w:rPr>
                <w:i/>
              </w:rPr>
              <w:t>insert</w:t>
            </w:r>
            <w:r>
              <w:rPr>
                <w:i/>
                <w:spacing w:val="-5"/>
              </w:rPr>
              <w:t xml:space="preserve"> </w:t>
            </w:r>
            <w:r>
              <w:rPr>
                <w:i/>
              </w:rPr>
              <w:t>year</w:t>
            </w:r>
            <w:r>
              <w:t>]</w:t>
            </w:r>
            <w:r>
              <w:rPr>
                <w:spacing w:val="-12"/>
              </w:rPr>
              <w:t xml:space="preserve"> </w:t>
            </w:r>
            <w:r>
              <w:t>and</w:t>
            </w:r>
            <w:r>
              <w:rPr>
                <w:spacing w:val="-10"/>
              </w:rPr>
              <w:t xml:space="preserve"> </w:t>
            </w:r>
            <w:r>
              <w:t>tender</w:t>
            </w:r>
            <w:r>
              <w:rPr>
                <w:spacing w:val="-3"/>
              </w:rPr>
              <w:t xml:space="preserve"> </w:t>
            </w:r>
            <w:r>
              <w:t>submission</w:t>
            </w:r>
            <w:r>
              <w:rPr>
                <w:spacing w:val="-11"/>
              </w:rPr>
              <w:t xml:space="preserve"> </w:t>
            </w:r>
            <w:r>
              <w:t>deadline</w:t>
            </w:r>
            <w:r>
              <w:rPr>
                <w:spacing w:val="-7"/>
              </w:rPr>
              <w:t xml:space="preserve"> </w:t>
            </w:r>
            <w:r>
              <w:rPr>
                <w:spacing w:val="-4"/>
              </w:rPr>
              <w:t>i.e.</w:t>
            </w:r>
          </w:p>
          <w:p w14:paraId="4AE3F22E" w14:textId="77777777" w:rsidR="00BB77C0" w:rsidRDefault="00370BAA">
            <w:pPr>
              <w:pStyle w:val="TableParagraph"/>
              <w:tabs>
                <w:tab w:val="left" w:leader="dot" w:pos="1959"/>
              </w:tabs>
              <w:ind w:left="110" w:right="634"/>
            </w:pPr>
            <w:r>
              <w:t>….</w:t>
            </w:r>
            <w:r>
              <w:rPr>
                <w:spacing w:val="-14"/>
              </w:rPr>
              <w:t xml:space="preserve"> </w:t>
            </w:r>
            <w:r>
              <w:t>(number)</w:t>
            </w:r>
            <w:r>
              <w:rPr>
                <w:spacing w:val="-12"/>
              </w:rPr>
              <w:t xml:space="preserve"> </w:t>
            </w:r>
            <w:r>
              <w:t>contracts,</w:t>
            </w:r>
            <w:r>
              <w:rPr>
                <w:spacing w:val="-12"/>
              </w:rPr>
              <w:t xml:space="preserve"> </w:t>
            </w:r>
            <w:r>
              <w:t>each</w:t>
            </w:r>
            <w:r>
              <w:rPr>
                <w:spacing w:val="-12"/>
              </w:rPr>
              <w:t xml:space="preserve"> </w:t>
            </w:r>
            <w:r>
              <w:t>of</w:t>
            </w:r>
            <w:r>
              <w:rPr>
                <w:spacing w:val="-8"/>
              </w:rPr>
              <w:t xml:space="preserve"> </w:t>
            </w:r>
            <w:r>
              <w:t>minimum</w:t>
            </w:r>
            <w:r>
              <w:rPr>
                <w:spacing w:val="-14"/>
              </w:rPr>
              <w:t xml:space="preserve"> </w:t>
            </w:r>
            <w:r>
              <w:t>value</w:t>
            </w:r>
            <w:r>
              <w:rPr>
                <w:spacing w:val="-14"/>
              </w:rPr>
              <w:t xml:space="preserve"> </w:t>
            </w:r>
            <w:r>
              <w:t xml:space="preserve">Kenya </w:t>
            </w:r>
            <w:r>
              <w:rPr>
                <w:spacing w:val="-2"/>
              </w:rPr>
              <w:t>shillings</w:t>
            </w:r>
            <w:r>
              <w:tab/>
            </w:r>
            <w:r>
              <w:rPr>
                <w:spacing w:val="-2"/>
              </w:rPr>
              <w:t>equivalent.</w:t>
            </w:r>
          </w:p>
          <w:p w14:paraId="25CEA747" w14:textId="77777777" w:rsidR="00BB77C0" w:rsidRDefault="00370BAA">
            <w:pPr>
              <w:pStyle w:val="TableParagraph"/>
              <w:ind w:left="110" w:right="200"/>
              <w:jc w:val="both"/>
              <w:rPr>
                <w:i/>
              </w:rPr>
            </w:pPr>
            <w:r>
              <w:t>[</w:t>
            </w:r>
            <w:r>
              <w:rPr>
                <w:i/>
              </w:rPr>
              <w:t>In case the</w:t>
            </w:r>
            <w:r>
              <w:rPr>
                <w:i/>
                <w:spacing w:val="-5"/>
              </w:rPr>
              <w:t xml:space="preserve"> </w:t>
            </w:r>
            <w:r>
              <w:rPr>
                <w:i/>
              </w:rPr>
              <w:t>Works are</w:t>
            </w:r>
            <w:r>
              <w:rPr>
                <w:i/>
                <w:spacing w:val="-4"/>
              </w:rPr>
              <w:t xml:space="preserve"> </w:t>
            </w:r>
            <w:r>
              <w:rPr>
                <w:i/>
              </w:rPr>
              <w:t>to</w:t>
            </w:r>
            <w:r>
              <w:rPr>
                <w:i/>
                <w:spacing w:val="-3"/>
              </w:rPr>
              <w:t xml:space="preserve"> </w:t>
            </w:r>
            <w:r>
              <w:rPr>
                <w:i/>
              </w:rPr>
              <w:t>be tender as individual</w:t>
            </w:r>
            <w:r>
              <w:rPr>
                <w:i/>
                <w:spacing w:val="-2"/>
              </w:rPr>
              <w:t xml:space="preserve"> </w:t>
            </w:r>
            <w:r>
              <w:rPr>
                <w:i/>
              </w:rPr>
              <w:t>contracts under</w:t>
            </w:r>
            <w:r>
              <w:rPr>
                <w:i/>
                <w:spacing w:val="-9"/>
              </w:rPr>
              <w:t xml:space="preserve"> </w:t>
            </w:r>
            <w:r>
              <w:rPr>
                <w:i/>
              </w:rPr>
              <w:t>multiple</w:t>
            </w:r>
            <w:r>
              <w:rPr>
                <w:i/>
                <w:spacing w:val="-10"/>
              </w:rPr>
              <w:t xml:space="preserve"> </w:t>
            </w:r>
            <w:r>
              <w:rPr>
                <w:i/>
              </w:rPr>
              <w:t>contract</w:t>
            </w:r>
            <w:r>
              <w:rPr>
                <w:i/>
                <w:spacing w:val="-12"/>
              </w:rPr>
              <w:t xml:space="preserve"> </w:t>
            </w:r>
            <w:r>
              <w:rPr>
                <w:i/>
              </w:rPr>
              <w:t>procedure,</w:t>
            </w:r>
            <w:r>
              <w:rPr>
                <w:i/>
                <w:spacing w:val="-7"/>
              </w:rPr>
              <w:t xml:space="preserve"> </w:t>
            </w:r>
            <w:r>
              <w:rPr>
                <w:i/>
              </w:rPr>
              <w:t>the</w:t>
            </w:r>
            <w:r>
              <w:rPr>
                <w:i/>
                <w:spacing w:val="-14"/>
              </w:rPr>
              <w:t xml:space="preserve"> </w:t>
            </w:r>
            <w:r>
              <w:rPr>
                <w:i/>
              </w:rPr>
              <w:t>minimum</w:t>
            </w:r>
            <w:r>
              <w:rPr>
                <w:i/>
                <w:spacing w:val="-14"/>
              </w:rPr>
              <w:t xml:space="preserve"> </w:t>
            </w:r>
            <w:r>
              <w:rPr>
                <w:i/>
              </w:rPr>
              <w:t>number</w:t>
            </w:r>
            <w:r>
              <w:rPr>
                <w:i/>
                <w:spacing w:val="-8"/>
              </w:rPr>
              <w:t xml:space="preserve"> </w:t>
            </w:r>
            <w:r>
              <w:rPr>
                <w:i/>
              </w:rPr>
              <w:t>of contracts required</w:t>
            </w:r>
            <w:r>
              <w:rPr>
                <w:i/>
                <w:spacing w:val="-4"/>
              </w:rPr>
              <w:t xml:space="preserve"> </w:t>
            </w:r>
            <w:r>
              <w:rPr>
                <w:i/>
              </w:rPr>
              <w:t>for</w:t>
            </w:r>
            <w:r>
              <w:rPr>
                <w:i/>
                <w:spacing w:val="-3"/>
              </w:rPr>
              <w:t xml:space="preserve"> </w:t>
            </w:r>
            <w:r>
              <w:rPr>
                <w:i/>
              </w:rPr>
              <w:t>purposes</w:t>
            </w:r>
            <w:r>
              <w:rPr>
                <w:i/>
                <w:spacing w:val="-3"/>
              </w:rPr>
              <w:t xml:space="preserve"> </w:t>
            </w:r>
            <w:r>
              <w:rPr>
                <w:i/>
              </w:rPr>
              <w:t>of</w:t>
            </w:r>
            <w:r>
              <w:rPr>
                <w:i/>
                <w:spacing w:val="-3"/>
              </w:rPr>
              <w:t xml:space="preserve"> </w:t>
            </w:r>
            <w:r>
              <w:rPr>
                <w:i/>
              </w:rPr>
              <w:t>evaluating</w:t>
            </w:r>
            <w:r>
              <w:rPr>
                <w:i/>
                <w:spacing w:val="-4"/>
              </w:rPr>
              <w:t xml:space="preserve"> </w:t>
            </w:r>
            <w:r>
              <w:rPr>
                <w:i/>
              </w:rPr>
              <w:t>qualification shall be selected from the options mentioned in ITT 35.4]</w:t>
            </w:r>
          </w:p>
          <w:p w14:paraId="03F41D19" w14:textId="77777777" w:rsidR="00BB77C0" w:rsidRDefault="00370BAA">
            <w:pPr>
              <w:pStyle w:val="TableParagraph"/>
              <w:spacing w:before="248"/>
              <w:ind w:left="110" w:right="142"/>
              <w:rPr>
                <w:i/>
              </w:rPr>
            </w:pPr>
            <w:r>
              <w:t>The similarity of the contracts shall be based on the following:</w:t>
            </w:r>
            <w:r>
              <w:rPr>
                <w:spacing w:val="-12"/>
              </w:rPr>
              <w:t xml:space="preserve"> </w:t>
            </w:r>
            <w:r>
              <w:t>[</w:t>
            </w:r>
            <w:r>
              <w:rPr>
                <w:i/>
              </w:rPr>
              <w:t>Based</w:t>
            </w:r>
            <w:r>
              <w:rPr>
                <w:i/>
                <w:spacing w:val="-9"/>
              </w:rPr>
              <w:t xml:space="preserve"> </w:t>
            </w:r>
            <w:r>
              <w:rPr>
                <w:i/>
              </w:rPr>
              <w:t>on</w:t>
            </w:r>
            <w:r>
              <w:rPr>
                <w:i/>
                <w:spacing w:val="-8"/>
              </w:rPr>
              <w:t xml:space="preserve"> </w:t>
            </w:r>
            <w:r>
              <w:rPr>
                <w:i/>
              </w:rPr>
              <w:t>Section</w:t>
            </w:r>
            <w:r>
              <w:rPr>
                <w:i/>
                <w:spacing w:val="-8"/>
              </w:rPr>
              <w:t xml:space="preserve"> </w:t>
            </w:r>
            <w:r>
              <w:rPr>
                <w:i/>
              </w:rPr>
              <w:t>VII,</w:t>
            </w:r>
            <w:r>
              <w:rPr>
                <w:i/>
                <w:spacing w:val="-6"/>
              </w:rPr>
              <w:t xml:space="preserve"> </w:t>
            </w:r>
            <w:r>
              <w:rPr>
                <w:i/>
              </w:rPr>
              <w:t>Scope</w:t>
            </w:r>
            <w:r>
              <w:rPr>
                <w:i/>
                <w:spacing w:val="-10"/>
              </w:rPr>
              <w:t xml:space="preserve"> </w:t>
            </w:r>
            <w:r>
              <w:rPr>
                <w:i/>
              </w:rPr>
              <w:t>of</w:t>
            </w:r>
            <w:r>
              <w:rPr>
                <w:i/>
                <w:spacing w:val="-12"/>
              </w:rPr>
              <w:t xml:space="preserve"> </w:t>
            </w:r>
            <w:r>
              <w:rPr>
                <w:i/>
              </w:rPr>
              <w:t>Works,</w:t>
            </w:r>
            <w:r>
              <w:rPr>
                <w:i/>
                <w:spacing w:val="-11"/>
              </w:rPr>
              <w:t xml:space="preserve"> </w:t>
            </w:r>
            <w:r>
              <w:rPr>
                <w:i/>
              </w:rPr>
              <w:t>specify the minimum key requirements in terms of physical size,</w:t>
            </w:r>
          </w:p>
          <w:p w14:paraId="470CF471" w14:textId="77777777" w:rsidR="00BB77C0" w:rsidRDefault="00370BAA">
            <w:pPr>
              <w:pStyle w:val="TableParagraph"/>
              <w:spacing w:before="4" w:line="244" w:lineRule="exact"/>
              <w:ind w:left="110"/>
              <w:rPr>
                <w:i/>
              </w:rPr>
            </w:pPr>
            <w:r>
              <w:rPr>
                <w:i/>
              </w:rPr>
              <w:t>complexity, construction method, technology</w:t>
            </w:r>
            <w:r>
              <w:rPr>
                <w:i/>
                <w:spacing w:val="-1"/>
              </w:rPr>
              <w:t xml:space="preserve"> </w:t>
            </w:r>
            <w:r>
              <w:rPr>
                <w:i/>
              </w:rPr>
              <w:t>and/or other characteristics</w:t>
            </w:r>
            <w:r>
              <w:rPr>
                <w:i/>
                <w:spacing w:val="-14"/>
              </w:rPr>
              <w:t xml:space="preserve"> </w:t>
            </w:r>
            <w:r>
              <w:rPr>
                <w:i/>
              </w:rPr>
              <w:t>including</w:t>
            </w:r>
            <w:r>
              <w:rPr>
                <w:i/>
                <w:spacing w:val="-10"/>
              </w:rPr>
              <w:t xml:space="preserve"> </w:t>
            </w:r>
            <w:r>
              <w:rPr>
                <w:i/>
              </w:rPr>
              <w:t>part</w:t>
            </w:r>
            <w:r>
              <w:rPr>
                <w:i/>
                <w:spacing w:val="-9"/>
              </w:rPr>
              <w:t xml:space="preserve"> </w:t>
            </w:r>
            <w:r>
              <w:rPr>
                <w:i/>
              </w:rPr>
              <w:t>of</w:t>
            </w:r>
            <w:r>
              <w:rPr>
                <w:i/>
                <w:spacing w:val="-9"/>
              </w:rPr>
              <w:t xml:space="preserve"> </w:t>
            </w:r>
            <w:r>
              <w:rPr>
                <w:i/>
              </w:rPr>
              <w:t>the</w:t>
            </w:r>
            <w:r>
              <w:rPr>
                <w:i/>
                <w:spacing w:val="-12"/>
              </w:rPr>
              <w:t xml:space="preserve"> </w:t>
            </w:r>
            <w:r>
              <w:rPr>
                <w:i/>
              </w:rPr>
              <w:t>requirements</w:t>
            </w:r>
            <w:r>
              <w:rPr>
                <w:i/>
                <w:spacing w:val="-13"/>
              </w:rPr>
              <w:t xml:space="preserve"> </w:t>
            </w:r>
            <w:r>
              <w:rPr>
                <w:i/>
              </w:rPr>
              <w:t>that</w:t>
            </w:r>
            <w:r>
              <w:rPr>
                <w:i/>
                <w:spacing w:val="-14"/>
              </w:rPr>
              <w:t xml:space="preserve"> </w:t>
            </w:r>
            <w:r>
              <w:rPr>
                <w:i/>
              </w:rPr>
              <w:t>may</w:t>
            </w:r>
          </w:p>
        </w:tc>
        <w:tc>
          <w:tcPr>
            <w:tcW w:w="2976" w:type="dxa"/>
          </w:tcPr>
          <w:p w14:paraId="570A5AE8" w14:textId="77777777" w:rsidR="00BB77C0" w:rsidRDefault="00370BAA">
            <w:pPr>
              <w:pStyle w:val="TableParagraph"/>
              <w:spacing w:line="249" w:lineRule="exact"/>
              <w:ind w:left="111"/>
            </w:pPr>
            <w:r>
              <w:t>Form</w:t>
            </w:r>
            <w:r>
              <w:rPr>
                <w:spacing w:val="-8"/>
              </w:rPr>
              <w:t xml:space="preserve"> </w:t>
            </w:r>
            <w:r>
              <w:t>EXP</w:t>
            </w:r>
            <w:r>
              <w:rPr>
                <w:spacing w:val="-2"/>
              </w:rPr>
              <w:t xml:space="preserve"> 4.2(a)</w:t>
            </w:r>
          </w:p>
        </w:tc>
        <w:tc>
          <w:tcPr>
            <w:tcW w:w="2549" w:type="dxa"/>
          </w:tcPr>
          <w:p w14:paraId="434E578A" w14:textId="77777777" w:rsidR="00BB77C0" w:rsidRDefault="00BB77C0">
            <w:pPr>
              <w:pStyle w:val="TableParagraph"/>
            </w:pPr>
          </w:p>
        </w:tc>
      </w:tr>
    </w:tbl>
    <w:p w14:paraId="06D44B65" w14:textId="77777777" w:rsidR="00BB77C0" w:rsidRDefault="00BB77C0">
      <w:pPr>
        <w:pStyle w:val="TableParagraph"/>
        <w:sectPr w:rsidR="00BB77C0">
          <w:type w:val="continuous"/>
          <w:pgSz w:w="16850" w:h="11920" w:orient="landscape"/>
          <w:pgMar w:top="840" w:right="1440" w:bottom="280" w:left="360" w:header="720" w:footer="720" w:gutter="0"/>
          <w:cols w:space="720"/>
        </w:sectPr>
      </w:pPr>
    </w:p>
    <w:p w14:paraId="195D0848" w14:textId="77777777" w:rsidR="00BB77C0" w:rsidRDefault="00370BAA">
      <w:pPr>
        <w:pStyle w:val="BodyText"/>
        <w:rPr>
          <w:b/>
          <w:sz w:val="20"/>
        </w:rPr>
      </w:pPr>
      <w:r>
        <w:rPr>
          <w:b/>
          <w:noProof/>
          <w:sz w:val="20"/>
        </w:rPr>
        <w:lastRenderedPageBreak/>
        <mc:AlternateContent>
          <mc:Choice Requires="wpg">
            <w:drawing>
              <wp:anchor distT="0" distB="0" distL="0" distR="0" simplePos="0" relativeHeight="484001792" behindDoc="1" locked="0" layoutInCell="1" allowOverlap="1" wp14:anchorId="56883F91" wp14:editId="43FB829B">
                <wp:simplePos x="0" y="0"/>
                <wp:positionH relativeFrom="page">
                  <wp:posOffset>-1425</wp:posOffset>
                </wp:positionH>
                <wp:positionV relativeFrom="page">
                  <wp:posOffset>0</wp:posOffset>
                </wp:positionV>
                <wp:extent cx="7562215" cy="7561580"/>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2215" cy="7561580"/>
                          <a:chOff x="0" y="0"/>
                          <a:chExt cx="7562215" cy="7561580"/>
                        </a:xfrm>
                      </wpg:grpSpPr>
                      <wps:wsp>
                        <wps:cNvPr id="30" name="Graphic 30"/>
                        <wps:cNvSpPr/>
                        <wps:spPr>
                          <a:xfrm>
                            <a:off x="1526" y="0"/>
                            <a:ext cx="6701790" cy="228600"/>
                          </a:xfrm>
                          <a:custGeom>
                            <a:avLst/>
                            <a:gdLst/>
                            <a:ahLst/>
                            <a:cxnLst/>
                            <a:rect l="l" t="t" r="r" b="b"/>
                            <a:pathLst>
                              <a:path w="6701790" h="228600">
                                <a:moveTo>
                                  <a:pt x="6701180" y="0"/>
                                </a:moveTo>
                                <a:lnTo>
                                  <a:pt x="0" y="0"/>
                                </a:lnTo>
                                <a:lnTo>
                                  <a:pt x="0" y="223519"/>
                                </a:lnTo>
                                <a:lnTo>
                                  <a:pt x="6517030" y="228600"/>
                                </a:lnTo>
                                <a:lnTo>
                                  <a:pt x="6701180" y="0"/>
                                </a:lnTo>
                                <a:close/>
                              </a:path>
                            </a:pathLst>
                          </a:custGeom>
                          <a:solidFill>
                            <a:srgbClr val="E6E7E8"/>
                          </a:solidFill>
                        </wps:spPr>
                        <wps:bodyPr wrap="square" lIns="0" tIns="0" rIns="0" bIns="0" rtlCol="0">
                          <a:prstTxWarp prst="textNoShape">
                            <a:avLst/>
                          </a:prstTxWarp>
                          <a:noAutofit/>
                        </wps:bodyPr>
                      </wps:wsp>
                      <wps:wsp>
                        <wps:cNvPr id="31" name="Graphic 31"/>
                        <wps:cNvSpPr/>
                        <wps:spPr>
                          <a:xfrm>
                            <a:off x="6895112" y="0"/>
                            <a:ext cx="666750" cy="228600"/>
                          </a:xfrm>
                          <a:custGeom>
                            <a:avLst/>
                            <a:gdLst/>
                            <a:ahLst/>
                            <a:cxnLst/>
                            <a:rect l="l" t="t" r="r" b="b"/>
                            <a:pathLst>
                              <a:path w="666750" h="228600">
                                <a:moveTo>
                                  <a:pt x="666750" y="0"/>
                                </a:moveTo>
                                <a:lnTo>
                                  <a:pt x="126365" y="0"/>
                                </a:lnTo>
                                <a:lnTo>
                                  <a:pt x="0" y="228600"/>
                                </a:lnTo>
                                <a:lnTo>
                                  <a:pt x="666750" y="228600"/>
                                </a:lnTo>
                                <a:lnTo>
                                  <a:pt x="666750" y="0"/>
                                </a:lnTo>
                                <a:close/>
                              </a:path>
                            </a:pathLst>
                          </a:custGeom>
                          <a:solidFill>
                            <a:srgbClr val="EB1C22"/>
                          </a:solidFill>
                        </wps:spPr>
                        <wps:bodyPr wrap="square" lIns="0" tIns="0" rIns="0" bIns="0" rtlCol="0">
                          <a:prstTxWarp prst="textNoShape">
                            <a:avLst/>
                          </a:prstTxWarp>
                          <a:noAutofit/>
                        </wps:bodyPr>
                      </wps:wsp>
                      <wps:wsp>
                        <wps:cNvPr id="32" name="Graphic 32"/>
                        <wps:cNvSpPr/>
                        <wps:spPr>
                          <a:xfrm>
                            <a:off x="6666512" y="0"/>
                            <a:ext cx="330200" cy="228600"/>
                          </a:xfrm>
                          <a:custGeom>
                            <a:avLst/>
                            <a:gdLst/>
                            <a:ahLst/>
                            <a:cxnLst/>
                            <a:rect l="l" t="t" r="r" b="b"/>
                            <a:pathLst>
                              <a:path w="330200" h="228600">
                                <a:moveTo>
                                  <a:pt x="330200" y="0"/>
                                </a:moveTo>
                                <a:lnTo>
                                  <a:pt x="126365" y="0"/>
                                </a:lnTo>
                                <a:lnTo>
                                  <a:pt x="0" y="228600"/>
                                </a:lnTo>
                                <a:lnTo>
                                  <a:pt x="200660" y="228600"/>
                                </a:lnTo>
                                <a:lnTo>
                                  <a:pt x="330200" y="0"/>
                                </a:lnTo>
                                <a:close/>
                              </a:path>
                            </a:pathLst>
                          </a:custGeom>
                          <a:solidFill>
                            <a:srgbClr val="00A650"/>
                          </a:solidFill>
                        </wps:spPr>
                        <wps:bodyPr wrap="square" lIns="0" tIns="0" rIns="0" bIns="0" rtlCol="0">
                          <a:prstTxWarp prst="textNoShape">
                            <a:avLst/>
                          </a:prstTxWarp>
                          <a:noAutofit/>
                        </wps:bodyPr>
                      </wps:wsp>
                      <wps:wsp>
                        <wps:cNvPr id="33" name="Graphic 33"/>
                        <wps:cNvSpPr/>
                        <wps:spPr>
                          <a:xfrm>
                            <a:off x="6437277" y="0"/>
                            <a:ext cx="330200" cy="228600"/>
                          </a:xfrm>
                          <a:custGeom>
                            <a:avLst/>
                            <a:gdLst/>
                            <a:ahLst/>
                            <a:cxnLst/>
                            <a:rect l="l" t="t" r="r" b="b"/>
                            <a:pathLst>
                              <a:path w="330200" h="228600">
                                <a:moveTo>
                                  <a:pt x="330200" y="0"/>
                                </a:moveTo>
                                <a:lnTo>
                                  <a:pt x="126365" y="0"/>
                                </a:lnTo>
                                <a:lnTo>
                                  <a:pt x="0" y="228600"/>
                                </a:lnTo>
                                <a:lnTo>
                                  <a:pt x="200659" y="228600"/>
                                </a:lnTo>
                                <a:lnTo>
                                  <a:pt x="330200" y="0"/>
                                </a:lnTo>
                                <a:close/>
                              </a:path>
                            </a:pathLst>
                          </a:custGeom>
                          <a:solidFill>
                            <a:srgbClr val="A7A9AC"/>
                          </a:solidFill>
                        </wps:spPr>
                        <wps:bodyPr wrap="square" lIns="0" tIns="0" rIns="0" bIns="0" rtlCol="0">
                          <a:prstTxWarp prst="textNoShape">
                            <a:avLst/>
                          </a:prstTxWarp>
                          <a:noAutofit/>
                        </wps:bodyPr>
                      </wps:wsp>
                      <wps:wsp>
                        <wps:cNvPr id="34" name="Graphic 34"/>
                        <wps:cNvSpPr/>
                        <wps:spPr>
                          <a:xfrm>
                            <a:off x="446535" y="559307"/>
                            <a:ext cx="6350" cy="989330"/>
                          </a:xfrm>
                          <a:custGeom>
                            <a:avLst/>
                            <a:gdLst/>
                            <a:ahLst/>
                            <a:cxnLst/>
                            <a:rect l="l" t="t" r="r" b="b"/>
                            <a:pathLst>
                              <a:path w="6350" h="989330">
                                <a:moveTo>
                                  <a:pt x="6108" y="0"/>
                                </a:moveTo>
                                <a:lnTo>
                                  <a:pt x="0" y="0"/>
                                </a:lnTo>
                                <a:lnTo>
                                  <a:pt x="0" y="172212"/>
                                </a:lnTo>
                                <a:lnTo>
                                  <a:pt x="0" y="989076"/>
                                </a:lnTo>
                                <a:lnTo>
                                  <a:pt x="6108" y="989076"/>
                                </a:lnTo>
                                <a:lnTo>
                                  <a:pt x="6108" y="172212"/>
                                </a:lnTo>
                                <a:lnTo>
                                  <a:pt x="6108" y="0"/>
                                </a:lnTo>
                                <a:close/>
                              </a:path>
                            </a:pathLst>
                          </a:custGeom>
                          <a:solidFill>
                            <a:srgbClr val="000000"/>
                          </a:solidFill>
                        </wps:spPr>
                        <wps:bodyPr wrap="square" lIns="0" tIns="0" rIns="0" bIns="0" rtlCol="0">
                          <a:prstTxWarp prst="textNoShape">
                            <a:avLst/>
                          </a:prstTxWarp>
                          <a:noAutofit/>
                        </wps:bodyPr>
                      </wps:wsp>
                      <wps:wsp>
                        <wps:cNvPr id="35" name="Graphic 35"/>
                        <wps:cNvSpPr/>
                        <wps:spPr>
                          <a:xfrm>
                            <a:off x="1526" y="0"/>
                            <a:ext cx="451484" cy="1021080"/>
                          </a:xfrm>
                          <a:custGeom>
                            <a:avLst/>
                            <a:gdLst/>
                            <a:ahLst/>
                            <a:cxnLst/>
                            <a:rect l="l" t="t" r="r" b="b"/>
                            <a:pathLst>
                              <a:path w="451484" h="1021080">
                                <a:moveTo>
                                  <a:pt x="451485" y="0"/>
                                </a:moveTo>
                                <a:lnTo>
                                  <a:pt x="0" y="0"/>
                                </a:lnTo>
                                <a:lnTo>
                                  <a:pt x="0" y="795654"/>
                                </a:lnTo>
                                <a:lnTo>
                                  <a:pt x="451485" y="1021079"/>
                                </a:lnTo>
                                <a:lnTo>
                                  <a:pt x="451485" y="0"/>
                                </a:lnTo>
                                <a:close/>
                              </a:path>
                            </a:pathLst>
                          </a:custGeom>
                          <a:solidFill>
                            <a:srgbClr val="CCE7D2"/>
                          </a:solidFill>
                        </wps:spPr>
                        <wps:bodyPr wrap="square" lIns="0" tIns="0" rIns="0" bIns="0" rtlCol="0">
                          <a:prstTxWarp prst="textNoShape">
                            <a:avLst/>
                          </a:prstTxWarp>
                          <a:noAutofit/>
                        </wps:bodyPr>
                      </wps:wsp>
                      <wps:wsp>
                        <wps:cNvPr id="36" name="Graphic 36"/>
                        <wps:cNvSpPr/>
                        <wps:spPr>
                          <a:xfrm>
                            <a:off x="453012" y="0"/>
                            <a:ext cx="1270" cy="7560309"/>
                          </a:xfrm>
                          <a:custGeom>
                            <a:avLst/>
                            <a:gdLst/>
                            <a:ahLst/>
                            <a:cxnLst/>
                            <a:rect l="l" t="t" r="r" b="b"/>
                            <a:pathLst>
                              <a:path h="7560309">
                                <a:moveTo>
                                  <a:pt x="0" y="0"/>
                                </a:moveTo>
                                <a:lnTo>
                                  <a:pt x="0" y="7560308"/>
                                </a:lnTo>
                              </a:path>
                            </a:pathLst>
                          </a:custGeom>
                          <a:ln w="12700">
                            <a:solidFill>
                              <a:srgbClr val="CCE7D2"/>
                            </a:solidFill>
                            <a:prstDash val="solid"/>
                          </a:ln>
                        </wps:spPr>
                        <wps:bodyPr wrap="square" lIns="0" tIns="0" rIns="0" bIns="0" rtlCol="0">
                          <a:prstTxWarp prst="textNoShape">
                            <a:avLst/>
                          </a:prstTxWarp>
                          <a:noAutofit/>
                        </wps:bodyPr>
                      </wps:wsp>
                      <wps:wsp>
                        <wps:cNvPr id="37" name="Graphic 37"/>
                        <wps:cNvSpPr/>
                        <wps:spPr>
                          <a:xfrm>
                            <a:off x="1526" y="6449059"/>
                            <a:ext cx="451484" cy="1110615"/>
                          </a:xfrm>
                          <a:custGeom>
                            <a:avLst/>
                            <a:gdLst/>
                            <a:ahLst/>
                            <a:cxnLst/>
                            <a:rect l="l" t="t" r="r" b="b"/>
                            <a:pathLst>
                              <a:path w="451484" h="1110615">
                                <a:moveTo>
                                  <a:pt x="451485" y="0"/>
                                </a:moveTo>
                                <a:lnTo>
                                  <a:pt x="0" y="260350"/>
                                </a:lnTo>
                                <a:lnTo>
                                  <a:pt x="0" y="1110617"/>
                                </a:lnTo>
                                <a:lnTo>
                                  <a:pt x="451485" y="1110617"/>
                                </a:lnTo>
                                <a:lnTo>
                                  <a:pt x="451485" y="0"/>
                                </a:lnTo>
                                <a:close/>
                              </a:path>
                            </a:pathLst>
                          </a:custGeom>
                          <a:solidFill>
                            <a:srgbClr val="FAD2C1"/>
                          </a:solidFill>
                        </wps:spPr>
                        <wps:bodyPr wrap="square" lIns="0" tIns="0" rIns="0" bIns="0" rtlCol="0">
                          <a:prstTxWarp prst="textNoShape">
                            <a:avLst/>
                          </a:prstTxWarp>
                          <a:noAutofit/>
                        </wps:bodyPr>
                      </wps:wsp>
                      <wps:wsp>
                        <wps:cNvPr id="38" name="Graphic 38"/>
                        <wps:cNvSpPr/>
                        <wps:spPr>
                          <a:xfrm>
                            <a:off x="1525" y="6449059"/>
                            <a:ext cx="451484" cy="1110615"/>
                          </a:xfrm>
                          <a:custGeom>
                            <a:avLst/>
                            <a:gdLst/>
                            <a:ahLst/>
                            <a:cxnLst/>
                            <a:rect l="l" t="t" r="r" b="b"/>
                            <a:pathLst>
                              <a:path w="451484" h="1110615">
                                <a:moveTo>
                                  <a:pt x="451486" y="0"/>
                                </a:moveTo>
                                <a:lnTo>
                                  <a:pt x="451486" y="1110612"/>
                                </a:lnTo>
                                <a:lnTo>
                                  <a:pt x="0" y="1110612"/>
                                </a:lnTo>
                                <a:lnTo>
                                  <a:pt x="0" y="260350"/>
                                </a:lnTo>
                                <a:lnTo>
                                  <a:pt x="451486" y="0"/>
                                </a:lnTo>
                              </a:path>
                            </a:pathLst>
                          </a:custGeom>
                          <a:ln w="3051">
                            <a:solidFill>
                              <a:srgbClr val="FAD2C1"/>
                            </a:solidFill>
                            <a:prstDash val="solid"/>
                          </a:ln>
                        </wps:spPr>
                        <wps:bodyPr wrap="square" lIns="0" tIns="0" rIns="0" bIns="0" rtlCol="0">
                          <a:prstTxWarp prst="textNoShape">
                            <a:avLst/>
                          </a:prstTxWarp>
                          <a:noAutofit/>
                        </wps:bodyPr>
                      </wps:wsp>
                      <wps:wsp>
                        <wps:cNvPr id="39" name="Graphic 39"/>
                        <wps:cNvSpPr/>
                        <wps:spPr>
                          <a:xfrm>
                            <a:off x="453012" y="0"/>
                            <a:ext cx="1270" cy="7560309"/>
                          </a:xfrm>
                          <a:custGeom>
                            <a:avLst/>
                            <a:gdLst/>
                            <a:ahLst/>
                            <a:cxnLst/>
                            <a:rect l="l" t="t" r="r" b="b"/>
                            <a:pathLst>
                              <a:path h="7560309">
                                <a:moveTo>
                                  <a:pt x="0" y="0"/>
                                </a:moveTo>
                                <a:lnTo>
                                  <a:pt x="0" y="7560308"/>
                                </a:lnTo>
                              </a:path>
                            </a:pathLst>
                          </a:custGeom>
                          <a:ln w="12700">
                            <a:solidFill>
                              <a:srgbClr val="FAD2C1"/>
                            </a:solidFill>
                            <a:prstDash val="solid"/>
                          </a:ln>
                        </wps:spPr>
                        <wps:bodyPr wrap="square" lIns="0" tIns="0" rIns="0" bIns="0" rtlCol="0">
                          <a:prstTxWarp prst="textNoShape">
                            <a:avLst/>
                          </a:prstTxWarp>
                          <a:noAutofit/>
                        </wps:bodyPr>
                      </wps:wsp>
                    </wpg:wgp>
                  </a:graphicData>
                </a:graphic>
              </wp:anchor>
            </w:drawing>
          </mc:Choice>
          <mc:Fallback>
            <w:pict>
              <v:group w14:anchorId="1382DDF1" id="Group 29" o:spid="_x0000_s1026" style="position:absolute;margin-left:-.1pt;margin-top:0;width:595.45pt;height:595.4pt;z-index:-19314688;mso-wrap-distance-left:0;mso-wrap-distance-right:0;mso-position-horizontal-relative:page;mso-position-vertical-relative:page" coordsize="75622,75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">
                <v:shape id="Graphic 30" o:spid="_x0000_s1027" style="position:absolute;left:15;width:67018;height:2286;visibility:visible;mso-wrap-style:square;v-text-anchor:top" coordsize="670179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" path="m6701180,l,,,223519r6517030,5081l6701180,xe" fillcolor="#e6e7e8" stroked="f">
                  <v:path arrowok="t"/>
                </v:shape>
                <v:shape id="Graphic 31" o:spid="_x0000_s1028" style="position:absolute;left:68951;width:6667;height:2286;visibility:visible;mso-wrap-style:square;v-text-anchor:top" coordsize="6667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" path="m666750,l126365,,,228600r666750,l666750,xe" fillcolor="#eb1c22" stroked="f">
                  <v:path arrowok="t"/>
                </v:shape>
                <v:shape id="Graphic 32" o:spid="_x0000_s1029" style="position:absolute;left:66665;width:3302;height:2286;visibility:visible;mso-wrap-style:square;v-text-anchor:top" coordsize="3302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" path="m330200,l126365,,,228600r200660,l330200,xe" fillcolor="#00a650" stroked="f">
                  <v:path arrowok="t"/>
                </v:shape>
                <v:shape id="Graphic 33" o:spid="_x0000_s1030" style="position:absolute;left:64372;width:3302;height:2286;visibility:visible;mso-wrap-style:square;v-text-anchor:top" coordsize="3302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" path="m330200,l126365,,,228600r200659,l330200,xe" fillcolor="#a7a9ac" stroked="f">
                  <v:path arrowok="t"/>
                </v:shape>
                <v:shape id="Graphic 34" o:spid="_x0000_s1031" style="position:absolute;left:4465;top:5593;width:63;height:9893;visibility:visible;mso-wrap-style:square;v-text-anchor:top" coordsize="6350,989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" path="m6108,l,,,172212,,989076r6108,l6108,172212,6108,xe" fillcolor="black" stroked="f">
                  <v:path arrowok="t"/>
                </v:shape>
                <v:shape id="Graphic 35" o:spid="_x0000_s1032" style="position:absolute;left:15;width:4515;height:10210;visibility:visible;mso-wrap-style:square;v-text-anchor:top" coordsize="451484,102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" path="m451485,l,,,795654r451485,225425l451485,xe" fillcolor="#cce7d2" stroked="f">
                  <v:path arrowok="t"/>
                </v:shape>
                <v:shape id="Graphic 36" o:spid="_x0000_s1033" style="position:absolute;left:4530;width:12;height:75603;visibility:visible;mso-wrap-style:square;v-text-anchor:top" coordsize="1270,7560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" path="m,l,7560308e" filled="f" strokecolor="#cce7d2" strokeweight="1pt">
                  <v:path arrowok="t"/>
                </v:shape>
                <v:shape id="Graphic 37" o:spid="_x0000_s1034" style="position:absolute;left:15;top:64490;width:4515;height:11106;visibility:visible;mso-wrap-style:square;v-text-anchor:top" coordsize="451484,1110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" path="m451485,l,260350r,850267l451485,1110617,451485,xe" fillcolor="#fad2c1" stroked="f">
                  <v:path arrowok="t"/>
                </v:shape>
                <v:shape id="Graphic 38" o:spid="_x0000_s1035" style="position:absolute;left:15;top:64490;width:4515;height:11106;visibility:visible;mso-wrap-style:square;v-text-anchor:top" coordsize="451484,1110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" path="m451486,r,1110612l,1110612,,260350,451486,e" filled="f" strokecolor="#fad2c1" strokeweight=".08475mm">
                  <v:path arrowok="t"/>
                </v:shape>
                <v:shape id="Graphic 39" o:spid="_x0000_s1036" style="position:absolute;left:4530;width:12;height:75603;visibility:visible;mso-wrap-style:square;v-text-anchor:top" coordsize="1270,7560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" path="m,l,7560308e" filled="f" strokecolor="#fad2c1" strokeweight="1pt">
                  <v:path arrowok="t"/>
                </v:shape>
                <w10:wrap anchorx="page" anchory="page"/>
              </v:group>
            </w:pict>
          </mc:Fallback>
        </mc:AlternateContent>
      </w:r>
      <w:r>
        <w:rPr>
          <w:b/>
          <w:noProof/>
          <w:sz w:val="20"/>
        </w:rPr>
        <mc:AlternateContent>
          <mc:Choice Requires="wps">
            <w:drawing>
              <wp:anchor distT="0" distB="0" distL="0" distR="0" simplePos="0" relativeHeight="15733248" behindDoc="0" locked="0" layoutInCell="1" allowOverlap="1" wp14:anchorId="22CE417D" wp14:editId="5DB30F55">
                <wp:simplePos x="0" y="0"/>
                <wp:positionH relativeFrom="page">
                  <wp:posOffset>10462894</wp:posOffset>
                </wp:positionH>
                <wp:positionV relativeFrom="page">
                  <wp:posOffset>0</wp:posOffset>
                </wp:positionV>
                <wp:extent cx="228600" cy="2691765"/>
                <wp:effectExtent l="0" t="0" r="0" b="0"/>
                <wp:wrapNone/>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691765"/>
                        </a:xfrm>
                        <a:custGeom>
                          <a:avLst/>
                          <a:gdLst/>
                          <a:ahLst/>
                          <a:cxnLst/>
                          <a:rect l="l" t="t" r="r" b="b"/>
                          <a:pathLst>
                            <a:path w="228600" h="2691765">
                              <a:moveTo>
                                <a:pt x="228600" y="0"/>
                              </a:moveTo>
                              <a:lnTo>
                                <a:pt x="1904" y="0"/>
                              </a:lnTo>
                              <a:lnTo>
                                <a:pt x="0" y="2507487"/>
                              </a:lnTo>
                              <a:lnTo>
                                <a:pt x="228600" y="2691637"/>
                              </a:lnTo>
                              <a:lnTo>
                                <a:pt x="228600" y="0"/>
                              </a:lnTo>
                              <a:close/>
                            </a:path>
                          </a:pathLst>
                        </a:custGeom>
                        <a:solidFill>
                          <a:srgbClr val="E6E7E8"/>
                        </a:solidFill>
                      </wps:spPr>
                      <wps:bodyPr wrap="square" lIns="0" tIns="0" rIns="0" bIns="0" rtlCol="0">
                        <a:prstTxWarp prst="textNoShape">
                          <a:avLst/>
                        </a:prstTxWarp>
                        <a:noAutofit/>
                      </wps:bodyPr>
                    </wps:wsp>
                  </a:graphicData>
                </a:graphic>
              </wp:anchor>
            </w:drawing>
          </mc:Choice>
          <mc:Fallback>
            <w:pict>
              <v:shape w14:anchorId="7144B63D" id="Graphic 40" o:spid="_x0000_s1026" style="position:absolute;margin-left:823.85pt;margin-top:0;width:18pt;height:211.95pt;z-index:15733248;visibility:visible;mso-wrap-style:square;mso-wrap-distance-left:0;mso-wrap-distance-top:0;mso-wrap-distance-right:0;mso-wrap-distance-bottom:0;mso-position-horizontal:absolute;mso-position-horizontal-relative:page;mso-position-vertical:absolute;mso-position-vertical-relative:page;v-text-anchor:top" coordsize="228600,2691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" path="m228600,l1904,,,2507487r228600,184150l228600,xe" fillcolor="#e6e7e8" stroked="f">
                <v:path arrowok="t"/>
                <w10:wrap anchorx="page" anchory="page"/>
              </v:shape>
            </w:pict>
          </mc:Fallback>
        </mc:AlternateContent>
      </w:r>
      <w:r>
        <w:rPr>
          <w:b/>
          <w:noProof/>
          <w:sz w:val="20"/>
        </w:rPr>
        <mc:AlternateContent>
          <mc:Choice Requires="wps">
            <w:drawing>
              <wp:anchor distT="0" distB="0" distL="0" distR="0" simplePos="0" relativeHeight="15733760" behindDoc="0" locked="0" layoutInCell="1" allowOverlap="1" wp14:anchorId="39600F30" wp14:editId="35338013">
                <wp:simplePos x="0" y="0"/>
                <wp:positionH relativeFrom="page">
                  <wp:posOffset>10462894</wp:posOffset>
                </wp:positionH>
                <wp:positionV relativeFrom="page">
                  <wp:posOffset>2883534</wp:posOffset>
                </wp:positionV>
                <wp:extent cx="228600" cy="666115"/>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666115"/>
                        </a:xfrm>
                        <a:custGeom>
                          <a:avLst/>
                          <a:gdLst/>
                          <a:ahLst/>
                          <a:cxnLst/>
                          <a:rect l="l" t="t" r="r" b="b"/>
                          <a:pathLst>
                            <a:path w="228600" h="666115">
                              <a:moveTo>
                                <a:pt x="0" y="0"/>
                              </a:moveTo>
                              <a:lnTo>
                                <a:pt x="0" y="666114"/>
                              </a:lnTo>
                              <a:lnTo>
                                <a:pt x="228600" y="666114"/>
                              </a:lnTo>
                              <a:lnTo>
                                <a:pt x="228600" y="126364"/>
                              </a:lnTo>
                              <a:lnTo>
                                <a:pt x="0" y="0"/>
                              </a:lnTo>
                              <a:close/>
                            </a:path>
                          </a:pathLst>
                        </a:custGeom>
                        <a:solidFill>
                          <a:srgbClr val="EB1C22"/>
                        </a:solidFill>
                      </wps:spPr>
                      <wps:bodyPr wrap="square" lIns="0" tIns="0" rIns="0" bIns="0" rtlCol="0">
                        <a:prstTxWarp prst="textNoShape">
                          <a:avLst/>
                        </a:prstTxWarp>
                        <a:noAutofit/>
                      </wps:bodyPr>
                    </wps:wsp>
                  </a:graphicData>
                </a:graphic>
              </wp:anchor>
            </w:drawing>
          </mc:Choice>
          <mc:Fallback>
            <w:pict>
              <v:shape w14:anchorId="58CF55D8" id="Graphic 41" o:spid="_x0000_s1026" style="position:absolute;margin-left:823.85pt;margin-top:227.05pt;width:18pt;height:52.45pt;z-index:15733760;visibility:visible;mso-wrap-style:square;mso-wrap-distance-left:0;mso-wrap-distance-top:0;mso-wrap-distance-right:0;mso-wrap-distance-bottom:0;mso-position-horizontal:absolute;mso-position-horizontal-relative:page;mso-position-vertical:absolute;mso-position-vertical-relative:page;v-text-anchor:top" coordsize="228600,666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" path="m,l,666114r228600,l228600,126364,,xe" fillcolor="#eb1c22" stroked="f">
                <v:path arrowok="t"/>
                <w10:wrap anchorx="page" anchory="page"/>
              </v:shape>
            </w:pict>
          </mc:Fallback>
        </mc:AlternateContent>
      </w:r>
      <w:r>
        <w:rPr>
          <w:b/>
          <w:noProof/>
          <w:sz w:val="20"/>
        </w:rPr>
        <mc:AlternateContent>
          <mc:Choice Requires="wps">
            <w:drawing>
              <wp:anchor distT="0" distB="0" distL="0" distR="0" simplePos="0" relativeHeight="15734272" behindDoc="0" locked="0" layoutInCell="1" allowOverlap="1" wp14:anchorId="13C5385D" wp14:editId="10100B00">
                <wp:simplePos x="0" y="0"/>
                <wp:positionH relativeFrom="page">
                  <wp:posOffset>221067</wp:posOffset>
                </wp:positionH>
                <wp:positionV relativeFrom="page">
                  <wp:posOffset>520953</wp:posOffset>
                </wp:positionV>
                <wp:extent cx="172085" cy="167640"/>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085" cy="167640"/>
                        </a:xfrm>
                        <a:prstGeom prst="rect">
                          <a:avLst/>
                        </a:prstGeom>
                      </wps:spPr>
                      <wps:txbx>
                        <w:txbxContent>
                          <w:p w14:paraId="6ADEE834" w14:textId="77777777" w:rsidR="00BB77C0" w:rsidRDefault="00370BAA">
                            <w:pPr>
                              <w:spacing w:line="253" w:lineRule="exact"/>
                              <w:ind w:left="20"/>
                              <w:rPr>
                                <w:rFonts w:ascii="Corbel"/>
                                <w:sz w:val="23"/>
                              </w:rPr>
                            </w:pPr>
                            <w:r>
                              <w:rPr>
                                <w:rFonts w:ascii="Corbel"/>
                                <w:color w:val="211F1F"/>
                                <w:spacing w:val="-5"/>
                                <w:sz w:val="23"/>
                              </w:rPr>
                              <w:t>25</w:t>
                            </w:r>
                          </w:p>
                        </w:txbxContent>
                      </wps:txbx>
                      <wps:bodyPr vert="vert" wrap="square" lIns="0" tIns="0" rIns="0" bIns="0" rtlCol="0">
                        <a:noAutofit/>
                      </wps:bodyPr>
                    </wps:wsp>
                  </a:graphicData>
                </a:graphic>
              </wp:anchor>
            </w:drawing>
          </mc:Choice>
          <mc:Fallback>
            <w:pict>
              <v:shape w14:anchorId="13C5385D" id="Textbox 42" o:spid="_x0000_s1035" type="#_x0000_t202" style="position:absolute;margin-left:17.4pt;margin-top:41pt;width:13.55pt;height:13.2pt;z-index:15734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" filled="f" stroked="f">
                <v:textbox style="layout-flow:vertical" inset="0,0,0,0">
                  <w:txbxContent>
                    <w:p w14:paraId="6ADEE834" w14:textId="77777777" w:rsidR="00BB77C0" w:rsidRDefault="00370BAA">
                      <w:pPr>
                        <w:spacing w:line="253" w:lineRule="exact"/>
                        <w:ind w:left="20"/>
                        <w:rPr>
                          <w:rFonts w:ascii="Corbel"/>
                          <w:sz w:val="23"/>
                        </w:rPr>
                      </w:pPr>
                      <w:r>
                        <w:rPr>
                          <w:rFonts w:ascii="Corbel"/>
                          <w:color w:val="211F1F"/>
                          <w:spacing w:val="-5"/>
                          <w:sz w:val="23"/>
                        </w:rPr>
                        <w:t>25</w:t>
                      </w:r>
                    </w:p>
                  </w:txbxContent>
                </v:textbox>
                <w10:wrap anchorx="page" anchory="page"/>
              </v:shape>
            </w:pict>
          </mc:Fallback>
        </mc:AlternateContent>
      </w:r>
      <w:r>
        <w:rPr>
          <w:b/>
          <w:noProof/>
          <w:sz w:val="20"/>
        </w:rPr>
        <mc:AlternateContent>
          <mc:Choice Requires="wps">
            <w:drawing>
              <wp:anchor distT="0" distB="0" distL="0" distR="0" simplePos="0" relativeHeight="15734784" behindDoc="0" locked="0" layoutInCell="1" allowOverlap="1" wp14:anchorId="5282AFDA" wp14:editId="7AA12884">
                <wp:simplePos x="0" y="0"/>
                <wp:positionH relativeFrom="page">
                  <wp:posOffset>221067</wp:posOffset>
                </wp:positionH>
                <wp:positionV relativeFrom="page">
                  <wp:posOffset>6872427</wp:posOffset>
                </wp:positionV>
                <wp:extent cx="172085" cy="173990"/>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085" cy="173990"/>
                        </a:xfrm>
                        <a:prstGeom prst="rect">
                          <a:avLst/>
                        </a:prstGeom>
                      </wps:spPr>
                      <wps:txbx>
                        <w:txbxContent>
                          <w:p w14:paraId="1893C256" w14:textId="77777777" w:rsidR="00BB77C0" w:rsidRDefault="00370BAA">
                            <w:pPr>
                              <w:spacing w:line="253" w:lineRule="exact"/>
                              <w:ind w:left="20"/>
                              <w:rPr>
                                <w:rFonts w:ascii="Corbel"/>
                                <w:sz w:val="23"/>
                              </w:rPr>
                            </w:pPr>
                            <w:r>
                              <w:rPr>
                                <w:rFonts w:ascii="Corbel"/>
                                <w:color w:val="211F1F"/>
                                <w:spacing w:val="-5"/>
                                <w:sz w:val="23"/>
                              </w:rPr>
                              <w:t>26</w:t>
                            </w:r>
                          </w:p>
                        </w:txbxContent>
                      </wps:txbx>
                      <wps:bodyPr vert="vert" wrap="square" lIns="0" tIns="0" rIns="0" bIns="0" rtlCol="0">
                        <a:noAutofit/>
                      </wps:bodyPr>
                    </wps:wsp>
                  </a:graphicData>
                </a:graphic>
              </wp:anchor>
            </w:drawing>
          </mc:Choice>
          <mc:Fallback>
            <w:pict>
              <v:shape w14:anchorId="5282AFDA" id="Textbox 43" o:spid="_x0000_s1036" type="#_x0000_t202" style="position:absolute;margin-left:17.4pt;margin-top:541.15pt;width:13.55pt;height:13.7pt;z-index:15734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" filled="f" stroked="f">
                <v:textbox style="layout-flow:vertical" inset="0,0,0,0">
                  <w:txbxContent>
                    <w:p w14:paraId="1893C256" w14:textId="77777777" w:rsidR="00BB77C0" w:rsidRDefault="00370BAA">
                      <w:pPr>
                        <w:spacing w:line="253" w:lineRule="exact"/>
                        <w:ind w:left="20"/>
                        <w:rPr>
                          <w:rFonts w:ascii="Corbel"/>
                          <w:sz w:val="23"/>
                        </w:rPr>
                      </w:pPr>
                      <w:r>
                        <w:rPr>
                          <w:rFonts w:ascii="Corbel"/>
                          <w:color w:val="211F1F"/>
                          <w:spacing w:val="-5"/>
                          <w:sz w:val="23"/>
                        </w:rPr>
                        <w:t>26</w:t>
                      </w:r>
                    </w:p>
                  </w:txbxContent>
                </v:textbox>
                <w10:wrap anchorx="page" anchory="page"/>
              </v:shape>
            </w:pict>
          </mc:Fallback>
        </mc:AlternateContent>
      </w:r>
    </w:p>
    <w:p w14:paraId="21137A8A" w14:textId="77777777" w:rsidR="00BB77C0" w:rsidRDefault="00BB77C0">
      <w:pPr>
        <w:pStyle w:val="BodyText"/>
        <w:rPr>
          <w:b/>
          <w:sz w:val="20"/>
        </w:rPr>
      </w:pPr>
    </w:p>
    <w:p w14:paraId="0350C572" w14:textId="77777777" w:rsidR="00BB77C0" w:rsidRDefault="00BB77C0">
      <w:pPr>
        <w:pStyle w:val="BodyText"/>
        <w:spacing w:before="160" w:after="1"/>
        <w:rPr>
          <w:b/>
          <w:sz w:val="20"/>
        </w:rPr>
      </w:pPr>
    </w:p>
    <w:tbl>
      <w:tblPr>
        <w:tblW w:w="0" w:type="auto"/>
        <w:tblInd w:w="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1"/>
        <w:gridCol w:w="2554"/>
        <w:gridCol w:w="5526"/>
        <w:gridCol w:w="2981"/>
        <w:gridCol w:w="2549"/>
      </w:tblGrid>
      <w:tr w:rsidR="00BB77C0" w14:paraId="127E257E" w14:textId="77777777">
        <w:trPr>
          <w:trHeight w:val="254"/>
        </w:trPr>
        <w:tc>
          <w:tcPr>
            <w:tcW w:w="711" w:type="dxa"/>
            <w:tcBorders>
              <w:left w:val="nil"/>
            </w:tcBorders>
          </w:tcPr>
          <w:p w14:paraId="4CB35A90" w14:textId="77777777" w:rsidR="00BB77C0" w:rsidRDefault="00370BAA">
            <w:pPr>
              <w:pStyle w:val="TableParagraph"/>
              <w:spacing w:line="234" w:lineRule="exact"/>
              <w:ind w:left="125"/>
              <w:rPr>
                <w:b/>
              </w:rPr>
            </w:pPr>
            <w:r>
              <w:rPr>
                <w:b/>
                <w:spacing w:val="-10"/>
              </w:rPr>
              <w:t>1</w:t>
            </w:r>
          </w:p>
        </w:tc>
        <w:tc>
          <w:tcPr>
            <w:tcW w:w="2554" w:type="dxa"/>
          </w:tcPr>
          <w:p w14:paraId="17A63057" w14:textId="77777777" w:rsidR="00BB77C0" w:rsidRDefault="00370BAA">
            <w:pPr>
              <w:pStyle w:val="TableParagraph"/>
              <w:spacing w:line="234" w:lineRule="exact"/>
              <w:ind w:left="110"/>
              <w:rPr>
                <w:b/>
              </w:rPr>
            </w:pPr>
            <w:r>
              <w:rPr>
                <w:b/>
                <w:spacing w:val="-10"/>
              </w:rPr>
              <w:t>2</w:t>
            </w:r>
          </w:p>
        </w:tc>
        <w:tc>
          <w:tcPr>
            <w:tcW w:w="5526" w:type="dxa"/>
          </w:tcPr>
          <w:p w14:paraId="5D9944E8" w14:textId="77777777" w:rsidR="00BB77C0" w:rsidRDefault="00370BAA">
            <w:pPr>
              <w:pStyle w:val="TableParagraph"/>
              <w:spacing w:line="234" w:lineRule="exact"/>
              <w:ind w:left="110"/>
              <w:rPr>
                <w:b/>
              </w:rPr>
            </w:pPr>
            <w:r>
              <w:rPr>
                <w:b/>
                <w:spacing w:val="-10"/>
              </w:rPr>
              <w:t>3</w:t>
            </w:r>
          </w:p>
        </w:tc>
        <w:tc>
          <w:tcPr>
            <w:tcW w:w="2981" w:type="dxa"/>
          </w:tcPr>
          <w:p w14:paraId="5BF5672C" w14:textId="77777777" w:rsidR="00BB77C0" w:rsidRDefault="00370BAA">
            <w:pPr>
              <w:pStyle w:val="TableParagraph"/>
              <w:spacing w:line="234" w:lineRule="exact"/>
              <w:ind w:left="110"/>
              <w:rPr>
                <w:b/>
                <w:i/>
              </w:rPr>
            </w:pPr>
            <w:r>
              <w:rPr>
                <w:b/>
                <w:i/>
                <w:spacing w:val="-10"/>
              </w:rPr>
              <w:t>4</w:t>
            </w:r>
          </w:p>
        </w:tc>
        <w:tc>
          <w:tcPr>
            <w:tcW w:w="2549" w:type="dxa"/>
          </w:tcPr>
          <w:p w14:paraId="7083FC97" w14:textId="77777777" w:rsidR="00BB77C0" w:rsidRDefault="00370BAA">
            <w:pPr>
              <w:pStyle w:val="TableParagraph"/>
              <w:spacing w:line="234" w:lineRule="exact"/>
              <w:ind w:left="111"/>
              <w:rPr>
                <w:b/>
                <w:i/>
              </w:rPr>
            </w:pPr>
            <w:r>
              <w:rPr>
                <w:b/>
                <w:i/>
                <w:spacing w:val="-10"/>
              </w:rPr>
              <w:t>5</w:t>
            </w:r>
          </w:p>
        </w:tc>
      </w:tr>
      <w:tr w:rsidR="00BB77C0" w14:paraId="15AEA796" w14:textId="77777777">
        <w:trPr>
          <w:trHeight w:val="758"/>
        </w:trPr>
        <w:tc>
          <w:tcPr>
            <w:tcW w:w="711" w:type="dxa"/>
            <w:tcBorders>
              <w:left w:val="nil"/>
            </w:tcBorders>
          </w:tcPr>
          <w:p w14:paraId="0C711756" w14:textId="77777777" w:rsidR="00BB77C0" w:rsidRDefault="00370BAA">
            <w:pPr>
              <w:pStyle w:val="TableParagraph"/>
              <w:spacing w:line="242" w:lineRule="auto"/>
              <w:ind w:left="125" w:right="145"/>
              <w:rPr>
                <w:b/>
              </w:rPr>
            </w:pPr>
            <w:r>
              <w:rPr>
                <w:b/>
                <w:spacing w:val="-6"/>
              </w:rPr>
              <w:t xml:space="preserve">Item </w:t>
            </w:r>
            <w:r>
              <w:rPr>
                <w:b/>
                <w:spacing w:val="-4"/>
              </w:rPr>
              <w:t>No.</w:t>
            </w:r>
          </w:p>
        </w:tc>
        <w:tc>
          <w:tcPr>
            <w:tcW w:w="2554" w:type="dxa"/>
          </w:tcPr>
          <w:p w14:paraId="6998F96F" w14:textId="77777777" w:rsidR="00BB77C0" w:rsidRDefault="00370BAA">
            <w:pPr>
              <w:pStyle w:val="TableParagraph"/>
              <w:spacing w:line="249" w:lineRule="exact"/>
              <w:ind w:left="110"/>
              <w:rPr>
                <w:b/>
              </w:rPr>
            </w:pPr>
            <w:r>
              <w:rPr>
                <w:b/>
                <w:spacing w:val="-2"/>
              </w:rPr>
              <w:t>Qualification</w:t>
            </w:r>
            <w:r>
              <w:rPr>
                <w:b/>
                <w:spacing w:val="4"/>
              </w:rPr>
              <w:t xml:space="preserve"> </w:t>
            </w:r>
            <w:r>
              <w:rPr>
                <w:b/>
                <w:spacing w:val="-2"/>
              </w:rPr>
              <w:t>Subject</w:t>
            </w:r>
          </w:p>
        </w:tc>
        <w:tc>
          <w:tcPr>
            <w:tcW w:w="5526" w:type="dxa"/>
          </w:tcPr>
          <w:p w14:paraId="2CA60432" w14:textId="77777777" w:rsidR="00BB77C0" w:rsidRDefault="00370BAA">
            <w:pPr>
              <w:pStyle w:val="TableParagraph"/>
              <w:spacing w:line="249" w:lineRule="exact"/>
              <w:ind w:left="110"/>
              <w:rPr>
                <w:b/>
              </w:rPr>
            </w:pPr>
            <w:r>
              <w:rPr>
                <w:b/>
                <w:spacing w:val="-2"/>
              </w:rPr>
              <w:t>Qualification</w:t>
            </w:r>
            <w:r>
              <w:rPr>
                <w:b/>
                <w:spacing w:val="3"/>
              </w:rPr>
              <w:t xml:space="preserve"> </w:t>
            </w:r>
            <w:r>
              <w:rPr>
                <w:b/>
                <w:spacing w:val="-2"/>
              </w:rPr>
              <w:t>Requirement</w:t>
            </w:r>
          </w:p>
        </w:tc>
        <w:tc>
          <w:tcPr>
            <w:tcW w:w="2981" w:type="dxa"/>
          </w:tcPr>
          <w:p w14:paraId="77FBC914" w14:textId="77777777" w:rsidR="00BB77C0" w:rsidRDefault="00370BAA">
            <w:pPr>
              <w:pStyle w:val="TableParagraph"/>
              <w:spacing w:line="242" w:lineRule="auto"/>
              <w:ind w:left="110" w:right="228"/>
              <w:rPr>
                <w:b/>
                <w:i/>
              </w:rPr>
            </w:pPr>
            <w:r>
              <w:rPr>
                <w:b/>
                <w:i/>
                <w:spacing w:val="-2"/>
              </w:rPr>
              <w:t>Document</w:t>
            </w:r>
            <w:r>
              <w:rPr>
                <w:b/>
                <w:i/>
                <w:spacing w:val="-11"/>
              </w:rPr>
              <w:t xml:space="preserve"> </w:t>
            </w:r>
            <w:r>
              <w:rPr>
                <w:b/>
                <w:i/>
                <w:spacing w:val="-2"/>
              </w:rPr>
              <w:t>To</w:t>
            </w:r>
            <w:r>
              <w:rPr>
                <w:b/>
                <w:i/>
                <w:spacing w:val="-12"/>
              </w:rPr>
              <w:t xml:space="preserve"> </w:t>
            </w:r>
            <w:r>
              <w:rPr>
                <w:b/>
                <w:i/>
                <w:spacing w:val="-2"/>
              </w:rPr>
              <w:t>be</w:t>
            </w:r>
            <w:r>
              <w:rPr>
                <w:b/>
                <w:i/>
                <w:spacing w:val="-14"/>
              </w:rPr>
              <w:t xml:space="preserve"> </w:t>
            </w:r>
            <w:r>
              <w:rPr>
                <w:b/>
                <w:i/>
                <w:spacing w:val="-2"/>
              </w:rPr>
              <w:t xml:space="preserve">Completed </w:t>
            </w:r>
            <w:r>
              <w:rPr>
                <w:b/>
                <w:i/>
              </w:rPr>
              <w:t>by Tenderer</w:t>
            </w:r>
          </w:p>
        </w:tc>
        <w:tc>
          <w:tcPr>
            <w:tcW w:w="2549" w:type="dxa"/>
          </w:tcPr>
          <w:p w14:paraId="115DF915" w14:textId="77777777" w:rsidR="00BB77C0" w:rsidRDefault="00370BAA">
            <w:pPr>
              <w:pStyle w:val="TableParagraph"/>
              <w:spacing w:line="249" w:lineRule="exact"/>
              <w:ind w:left="111"/>
              <w:rPr>
                <w:b/>
                <w:i/>
              </w:rPr>
            </w:pPr>
            <w:r>
              <w:rPr>
                <w:b/>
                <w:i/>
              </w:rPr>
              <w:t>For</w:t>
            </w:r>
            <w:r>
              <w:rPr>
                <w:b/>
                <w:i/>
                <w:spacing w:val="-6"/>
              </w:rPr>
              <w:t xml:space="preserve"> </w:t>
            </w:r>
            <w:r>
              <w:rPr>
                <w:b/>
                <w:i/>
              </w:rPr>
              <w:t>Procuring</w:t>
            </w:r>
            <w:r>
              <w:rPr>
                <w:b/>
                <w:i/>
                <w:spacing w:val="-6"/>
              </w:rPr>
              <w:t xml:space="preserve"> </w:t>
            </w:r>
            <w:r>
              <w:rPr>
                <w:b/>
                <w:i/>
                <w:spacing w:val="-2"/>
              </w:rPr>
              <w:t>Entity’s</w:t>
            </w:r>
          </w:p>
          <w:p w14:paraId="5D2954FF" w14:textId="77777777" w:rsidR="00BB77C0" w:rsidRDefault="00370BAA">
            <w:pPr>
              <w:pStyle w:val="TableParagraph"/>
              <w:spacing w:line="250" w:lineRule="exact"/>
              <w:ind w:left="111"/>
              <w:rPr>
                <w:b/>
                <w:i/>
              </w:rPr>
            </w:pPr>
            <w:r>
              <w:rPr>
                <w:b/>
                <w:i/>
                <w:spacing w:val="-2"/>
              </w:rPr>
              <w:t>Use</w:t>
            </w:r>
            <w:r>
              <w:rPr>
                <w:b/>
                <w:i/>
                <w:spacing w:val="-8"/>
              </w:rPr>
              <w:t xml:space="preserve"> </w:t>
            </w:r>
            <w:r>
              <w:rPr>
                <w:b/>
                <w:i/>
                <w:spacing w:val="-2"/>
              </w:rPr>
              <w:t>(Qualification</w:t>
            </w:r>
            <w:r>
              <w:rPr>
                <w:b/>
                <w:i/>
                <w:spacing w:val="-13"/>
              </w:rPr>
              <w:t xml:space="preserve"> </w:t>
            </w:r>
            <w:r>
              <w:rPr>
                <w:b/>
                <w:i/>
                <w:spacing w:val="-2"/>
              </w:rPr>
              <w:t>met</w:t>
            </w:r>
            <w:r>
              <w:rPr>
                <w:b/>
                <w:i/>
                <w:spacing w:val="-10"/>
              </w:rPr>
              <w:t xml:space="preserve"> </w:t>
            </w:r>
            <w:r>
              <w:rPr>
                <w:b/>
                <w:i/>
                <w:spacing w:val="-2"/>
              </w:rPr>
              <w:t xml:space="preserve">or </w:t>
            </w:r>
            <w:r>
              <w:rPr>
                <w:b/>
                <w:i/>
              </w:rPr>
              <w:t>Not Met)</w:t>
            </w:r>
          </w:p>
        </w:tc>
      </w:tr>
      <w:tr w:rsidR="00BB77C0" w14:paraId="17900F8D" w14:textId="77777777">
        <w:trPr>
          <w:trHeight w:val="508"/>
        </w:trPr>
        <w:tc>
          <w:tcPr>
            <w:tcW w:w="711" w:type="dxa"/>
            <w:tcBorders>
              <w:left w:val="nil"/>
            </w:tcBorders>
          </w:tcPr>
          <w:p w14:paraId="685FDD03" w14:textId="77777777" w:rsidR="00BB77C0" w:rsidRDefault="00BB77C0">
            <w:pPr>
              <w:pStyle w:val="TableParagraph"/>
            </w:pPr>
          </w:p>
        </w:tc>
        <w:tc>
          <w:tcPr>
            <w:tcW w:w="2554" w:type="dxa"/>
          </w:tcPr>
          <w:p w14:paraId="40AEACC8" w14:textId="77777777" w:rsidR="00BB77C0" w:rsidRDefault="00BB77C0">
            <w:pPr>
              <w:pStyle w:val="TableParagraph"/>
            </w:pPr>
          </w:p>
        </w:tc>
        <w:tc>
          <w:tcPr>
            <w:tcW w:w="5526" w:type="dxa"/>
          </w:tcPr>
          <w:p w14:paraId="082755B1" w14:textId="77777777" w:rsidR="00BB77C0" w:rsidRDefault="00370BAA">
            <w:pPr>
              <w:pStyle w:val="TableParagraph"/>
              <w:spacing w:line="250" w:lineRule="exact"/>
              <w:ind w:left="110"/>
              <w:rPr>
                <w:i/>
              </w:rPr>
            </w:pPr>
            <w:r>
              <w:rPr>
                <w:i/>
              </w:rPr>
              <w:t>be</w:t>
            </w:r>
            <w:r>
              <w:rPr>
                <w:i/>
                <w:spacing w:val="-10"/>
              </w:rPr>
              <w:t xml:space="preserve"> </w:t>
            </w:r>
            <w:r>
              <w:rPr>
                <w:i/>
              </w:rPr>
              <w:t>met</w:t>
            </w:r>
            <w:r>
              <w:rPr>
                <w:i/>
                <w:spacing w:val="-8"/>
              </w:rPr>
              <w:t xml:space="preserve"> </w:t>
            </w:r>
            <w:r>
              <w:rPr>
                <w:i/>
              </w:rPr>
              <w:t>by</w:t>
            </w:r>
            <w:r>
              <w:rPr>
                <w:i/>
                <w:spacing w:val="-11"/>
              </w:rPr>
              <w:t xml:space="preserve"> </w:t>
            </w:r>
            <w:r>
              <w:rPr>
                <w:i/>
              </w:rPr>
              <w:t>specialized</w:t>
            </w:r>
            <w:r>
              <w:rPr>
                <w:i/>
                <w:spacing w:val="-13"/>
              </w:rPr>
              <w:t xml:space="preserve"> </w:t>
            </w:r>
            <w:r>
              <w:rPr>
                <w:i/>
              </w:rPr>
              <w:t>subcontractors,</w:t>
            </w:r>
            <w:r>
              <w:rPr>
                <w:i/>
                <w:spacing w:val="-14"/>
              </w:rPr>
              <w:t xml:space="preserve"> </w:t>
            </w:r>
            <w:r>
              <w:rPr>
                <w:i/>
              </w:rPr>
              <w:t>if</w:t>
            </w:r>
            <w:r>
              <w:rPr>
                <w:i/>
                <w:spacing w:val="-7"/>
              </w:rPr>
              <w:t xml:space="preserve"> </w:t>
            </w:r>
            <w:r>
              <w:rPr>
                <w:i/>
              </w:rPr>
              <w:t>permitted</w:t>
            </w:r>
            <w:r>
              <w:rPr>
                <w:i/>
                <w:spacing w:val="-9"/>
              </w:rPr>
              <w:t xml:space="preserve"> </w:t>
            </w:r>
            <w:r>
              <w:rPr>
                <w:i/>
              </w:rPr>
              <w:t>in accordance with ITT 34.3]</w:t>
            </w:r>
          </w:p>
        </w:tc>
        <w:tc>
          <w:tcPr>
            <w:tcW w:w="2981" w:type="dxa"/>
          </w:tcPr>
          <w:p w14:paraId="680F2364" w14:textId="77777777" w:rsidR="00BB77C0" w:rsidRDefault="00BB77C0">
            <w:pPr>
              <w:pStyle w:val="TableParagraph"/>
            </w:pPr>
          </w:p>
        </w:tc>
        <w:tc>
          <w:tcPr>
            <w:tcW w:w="2549" w:type="dxa"/>
          </w:tcPr>
          <w:p w14:paraId="27CDA718" w14:textId="77777777" w:rsidR="00BB77C0" w:rsidRDefault="00BB77C0">
            <w:pPr>
              <w:pStyle w:val="TableParagraph"/>
            </w:pPr>
          </w:p>
        </w:tc>
      </w:tr>
    </w:tbl>
    <w:p w14:paraId="0CB140CF" w14:textId="77777777" w:rsidR="00BB77C0" w:rsidRDefault="00BB77C0">
      <w:pPr>
        <w:pStyle w:val="TableParagraph"/>
        <w:sectPr w:rsidR="00BB77C0">
          <w:pgSz w:w="16850" w:h="11920" w:orient="landscape"/>
          <w:pgMar w:top="0" w:right="1440" w:bottom="0" w:left="360" w:header="720" w:footer="720" w:gutter="0"/>
          <w:cols w:space="720"/>
        </w:sectPr>
      </w:pPr>
    </w:p>
    <w:p w14:paraId="070FFB9A" w14:textId="77777777" w:rsidR="00BB77C0" w:rsidRDefault="00370BAA">
      <w:pPr>
        <w:pStyle w:val="BodyText"/>
        <w:rPr>
          <w:b/>
          <w:sz w:val="24"/>
        </w:rPr>
      </w:pPr>
      <w:r>
        <w:rPr>
          <w:b/>
          <w:noProof/>
          <w:sz w:val="24"/>
        </w:rPr>
        <w:lastRenderedPageBreak/>
        <mc:AlternateContent>
          <mc:Choice Requires="wpg">
            <w:drawing>
              <wp:anchor distT="0" distB="0" distL="0" distR="0" simplePos="0" relativeHeight="15735296" behindDoc="0" locked="0" layoutInCell="1" allowOverlap="1" wp14:anchorId="139C467E" wp14:editId="6D491109">
                <wp:simplePos x="0" y="0"/>
                <wp:positionH relativeFrom="page">
                  <wp:posOffset>0</wp:posOffset>
                </wp:positionH>
                <wp:positionV relativeFrom="page">
                  <wp:posOffset>10234295</wp:posOffset>
                </wp:positionV>
                <wp:extent cx="7559675" cy="457200"/>
                <wp:effectExtent l="0" t="0" r="0" b="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675" cy="457200"/>
                          <a:chOff x="0" y="0"/>
                          <a:chExt cx="7559675" cy="457200"/>
                        </a:xfrm>
                      </wpg:grpSpPr>
                      <wps:wsp>
                        <wps:cNvPr id="45" name="Graphic 45"/>
                        <wps:cNvSpPr/>
                        <wps:spPr>
                          <a:xfrm>
                            <a:off x="0" y="5714"/>
                            <a:ext cx="1021080" cy="451484"/>
                          </a:xfrm>
                          <a:custGeom>
                            <a:avLst/>
                            <a:gdLst/>
                            <a:ahLst/>
                            <a:cxnLst/>
                            <a:rect l="l" t="t" r="r" b="b"/>
                            <a:pathLst>
                              <a:path w="1021080" h="451484">
                                <a:moveTo>
                                  <a:pt x="1020991" y="0"/>
                                </a:moveTo>
                                <a:lnTo>
                                  <a:pt x="0" y="0"/>
                                </a:lnTo>
                                <a:lnTo>
                                  <a:pt x="0" y="451483"/>
                                </a:lnTo>
                                <a:lnTo>
                                  <a:pt x="795591" y="451483"/>
                                </a:lnTo>
                                <a:lnTo>
                                  <a:pt x="1020991" y="0"/>
                                </a:lnTo>
                                <a:close/>
                              </a:path>
                            </a:pathLst>
                          </a:custGeom>
                          <a:solidFill>
                            <a:srgbClr val="CCE7D2"/>
                          </a:solidFill>
                        </wps:spPr>
                        <wps:bodyPr wrap="square" lIns="0" tIns="0" rIns="0" bIns="0" rtlCol="0">
                          <a:prstTxWarp prst="textNoShape">
                            <a:avLst/>
                          </a:prstTxWarp>
                          <a:noAutofit/>
                        </wps:bodyPr>
                      </wps:wsp>
                      <wps:wsp>
                        <wps:cNvPr id="46" name="Graphic 46"/>
                        <wps:cNvSpPr/>
                        <wps:spPr>
                          <a:xfrm>
                            <a:off x="0" y="6350"/>
                            <a:ext cx="7559675" cy="1270"/>
                          </a:xfrm>
                          <a:custGeom>
                            <a:avLst/>
                            <a:gdLst/>
                            <a:ahLst/>
                            <a:cxnLst/>
                            <a:rect l="l" t="t" r="r" b="b"/>
                            <a:pathLst>
                              <a:path w="7559675">
                                <a:moveTo>
                                  <a:pt x="0" y="0"/>
                                </a:moveTo>
                                <a:lnTo>
                                  <a:pt x="7559675" y="0"/>
                                </a:lnTo>
                              </a:path>
                            </a:pathLst>
                          </a:custGeom>
                          <a:ln w="12700">
                            <a:solidFill>
                              <a:srgbClr val="CCE7D2"/>
                            </a:solidFill>
                            <a:prstDash val="solid"/>
                          </a:ln>
                        </wps:spPr>
                        <wps:bodyPr wrap="square" lIns="0" tIns="0" rIns="0" bIns="0" rtlCol="0">
                          <a:prstTxWarp prst="textNoShape">
                            <a:avLst/>
                          </a:prstTxWarp>
                          <a:noAutofit/>
                        </wps:bodyPr>
                      </wps:wsp>
                      <wps:wsp>
                        <wps:cNvPr id="47" name="Textbox 47"/>
                        <wps:cNvSpPr txBox="1"/>
                        <wps:spPr>
                          <a:xfrm>
                            <a:off x="530656" y="37491"/>
                            <a:ext cx="147320" cy="155575"/>
                          </a:xfrm>
                          <a:prstGeom prst="rect">
                            <a:avLst/>
                          </a:prstGeom>
                        </wps:spPr>
                        <wps:txbx>
                          <w:txbxContent>
                            <w:p w14:paraId="604E5081" w14:textId="77777777" w:rsidR="00BB77C0" w:rsidRDefault="00370BAA">
                              <w:pPr>
                                <w:spacing w:line="244" w:lineRule="exact"/>
                              </w:pPr>
                              <w:r>
                                <w:rPr>
                                  <w:spacing w:val="-5"/>
                                </w:rPr>
                                <w:t>64</w:t>
                              </w:r>
                            </w:p>
                          </w:txbxContent>
                        </wps:txbx>
                        <wps:bodyPr wrap="square" lIns="0" tIns="0" rIns="0" bIns="0" rtlCol="0">
                          <a:noAutofit/>
                        </wps:bodyPr>
                      </wps:wsp>
                    </wpg:wgp>
                  </a:graphicData>
                </a:graphic>
              </wp:anchor>
            </w:drawing>
          </mc:Choice>
          <mc:Fallback>
            <w:pict>
              <v:group w14:anchorId="139C467E" id="Group 44" o:spid="_x0000_s1037" style="position:absolute;margin-left:0;margin-top:805.85pt;width:595.25pt;height:36pt;z-index:15735296;mso-wrap-distance-left:0;mso-wrap-distance-right:0;mso-position-horizontal-relative:page;mso-position-vertical-relative:page" coordsize="75596,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">
                <v:shape id="Graphic 45" o:spid="_x0000_s1038" style="position:absolute;top:57;width:10210;height:4514;visibility:visible;mso-wrap-style:square;v-text-anchor:top" coordsize="1021080,4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" path="m1020991,l,,,451483r795591,l1020991,xe" fillcolor="#cce7d2" stroked="f">
                  <v:path arrowok="t"/>
                </v:shape>
                <v:shape id="Graphic 46" o:spid="_x0000_s1039" style="position:absolute;top:63;width:75596;height:13;visibility:visible;mso-wrap-style:square;v-text-anchor:top" coordsize="75596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" path="m,l7559675,e" filled="f" strokecolor="#cce7d2" strokeweight="1pt">
                  <v:path arrowok="t"/>
                </v:shape>
                <v:shape id="Textbox 47" o:spid="_x0000_s1040" type="#_x0000_t202" style="position:absolute;left:5306;top:374;width:1473;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604E5081" w14:textId="77777777" w:rsidR="00BB77C0" w:rsidRDefault="00370BAA">
                        <w:pPr>
                          <w:spacing w:line="244" w:lineRule="exact"/>
                        </w:pPr>
                        <w:r>
                          <w:rPr>
                            <w:spacing w:val="-5"/>
                          </w:rPr>
                          <w:t>64</w:t>
                        </w:r>
                      </w:p>
                    </w:txbxContent>
                  </v:textbox>
                </v:shape>
                <w10:wrap anchorx="page" anchory="page"/>
              </v:group>
            </w:pict>
          </mc:Fallback>
        </mc:AlternateContent>
      </w:r>
      <w:r>
        <w:rPr>
          <w:b/>
          <w:noProof/>
          <w:sz w:val="24"/>
        </w:rPr>
        <mc:AlternateContent>
          <mc:Choice Requires="wpg">
            <w:drawing>
              <wp:anchor distT="0" distB="0" distL="0" distR="0" simplePos="0" relativeHeight="484004864" behindDoc="1" locked="0" layoutInCell="1" allowOverlap="1" wp14:anchorId="271F6821" wp14:editId="7AEA7627">
                <wp:simplePos x="0" y="0"/>
                <wp:positionH relativeFrom="page">
                  <wp:posOffset>0</wp:posOffset>
                </wp:positionH>
                <wp:positionV relativeFrom="page">
                  <wp:posOffset>762</wp:posOffset>
                </wp:positionV>
                <wp:extent cx="7559675" cy="7559675"/>
                <wp:effectExtent l="0" t="0" r="0" b="0"/>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675" cy="7559675"/>
                          <a:chOff x="0" y="0"/>
                          <a:chExt cx="7559675" cy="7559675"/>
                        </a:xfrm>
                      </wpg:grpSpPr>
                      <wps:wsp>
                        <wps:cNvPr id="49" name="Graphic 49"/>
                        <wps:cNvSpPr/>
                        <wps:spPr>
                          <a:xfrm>
                            <a:off x="848283" y="0"/>
                            <a:ext cx="6711950" cy="228600"/>
                          </a:xfrm>
                          <a:custGeom>
                            <a:avLst/>
                            <a:gdLst/>
                            <a:ahLst/>
                            <a:cxnLst/>
                            <a:rect l="l" t="t" r="r" b="b"/>
                            <a:pathLst>
                              <a:path w="6711950" h="228600">
                                <a:moveTo>
                                  <a:pt x="6711391" y="0"/>
                                </a:moveTo>
                                <a:lnTo>
                                  <a:pt x="0" y="0"/>
                                </a:lnTo>
                                <a:lnTo>
                                  <a:pt x="184137" y="228600"/>
                                </a:lnTo>
                                <a:lnTo>
                                  <a:pt x="6711391" y="223520"/>
                                </a:lnTo>
                                <a:lnTo>
                                  <a:pt x="6711391" y="0"/>
                                </a:lnTo>
                                <a:close/>
                              </a:path>
                            </a:pathLst>
                          </a:custGeom>
                          <a:solidFill>
                            <a:srgbClr val="E6E7E8"/>
                          </a:solidFill>
                        </wps:spPr>
                        <wps:bodyPr wrap="square" lIns="0" tIns="0" rIns="0" bIns="0" rtlCol="0">
                          <a:prstTxWarp prst="textNoShape">
                            <a:avLst/>
                          </a:prstTxWarp>
                          <a:noAutofit/>
                        </wps:bodyPr>
                      </wps:wsp>
                      <wps:wsp>
                        <wps:cNvPr id="50" name="Graphic 50"/>
                        <wps:cNvSpPr/>
                        <wps:spPr>
                          <a:xfrm>
                            <a:off x="0" y="0"/>
                            <a:ext cx="655955" cy="228600"/>
                          </a:xfrm>
                          <a:custGeom>
                            <a:avLst/>
                            <a:gdLst/>
                            <a:ahLst/>
                            <a:cxnLst/>
                            <a:rect l="l" t="t" r="r" b="b"/>
                            <a:pathLst>
                              <a:path w="655955" h="228600">
                                <a:moveTo>
                                  <a:pt x="530174" y="0"/>
                                </a:moveTo>
                                <a:lnTo>
                                  <a:pt x="0" y="0"/>
                                </a:lnTo>
                                <a:lnTo>
                                  <a:pt x="0" y="228600"/>
                                </a:lnTo>
                                <a:lnTo>
                                  <a:pt x="655904" y="228600"/>
                                </a:lnTo>
                                <a:lnTo>
                                  <a:pt x="530174" y="0"/>
                                </a:lnTo>
                                <a:close/>
                              </a:path>
                            </a:pathLst>
                          </a:custGeom>
                          <a:solidFill>
                            <a:srgbClr val="00A650"/>
                          </a:solidFill>
                        </wps:spPr>
                        <wps:bodyPr wrap="square" lIns="0" tIns="0" rIns="0" bIns="0" rtlCol="0">
                          <a:prstTxWarp prst="textNoShape">
                            <a:avLst/>
                          </a:prstTxWarp>
                          <a:noAutofit/>
                        </wps:bodyPr>
                      </wps:wsp>
                      <wps:wsp>
                        <wps:cNvPr id="51" name="Graphic 51"/>
                        <wps:cNvSpPr/>
                        <wps:spPr>
                          <a:xfrm>
                            <a:off x="554304" y="0"/>
                            <a:ext cx="329565" cy="228600"/>
                          </a:xfrm>
                          <a:custGeom>
                            <a:avLst/>
                            <a:gdLst/>
                            <a:ahLst/>
                            <a:cxnLst/>
                            <a:rect l="l" t="t" r="r" b="b"/>
                            <a:pathLst>
                              <a:path w="329565" h="228600">
                                <a:moveTo>
                                  <a:pt x="203822" y="0"/>
                                </a:moveTo>
                                <a:lnTo>
                                  <a:pt x="0" y="0"/>
                                </a:lnTo>
                                <a:lnTo>
                                  <a:pt x="128904" y="228600"/>
                                </a:lnTo>
                                <a:lnTo>
                                  <a:pt x="329539" y="228600"/>
                                </a:lnTo>
                                <a:lnTo>
                                  <a:pt x="203822" y="0"/>
                                </a:lnTo>
                                <a:close/>
                              </a:path>
                            </a:pathLst>
                          </a:custGeom>
                          <a:solidFill>
                            <a:srgbClr val="EB1C22"/>
                          </a:solidFill>
                        </wps:spPr>
                        <wps:bodyPr wrap="square" lIns="0" tIns="0" rIns="0" bIns="0" rtlCol="0">
                          <a:prstTxWarp prst="textNoShape">
                            <a:avLst/>
                          </a:prstTxWarp>
                          <a:noAutofit/>
                        </wps:bodyPr>
                      </wps:wsp>
                      <wps:wsp>
                        <wps:cNvPr id="52" name="Graphic 52"/>
                        <wps:cNvSpPr/>
                        <wps:spPr>
                          <a:xfrm>
                            <a:off x="783526" y="0"/>
                            <a:ext cx="329565" cy="228600"/>
                          </a:xfrm>
                          <a:custGeom>
                            <a:avLst/>
                            <a:gdLst/>
                            <a:ahLst/>
                            <a:cxnLst/>
                            <a:rect l="l" t="t" r="r" b="b"/>
                            <a:pathLst>
                              <a:path w="329565" h="228600">
                                <a:moveTo>
                                  <a:pt x="203822" y="0"/>
                                </a:moveTo>
                                <a:lnTo>
                                  <a:pt x="0" y="0"/>
                                </a:lnTo>
                                <a:lnTo>
                                  <a:pt x="128879" y="228600"/>
                                </a:lnTo>
                                <a:lnTo>
                                  <a:pt x="329539" y="228600"/>
                                </a:lnTo>
                                <a:lnTo>
                                  <a:pt x="203822" y="0"/>
                                </a:lnTo>
                                <a:close/>
                              </a:path>
                            </a:pathLst>
                          </a:custGeom>
                          <a:solidFill>
                            <a:srgbClr val="A7A9AC"/>
                          </a:solidFill>
                        </wps:spPr>
                        <wps:bodyPr wrap="square" lIns="0" tIns="0" rIns="0" bIns="0" rtlCol="0">
                          <a:prstTxWarp prst="textNoShape">
                            <a:avLst/>
                          </a:prstTxWarp>
                          <a:noAutofit/>
                        </wps:bodyPr>
                      </wps:wsp>
                      <wps:wsp>
                        <wps:cNvPr id="53" name="Graphic 53"/>
                        <wps:cNvSpPr/>
                        <wps:spPr>
                          <a:xfrm>
                            <a:off x="0" y="0"/>
                            <a:ext cx="451484" cy="1021080"/>
                          </a:xfrm>
                          <a:custGeom>
                            <a:avLst/>
                            <a:gdLst/>
                            <a:ahLst/>
                            <a:cxnLst/>
                            <a:rect l="l" t="t" r="r" b="b"/>
                            <a:pathLst>
                              <a:path w="451484" h="1021080">
                                <a:moveTo>
                                  <a:pt x="451446" y="0"/>
                                </a:moveTo>
                                <a:lnTo>
                                  <a:pt x="0" y="0"/>
                                </a:lnTo>
                                <a:lnTo>
                                  <a:pt x="0" y="795654"/>
                                </a:lnTo>
                                <a:lnTo>
                                  <a:pt x="451446" y="1020952"/>
                                </a:lnTo>
                                <a:lnTo>
                                  <a:pt x="451446" y="0"/>
                                </a:lnTo>
                                <a:close/>
                              </a:path>
                            </a:pathLst>
                          </a:custGeom>
                          <a:solidFill>
                            <a:srgbClr val="CCE7D2"/>
                          </a:solidFill>
                        </wps:spPr>
                        <wps:bodyPr wrap="square" lIns="0" tIns="0" rIns="0" bIns="0" rtlCol="0">
                          <a:prstTxWarp prst="textNoShape">
                            <a:avLst/>
                          </a:prstTxWarp>
                          <a:noAutofit/>
                        </wps:bodyPr>
                      </wps:wsp>
                      <wps:wsp>
                        <wps:cNvPr id="54" name="Graphic 54"/>
                        <wps:cNvSpPr/>
                        <wps:spPr>
                          <a:xfrm>
                            <a:off x="451446" y="0"/>
                            <a:ext cx="1270" cy="7559675"/>
                          </a:xfrm>
                          <a:custGeom>
                            <a:avLst/>
                            <a:gdLst/>
                            <a:ahLst/>
                            <a:cxnLst/>
                            <a:rect l="l" t="t" r="r" b="b"/>
                            <a:pathLst>
                              <a:path h="7559675">
                                <a:moveTo>
                                  <a:pt x="0" y="0"/>
                                </a:moveTo>
                                <a:lnTo>
                                  <a:pt x="0" y="7559675"/>
                                </a:lnTo>
                              </a:path>
                            </a:pathLst>
                          </a:custGeom>
                          <a:ln w="12700">
                            <a:solidFill>
                              <a:srgbClr val="CCE7D2"/>
                            </a:solidFill>
                            <a:prstDash val="solid"/>
                          </a:ln>
                        </wps:spPr>
                        <wps:bodyPr wrap="square" lIns="0" tIns="0" rIns="0" bIns="0" rtlCol="0">
                          <a:prstTxWarp prst="textNoShape">
                            <a:avLst/>
                          </a:prstTxWarp>
                          <a:noAutofit/>
                        </wps:bodyPr>
                      </wps:wsp>
                    </wpg:wgp>
                  </a:graphicData>
                </a:graphic>
              </wp:anchor>
            </w:drawing>
          </mc:Choice>
          <mc:Fallback>
            <w:pict>
              <v:group w14:anchorId="21BCE12D" id="Group 48" o:spid="_x0000_s1026" style="position:absolute;margin-left:0;margin-top:.05pt;width:595.25pt;height:595.25pt;z-index:-19311616;mso-wrap-distance-left:0;mso-wrap-distance-right:0;mso-position-horizontal-relative:page;mso-position-vertical-relative:page" coordsize="75596,755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">
                <v:shape id="Graphic 49" o:spid="_x0000_s1027" style="position:absolute;left:8482;width:67120;height:2286;visibility:visible;mso-wrap-style:square;v-text-anchor:top" coordsize="67119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" path="m6711391,l,,184137,228600r6527254,-5080l6711391,xe" fillcolor="#e6e7e8" stroked="f">
                  <v:path arrowok="t"/>
                </v:shape>
                <v:shape id="Graphic 50" o:spid="_x0000_s1028" style="position:absolute;width:6559;height:2286;visibility:visible;mso-wrap-style:square;v-text-anchor:top" coordsize="65595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" path="m530174,l,,,228600r655904,l530174,xe" fillcolor="#00a650" stroked="f">
                  <v:path arrowok="t"/>
                </v:shape>
                <v:shape id="Graphic 51" o:spid="_x0000_s1029" style="position:absolute;left:5543;width:3295;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" path="m203822,l,,128904,228600r200635,l203822,xe" fillcolor="#eb1c22" stroked="f">
                  <v:path arrowok="t"/>
                </v:shape>
                <v:shape id="Graphic 52" o:spid="_x0000_s1030" style="position:absolute;left:7835;width:3295;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" path="m203822,l,,128879,228600r200660,l203822,xe" fillcolor="#a7a9ac" stroked="f">
                  <v:path arrowok="t"/>
                </v:shape>
                <v:shape id="Graphic 53" o:spid="_x0000_s1031" style="position:absolute;width:4514;height:10210;visibility:visible;mso-wrap-style:square;v-text-anchor:top" coordsize="451484,102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" path="m451446,l,,,795654r451446,225298l451446,xe" fillcolor="#cce7d2" stroked="f">
                  <v:path arrowok="t"/>
                </v:shape>
                <v:shape id="Graphic 54" o:spid="_x0000_s1032" style="position:absolute;left:4514;width:13;height:75596;visibility:visible;mso-wrap-style:square;v-text-anchor:top" coordsize="1270,7559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" path="m,l,7559675e" filled="f" strokecolor="#cce7d2" strokeweight="1pt">
                  <v:path arrowok="t"/>
                </v:shape>
                <w10:wrap anchorx="page" anchory="page"/>
              </v:group>
            </w:pict>
          </mc:Fallback>
        </mc:AlternateContent>
      </w:r>
    </w:p>
    <w:p w14:paraId="0B33F17B" w14:textId="77777777" w:rsidR="00BB77C0" w:rsidRDefault="00BB77C0">
      <w:pPr>
        <w:pStyle w:val="BodyText"/>
        <w:rPr>
          <w:b/>
          <w:sz w:val="24"/>
        </w:rPr>
      </w:pPr>
    </w:p>
    <w:p w14:paraId="62C3A771" w14:textId="77777777" w:rsidR="00BB77C0" w:rsidRDefault="00BB77C0">
      <w:pPr>
        <w:pStyle w:val="BodyText"/>
        <w:rPr>
          <w:b/>
          <w:sz w:val="24"/>
        </w:rPr>
      </w:pPr>
    </w:p>
    <w:p w14:paraId="06FB76E4" w14:textId="77777777" w:rsidR="00BB77C0" w:rsidRDefault="00BB77C0">
      <w:pPr>
        <w:pStyle w:val="BodyText"/>
        <w:rPr>
          <w:b/>
          <w:sz w:val="24"/>
        </w:rPr>
      </w:pPr>
    </w:p>
    <w:p w14:paraId="780CBE53" w14:textId="77777777" w:rsidR="00BB77C0" w:rsidRDefault="00BB77C0">
      <w:pPr>
        <w:pStyle w:val="BodyText"/>
        <w:spacing w:before="68"/>
        <w:rPr>
          <w:b/>
          <w:sz w:val="24"/>
        </w:rPr>
      </w:pPr>
    </w:p>
    <w:p w14:paraId="1BEE6A85" w14:textId="77777777" w:rsidR="00BB77C0" w:rsidRDefault="00370BAA">
      <w:pPr>
        <w:ind w:left="485"/>
        <w:jc w:val="both"/>
        <w:rPr>
          <w:b/>
          <w:sz w:val="24"/>
        </w:rPr>
      </w:pPr>
      <w:r>
        <w:rPr>
          <w:b/>
          <w:noProof/>
          <w:sz w:val="24"/>
        </w:rPr>
        <mc:AlternateContent>
          <mc:Choice Requires="wps">
            <w:drawing>
              <wp:anchor distT="0" distB="0" distL="0" distR="0" simplePos="0" relativeHeight="15736320" behindDoc="0" locked="0" layoutInCell="1" allowOverlap="1" wp14:anchorId="0FC3B0E7" wp14:editId="616655C6">
                <wp:simplePos x="0" y="0"/>
                <wp:positionH relativeFrom="page">
                  <wp:posOffset>221067</wp:posOffset>
                </wp:positionH>
                <wp:positionV relativeFrom="paragraph">
                  <wp:posOffset>-403531</wp:posOffset>
                </wp:positionV>
                <wp:extent cx="172085" cy="160020"/>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085" cy="160020"/>
                        </a:xfrm>
                        <a:prstGeom prst="rect">
                          <a:avLst/>
                        </a:prstGeom>
                      </wps:spPr>
                      <wps:txbx>
                        <w:txbxContent>
                          <w:p w14:paraId="5F04E559" w14:textId="77777777" w:rsidR="00BB77C0" w:rsidRDefault="00370BAA">
                            <w:pPr>
                              <w:spacing w:line="253" w:lineRule="exact"/>
                              <w:ind w:left="20"/>
                              <w:rPr>
                                <w:rFonts w:ascii="Corbel"/>
                                <w:sz w:val="23"/>
                              </w:rPr>
                            </w:pPr>
                            <w:r>
                              <w:rPr>
                                <w:rFonts w:ascii="Corbel"/>
                                <w:color w:val="211F1F"/>
                                <w:spacing w:val="-5"/>
                                <w:sz w:val="23"/>
                              </w:rPr>
                              <w:t>27</w:t>
                            </w:r>
                          </w:p>
                        </w:txbxContent>
                      </wps:txbx>
                      <wps:bodyPr vert="vert" wrap="square" lIns="0" tIns="0" rIns="0" bIns="0" rtlCol="0">
                        <a:noAutofit/>
                      </wps:bodyPr>
                    </wps:wsp>
                  </a:graphicData>
                </a:graphic>
              </wp:anchor>
            </w:drawing>
          </mc:Choice>
          <mc:Fallback>
            <w:pict>
              <v:shape w14:anchorId="0FC3B0E7" id="Textbox 55" o:spid="_x0000_s1041" type="#_x0000_t202" style="position:absolute;left:0;text-align:left;margin-left:17.4pt;margin-top:-31.75pt;width:13.55pt;height:12.6pt;z-index:157363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" filled="f" stroked="f">
                <v:textbox style="layout-flow:vertical" inset="0,0,0,0">
                  <w:txbxContent>
                    <w:p w14:paraId="5F04E559" w14:textId="77777777" w:rsidR="00BB77C0" w:rsidRDefault="00370BAA">
                      <w:pPr>
                        <w:spacing w:line="253" w:lineRule="exact"/>
                        <w:ind w:left="20"/>
                        <w:rPr>
                          <w:rFonts w:ascii="Corbel"/>
                          <w:sz w:val="23"/>
                        </w:rPr>
                      </w:pPr>
                      <w:r>
                        <w:rPr>
                          <w:rFonts w:ascii="Corbel"/>
                          <w:color w:val="211F1F"/>
                          <w:spacing w:val="-5"/>
                          <w:sz w:val="23"/>
                        </w:rPr>
                        <w:t>27</w:t>
                      </w:r>
                    </w:p>
                  </w:txbxContent>
                </v:textbox>
                <w10:wrap anchorx="page"/>
              </v:shape>
            </w:pict>
          </mc:Fallback>
        </mc:AlternateContent>
      </w:r>
      <w:r>
        <w:rPr>
          <w:b/>
          <w:color w:val="211F1F"/>
          <w:sz w:val="24"/>
        </w:rPr>
        <w:t>QUALIFICATION</w:t>
      </w:r>
      <w:r>
        <w:rPr>
          <w:b/>
          <w:color w:val="211F1F"/>
          <w:spacing w:val="-14"/>
          <w:sz w:val="24"/>
        </w:rPr>
        <w:t xml:space="preserve"> </w:t>
      </w:r>
      <w:r>
        <w:rPr>
          <w:b/>
          <w:color w:val="211F1F"/>
          <w:spacing w:val="-4"/>
          <w:sz w:val="24"/>
        </w:rPr>
        <w:t>FORMS</w:t>
      </w:r>
    </w:p>
    <w:p w14:paraId="2479273E" w14:textId="77777777" w:rsidR="00BB77C0" w:rsidRDefault="00BB77C0">
      <w:pPr>
        <w:pStyle w:val="BodyText"/>
        <w:spacing w:before="57"/>
        <w:rPr>
          <w:b/>
          <w:sz w:val="24"/>
        </w:rPr>
      </w:pPr>
    </w:p>
    <w:p w14:paraId="56E32E78" w14:textId="77777777" w:rsidR="00BB77C0" w:rsidRDefault="00370BAA">
      <w:pPr>
        <w:pStyle w:val="Heading7"/>
        <w:numPr>
          <w:ilvl w:val="0"/>
          <w:numId w:val="64"/>
        </w:numPr>
        <w:tabs>
          <w:tab w:val="left" w:pos="806"/>
        </w:tabs>
        <w:ind w:hanging="321"/>
        <w:rPr>
          <w:color w:val="211F1F"/>
        </w:rPr>
      </w:pPr>
      <w:bookmarkStart w:id="135" w:name="1._FORM_EQU:_EQUIPMENT"/>
      <w:bookmarkEnd w:id="135"/>
      <w:r>
        <w:rPr>
          <w:color w:val="211F1F"/>
          <w:spacing w:val="-2"/>
        </w:rPr>
        <w:t>FORM</w:t>
      </w:r>
      <w:r>
        <w:rPr>
          <w:color w:val="211F1F"/>
          <w:spacing w:val="-22"/>
        </w:rPr>
        <w:t xml:space="preserve"> </w:t>
      </w:r>
      <w:r>
        <w:rPr>
          <w:color w:val="211F1F"/>
          <w:spacing w:val="-2"/>
        </w:rPr>
        <w:t>EQU:</w:t>
      </w:r>
      <w:r>
        <w:rPr>
          <w:color w:val="211F1F"/>
          <w:spacing w:val="-22"/>
        </w:rPr>
        <w:t xml:space="preserve"> </w:t>
      </w:r>
      <w:r>
        <w:rPr>
          <w:color w:val="211F1F"/>
          <w:spacing w:val="-2"/>
        </w:rPr>
        <w:t>EQUIPMENT</w:t>
      </w:r>
    </w:p>
    <w:p w14:paraId="647A8D3B" w14:textId="77777777" w:rsidR="00BB77C0" w:rsidRDefault="00370BAA">
      <w:pPr>
        <w:pStyle w:val="BodyText"/>
        <w:spacing w:before="236" w:line="230" w:lineRule="auto"/>
        <w:ind w:left="485" w:right="706"/>
        <w:jc w:val="both"/>
      </w:pPr>
      <w:r>
        <w:rPr>
          <w:color w:val="211F1F"/>
        </w:rPr>
        <w:t>The Tenderer shall provide adequate information to demonstrate clearly that it has the capability to meet the requirements</w:t>
      </w:r>
      <w:r>
        <w:rPr>
          <w:color w:val="211F1F"/>
          <w:spacing w:val="-14"/>
        </w:rPr>
        <w:t xml:space="preserve"> </w:t>
      </w:r>
      <w:r>
        <w:rPr>
          <w:color w:val="211F1F"/>
        </w:rPr>
        <w:t>for</w:t>
      </w:r>
      <w:r>
        <w:rPr>
          <w:color w:val="211F1F"/>
          <w:spacing w:val="-14"/>
        </w:rPr>
        <w:t xml:space="preserve"> </w:t>
      </w:r>
      <w:r>
        <w:rPr>
          <w:color w:val="211F1F"/>
        </w:rPr>
        <w:t>the</w:t>
      </w:r>
      <w:r>
        <w:rPr>
          <w:color w:val="211F1F"/>
          <w:spacing w:val="-14"/>
        </w:rPr>
        <w:t xml:space="preserve"> </w:t>
      </w:r>
      <w:r>
        <w:rPr>
          <w:color w:val="211F1F"/>
        </w:rPr>
        <w:t>key</w:t>
      </w:r>
      <w:r>
        <w:rPr>
          <w:color w:val="211F1F"/>
          <w:spacing w:val="-13"/>
        </w:rPr>
        <w:t xml:space="preserve"> </w:t>
      </w:r>
      <w:r>
        <w:rPr>
          <w:color w:val="211F1F"/>
        </w:rPr>
        <w:t>equipment</w:t>
      </w:r>
      <w:r>
        <w:rPr>
          <w:color w:val="211F1F"/>
          <w:spacing w:val="-14"/>
        </w:rPr>
        <w:t xml:space="preserve"> </w:t>
      </w:r>
      <w:r>
        <w:rPr>
          <w:color w:val="211F1F"/>
        </w:rPr>
        <w:t>listed</w:t>
      </w:r>
      <w:r>
        <w:rPr>
          <w:color w:val="211F1F"/>
          <w:spacing w:val="-14"/>
        </w:rPr>
        <w:t xml:space="preserve"> </w:t>
      </w:r>
      <w:r>
        <w:rPr>
          <w:color w:val="211F1F"/>
        </w:rPr>
        <w:t>in</w:t>
      </w:r>
      <w:r>
        <w:rPr>
          <w:color w:val="211F1F"/>
          <w:spacing w:val="-14"/>
        </w:rPr>
        <w:t xml:space="preserve"> </w:t>
      </w:r>
      <w:r>
        <w:rPr>
          <w:color w:val="211F1F"/>
        </w:rPr>
        <w:t>Section</w:t>
      </w:r>
      <w:r>
        <w:rPr>
          <w:color w:val="211F1F"/>
          <w:spacing w:val="-13"/>
        </w:rPr>
        <w:t xml:space="preserve"> </w:t>
      </w:r>
      <w:r>
        <w:rPr>
          <w:color w:val="211F1F"/>
        </w:rPr>
        <w:t>III,</w:t>
      </w:r>
      <w:r>
        <w:rPr>
          <w:color w:val="211F1F"/>
          <w:spacing w:val="-14"/>
        </w:rPr>
        <w:t xml:space="preserve"> </w:t>
      </w:r>
      <w:r>
        <w:rPr>
          <w:color w:val="211F1F"/>
        </w:rPr>
        <w:t>Evaluation</w:t>
      </w:r>
      <w:r>
        <w:rPr>
          <w:color w:val="211F1F"/>
          <w:spacing w:val="-14"/>
        </w:rPr>
        <w:t xml:space="preserve"> </w:t>
      </w:r>
      <w:r>
        <w:rPr>
          <w:color w:val="211F1F"/>
        </w:rPr>
        <w:t>and</w:t>
      </w:r>
      <w:r>
        <w:rPr>
          <w:color w:val="211F1F"/>
          <w:spacing w:val="-14"/>
        </w:rPr>
        <w:t xml:space="preserve"> </w:t>
      </w:r>
      <w:r>
        <w:rPr>
          <w:color w:val="211F1F"/>
        </w:rPr>
        <w:t>Qualification</w:t>
      </w:r>
      <w:r>
        <w:rPr>
          <w:color w:val="211F1F"/>
          <w:spacing w:val="-13"/>
        </w:rPr>
        <w:t xml:space="preserve"> </w:t>
      </w:r>
      <w:r>
        <w:rPr>
          <w:color w:val="211F1F"/>
        </w:rPr>
        <w:t>Criteria.</w:t>
      </w:r>
      <w:r>
        <w:rPr>
          <w:color w:val="211F1F"/>
          <w:spacing w:val="-14"/>
        </w:rPr>
        <w:t xml:space="preserve"> </w:t>
      </w:r>
      <w:r>
        <w:rPr>
          <w:color w:val="211F1F"/>
        </w:rPr>
        <w:t>A</w:t>
      </w:r>
      <w:r>
        <w:rPr>
          <w:color w:val="211F1F"/>
          <w:spacing w:val="-14"/>
        </w:rPr>
        <w:t xml:space="preserve"> </w:t>
      </w:r>
      <w:r>
        <w:rPr>
          <w:color w:val="211F1F"/>
        </w:rPr>
        <w:t>separate</w:t>
      </w:r>
      <w:r>
        <w:rPr>
          <w:color w:val="211F1F"/>
          <w:spacing w:val="-14"/>
        </w:rPr>
        <w:t xml:space="preserve"> </w:t>
      </w:r>
      <w:r>
        <w:rPr>
          <w:color w:val="211F1F"/>
        </w:rPr>
        <w:t>Form</w:t>
      </w:r>
      <w:r>
        <w:rPr>
          <w:color w:val="211F1F"/>
          <w:spacing w:val="-13"/>
        </w:rPr>
        <w:t xml:space="preserve"> </w:t>
      </w:r>
      <w:r>
        <w:rPr>
          <w:color w:val="211F1F"/>
        </w:rPr>
        <w:t>shall</w:t>
      </w:r>
      <w:r>
        <w:rPr>
          <w:color w:val="211F1F"/>
          <w:spacing w:val="-14"/>
        </w:rPr>
        <w:t xml:space="preserve"> </w:t>
      </w:r>
      <w:r>
        <w:rPr>
          <w:color w:val="211F1F"/>
        </w:rPr>
        <w:t>be prepared</w:t>
      </w:r>
      <w:r>
        <w:rPr>
          <w:color w:val="211F1F"/>
          <w:spacing w:val="-14"/>
        </w:rPr>
        <w:t xml:space="preserve"> </w:t>
      </w:r>
      <w:r>
        <w:rPr>
          <w:color w:val="211F1F"/>
        </w:rPr>
        <w:t>for each</w:t>
      </w:r>
      <w:r>
        <w:rPr>
          <w:color w:val="211F1F"/>
          <w:spacing w:val="-16"/>
        </w:rPr>
        <w:t xml:space="preserve"> </w:t>
      </w:r>
      <w:r>
        <w:rPr>
          <w:color w:val="211F1F"/>
        </w:rPr>
        <w:t>item</w:t>
      </w:r>
      <w:r>
        <w:rPr>
          <w:color w:val="211F1F"/>
          <w:spacing w:val="-8"/>
        </w:rPr>
        <w:t xml:space="preserve"> </w:t>
      </w:r>
      <w:r>
        <w:rPr>
          <w:color w:val="211F1F"/>
        </w:rPr>
        <w:t>of equipment</w:t>
      </w:r>
      <w:r>
        <w:rPr>
          <w:color w:val="211F1F"/>
          <w:spacing w:val="-2"/>
        </w:rPr>
        <w:t xml:space="preserve"> </w:t>
      </w:r>
      <w:r>
        <w:rPr>
          <w:color w:val="211F1F"/>
        </w:rPr>
        <w:t>listed,</w:t>
      </w:r>
      <w:r>
        <w:rPr>
          <w:color w:val="211F1F"/>
          <w:spacing w:val="-6"/>
        </w:rPr>
        <w:t xml:space="preserve"> </w:t>
      </w:r>
      <w:r>
        <w:rPr>
          <w:color w:val="211F1F"/>
        </w:rPr>
        <w:t>or for</w:t>
      </w:r>
      <w:r>
        <w:rPr>
          <w:color w:val="211F1F"/>
          <w:spacing w:val="-6"/>
        </w:rPr>
        <w:t xml:space="preserve"> </w:t>
      </w:r>
      <w:r>
        <w:rPr>
          <w:color w:val="211F1F"/>
        </w:rPr>
        <w:t>alternative</w:t>
      </w:r>
      <w:r>
        <w:rPr>
          <w:color w:val="211F1F"/>
          <w:spacing w:val="-11"/>
        </w:rPr>
        <w:t xml:space="preserve"> </w:t>
      </w:r>
      <w:r>
        <w:rPr>
          <w:color w:val="211F1F"/>
        </w:rPr>
        <w:t>equipment</w:t>
      </w:r>
      <w:r>
        <w:rPr>
          <w:color w:val="211F1F"/>
          <w:spacing w:val="-1"/>
        </w:rPr>
        <w:t xml:space="preserve"> </w:t>
      </w:r>
      <w:r>
        <w:rPr>
          <w:color w:val="211F1F"/>
        </w:rPr>
        <w:t>proposed</w:t>
      </w:r>
      <w:r>
        <w:rPr>
          <w:color w:val="211F1F"/>
          <w:spacing w:val="-8"/>
        </w:rPr>
        <w:t xml:space="preserve"> </w:t>
      </w:r>
      <w:r>
        <w:rPr>
          <w:color w:val="211F1F"/>
        </w:rPr>
        <w:t>by</w:t>
      </w:r>
      <w:r>
        <w:rPr>
          <w:color w:val="211F1F"/>
          <w:spacing w:val="-16"/>
        </w:rPr>
        <w:t xml:space="preserve"> </w:t>
      </w:r>
      <w:r>
        <w:rPr>
          <w:color w:val="211F1F"/>
        </w:rPr>
        <w:t>the</w:t>
      </w:r>
      <w:r>
        <w:rPr>
          <w:color w:val="211F1F"/>
          <w:spacing w:val="-18"/>
        </w:rPr>
        <w:t xml:space="preserve"> </w:t>
      </w:r>
      <w:r>
        <w:rPr>
          <w:color w:val="211F1F"/>
        </w:rPr>
        <w:t>Tenderer.</w:t>
      </w:r>
    </w:p>
    <w:p w14:paraId="4C88EFE4" w14:textId="77777777" w:rsidR="00BB77C0" w:rsidRDefault="00BB77C0">
      <w:pPr>
        <w:pStyle w:val="BodyText"/>
        <w:rPr>
          <w:sz w:val="20"/>
        </w:rPr>
      </w:pPr>
    </w:p>
    <w:p w14:paraId="3C67E767" w14:textId="77777777" w:rsidR="00BB77C0" w:rsidRDefault="00BB77C0">
      <w:pPr>
        <w:pStyle w:val="BodyText"/>
        <w:spacing w:before="31"/>
        <w:rPr>
          <w:sz w:val="20"/>
        </w:rPr>
      </w:pPr>
    </w:p>
    <w:tbl>
      <w:tblPr>
        <w:tblW w:w="0" w:type="auto"/>
        <w:tblInd w:w="14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441"/>
        <w:gridCol w:w="3962"/>
        <w:gridCol w:w="3693"/>
      </w:tblGrid>
      <w:tr w:rsidR="00BB77C0" w14:paraId="22EDFE2D" w14:textId="77777777">
        <w:trPr>
          <w:trHeight w:val="503"/>
        </w:trPr>
        <w:tc>
          <w:tcPr>
            <w:tcW w:w="9096" w:type="dxa"/>
            <w:gridSpan w:val="3"/>
          </w:tcPr>
          <w:p w14:paraId="792531A2" w14:textId="77777777" w:rsidR="00BB77C0" w:rsidRDefault="00370BAA">
            <w:pPr>
              <w:pStyle w:val="TableParagraph"/>
              <w:spacing w:line="249" w:lineRule="exact"/>
              <w:ind w:left="84"/>
            </w:pPr>
            <w:r>
              <w:t>Item</w:t>
            </w:r>
            <w:r>
              <w:rPr>
                <w:spacing w:val="-13"/>
              </w:rPr>
              <w:t xml:space="preserve"> </w:t>
            </w:r>
            <w:r>
              <w:t>of</w:t>
            </w:r>
            <w:r>
              <w:rPr>
                <w:spacing w:val="-11"/>
              </w:rPr>
              <w:t xml:space="preserve"> </w:t>
            </w:r>
            <w:r>
              <w:rPr>
                <w:spacing w:val="-2"/>
              </w:rPr>
              <w:t>equipment</w:t>
            </w:r>
          </w:p>
        </w:tc>
      </w:tr>
      <w:tr w:rsidR="00BB77C0" w14:paraId="3B5AF8A9" w14:textId="77777777">
        <w:trPr>
          <w:trHeight w:val="503"/>
        </w:trPr>
        <w:tc>
          <w:tcPr>
            <w:tcW w:w="1441" w:type="dxa"/>
            <w:vMerge w:val="restart"/>
          </w:tcPr>
          <w:p w14:paraId="1F3CD499" w14:textId="77777777" w:rsidR="00BB77C0" w:rsidRDefault="00370BAA">
            <w:pPr>
              <w:pStyle w:val="TableParagraph"/>
              <w:spacing w:line="242" w:lineRule="auto"/>
              <w:ind w:left="84"/>
            </w:pPr>
            <w:r>
              <w:rPr>
                <w:spacing w:val="-2"/>
              </w:rPr>
              <w:t xml:space="preserve">Equipment </w:t>
            </w:r>
            <w:r>
              <w:rPr>
                <w:spacing w:val="-6"/>
              </w:rPr>
              <w:t>information</w:t>
            </w:r>
          </w:p>
        </w:tc>
        <w:tc>
          <w:tcPr>
            <w:tcW w:w="3962" w:type="dxa"/>
          </w:tcPr>
          <w:p w14:paraId="7BB4B9A9" w14:textId="77777777" w:rsidR="00BB77C0" w:rsidRDefault="00370BAA">
            <w:pPr>
              <w:pStyle w:val="TableParagraph"/>
              <w:spacing w:line="249" w:lineRule="exact"/>
              <w:ind w:left="83"/>
            </w:pPr>
            <w:r>
              <w:t>Name</w:t>
            </w:r>
            <w:r>
              <w:rPr>
                <w:spacing w:val="-14"/>
              </w:rPr>
              <w:t xml:space="preserve"> </w:t>
            </w:r>
            <w:r>
              <w:t>of</w:t>
            </w:r>
            <w:r>
              <w:rPr>
                <w:spacing w:val="-13"/>
              </w:rPr>
              <w:t xml:space="preserve"> </w:t>
            </w:r>
            <w:r>
              <w:rPr>
                <w:spacing w:val="-2"/>
              </w:rPr>
              <w:t>manufacturer</w:t>
            </w:r>
          </w:p>
        </w:tc>
        <w:tc>
          <w:tcPr>
            <w:tcW w:w="3693" w:type="dxa"/>
          </w:tcPr>
          <w:p w14:paraId="5F437E8E" w14:textId="77777777" w:rsidR="00BB77C0" w:rsidRDefault="00370BAA">
            <w:pPr>
              <w:pStyle w:val="TableParagraph"/>
              <w:spacing w:line="249" w:lineRule="exact"/>
              <w:ind w:left="83"/>
            </w:pPr>
            <w:r>
              <w:rPr>
                <w:spacing w:val="-2"/>
              </w:rPr>
              <w:t>Model</w:t>
            </w:r>
            <w:r>
              <w:rPr>
                <w:spacing w:val="-10"/>
              </w:rPr>
              <w:t xml:space="preserve"> </w:t>
            </w:r>
            <w:r>
              <w:rPr>
                <w:spacing w:val="-2"/>
              </w:rPr>
              <w:t>and</w:t>
            </w:r>
            <w:r>
              <w:rPr>
                <w:spacing w:val="-12"/>
              </w:rPr>
              <w:t xml:space="preserve"> </w:t>
            </w:r>
            <w:r>
              <w:rPr>
                <w:spacing w:val="-2"/>
              </w:rPr>
              <w:t>power</w:t>
            </w:r>
            <w:r>
              <w:rPr>
                <w:spacing w:val="-3"/>
              </w:rPr>
              <w:t xml:space="preserve"> </w:t>
            </w:r>
            <w:r>
              <w:rPr>
                <w:spacing w:val="-2"/>
              </w:rPr>
              <w:t>rating</w:t>
            </w:r>
          </w:p>
        </w:tc>
      </w:tr>
      <w:tr w:rsidR="00BB77C0" w14:paraId="794998B4" w14:textId="77777777">
        <w:trPr>
          <w:trHeight w:val="508"/>
        </w:trPr>
        <w:tc>
          <w:tcPr>
            <w:tcW w:w="1441" w:type="dxa"/>
            <w:vMerge/>
            <w:tcBorders>
              <w:top w:val="nil"/>
            </w:tcBorders>
          </w:tcPr>
          <w:p w14:paraId="2C023487" w14:textId="77777777" w:rsidR="00BB77C0" w:rsidRDefault="00BB77C0">
            <w:pPr>
              <w:rPr>
                <w:sz w:val="2"/>
                <w:szCs w:val="2"/>
              </w:rPr>
            </w:pPr>
          </w:p>
        </w:tc>
        <w:tc>
          <w:tcPr>
            <w:tcW w:w="3962" w:type="dxa"/>
          </w:tcPr>
          <w:p w14:paraId="6BA5DD4E" w14:textId="77777777" w:rsidR="00BB77C0" w:rsidRDefault="00370BAA">
            <w:pPr>
              <w:pStyle w:val="TableParagraph"/>
              <w:spacing w:line="249" w:lineRule="exact"/>
              <w:ind w:left="83"/>
            </w:pPr>
            <w:r>
              <w:rPr>
                <w:spacing w:val="-2"/>
              </w:rPr>
              <w:t>Capacity</w:t>
            </w:r>
          </w:p>
        </w:tc>
        <w:tc>
          <w:tcPr>
            <w:tcW w:w="3693" w:type="dxa"/>
          </w:tcPr>
          <w:p w14:paraId="5527F75D" w14:textId="77777777" w:rsidR="00BB77C0" w:rsidRDefault="00370BAA">
            <w:pPr>
              <w:pStyle w:val="TableParagraph"/>
              <w:spacing w:line="249" w:lineRule="exact"/>
              <w:ind w:left="83"/>
            </w:pPr>
            <w:r>
              <w:t>Year</w:t>
            </w:r>
            <w:r>
              <w:rPr>
                <w:spacing w:val="-11"/>
              </w:rPr>
              <w:t xml:space="preserve"> </w:t>
            </w:r>
            <w:r>
              <w:t>of</w:t>
            </w:r>
            <w:r>
              <w:rPr>
                <w:spacing w:val="-13"/>
              </w:rPr>
              <w:t xml:space="preserve"> </w:t>
            </w:r>
            <w:r>
              <w:rPr>
                <w:spacing w:val="-2"/>
              </w:rPr>
              <w:t>manufacture</w:t>
            </w:r>
          </w:p>
        </w:tc>
      </w:tr>
      <w:tr w:rsidR="00BB77C0" w14:paraId="680388CE" w14:textId="77777777">
        <w:trPr>
          <w:trHeight w:val="503"/>
        </w:trPr>
        <w:tc>
          <w:tcPr>
            <w:tcW w:w="1441" w:type="dxa"/>
            <w:vMerge w:val="restart"/>
          </w:tcPr>
          <w:p w14:paraId="17741D24" w14:textId="77777777" w:rsidR="00BB77C0" w:rsidRDefault="00370BAA">
            <w:pPr>
              <w:pStyle w:val="TableParagraph"/>
              <w:spacing w:line="249" w:lineRule="exact"/>
              <w:ind w:left="84"/>
            </w:pPr>
            <w:r>
              <w:rPr>
                <w:spacing w:val="-4"/>
              </w:rPr>
              <w:t>Current</w:t>
            </w:r>
            <w:r>
              <w:t xml:space="preserve"> </w:t>
            </w:r>
            <w:r>
              <w:rPr>
                <w:spacing w:val="-2"/>
              </w:rPr>
              <w:t>status</w:t>
            </w:r>
          </w:p>
        </w:tc>
        <w:tc>
          <w:tcPr>
            <w:tcW w:w="7655" w:type="dxa"/>
            <w:gridSpan w:val="2"/>
          </w:tcPr>
          <w:p w14:paraId="5C8EA958" w14:textId="77777777" w:rsidR="00BB77C0" w:rsidRDefault="00370BAA">
            <w:pPr>
              <w:pStyle w:val="TableParagraph"/>
              <w:spacing w:line="249" w:lineRule="exact"/>
              <w:ind w:left="83"/>
            </w:pPr>
            <w:r>
              <w:rPr>
                <w:spacing w:val="-2"/>
              </w:rPr>
              <w:t>Current</w:t>
            </w:r>
            <w:r>
              <w:rPr>
                <w:spacing w:val="-7"/>
              </w:rPr>
              <w:t xml:space="preserve"> </w:t>
            </w:r>
            <w:r>
              <w:rPr>
                <w:spacing w:val="-2"/>
              </w:rPr>
              <w:t>location</w:t>
            </w:r>
          </w:p>
        </w:tc>
      </w:tr>
      <w:tr w:rsidR="00BB77C0" w14:paraId="0DDDD402" w14:textId="77777777">
        <w:trPr>
          <w:trHeight w:val="763"/>
        </w:trPr>
        <w:tc>
          <w:tcPr>
            <w:tcW w:w="1441" w:type="dxa"/>
            <w:vMerge/>
            <w:tcBorders>
              <w:top w:val="nil"/>
            </w:tcBorders>
          </w:tcPr>
          <w:p w14:paraId="6AA43FFE" w14:textId="77777777" w:rsidR="00BB77C0" w:rsidRDefault="00BB77C0">
            <w:pPr>
              <w:rPr>
                <w:sz w:val="2"/>
                <w:szCs w:val="2"/>
              </w:rPr>
            </w:pPr>
          </w:p>
        </w:tc>
        <w:tc>
          <w:tcPr>
            <w:tcW w:w="7655" w:type="dxa"/>
            <w:gridSpan w:val="2"/>
          </w:tcPr>
          <w:p w14:paraId="3A37E876" w14:textId="77777777" w:rsidR="00BB77C0" w:rsidRDefault="00370BAA">
            <w:pPr>
              <w:pStyle w:val="TableParagraph"/>
              <w:spacing w:line="249" w:lineRule="exact"/>
              <w:ind w:left="83"/>
            </w:pPr>
            <w:r>
              <w:rPr>
                <w:spacing w:val="-2"/>
              </w:rPr>
              <w:t>Details</w:t>
            </w:r>
            <w:r>
              <w:rPr>
                <w:spacing w:val="-11"/>
              </w:rPr>
              <w:t xml:space="preserve"> </w:t>
            </w:r>
            <w:r>
              <w:rPr>
                <w:spacing w:val="-2"/>
              </w:rPr>
              <w:t>of</w:t>
            </w:r>
            <w:r>
              <w:rPr>
                <w:spacing w:val="-8"/>
              </w:rPr>
              <w:t xml:space="preserve"> </w:t>
            </w:r>
            <w:r>
              <w:rPr>
                <w:spacing w:val="-2"/>
              </w:rPr>
              <w:t>current</w:t>
            </w:r>
            <w:r>
              <w:rPr>
                <w:spacing w:val="-4"/>
              </w:rPr>
              <w:t xml:space="preserve"> </w:t>
            </w:r>
            <w:r>
              <w:rPr>
                <w:spacing w:val="-2"/>
              </w:rPr>
              <w:t>commitments</w:t>
            </w:r>
          </w:p>
        </w:tc>
      </w:tr>
      <w:tr w:rsidR="00BB77C0" w14:paraId="3E2989B4" w14:textId="77777777">
        <w:trPr>
          <w:trHeight w:val="517"/>
        </w:trPr>
        <w:tc>
          <w:tcPr>
            <w:tcW w:w="1441" w:type="dxa"/>
          </w:tcPr>
          <w:p w14:paraId="121AFBBD" w14:textId="77777777" w:rsidR="00BB77C0" w:rsidRDefault="00370BAA">
            <w:pPr>
              <w:pStyle w:val="TableParagraph"/>
              <w:spacing w:line="249" w:lineRule="exact"/>
              <w:ind w:left="84"/>
            </w:pPr>
            <w:r>
              <w:rPr>
                <w:spacing w:val="-2"/>
              </w:rPr>
              <w:t>Source</w:t>
            </w:r>
          </w:p>
        </w:tc>
        <w:tc>
          <w:tcPr>
            <w:tcW w:w="7655" w:type="dxa"/>
            <w:gridSpan w:val="2"/>
          </w:tcPr>
          <w:p w14:paraId="30383F2D" w14:textId="77777777" w:rsidR="00BB77C0" w:rsidRDefault="00370BAA">
            <w:pPr>
              <w:pStyle w:val="TableParagraph"/>
              <w:spacing w:line="242" w:lineRule="exact"/>
              <w:ind w:left="83"/>
            </w:pPr>
            <w:r>
              <w:rPr>
                <w:spacing w:val="-2"/>
              </w:rPr>
              <w:t>Indicate</w:t>
            </w:r>
            <w:r>
              <w:rPr>
                <w:spacing w:val="-9"/>
              </w:rPr>
              <w:t xml:space="preserve"> </w:t>
            </w:r>
            <w:r>
              <w:rPr>
                <w:spacing w:val="-2"/>
              </w:rPr>
              <w:t>source</w:t>
            </w:r>
            <w:r>
              <w:rPr>
                <w:spacing w:val="-8"/>
              </w:rPr>
              <w:t xml:space="preserve"> </w:t>
            </w:r>
            <w:r>
              <w:rPr>
                <w:spacing w:val="-2"/>
              </w:rPr>
              <w:t>of</w:t>
            </w:r>
            <w:r>
              <w:rPr>
                <w:spacing w:val="-8"/>
              </w:rPr>
              <w:t xml:space="preserve"> </w:t>
            </w:r>
            <w:r>
              <w:rPr>
                <w:spacing w:val="-2"/>
              </w:rPr>
              <w:t>the</w:t>
            </w:r>
            <w:r>
              <w:rPr>
                <w:spacing w:val="-8"/>
              </w:rPr>
              <w:t xml:space="preserve"> </w:t>
            </w:r>
            <w:r>
              <w:rPr>
                <w:spacing w:val="-2"/>
              </w:rPr>
              <w:t>equipment</w:t>
            </w:r>
          </w:p>
          <w:p w14:paraId="78DC800E" w14:textId="77777777" w:rsidR="00BB77C0" w:rsidRDefault="00370BAA">
            <w:pPr>
              <w:pStyle w:val="TableParagraph"/>
              <w:tabs>
                <w:tab w:val="left" w:pos="1720"/>
                <w:tab w:val="left" w:pos="2983"/>
                <w:tab w:val="left" w:pos="4424"/>
              </w:tabs>
              <w:spacing w:line="256" w:lineRule="exact"/>
              <w:ind w:left="371"/>
            </w:pPr>
            <w:r>
              <w:rPr>
                <w:rFonts w:ascii="Wingdings" w:hAnsi="Wingdings"/>
                <w:sz w:val="24"/>
              </w:rPr>
              <w:t></w:t>
            </w:r>
            <w:r>
              <w:rPr>
                <w:spacing w:val="-8"/>
                <w:sz w:val="24"/>
              </w:rPr>
              <w:t xml:space="preserve"> </w:t>
            </w:r>
            <w:r>
              <w:rPr>
                <w:spacing w:val="-2"/>
              </w:rPr>
              <w:t>Owned</w:t>
            </w:r>
            <w:r>
              <w:tab/>
            </w:r>
            <w:r>
              <w:rPr>
                <w:rFonts w:ascii="Wingdings" w:hAnsi="Wingdings"/>
                <w:sz w:val="24"/>
              </w:rPr>
              <w:t></w:t>
            </w:r>
            <w:r>
              <w:rPr>
                <w:spacing w:val="-10"/>
                <w:sz w:val="24"/>
              </w:rPr>
              <w:t xml:space="preserve"> </w:t>
            </w:r>
            <w:r>
              <w:rPr>
                <w:spacing w:val="-2"/>
              </w:rPr>
              <w:t>Rented</w:t>
            </w:r>
            <w:r>
              <w:tab/>
            </w:r>
            <w:r>
              <w:rPr>
                <w:rFonts w:ascii="Wingdings" w:hAnsi="Wingdings"/>
                <w:sz w:val="24"/>
              </w:rPr>
              <w:t></w:t>
            </w:r>
            <w:r>
              <w:rPr>
                <w:spacing w:val="-6"/>
                <w:sz w:val="24"/>
              </w:rPr>
              <w:t xml:space="preserve"> </w:t>
            </w:r>
            <w:r>
              <w:rPr>
                <w:spacing w:val="-2"/>
              </w:rPr>
              <w:t>Leased</w:t>
            </w:r>
            <w:r>
              <w:tab/>
            </w:r>
            <w:r>
              <w:rPr>
                <w:rFonts w:ascii="Wingdings" w:hAnsi="Wingdings"/>
                <w:spacing w:val="-2"/>
                <w:sz w:val="24"/>
              </w:rPr>
              <w:t></w:t>
            </w:r>
            <w:r>
              <w:rPr>
                <w:spacing w:val="-17"/>
                <w:sz w:val="24"/>
              </w:rPr>
              <w:t xml:space="preserve"> </w:t>
            </w:r>
            <w:r>
              <w:rPr>
                <w:spacing w:val="-2"/>
              </w:rPr>
              <w:t>Specially</w:t>
            </w:r>
            <w:r>
              <w:rPr>
                <w:spacing w:val="-5"/>
              </w:rPr>
              <w:t xml:space="preserve"> </w:t>
            </w:r>
            <w:r>
              <w:rPr>
                <w:spacing w:val="-2"/>
              </w:rPr>
              <w:t>manufactured</w:t>
            </w:r>
          </w:p>
        </w:tc>
      </w:tr>
    </w:tbl>
    <w:p w14:paraId="5A949887" w14:textId="77777777" w:rsidR="00BB77C0" w:rsidRDefault="00370BAA">
      <w:pPr>
        <w:pStyle w:val="BodyText"/>
        <w:spacing w:before="248"/>
        <w:ind w:left="888"/>
      </w:pPr>
      <w:r>
        <w:rPr>
          <w:spacing w:val="-2"/>
        </w:rPr>
        <w:t>Omit</w:t>
      </w:r>
      <w:r>
        <w:rPr>
          <w:spacing w:val="-14"/>
        </w:rPr>
        <w:t xml:space="preserve"> </w:t>
      </w:r>
      <w:r>
        <w:rPr>
          <w:spacing w:val="-2"/>
        </w:rPr>
        <w:t>the</w:t>
      </w:r>
      <w:r>
        <w:rPr>
          <w:spacing w:val="-12"/>
        </w:rPr>
        <w:t xml:space="preserve"> </w:t>
      </w:r>
      <w:r>
        <w:rPr>
          <w:spacing w:val="-2"/>
        </w:rPr>
        <w:t>following</w:t>
      </w:r>
      <w:r>
        <w:rPr>
          <w:spacing w:val="-12"/>
        </w:rPr>
        <w:t xml:space="preserve"> </w:t>
      </w:r>
      <w:r>
        <w:rPr>
          <w:spacing w:val="-2"/>
        </w:rPr>
        <w:t>information</w:t>
      </w:r>
      <w:r>
        <w:rPr>
          <w:spacing w:val="-12"/>
        </w:rPr>
        <w:t xml:space="preserve"> </w:t>
      </w:r>
      <w:r>
        <w:rPr>
          <w:spacing w:val="-2"/>
        </w:rPr>
        <w:t>for</w:t>
      </w:r>
      <w:r>
        <w:rPr>
          <w:spacing w:val="-3"/>
        </w:rPr>
        <w:t xml:space="preserve"> </w:t>
      </w:r>
      <w:r>
        <w:rPr>
          <w:spacing w:val="-2"/>
        </w:rPr>
        <w:t>equipment</w:t>
      </w:r>
      <w:r>
        <w:rPr>
          <w:spacing w:val="-5"/>
        </w:rPr>
        <w:t xml:space="preserve"> </w:t>
      </w:r>
      <w:r>
        <w:rPr>
          <w:spacing w:val="-2"/>
        </w:rPr>
        <w:t>owned</w:t>
      </w:r>
      <w:r>
        <w:rPr>
          <w:spacing w:val="-11"/>
        </w:rPr>
        <w:t xml:space="preserve"> </w:t>
      </w:r>
      <w:r>
        <w:rPr>
          <w:spacing w:val="-2"/>
        </w:rPr>
        <w:t>by</w:t>
      </w:r>
      <w:r>
        <w:rPr>
          <w:spacing w:val="-12"/>
        </w:rPr>
        <w:t xml:space="preserve"> </w:t>
      </w:r>
      <w:r>
        <w:rPr>
          <w:spacing w:val="-2"/>
        </w:rPr>
        <w:t>the</w:t>
      </w:r>
      <w:r>
        <w:rPr>
          <w:spacing w:val="-11"/>
        </w:rPr>
        <w:t xml:space="preserve"> </w:t>
      </w:r>
      <w:r>
        <w:rPr>
          <w:spacing w:val="-2"/>
        </w:rPr>
        <w:t>Tenderer.</w:t>
      </w:r>
    </w:p>
    <w:p w14:paraId="11AC6097" w14:textId="77777777" w:rsidR="00BB77C0" w:rsidRDefault="00BB77C0">
      <w:pPr>
        <w:pStyle w:val="BodyText"/>
        <w:rPr>
          <w:sz w:val="20"/>
        </w:rPr>
      </w:pPr>
    </w:p>
    <w:p w14:paraId="1D0249C3" w14:textId="77777777" w:rsidR="00BB77C0" w:rsidRDefault="00BB77C0">
      <w:pPr>
        <w:pStyle w:val="BodyText"/>
        <w:spacing w:before="54"/>
        <w:rPr>
          <w:sz w:val="20"/>
        </w:rPr>
      </w:pPr>
    </w:p>
    <w:tbl>
      <w:tblPr>
        <w:tblW w:w="0" w:type="auto"/>
        <w:tblInd w:w="14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441"/>
        <w:gridCol w:w="3962"/>
        <w:gridCol w:w="3693"/>
      </w:tblGrid>
      <w:tr w:rsidR="00BB77C0" w14:paraId="6D6B4353" w14:textId="77777777">
        <w:trPr>
          <w:trHeight w:val="253"/>
        </w:trPr>
        <w:tc>
          <w:tcPr>
            <w:tcW w:w="1441" w:type="dxa"/>
            <w:vMerge w:val="restart"/>
            <w:tcBorders>
              <w:bottom w:val="single" w:sz="4" w:space="0" w:color="000000"/>
            </w:tcBorders>
          </w:tcPr>
          <w:p w14:paraId="7BD48D8F" w14:textId="77777777" w:rsidR="00BB77C0" w:rsidRDefault="00370BAA">
            <w:pPr>
              <w:pStyle w:val="TableParagraph"/>
              <w:spacing w:line="249" w:lineRule="exact"/>
              <w:ind w:left="84"/>
            </w:pPr>
            <w:r>
              <w:rPr>
                <w:spacing w:val="-2"/>
              </w:rPr>
              <w:t>Owner</w:t>
            </w:r>
          </w:p>
        </w:tc>
        <w:tc>
          <w:tcPr>
            <w:tcW w:w="7655" w:type="dxa"/>
            <w:gridSpan w:val="2"/>
          </w:tcPr>
          <w:p w14:paraId="2447B158" w14:textId="77777777" w:rsidR="00BB77C0" w:rsidRDefault="00370BAA">
            <w:pPr>
              <w:pStyle w:val="TableParagraph"/>
              <w:spacing w:line="234" w:lineRule="exact"/>
              <w:ind w:left="83"/>
            </w:pPr>
            <w:r>
              <w:t>Name</w:t>
            </w:r>
            <w:r>
              <w:rPr>
                <w:spacing w:val="-14"/>
              </w:rPr>
              <w:t xml:space="preserve"> </w:t>
            </w:r>
            <w:r>
              <w:t>of</w:t>
            </w:r>
            <w:r>
              <w:rPr>
                <w:spacing w:val="-13"/>
              </w:rPr>
              <w:t xml:space="preserve"> </w:t>
            </w:r>
            <w:r>
              <w:rPr>
                <w:spacing w:val="-2"/>
              </w:rPr>
              <w:t>owner</w:t>
            </w:r>
          </w:p>
        </w:tc>
      </w:tr>
      <w:tr w:rsidR="00BB77C0" w14:paraId="3C38F0AA" w14:textId="77777777">
        <w:trPr>
          <w:trHeight w:val="757"/>
        </w:trPr>
        <w:tc>
          <w:tcPr>
            <w:tcW w:w="1441" w:type="dxa"/>
            <w:vMerge/>
            <w:tcBorders>
              <w:top w:val="nil"/>
              <w:bottom w:val="single" w:sz="4" w:space="0" w:color="000000"/>
            </w:tcBorders>
          </w:tcPr>
          <w:p w14:paraId="4702B67F" w14:textId="77777777" w:rsidR="00BB77C0" w:rsidRDefault="00BB77C0">
            <w:pPr>
              <w:rPr>
                <w:sz w:val="2"/>
                <w:szCs w:val="2"/>
              </w:rPr>
            </w:pPr>
          </w:p>
        </w:tc>
        <w:tc>
          <w:tcPr>
            <w:tcW w:w="7655" w:type="dxa"/>
            <w:gridSpan w:val="2"/>
          </w:tcPr>
          <w:p w14:paraId="4E1FFCFA" w14:textId="77777777" w:rsidR="00BB77C0" w:rsidRDefault="00370BAA">
            <w:pPr>
              <w:pStyle w:val="TableParagraph"/>
              <w:spacing w:line="249" w:lineRule="exact"/>
              <w:ind w:left="83"/>
            </w:pPr>
            <w:r>
              <w:rPr>
                <w:spacing w:val="-2"/>
              </w:rPr>
              <w:t>Address</w:t>
            </w:r>
            <w:r>
              <w:rPr>
                <w:spacing w:val="-9"/>
              </w:rPr>
              <w:t xml:space="preserve"> </w:t>
            </w:r>
            <w:r>
              <w:rPr>
                <w:spacing w:val="-2"/>
              </w:rPr>
              <w:t>of</w:t>
            </w:r>
            <w:r>
              <w:rPr>
                <w:spacing w:val="-5"/>
              </w:rPr>
              <w:t xml:space="preserve"> </w:t>
            </w:r>
            <w:r>
              <w:rPr>
                <w:spacing w:val="-4"/>
              </w:rPr>
              <w:t>owner</w:t>
            </w:r>
          </w:p>
        </w:tc>
      </w:tr>
      <w:tr w:rsidR="00BB77C0" w14:paraId="56E91331" w14:textId="77777777">
        <w:trPr>
          <w:trHeight w:val="254"/>
        </w:trPr>
        <w:tc>
          <w:tcPr>
            <w:tcW w:w="1441" w:type="dxa"/>
            <w:vMerge/>
            <w:tcBorders>
              <w:top w:val="nil"/>
              <w:bottom w:val="single" w:sz="4" w:space="0" w:color="000000"/>
            </w:tcBorders>
          </w:tcPr>
          <w:p w14:paraId="6F758E89" w14:textId="77777777" w:rsidR="00BB77C0" w:rsidRDefault="00BB77C0">
            <w:pPr>
              <w:rPr>
                <w:sz w:val="2"/>
                <w:szCs w:val="2"/>
              </w:rPr>
            </w:pPr>
          </w:p>
        </w:tc>
        <w:tc>
          <w:tcPr>
            <w:tcW w:w="3962" w:type="dxa"/>
          </w:tcPr>
          <w:p w14:paraId="0BEA0360" w14:textId="77777777" w:rsidR="00BB77C0" w:rsidRDefault="00370BAA">
            <w:pPr>
              <w:pStyle w:val="TableParagraph"/>
              <w:spacing w:line="234" w:lineRule="exact"/>
              <w:ind w:left="83"/>
            </w:pPr>
            <w:r>
              <w:rPr>
                <w:spacing w:val="-2"/>
              </w:rPr>
              <w:t>Telephone</w:t>
            </w:r>
          </w:p>
        </w:tc>
        <w:tc>
          <w:tcPr>
            <w:tcW w:w="3693" w:type="dxa"/>
          </w:tcPr>
          <w:p w14:paraId="2B90390B" w14:textId="77777777" w:rsidR="00BB77C0" w:rsidRDefault="00370BAA">
            <w:pPr>
              <w:pStyle w:val="TableParagraph"/>
              <w:spacing w:line="234" w:lineRule="exact"/>
              <w:ind w:left="83"/>
            </w:pPr>
            <w:r>
              <w:rPr>
                <w:spacing w:val="-2"/>
              </w:rPr>
              <w:t>Contact</w:t>
            </w:r>
            <w:r>
              <w:rPr>
                <w:spacing w:val="-11"/>
              </w:rPr>
              <w:t xml:space="preserve"> </w:t>
            </w:r>
            <w:r>
              <w:rPr>
                <w:spacing w:val="-2"/>
              </w:rPr>
              <w:t>name</w:t>
            </w:r>
            <w:r>
              <w:rPr>
                <w:spacing w:val="-10"/>
              </w:rPr>
              <w:t xml:space="preserve"> </w:t>
            </w:r>
            <w:r>
              <w:rPr>
                <w:spacing w:val="-2"/>
              </w:rPr>
              <w:t>and</w:t>
            </w:r>
            <w:r>
              <w:rPr>
                <w:spacing w:val="-12"/>
              </w:rPr>
              <w:t xml:space="preserve"> </w:t>
            </w:r>
            <w:r>
              <w:rPr>
                <w:spacing w:val="-4"/>
              </w:rPr>
              <w:t>title</w:t>
            </w:r>
          </w:p>
        </w:tc>
      </w:tr>
      <w:tr w:rsidR="00BB77C0" w14:paraId="5EA0CECE" w14:textId="77777777">
        <w:trPr>
          <w:trHeight w:val="253"/>
        </w:trPr>
        <w:tc>
          <w:tcPr>
            <w:tcW w:w="1441" w:type="dxa"/>
            <w:vMerge/>
            <w:tcBorders>
              <w:top w:val="nil"/>
              <w:bottom w:val="single" w:sz="4" w:space="0" w:color="000000"/>
            </w:tcBorders>
          </w:tcPr>
          <w:p w14:paraId="4692217B" w14:textId="77777777" w:rsidR="00BB77C0" w:rsidRDefault="00BB77C0">
            <w:pPr>
              <w:rPr>
                <w:sz w:val="2"/>
                <w:szCs w:val="2"/>
              </w:rPr>
            </w:pPr>
          </w:p>
        </w:tc>
        <w:tc>
          <w:tcPr>
            <w:tcW w:w="3962" w:type="dxa"/>
            <w:tcBorders>
              <w:bottom w:val="single" w:sz="4" w:space="0" w:color="000000"/>
            </w:tcBorders>
          </w:tcPr>
          <w:p w14:paraId="6F1B4DFD" w14:textId="77777777" w:rsidR="00BB77C0" w:rsidRDefault="00370BAA">
            <w:pPr>
              <w:pStyle w:val="TableParagraph"/>
              <w:spacing w:line="234" w:lineRule="exact"/>
              <w:ind w:left="83"/>
            </w:pPr>
            <w:r>
              <w:rPr>
                <w:spacing w:val="-5"/>
              </w:rPr>
              <w:t>Fax</w:t>
            </w:r>
          </w:p>
        </w:tc>
        <w:tc>
          <w:tcPr>
            <w:tcW w:w="3693" w:type="dxa"/>
            <w:tcBorders>
              <w:bottom w:val="single" w:sz="4" w:space="0" w:color="000000"/>
            </w:tcBorders>
          </w:tcPr>
          <w:p w14:paraId="058BC8BE" w14:textId="77777777" w:rsidR="00BB77C0" w:rsidRDefault="00370BAA">
            <w:pPr>
              <w:pStyle w:val="TableParagraph"/>
              <w:spacing w:line="234" w:lineRule="exact"/>
              <w:ind w:left="83"/>
            </w:pPr>
            <w:r>
              <w:rPr>
                <w:spacing w:val="-2"/>
              </w:rPr>
              <w:t>Telex</w:t>
            </w:r>
          </w:p>
        </w:tc>
      </w:tr>
      <w:tr w:rsidR="00BB77C0" w14:paraId="002D92B2" w14:textId="77777777">
        <w:trPr>
          <w:trHeight w:val="503"/>
        </w:trPr>
        <w:tc>
          <w:tcPr>
            <w:tcW w:w="1441" w:type="dxa"/>
            <w:tcBorders>
              <w:top w:val="single" w:sz="4" w:space="0" w:color="000000"/>
              <w:left w:val="single" w:sz="4" w:space="0" w:color="000000"/>
              <w:bottom w:val="single" w:sz="4" w:space="0" w:color="000000"/>
              <w:right w:val="single" w:sz="4" w:space="0" w:color="000000"/>
            </w:tcBorders>
          </w:tcPr>
          <w:p w14:paraId="5A2A8E00" w14:textId="77777777" w:rsidR="00BB77C0" w:rsidRDefault="00370BAA">
            <w:pPr>
              <w:pStyle w:val="TableParagraph"/>
              <w:spacing w:line="249" w:lineRule="exact"/>
              <w:ind w:left="86"/>
            </w:pPr>
            <w:r>
              <w:rPr>
                <w:spacing w:val="-2"/>
              </w:rPr>
              <w:t>Agreements</w:t>
            </w:r>
          </w:p>
        </w:tc>
        <w:tc>
          <w:tcPr>
            <w:tcW w:w="7655" w:type="dxa"/>
            <w:gridSpan w:val="2"/>
            <w:tcBorders>
              <w:top w:val="single" w:sz="4" w:space="0" w:color="000000"/>
              <w:left w:val="single" w:sz="4" w:space="0" w:color="000000"/>
              <w:bottom w:val="single" w:sz="4" w:space="0" w:color="000000"/>
              <w:right w:val="single" w:sz="4" w:space="0" w:color="000000"/>
            </w:tcBorders>
          </w:tcPr>
          <w:p w14:paraId="2D9675AF" w14:textId="77777777" w:rsidR="00BB77C0" w:rsidRDefault="00370BAA">
            <w:pPr>
              <w:pStyle w:val="TableParagraph"/>
              <w:spacing w:line="249" w:lineRule="exact"/>
              <w:ind w:left="86"/>
            </w:pPr>
            <w:r>
              <w:rPr>
                <w:spacing w:val="-2"/>
              </w:rPr>
              <w:t>Details</w:t>
            </w:r>
            <w:r>
              <w:rPr>
                <w:spacing w:val="-9"/>
              </w:rPr>
              <w:t xml:space="preserve"> </w:t>
            </w:r>
            <w:r>
              <w:rPr>
                <w:spacing w:val="-2"/>
              </w:rPr>
              <w:t>of</w:t>
            </w:r>
            <w:r>
              <w:rPr>
                <w:spacing w:val="-13"/>
              </w:rPr>
              <w:t xml:space="preserve"> </w:t>
            </w:r>
            <w:r>
              <w:rPr>
                <w:spacing w:val="-2"/>
              </w:rPr>
              <w:t>rental</w:t>
            </w:r>
            <w:r>
              <w:rPr>
                <w:spacing w:val="-11"/>
              </w:rPr>
              <w:t xml:space="preserve"> </w:t>
            </w:r>
            <w:r>
              <w:rPr>
                <w:spacing w:val="-2"/>
              </w:rPr>
              <w:t>/</w:t>
            </w:r>
            <w:r>
              <w:rPr>
                <w:spacing w:val="-5"/>
              </w:rPr>
              <w:t xml:space="preserve"> </w:t>
            </w:r>
            <w:r>
              <w:rPr>
                <w:spacing w:val="-2"/>
              </w:rPr>
              <w:t>lease</w:t>
            </w:r>
            <w:r>
              <w:rPr>
                <w:spacing w:val="-14"/>
              </w:rPr>
              <w:t xml:space="preserve"> </w:t>
            </w:r>
            <w:r>
              <w:rPr>
                <w:spacing w:val="-2"/>
              </w:rPr>
              <w:t>/</w:t>
            </w:r>
            <w:r>
              <w:rPr>
                <w:spacing w:val="-6"/>
              </w:rPr>
              <w:t xml:space="preserve"> </w:t>
            </w:r>
            <w:r>
              <w:rPr>
                <w:spacing w:val="-2"/>
              </w:rPr>
              <w:t>manufacture</w:t>
            </w:r>
            <w:r>
              <w:rPr>
                <w:spacing w:val="-14"/>
              </w:rPr>
              <w:t xml:space="preserve"> </w:t>
            </w:r>
            <w:r>
              <w:rPr>
                <w:spacing w:val="-2"/>
              </w:rPr>
              <w:t>agreements</w:t>
            </w:r>
            <w:r>
              <w:rPr>
                <w:spacing w:val="-5"/>
              </w:rPr>
              <w:t xml:space="preserve"> </w:t>
            </w:r>
            <w:r>
              <w:rPr>
                <w:spacing w:val="-2"/>
              </w:rPr>
              <w:t>specific</w:t>
            </w:r>
            <w:r>
              <w:rPr>
                <w:spacing w:val="-9"/>
              </w:rPr>
              <w:t xml:space="preserve"> </w:t>
            </w:r>
            <w:r>
              <w:rPr>
                <w:spacing w:val="-2"/>
              </w:rPr>
              <w:t>to</w:t>
            </w:r>
            <w:r>
              <w:rPr>
                <w:spacing w:val="-12"/>
              </w:rPr>
              <w:t xml:space="preserve"> </w:t>
            </w:r>
            <w:r>
              <w:rPr>
                <w:spacing w:val="-2"/>
              </w:rPr>
              <w:t>the</w:t>
            </w:r>
            <w:r>
              <w:rPr>
                <w:spacing w:val="-8"/>
              </w:rPr>
              <w:t xml:space="preserve"> </w:t>
            </w:r>
            <w:r>
              <w:rPr>
                <w:spacing w:val="-2"/>
              </w:rPr>
              <w:t>project</w:t>
            </w:r>
          </w:p>
        </w:tc>
      </w:tr>
      <w:tr w:rsidR="00BB77C0" w14:paraId="7286CB64" w14:textId="77777777">
        <w:trPr>
          <w:trHeight w:val="253"/>
        </w:trPr>
        <w:tc>
          <w:tcPr>
            <w:tcW w:w="1441" w:type="dxa"/>
            <w:tcBorders>
              <w:top w:val="single" w:sz="4" w:space="0" w:color="000000"/>
              <w:left w:val="single" w:sz="4" w:space="0" w:color="000000"/>
              <w:bottom w:val="single" w:sz="4" w:space="0" w:color="000000"/>
              <w:right w:val="single" w:sz="4" w:space="0" w:color="000000"/>
            </w:tcBorders>
          </w:tcPr>
          <w:p w14:paraId="6F615B27" w14:textId="77777777" w:rsidR="00BB77C0" w:rsidRDefault="00BB77C0">
            <w:pPr>
              <w:pStyle w:val="TableParagraph"/>
              <w:rPr>
                <w:sz w:val="18"/>
              </w:rPr>
            </w:pPr>
          </w:p>
        </w:tc>
        <w:tc>
          <w:tcPr>
            <w:tcW w:w="7655" w:type="dxa"/>
            <w:gridSpan w:val="2"/>
            <w:tcBorders>
              <w:top w:val="single" w:sz="4" w:space="0" w:color="000000"/>
              <w:left w:val="single" w:sz="4" w:space="0" w:color="000000"/>
              <w:bottom w:val="single" w:sz="4" w:space="0" w:color="000000"/>
              <w:right w:val="single" w:sz="4" w:space="0" w:color="000000"/>
            </w:tcBorders>
          </w:tcPr>
          <w:p w14:paraId="04F2D29F" w14:textId="77777777" w:rsidR="00BB77C0" w:rsidRDefault="00BB77C0">
            <w:pPr>
              <w:pStyle w:val="TableParagraph"/>
              <w:rPr>
                <w:sz w:val="18"/>
              </w:rPr>
            </w:pPr>
          </w:p>
        </w:tc>
      </w:tr>
      <w:tr w:rsidR="00BB77C0" w14:paraId="364D89FA" w14:textId="77777777">
        <w:trPr>
          <w:trHeight w:val="254"/>
        </w:trPr>
        <w:tc>
          <w:tcPr>
            <w:tcW w:w="1441" w:type="dxa"/>
            <w:tcBorders>
              <w:top w:val="single" w:sz="4" w:space="0" w:color="000000"/>
              <w:left w:val="single" w:sz="4" w:space="0" w:color="000000"/>
              <w:bottom w:val="single" w:sz="4" w:space="0" w:color="000000"/>
              <w:right w:val="single" w:sz="4" w:space="0" w:color="000000"/>
            </w:tcBorders>
          </w:tcPr>
          <w:p w14:paraId="3835ACEC" w14:textId="77777777" w:rsidR="00BB77C0" w:rsidRDefault="00BB77C0">
            <w:pPr>
              <w:pStyle w:val="TableParagraph"/>
              <w:rPr>
                <w:sz w:val="18"/>
              </w:rPr>
            </w:pPr>
          </w:p>
        </w:tc>
        <w:tc>
          <w:tcPr>
            <w:tcW w:w="7655" w:type="dxa"/>
            <w:gridSpan w:val="2"/>
            <w:tcBorders>
              <w:top w:val="single" w:sz="4" w:space="0" w:color="000000"/>
              <w:left w:val="single" w:sz="4" w:space="0" w:color="000000"/>
              <w:bottom w:val="single" w:sz="4" w:space="0" w:color="000000"/>
              <w:right w:val="single" w:sz="4" w:space="0" w:color="000000"/>
            </w:tcBorders>
          </w:tcPr>
          <w:p w14:paraId="7E379B4B" w14:textId="77777777" w:rsidR="00BB77C0" w:rsidRDefault="00BB77C0">
            <w:pPr>
              <w:pStyle w:val="TableParagraph"/>
              <w:rPr>
                <w:sz w:val="18"/>
              </w:rPr>
            </w:pPr>
          </w:p>
        </w:tc>
      </w:tr>
    </w:tbl>
    <w:p w14:paraId="57B30DDE" w14:textId="77777777" w:rsidR="00BB77C0" w:rsidRDefault="00BB77C0">
      <w:pPr>
        <w:pStyle w:val="TableParagraph"/>
        <w:rPr>
          <w:sz w:val="18"/>
        </w:rPr>
        <w:sectPr w:rsidR="00BB77C0">
          <w:pgSz w:w="11920" w:h="16850"/>
          <w:pgMar w:top="0" w:right="0" w:bottom="0" w:left="360" w:header="720" w:footer="720" w:gutter="0"/>
          <w:cols w:space="720"/>
        </w:sectPr>
      </w:pPr>
    </w:p>
    <w:p w14:paraId="0B27D385" w14:textId="77777777" w:rsidR="00BB77C0" w:rsidRDefault="00370BAA">
      <w:pPr>
        <w:pStyle w:val="BodyText"/>
        <w:rPr>
          <w:sz w:val="24"/>
        </w:rPr>
      </w:pPr>
      <w:r>
        <w:rPr>
          <w:noProof/>
          <w:sz w:val="24"/>
        </w:rPr>
        <w:lastRenderedPageBreak/>
        <mc:AlternateContent>
          <mc:Choice Requires="wpg">
            <w:drawing>
              <wp:anchor distT="0" distB="0" distL="0" distR="0" simplePos="0" relativeHeight="15736832" behindDoc="0" locked="0" layoutInCell="1" allowOverlap="1" wp14:anchorId="2DF56E30" wp14:editId="3B90F870">
                <wp:simplePos x="0" y="0"/>
                <wp:positionH relativeFrom="page">
                  <wp:posOffset>0</wp:posOffset>
                </wp:positionH>
                <wp:positionV relativeFrom="page">
                  <wp:posOffset>10234295</wp:posOffset>
                </wp:positionV>
                <wp:extent cx="7561580" cy="459105"/>
                <wp:effectExtent l="0" t="0" r="0" b="0"/>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1580" cy="459105"/>
                          <a:chOff x="0" y="0"/>
                          <a:chExt cx="7561580" cy="459105"/>
                        </a:xfrm>
                      </wpg:grpSpPr>
                      <wps:wsp>
                        <wps:cNvPr id="57" name="Graphic 57"/>
                        <wps:cNvSpPr/>
                        <wps:spPr>
                          <a:xfrm>
                            <a:off x="6449059" y="5714"/>
                            <a:ext cx="1110615" cy="451484"/>
                          </a:xfrm>
                          <a:custGeom>
                            <a:avLst/>
                            <a:gdLst/>
                            <a:ahLst/>
                            <a:cxnLst/>
                            <a:rect l="l" t="t" r="r" b="b"/>
                            <a:pathLst>
                              <a:path w="1110615" h="451484">
                                <a:moveTo>
                                  <a:pt x="1110614" y="0"/>
                                </a:moveTo>
                                <a:lnTo>
                                  <a:pt x="0" y="0"/>
                                </a:lnTo>
                                <a:lnTo>
                                  <a:pt x="260349" y="451483"/>
                                </a:lnTo>
                                <a:lnTo>
                                  <a:pt x="1110614" y="451483"/>
                                </a:lnTo>
                                <a:lnTo>
                                  <a:pt x="1110614" y="0"/>
                                </a:lnTo>
                                <a:close/>
                              </a:path>
                            </a:pathLst>
                          </a:custGeom>
                          <a:solidFill>
                            <a:srgbClr val="FAD2C1"/>
                          </a:solidFill>
                        </wps:spPr>
                        <wps:bodyPr wrap="square" lIns="0" tIns="0" rIns="0" bIns="0" rtlCol="0">
                          <a:prstTxWarp prst="textNoShape">
                            <a:avLst/>
                          </a:prstTxWarp>
                          <a:noAutofit/>
                        </wps:bodyPr>
                      </wps:wsp>
                      <wps:wsp>
                        <wps:cNvPr id="58" name="Graphic 58"/>
                        <wps:cNvSpPr/>
                        <wps:spPr>
                          <a:xfrm>
                            <a:off x="6449059" y="5714"/>
                            <a:ext cx="1110615" cy="451484"/>
                          </a:xfrm>
                          <a:custGeom>
                            <a:avLst/>
                            <a:gdLst/>
                            <a:ahLst/>
                            <a:cxnLst/>
                            <a:rect l="l" t="t" r="r" b="b"/>
                            <a:pathLst>
                              <a:path w="1110615" h="451484">
                                <a:moveTo>
                                  <a:pt x="0" y="0"/>
                                </a:moveTo>
                                <a:lnTo>
                                  <a:pt x="1110614" y="0"/>
                                </a:lnTo>
                                <a:lnTo>
                                  <a:pt x="1110614" y="451483"/>
                                </a:lnTo>
                                <a:lnTo>
                                  <a:pt x="260349" y="451483"/>
                                </a:lnTo>
                                <a:lnTo>
                                  <a:pt x="0" y="0"/>
                                </a:lnTo>
                              </a:path>
                            </a:pathLst>
                          </a:custGeom>
                          <a:ln w="3051">
                            <a:solidFill>
                              <a:srgbClr val="FAD2C1"/>
                            </a:solidFill>
                            <a:prstDash val="solid"/>
                          </a:ln>
                        </wps:spPr>
                        <wps:bodyPr wrap="square" lIns="0" tIns="0" rIns="0" bIns="0" rtlCol="0">
                          <a:prstTxWarp prst="textNoShape">
                            <a:avLst/>
                          </a:prstTxWarp>
                          <a:noAutofit/>
                        </wps:bodyPr>
                      </wps:wsp>
                      <wps:wsp>
                        <wps:cNvPr id="59" name="Graphic 59"/>
                        <wps:cNvSpPr/>
                        <wps:spPr>
                          <a:xfrm>
                            <a:off x="0" y="6350"/>
                            <a:ext cx="7560309" cy="1270"/>
                          </a:xfrm>
                          <a:custGeom>
                            <a:avLst/>
                            <a:gdLst/>
                            <a:ahLst/>
                            <a:cxnLst/>
                            <a:rect l="l" t="t" r="r" b="b"/>
                            <a:pathLst>
                              <a:path w="7560309">
                                <a:moveTo>
                                  <a:pt x="0" y="0"/>
                                </a:moveTo>
                                <a:lnTo>
                                  <a:pt x="7560309" y="0"/>
                                </a:lnTo>
                              </a:path>
                            </a:pathLst>
                          </a:custGeom>
                          <a:ln w="12700">
                            <a:solidFill>
                              <a:srgbClr val="FAD2C1"/>
                            </a:solidFill>
                            <a:prstDash val="solid"/>
                          </a:ln>
                        </wps:spPr>
                        <wps:bodyPr wrap="square" lIns="0" tIns="0" rIns="0" bIns="0" rtlCol="0">
                          <a:prstTxWarp prst="textNoShape">
                            <a:avLst/>
                          </a:prstTxWarp>
                          <a:noAutofit/>
                        </wps:bodyPr>
                      </wps:wsp>
                      <wps:wsp>
                        <wps:cNvPr id="60" name="Textbox 60"/>
                        <wps:cNvSpPr txBox="1"/>
                        <wps:spPr>
                          <a:xfrm>
                            <a:off x="6882130" y="37491"/>
                            <a:ext cx="147320" cy="155575"/>
                          </a:xfrm>
                          <a:prstGeom prst="rect">
                            <a:avLst/>
                          </a:prstGeom>
                        </wps:spPr>
                        <wps:txbx>
                          <w:txbxContent>
                            <w:p w14:paraId="6D87F9A6" w14:textId="77777777" w:rsidR="00BB77C0" w:rsidRDefault="00370BAA">
                              <w:pPr>
                                <w:spacing w:line="244" w:lineRule="exact"/>
                              </w:pPr>
                              <w:r>
                                <w:rPr>
                                  <w:spacing w:val="-5"/>
                                </w:rPr>
                                <w:t>61</w:t>
                              </w:r>
                            </w:p>
                          </w:txbxContent>
                        </wps:txbx>
                        <wps:bodyPr wrap="square" lIns="0" tIns="0" rIns="0" bIns="0" rtlCol="0">
                          <a:noAutofit/>
                        </wps:bodyPr>
                      </wps:wsp>
                    </wpg:wgp>
                  </a:graphicData>
                </a:graphic>
              </wp:anchor>
            </w:drawing>
          </mc:Choice>
          <mc:Fallback>
            <w:pict>
              <v:group w14:anchorId="2DF56E30" id="Group 56" o:spid="_x0000_s1042" style="position:absolute;margin-left:0;margin-top:805.85pt;width:595.4pt;height:36.15pt;z-index:15736832;mso-wrap-distance-left:0;mso-wrap-distance-right:0;mso-position-horizontal-relative:page;mso-position-vertical-relative:page" coordsize="75615,4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">
                <v:shape id="Graphic 57" o:spid="_x0000_s1043" style="position:absolute;left:64490;top:57;width:11106;height:4514;visibility:visible;mso-wrap-style:square;v-text-anchor:top" coordsize="1110615,4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" path="m1110614,l,,260349,451483r850265,l1110614,xe" fillcolor="#fad2c1" stroked="f">
                  <v:path arrowok="t"/>
                </v:shape>
                <v:shape id="Graphic 58" o:spid="_x0000_s1044" style="position:absolute;left:64490;top:57;width:11106;height:4514;visibility:visible;mso-wrap-style:square;v-text-anchor:top" coordsize="1110615,4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" path="m,l1110614,r,451483l260349,451483,,e" filled="f" strokecolor="#fad2c1" strokeweight=".08475mm">
                  <v:path arrowok="t"/>
                </v:shape>
                <v:shape id="Graphic 59" o:spid="_x0000_s1045" style="position:absolute;top:63;width:75603;height:13;visibility:visible;mso-wrap-style:square;v-text-anchor:top" coordsize="756030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" path="m,l7560309,e" filled="f" strokecolor="#fad2c1" strokeweight="1pt">
                  <v:path arrowok="t"/>
                </v:shape>
                <v:shape id="Textbox 60" o:spid="_x0000_s1046" type="#_x0000_t202" style="position:absolute;left:68821;top:374;width:1473;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14:paraId="6D87F9A6" w14:textId="77777777" w:rsidR="00BB77C0" w:rsidRDefault="00370BAA">
                        <w:pPr>
                          <w:spacing w:line="244" w:lineRule="exact"/>
                        </w:pPr>
                        <w:r>
                          <w:rPr>
                            <w:spacing w:val="-5"/>
                          </w:rPr>
                          <w:t>61</w:t>
                        </w:r>
                      </w:p>
                    </w:txbxContent>
                  </v:textbox>
                </v:shape>
                <w10:wrap anchorx="page" anchory="page"/>
              </v:group>
            </w:pict>
          </mc:Fallback>
        </mc:AlternateContent>
      </w:r>
      <w:r>
        <w:rPr>
          <w:noProof/>
          <w:sz w:val="24"/>
        </w:rPr>
        <mc:AlternateContent>
          <mc:Choice Requires="wpg">
            <w:drawing>
              <wp:anchor distT="0" distB="0" distL="0" distR="0" simplePos="0" relativeHeight="15737344" behindDoc="0" locked="0" layoutInCell="1" allowOverlap="1" wp14:anchorId="4397A1BA" wp14:editId="2B242986">
                <wp:simplePos x="0" y="0"/>
                <wp:positionH relativeFrom="page">
                  <wp:posOffset>0</wp:posOffset>
                </wp:positionH>
                <wp:positionV relativeFrom="page">
                  <wp:posOffset>762</wp:posOffset>
                </wp:positionV>
                <wp:extent cx="7559675" cy="228600"/>
                <wp:effectExtent l="0" t="0" r="0" b="0"/>
                <wp:wrapNone/>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675" cy="228600"/>
                          <a:chOff x="0" y="0"/>
                          <a:chExt cx="7559675" cy="228600"/>
                        </a:xfrm>
                      </wpg:grpSpPr>
                      <wps:wsp>
                        <wps:cNvPr id="62" name="Graphic 62"/>
                        <wps:cNvSpPr/>
                        <wps:spPr>
                          <a:xfrm>
                            <a:off x="0" y="0"/>
                            <a:ext cx="6701155" cy="228600"/>
                          </a:xfrm>
                          <a:custGeom>
                            <a:avLst/>
                            <a:gdLst/>
                            <a:ahLst/>
                            <a:cxnLst/>
                            <a:rect l="l" t="t" r="r" b="b"/>
                            <a:pathLst>
                              <a:path w="6701155" h="228600">
                                <a:moveTo>
                                  <a:pt x="6700647" y="0"/>
                                </a:moveTo>
                                <a:lnTo>
                                  <a:pt x="0" y="0"/>
                                </a:lnTo>
                                <a:lnTo>
                                  <a:pt x="0" y="223520"/>
                                </a:lnTo>
                                <a:lnTo>
                                  <a:pt x="6516497" y="228600"/>
                                </a:lnTo>
                                <a:lnTo>
                                  <a:pt x="6700647" y="0"/>
                                </a:lnTo>
                                <a:close/>
                              </a:path>
                            </a:pathLst>
                          </a:custGeom>
                          <a:solidFill>
                            <a:srgbClr val="E6E7E8"/>
                          </a:solidFill>
                        </wps:spPr>
                        <wps:bodyPr wrap="square" lIns="0" tIns="0" rIns="0" bIns="0" rtlCol="0">
                          <a:prstTxWarp prst="textNoShape">
                            <a:avLst/>
                          </a:prstTxWarp>
                          <a:noAutofit/>
                        </wps:bodyPr>
                      </wps:wsp>
                      <wps:wsp>
                        <wps:cNvPr id="63" name="Graphic 63"/>
                        <wps:cNvSpPr/>
                        <wps:spPr>
                          <a:xfrm>
                            <a:off x="6892925" y="0"/>
                            <a:ext cx="666750" cy="228600"/>
                          </a:xfrm>
                          <a:custGeom>
                            <a:avLst/>
                            <a:gdLst/>
                            <a:ahLst/>
                            <a:cxnLst/>
                            <a:rect l="l" t="t" r="r" b="b"/>
                            <a:pathLst>
                              <a:path w="666750" h="228600">
                                <a:moveTo>
                                  <a:pt x="666750" y="0"/>
                                </a:moveTo>
                                <a:lnTo>
                                  <a:pt x="126365" y="0"/>
                                </a:lnTo>
                                <a:lnTo>
                                  <a:pt x="0" y="228600"/>
                                </a:lnTo>
                                <a:lnTo>
                                  <a:pt x="666750" y="228600"/>
                                </a:lnTo>
                                <a:lnTo>
                                  <a:pt x="666750" y="0"/>
                                </a:lnTo>
                                <a:close/>
                              </a:path>
                            </a:pathLst>
                          </a:custGeom>
                          <a:solidFill>
                            <a:srgbClr val="EB1C22"/>
                          </a:solidFill>
                        </wps:spPr>
                        <wps:bodyPr wrap="square" lIns="0" tIns="0" rIns="0" bIns="0" rtlCol="0">
                          <a:prstTxWarp prst="textNoShape">
                            <a:avLst/>
                          </a:prstTxWarp>
                          <a:noAutofit/>
                        </wps:bodyPr>
                      </wps:wsp>
                      <wps:wsp>
                        <wps:cNvPr id="64" name="Graphic 64"/>
                        <wps:cNvSpPr/>
                        <wps:spPr>
                          <a:xfrm>
                            <a:off x="6664452" y="0"/>
                            <a:ext cx="330200" cy="228600"/>
                          </a:xfrm>
                          <a:custGeom>
                            <a:avLst/>
                            <a:gdLst/>
                            <a:ahLst/>
                            <a:cxnLst/>
                            <a:rect l="l" t="t" r="r" b="b"/>
                            <a:pathLst>
                              <a:path w="330200" h="228600">
                                <a:moveTo>
                                  <a:pt x="330073" y="0"/>
                                </a:moveTo>
                                <a:lnTo>
                                  <a:pt x="126365" y="0"/>
                                </a:lnTo>
                                <a:lnTo>
                                  <a:pt x="0" y="228600"/>
                                </a:lnTo>
                                <a:lnTo>
                                  <a:pt x="200532" y="228600"/>
                                </a:lnTo>
                                <a:lnTo>
                                  <a:pt x="330073" y="0"/>
                                </a:lnTo>
                                <a:close/>
                              </a:path>
                            </a:pathLst>
                          </a:custGeom>
                          <a:solidFill>
                            <a:srgbClr val="00A650"/>
                          </a:solidFill>
                        </wps:spPr>
                        <wps:bodyPr wrap="square" lIns="0" tIns="0" rIns="0" bIns="0" rtlCol="0">
                          <a:prstTxWarp prst="textNoShape">
                            <a:avLst/>
                          </a:prstTxWarp>
                          <a:noAutofit/>
                        </wps:bodyPr>
                      </wps:wsp>
                      <wps:wsp>
                        <wps:cNvPr id="65" name="Graphic 65"/>
                        <wps:cNvSpPr/>
                        <wps:spPr>
                          <a:xfrm>
                            <a:off x="6435216" y="0"/>
                            <a:ext cx="330200" cy="228600"/>
                          </a:xfrm>
                          <a:custGeom>
                            <a:avLst/>
                            <a:gdLst/>
                            <a:ahLst/>
                            <a:cxnLst/>
                            <a:rect l="l" t="t" r="r" b="b"/>
                            <a:pathLst>
                              <a:path w="330200" h="228600">
                                <a:moveTo>
                                  <a:pt x="330200" y="0"/>
                                </a:moveTo>
                                <a:lnTo>
                                  <a:pt x="126364" y="0"/>
                                </a:lnTo>
                                <a:lnTo>
                                  <a:pt x="0" y="228600"/>
                                </a:lnTo>
                                <a:lnTo>
                                  <a:pt x="200660" y="228600"/>
                                </a:lnTo>
                                <a:lnTo>
                                  <a:pt x="330200" y="0"/>
                                </a:lnTo>
                                <a:close/>
                              </a:path>
                            </a:pathLst>
                          </a:custGeom>
                          <a:solidFill>
                            <a:srgbClr val="A7A9AC"/>
                          </a:solidFill>
                        </wps:spPr>
                        <wps:bodyPr wrap="square" lIns="0" tIns="0" rIns="0" bIns="0" rtlCol="0">
                          <a:prstTxWarp prst="textNoShape">
                            <a:avLst/>
                          </a:prstTxWarp>
                          <a:noAutofit/>
                        </wps:bodyPr>
                      </wps:wsp>
                    </wpg:wgp>
                  </a:graphicData>
                </a:graphic>
              </wp:anchor>
            </w:drawing>
          </mc:Choice>
          <mc:Fallback>
            <w:pict>
              <v:group w14:anchorId="3B00CA70" id="Group 61" o:spid="_x0000_s1026" style="position:absolute;margin-left:0;margin-top:.05pt;width:595.25pt;height:18pt;z-index:15737344;mso-wrap-distance-left:0;mso-wrap-distance-right:0;mso-position-horizontal-relative:page;mso-position-vertical-relative:page" coordsize="75596,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">
                <v:shape id="Graphic 62" o:spid="_x0000_s1027" style="position:absolute;width:67011;height:2286;visibility:visible;mso-wrap-style:square;v-text-anchor:top" coordsize="670115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" path="m6700647,l,,,223520r6516497,5080l6700647,xe" fillcolor="#e6e7e8" stroked="f">
                  <v:path arrowok="t"/>
                </v:shape>
                <v:shape id="Graphic 63" o:spid="_x0000_s1028" style="position:absolute;left:68929;width:6667;height:2286;visibility:visible;mso-wrap-style:square;v-text-anchor:top" coordsize="6667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" path="m666750,l126365,,,228600r666750,l666750,xe" fillcolor="#eb1c22" stroked="f">
                  <v:path arrowok="t"/>
                </v:shape>
                <v:shape id="Graphic 64" o:spid="_x0000_s1029" style="position:absolute;left:66644;width:3302;height:2286;visibility:visible;mso-wrap-style:square;v-text-anchor:top" coordsize="3302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" path="m330073,l126365,,,228600r200532,l330073,xe" fillcolor="#00a650" stroked="f">
                  <v:path arrowok="t"/>
                </v:shape>
                <v:shape id="Graphic 65" o:spid="_x0000_s1030" style="position:absolute;left:64352;width:3302;height:2286;visibility:visible;mso-wrap-style:square;v-text-anchor:top" coordsize="3302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" path="m330200,l126364,,,228600r200660,l330200,xe" fillcolor="#a7a9ac" stroked="f">
                  <v:path arrowok="t"/>
                </v:shape>
                <w10:wrap anchorx="page" anchory="page"/>
              </v:group>
            </w:pict>
          </mc:Fallback>
        </mc:AlternateContent>
      </w:r>
    </w:p>
    <w:p w14:paraId="11EA4EF0" w14:textId="77777777" w:rsidR="00BB77C0" w:rsidRDefault="00BB77C0">
      <w:pPr>
        <w:pStyle w:val="BodyText"/>
        <w:rPr>
          <w:sz w:val="24"/>
        </w:rPr>
      </w:pPr>
    </w:p>
    <w:p w14:paraId="64E31AD0" w14:textId="77777777" w:rsidR="00BB77C0" w:rsidRDefault="00BB77C0">
      <w:pPr>
        <w:pStyle w:val="BodyText"/>
        <w:spacing w:before="207"/>
        <w:rPr>
          <w:sz w:val="24"/>
        </w:rPr>
      </w:pPr>
    </w:p>
    <w:p w14:paraId="77887E4B" w14:textId="77777777" w:rsidR="00BB77C0" w:rsidRDefault="00370BAA">
      <w:pPr>
        <w:pStyle w:val="Heading5"/>
        <w:numPr>
          <w:ilvl w:val="0"/>
          <w:numId w:val="64"/>
        </w:numPr>
        <w:tabs>
          <w:tab w:val="left" w:pos="835"/>
        </w:tabs>
        <w:ind w:left="835" w:hanging="345"/>
        <w:rPr>
          <w:color w:val="211F1F"/>
        </w:rPr>
      </w:pPr>
      <w:bookmarkStart w:id="136" w:name="2._FORM_PER_-1"/>
      <w:bookmarkEnd w:id="136"/>
      <w:r>
        <w:rPr>
          <w:color w:val="211F1F"/>
          <w:spacing w:val="-2"/>
        </w:rPr>
        <w:t>FORM</w:t>
      </w:r>
      <w:r>
        <w:rPr>
          <w:color w:val="211F1F"/>
          <w:spacing w:val="-16"/>
        </w:rPr>
        <w:t xml:space="preserve"> </w:t>
      </w:r>
      <w:r>
        <w:rPr>
          <w:color w:val="211F1F"/>
          <w:spacing w:val="-2"/>
        </w:rPr>
        <w:t>PER</w:t>
      </w:r>
      <w:r>
        <w:rPr>
          <w:color w:val="211F1F"/>
          <w:spacing w:val="-21"/>
        </w:rPr>
        <w:t xml:space="preserve"> </w:t>
      </w:r>
      <w:r>
        <w:rPr>
          <w:color w:val="211F1F"/>
          <w:spacing w:val="-2"/>
        </w:rPr>
        <w:t>-</w:t>
      </w:r>
      <w:r>
        <w:rPr>
          <w:color w:val="211F1F"/>
          <w:spacing w:val="-10"/>
        </w:rPr>
        <w:t>1</w:t>
      </w:r>
    </w:p>
    <w:p w14:paraId="4A61F031" w14:textId="77777777" w:rsidR="00BB77C0" w:rsidRDefault="00370BAA">
      <w:pPr>
        <w:pStyle w:val="Heading7"/>
        <w:spacing w:before="252"/>
        <w:ind w:left="490"/>
        <w:jc w:val="both"/>
      </w:pPr>
      <w:bookmarkStart w:id="137" w:name="Contractor's_Representative_and_Key_Pers"/>
      <w:bookmarkEnd w:id="137"/>
      <w:r>
        <w:rPr>
          <w:color w:val="211F1F"/>
          <w:spacing w:val="-4"/>
        </w:rPr>
        <w:t>Contractor's</w:t>
      </w:r>
      <w:r>
        <w:rPr>
          <w:color w:val="211F1F"/>
          <w:spacing w:val="-9"/>
        </w:rPr>
        <w:t xml:space="preserve"> </w:t>
      </w:r>
      <w:r>
        <w:rPr>
          <w:color w:val="211F1F"/>
          <w:spacing w:val="-4"/>
        </w:rPr>
        <w:t>Representative</w:t>
      </w:r>
      <w:r>
        <w:rPr>
          <w:color w:val="211F1F"/>
          <w:spacing w:val="-5"/>
        </w:rPr>
        <w:t xml:space="preserve"> </w:t>
      </w:r>
      <w:r>
        <w:rPr>
          <w:color w:val="211F1F"/>
          <w:spacing w:val="-4"/>
        </w:rPr>
        <w:t>and</w:t>
      </w:r>
      <w:r>
        <w:rPr>
          <w:color w:val="211F1F"/>
          <w:spacing w:val="-7"/>
        </w:rPr>
        <w:t xml:space="preserve"> </w:t>
      </w:r>
      <w:r>
        <w:rPr>
          <w:color w:val="211F1F"/>
          <w:spacing w:val="-4"/>
        </w:rPr>
        <w:t>Key</w:t>
      </w:r>
      <w:r>
        <w:rPr>
          <w:color w:val="211F1F"/>
          <w:spacing w:val="-2"/>
        </w:rPr>
        <w:t xml:space="preserve"> </w:t>
      </w:r>
      <w:r>
        <w:rPr>
          <w:color w:val="211F1F"/>
          <w:spacing w:val="-4"/>
        </w:rPr>
        <w:t>Personnel</w:t>
      </w:r>
      <w:r>
        <w:rPr>
          <w:color w:val="211F1F"/>
          <w:spacing w:val="32"/>
        </w:rPr>
        <w:t xml:space="preserve"> </w:t>
      </w:r>
      <w:r>
        <w:rPr>
          <w:color w:val="211F1F"/>
          <w:spacing w:val="-4"/>
        </w:rPr>
        <w:t>Schedule</w:t>
      </w:r>
    </w:p>
    <w:p w14:paraId="2A4865D6" w14:textId="77777777" w:rsidR="00BB77C0" w:rsidRDefault="00370BAA">
      <w:pPr>
        <w:pStyle w:val="BodyText"/>
        <w:spacing w:before="233" w:line="232" w:lineRule="auto"/>
        <w:ind w:left="490" w:right="710"/>
        <w:jc w:val="both"/>
      </w:pPr>
      <w:r>
        <w:rPr>
          <w:color w:val="211F1F"/>
        </w:rPr>
        <w:t>Tenderers</w:t>
      </w:r>
      <w:r>
        <w:rPr>
          <w:color w:val="211F1F"/>
          <w:spacing w:val="-14"/>
        </w:rPr>
        <w:t xml:space="preserve"> </w:t>
      </w:r>
      <w:r>
        <w:rPr>
          <w:color w:val="211F1F"/>
        </w:rPr>
        <w:t>should</w:t>
      </w:r>
      <w:r>
        <w:rPr>
          <w:color w:val="211F1F"/>
          <w:spacing w:val="-14"/>
        </w:rPr>
        <w:t xml:space="preserve"> </w:t>
      </w:r>
      <w:r>
        <w:rPr>
          <w:color w:val="211F1F"/>
        </w:rPr>
        <w:t>provide</w:t>
      </w:r>
      <w:r>
        <w:rPr>
          <w:color w:val="211F1F"/>
          <w:spacing w:val="-14"/>
        </w:rPr>
        <w:t xml:space="preserve"> </w:t>
      </w:r>
      <w:r>
        <w:rPr>
          <w:color w:val="211F1F"/>
        </w:rPr>
        <w:t>the</w:t>
      </w:r>
      <w:r>
        <w:rPr>
          <w:color w:val="211F1F"/>
          <w:spacing w:val="-13"/>
        </w:rPr>
        <w:t xml:space="preserve"> </w:t>
      </w:r>
      <w:r>
        <w:rPr>
          <w:color w:val="211F1F"/>
        </w:rPr>
        <w:t>names</w:t>
      </w:r>
      <w:r>
        <w:rPr>
          <w:color w:val="211F1F"/>
          <w:spacing w:val="-14"/>
        </w:rPr>
        <w:t xml:space="preserve"> </w:t>
      </w:r>
      <w:r>
        <w:rPr>
          <w:color w:val="211F1F"/>
        </w:rPr>
        <w:t>and</w:t>
      </w:r>
      <w:r>
        <w:rPr>
          <w:color w:val="211F1F"/>
          <w:spacing w:val="-14"/>
        </w:rPr>
        <w:t xml:space="preserve"> </w:t>
      </w:r>
      <w:r>
        <w:rPr>
          <w:color w:val="211F1F"/>
        </w:rPr>
        <w:t>details</w:t>
      </w:r>
      <w:r>
        <w:rPr>
          <w:color w:val="211F1F"/>
          <w:spacing w:val="-14"/>
        </w:rPr>
        <w:t xml:space="preserve"> </w:t>
      </w:r>
      <w:r>
        <w:rPr>
          <w:color w:val="211F1F"/>
        </w:rPr>
        <w:t>of</w:t>
      </w:r>
      <w:r>
        <w:rPr>
          <w:color w:val="211F1F"/>
          <w:spacing w:val="-13"/>
        </w:rPr>
        <w:t xml:space="preserve"> </w:t>
      </w:r>
      <w:r>
        <w:rPr>
          <w:color w:val="211F1F"/>
        </w:rPr>
        <w:t>the</w:t>
      </w:r>
      <w:r>
        <w:rPr>
          <w:color w:val="211F1F"/>
          <w:spacing w:val="-14"/>
        </w:rPr>
        <w:t xml:space="preserve"> </w:t>
      </w:r>
      <w:r>
        <w:rPr>
          <w:color w:val="211F1F"/>
        </w:rPr>
        <w:t>suitably</w:t>
      </w:r>
      <w:r>
        <w:rPr>
          <w:color w:val="211F1F"/>
          <w:spacing w:val="-14"/>
        </w:rPr>
        <w:t xml:space="preserve"> </w:t>
      </w:r>
      <w:r>
        <w:rPr>
          <w:color w:val="211F1F"/>
        </w:rPr>
        <w:t>qualified</w:t>
      </w:r>
      <w:r>
        <w:rPr>
          <w:color w:val="211F1F"/>
          <w:spacing w:val="-14"/>
        </w:rPr>
        <w:t xml:space="preserve"> </w:t>
      </w:r>
      <w:r>
        <w:rPr>
          <w:color w:val="211F1F"/>
        </w:rPr>
        <w:t>Contractor's</w:t>
      </w:r>
      <w:r>
        <w:rPr>
          <w:color w:val="211F1F"/>
          <w:spacing w:val="-13"/>
        </w:rPr>
        <w:t xml:space="preserve"> </w:t>
      </w:r>
      <w:r>
        <w:rPr>
          <w:color w:val="211F1F"/>
        </w:rPr>
        <w:t>Representative</w:t>
      </w:r>
      <w:r>
        <w:rPr>
          <w:color w:val="211F1F"/>
          <w:spacing w:val="-14"/>
        </w:rPr>
        <w:t xml:space="preserve"> </w:t>
      </w:r>
      <w:r>
        <w:rPr>
          <w:color w:val="211F1F"/>
        </w:rPr>
        <w:t>and</w:t>
      </w:r>
      <w:r>
        <w:rPr>
          <w:color w:val="211F1F"/>
          <w:spacing w:val="-14"/>
        </w:rPr>
        <w:t xml:space="preserve"> </w:t>
      </w:r>
      <w:r>
        <w:rPr>
          <w:color w:val="211F1F"/>
        </w:rPr>
        <w:t>Key</w:t>
      </w:r>
      <w:r>
        <w:rPr>
          <w:color w:val="211F1F"/>
          <w:spacing w:val="-14"/>
        </w:rPr>
        <w:t xml:space="preserve"> </w:t>
      </w:r>
      <w:r>
        <w:rPr>
          <w:color w:val="211F1F"/>
        </w:rPr>
        <w:t xml:space="preserve">Personnel to perform the Contract. The data on their experience should be supplied using the Form PER-2 below for each </w:t>
      </w:r>
      <w:r>
        <w:rPr>
          <w:color w:val="211F1F"/>
          <w:spacing w:val="-2"/>
        </w:rPr>
        <w:t>candidate.</w:t>
      </w:r>
    </w:p>
    <w:p w14:paraId="36779B02" w14:textId="77777777" w:rsidR="00BB77C0" w:rsidRDefault="00370BAA">
      <w:pPr>
        <w:spacing w:before="237"/>
        <w:ind w:left="490"/>
        <w:jc w:val="both"/>
        <w:rPr>
          <w:b/>
        </w:rPr>
      </w:pPr>
      <w:r>
        <w:rPr>
          <w:b/>
          <w:color w:val="211F1F"/>
        </w:rPr>
        <w:t>Contractor'</w:t>
      </w:r>
      <w:r>
        <w:rPr>
          <w:b/>
          <w:color w:val="211F1F"/>
          <w:spacing w:val="-9"/>
        </w:rPr>
        <w:t xml:space="preserve"> </w:t>
      </w:r>
      <w:r>
        <w:rPr>
          <w:b/>
          <w:color w:val="211F1F"/>
        </w:rPr>
        <w:t>Representative</w:t>
      </w:r>
      <w:r>
        <w:rPr>
          <w:b/>
          <w:color w:val="211F1F"/>
          <w:spacing w:val="-11"/>
        </w:rPr>
        <w:t xml:space="preserve"> </w:t>
      </w:r>
      <w:r>
        <w:rPr>
          <w:b/>
          <w:color w:val="211F1F"/>
        </w:rPr>
        <w:t>and</w:t>
      </w:r>
      <w:r>
        <w:rPr>
          <w:b/>
          <w:color w:val="211F1F"/>
          <w:spacing w:val="-11"/>
        </w:rPr>
        <w:t xml:space="preserve"> </w:t>
      </w:r>
      <w:r>
        <w:rPr>
          <w:b/>
          <w:color w:val="211F1F"/>
        </w:rPr>
        <w:t>Key</w:t>
      </w:r>
      <w:r>
        <w:rPr>
          <w:b/>
          <w:color w:val="211F1F"/>
          <w:spacing w:val="-9"/>
        </w:rPr>
        <w:t xml:space="preserve"> </w:t>
      </w:r>
      <w:r>
        <w:rPr>
          <w:b/>
          <w:color w:val="211F1F"/>
          <w:spacing w:val="-2"/>
        </w:rPr>
        <w:t>Personnel</w:t>
      </w:r>
    </w:p>
    <w:p w14:paraId="25827485" w14:textId="77777777" w:rsidR="00BB77C0" w:rsidRDefault="00BB77C0">
      <w:pPr>
        <w:pStyle w:val="BodyText"/>
        <w:spacing w:before="6"/>
        <w:rPr>
          <w:b/>
          <w:sz w:val="15"/>
        </w:rPr>
      </w:pPr>
    </w:p>
    <w:tbl>
      <w:tblPr>
        <w:tblW w:w="0" w:type="auto"/>
        <w:tblInd w:w="4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20"/>
        <w:gridCol w:w="2353"/>
        <w:gridCol w:w="7203"/>
      </w:tblGrid>
      <w:tr w:rsidR="00BB77C0" w14:paraId="01E96C99" w14:textId="77777777">
        <w:trPr>
          <w:trHeight w:val="249"/>
        </w:trPr>
        <w:tc>
          <w:tcPr>
            <w:tcW w:w="720" w:type="dxa"/>
            <w:vMerge w:val="restart"/>
          </w:tcPr>
          <w:p w14:paraId="18BCCF29" w14:textId="77777777" w:rsidR="00BB77C0" w:rsidRDefault="00370BAA">
            <w:pPr>
              <w:pStyle w:val="TableParagraph"/>
              <w:spacing w:line="249" w:lineRule="exact"/>
              <w:ind w:left="83"/>
              <w:rPr>
                <w:b/>
              </w:rPr>
            </w:pPr>
            <w:r>
              <w:rPr>
                <w:b/>
                <w:spacing w:val="-5"/>
              </w:rPr>
              <w:t>1.</w:t>
            </w:r>
          </w:p>
        </w:tc>
        <w:tc>
          <w:tcPr>
            <w:tcW w:w="9556" w:type="dxa"/>
            <w:gridSpan w:val="2"/>
          </w:tcPr>
          <w:p w14:paraId="1E641E41" w14:textId="77777777" w:rsidR="00BB77C0" w:rsidRDefault="00370BAA">
            <w:pPr>
              <w:pStyle w:val="TableParagraph"/>
              <w:spacing w:line="229" w:lineRule="exact"/>
              <w:ind w:left="83"/>
              <w:rPr>
                <w:b/>
              </w:rPr>
            </w:pPr>
            <w:r>
              <w:rPr>
                <w:b/>
                <w:spacing w:val="-2"/>
              </w:rPr>
              <w:t>Title</w:t>
            </w:r>
            <w:r>
              <w:rPr>
                <w:b/>
                <w:spacing w:val="-14"/>
              </w:rPr>
              <w:t xml:space="preserve"> </w:t>
            </w:r>
            <w:r>
              <w:rPr>
                <w:b/>
                <w:spacing w:val="-2"/>
              </w:rPr>
              <w:t>of</w:t>
            </w:r>
            <w:r>
              <w:rPr>
                <w:b/>
                <w:spacing w:val="-12"/>
              </w:rPr>
              <w:t xml:space="preserve"> </w:t>
            </w:r>
            <w:r>
              <w:rPr>
                <w:b/>
                <w:spacing w:val="-2"/>
              </w:rPr>
              <w:t>position:</w:t>
            </w:r>
            <w:r>
              <w:rPr>
                <w:b/>
                <w:spacing w:val="-10"/>
              </w:rPr>
              <w:t xml:space="preserve"> </w:t>
            </w:r>
            <w:r>
              <w:rPr>
                <w:b/>
                <w:spacing w:val="-2"/>
              </w:rPr>
              <w:t>Contractor’s</w:t>
            </w:r>
            <w:r>
              <w:rPr>
                <w:b/>
                <w:spacing w:val="-8"/>
              </w:rPr>
              <w:t xml:space="preserve"> </w:t>
            </w:r>
            <w:r>
              <w:rPr>
                <w:b/>
                <w:spacing w:val="-2"/>
              </w:rPr>
              <w:t>Representative</w:t>
            </w:r>
          </w:p>
        </w:tc>
      </w:tr>
      <w:tr w:rsidR="00BB77C0" w14:paraId="3A48E852" w14:textId="77777777">
        <w:trPr>
          <w:trHeight w:val="253"/>
        </w:trPr>
        <w:tc>
          <w:tcPr>
            <w:tcW w:w="720" w:type="dxa"/>
            <w:vMerge/>
            <w:tcBorders>
              <w:top w:val="nil"/>
            </w:tcBorders>
          </w:tcPr>
          <w:p w14:paraId="72F7D9E8" w14:textId="77777777" w:rsidR="00BB77C0" w:rsidRDefault="00BB77C0">
            <w:pPr>
              <w:rPr>
                <w:sz w:val="2"/>
                <w:szCs w:val="2"/>
              </w:rPr>
            </w:pPr>
          </w:p>
        </w:tc>
        <w:tc>
          <w:tcPr>
            <w:tcW w:w="9556" w:type="dxa"/>
            <w:gridSpan w:val="2"/>
          </w:tcPr>
          <w:p w14:paraId="296F9F8F" w14:textId="77777777" w:rsidR="00BB77C0" w:rsidRDefault="00370BAA">
            <w:pPr>
              <w:pStyle w:val="TableParagraph"/>
              <w:spacing w:line="234" w:lineRule="exact"/>
              <w:ind w:left="83"/>
              <w:rPr>
                <w:b/>
              </w:rPr>
            </w:pPr>
            <w:r>
              <w:rPr>
                <w:b/>
                <w:spacing w:val="-2"/>
              </w:rPr>
              <w:t>Name</w:t>
            </w:r>
            <w:r>
              <w:rPr>
                <w:b/>
                <w:spacing w:val="-6"/>
              </w:rPr>
              <w:t xml:space="preserve"> </w:t>
            </w:r>
            <w:r>
              <w:rPr>
                <w:b/>
                <w:spacing w:val="-2"/>
              </w:rPr>
              <w:t>of</w:t>
            </w:r>
            <w:r>
              <w:rPr>
                <w:b/>
                <w:spacing w:val="-10"/>
              </w:rPr>
              <w:t xml:space="preserve"> </w:t>
            </w:r>
            <w:r>
              <w:rPr>
                <w:b/>
                <w:spacing w:val="-2"/>
              </w:rPr>
              <w:t>candidate:</w:t>
            </w:r>
          </w:p>
        </w:tc>
      </w:tr>
      <w:tr w:rsidR="00BB77C0" w14:paraId="5E8A65DF" w14:textId="77777777">
        <w:trPr>
          <w:trHeight w:val="508"/>
        </w:trPr>
        <w:tc>
          <w:tcPr>
            <w:tcW w:w="720" w:type="dxa"/>
            <w:vMerge/>
            <w:tcBorders>
              <w:top w:val="nil"/>
            </w:tcBorders>
          </w:tcPr>
          <w:p w14:paraId="1A05748C" w14:textId="77777777" w:rsidR="00BB77C0" w:rsidRDefault="00BB77C0">
            <w:pPr>
              <w:rPr>
                <w:sz w:val="2"/>
                <w:szCs w:val="2"/>
              </w:rPr>
            </w:pPr>
          </w:p>
        </w:tc>
        <w:tc>
          <w:tcPr>
            <w:tcW w:w="2353" w:type="dxa"/>
          </w:tcPr>
          <w:p w14:paraId="5E54E1C5" w14:textId="77777777" w:rsidR="00BB77C0" w:rsidRDefault="00370BAA">
            <w:pPr>
              <w:pStyle w:val="TableParagraph"/>
              <w:spacing w:line="254" w:lineRule="exact"/>
              <w:ind w:left="83"/>
              <w:rPr>
                <w:b/>
              </w:rPr>
            </w:pPr>
            <w:r>
              <w:rPr>
                <w:b/>
              </w:rPr>
              <w:t xml:space="preserve">Duration of </w:t>
            </w:r>
            <w:r>
              <w:rPr>
                <w:b/>
                <w:spacing w:val="-4"/>
              </w:rPr>
              <w:t>appointment:</w:t>
            </w:r>
          </w:p>
        </w:tc>
        <w:tc>
          <w:tcPr>
            <w:tcW w:w="7203" w:type="dxa"/>
          </w:tcPr>
          <w:p w14:paraId="79662445" w14:textId="77777777" w:rsidR="00BB77C0" w:rsidRDefault="00370BAA">
            <w:pPr>
              <w:pStyle w:val="TableParagraph"/>
              <w:spacing w:line="254" w:lineRule="exact"/>
              <w:ind w:left="83" w:right="35"/>
            </w:pPr>
            <w:r>
              <w:t>[</w:t>
            </w:r>
            <w:r>
              <w:rPr>
                <w:i/>
              </w:rPr>
              <w:t>insert</w:t>
            </w:r>
            <w:r>
              <w:rPr>
                <w:i/>
                <w:spacing w:val="-4"/>
              </w:rPr>
              <w:t xml:space="preserve"> </w:t>
            </w:r>
            <w:r>
              <w:rPr>
                <w:i/>
              </w:rPr>
              <w:t>the</w:t>
            </w:r>
            <w:r>
              <w:rPr>
                <w:i/>
                <w:spacing w:val="-9"/>
              </w:rPr>
              <w:t xml:space="preserve"> </w:t>
            </w:r>
            <w:r>
              <w:rPr>
                <w:i/>
              </w:rPr>
              <w:t>whole</w:t>
            </w:r>
            <w:r>
              <w:rPr>
                <w:i/>
                <w:spacing w:val="-8"/>
              </w:rPr>
              <w:t xml:space="preserve"> </w:t>
            </w:r>
            <w:r>
              <w:rPr>
                <w:i/>
              </w:rPr>
              <w:t>period</w:t>
            </w:r>
            <w:r>
              <w:rPr>
                <w:i/>
                <w:spacing w:val="-7"/>
              </w:rPr>
              <w:t xml:space="preserve"> </w:t>
            </w:r>
            <w:r>
              <w:rPr>
                <w:i/>
              </w:rPr>
              <w:t>(start and</w:t>
            </w:r>
            <w:r>
              <w:rPr>
                <w:i/>
                <w:spacing w:val="-7"/>
              </w:rPr>
              <w:t xml:space="preserve"> </w:t>
            </w:r>
            <w:r>
              <w:rPr>
                <w:i/>
              </w:rPr>
              <w:t>end</w:t>
            </w:r>
            <w:r>
              <w:rPr>
                <w:i/>
                <w:spacing w:val="-12"/>
              </w:rPr>
              <w:t xml:space="preserve"> </w:t>
            </w:r>
            <w:r>
              <w:rPr>
                <w:i/>
              </w:rPr>
              <w:t>dates)</w:t>
            </w:r>
            <w:r>
              <w:rPr>
                <w:i/>
                <w:spacing w:val="-7"/>
              </w:rPr>
              <w:t xml:space="preserve"> </w:t>
            </w:r>
            <w:r>
              <w:rPr>
                <w:i/>
              </w:rPr>
              <w:t>for</w:t>
            </w:r>
            <w:r>
              <w:rPr>
                <w:i/>
                <w:spacing w:val="-6"/>
              </w:rPr>
              <w:t xml:space="preserve"> </w:t>
            </w:r>
            <w:r>
              <w:rPr>
                <w:i/>
              </w:rPr>
              <w:t>which</w:t>
            </w:r>
            <w:r>
              <w:rPr>
                <w:i/>
                <w:spacing w:val="-6"/>
              </w:rPr>
              <w:t xml:space="preserve"> </w:t>
            </w:r>
            <w:r>
              <w:rPr>
                <w:i/>
              </w:rPr>
              <w:t>this</w:t>
            </w:r>
            <w:r>
              <w:rPr>
                <w:i/>
                <w:spacing w:val="-5"/>
              </w:rPr>
              <w:t xml:space="preserve"> </w:t>
            </w:r>
            <w:r>
              <w:rPr>
                <w:i/>
              </w:rPr>
              <w:t>position</w:t>
            </w:r>
            <w:r>
              <w:rPr>
                <w:i/>
                <w:spacing w:val="-11"/>
              </w:rPr>
              <w:t xml:space="preserve"> </w:t>
            </w:r>
            <w:r>
              <w:rPr>
                <w:i/>
              </w:rPr>
              <w:t xml:space="preserve">will be </w:t>
            </w:r>
            <w:r>
              <w:rPr>
                <w:i/>
                <w:spacing w:val="-2"/>
              </w:rPr>
              <w:t>engaged</w:t>
            </w:r>
            <w:r>
              <w:rPr>
                <w:spacing w:val="-2"/>
              </w:rPr>
              <w:t>]</w:t>
            </w:r>
          </w:p>
        </w:tc>
      </w:tr>
      <w:tr w:rsidR="00BB77C0" w14:paraId="29B42268" w14:textId="77777777">
        <w:trPr>
          <w:trHeight w:val="503"/>
        </w:trPr>
        <w:tc>
          <w:tcPr>
            <w:tcW w:w="720" w:type="dxa"/>
            <w:vMerge/>
            <w:tcBorders>
              <w:top w:val="nil"/>
            </w:tcBorders>
          </w:tcPr>
          <w:p w14:paraId="7E73111F" w14:textId="77777777" w:rsidR="00BB77C0" w:rsidRDefault="00BB77C0">
            <w:pPr>
              <w:rPr>
                <w:sz w:val="2"/>
                <w:szCs w:val="2"/>
              </w:rPr>
            </w:pPr>
          </w:p>
        </w:tc>
        <w:tc>
          <w:tcPr>
            <w:tcW w:w="2353" w:type="dxa"/>
          </w:tcPr>
          <w:p w14:paraId="1F64CECB" w14:textId="77777777" w:rsidR="00BB77C0" w:rsidRDefault="00370BAA">
            <w:pPr>
              <w:pStyle w:val="TableParagraph"/>
              <w:spacing w:before="3" w:line="240" w:lineRule="exact"/>
              <w:ind w:left="83"/>
              <w:rPr>
                <w:b/>
              </w:rPr>
            </w:pPr>
            <w:r>
              <w:rPr>
                <w:b/>
                <w:spacing w:val="-2"/>
              </w:rPr>
              <w:t>Time</w:t>
            </w:r>
            <w:r>
              <w:rPr>
                <w:b/>
                <w:spacing w:val="-12"/>
              </w:rPr>
              <w:t xml:space="preserve"> </w:t>
            </w:r>
            <w:r>
              <w:rPr>
                <w:b/>
                <w:spacing w:val="-2"/>
              </w:rPr>
              <w:t>commitment:</w:t>
            </w:r>
            <w:r>
              <w:rPr>
                <w:b/>
                <w:spacing w:val="-12"/>
              </w:rPr>
              <w:t xml:space="preserve"> </w:t>
            </w:r>
            <w:r>
              <w:rPr>
                <w:b/>
                <w:spacing w:val="-2"/>
              </w:rPr>
              <w:t xml:space="preserve">for </w:t>
            </w:r>
            <w:r>
              <w:rPr>
                <w:b/>
              </w:rPr>
              <w:t>this position:</w:t>
            </w:r>
          </w:p>
        </w:tc>
        <w:tc>
          <w:tcPr>
            <w:tcW w:w="7203" w:type="dxa"/>
          </w:tcPr>
          <w:p w14:paraId="795E1763" w14:textId="77777777" w:rsidR="00BB77C0" w:rsidRDefault="00370BAA">
            <w:pPr>
              <w:pStyle w:val="TableParagraph"/>
              <w:spacing w:before="3" w:line="240" w:lineRule="exact"/>
              <w:ind w:left="83" w:right="35"/>
            </w:pPr>
            <w:r>
              <w:t>[</w:t>
            </w:r>
            <w:r>
              <w:rPr>
                <w:i/>
              </w:rPr>
              <w:t>insert</w:t>
            </w:r>
            <w:r>
              <w:rPr>
                <w:i/>
                <w:spacing w:val="-7"/>
              </w:rPr>
              <w:t xml:space="preserve"> </w:t>
            </w:r>
            <w:r>
              <w:rPr>
                <w:i/>
              </w:rPr>
              <w:t>the</w:t>
            </w:r>
            <w:r>
              <w:rPr>
                <w:i/>
                <w:spacing w:val="-11"/>
              </w:rPr>
              <w:t xml:space="preserve"> </w:t>
            </w:r>
            <w:r>
              <w:rPr>
                <w:i/>
              </w:rPr>
              <w:t>number</w:t>
            </w:r>
            <w:r>
              <w:rPr>
                <w:i/>
                <w:spacing w:val="-8"/>
              </w:rPr>
              <w:t xml:space="preserve"> </w:t>
            </w:r>
            <w:r>
              <w:rPr>
                <w:i/>
              </w:rPr>
              <w:t>of</w:t>
            </w:r>
            <w:r>
              <w:rPr>
                <w:i/>
                <w:spacing w:val="-8"/>
              </w:rPr>
              <w:t xml:space="preserve"> </w:t>
            </w:r>
            <w:r>
              <w:rPr>
                <w:i/>
              </w:rPr>
              <w:t>days/week/months/</w:t>
            </w:r>
            <w:r>
              <w:rPr>
                <w:i/>
                <w:spacing w:val="-7"/>
              </w:rPr>
              <w:t xml:space="preserve"> </w:t>
            </w:r>
            <w:r>
              <w:rPr>
                <w:i/>
              </w:rPr>
              <w:t>that</w:t>
            </w:r>
            <w:r>
              <w:rPr>
                <w:i/>
                <w:spacing w:val="-12"/>
              </w:rPr>
              <w:t xml:space="preserve"> </w:t>
            </w:r>
            <w:r>
              <w:rPr>
                <w:i/>
              </w:rPr>
              <w:t>has</w:t>
            </w:r>
            <w:r>
              <w:rPr>
                <w:i/>
                <w:spacing w:val="-8"/>
              </w:rPr>
              <w:t xml:space="preserve"> </w:t>
            </w:r>
            <w:r>
              <w:rPr>
                <w:i/>
              </w:rPr>
              <w:t>been</w:t>
            </w:r>
            <w:r>
              <w:rPr>
                <w:i/>
                <w:spacing w:val="-14"/>
              </w:rPr>
              <w:t xml:space="preserve"> </w:t>
            </w:r>
            <w:r>
              <w:rPr>
                <w:i/>
              </w:rPr>
              <w:t>scheduled</w:t>
            </w:r>
            <w:r>
              <w:rPr>
                <w:i/>
                <w:spacing w:val="-8"/>
              </w:rPr>
              <w:t xml:space="preserve"> </w:t>
            </w:r>
            <w:r>
              <w:rPr>
                <w:i/>
              </w:rPr>
              <w:t>for</w:t>
            </w:r>
            <w:r>
              <w:rPr>
                <w:i/>
                <w:spacing w:val="-8"/>
              </w:rPr>
              <w:t xml:space="preserve"> </w:t>
            </w:r>
            <w:r>
              <w:rPr>
                <w:i/>
              </w:rPr>
              <w:t xml:space="preserve">this </w:t>
            </w:r>
            <w:r>
              <w:rPr>
                <w:i/>
                <w:spacing w:val="-2"/>
              </w:rPr>
              <w:t>position</w:t>
            </w:r>
            <w:r>
              <w:rPr>
                <w:spacing w:val="-2"/>
              </w:rPr>
              <w:t>]</w:t>
            </w:r>
          </w:p>
        </w:tc>
      </w:tr>
      <w:tr w:rsidR="00BB77C0" w14:paraId="5BF16442" w14:textId="77777777">
        <w:trPr>
          <w:trHeight w:val="508"/>
        </w:trPr>
        <w:tc>
          <w:tcPr>
            <w:tcW w:w="720" w:type="dxa"/>
            <w:vMerge/>
            <w:tcBorders>
              <w:top w:val="nil"/>
            </w:tcBorders>
          </w:tcPr>
          <w:p w14:paraId="7E98C9EB" w14:textId="77777777" w:rsidR="00BB77C0" w:rsidRDefault="00BB77C0">
            <w:pPr>
              <w:rPr>
                <w:sz w:val="2"/>
                <w:szCs w:val="2"/>
              </w:rPr>
            </w:pPr>
          </w:p>
        </w:tc>
        <w:tc>
          <w:tcPr>
            <w:tcW w:w="2353" w:type="dxa"/>
          </w:tcPr>
          <w:p w14:paraId="468729EB" w14:textId="77777777" w:rsidR="00BB77C0" w:rsidRDefault="00370BAA">
            <w:pPr>
              <w:pStyle w:val="TableParagraph"/>
              <w:spacing w:before="6" w:line="228" w:lineRule="auto"/>
              <w:ind w:left="83"/>
              <w:rPr>
                <w:b/>
              </w:rPr>
            </w:pPr>
            <w:r>
              <w:rPr>
                <w:b/>
                <w:spacing w:val="-2"/>
              </w:rPr>
              <w:t>Expected</w:t>
            </w:r>
            <w:r>
              <w:rPr>
                <w:b/>
                <w:spacing w:val="-12"/>
              </w:rPr>
              <w:t xml:space="preserve"> </w:t>
            </w:r>
            <w:r>
              <w:rPr>
                <w:b/>
                <w:spacing w:val="-2"/>
              </w:rPr>
              <w:t>time</w:t>
            </w:r>
            <w:r>
              <w:rPr>
                <w:b/>
                <w:spacing w:val="-12"/>
              </w:rPr>
              <w:t xml:space="preserve"> </w:t>
            </w:r>
            <w:r>
              <w:rPr>
                <w:b/>
                <w:spacing w:val="-2"/>
              </w:rPr>
              <w:t xml:space="preserve">schedule </w:t>
            </w:r>
            <w:r>
              <w:rPr>
                <w:b/>
              </w:rPr>
              <w:t>for this position:</w:t>
            </w:r>
          </w:p>
        </w:tc>
        <w:tc>
          <w:tcPr>
            <w:tcW w:w="7203" w:type="dxa"/>
          </w:tcPr>
          <w:p w14:paraId="4A5FE56D" w14:textId="77777777" w:rsidR="00BB77C0" w:rsidRDefault="00370BAA">
            <w:pPr>
              <w:pStyle w:val="TableParagraph"/>
              <w:spacing w:line="254" w:lineRule="exact"/>
              <w:ind w:left="83" w:right="35"/>
            </w:pPr>
            <w:r>
              <w:t>[</w:t>
            </w:r>
            <w:r>
              <w:rPr>
                <w:i/>
              </w:rPr>
              <w:t>insert the</w:t>
            </w:r>
            <w:r>
              <w:rPr>
                <w:i/>
                <w:spacing w:val="-8"/>
              </w:rPr>
              <w:t xml:space="preserve"> </w:t>
            </w:r>
            <w:r>
              <w:rPr>
                <w:i/>
              </w:rPr>
              <w:t>expected</w:t>
            </w:r>
            <w:r>
              <w:rPr>
                <w:i/>
                <w:spacing w:val="-6"/>
              </w:rPr>
              <w:t xml:space="preserve"> </w:t>
            </w:r>
            <w:r>
              <w:rPr>
                <w:i/>
              </w:rPr>
              <w:t>time</w:t>
            </w:r>
            <w:r>
              <w:rPr>
                <w:i/>
                <w:spacing w:val="-7"/>
              </w:rPr>
              <w:t xml:space="preserve"> </w:t>
            </w:r>
            <w:r>
              <w:rPr>
                <w:i/>
              </w:rPr>
              <w:t>schedule</w:t>
            </w:r>
            <w:r>
              <w:rPr>
                <w:i/>
                <w:spacing w:val="-7"/>
              </w:rPr>
              <w:t xml:space="preserve"> </w:t>
            </w:r>
            <w:r>
              <w:rPr>
                <w:i/>
              </w:rPr>
              <w:t>for</w:t>
            </w:r>
            <w:r>
              <w:rPr>
                <w:i/>
                <w:spacing w:val="-6"/>
              </w:rPr>
              <w:t xml:space="preserve"> </w:t>
            </w:r>
            <w:r>
              <w:rPr>
                <w:i/>
              </w:rPr>
              <w:t>this</w:t>
            </w:r>
            <w:r>
              <w:rPr>
                <w:i/>
                <w:spacing w:val="-6"/>
              </w:rPr>
              <w:t xml:space="preserve"> </w:t>
            </w:r>
            <w:r>
              <w:rPr>
                <w:i/>
              </w:rPr>
              <w:t>position</w:t>
            </w:r>
            <w:r>
              <w:rPr>
                <w:i/>
                <w:spacing w:val="-9"/>
              </w:rPr>
              <w:t xml:space="preserve"> </w:t>
            </w:r>
            <w:r>
              <w:rPr>
                <w:i/>
              </w:rPr>
              <w:t>(e.g.</w:t>
            </w:r>
            <w:r>
              <w:rPr>
                <w:i/>
                <w:spacing w:val="-8"/>
              </w:rPr>
              <w:t xml:space="preserve"> </w:t>
            </w:r>
            <w:r>
              <w:rPr>
                <w:i/>
              </w:rPr>
              <w:t>attach</w:t>
            </w:r>
            <w:r>
              <w:rPr>
                <w:i/>
                <w:spacing w:val="-6"/>
              </w:rPr>
              <w:t xml:space="preserve"> </w:t>
            </w:r>
            <w:r>
              <w:rPr>
                <w:i/>
              </w:rPr>
              <w:t>high</w:t>
            </w:r>
            <w:r>
              <w:rPr>
                <w:i/>
                <w:spacing w:val="-10"/>
              </w:rPr>
              <w:t xml:space="preserve"> </w:t>
            </w:r>
            <w:r>
              <w:rPr>
                <w:i/>
              </w:rPr>
              <w:t xml:space="preserve">level Gantt </w:t>
            </w:r>
            <w:r>
              <w:rPr>
                <w:i/>
                <w:spacing w:val="-2"/>
              </w:rPr>
              <w:t>chart</w:t>
            </w:r>
            <w:r>
              <w:rPr>
                <w:spacing w:val="-2"/>
              </w:rPr>
              <w:t>]</w:t>
            </w:r>
          </w:p>
        </w:tc>
      </w:tr>
      <w:tr w:rsidR="00BB77C0" w14:paraId="19BF9822" w14:textId="77777777">
        <w:trPr>
          <w:trHeight w:val="249"/>
        </w:trPr>
        <w:tc>
          <w:tcPr>
            <w:tcW w:w="720" w:type="dxa"/>
            <w:vMerge w:val="restart"/>
          </w:tcPr>
          <w:p w14:paraId="56A013C3" w14:textId="77777777" w:rsidR="00BB77C0" w:rsidRDefault="00370BAA">
            <w:pPr>
              <w:pStyle w:val="TableParagraph"/>
              <w:spacing w:line="249" w:lineRule="exact"/>
              <w:ind w:left="83"/>
              <w:rPr>
                <w:b/>
              </w:rPr>
            </w:pPr>
            <w:r>
              <w:rPr>
                <w:b/>
                <w:spacing w:val="-5"/>
              </w:rPr>
              <w:t>2.</w:t>
            </w:r>
          </w:p>
        </w:tc>
        <w:tc>
          <w:tcPr>
            <w:tcW w:w="9556" w:type="dxa"/>
            <w:gridSpan w:val="2"/>
          </w:tcPr>
          <w:p w14:paraId="56230D3C" w14:textId="77777777" w:rsidR="00BB77C0" w:rsidRDefault="00370BAA">
            <w:pPr>
              <w:pStyle w:val="TableParagraph"/>
              <w:tabs>
                <w:tab w:val="left" w:pos="4112"/>
              </w:tabs>
              <w:spacing w:line="229" w:lineRule="exact"/>
              <w:ind w:left="83"/>
              <w:rPr>
                <w:i/>
              </w:rPr>
            </w:pPr>
            <w:r>
              <w:rPr>
                <w:b/>
                <w:spacing w:val="-2"/>
              </w:rPr>
              <w:t>Title</w:t>
            </w:r>
            <w:r>
              <w:rPr>
                <w:b/>
                <w:spacing w:val="-10"/>
              </w:rPr>
              <w:t xml:space="preserve"> </w:t>
            </w:r>
            <w:r>
              <w:rPr>
                <w:b/>
                <w:spacing w:val="-2"/>
              </w:rPr>
              <w:t>of</w:t>
            </w:r>
            <w:r>
              <w:rPr>
                <w:b/>
                <w:spacing w:val="-10"/>
              </w:rPr>
              <w:t xml:space="preserve"> </w:t>
            </w:r>
            <w:r>
              <w:rPr>
                <w:b/>
                <w:spacing w:val="-2"/>
              </w:rPr>
              <w:t>position:</w:t>
            </w:r>
            <w:r>
              <w:rPr>
                <w:b/>
                <w:spacing w:val="-10"/>
              </w:rPr>
              <w:t xml:space="preserve"> </w:t>
            </w:r>
            <w:r>
              <w:rPr>
                <w:i/>
                <w:spacing w:val="-10"/>
              </w:rPr>
              <w:t>[</w:t>
            </w:r>
            <w:r>
              <w:rPr>
                <w:i/>
              </w:rPr>
              <w:tab/>
            </w:r>
            <w:r>
              <w:rPr>
                <w:i/>
                <w:spacing w:val="-10"/>
              </w:rPr>
              <w:t>]</w:t>
            </w:r>
          </w:p>
        </w:tc>
      </w:tr>
      <w:tr w:rsidR="00BB77C0" w14:paraId="2412BB10" w14:textId="77777777">
        <w:trPr>
          <w:trHeight w:val="254"/>
        </w:trPr>
        <w:tc>
          <w:tcPr>
            <w:tcW w:w="720" w:type="dxa"/>
            <w:vMerge/>
            <w:tcBorders>
              <w:top w:val="nil"/>
            </w:tcBorders>
          </w:tcPr>
          <w:p w14:paraId="663C01F4" w14:textId="77777777" w:rsidR="00BB77C0" w:rsidRDefault="00BB77C0">
            <w:pPr>
              <w:rPr>
                <w:sz w:val="2"/>
                <w:szCs w:val="2"/>
              </w:rPr>
            </w:pPr>
          </w:p>
        </w:tc>
        <w:tc>
          <w:tcPr>
            <w:tcW w:w="9556" w:type="dxa"/>
            <w:gridSpan w:val="2"/>
          </w:tcPr>
          <w:p w14:paraId="2723D0EC" w14:textId="77777777" w:rsidR="00BB77C0" w:rsidRDefault="00370BAA">
            <w:pPr>
              <w:pStyle w:val="TableParagraph"/>
              <w:spacing w:line="234" w:lineRule="exact"/>
              <w:ind w:left="83"/>
              <w:rPr>
                <w:b/>
              </w:rPr>
            </w:pPr>
            <w:r>
              <w:rPr>
                <w:b/>
                <w:spacing w:val="-2"/>
              </w:rPr>
              <w:t>Name</w:t>
            </w:r>
            <w:r>
              <w:rPr>
                <w:b/>
                <w:spacing w:val="-6"/>
              </w:rPr>
              <w:t xml:space="preserve"> </w:t>
            </w:r>
            <w:r>
              <w:rPr>
                <w:b/>
                <w:spacing w:val="-2"/>
              </w:rPr>
              <w:t>of</w:t>
            </w:r>
            <w:r>
              <w:rPr>
                <w:b/>
                <w:spacing w:val="-10"/>
              </w:rPr>
              <w:t xml:space="preserve"> </w:t>
            </w:r>
            <w:r>
              <w:rPr>
                <w:b/>
                <w:spacing w:val="-2"/>
              </w:rPr>
              <w:t>candidate:</w:t>
            </w:r>
          </w:p>
        </w:tc>
      </w:tr>
      <w:tr w:rsidR="00BB77C0" w14:paraId="52EEA3D4" w14:textId="77777777">
        <w:trPr>
          <w:trHeight w:val="503"/>
        </w:trPr>
        <w:tc>
          <w:tcPr>
            <w:tcW w:w="720" w:type="dxa"/>
            <w:vMerge/>
            <w:tcBorders>
              <w:top w:val="nil"/>
            </w:tcBorders>
          </w:tcPr>
          <w:p w14:paraId="7D9F19AB" w14:textId="77777777" w:rsidR="00BB77C0" w:rsidRDefault="00BB77C0">
            <w:pPr>
              <w:rPr>
                <w:sz w:val="2"/>
                <w:szCs w:val="2"/>
              </w:rPr>
            </w:pPr>
          </w:p>
        </w:tc>
        <w:tc>
          <w:tcPr>
            <w:tcW w:w="2353" w:type="dxa"/>
          </w:tcPr>
          <w:p w14:paraId="5BA8B28D" w14:textId="77777777" w:rsidR="00BB77C0" w:rsidRDefault="00370BAA">
            <w:pPr>
              <w:pStyle w:val="TableParagraph"/>
              <w:spacing w:line="250" w:lineRule="exact"/>
              <w:ind w:left="83"/>
              <w:rPr>
                <w:b/>
              </w:rPr>
            </w:pPr>
            <w:r>
              <w:rPr>
                <w:b/>
              </w:rPr>
              <w:t xml:space="preserve">Duration of </w:t>
            </w:r>
            <w:r>
              <w:rPr>
                <w:b/>
                <w:spacing w:val="-4"/>
              </w:rPr>
              <w:t>appointment:</w:t>
            </w:r>
          </w:p>
        </w:tc>
        <w:tc>
          <w:tcPr>
            <w:tcW w:w="7203" w:type="dxa"/>
          </w:tcPr>
          <w:p w14:paraId="71D6A7C2" w14:textId="77777777" w:rsidR="00BB77C0" w:rsidRDefault="00370BAA">
            <w:pPr>
              <w:pStyle w:val="TableParagraph"/>
              <w:spacing w:line="250" w:lineRule="exact"/>
              <w:ind w:left="83" w:right="35"/>
            </w:pPr>
            <w:r>
              <w:t>[</w:t>
            </w:r>
            <w:r>
              <w:rPr>
                <w:i/>
              </w:rPr>
              <w:t>insert</w:t>
            </w:r>
            <w:r>
              <w:rPr>
                <w:i/>
                <w:spacing w:val="-4"/>
              </w:rPr>
              <w:t xml:space="preserve"> </w:t>
            </w:r>
            <w:r>
              <w:rPr>
                <w:i/>
              </w:rPr>
              <w:t>the</w:t>
            </w:r>
            <w:r>
              <w:rPr>
                <w:i/>
                <w:spacing w:val="-9"/>
              </w:rPr>
              <w:t xml:space="preserve"> </w:t>
            </w:r>
            <w:r>
              <w:rPr>
                <w:i/>
              </w:rPr>
              <w:t>whole</w:t>
            </w:r>
            <w:r>
              <w:rPr>
                <w:i/>
                <w:spacing w:val="-8"/>
              </w:rPr>
              <w:t xml:space="preserve"> </w:t>
            </w:r>
            <w:r>
              <w:rPr>
                <w:i/>
              </w:rPr>
              <w:t>period</w:t>
            </w:r>
            <w:r>
              <w:rPr>
                <w:i/>
                <w:spacing w:val="-7"/>
              </w:rPr>
              <w:t xml:space="preserve"> </w:t>
            </w:r>
            <w:r>
              <w:rPr>
                <w:i/>
              </w:rPr>
              <w:t>(start and</w:t>
            </w:r>
            <w:r>
              <w:rPr>
                <w:i/>
                <w:spacing w:val="-7"/>
              </w:rPr>
              <w:t xml:space="preserve"> </w:t>
            </w:r>
            <w:r>
              <w:rPr>
                <w:i/>
              </w:rPr>
              <w:t>end</w:t>
            </w:r>
            <w:r>
              <w:rPr>
                <w:i/>
                <w:spacing w:val="-12"/>
              </w:rPr>
              <w:t xml:space="preserve"> </w:t>
            </w:r>
            <w:r>
              <w:rPr>
                <w:i/>
              </w:rPr>
              <w:t>dates)</w:t>
            </w:r>
            <w:r>
              <w:rPr>
                <w:i/>
                <w:spacing w:val="-7"/>
              </w:rPr>
              <w:t xml:space="preserve"> </w:t>
            </w:r>
            <w:r>
              <w:rPr>
                <w:i/>
              </w:rPr>
              <w:t>for</w:t>
            </w:r>
            <w:r>
              <w:rPr>
                <w:i/>
                <w:spacing w:val="-6"/>
              </w:rPr>
              <w:t xml:space="preserve"> </w:t>
            </w:r>
            <w:r>
              <w:rPr>
                <w:i/>
              </w:rPr>
              <w:t>which</w:t>
            </w:r>
            <w:r>
              <w:rPr>
                <w:i/>
                <w:spacing w:val="-6"/>
              </w:rPr>
              <w:t xml:space="preserve"> </w:t>
            </w:r>
            <w:r>
              <w:rPr>
                <w:i/>
              </w:rPr>
              <w:t>this</w:t>
            </w:r>
            <w:r>
              <w:rPr>
                <w:i/>
                <w:spacing w:val="-5"/>
              </w:rPr>
              <w:t xml:space="preserve"> </w:t>
            </w:r>
            <w:r>
              <w:rPr>
                <w:i/>
              </w:rPr>
              <w:t>position</w:t>
            </w:r>
            <w:r>
              <w:rPr>
                <w:i/>
                <w:spacing w:val="-11"/>
              </w:rPr>
              <w:t xml:space="preserve"> </w:t>
            </w:r>
            <w:r>
              <w:rPr>
                <w:i/>
              </w:rPr>
              <w:t xml:space="preserve">will be </w:t>
            </w:r>
            <w:r>
              <w:rPr>
                <w:i/>
                <w:spacing w:val="-2"/>
              </w:rPr>
              <w:t>engaged</w:t>
            </w:r>
            <w:r>
              <w:rPr>
                <w:spacing w:val="-2"/>
              </w:rPr>
              <w:t>]</w:t>
            </w:r>
          </w:p>
        </w:tc>
      </w:tr>
      <w:tr w:rsidR="00BB77C0" w14:paraId="58248DDB" w14:textId="77777777">
        <w:trPr>
          <w:trHeight w:val="508"/>
        </w:trPr>
        <w:tc>
          <w:tcPr>
            <w:tcW w:w="720" w:type="dxa"/>
            <w:vMerge/>
            <w:tcBorders>
              <w:top w:val="nil"/>
            </w:tcBorders>
          </w:tcPr>
          <w:p w14:paraId="280FDAA7" w14:textId="77777777" w:rsidR="00BB77C0" w:rsidRDefault="00BB77C0">
            <w:pPr>
              <w:rPr>
                <w:sz w:val="2"/>
                <w:szCs w:val="2"/>
              </w:rPr>
            </w:pPr>
          </w:p>
        </w:tc>
        <w:tc>
          <w:tcPr>
            <w:tcW w:w="2353" w:type="dxa"/>
          </w:tcPr>
          <w:p w14:paraId="0343FBF5" w14:textId="77777777" w:rsidR="00BB77C0" w:rsidRDefault="00370BAA">
            <w:pPr>
              <w:pStyle w:val="TableParagraph"/>
              <w:spacing w:line="254" w:lineRule="exact"/>
              <w:ind w:left="83"/>
              <w:rPr>
                <w:b/>
              </w:rPr>
            </w:pPr>
            <w:r>
              <w:rPr>
                <w:b/>
                <w:spacing w:val="-2"/>
              </w:rPr>
              <w:t>Time</w:t>
            </w:r>
            <w:r>
              <w:rPr>
                <w:b/>
                <w:spacing w:val="-13"/>
              </w:rPr>
              <w:t xml:space="preserve"> </w:t>
            </w:r>
            <w:r>
              <w:rPr>
                <w:b/>
                <w:spacing w:val="-2"/>
              </w:rPr>
              <w:t>commitment:</w:t>
            </w:r>
            <w:r>
              <w:rPr>
                <w:b/>
                <w:spacing w:val="-12"/>
              </w:rPr>
              <w:t xml:space="preserve"> </w:t>
            </w:r>
            <w:r>
              <w:rPr>
                <w:b/>
                <w:spacing w:val="-2"/>
              </w:rPr>
              <w:t xml:space="preserve">for </w:t>
            </w:r>
            <w:r>
              <w:rPr>
                <w:b/>
              </w:rPr>
              <w:t>this position:</w:t>
            </w:r>
          </w:p>
        </w:tc>
        <w:tc>
          <w:tcPr>
            <w:tcW w:w="7203" w:type="dxa"/>
          </w:tcPr>
          <w:p w14:paraId="62259DD3" w14:textId="77777777" w:rsidR="00BB77C0" w:rsidRDefault="00370BAA">
            <w:pPr>
              <w:pStyle w:val="TableParagraph"/>
              <w:spacing w:line="254" w:lineRule="exact"/>
              <w:ind w:left="83" w:right="35"/>
            </w:pPr>
            <w:r>
              <w:t>[</w:t>
            </w:r>
            <w:r>
              <w:rPr>
                <w:i/>
              </w:rPr>
              <w:t>insert</w:t>
            </w:r>
            <w:r>
              <w:rPr>
                <w:i/>
                <w:spacing w:val="-4"/>
              </w:rPr>
              <w:t xml:space="preserve"> </w:t>
            </w:r>
            <w:r>
              <w:rPr>
                <w:i/>
              </w:rPr>
              <w:t>the</w:t>
            </w:r>
            <w:r>
              <w:rPr>
                <w:i/>
                <w:spacing w:val="-9"/>
              </w:rPr>
              <w:t xml:space="preserve"> </w:t>
            </w:r>
            <w:r>
              <w:rPr>
                <w:i/>
              </w:rPr>
              <w:t>number</w:t>
            </w:r>
            <w:r>
              <w:rPr>
                <w:i/>
                <w:spacing w:val="-6"/>
              </w:rPr>
              <w:t xml:space="preserve"> </w:t>
            </w:r>
            <w:r>
              <w:rPr>
                <w:i/>
              </w:rPr>
              <w:t>of</w:t>
            </w:r>
            <w:r>
              <w:rPr>
                <w:i/>
                <w:spacing w:val="-6"/>
              </w:rPr>
              <w:t xml:space="preserve"> </w:t>
            </w:r>
            <w:r>
              <w:rPr>
                <w:i/>
              </w:rPr>
              <w:t>days/week/months/</w:t>
            </w:r>
            <w:r>
              <w:rPr>
                <w:i/>
                <w:spacing w:val="-4"/>
              </w:rPr>
              <w:t xml:space="preserve"> </w:t>
            </w:r>
            <w:r>
              <w:rPr>
                <w:i/>
              </w:rPr>
              <w:t>that</w:t>
            </w:r>
            <w:r>
              <w:rPr>
                <w:i/>
                <w:spacing w:val="-10"/>
              </w:rPr>
              <w:t xml:space="preserve"> </w:t>
            </w:r>
            <w:r>
              <w:rPr>
                <w:i/>
              </w:rPr>
              <w:t>has</w:t>
            </w:r>
            <w:r>
              <w:rPr>
                <w:i/>
                <w:spacing w:val="-6"/>
              </w:rPr>
              <w:t xml:space="preserve"> </w:t>
            </w:r>
            <w:r>
              <w:rPr>
                <w:i/>
              </w:rPr>
              <w:t>been</w:t>
            </w:r>
            <w:r>
              <w:rPr>
                <w:i/>
                <w:spacing w:val="-12"/>
              </w:rPr>
              <w:t xml:space="preserve"> </w:t>
            </w:r>
            <w:r>
              <w:rPr>
                <w:i/>
              </w:rPr>
              <w:t>scheduled</w:t>
            </w:r>
            <w:r>
              <w:rPr>
                <w:i/>
                <w:spacing w:val="-6"/>
              </w:rPr>
              <w:t xml:space="preserve"> </w:t>
            </w:r>
            <w:r>
              <w:rPr>
                <w:i/>
              </w:rPr>
              <w:t>for</w:t>
            </w:r>
            <w:r>
              <w:rPr>
                <w:i/>
                <w:spacing w:val="-6"/>
              </w:rPr>
              <w:t xml:space="preserve"> </w:t>
            </w:r>
            <w:r>
              <w:rPr>
                <w:i/>
              </w:rPr>
              <w:t xml:space="preserve">this </w:t>
            </w:r>
            <w:r>
              <w:rPr>
                <w:i/>
                <w:spacing w:val="-2"/>
              </w:rPr>
              <w:t>position</w:t>
            </w:r>
            <w:r>
              <w:rPr>
                <w:spacing w:val="-2"/>
              </w:rPr>
              <w:t>]</w:t>
            </w:r>
          </w:p>
        </w:tc>
      </w:tr>
      <w:tr w:rsidR="00BB77C0" w14:paraId="64AFC47F" w14:textId="77777777">
        <w:trPr>
          <w:trHeight w:val="503"/>
        </w:trPr>
        <w:tc>
          <w:tcPr>
            <w:tcW w:w="720" w:type="dxa"/>
            <w:vMerge/>
            <w:tcBorders>
              <w:top w:val="nil"/>
            </w:tcBorders>
          </w:tcPr>
          <w:p w14:paraId="0D62F21D" w14:textId="77777777" w:rsidR="00BB77C0" w:rsidRDefault="00BB77C0">
            <w:pPr>
              <w:rPr>
                <w:sz w:val="2"/>
                <w:szCs w:val="2"/>
              </w:rPr>
            </w:pPr>
          </w:p>
        </w:tc>
        <w:tc>
          <w:tcPr>
            <w:tcW w:w="2353" w:type="dxa"/>
          </w:tcPr>
          <w:p w14:paraId="27EEF710" w14:textId="77777777" w:rsidR="00BB77C0" w:rsidRDefault="00370BAA">
            <w:pPr>
              <w:pStyle w:val="TableParagraph"/>
              <w:spacing w:before="3" w:line="240" w:lineRule="exact"/>
              <w:ind w:left="83"/>
              <w:rPr>
                <w:b/>
              </w:rPr>
            </w:pPr>
            <w:r>
              <w:rPr>
                <w:b/>
                <w:spacing w:val="-2"/>
              </w:rPr>
              <w:t>Expected</w:t>
            </w:r>
            <w:r>
              <w:rPr>
                <w:b/>
                <w:spacing w:val="-12"/>
              </w:rPr>
              <w:t xml:space="preserve"> </w:t>
            </w:r>
            <w:r>
              <w:rPr>
                <w:b/>
                <w:spacing w:val="-2"/>
              </w:rPr>
              <w:t>time</w:t>
            </w:r>
            <w:r>
              <w:rPr>
                <w:b/>
                <w:spacing w:val="-12"/>
              </w:rPr>
              <w:t xml:space="preserve"> </w:t>
            </w:r>
            <w:r>
              <w:rPr>
                <w:b/>
                <w:spacing w:val="-2"/>
              </w:rPr>
              <w:t xml:space="preserve">schedule </w:t>
            </w:r>
            <w:r>
              <w:rPr>
                <w:b/>
              </w:rPr>
              <w:t>for this position:</w:t>
            </w:r>
          </w:p>
        </w:tc>
        <w:tc>
          <w:tcPr>
            <w:tcW w:w="7203" w:type="dxa"/>
          </w:tcPr>
          <w:p w14:paraId="1588E0F4" w14:textId="77777777" w:rsidR="00BB77C0" w:rsidRDefault="00370BAA">
            <w:pPr>
              <w:pStyle w:val="TableParagraph"/>
              <w:spacing w:line="249" w:lineRule="exact"/>
              <w:ind w:left="83"/>
              <w:rPr>
                <w:i/>
              </w:rPr>
            </w:pPr>
            <w:r>
              <w:t>[</w:t>
            </w:r>
            <w:r>
              <w:rPr>
                <w:i/>
              </w:rPr>
              <w:t>insert</w:t>
            </w:r>
            <w:r>
              <w:rPr>
                <w:i/>
                <w:spacing w:val="-3"/>
              </w:rPr>
              <w:t xml:space="preserve"> </w:t>
            </w:r>
            <w:r>
              <w:rPr>
                <w:i/>
              </w:rPr>
              <w:t>the</w:t>
            </w:r>
            <w:r>
              <w:rPr>
                <w:i/>
                <w:spacing w:val="-8"/>
              </w:rPr>
              <w:t xml:space="preserve"> </w:t>
            </w:r>
            <w:r>
              <w:rPr>
                <w:i/>
              </w:rPr>
              <w:t>expected</w:t>
            </w:r>
            <w:r>
              <w:rPr>
                <w:i/>
                <w:spacing w:val="-6"/>
              </w:rPr>
              <w:t xml:space="preserve"> </w:t>
            </w:r>
            <w:r>
              <w:rPr>
                <w:i/>
              </w:rPr>
              <w:t>time</w:t>
            </w:r>
            <w:r>
              <w:rPr>
                <w:i/>
                <w:spacing w:val="-7"/>
              </w:rPr>
              <w:t xml:space="preserve"> </w:t>
            </w:r>
            <w:r>
              <w:rPr>
                <w:i/>
              </w:rPr>
              <w:t>schedule</w:t>
            </w:r>
            <w:r>
              <w:rPr>
                <w:i/>
                <w:spacing w:val="-8"/>
              </w:rPr>
              <w:t xml:space="preserve"> </w:t>
            </w:r>
            <w:r>
              <w:rPr>
                <w:i/>
              </w:rPr>
              <w:t>for</w:t>
            </w:r>
            <w:r>
              <w:rPr>
                <w:i/>
                <w:spacing w:val="-6"/>
              </w:rPr>
              <w:t xml:space="preserve"> </w:t>
            </w:r>
            <w:r>
              <w:rPr>
                <w:i/>
              </w:rPr>
              <w:t>this</w:t>
            </w:r>
            <w:r>
              <w:rPr>
                <w:i/>
                <w:spacing w:val="-5"/>
              </w:rPr>
              <w:t xml:space="preserve"> </w:t>
            </w:r>
            <w:r>
              <w:rPr>
                <w:i/>
              </w:rPr>
              <w:t>position</w:t>
            </w:r>
            <w:r>
              <w:rPr>
                <w:i/>
                <w:spacing w:val="-10"/>
              </w:rPr>
              <w:t xml:space="preserve"> </w:t>
            </w:r>
            <w:r>
              <w:rPr>
                <w:i/>
              </w:rPr>
              <w:t>(e.g.</w:t>
            </w:r>
            <w:r>
              <w:rPr>
                <w:i/>
                <w:spacing w:val="-8"/>
              </w:rPr>
              <w:t xml:space="preserve"> </w:t>
            </w:r>
            <w:r>
              <w:rPr>
                <w:i/>
              </w:rPr>
              <w:t>attach</w:t>
            </w:r>
            <w:r>
              <w:rPr>
                <w:i/>
                <w:spacing w:val="-6"/>
              </w:rPr>
              <w:t xml:space="preserve"> </w:t>
            </w:r>
            <w:r>
              <w:rPr>
                <w:i/>
              </w:rPr>
              <w:t>high</w:t>
            </w:r>
            <w:r>
              <w:rPr>
                <w:i/>
                <w:spacing w:val="-10"/>
              </w:rPr>
              <w:t xml:space="preserve"> </w:t>
            </w:r>
            <w:r>
              <w:rPr>
                <w:i/>
              </w:rPr>
              <w:t xml:space="preserve">level </w:t>
            </w:r>
            <w:r>
              <w:rPr>
                <w:i/>
                <w:spacing w:val="-2"/>
              </w:rPr>
              <w:t>Gantt</w:t>
            </w:r>
          </w:p>
          <w:p w14:paraId="3F2AB6B3" w14:textId="77777777" w:rsidR="00BB77C0" w:rsidRDefault="00370BAA">
            <w:pPr>
              <w:pStyle w:val="TableParagraph"/>
              <w:spacing w:before="2" w:line="233" w:lineRule="exact"/>
              <w:ind w:left="83"/>
            </w:pPr>
            <w:r>
              <w:rPr>
                <w:i/>
                <w:spacing w:val="-2"/>
              </w:rPr>
              <w:t>chart</w:t>
            </w:r>
            <w:r>
              <w:rPr>
                <w:spacing w:val="-2"/>
              </w:rPr>
              <w:t>]</w:t>
            </w:r>
          </w:p>
        </w:tc>
      </w:tr>
      <w:tr w:rsidR="00BB77C0" w14:paraId="28BD00B4" w14:textId="77777777">
        <w:trPr>
          <w:trHeight w:val="253"/>
        </w:trPr>
        <w:tc>
          <w:tcPr>
            <w:tcW w:w="720" w:type="dxa"/>
            <w:vMerge w:val="restart"/>
          </w:tcPr>
          <w:p w14:paraId="46122350" w14:textId="77777777" w:rsidR="00BB77C0" w:rsidRDefault="00370BAA">
            <w:pPr>
              <w:pStyle w:val="TableParagraph"/>
              <w:spacing w:line="249" w:lineRule="exact"/>
              <w:ind w:left="83"/>
              <w:rPr>
                <w:b/>
              </w:rPr>
            </w:pPr>
            <w:r>
              <w:rPr>
                <w:b/>
                <w:spacing w:val="-5"/>
              </w:rPr>
              <w:t>3.</w:t>
            </w:r>
          </w:p>
        </w:tc>
        <w:tc>
          <w:tcPr>
            <w:tcW w:w="9556" w:type="dxa"/>
            <w:gridSpan w:val="2"/>
          </w:tcPr>
          <w:p w14:paraId="40E19279" w14:textId="77777777" w:rsidR="00BB77C0" w:rsidRDefault="00370BAA">
            <w:pPr>
              <w:pStyle w:val="TableParagraph"/>
              <w:tabs>
                <w:tab w:val="left" w:pos="4112"/>
              </w:tabs>
              <w:spacing w:line="234" w:lineRule="exact"/>
              <w:ind w:left="83"/>
              <w:rPr>
                <w:i/>
              </w:rPr>
            </w:pPr>
            <w:r>
              <w:rPr>
                <w:b/>
                <w:spacing w:val="-2"/>
              </w:rPr>
              <w:t>Title</w:t>
            </w:r>
            <w:r>
              <w:rPr>
                <w:b/>
                <w:spacing w:val="-10"/>
              </w:rPr>
              <w:t xml:space="preserve"> </w:t>
            </w:r>
            <w:r>
              <w:rPr>
                <w:b/>
                <w:spacing w:val="-2"/>
              </w:rPr>
              <w:t>of</w:t>
            </w:r>
            <w:r>
              <w:rPr>
                <w:b/>
                <w:spacing w:val="-10"/>
              </w:rPr>
              <w:t xml:space="preserve"> </w:t>
            </w:r>
            <w:r>
              <w:rPr>
                <w:b/>
                <w:spacing w:val="-2"/>
              </w:rPr>
              <w:t>position:</w:t>
            </w:r>
            <w:r>
              <w:rPr>
                <w:b/>
                <w:spacing w:val="-10"/>
              </w:rPr>
              <w:t xml:space="preserve"> </w:t>
            </w:r>
            <w:r>
              <w:rPr>
                <w:i/>
                <w:spacing w:val="-10"/>
              </w:rPr>
              <w:t>[</w:t>
            </w:r>
            <w:r>
              <w:rPr>
                <w:i/>
              </w:rPr>
              <w:tab/>
            </w:r>
            <w:r>
              <w:rPr>
                <w:i/>
                <w:spacing w:val="-10"/>
              </w:rPr>
              <w:t>]</w:t>
            </w:r>
          </w:p>
        </w:tc>
      </w:tr>
      <w:tr w:rsidR="00BB77C0" w14:paraId="45446ADF" w14:textId="77777777">
        <w:trPr>
          <w:trHeight w:val="248"/>
        </w:trPr>
        <w:tc>
          <w:tcPr>
            <w:tcW w:w="720" w:type="dxa"/>
            <w:vMerge/>
            <w:tcBorders>
              <w:top w:val="nil"/>
            </w:tcBorders>
          </w:tcPr>
          <w:p w14:paraId="75D0BD93" w14:textId="77777777" w:rsidR="00BB77C0" w:rsidRDefault="00BB77C0">
            <w:pPr>
              <w:rPr>
                <w:sz w:val="2"/>
                <w:szCs w:val="2"/>
              </w:rPr>
            </w:pPr>
          </w:p>
        </w:tc>
        <w:tc>
          <w:tcPr>
            <w:tcW w:w="9556" w:type="dxa"/>
            <w:gridSpan w:val="2"/>
          </w:tcPr>
          <w:p w14:paraId="6405957B" w14:textId="77777777" w:rsidR="00BB77C0" w:rsidRDefault="00370BAA">
            <w:pPr>
              <w:pStyle w:val="TableParagraph"/>
              <w:spacing w:line="229" w:lineRule="exact"/>
              <w:ind w:left="83"/>
              <w:rPr>
                <w:b/>
              </w:rPr>
            </w:pPr>
            <w:r>
              <w:rPr>
                <w:b/>
                <w:spacing w:val="-2"/>
              </w:rPr>
              <w:t>Name</w:t>
            </w:r>
            <w:r>
              <w:rPr>
                <w:b/>
                <w:spacing w:val="-6"/>
              </w:rPr>
              <w:t xml:space="preserve"> </w:t>
            </w:r>
            <w:r>
              <w:rPr>
                <w:b/>
                <w:spacing w:val="-2"/>
              </w:rPr>
              <w:t>of</w:t>
            </w:r>
            <w:r>
              <w:rPr>
                <w:b/>
                <w:spacing w:val="-10"/>
              </w:rPr>
              <w:t xml:space="preserve"> </w:t>
            </w:r>
            <w:r>
              <w:rPr>
                <w:b/>
                <w:spacing w:val="-2"/>
              </w:rPr>
              <w:t>candidate:</w:t>
            </w:r>
          </w:p>
        </w:tc>
      </w:tr>
      <w:tr w:rsidR="00BB77C0" w14:paraId="2EB5639C" w14:textId="77777777">
        <w:trPr>
          <w:trHeight w:val="508"/>
        </w:trPr>
        <w:tc>
          <w:tcPr>
            <w:tcW w:w="720" w:type="dxa"/>
            <w:vMerge/>
            <w:tcBorders>
              <w:top w:val="nil"/>
            </w:tcBorders>
          </w:tcPr>
          <w:p w14:paraId="6CC4C905" w14:textId="77777777" w:rsidR="00BB77C0" w:rsidRDefault="00BB77C0">
            <w:pPr>
              <w:rPr>
                <w:sz w:val="2"/>
                <w:szCs w:val="2"/>
              </w:rPr>
            </w:pPr>
          </w:p>
        </w:tc>
        <w:tc>
          <w:tcPr>
            <w:tcW w:w="2353" w:type="dxa"/>
          </w:tcPr>
          <w:p w14:paraId="5460C71E" w14:textId="77777777" w:rsidR="00BB77C0" w:rsidRDefault="00370BAA">
            <w:pPr>
              <w:pStyle w:val="TableParagraph"/>
              <w:spacing w:line="254" w:lineRule="exact"/>
              <w:ind w:left="83"/>
              <w:rPr>
                <w:b/>
              </w:rPr>
            </w:pPr>
            <w:r>
              <w:rPr>
                <w:b/>
              </w:rPr>
              <w:t xml:space="preserve">Duration of </w:t>
            </w:r>
            <w:r>
              <w:rPr>
                <w:b/>
                <w:spacing w:val="-4"/>
              </w:rPr>
              <w:t>appointment:</w:t>
            </w:r>
          </w:p>
        </w:tc>
        <w:tc>
          <w:tcPr>
            <w:tcW w:w="7203" w:type="dxa"/>
          </w:tcPr>
          <w:p w14:paraId="1FC39EF2" w14:textId="77777777" w:rsidR="00BB77C0" w:rsidRDefault="00370BAA">
            <w:pPr>
              <w:pStyle w:val="TableParagraph"/>
              <w:spacing w:line="254" w:lineRule="exact"/>
              <w:ind w:left="83" w:right="35"/>
            </w:pPr>
            <w:r>
              <w:t>[</w:t>
            </w:r>
            <w:r>
              <w:rPr>
                <w:i/>
              </w:rPr>
              <w:t>insert</w:t>
            </w:r>
            <w:r>
              <w:rPr>
                <w:i/>
                <w:spacing w:val="-4"/>
              </w:rPr>
              <w:t xml:space="preserve"> </w:t>
            </w:r>
            <w:r>
              <w:rPr>
                <w:i/>
              </w:rPr>
              <w:t>the</w:t>
            </w:r>
            <w:r>
              <w:rPr>
                <w:i/>
                <w:spacing w:val="-9"/>
              </w:rPr>
              <w:t xml:space="preserve"> </w:t>
            </w:r>
            <w:r>
              <w:rPr>
                <w:i/>
              </w:rPr>
              <w:t>whole</w:t>
            </w:r>
            <w:r>
              <w:rPr>
                <w:i/>
                <w:spacing w:val="-8"/>
              </w:rPr>
              <w:t xml:space="preserve"> </w:t>
            </w:r>
            <w:r>
              <w:rPr>
                <w:i/>
              </w:rPr>
              <w:t>period</w:t>
            </w:r>
            <w:r>
              <w:rPr>
                <w:i/>
                <w:spacing w:val="-7"/>
              </w:rPr>
              <w:t xml:space="preserve"> </w:t>
            </w:r>
            <w:r>
              <w:rPr>
                <w:i/>
              </w:rPr>
              <w:t>(start and</w:t>
            </w:r>
            <w:r>
              <w:rPr>
                <w:i/>
                <w:spacing w:val="-7"/>
              </w:rPr>
              <w:t xml:space="preserve"> </w:t>
            </w:r>
            <w:r>
              <w:rPr>
                <w:i/>
              </w:rPr>
              <w:t>end</w:t>
            </w:r>
            <w:r>
              <w:rPr>
                <w:i/>
                <w:spacing w:val="-12"/>
              </w:rPr>
              <w:t xml:space="preserve"> </w:t>
            </w:r>
            <w:r>
              <w:rPr>
                <w:i/>
              </w:rPr>
              <w:t>dates)</w:t>
            </w:r>
            <w:r>
              <w:rPr>
                <w:i/>
                <w:spacing w:val="-7"/>
              </w:rPr>
              <w:t xml:space="preserve"> </w:t>
            </w:r>
            <w:r>
              <w:rPr>
                <w:i/>
              </w:rPr>
              <w:t>for</w:t>
            </w:r>
            <w:r>
              <w:rPr>
                <w:i/>
                <w:spacing w:val="-6"/>
              </w:rPr>
              <w:t xml:space="preserve"> </w:t>
            </w:r>
            <w:r>
              <w:rPr>
                <w:i/>
              </w:rPr>
              <w:t>which</w:t>
            </w:r>
            <w:r>
              <w:rPr>
                <w:i/>
                <w:spacing w:val="-6"/>
              </w:rPr>
              <w:t xml:space="preserve"> </w:t>
            </w:r>
            <w:r>
              <w:rPr>
                <w:i/>
              </w:rPr>
              <w:t>this</w:t>
            </w:r>
            <w:r>
              <w:rPr>
                <w:i/>
                <w:spacing w:val="-5"/>
              </w:rPr>
              <w:t xml:space="preserve"> </w:t>
            </w:r>
            <w:r>
              <w:rPr>
                <w:i/>
              </w:rPr>
              <w:t>position</w:t>
            </w:r>
            <w:r>
              <w:rPr>
                <w:i/>
                <w:spacing w:val="-11"/>
              </w:rPr>
              <w:t xml:space="preserve"> </w:t>
            </w:r>
            <w:r>
              <w:rPr>
                <w:i/>
              </w:rPr>
              <w:t xml:space="preserve">will be </w:t>
            </w:r>
            <w:r>
              <w:rPr>
                <w:i/>
                <w:spacing w:val="-2"/>
              </w:rPr>
              <w:t>engaged</w:t>
            </w:r>
            <w:r>
              <w:rPr>
                <w:spacing w:val="-2"/>
              </w:rPr>
              <w:t>]</w:t>
            </w:r>
          </w:p>
        </w:tc>
      </w:tr>
      <w:tr w:rsidR="00BB77C0" w14:paraId="1F9E9CF8" w14:textId="77777777">
        <w:trPr>
          <w:trHeight w:val="503"/>
        </w:trPr>
        <w:tc>
          <w:tcPr>
            <w:tcW w:w="720" w:type="dxa"/>
            <w:vMerge/>
            <w:tcBorders>
              <w:top w:val="nil"/>
            </w:tcBorders>
          </w:tcPr>
          <w:p w14:paraId="7FBB2C43" w14:textId="77777777" w:rsidR="00BB77C0" w:rsidRDefault="00BB77C0">
            <w:pPr>
              <w:rPr>
                <w:sz w:val="2"/>
                <w:szCs w:val="2"/>
              </w:rPr>
            </w:pPr>
          </w:p>
        </w:tc>
        <w:tc>
          <w:tcPr>
            <w:tcW w:w="2353" w:type="dxa"/>
          </w:tcPr>
          <w:p w14:paraId="4A9E0950" w14:textId="77777777" w:rsidR="00BB77C0" w:rsidRDefault="00370BAA">
            <w:pPr>
              <w:pStyle w:val="TableParagraph"/>
              <w:spacing w:before="3" w:line="240" w:lineRule="exact"/>
              <w:ind w:left="83"/>
              <w:rPr>
                <w:b/>
              </w:rPr>
            </w:pPr>
            <w:r>
              <w:rPr>
                <w:b/>
                <w:spacing w:val="-2"/>
              </w:rPr>
              <w:t>Time</w:t>
            </w:r>
            <w:r>
              <w:rPr>
                <w:b/>
                <w:spacing w:val="-12"/>
              </w:rPr>
              <w:t xml:space="preserve"> </w:t>
            </w:r>
            <w:r>
              <w:rPr>
                <w:b/>
                <w:spacing w:val="-2"/>
              </w:rPr>
              <w:t>commitment:</w:t>
            </w:r>
            <w:r>
              <w:rPr>
                <w:b/>
                <w:spacing w:val="-12"/>
              </w:rPr>
              <w:t xml:space="preserve"> </w:t>
            </w:r>
            <w:r>
              <w:rPr>
                <w:b/>
                <w:spacing w:val="-2"/>
              </w:rPr>
              <w:t xml:space="preserve">for </w:t>
            </w:r>
            <w:r>
              <w:rPr>
                <w:b/>
              </w:rPr>
              <w:t>this position:</w:t>
            </w:r>
          </w:p>
        </w:tc>
        <w:tc>
          <w:tcPr>
            <w:tcW w:w="7203" w:type="dxa"/>
          </w:tcPr>
          <w:p w14:paraId="2BD82F62" w14:textId="77777777" w:rsidR="00BB77C0" w:rsidRDefault="00370BAA">
            <w:pPr>
              <w:pStyle w:val="TableParagraph"/>
              <w:spacing w:before="3" w:line="240" w:lineRule="exact"/>
              <w:ind w:left="83" w:right="35"/>
            </w:pPr>
            <w:r>
              <w:t>[</w:t>
            </w:r>
            <w:r>
              <w:rPr>
                <w:i/>
              </w:rPr>
              <w:t>insert</w:t>
            </w:r>
            <w:r>
              <w:rPr>
                <w:i/>
                <w:spacing w:val="-7"/>
              </w:rPr>
              <w:t xml:space="preserve"> </w:t>
            </w:r>
            <w:r>
              <w:rPr>
                <w:i/>
              </w:rPr>
              <w:t>the</w:t>
            </w:r>
            <w:r>
              <w:rPr>
                <w:i/>
                <w:spacing w:val="-11"/>
              </w:rPr>
              <w:t xml:space="preserve"> </w:t>
            </w:r>
            <w:r>
              <w:rPr>
                <w:i/>
              </w:rPr>
              <w:t>number</w:t>
            </w:r>
            <w:r>
              <w:rPr>
                <w:i/>
                <w:spacing w:val="-8"/>
              </w:rPr>
              <w:t xml:space="preserve"> </w:t>
            </w:r>
            <w:r>
              <w:rPr>
                <w:i/>
              </w:rPr>
              <w:t>of</w:t>
            </w:r>
            <w:r>
              <w:rPr>
                <w:i/>
                <w:spacing w:val="-8"/>
              </w:rPr>
              <w:t xml:space="preserve"> </w:t>
            </w:r>
            <w:r>
              <w:rPr>
                <w:i/>
              </w:rPr>
              <w:t>days/week/months/</w:t>
            </w:r>
            <w:r>
              <w:rPr>
                <w:i/>
                <w:spacing w:val="-7"/>
              </w:rPr>
              <w:t xml:space="preserve"> </w:t>
            </w:r>
            <w:r>
              <w:rPr>
                <w:i/>
              </w:rPr>
              <w:t>that</w:t>
            </w:r>
            <w:r>
              <w:rPr>
                <w:i/>
                <w:spacing w:val="-12"/>
              </w:rPr>
              <w:t xml:space="preserve"> </w:t>
            </w:r>
            <w:r>
              <w:rPr>
                <w:i/>
              </w:rPr>
              <w:t>has</w:t>
            </w:r>
            <w:r>
              <w:rPr>
                <w:i/>
                <w:spacing w:val="-8"/>
              </w:rPr>
              <w:t xml:space="preserve"> </w:t>
            </w:r>
            <w:r>
              <w:rPr>
                <w:i/>
              </w:rPr>
              <w:t>been</w:t>
            </w:r>
            <w:r>
              <w:rPr>
                <w:i/>
                <w:spacing w:val="-14"/>
              </w:rPr>
              <w:t xml:space="preserve"> </w:t>
            </w:r>
            <w:r>
              <w:rPr>
                <w:i/>
              </w:rPr>
              <w:t>scheduled</w:t>
            </w:r>
            <w:r>
              <w:rPr>
                <w:i/>
                <w:spacing w:val="-8"/>
              </w:rPr>
              <w:t xml:space="preserve"> </w:t>
            </w:r>
            <w:r>
              <w:rPr>
                <w:i/>
              </w:rPr>
              <w:t>for</w:t>
            </w:r>
            <w:r>
              <w:rPr>
                <w:i/>
                <w:spacing w:val="-8"/>
              </w:rPr>
              <w:t xml:space="preserve"> </w:t>
            </w:r>
            <w:r>
              <w:rPr>
                <w:i/>
              </w:rPr>
              <w:t xml:space="preserve">this </w:t>
            </w:r>
            <w:r>
              <w:rPr>
                <w:i/>
                <w:spacing w:val="-2"/>
              </w:rPr>
              <w:t>position</w:t>
            </w:r>
            <w:r>
              <w:rPr>
                <w:spacing w:val="-2"/>
              </w:rPr>
              <w:t>]</w:t>
            </w:r>
          </w:p>
        </w:tc>
      </w:tr>
      <w:tr w:rsidR="00BB77C0" w14:paraId="4EC96189" w14:textId="77777777">
        <w:trPr>
          <w:trHeight w:val="508"/>
        </w:trPr>
        <w:tc>
          <w:tcPr>
            <w:tcW w:w="720" w:type="dxa"/>
            <w:vMerge/>
            <w:tcBorders>
              <w:top w:val="nil"/>
            </w:tcBorders>
          </w:tcPr>
          <w:p w14:paraId="22F88BD2" w14:textId="77777777" w:rsidR="00BB77C0" w:rsidRDefault="00BB77C0">
            <w:pPr>
              <w:rPr>
                <w:sz w:val="2"/>
                <w:szCs w:val="2"/>
              </w:rPr>
            </w:pPr>
          </w:p>
        </w:tc>
        <w:tc>
          <w:tcPr>
            <w:tcW w:w="2353" w:type="dxa"/>
          </w:tcPr>
          <w:p w14:paraId="3418B3D5" w14:textId="77777777" w:rsidR="00BB77C0" w:rsidRDefault="00370BAA">
            <w:pPr>
              <w:pStyle w:val="TableParagraph"/>
              <w:spacing w:before="6" w:line="228" w:lineRule="auto"/>
              <w:ind w:left="83"/>
              <w:rPr>
                <w:b/>
              </w:rPr>
            </w:pPr>
            <w:r>
              <w:rPr>
                <w:b/>
                <w:spacing w:val="-2"/>
              </w:rPr>
              <w:t>Expected</w:t>
            </w:r>
            <w:r>
              <w:rPr>
                <w:b/>
                <w:spacing w:val="-12"/>
              </w:rPr>
              <w:t xml:space="preserve"> </w:t>
            </w:r>
            <w:r>
              <w:rPr>
                <w:b/>
                <w:spacing w:val="-2"/>
              </w:rPr>
              <w:t>time</w:t>
            </w:r>
            <w:r>
              <w:rPr>
                <w:b/>
                <w:spacing w:val="-12"/>
              </w:rPr>
              <w:t xml:space="preserve"> </w:t>
            </w:r>
            <w:r>
              <w:rPr>
                <w:b/>
                <w:spacing w:val="-2"/>
              </w:rPr>
              <w:t xml:space="preserve">schedule </w:t>
            </w:r>
            <w:r>
              <w:rPr>
                <w:b/>
              </w:rPr>
              <w:t>for this position:</w:t>
            </w:r>
          </w:p>
        </w:tc>
        <w:tc>
          <w:tcPr>
            <w:tcW w:w="7203" w:type="dxa"/>
          </w:tcPr>
          <w:p w14:paraId="32B7C33A" w14:textId="77777777" w:rsidR="00BB77C0" w:rsidRDefault="00370BAA">
            <w:pPr>
              <w:pStyle w:val="TableParagraph"/>
              <w:spacing w:line="254" w:lineRule="exact"/>
              <w:ind w:left="83" w:right="35"/>
            </w:pPr>
            <w:r>
              <w:t>[</w:t>
            </w:r>
            <w:r>
              <w:rPr>
                <w:i/>
              </w:rPr>
              <w:t>insert the</w:t>
            </w:r>
            <w:r>
              <w:rPr>
                <w:i/>
                <w:spacing w:val="-8"/>
              </w:rPr>
              <w:t xml:space="preserve"> </w:t>
            </w:r>
            <w:r>
              <w:rPr>
                <w:i/>
              </w:rPr>
              <w:t>expected</w:t>
            </w:r>
            <w:r>
              <w:rPr>
                <w:i/>
                <w:spacing w:val="-6"/>
              </w:rPr>
              <w:t xml:space="preserve"> </w:t>
            </w:r>
            <w:r>
              <w:rPr>
                <w:i/>
              </w:rPr>
              <w:t>time</w:t>
            </w:r>
            <w:r>
              <w:rPr>
                <w:i/>
                <w:spacing w:val="-7"/>
              </w:rPr>
              <w:t xml:space="preserve"> </w:t>
            </w:r>
            <w:r>
              <w:rPr>
                <w:i/>
              </w:rPr>
              <w:t>schedule</w:t>
            </w:r>
            <w:r>
              <w:rPr>
                <w:i/>
                <w:spacing w:val="-7"/>
              </w:rPr>
              <w:t xml:space="preserve"> </w:t>
            </w:r>
            <w:r>
              <w:rPr>
                <w:i/>
              </w:rPr>
              <w:t>for</w:t>
            </w:r>
            <w:r>
              <w:rPr>
                <w:i/>
                <w:spacing w:val="-6"/>
              </w:rPr>
              <w:t xml:space="preserve"> </w:t>
            </w:r>
            <w:r>
              <w:rPr>
                <w:i/>
              </w:rPr>
              <w:t>this</w:t>
            </w:r>
            <w:r>
              <w:rPr>
                <w:i/>
                <w:spacing w:val="-6"/>
              </w:rPr>
              <w:t xml:space="preserve"> </w:t>
            </w:r>
            <w:r>
              <w:rPr>
                <w:i/>
              </w:rPr>
              <w:t>position</w:t>
            </w:r>
            <w:r>
              <w:rPr>
                <w:i/>
                <w:spacing w:val="-9"/>
              </w:rPr>
              <w:t xml:space="preserve"> </w:t>
            </w:r>
            <w:r>
              <w:rPr>
                <w:i/>
              </w:rPr>
              <w:t>(e.g.</w:t>
            </w:r>
            <w:r>
              <w:rPr>
                <w:i/>
                <w:spacing w:val="-8"/>
              </w:rPr>
              <w:t xml:space="preserve"> </w:t>
            </w:r>
            <w:r>
              <w:rPr>
                <w:i/>
              </w:rPr>
              <w:t>attach</w:t>
            </w:r>
            <w:r>
              <w:rPr>
                <w:i/>
                <w:spacing w:val="-6"/>
              </w:rPr>
              <w:t xml:space="preserve"> </w:t>
            </w:r>
            <w:r>
              <w:rPr>
                <w:i/>
              </w:rPr>
              <w:t>high</w:t>
            </w:r>
            <w:r>
              <w:rPr>
                <w:i/>
                <w:spacing w:val="-10"/>
              </w:rPr>
              <w:t xml:space="preserve"> </w:t>
            </w:r>
            <w:r>
              <w:rPr>
                <w:i/>
              </w:rPr>
              <w:t xml:space="preserve">level Gantt </w:t>
            </w:r>
            <w:r>
              <w:rPr>
                <w:i/>
                <w:spacing w:val="-2"/>
              </w:rPr>
              <w:t>chart</w:t>
            </w:r>
            <w:r>
              <w:rPr>
                <w:spacing w:val="-2"/>
              </w:rPr>
              <w:t>]</w:t>
            </w:r>
          </w:p>
        </w:tc>
      </w:tr>
      <w:tr w:rsidR="00BB77C0" w14:paraId="43279C23" w14:textId="77777777">
        <w:trPr>
          <w:trHeight w:val="253"/>
        </w:trPr>
        <w:tc>
          <w:tcPr>
            <w:tcW w:w="720" w:type="dxa"/>
            <w:vMerge w:val="restart"/>
          </w:tcPr>
          <w:p w14:paraId="1EAF99F7" w14:textId="77777777" w:rsidR="00BB77C0" w:rsidRDefault="00370BAA">
            <w:pPr>
              <w:pStyle w:val="TableParagraph"/>
              <w:spacing w:line="249" w:lineRule="exact"/>
              <w:ind w:left="83"/>
              <w:rPr>
                <w:b/>
              </w:rPr>
            </w:pPr>
            <w:r>
              <w:rPr>
                <w:b/>
                <w:spacing w:val="-5"/>
              </w:rPr>
              <w:t>4.</w:t>
            </w:r>
          </w:p>
        </w:tc>
        <w:tc>
          <w:tcPr>
            <w:tcW w:w="9556" w:type="dxa"/>
            <w:gridSpan w:val="2"/>
          </w:tcPr>
          <w:p w14:paraId="51B2605C" w14:textId="77777777" w:rsidR="00BB77C0" w:rsidRDefault="00370BAA">
            <w:pPr>
              <w:pStyle w:val="TableParagraph"/>
              <w:tabs>
                <w:tab w:val="left" w:pos="4112"/>
              </w:tabs>
              <w:spacing w:line="234" w:lineRule="exact"/>
              <w:ind w:left="83"/>
              <w:rPr>
                <w:i/>
              </w:rPr>
            </w:pPr>
            <w:r>
              <w:rPr>
                <w:b/>
                <w:spacing w:val="-2"/>
              </w:rPr>
              <w:t>Title</w:t>
            </w:r>
            <w:r>
              <w:rPr>
                <w:b/>
                <w:spacing w:val="-10"/>
              </w:rPr>
              <w:t xml:space="preserve"> </w:t>
            </w:r>
            <w:r>
              <w:rPr>
                <w:b/>
                <w:spacing w:val="-2"/>
              </w:rPr>
              <w:t>of</w:t>
            </w:r>
            <w:r>
              <w:rPr>
                <w:b/>
                <w:spacing w:val="-10"/>
              </w:rPr>
              <w:t xml:space="preserve"> </w:t>
            </w:r>
            <w:r>
              <w:rPr>
                <w:b/>
                <w:spacing w:val="-2"/>
              </w:rPr>
              <w:t>position:</w:t>
            </w:r>
            <w:r>
              <w:rPr>
                <w:b/>
                <w:spacing w:val="-10"/>
              </w:rPr>
              <w:t xml:space="preserve"> </w:t>
            </w:r>
            <w:r>
              <w:rPr>
                <w:i/>
                <w:spacing w:val="-10"/>
              </w:rPr>
              <w:t>[</w:t>
            </w:r>
            <w:r>
              <w:rPr>
                <w:i/>
              </w:rPr>
              <w:tab/>
            </w:r>
            <w:r>
              <w:rPr>
                <w:i/>
                <w:spacing w:val="-10"/>
              </w:rPr>
              <w:t>]</w:t>
            </w:r>
          </w:p>
        </w:tc>
      </w:tr>
      <w:tr w:rsidR="00BB77C0" w14:paraId="1FB0273B" w14:textId="77777777">
        <w:trPr>
          <w:trHeight w:val="248"/>
        </w:trPr>
        <w:tc>
          <w:tcPr>
            <w:tcW w:w="720" w:type="dxa"/>
            <w:vMerge/>
            <w:tcBorders>
              <w:top w:val="nil"/>
            </w:tcBorders>
          </w:tcPr>
          <w:p w14:paraId="619DC813" w14:textId="77777777" w:rsidR="00BB77C0" w:rsidRDefault="00BB77C0">
            <w:pPr>
              <w:rPr>
                <w:sz w:val="2"/>
                <w:szCs w:val="2"/>
              </w:rPr>
            </w:pPr>
          </w:p>
        </w:tc>
        <w:tc>
          <w:tcPr>
            <w:tcW w:w="9556" w:type="dxa"/>
            <w:gridSpan w:val="2"/>
          </w:tcPr>
          <w:p w14:paraId="7D11672D" w14:textId="77777777" w:rsidR="00BB77C0" w:rsidRDefault="00370BAA">
            <w:pPr>
              <w:pStyle w:val="TableParagraph"/>
              <w:spacing w:line="229" w:lineRule="exact"/>
              <w:ind w:left="83"/>
              <w:rPr>
                <w:b/>
              </w:rPr>
            </w:pPr>
            <w:r>
              <w:rPr>
                <w:b/>
                <w:spacing w:val="-2"/>
              </w:rPr>
              <w:t>Name</w:t>
            </w:r>
            <w:r>
              <w:rPr>
                <w:b/>
                <w:spacing w:val="-6"/>
              </w:rPr>
              <w:t xml:space="preserve"> </w:t>
            </w:r>
            <w:r>
              <w:rPr>
                <w:b/>
                <w:spacing w:val="-2"/>
              </w:rPr>
              <w:t>of</w:t>
            </w:r>
            <w:r>
              <w:rPr>
                <w:b/>
                <w:spacing w:val="-10"/>
              </w:rPr>
              <w:t xml:space="preserve"> </w:t>
            </w:r>
            <w:r>
              <w:rPr>
                <w:b/>
                <w:spacing w:val="-2"/>
              </w:rPr>
              <w:t>candidate:</w:t>
            </w:r>
          </w:p>
        </w:tc>
      </w:tr>
      <w:tr w:rsidR="00BB77C0" w14:paraId="4283E15F" w14:textId="77777777">
        <w:trPr>
          <w:trHeight w:val="508"/>
        </w:trPr>
        <w:tc>
          <w:tcPr>
            <w:tcW w:w="720" w:type="dxa"/>
            <w:vMerge/>
            <w:tcBorders>
              <w:top w:val="nil"/>
            </w:tcBorders>
          </w:tcPr>
          <w:p w14:paraId="43DDBBE7" w14:textId="77777777" w:rsidR="00BB77C0" w:rsidRDefault="00BB77C0">
            <w:pPr>
              <w:rPr>
                <w:sz w:val="2"/>
                <w:szCs w:val="2"/>
              </w:rPr>
            </w:pPr>
          </w:p>
        </w:tc>
        <w:tc>
          <w:tcPr>
            <w:tcW w:w="2353" w:type="dxa"/>
          </w:tcPr>
          <w:p w14:paraId="2C7E72F9" w14:textId="77777777" w:rsidR="00BB77C0" w:rsidRDefault="00370BAA">
            <w:pPr>
              <w:pStyle w:val="TableParagraph"/>
              <w:spacing w:line="254" w:lineRule="exact"/>
              <w:ind w:left="83"/>
              <w:rPr>
                <w:b/>
              </w:rPr>
            </w:pPr>
            <w:r>
              <w:rPr>
                <w:b/>
              </w:rPr>
              <w:t xml:space="preserve">Duration of </w:t>
            </w:r>
            <w:r>
              <w:rPr>
                <w:b/>
                <w:spacing w:val="-4"/>
              </w:rPr>
              <w:t>appointment:</w:t>
            </w:r>
          </w:p>
        </w:tc>
        <w:tc>
          <w:tcPr>
            <w:tcW w:w="7203" w:type="dxa"/>
          </w:tcPr>
          <w:p w14:paraId="0A0D7D12" w14:textId="77777777" w:rsidR="00BB77C0" w:rsidRDefault="00370BAA">
            <w:pPr>
              <w:pStyle w:val="TableParagraph"/>
              <w:spacing w:line="254" w:lineRule="exact"/>
              <w:ind w:left="83" w:right="35"/>
            </w:pPr>
            <w:r>
              <w:t>[</w:t>
            </w:r>
            <w:r>
              <w:rPr>
                <w:i/>
              </w:rPr>
              <w:t>insert</w:t>
            </w:r>
            <w:r>
              <w:rPr>
                <w:i/>
                <w:spacing w:val="-4"/>
              </w:rPr>
              <w:t xml:space="preserve"> </w:t>
            </w:r>
            <w:r>
              <w:rPr>
                <w:i/>
              </w:rPr>
              <w:t>the</w:t>
            </w:r>
            <w:r>
              <w:rPr>
                <w:i/>
                <w:spacing w:val="-9"/>
              </w:rPr>
              <w:t xml:space="preserve"> </w:t>
            </w:r>
            <w:r>
              <w:rPr>
                <w:i/>
              </w:rPr>
              <w:t>whole</w:t>
            </w:r>
            <w:r>
              <w:rPr>
                <w:i/>
                <w:spacing w:val="-8"/>
              </w:rPr>
              <w:t xml:space="preserve"> </w:t>
            </w:r>
            <w:r>
              <w:rPr>
                <w:i/>
              </w:rPr>
              <w:t>period</w:t>
            </w:r>
            <w:r>
              <w:rPr>
                <w:i/>
                <w:spacing w:val="-7"/>
              </w:rPr>
              <w:t xml:space="preserve"> </w:t>
            </w:r>
            <w:r>
              <w:rPr>
                <w:i/>
              </w:rPr>
              <w:t>(start and</w:t>
            </w:r>
            <w:r>
              <w:rPr>
                <w:i/>
                <w:spacing w:val="-7"/>
              </w:rPr>
              <w:t xml:space="preserve"> </w:t>
            </w:r>
            <w:r>
              <w:rPr>
                <w:i/>
              </w:rPr>
              <w:t>end</w:t>
            </w:r>
            <w:r>
              <w:rPr>
                <w:i/>
                <w:spacing w:val="-12"/>
              </w:rPr>
              <w:t xml:space="preserve"> </w:t>
            </w:r>
            <w:r>
              <w:rPr>
                <w:i/>
              </w:rPr>
              <w:t>dates)</w:t>
            </w:r>
            <w:r>
              <w:rPr>
                <w:i/>
                <w:spacing w:val="-7"/>
              </w:rPr>
              <w:t xml:space="preserve"> </w:t>
            </w:r>
            <w:r>
              <w:rPr>
                <w:i/>
              </w:rPr>
              <w:t>for</w:t>
            </w:r>
            <w:r>
              <w:rPr>
                <w:i/>
                <w:spacing w:val="-6"/>
              </w:rPr>
              <w:t xml:space="preserve"> </w:t>
            </w:r>
            <w:r>
              <w:rPr>
                <w:i/>
              </w:rPr>
              <w:t>which</w:t>
            </w:r>
            <w:r>
              <w:rPr>
                <w:i/>
                <w:spacing w:val="-6"/>
              </w:rPr>
              <w:t xml:space="preserve"> </w:t>
            </w:r>
            <w:r>
              <w:rPr>
                <w:i/>
              </w:rPr>
              <w:t>this</w:t>
            </w:r>
            <w:r>
              <w:rPr>
                <w:i/>
                <w:spacing w:val="-5"/>
              </w:rPr>
              <w:t xml:space="preserve"> </w:t>
            </w:r>
            <w:r>
              <w:rPr>
                <w:i/>
              </w:rPr>
              <w:t>position</w:t>
            </w:r>
            <w:r>
              <w:rPr>
                <w:i/>
                <w:spacing w:val="-11"/>
              </w:rPr>
              <w:t xml:space="preserve"> </w:t>
            </w:r>
            <w:r>
              <w:rPr>
                <w:i/>
              </w:rPr>
              <w:t xml:space="preserve">will be </w:t>
            </w:r>
            <w:r>
              <w:rPr>
                <w:i/>
                <w:spacing w:val="-2"/>
              </w:rPr>
              <w:t>engaged</w:t>
            </w:r>
            <w:r>
              <w:rPr>
                <w:spacing w:val="-2"/>
              </w:rPr>
              <w:t>]</w:t>
            </w:r>
          </w:p>
        </w:tc>
      </w:tr>
      <w:tr w:rsidR="00BB77C0" w14:paraId="391BCF5F" w14:textId="77777777">
        <w:trPr>
          <w:trHeight w:val="503"/>
        </w:trPr>
        <w:tc>
          <w:tcPr>
            <w:tcW w:w="720" w:type="dxa"/>
            <w:vMerge/>
            <w:tcBorders>
              <w:top w:val="nil"/>
            </w:tcBorders>
          </w:tcPr>
          <w:p w14:paraId="5869DE70" w14:textId="77777777" w:rsidR="00BB77C0" w:rsidRDefault="00BB77C0">
            <w:pPr>
              <w:rPr>
                <w:sz w:val="2"/>
                <w:szCs w:val="2"/>
              </w:rPr>
            </w:pPr>
          </w:p>
        </w:tc>
        <w:tc>
          <w:tcPr>
            <w:tcW w:w="2353" w:type="dxa"/>
          </w:tcPr>
          <w:p w14:paraId="70876239" w14:textId="77777777" w:rsidR="00BB77C0" w:rsidRDefault="00370BAA">
            <w:pPr>
              <w:pStyle w:val="TableParagraph"/>
              <w:spacing w:line="249" w:lineRule="exact"/>
              <w:ind w:left="83"/>
              <w:rPr>
                <w:b/>
              </w:rPr>
            </w:pPr>
            <w:r>
              <w:rPr>
                <w:b/>
                <w:spacing w:val="-2"/>
              </w:rPr>
              <w:t>Time</w:t>
            </w:r>
            <w:r>
              <w:rPr>
                <w:b/>
                <w:spacing w:val="-11"/>
              </w:rPr>
              <w:t xml:space="preserve"> </w:t>
            </w:r>
            <w:r>
              <w:rPr>
                <w:b/>
                <w:spacing w:val="-2"/>
              </w:rPr>
              <w:t xml:space="preserve">commitment: </w:t>
            </w:r>
            <w:r>
              <w:rPr>
                <w:b/>
                <w:spacing w:val="-5"/>
              </w:rPr>
              <w:t>for</w:t>
            </w:r>
          </w:p>
          <w:p w14:paraId="14D0285C" w14:textId="77777777" w:rsidR="00BB77C0" w:rsidRDefault="00370BAA">
            <w:pPr>
              <w:pStyle w:val="TableParagraph"/>
              <w:spacing w:before="1" w:line="233" w:lineRule="exact"/>
              <w:ind w:left="83"/>
              <w:rPr>
                <w:b/>
              </w:rPr>
            </w:pPr>
            <w:r>
              <w:rPr>
                <w:b/>
              </w:rPr>
              <w:t>this</w:t>
            </w:r>
            <w:r>
              <w:rPr>
                <w:b/>
                <w:spacing w:val="-9"/>
              </w:rPr>
              <w:t xml:space="preserve"> </w:t>
            </w:r>
            <w:r>
              <w:rPr>
                <w:b/>
                <w:spacing w:val="-2"/>
              </w:rPr>
              <w:t>position:</w:t>
            </w:r>
          </w:p>
        </w:tc>
        <w:tc>
          <w:tcPr>
            <w:tcW w:w="7203" w:type="dxa"/>
          </w:tcPr>
          <w:p w14:paraId="10A90A72" w14:textId="77777777" w:rsidR="00BB77C0" w:rsidRDefault="00370BAA">
            <w:pPr>
              <w:pStyle w:val="TableParagraph"/>
              <w:spacing w:line="249" w:lineRule="exact"/>
              <w:ind w:left="83"/>
              <w:rPr>
                <w:i/>
              </w:rPr>
            </w:pPr>
            <w:r>
              <w:t>[</w:t>
            </w:r>
            <w:r>
              <w:rPr>
                <w:i/>
              </w:rPr>
              <w:t>insert</w:t>
            </w:r>
            <w:r>
              <w:rPr>
                <w:i/>
                <w:spacing w:val="-7"/>
              </w:rPr>
              <w:t xml:space="preserve"> </w:t>
            </w:r>
            <w:r>
              <w:rPr>
                <w:i/>
              </w:rPr>
              <w:t>the</w:t>
            </w:r>
            <w:r>
              <w:rPr>
                <w:i/>
                <w:spacing w:val="-9"/>
              </w:rPr>
              <w:t xml:space="preserve"> </w:t>
            </w:r>
            <w:r>
              <w:rPr>
                <w:i/>
              </w:rPr>
              <w:t>number</w:t>
            </w:r>
            <w:r>
              <w:rPr>
                <w:i/>
                <w:spacing w:val="-6"/>
              </w:rPr>
              <w:t xml:space="preserve"> </w:t>
            </w:r>
            <w:r>
              <w:rPr>
                <w:i/>
              </w:rPr>
              <w:t>of</w:t>
            </w:r>
            <w:r>
              <w:rPr>
                <w:i/>
                <w:spacing w:val="-6"/>
              </w:rPr>
              <w:t xml:space="preserve"> </w:t>
            </w:r>
            <w:r>
              <w:rPr>
                <w:i/>
              </w:rPr>
              <w:t>days/week/months/</w:t>
            </w:r>
            <w:r>
              <w:rPr>
                <w:i/>
                <w:spacing w:val="-4"/>
              </w:rPr>
              <w:t xml:space="preserve"> </w:t>
            </w:r>
            <w:r>
              <w:rPr>
                <w:i/>
              </w:rPr>
              <w:t>that</w:t>
            </w:r>
            <w:r>
              <w:rPr>
                <w:i/>
                <w:spacing w:val="-10"/>
              </w:rPr>
              <w:t xml:space="preserve"> </w:t>
            </w:r>
            <w:r>
              <w:rPr>
                <w:i/>
              </w:rPr>
              <w:t>has</w:t>
            </w:r>
            <w:r>
              <w:rPr>
                <w:i/>
                <w:spacing w:val="-6"/>
              </w:rPr>
              <w:t xml:space="preserve"> </w:t>
            </w:r>
            <w:r>
              <w:rPr>
                <w:i/>
              </w:rPr>
              <w:t>been</w:t>
            </w:r>
            <w:r>
              <w:rPr>
                <w:i/>
                <w:spacing w:val="-12"/>
              </w:rPr>
              <w:t xml:space="preserve"> </w:t>
            </w:r>
            <w:r>
              <w:rPr>
                <w:i/>
              </w:rPr>
              <w:t>scheduled</w:t>
            </w:r>
            <w:r>
              <w:rPr>
                <w:i/>
                <w:spacing w:val="-6"/>
              </w:rPr>
              <w:t xml:space="preserve"> </w:t>
            </w:r>
            <w:r>
              <w:rPr>
                <w:i/>
              </w:rPr>
              <w:t>for</w:t>
            </w:r>
            <w:r>
              <w:rPr>
                <w:i/>
                <w:spacing w:val="-6"/>
              </w:rPr>
              <w:t xml:space="preserve"> </w:t>
            </w:r>
            <w:r>
              <w:rPr>
                <w:i/>
                <w:spacing w:val="-4"/>
              </w:rPr>
              <w:t>this</w:t>
            </w:r>
          </w:p>
          <w:p w14:paraId="400273A8" w14:textId="77777777" w:rsidR="00BB77C0" w:rsidRDefault="00370BAA">
            <w:pPr>
              <w:pStyle w:val="TableParagraph"/>
              <w:spacing w:before="1" w:line="233" w:lineRule="exact"/>
              <w:ind w:left="83"/>
            </w:pPr>
            <w:r>
              <w:rPr>
                <w:i/>
                <w:spacing w:val="-2"/>
              </w:rPr>
              <w:t>position</w:t>
            </w:r>
            <w:r>
              <w:rPr>
                <w:spacing w:val="-2"/>
              </w:rPr>
              <w:t>]</w:t>
            </w:r>
          </w:p>
        </w:tc>
      </w:tr>
      <w:tr w:rsidR="00BB77C0" w14:paraId="07CFCE03" w14:textId="77777777">
        <w:trPr>
          <w:trHeight w:val="503"/>
        </w:trPr>
        <w:tc>
          <w:tcPr>
            <w:tcW w:w="720" w:type="dxa"/>
            <w:vMerge/>
            <w:tcBorders>
              <w:top w:val="nil"/>
            </w:tcBorders>
          </w:tcPr>
          <w:p w14:paraId="7AEF3318" w14:textId="77777777" w:rsidR="00BB77C0" w:rsidRDefault="00BB77C0">
            <w:pPr>
              <w:rPr>
                <w:sz w:val="2"/>
                <w:szCs w:val="2"/>
              </w:rPr>
            </w:pPr>
          </w:p>
        </w:tc>
        <w:tc>
          <w:tcPr>
            <w:tcW w:w="2353" w:type="dxa"/>
          </w:tcPr>
          <w:p w14:paraId="458819C7" w14:textId="77777777" w:rsidR="00BB77C0" w:rsidRDefault="00370BAA">
            <w:pPr>
              <w:pStyle w:val="TableParagraph"/>
              <w:spacing w:line="244" w:lineRule="exact"/>
              <w:ind w:left="83"/>
              <w:rPr>
                <w:b/>
              </w:rPr>
            </w:pPr>
            <w:r>
              <w:rPr>
                <w:b/>
                <w:spacing w:val="-2"/>
              </w:rPr>
              <w:t>Expected</w:t>
            </w:r>
            <w:r>
              <w:rPr>
                <w:b/>
                <w:spacing w:val="-12"/>
              </w:rPr>
              <w:t xml:space="preserve"> </w:t>
            </w:r>
            <w:r>
              <w:rPr>
                <w:b/>
                <w:spacing w:val="-2"/>
              </w:rPr>
              <w:t>time</w:t>
            </w:r>
            <w:r>
              <w:rPr>
                <w:b/>
                <w:spacing w:val="-12"/>
              </w:rPr>
              <w:t xml:space="preserve"> </w:t>
            </w:r>
            <w:r>
              <w:rPr>
                <w:b/>
                <w:spacing w:val="-2"/>
              </w:rPr>
              <w:t xml:space="preserve">schedule </w:t>
            </w:r>
            <w:r>
              <w:rPr>
                <w:b/>
              </w:rPr>
              <w:t>for this position:</w:t>
            </w:r>
          </w:p>
        </w:tc>
        <w:tc>
          <w:tcPr>
            <w:tcW w:w="7203" w:type="dxa"/>
          </w:tcPr>
          <w:p w14:paraId="1151BD17" w14:textId="77777777" w:rsidR="00BB77C0" w:rsidRDefault="00370BAA">
            <w:pPr>
              <w:pStyle w:val="TableParagraph"/>
              <w:spacing w:line="250" w:lineRule="exact"/>
              <w:ind w:left="83" w:right="35"/>
            </w:pPr>
            <w:r>
              <w:t>[</w:t>
            </w:r>
            <w:r>
              <w:rPr>
                <w:i/>
              </w:rPr>
              <w:t>insert the</w:t>
            </w:r>
            <w:r>
              <w:rPr>
                <w:i/>
                <w:spacing w:val="-8"/>
              </w:rPr>
              <w:t xml:space="preserve"> </w:t>
            </w:r>
            <w:r>
              <w:rPr>
                <w:i/>
              </w:rPr>
              <w:t>expected</w:t>
            </w:r>
            <w:r>
              <w:rPr>
                <w:i/>
                <w:spacing w:val="-6"/>
              </w:rPr>
              <w:t xml:space="preserve"> </w:t>
            </w:r>
            <w:r>
              <w:rPr>
                <w:i/>
              </w:rPr>
              <w:t>time</w:t>
            </w:r>
            <w:r>
              <w:rPr>
                <w:i/>
                <w:spacing w:val="-7"/>
              </w:rPr>
              <w:t xml:space="preserve"> </w:t>
            </w:r>
            <w:r>
              <w:rPr>
                <w:i/>
              </w:rPr>
              <w:t>schedule</w:t>
            </w:r>
            <w:r>
              <w:rPr>
                <w:i/>
                <w:spacing w:val="-7"/>
              </w:rPr>
              <w:t xml:space="preserve"> </w:t>
            </w:r>
            <w:r>
              <w:rPr>
                <w:i/>
              </w:rPr>
              <w:t>for</w:t>
            </w:r>
            <w:r>
              <w:rPr>
                <w:i/>
                <w:spacing w:val="-6"/>
              </w:rPr>
              <w:t xml:space="preserve"> </w:t>
            </w:r>
            <w:r>
              <w:rPr>
                <w:i/>
              </w:rPr>
              <w:t>this</w:t>
            </w:r>
            <w:r>
              <w:rPr>
                <w:i/>
                <w:spacing w:val="-6"/>
              </w:rPr>
              <w:t xml:space="preserve"> </w:t>
            </w:r>
            <w:r>
              <w:rPr>
                <w:i/>
              </w:rPr>
              <w:t>position</w:t>
            </w:r>
            <w:r>
              <w:rPr>
                <w:i/>
                <w:spacing w:val="-9"/>
              </w:rPr>
              <w:t xml:space="preserve"> </w:t>
            </w:r>
            <w:r>
              <w:rPr>
                <w:i/>
              </w:rPr>
              <w:t>(e.g.</w:t>
            </w:r>
            <w:r>
              <w:rPr>
                <w:i/>
                <w:spacing w:val="-8"/>
              </w:rPr>
              <w:t xml:space="preserve"> </w:t>
            </w:r>
            <w:r>
              <w:rPr>
                <w:i/>
              </w:rPr>
              <w:t>attach</w:t>
            </w:r>
            <w:r>
              <w:rPr>
                <w:i/>
                <w:spacing w:val="-6"/>
              </w:rPr>
              <w:t xml:space="preserve"> </w:t>
            </w:r>
            <w:r>
              <w:rPr>
                <w:i/>
              </w:rPr>
              <w:t>high</w:t>
            </w:r>
            <w:r>
              <w:rPr>
                <w:i/>
                <w:spacing w:val="-10"/>
              </w:rPr>
              <w:t xml:space="preserve"> </w:t>
            </w:r>
            <w:r>
              <w:rPr>
                <w:i/>
              </w:rPr>
              <w:t xml:space="preserve">level Gantt </w:t>
            </w:r>
            <w:r>
              <w:rPr>
                <w:i/>
                <w:spacing w:val="-2"/>
              </w:rPr>
              <w:t>chart</w:t>
            </w:r>
            <w:r>
              <w:rPr>
                <w:spacing w:val="-2"/>
              </w:rPr>
              <w:t>]</w:t>
            </w:r>
          </w:p>
        </w:tc>
      </w:tr>
      <w:tr w:rsidR="00BB77C0" w14:paraId="281A3B88" w14:textId="77777777">
        <w:trPr>
          <w:trHeight w:val="253"/>
        </w:trPr>
        <w:tc>
          <w:tcPr>
            <w:tcW w:w="720" w:type="dxa"/>
            <w:vMerge w:val="restart"/>
          </w:tcPr>
          <w:p w14:paraId="4A1EF479" w14:textId="77777777" w:rsidR="00BB77C0" w:rsidRDefault="00370BAA">
            <w:pPr>
              <w:pStyle w:val="TableParagraph"/>
              <w:ind w:left="83"/>
              <w:rPr>
                <w:b/>
              </w:rPr>
            </w:pPr>
            <w:r>
              <w:rPr>
                <w:b/>
                <w:spacing w:val="-5"/>
              </w:rPr>
              <w:t>5.</w:t>
            </w:r>
          </w:p>
        </w:tc>
        <w:tc>
          <w:tcPr>
            <w:tcW w:w="9556" w:type="dxa"/>
            <w:gridSpan w:val="2"/>
          </w:tcPr>
          <w:p w14:paraId="2095A651" w14:textId="77777777" w:rsidR="00BB77C0" w:rsidRDefault="00370BAA">
            <w:pPr>
              <w:pStyle w:val="TableParagraph"/>
              <w:spacing w:line="234" w:lineRule="exact"/>
              <w:ind w:left="83"/>
              <w:rPr>
                <w:i/>
              </w:rPr>
            </w:pPr>
            <w:r>
              <w:rPr>
                <w:b/>
                <w:spacing w:val="-2"/>
              </w:rPr>
              <w:t>Title</w:t>
            </w:r>
            <w:r>
              <w:rPr>
                <w:b/>
                <w:spacing w:val="-11"/>
              </w:rPr>
              <w:t xml:space="preserve"> </w:t>
            </w:r>
            <w:r>
              <w:rPr>
                <w:b/>
                <w:spacing w:val="-2"/>
              </w:rPr>
              <w:t>of</w:t>
            </w:r>
            <w:r>
              <w:rPr>
                <w:b/>
                <w:spacing w:val="-10"/>
              </w:rPr>
              <w:t xml:space="preserve"> </w:t>
            </w:r>
            <w:r>
              <w:rPr>
                <w:b/>
                <w:spacing w:val="-2"/>
              </w:rPr>
              <w:t>position:</w:t>
            </w:r>
            <w:r>
              <w:rPr>
                <w:b/>
                <w:spacing w:val="-10"/>
              </w:rPr>
              <w:t xml:space="preserve"> </w:t>
            </w:r>
            <w:r>
              <w:rPr>
                <w:i/>
                <w:spacing w:val="-2"/>
              </w:rPr>
              <w:t>[insert</w:t>
            </w:r>
            <w:r>
              <w:rPr>
                <w:i/>
                <w:spacing w:val="-7"/>
              </w:rPr>
              <w:t xml:space="preserve"> </w:t>
            </w:r>
            <w:r>
              <w:rPr>
                <w:i/>
                <w:spacing w:val="-2"/>
              </w:rPr>
              <w:t>title]</w:t>
            </w:r>
          </w:p>
        </w:tc>
      </w:tr>
      <w:tr w:rsidR="00BB77C0" w14:paraId="2DF00959" w14:textId="77777777">
        <w:trPr>
          <w:trHeight w:val="253"/>
        </w:trPr>
        <w:tc>
          <w:tcPr>
            <w:tcW w:w="720" w:type="dxa"/>
            <w:vMerge/>
            <w:tcBorders>
              <w:top w:val="nil"/>
            </w:tcBorders>
          </w:tcPr>
          <w:p w14:paraId="116A9C89" w14:textId="77777777" w:rsidR="00BB77C0" w:rsidRDefault="00BB77C0">
            <w:pPr>
              <w:rPr>
                <w:sz w:val="2"/>
                <w:szCs w:val="2"/>
              </w:rPr>
            </w:pPr>
          </w:p>
        </w:tc>
        <w:tc>
          <w:tcPr>
            <w:tcW w:w="9556" w:type="dxa"/>
            <w:gridSpan w:val="2"/>
          </w:tcPr>
          <w:p w14:paraId="4203FC3A" w14:textId="77777777" w:rsidR="00BB77C0" w:rsidRDefault="00370BAA">
            <w:pPr>
              <w:pStyle w:val="TableParagraph"/>
              <w:spacing w:line="234" w:lineRule="exact"/>
              <w:ind w:left="83"/>
              <w:rPr>
                <w:b/>
              </w:rPr>
            </w:pPr>
            <w:r>
              <w:rPr>
                <w:b/>
                <w:spacing w:val="-2"/>
              </w:rPr>
              <w:t>Name</w:t>
            </w:r>
            <w:r>
              <w:rPr>
                <w:b/>
                <w:spacing w:val="-6"/>
              </w:rPr>
              <w:t xml:space="preserve"> </w:t>
            </w:r>
            <w:r>
              <w:rPr>
                <w:b/>
                <w:spacing w:val="-2"/>
              </w:rPr>
              <w:t>of</w:t>
            </w:r>
            <w:r>
              <w:rPr>
                <w:b/>
                <w:spacing w:val="-10"/>
              </w:rPr>
              <w:t xml:space="preserve"> </w:t>
            </w:r>
            <w:r>
              <w:rPr>
                <w:b/>
                <w:spacing w:val="-2"/>
              </w:rPr>
              <w:t>candidate</w:t>
            </w:r>
          </w:p>
        </w:tc>
      </w:tr>
      <w:tr w:rsidR="00BB77C0" w14:paraId="34767C22" w14:textId="77777777">
        <w:trPr>
          <w:trHeight w:val="508"/>
        </w:trPr>
        <w:tc>
          <w:tcPr>
            <w:tcW w:w="720" w:type="dxa"/>
            <w:vMerge/>
            <w:tcBorders>
              <w:top w:val="nil"/>
            </w:tcBorders>
          </w:tcPr>
          <w:p w14:paraId="6CA371B9" w14:textId="77777777" w:rsidR="00BB77C0" w:rsidRDefault="00BB77C0">
            <w:pPr>
              <w:rPr>
                <w:sz w:val="2"/>
                <w:szCs w:val="2"/>
              </w:rPr>
            </w:pPr>
          </w:p>
        </w:tc>
        <w:tc>
          <w:tcPr>
            <w:tcW w:w="2353" w:type="dxa"/>
          </w:tcPr>
          <w:p w14:paraId="554EB09B" w14:textId="77777777" w:rsidR="00BB77C0" w:rsidRDefault="00370BAA">
            <w:pPr>
              <w:pStyle w:val="TableParagraph"/>
              <w:spacing w:line="254" w:lineRule="exact"/>
              <w:ind w:left="83"/>
              <w:rPr>
                <w:b/>
              </w:rPr>
            </w:pPr>
            <w:r>
              <w:rPr>
                <w:b/>
              </w:rPr>
              <w:t xml:space="preserve">Duration of </w:t>
            </w:r>
            <w:r>
              <w:rPr>
                <w:b/>
                <w:spacing w:val="-4"/>
              </w:rPr>
              <w:t>appointment:</w:t>
            </w:r>
          </w:p>
        </w:tc>
        <w:tc>
          <w:tcPr>
            <w:tcW w:w="7203" w:type="dxa"/>
          </w:tcPr>
          <w:p w14:paraId="46DA0173" w14:textId="77777777" w:rsidR="00BB77C0" w:rsidRDefault="00370BAA">
            <w:pPr>
              <w:pStyle w:val="TableParagraph"/>
              <w:spacing w:line="254" w:lineRule="exact"/>
              <w:ind w:left="83" w:right="35"/>
            </w:pPr>
            <w:r>
              <w:t>[</w:t>
            </w:r>
            <w:r>
              <w:rPr>
                <w:i/>
              </w:rPr>
              <w:t>insert</w:t>
            </w:r>
            <w:r>
              <w:rPr>
                <w:i/>
                <w:spacing w:val="-4"/>
              </w:rPr>
              <w:t xml:space="preserve"> </w:t>
            </w:r>
            <w:r>
              <w:rPr>
                <w:i/>
              </w:rPr>
              <w:t>the</w:t>
            </w:r>
            <w:r>
              <w:rPr>
                <w:i/>
                <w:spacing w:val="-9"/>
              </w:rPr>
              <w:t xml:space="preserve"> </w:t>
            </w:r>
            <w:r>
              <w:rPr>
                <w:i/>
              </w:rPr>
              <w:t>whole</w:t>
            </w:r>
            <w:r>
              <w:rPr>
                <w:i/>
                <w:spacing w:val="-8"/>
              </w:rPr>
              <w:t xml:space="preserve"> </w:t>
            </w:r>
            <w:r>
              <w:rPr>
                <w:i/>
              </w:rPr>
              <w:t>period</w:t>
            </w:r>
            <w:r>
              <w:rPr>
                <w:i/>
                <w:spacing w:val="-7"/>
              </w:rPr>
              <w:t xml:space="preserve"> </w:t>
            </w:r>
            <w:r>
              <w:rPr>
                <w:i/>
              </w:rPr>
              <w:t>(start and</w:t>
            </w:r>
            <w:r>
              <w:rPr>
                <w:i/>
                <w:spacing w:val="-7"/>
              </w:rPr>
              <w:t xml:space="preserve"> </w:t>
            </w:r>
            <w:r>
              <w:rPr>
                <w:i/>
              </w:rPr>
              <w:t>end</w:t>
            </w:r>
            <w:r>
              <w:rPr>
                <w:i/>
                <w:spacing w:val="-12"/>
              </w:rPr>
              <w:t xml:space="preserve"> </w:t>
            </w:r>
            <w:r>
              <w:rPr>
                <w:i/>
              </w:rPr>
              <w:t>dates)</w:t>
            </w:r>
            <w:r>
              <w:rPr>
                <w:i/>
                <w:spacing w:val="-7"/>
              </w:rPr>
              <w:t xml:space="preserve"> </w:t>
            </w:r>
            <w:r>
              <w:rPr>
                <w:i/>
              </w:rPr>
              <w:t>for</w:t>
            </w:r>
            <w:r>
              <w:rPr>
                <w:i/>
                <w:spacing w:val="-6"/>
              </w:rPr>
              <w:t xml:space="preserve"> </w:t>
            </w:r>
            <w:r>
              <w:rPr>
                <w:i/>
              </w:rPr>
              <w:t>which</w:t>
            </w:r>
            <w:r>
              <w:rPr>
                <w:i/>
                <w:spacing w:val="-6"/>
              </w:rPr>
              <w:t xml:space="preserve"> </w:t>
            </w:r>
            <w:r>
              <w:rPr>
                <w:i/>
              </w:rPr>
              <w:t>this</w:t>
            </w:r>
            <w:r>
              <w:rPr>
                <w:i/>
                <w:spacing w:val="-5"/>
              </w:rPr>
              <w:t xml:space="preserve"> </w:t>
            </w:r>
            <w:r>
              <w:rPr>
                <w:i/>
              </w:rPr>
              <w:t>position</w:t>
            </w:r>
            <w:r>
              <w:rPr>
                <w:i/>
                <w:spacing w:val="-11"/>
              </w:rPr>
              <w:t xml:space="preserve"> </w:t>
            </w:r>
            <w:r>
              <w:rPr>
                <w:i/>
              </w:rPr>
              <w:t xml:space="preserve">will be </w:t>
            </w:r>
            <w:r>
              <w:rPr>
                <w:i/>
                <w:spacing w:val="-2"/>
              </w:rPr>
              <w:t>engaged</w:t>
            </w:r>
            <w:r>
              <w:rPr>
                <w:spacing w:val="-2"/>
              </w:rPr>
              <w:t>]</w:t>
            </w:r>
          </w:p>
        </w:tc>
      </w:tr>
      <w:tr w:rsidR="00BB77C0" w14:paraId="59B04B8D" w14:textId="77777777">
        <w:trPr>
          <w:trHeight w:val="503"/>
        </w:trPr>
        <w:tc>
          <w:tcPr>
            <w:tcW w:w="720" w:type="dxa"/>
            <w:vMerge/>
            <w:tcBorders>
              <w:top w:val="nil"/>
            </w:tcBorders>
          </w:tcPr>
          <w:p w14:paraId="4084F8A5" w14:textId="77777777" w:rsidR="00BB77C0" w:rsidRDefault="00BB77C0">
            <w:pPr>
              <w:rPr>
                <w:sz w:val="2"/>
                <w:szCs w:val="2"/>
              </w:rPr>
            </w:pPr>
          </w:p>
        </w:tc>
        <w:tc>
          <w:tcPr>
            <w:tcW w:w="2353" w:type="dxa"/>
          </w:tcPr>
          <w:p w14:paraId="4843B90B" w14:textId="77777777" w:rsidR="00BB77C0" w:rsidRDefault="00370BAA">
            <w:pPr>
              <w:pStyle w:val="TableParagraph"/>
              <w:spacing w:before="10" w:line="223" w:lineRule="auto"/>
              <w:ind w:left="83"/>
              <w:rPr>
                <w:b/>
              </w:rPr>
            </w:pPr>
            <w:r>
              <w:rPr>
                <w:b/>
                <w:spacing w:val="-2"/>
              </w:rPr>
              <w:t>Time</w:t>
            </w:r>
            <w:r>
              <w:rPr>
                <w:b/>
                <w:spacing w:val="-12"/>
              </w:rPr>
              <w:t xml:space="preserve"> </w:t>
            </w:r>
            <w:r>
              <w:rPr>
                <w:b/>
                <w:spacing w:val="-2"/>
              </w:rPr>
              <w:t>commitment:</w:t>
            </w:r>
            <w:r>
              <w:rPr>
                <w:b/>
                <w:spacing w:val="-12"/>
              </w:rPr>
              <w:t xml:space="preserve"> </w:t>
            </w:r>
            <w:r>
              <w:rPr>
                <w:b/>
                <w:spacing w:val="-2"/>
              </w:rPr>
              <w:t xml:space="preserve">for </w:t>
            </w:r>
            <w:r>
              <w:rPr>
                <w:b/>
              </w:rPr>
              <w:t>this position:</w:t>
            </w:r>
          </w:p>
        </w:tc>
        <w:tc>
          <w:tcPr>
            <w:tcW w:w="7203" w:type="dxa"/>
          </w:tcPr>
          <w:p w14:paraId="691EB26F" w14:textId="77777777" w:rsidR="00BB77C0" w:rsidRDefault="00370BAA">
            <w:pPr>
              <w:pStyle w:val="TableParagraph"/>
              <w:spacing w:before="10" w:line="223" w:lineRule="auto"/>
              <w:ind w:left="83" w:right="35"/>
            </w:pPr>
            <w:r>
              <w:t>[</w:t>
            </w:r>
            <w:r>
              <w:rPr>
                <w:i/>
              </w:rPr>
              <w:t>insert</w:t>
            </w:r>
            <w:r>
              <w:rPr>
                <w:i/>
                <w:spacing w:val="-7"/>
              </w:rPr>
              <w:t xml:space="preserve"> </w:t>
            </w:r>
            <w:r>
              <w:rPr>
                <w:i/>
              </w:rPr>
              <w:t>the</w:t>
            </w:r>
            <w:r>
              <w:rPr>
                <w:i/>
                <w:spacing w:val="-11"/>
              </w:rPr>
              <w:t xml:space="preserve"> </w:t>
            </w:r>
            <w:r>
              <w:rPr>
                <w:i/>
              </w:rPr>
              <w:t>number</w:t>
            </w:r>
            <w:r>
              <w:rPr>
                <w:i/>
                <w:spacing w:val="-8"/>
              </w:rPr>
              <w:t xml:space="preserve"> </w:t>
            </w:r>
            <w:r>
              <w:rPr>
                <w:i/>
              </w:rPr>
              <w:t>of</w:t>
            </w:r>
            <w:r>
              <w:rPr>
                <w:i/>
                <w:spacing w:val="-8"/>
              </w:rPr>
              <w:t xml:space="preserve"> </w:t>
            </w:r>
            <w:r>
              <w:rPr>
                <w:i/>
              </w:rPr>
              <w:t>days/week/months/</w:t>
            </w:r>
            <w:r>
              <w:rPr>
                <w:i/>
                <w:spacing w:val="-7"/>
              </w:rPr>
              <w:t xml:space="preserve"> </w:t>
            </w:r>
            <w:r>
              <w:rPr>
                <w:i/>
              </w:rPr>
              <w:t>that</w:t>
            </w:r>
            <w:r>
              <w:rPr>
                <w:i/>
                <w:spacing w:val="-12"/>
              </w:rPr>
              <w:t xml:space="preserve"> </w:t>
            </w:r>
            <w:r>
              <w:rPr>
                <w:i/>
              </w:rPr>
              <w:t>has</w:t>
            </w:r>
            <w:r>
              <w:rPr>
                <w:i/>
                <w:spacing w:val="-8"/>
              </w:rPr>
              <w:t xml:space="preserve"> </w:t>
            </w:r>
            <w:r>
              <w:rPr>
                <w:i/>
              </w:rPr>
              <w:t>been</w:t>
            </w:r>
            <w:r>
              <w:rPr>
                <w:i/>
                <w:spacing w:val="-14"/>
              </w:rPr>
              <w:t xml:space="preserve"> </w:t>
            </w:r>
            <w:r>
              <w:rPr>
                <w:i/>
              </w:rPr>
              <w:t>scheduled</w:t>
            </w:r>
            <w:r>
              <w:rPr>
                <w:i/>
                <w:spacing w:val="-8"/>
              </w:rPr>
              <w:t xml:space="preserve"> </w:t>
            </w:r>
            <w:r>
              <w:rPr>
                <w:i/>
              </w:rPr>
              <w:t>for</w:t>
            </w:r>
            <w:r>
              <w:rPr>
                <w:i/>
                <w:spacing w:val="-8"/>
              </w:rPr>
              <w:t xml:space="preserve"> </w:t>
            </w:r>
            <w:r>
              <w:rPr>
                <w:i/>
              </w:rPr>
              <w:t xml:space="preserve">this </w:t>
            </w:r>
            <w:r>
              <w:rPr>
                <w:i/>
                <w:spacing w:val="-2"/>
              </w:rPr>
              <w:t>position</w:t>
            </w:r>
            <w:r>
              <w:rPr>
                <w:spacing w:val="-2"/>
              </w:rPr>
              <w:t>]</w:t>
            </w:r>
          </w:p>
        </w:tc>
      </w:tr>
      <w:tr w:rsidR="00BB77C0" w14:paraId="6E422A1D" w14:textId="77777777">
        <w:trPr>
          <w:trHeight w:val="508"/>
        </w:trPr>
        <w:tc>
          <w:tcPr>
            <w:tcW w:w="720" w:type="dxa"/>
            <w:vMerge/>
            <w:tcBorders>
              <w:top w:val="nil"/>
            </w:tcBorders>
          </w:tcPr>
          <w:p w14:paraId="5B4F4A65" w14:textId="77777777" w:rsidR="00BB77C0" w:rsidRDefault="00BB77C0">
            <w:pPr>
              <w:rPr>
                <w:sz w:val="2"/>
                <w:szCs w:val="2"/>
              </w:rPr>
            </w:pPr>
          </w:p>
        </w:tc>
        <w:tc>
          <w:tcPr>
            <w:tcW w:w="2353" w:type="dxa"/>
          </w:tcPr>
          <w:p w14:paraId="0BE5ED4B" w14:textId="77777777" w:rsidR="00BB77C0" w:rsidRDefault="00370BAA">
            <w:pPr>
              <w:pStyle w:val="TableParagraph"/>
              <w:spacing w:before="6" w:line="228" w:lineRule="auto"/>
              <w:ind w:left="83"/>
              <w:rPr>
                <w:b/>
              </w:rPr>
            </w:pPr>
            <w:r>
              <w:rPr>
                <w:b/>
                <w:spacing w:val="-2"/>
              </w:rPr>
              <w:t>Expected</w:t>
            </w:r>
            <w:r>
              <w:rPr>
                <w:b/>
                <w:spacing w:val="-12"/>
              </w:rPr>
              <w:t xml:space="preserve"> </w:t>
            </w:r>
            <w:r>
              <w:rPr>
                <w:b/>
                <w:spacing w:val="-2"/>
              </w:rPr>
              <w:t>time</w:t>
            </w:r>
            <w:r>
              <w:rPr>
                <w:b/>
                <w:spacing w:val="-12"/>
              </w:rPr>
              <w:t xml:space="preserve"> </w:t>
            </w:r>
            <w:r>
              <w:rPr>
                <w:b/>
                <w:spacing w:val="-2"/>
              </w:rPr>
              <w:t xml:space="preserve">schedule </w:t>
            </w:r>
            <w:r>
              <w:rPr>
                <w:b/>
              </w:rPr>
              <w:t>for this position:</w:t>
            </w:r>
          </w:p>
        </w:tc>
        <w:tc>
          <w:tcPr>
            <w:tcW w:w="7203" w:type="dxa"/>
          </w:tcPr>
          <w:p w14:paraId="0ECD1F9B" w14:textId="77777777" w:rsidR="00BB77C0" w:rsidRDefault="00370BAA">
            <w:pPr>
              <w:pStyle w:val="TableParagraph"/>
              <w:spacing w:line="254" w:lineRule="exact"/>
              <w:ind w:left="83" w:right="35"/>
            </w:pPr>
            <w:r>
              <w:t>[</w:t>
            </w:r>
            <w:r>
              <w:rPr>
                <w:i/>
              </w:rPr>
              <w:t>insert the</w:t>
            </w:r>
            <w:r>
              <w:rPr>
                <w:i/>
                <w:spacing w:val="-8"/>
              </w:rPr>
              <w:t xml:space="preserve"> </w:t>
            </w:r>
            <w:r>
              <w:rPr>
                <w:i/>
              </w:rPr>
              <w:t>expected</w:t>
            </w:r>
            <w:r>
              <w:rPr>
                <w:i/>
                <w:spacing w:val="-6"/>
              </w:rPr>
              <w:t xml:space="preserve"> </w:t>
            </w:r>
            <w:r>
              <w:rPr>
                <w:i/>
              </w:rPr>
              <w:t>time</w:t>
            </w:r>
            <w:r>
              <w:rPr>
                <w:i/>
                <w:spacing w:val="-7"/>
              </w:rPr>
              <w:t xml:space="preserve"> </w:t>
            </w:r>
            <w:r>
              <w:rPr>
                <w:i/>
              </w:rPr>
              <w:t>schedule</w:t>
            </w:r>
            <w:r>
              <w:rPr>
                <w:i/>
                <w:spacing w:val="-7"/>
              </w:rPr>
              <w:t xml:space="preserve"> </w:t>
            </w:r>
            <w:r>
              <w:rPr>
                <w:i/>
              </w:rPr>
              <w:t>for</w:t>
            </w:r>
            <w:r>
              <w:rPr>
                <w:i/>
                <w:spacing w:val="-6"/>
              </w:rPr>
              <w:t xml:space="preserve"> </w:t>
            </w:r>
            <w:r>
              <w:rPr>
                <w:i/>
              </w:rPr>
              <w:t>this</w:t>
            </w:r>
            <w:r>
              <w:rPr>
                <w:i/>
                <w:spacing w:val="-6"/>
              </w:rPr>
              <w:t xml:space="preserve"> </w:t>
            </w:r>
            <w:r>
              <w:rPr>
                <w:i/>
              </w:rPr>
              <w:t>position</w:t>
            </w:r>
            <w:r>
              <w:rPr>
                <w:i/>
                <w:spacing w:val="-9"/>
              </w:rPr>
              <w:t xml:space="preserve"> </w:t>
            </w:r>
            <w:r>
              <w:rPr>
                <w:i/>
              </w:rPr>
              <w:t>(e.g.</w:t>
            </w:r>
            <w:r>
              <w:rPr>
                <w:i/>
                <w:spacing w:val="-8"/>
              </w:rPr>
              <w:t xml:space="preserve"> </w:t>
            </w:r>
            <w:r>
              <w:rPr>
                <w:i/>
              </w:rPr>
              <w:t>attach</w:t>
            </w:r>
            <w:r>
              <w:rPr>
                <w:i/>
                <w:spacing w:val="-6"/>
              </w:rPr>
              <w:t xml:space="preserve"> </w:t>
            </w:r>
            <w:r>
              <w:rPr>
                <w:i/>
              </w:rPr>
              <w:t>high</w:t>
            </w:r>
            <w:r>
              <w:rPr>
                <w:i/>
                <w:spacing w:val="-10"/>
              </w:rPr>
              <w:t xml:space="preserve"> </w:t>
            </w:r>
            <w:r>
              <w:rPr>
                <w:i/>
              </w:rPr>
              <w:t xml:space="preserve">level Gantt </w:t>
            </w:r>
            <w:r>
              <w:rPr>
                <w:i/>
                <w:spacing w:val="-2"/>
              </w:rPr>
              <w:t>chart</w:t>
            </w:r>
            <w:r>
              <w:rPr>
                <w:spacing w:val="-2"/>
              </w:rPr>
              <w:t>]</w:t>
            </w:r>
          </w:p>
        </w:tc>
      </w:tr>
    </w:tbl>
    <w:p w14:paraId="7B568C33" w14:textId="77777777" w:rsidR="00BB77C0" w:rsidRDefault="00BB77C0">
      <w:pPr>
        <w:pStyle w:val="TableParagraph"/>
        <w:spacing w:line="254" w:lineRule="exact"/>
        <w:sectPr w:rsidR="00BB77C0">
          <w:pgSz w:w="11920" w:h="16850"/>
          <w:pgMar w:top="0" w:right="0" w:bottom="0" w:left="360" w:header="720" w:footer="720" w:gutter="0"/>
          <w:cols w:space="720"/>
        </w:sectPr>
      </w:pPr>
    </w:p>
    <w:p w14:paraId="424D6F7F" w14:textId="77777777" w:rsidR="00BB77C0" w:rsidRDefault="00370BAA">
      <w:pPr>
        <w:pStyle w:val="BodyText"/>
        <w:rPr>
          <w:b/>
          <w:sz w:val="24"/>
        </w:rPr>
      </w:pPr>
      <w:r>
        <w:rPr>
          <w:b/>
          <w:noProof/>
          <w:sz w:val="24"/>
        </w:rPr>
        <w:lastRenderedPageBreak/>
        <mc:AlternateContent>
          <mc:Choice Requires="wpg">
            <w:drawing>
              <wp:anchor distT="0" distB="0" distL="0" distR="0" simplePos="0" relativeHeight="15738368" behindDoc="0" locked="0" layoutInCell="1" allowOverlap="1" wp14:anchorId="2559C210" wp14:editId="7F76A51E">
                <wp:simplePos x="0" y="0"/>
                <wp:positionH relativeFrom="page">
                  <wp:posOffset>0</wp:posOffset>
                </wp:positionH>
                <wp:positionV relativeFrom="page">
                  <wp:posOffset>10234295</wp:posOffset>
                </wp:positionV>
                <wp:extent cx="7559675" cy="457200"/>
                <wp:effectExtent l="0" t="0" r="0" b="0"/>
                <wp:wrapNone/>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675" cy="457200"/>
                          <a:chOff x="0" y="0"/>
                          <a:chExt cx="7559675" cy="457200"/>
                        </a:xfrm>
                      </wpg:grpSpPr>
                      <wps:wsp>
                        <wps:cNvPr id="67" name="Graphic 67"/>
                        <wps:cNvSpPr/>
                        <wps:spPr>
                          <a:xfrm>
                            <a:off x="0" y="5714"/>
                            <a:ext cx="1021080" cy="451484"/>
                          </a:xfrm>
                          <a:custGeom>
                            <a:avLst/>
                            <a:gdLst/>
                            <a:ahLst/>
                            <a:cxnLst/>
                            <a:rect l="l" t="t" r="r" b="b"/>
                            <a:pathLst>
                              <a:path w="1021080" h="451484">
                                <a:moveTo>
                                  <a:pt x="1020991" y="0"/>
                                </a:moveTo>
                                <a:lnTo>
                                  <a:pt x="0" y="0"/>
                                </a:lnTo>
                                <a:lnTo>
                                  <a:pt x="0" y="451483"/>
                                </a:lnTo>
                                <a:lnTo>
                                  <a:pt x="795591" y="451483"/>
                                </a:lnTo>
                                <a:lnTo>
                                  <a:pt x="1020991" y="0"/>
                                </a:lnTo>
                                <a:close/>
                              </a:path>
                            </a:pathLst>
                          </a:custGeom>
                          <a:solidFill>
                            <a:srgbClr val="CCE7D2"/>
                          </a:solidFill>
                        </wps:spPr>
                        <wps:bodyPr wrap="square" lIns="0" tIns="0" rIns="0" bIns="0" rtlCol="0">
                          <a:prstTxWarp prst="textNoShape">
                            <a:avLst/>
                          </a:prstTxWarp>
                          <a:noAutofit/>
                        </wps:bodyPr>
                      </wps:wsp>
                      <wps:wsp>
                        <wps:cNvPr id="68" name="Graphic 68"/>
                        <wps:cNvSpPr/>
                        <wps:spPr>
                          <a:xfrm>
                            <a:off x="0" y="6350"/>
                            <a:ext cx="7559675" cy="1270"/>
                          </a:xfrm>
                          <a:custGeom>
                            <a:avLst/>
                            <a:gdLst/>
                            <a:ahLst/>
                            <a:cxnLst/>
                            <a:rect l="l" t="t" r="r" b="b"/>
                            <a:pathLst>
                              <a:path w="7559675">
                                <a:moveTo>
                                  <a:pt x="0" y="0"/>
                                </a:moveTo>
                                <a:lnTo>
                                  <a:pt x="7559675" y="0"/>
                                </a:lnTo>
                              </a:path>
                            </a:pathLst>
                          </a:custGeom>
                          <a:ln w="12700">
                            <a:solidFill>
                              <a:srgbClr val="CCE7D2"/>
                            </a:solidFill>
                            <a:prstDash val="solid"/>
                          </a:ln>
                        </wps:spPr>
                        <wps:bodyPr wrap="square" lIns="0" tIns="0" rIns="0" bIns="0" rtlCol="0">
                          <a:prstTxWarp prst="textNoShape">
                            <a:avLst/>
                          </a:prstTxWarp>
                          <a:noAutofit/>
                        </wps:bodyPr>
                      </wps:wsp>
                      <wps:wsp>
                        <wps:cNvPr id="69" name="Textbox 69"/>
                        <wps:cNvSpPr txBox="1"/>
                        <wps:spPr>
                          <a:xfrm>
                            <a:off x="530656" y="37491"/>
                            <a:ext cx="147320" cy="155575"/>
                          </a:xfrm>
                          <a:prstGeom prst="rect">
                            <a:avLst/>
                          </a:prstGeom>
                        </wps:spPr>
                        <wps:txbx>
                          <w:txbxContent>
                            <w:p w14:paraId="3E758819" w14:textId="77777777" w:rsidR="00BB77C0" w:rsidRDefault="00370BAA">
                              <w:pPr>
                                <w:spacing w:line="244" w:lineRule="exact"/>
                              </w:pPr>
                              <w:r>
                                <w:rPr>
                                  <w:spacing w:val="-5"/>
                                </w:rPr>
                                <w:t>64</w:t>
                              </w:r>
                            </w:p>
                          </w:txbxContent>
                        </wps:txbx>
                        <wps:bodyPr wrap="square" lIns="0" tIns="0" rIns="0" bIns="0" rtlCol="0">
                          <a:noAutofit/>
                        </wps:bodyPr>
                      </wps:wsp>
                    </wpg:wgp>
                  </a:graphicData>
                </a:graphic>
              </wp:anchor>
            </w:drawing>
          </mc:Choice>
          <mc:Fallback>
            <w:pict>
              <v:group w14:anchorId="2559C210" id="Group 66" o:spid="_x0000_s1047" style="position:absolute;margin-left:0;margin-top:805.85pt;width:595.25pt;height:36pt;z-index:15738368;mso-wrap-distance-left:0;mso-wrap-distance-right:0;mso-position-horizontal-relative:page;mso-position-vertical-relative:page" coordsize="75596,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">
                <v:shape id="Graphic 67" o:spid="_x0000_s1048" style="position:absolute;top:57;width:10210;height:4514;visibility:visible;mso-wrap-style:square;v-text-anchor:top" coordsize="1021080,4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" path="m1020991,l,,,451483r795591,l1020991,xe" fillcolor="#cce7d2" stroked="f">
                  <v:path arrowok="t"/>
                </v:shape>
                <v:shape id="Graphic 68" o:spid="_x0000_s1049" style="position:absolute;top:63;width:75596;height:13;visibility:visible;mso-wrap-style:square;v-text-anchor:top" coordsize="75596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" path="m,l7559675,e" filled="f" strokecolor="#cce7d2" strokeweight="1pt">
                  <v:path arrowok="t"/>
                </v:shape>
                <v:shape id="Textbox 69" o:spid="_x0000_s1050" type="#_x0000_t202" style="position:absolute;left:5306;top:374;width:1473;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" filled="f" stroked="f">
                  <v:textbox inset="0,0,0,0">
                    <w:txbxContent>
                      <w:p w14:paraId="3E758819" w14:textId="77777777" w:rsidR="00BB77C0" w:rsidRDefault="00370BAA">
                        <w:pPr>
                          <w:spacing w:line="244" w:lineRule="exact"/>
                        </w:pPr>
                        <w:r>
                          <w:rPr>
                            <w:spacing w:val="-5"/>
                          </w:rPr>
                          <w:t>64</w:t>
                        </w:r>
                      </w:p>
                    </w:txbxContent>
                  </v:textbox>
                </v:shape>
                <w10:wrap anchorx="page" anchory="page"/>
              </v:group>
            </w:pict>
          </mc:Fallback>
        </mc:AlternateContent>
      </w:r>
      <w:r>
        <w:rPr>
          <w:b/>
          <w:noProof/>
          <w:sz w:val="24"/>
        </w:rPr>
        <mc:AlternateContent>
          <mc:Choice Requires="wpg">
            <w:drawing>
              <wp:anchor distT="0" distB="0" distL="0" distR="0" simplePos="0" relativeHeight="15738880" behindDoc="0" locked="0" layoutInCell="1" allowOverlap="1" wp14:anchorId="05A970C7" wp14:editId="505845F4">
                <wp:simplePos x="0" y="0"/>
                <wp:positionH relativeFrom="page">
                  <wp:posOffset>0</wp:posOffset>
                </wp:positionH>
                <wp:positionV relativeFrom="page">
                  <wp:posOffset>762</wp:posOffset>
                </wp:positionV>
                <wp:extent cx="7559675" cy="228600"/>
                <wp:effectExtent l="0" t="0" r="0" b="0"/>
                <wp:wrapNone/>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675" cy="228600"/>
                          <a:chOff x="0" y="0"/>
                          <a:chExt cx="7559675" cy="228600"/>
                        </a:xfrm>
                      </wpg:grpSpPr>
                      <wps:wsp>
                        <wps:cNvPr id="71" name="Graphic 71"/>
                        <wps:cNvSpPr/>
                        <wps:spPr>
                          <a:xfrm>
                            <a:off x="848283" y="0"/>
                            <a:ext cx="6711950" cy="228600"/>
                          </a:xfrm>
                          <a:custGeom>
                            <a:avLst/>
                            <a:gdLst/>
                            <a:ahLst/>
                            <a:cxnLst/>
                            <a:rect l="l" t="t" r="r" b="b"/>
                            <a:pathLst>
                              <a:path w="6711950" h="228600">
                                <a:moveTo>
                                  <a:pt x="6711391" y="0"/>
                                </a:moveTo>
                                <a:lnTo>
                                  <a:pt x="0" y="0"/>
                                </a:lnTo>
                                <a:lnTo>
                                  <a:pt x="184137" y="228600"/>
                                </a:lnTo>
                                <a:lnTo>
                                  <a:pt x="6711391" y="223520"/>
                                </a:lnTo>
                                <a:lnTo>
                                  <a:pt x="6711391" y="0"/>
                                </a:lnTo>
                                <a:close/>
                              </a:path>
                            </a:pathLst>
                          </a:custGeom>
                          <a:solidFill>
                            <a:srgbClr val="E6E7E8"/>
                          </a:solidFill>
                        </wps:spPr>
                        <wps:bodyPr wrap="square" lIns="0" tIns="0" rIns="0" bIns="0" rtlCol="0">
                          <a:prstTxWarp prst="textNoShape">
                            <a:avLst/>
                          </a:prstTxWarp>
                          <a:noAutofit/>
                        </wps:bodyPr>
                      </wps:wsp>
                      <wps:wsp>
                        <wps:cNvPr id="72" name="Graphic 72"/>
                        <wps:cNvSpPr/>
                        <wps:spPr>
                          <a:xfrm>
                            <a:off x="0" y="0"/>
                            <a:ext cx="655955" cy="228600"/>
                          </a:xfrm>
                          <a:custGeom>
                            <a:avLst/>
                            <a:gdLst/>
                            <a:ahLst/>
                            <a:cxnLst/>
                            <a:rect l="l" t="t" r="r" b="b"/>
                            <a:pathLst>
                              <a:path w="655955" h="228600">
                                <a:moveTo>
                                  <a:pt x="530174" y="0"/>
                                </a:moveTo>
                                <a:lnTo>
                                  <a:pt x="0" y="0"/>
                                </a:lnTo>
                                <a:lnTo>
                                  <a:pt x="0" y="228600"/>
                                </a:lnTo>
                                <a:lnTo>
                                  <a:pt x="655904" y="228600"/>
                                </a:lnTo>
                                <a:lnTo>
                                  <a:pt x="530174" y="0"/>
                                </a:lnTo>
                                <a:close/>
                              </a:path>
                            </a:pathLst>
                          </a:custGeom>
                          <a:solidFill>
                            <a:srgbClr val="00A650"/>
                          </a:solidFill>
                        </wps:spPr>
                        <wps:bodyPr wrap="square" lIns="0" tIns="0" rIns="0" bIns="0" rtlCol="0">
                          <a:prstTxWarp prst="textNoShape">
                            <a:avLst/>
                          </a:prstTxWarp>
                          <a:noAutofit/>
                        </wps:bodyPr>
                      </wps:wsp>
                      <wps:wsp>
                        <wps:cNvPr id="73" name="Graphic 73"/>
                        <wps:cNvSpPr/>
                        <wps:spPr>
                          <a:xfrm>
                            <a:off x="554304" y="0"/>
                            <a:ext cx="329565" cy="228600"/>
                          </a:xfrm>
                          <a:custGeom>
                            <a:avLst/>
                            <a:gdLst/>
                            <a:ahLst/>
                            <a:cxnLst/>
                            <a:rect l="l" t="t" r="r" b="b"/>
                            <a:pathLst>
                              <a:path w="329565" h="228600">
                                <a:moveTo>
                                  <a:pt x="203822" y="0"/>
                                </a:moveTo>
                                <a:lnTo>
                                  <a:pt x="0" y="0"/>
                                </a:lnTo>
                                <a:lnTo>
                                  <a:pt x="128904" y="228600"/>
                                </a:lnTo>
                                <a:lnTo>
                                  <a:pt x="329539" y="228600"/>
                                </a:lnTo>
                                <a:lnTo>
                                  <a:pt x="203822" y="0"/>
                                </a:lnTo>
                                <a:close/>
                              </a:path>
                            </a:pathLst>
                          </a:custGeom>
                          <a:solidFill>
                            <a:srgbClr val="EB1C22"/>
                          </a:solidFill>
                        </wps:spPr>
                        <wps:bodyPr wrap="square" lIns="0" tIns="0" rIns="0" bIns="0" rtlCol="0">
                          <a:prstTxWarp prst="textNoShape">
                            <a:avLst/>
                          </a:prstTxWarp>
                          <a:noAutofit/>
                        </wps:bodyPr>
                      </wps:wsp>
                      <wps:wsp>
                        <wps:cNvPr id="74" name="Graphic 74"/>
                        <wps:cNvSpPr/>
                        <wps:spPr>
                          <a:xfrm>
                            <a:off x="783526" y="0"/>
                            <a:ext cx="329565" cy="228600"/>
                          </a:xfrm>
                          <a:custGeom>
                            <a:avLst/>
                            <a:gdLst/>
                            <a:ahLst/>
                            <a:cxnLst/>
                            <a:rect l="l" t="t" r="r" b="b"/>
                            <a:pathLst>
                              <a:path w="329565" h="228600">
                                <a:moveTo>
                                  <a:pt x="203822" y="0"/>
                                </a:moveTo>
                                <a:lnTo>
                                  <a:pt x="0" y="0"/>
                                </a:lnTo>
                                <a:lnTo>
                                  <a:pt x="128879" y="228600"/>
                                </a:lnTo>
                                <a:lnTo>
                                  <a:pt x="329539" y="228600"/>
                                </a:lnTo>
                                <a:lnTo>
                                  <a:pt x="203822" y="0"/>
                                </a:lnTo>
                                <a:close/>
                              </a:path>
                            </a:pathLst>
                          </a:custGeom>
                          <a:solidFill>
                            <a:srgbClr val="A7A9AC"/>
                          </a:solidFill>
                        </wps:spPr>
                        <wps:bodyPr wrap="square" lIns="0" tIns="0" rIns="0" bIns="0" rtlCol="0">
                          <a:prstTxWarp prst="textNoShape">
                            <a:avLst/>
                          </a:prstTxWarp>
                          <a:noAutofit/>
                        </wps:bodyPr>
                      </wps:wsp>
                    </wpg:wgp>
                  </a:graphicData>
                </a:graphic>
              </wp:anchor>
            </w:drawing>
          </mc:Choice>
          <mc:Fallback>
            <w:pict>
              <v:group w14:anchorId="53A56BC6" id="Group 70" o:spid="_x0000_s1026" style="position:absolute;margin-left:0;margin-top:.05pt;width:595.25pt;height:18pt;z-index:15738880;mso-wrap-distance-left:0;mso-wrap-distance-right:0;mso-position-horizontal-relative:page;mso-position-vertical-relative:page" coordsize="75596,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">
                <v:shape id="Graphic 71" o:spid="_x0000_s1027" style="position:absolute;left:8482;width:67120;height:2286;visibility:visible;mso-wrap-style:square;v-text-anchor:top" coordsize="67119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" path="m6711391,l,,184137,228600r6527254,-5080l6711391,xe" fillcolor="#e6e7e8" stroked="f">
                  <v:path arrowok="t"/>
                </v:shape>
                <v:shape id="Graphic 72" o:spid="_x0000_s1028" style="position:absolute;width:6559;height:2286;visibility:visible;mso-wrap-style:square;v-text-anchor:top" coordsize="65595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" path="m530174,l,,,228600r655904,l530174,xe" fillcolor="#00a650" stroked="f">
                  <v:path arrowok="t"/>
                </v:shape>
                <v:shape id="Graphic 73" o:spid="_x0000_s1029" style="position:absolute;left:5543;width:3295;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" path="m203822,l,,128904,228600r200635,l203822,xe" fillcolor="#eb1c22" stroked="f">
                  <v:path arrowok="t"/>
                </v:shape>
                <v:shape id="Graphic 74" o:spid="_x0000_s1030" style="position:absolute;left:7835;width:3295;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" path="m203822,l,,128879,228600r200660,l203822,xe" fillcolor="#a7a9ac" stroked="f">
                  <v:path arrowok="t"/>
                </v:shape>
                <w10:wrap anchorx="page" anchory="page"/>
              </v:group>
            </w:pict>
          </mc:Fallback>
        </mc:AlternateContent>
      </w:r>
    </w:p>
    <w:p w14:paraId="2FBB356D" w14:textId="77777777" w:rsidR="00BB77C0" w:rsidRDefault="00BB77C0">
      <w:pPr>
        <w:pStyle w:val="BodyText"/>
        <w:rPr>
          <w:b/>
          <w:sz w:val="24"/>
        </w:rPr>
      </w:pPr>
    </w:p>
    <w:p w14:paraId="3BFD6BB7" w14:textId="77777777" w:rsidR="00BB77C0" w:rsidRDefault="00BB77C0">
      <w:pPr>
        <w:pStyle w:val="BodyText"/>
        <w:rPr>
          <w:b/>
          <w:sz w:val="24"/>
        </w:rPr>
      </w:pPr>
    </w:p>
    <w:p w14:paraId="041A3283" w14:textId="77777777" w:rsidR="00BB77C0" w:rsidRDefault="00BB77C0">
      <w:pPr>
        <w:pStyle w:val="BodyText"/>
        <w:rPr>
          <w:b/>
          <w:sz w:val="24"/>
        </w:rPr>
      </w:pPr>
    </w:p>
    <w:p w14:paraId="7C1075B2" w14:textId="77777777" w:rsidR="00BB77C0" w:rsidRDefault="00BB77C0">
      <w:pPr>
        <w:pStyle w:val="BodyText"/>
        <w:spacing w:before="1"/>
        <w:rPr>
          <w:b/>
          <w:sz w:val="24"/>
        </w:rPr>
      </w:pPr>
    </w:p>
    <w:p w14:paraId="1E803104" w14:textId="77777777" w:rsidR="00BB77C0" w:rsidRDefault="00370BAA">
      <w:pPr>
        <w:pStyle w:val="Heading5"/>
        <w:numPr>
          <w:ilvl w:val="0"/>
          <w:numId w:val="64"/>
        </w:numPr>
        <w:tabs>
          <w:tab w:val="left" w:pos="965"/>
        </w:tabs>
        <w:ind w:left="965" w:hanging="480"/>
        <w:rPr>
          <w:color w:val="211F1F"/>
        </w:rPr>
      </w:pPr>
      <w:bookmarkStart w:id="138" w:name="3._FORM_PER-2:"/>
      <w:bookmarkEnd w:id="138"/>
      <w:r>
        <w:rPr>
          <w:color w:val="211F1F"/>
          <w:u w:val="single" w:color="211F1F"/>
        </w:rPr>
        <w:t>FORM</w:t>
      </w:r>
      <w:r>
        <w:rPr>
          <w:color w:val="211F1F"/>
          <w:spacing w:val="-6"/>
          <w:u w:val="single" w:color="211F1F"/>
        </w:rPr>
        <w:t xml:space="preserve"> </w:t>
      </w:r>
      <w:r>
        <w:rPr>
          <w:color w:val="211F1F"/>
          <w:u w:val="single" w:color="211F1F"/>
        </w:rPr>
        <w:t>PER-</w:t>
      </w:r>
      <w:r>
        <w:rPr>
          <w:color w:val="211F1F"/>
          <w:spacing w:val="-5"/>
          <w:u w:val="single" w:color="211F1F"/>
        </w:rPr>
        <w:t>2:</w:t>
      </w:r>
    </w:p>
    <w:p w14:paraId="36E529F7" w14:textId="77777777" w:rsidR="00BB77C0" w:rsidRDefault="00370BAA">
      <w:pPr>
        <w:pStyle w:val="BodyText"/>
        <w:spacing w:before="242"/>
        <w:ind w:left="485"/>
      </w:pPr>
      <w:r>
        <w:rPr>
          <w:color w:val="211F1F"/>
        </w:rPr>
        <w:t>Resume</w:t>
      </w:r>
      <w:r>
        <w:rPr>
          <w:color w:val="211F1F"/>
          <w:spacing w:val="-15"/>
        </w:rPr>
        <w:t xml:space="preserve"> </w:t>
      </w:r>
      <w:r>
        <w:rPr>
          <w:color w:val="211F1F"/>
        </w:rPr>
        <w:t>and</w:t>
      </w:r>
      <w:r>
        <w:rPr>
          <w:color w:val="211F1F"/>
          <w:spacing w:val="-10"/>
        </w:rPr>
        <w:t xml:space="preserve"> </w:t>
      </w:r>
      <w:r>
        <w:rPr>
          <w:color w:val="211F1F"/>
        </w:rPr>
        <w:t>Declaration</w:t>
      </w:r>
      <w:r>
        <w:rPr>
          <w:color w:val="211F1F"/>
          <w:spacing w:val="-10"/>
        </w:rPr>
        <w:t xml:space="preserve"> </w:t>
      </w:r>
      <w:r>
        <w:rPr>
          <w:color w:val="211F1F"/>
        </w:rPr>
        <w:t>-</w:t>
      </w:r>
      <w:r>
        <w:rPr>
          <w:color w:val="211F1F"/>
          <w:spacing w:val="-7"/>
        </w:rPr>
        <w:t xml:space="preserve"> </w:t>
      </w:r>
      <w:r>
        <w:rPr>
          <w:color w:val="211F1F"/>
        </w:rPr>
        <w:t>Contractor's</w:t>
      </w:r>
      <w:r>
        <w:rPr>
          <w:color w:val="211F1F"/>
          <w:spacing w:val="-5"/>
        </w:rPr>
        <w:t xml:space="preserve"> </w:t>
      </w:r>
      <w:r>
        <w:rPr>
          <w:color w:val="211F1F"/>
        </w:rPr>
        <w:t>Representative</w:t>
      </w:r>
      <w:r>
        <w:rPr>
          <w:color w:val="211F1F"/>
          <w:spacing w:val="-12"/>
        </w:rPr>
        <w:t xml:space="preserve"> </w:t>
      </w:r>
      <w:r>
        <w:rPr>
          <w:color w:val="211F1F"/>
        </w:rPr>
        <w:t>and</w:t>
      </w:r>
      <w:r>
        <w:rPr>
          <w:color w:val="211F1F"/>
          <w:spacing w:val="-10"/>
        </w:rPr>
        <w:t xml:space="preserve"> </w:t>
      </w:r>
      <w:r>
        <w:rPr>
          <w:color w:val="211F1F"/>
        </w:rPr>
        <w:t>Key</w:t>
      </w:r>
      <w:r>
        <w:rPr>
          <w:color w:val="211F1F"/>
          <w:spacing w:val="-10"/>
        </w:rPr>
        <w:t xml:space="preserve"> </w:t>
      </w:r>
      <w:r>
        <w:rPr>
          <w:color w:val="211F1F"/>
          <w:spacing w:val="-2"/>
        </w:rPr>
        <w:t>Personnel.</w:t>
      </w:r>
    </w:p>
    <w:p w14:paraId="1087B576" w14:textId="77777777" w:rsidR="00BB77C0" w:rsidRDefault="00BB77C0">
      <w:pPr>
        <w:pStyle w:val="BodyText"/>
        <w:spacing w:before="38"/>
      </w:pPr>
    </w:p>
    <w:p w14:paraId="41492358" w14:textId="77777777" w:rsidR="00BB77C0" w:rsidRDefault="00370BAA">
      <w:pPr>
        <w:pStyle w:val="BodyText"/>
        <w:spacing w:line="232" w:lineRule="auto"/>
        <w:ind w:left="494" w:right="587"/>
      </w:pPr>
      <w:r>
        <w:rPr>
          <w:color w:val="211F1F"/>
        </w:rPr>
        <w:t>Summarize</w:t>
      </w:r>
      <w:r>
        <w:rPr>
          <w:color w:val="211F1F"/>
          <w:spacing w:val="-12"/>
        </w:rPr>
        <w:t xml:space="preserve"> </w:t>
      </w:r>
      <w:r>
        <w:rPr>
          <w:color w:val="211F1F"/>
        </w:rPr>
        <w:t>professional</w:t>
      </w:r>
      <w:r>
        <w:rPr>
          <w:color w:val="211F1F"/>
          <w:spacing w:val="-1"/>
        </w:rPr>
        <w:t xml:space="preserve"> </w:t>
      </w:r>
      <w:r>
        <w:rPr>
          <w:color w:val="211F1F"/>
        </w:rPr>
        <w:t>experience</w:t>
      </w:r>
      <w:r>
        <w:rPr>
          <w:color w:val="211F1F"/>
          <w:spacing w:val="-9"/>
        </w:rPr>
        <w:t xml:space="preserve"> </w:t>
      </w:r>
      <w:r>
        <w:rPr>
          <w:color w:val="211F1F"/>
        </w:rPr>
        <w:t>in</w:t>
      </w:r>
      <w:r>
        <w:rPr>
          <w:color w:val="211F1F"/>
          <w:spacing w:val="-11"/>
        </w:rPr>
        <w:t xml:space="preserve"> </w:t>
      </w:r>
      <w:r>
        <w:rPr>
          <w:color w:val="211F1F"/>
        </w:rPr>
        <w:t>reverse</w:t>
      </w:r>
      <w:r>
        <w:rPr>
          <w:color w:val="211F1F"/>
          <w:spacing w:val="-9"/>
        </w:rPr>
        <w:t xml:space="preserve"> </w:t>
      </w:r>
      <w:r>
        <w:rPr>
          <w:color w:val="211F1F"/>
        </w:rPr>
        <w:t>chronological</w:t>
      </w:r>
      <w:r>
        <w:rPr>
          <w:color w:val="211F1F"/>
          <w:spacing w:val="-5"/>
        </w:rPr>
        <w:t xml:space="preserve"> </w:t>
      </w:r>
      <w:r>
        <w:rPr>
          <w:color w:val="211F1F"/>
        </w:rPr>
        <w:t>order. Indicate</w:t>
      </w:r>
      <w:r>
        <w:rPr>
          <w:color w:val="211F1F"/>
          <w:spacing w:val="-9"/>
        </w:rPr>
        <w:t xml:space="preserve"> </w:t>
      </w:r>
      <w:r>
        <w:rPr>
          <w:color w:val="211F1F"/>
        </w:rPr>
        <w:t>particular</w:t>
      </w:r>
      <w:r>
        <w:rPr>
          <w:color w:val="211F1F"/>
          <w:spacing w:val="-3"/>
        </w:rPr>
        <w:t xml:space="preserve"> </w:t>
      </w:r>
      <w:r>
        <w:rPr>
          <w:color w:val="211F1F"/>
        </w:rPr>
        <w:t>technical</w:t>
      </w:r>
      <w:r>
        <w:rPr>
          <w:color w:val="211F1F"/>
          <w:spacing w:val="-6"/>
        </w:rPr>
        <w:t xml:space="preserve"> </w:t>
      </w:r>
      <w:r>
        <w:rPr>
          <w:color w:val="211F1F"/>
        </w:rPr>
        <w:t>and</w:t>
      </w:r>
      <w:r>
        <w:rPr>
          <w:color w:val="211F1F"/>
          <w:spacing w:val="-7"/>
        </w:rPr>
        <w:t xml:space="preserve"> </w:t>
      </w:r>
      <w:r>
        <w:rPr>
          <w:color w:val="211F1F"/>
        </w:rPr>
        <w:t>managerial experience relevant to the project.</w:t>
      </w:r>
    </w:p>
    <w:p w14:paraId="2DDDB8A4" w14:textId="77777777" w:rsidR="00BB77C0" w:rsidRDefault="00370BAA">
      <w:pPr>
        <w:pStyle w:val="BodyText"/>
        <w:spacing w:before="225"/>
        <w:rPr>
          <w:sz w:val="20"/>
        </w:rPr>
      </w:pPr>
      <w:r>
        <w:rPr>
          <w:noProof/>
          <w:sz w:val="20"/>
        </w:rPr>
        <mc:AlternateContent>
          <mc:Choice Requires="wps">
            <w:drawing>
              <wp:anchor distT="0" distB="0" distL="0" distR="0" simplePos="0" relativeHeight="487597056" behindDoc="1" locked="0" layoutInCell="1" allowOverlap="1" wp14:anchorId="65807C4D" wp14:editId="0D2D8DF0">
                <wp:simplePos x="0" y="0"/>
                <wp:positionH relativeFrom="page">
                  <wp:posOffset>507365</wp:posOffset>
                </wp:positionH>
                <wp:positionV relativeFrom="paragraph">
                  <wp:posOffset>309502</wp:posOffset>
                </wp:positionV>
                <wp:extent cx="5773420" cy="330835"/>
                <wp:effectExtent l="0" t="0" r="0" b="0"/>
                <wp:wrapTopAndBottom/>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3420" cy="330835"/>
                        </a:xfrm>
                        <a:prstGeom prst="rect">
                          <a:avLst/>
                        </a:prstGeom>
                        <a:ln w="9144">
                          <a:solidFill>
                            <a:srgbClr val="000000"/>
                          </a:solidFill>
                          <a:prstDash val="solid"/>
                        </a:ln>
                      </wps:spPr>
                      <wps:txbx>
                        <w:txbxContent>
                          <w:p w14:paraId="2DB69813" w14:textId="77777777" w:rsidR="00BB77C0" w:rsidRDefault="00370BAA">
                            <w:pPr>
                              <w:spacing w:before="2"/>
                              <w:ind w:left="63"/>
                              <w:rPr>
                                <w:b/>
                              </w:rPr>
                            </w:pPr>
                            <w:r>
                              <w:rPr>
                                <w:b/>
                                <w:spacing w:val="-2"/>
                              </w:rPr>
                              <w:t>Name</w:t>
                            </w:r>
                            <w:r>
                              <w:rPr>
                                <w:b/>
                                <w:spacing w:val="-11"/>
                              </w:rPr>
                              <w:t xml:space="preserve"> </w:t>
                            </w:r>
                            <w:r>
                              <w:rPr>
                                <w:b/>
                                <w:spacing w:val="-2"/>
                              </w:rPr>
                              <w:t>of</w:t>
                            </w:r>
                            <w:r>
                              <w:rPr>
                                <w:b/>
                                <w:spacing w:val="-10"/>
                              </w:rPr>
                              <w:t xml:space="preserve"> </w:t>
                            </w:r>
                            <w:r>
                              <w:rPr>
                                <w:b/>
                                <w:spacing w:val="-2"/>
                              </w:rPr>
                              <w:t>Tenderer</w:t>
                            </w:r>
                          </w:p>
                        </w:txbxContent>
                      </wps:txbx>
                      <wps:bodyPr wrap="square" lIns="0" tIns="0" rIns="0" bIns="0" rtlCol="0">
                        <a:noAutofit/>
                      </wps:bodyPr>
                    </wps:wsp>
                  </a:graphicData>
                </a:graphic>
              </wp:anchor>
            </w:drawing>
          </mc:Choice>
          <mc:Fallback>
            <w:pict>
              <v:shape w14:anchorId="65807C4D" id="Textbox 75" o:spid="_x0000_s1051" type="#_x0000_t202" style="position:absolute;margin-left:39.95pt;margin-top:24.35pt;width:454.6pt;height:26.05pt;z-index:-157194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" filled="f" strokeweight=".72pt">
                <v:path arrowok="t"/>
                <v:textbox inset="0,0,0,0">
                  <w:txbxContent>
                    <w:p w14:paraId="2DB69813" w14:textId="77777777" w:rsidR="00BB77C0" w:rsidRDefault="00370BAA">
                      <w:pPr>
                        <w:spacing w:before="2"/>
                        <w:ind w:left="63"/>
                        <w:rPr>
                          <w:b/>
                        </w:rPr>
                      </w:pPr>
                      <w:r>
                        <w:rPr>
                          <w:b/>
                          <w:spacing w:val="-2"/>
                        </w:rPr>
                        <w:t>Name</w:t>
                      </w:r>
                      <w:r>
                        <w:rPr>
                          <w:b/>
                          <w:spacing w:val="-11"/>
                        </w:rPr>
                        <w:t xml:space="preserve"> </w:t>
                      </w:r>
                      <w:r>
                        <w:rPr>
                          <w:b/>
                          <w:spacing w:val="-2"/>
                        </w:rPr>
                        <w:t>of</w:t>
                      </w:r>
                      <w:r>
                        <w:rPr>
                          <w:b/>
                          <w:spacing w:val="-10"/>
                        </w:rPr>
                        <w:t xml:space="preserve"> </w:t>
                      </w:r>
                      <w:r>
                        <w:rPr>
                          <w:b/>
                          <w:spacing w:val="-2"/>
                        </w:rPr>
                        <w:t>Tenderer</w:t>
                      </w:r>
                    </w:p>
                  </w:txbxContent>
                </v:textbox>
                <w10:wrap type="topAndBottom" anchorx="page"/>
              </v:shape>
            </w:pict>
          </mc:Fallback>
        </mc:AlternateContent>
      </w:r>
    </w:p>
    <w:p w14:paraId="2E0144F8" w14:textId="77777777" w:rsidR="00BB77C0" w:rsidRDefault="00BB77C0">
      <w:pPr>
        <w:pStyle w:val="BodyText"/>
        <w:spacing w:before="31"/>
        <w:rPr>
          <w:sz w:val="20"/>
        </w:rPr>
      </w:pPr>
    </w:p>
    <w:tbl>
      <w:tblPr>
        <w:tblW w:w="0" w:type="auto"/>
        <w:tblInd w:w="4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441"/>
        <w:gridCol w:w="3962"/>
        <w:gridCol w:w="3693"/>
      </w:tblGrid>
      <w:tr w:rsidR="00BB77C0" w14:paraId="3142918B" w14:textId="77777777">
        <w:trPr>
          <w:trHeight w:val="508"/>
        </w:trPr>
        <w:tc>
          <w:tcPr>
            <w:tcW w:w="9096" w:type="dxa"/>
            <w:gridSpan w:val="3"/>
          </w:tcPr>
          <w:p w14:paraId="01BFAC53" w14:textId="77777777" w:rsidR="00BB77C0" w:rsidRDefault="00370BAA">
            <w:pPr>
              <w:pStyle w:val="TableParagraph"/>
              <w:spacing w:line="249" w:lineRule="exact"/>
              <w:ind w:left="83"/>
            </w:pPr>
            <w:r>
              <w:rPr>
                <w:spacing w:val="-2"/>
              </w:rPr>
              <w:t>Position</w:t>
            </w:r>
            <w:r>
              <w:rPr>
                <w:spacing w:val="-11"/>
              </w:rPr>
              <w:t xml:space="preserve"> </w:t>
            </w:r>
            <w:r>
              <w:rPr>
                <w:spacing w:val="-2"/>
              </w:rPr>
              <w:t>[#</w:t>
            </w:r>
            <w:r>
              <w:rPr>
                <w:i/>
                <w:spacing w:val="-2"/>
              </w:rPr>
              <w:t>1</w:t>
            </w:r>
            <w:r>
              <w:rPr>
                <w:spacing w:val="-2"/>
              </w:rPr>
              <w:t>]:</w:t>
            </w:r>
            <w:r>
              <w:rPr>
                <w:spacing w:val="-11"/>
              </w:rPr>
              <w:t xml:space="preserve"> </w:t>
            </w:r>
            <w:r>
              <w:rPr>
                <w:spacing w:val="-2"/>
              </w:rPr>
              <w:t>[</w:t>
            </w:r>
            <w:r>
              <w:rPr>
                <w:i/>
                <w:spacing w:val="-2"/>
              </w:rPr>
              <w:t>title</w:t>
            </w:r>
            <w:r>
              <w:rPr>
                <w:i/>
                <w:spacing w:val="-10"/>
              </w:rPr>
              <w:t xml:space="preserve"> </w:t>
            </w:r>
            <w:r>
              <w:rPr>
                <w:i/>
                <w:spacing w:val="-2"/>
              </w:rPr>
              <w:t>of</w:t>
            </w:r>
            <w:r>
              <w:rPr>
                <w:i/>
                <w:spacing w:val="-7"/>
              </w:rPr>
              <w:t xml:space="preserve"> </w:t>
            </w:r>
            <w:r>
              <w:rPr>
                <w:i/>
                <w:spacing w:val="-2"/>
              </w:rPr>
              <w:t>position</w:t>
            </w:r>
            <w:r>
              <w:rPr>
                <w:i/>
                <w:spacing w:val="-12"/>
              </w:rPr>
              <w:t xml:space="preserve"> </w:t>
            </w:r>
            <w:r>
              <w:rPr>
                <w:i/>
                <w:spacing w:val="-2"/>
              </w:rPr>
              <w:t>from</w:t>
            </w:r>
            <w:r>
              <w:rPr>
                <w:i/>
                <w:spacing w:val="-13"/>
              </w:rPr>
              <w:t xml:space="preserve"> </w:t>
            </w:r>
            <w:r>
              <w:rPr>
                <w:i/>
                <w:spacing w:val="-2"/>
              </w:rPr>
              <w:t>Form</w:t>
            </w:r>
            <w:r>
              <w:rPr>
                <w:i/>
                <w:spacing w:val="-8"/>
              </w:rPr>
              <w:t xml:space="preserve"> </w:t>
            </w:r>
            <w:r>
              <w:rPr>
                <w:i/>
                <w:spacing w:val="-2"/>
              </w:rPr>
              <w:t>PER-</w:t>
            </w:r>
            <w:r>
              <w:rPr>
                <w:i/>
                <w:spacing w:val="-5"/>
              </w:rPr>
              <w:t>1</w:t>
            </w:r>
            <w:r>
              <w:rPr>
                <w:spacing w:val="-5"/>
              </w:rPr>
              <w:t>]</w:t>
            </w:r>
          </w:p>
        </w:tc>
      </w:tr>
      <w:tr w:rsidR="00BB77C0" w14:paraId="62E53B46" w14:textId="77777777">
        <w:trPr>
          <w:trHeight w:val="503"/>
        </w:trPr>
        <w:tc>
          <w:tcPr>
            <w:tcW w:w="1441" w:type="dxa"/>
          </w:tcPr>
          <w:p w14:paraId="61D64D79" w14:textId="77777777" w:rsidR="00BB77C0" w:rsidRDefault="00370BAA">
            <w:pPr>
              <w:pStyle w:val="TableParagraph"/>
              <w:spacing w:before="3" w:line="240" w:lineRule="exact"/>
              <w:ind w:left="83"/>
            </w:pPr>
            <w:r>
              <w:rPr>
                <w:spacing w:val="-2"/>
              </w:rPr>
              <w:t xml:space="preserve">Personnel </w:t>
            </w:r>
            <w:r>
              <w:rPr>
                <w:spacing w:val="-4"/>
              </w:rPr>
              <w:t>information</w:t>
            </w:r>
          </w:p>
        </w:tc>
        <w:tc>
          <w:tcPr>
            <w:tcW w:w="3962" w:type="dxa"/>
          </w:tcPr>
          <w:p w14:paraId="756712D7" w14:textId="77777777" w:rsidR="00BB77C0" w:rsidRDefault="00370BAA">
            <w:pPr>
              <w:pStyle w:val="TableParagraph"/>
              <w:spacing w:line="249" w:lineRule="exact"/>
              <w:ind w:left="83"/>
            </w:pPr>
            <w:r>
              <w:rPr>
                <w:spacing w:val="-2"/>
              </w:rPr>
              <w:t>Name:</w:t>
            </w:r>
          </w:p>
        </w:tc>
        <w:tc>
          <w:tcPr>
            <w:tcW w:w="3693" w:type="dxa"/>
          </w:tcPr>
          <w:p w14:paraId="0E4AB3ED" w14:textId="77777777" w:rsidR="00BB77C0" w:rsidRDefault="00370BAA">
            <w:pPr>
              <w:pStyle w:val="TableParagraph"/>
              <w:spacing w:line="249" w:lineRule="exact"/>
              <w:ind w:left="82"/>
            </w:pPr>
            <w:r>
              <w:rPr>
                <w:spacing w:val="-2"/>
              </w:rPr>
              <w:t>Date</w:t>
            </w:r>
            <w:r>
              <w:rPr>
                <w:spacing w:val="-17"/>
              </w:rPr>
              <w:t xml:space="preserve"> </w:t>
            </w:r>
            <w:r>
              <w:rPr>
                <w:spacing w:val="-2"/>
              </w:rPr>
              <w:t>of</w:t>
            </w:r>
            <w:r>
              <w:rPr>
                <w:spacing w:val="-5"/>
              </w:rPr>
              <w:t xml:space="preserve"> </w:t>
            </w:r>
            <w:r>
              <w:rPr>
                <w:spacing w:val="-2"/>
              </w:rPr>
              <w:t>birth:</w:t>
            </w:r>
          </w:p>
        </w:tc>
      </w:tr>
      <w:tr w:rsidR="00BB77C0" w14:paraId="59E48579" w14:textId="77777777">
        <w:trPr>
          <w:trHeight w:val="503"/>
        </w:trPr>
        <w:tc>
          <w:tcPr>
            <w:tcW w:w="1441" w:type="dxa"/>
          </w:tcPr>
          <w:p w14:paraId="0F1FE4C5" w14:textId="77777777" w:rsidR="00BB77C0" w:rsidRDefault="00BB77C0">
            <w:pPr>
              <w:pStyle w:val="TableParagraph"/>
            </w:pPr>
          </w:p>
        </w:tc>
        <w:tc>
          <w:tcPr>
            <w:tcW w:w="3962" w:type="dxa"/>
          </w:tcPr>
          <w:p w14:paraId="5598021A" w14:textId="77777777" w:rsidR="00BB77C0" w:rsidRDefault="00370BAA">
            <w:pPr>
              <w:pStyle w:val="TableParagraph"/>
              <w:spacing w:line="249" w:lineRule="exact"/>
              <w:ind w:left="83"/>
            </w:pPr>
            <w:r>
              <w:rPr>
                <w:spacing w:val="-2"/>
              </w:rPr>
              <w:t>Address:</w:t>
            </w:r>
          </w:p>
        </w:tc>
        <w:tc>
          <w:tcPr>
            <w:tcW w:w="3693" w:type="dxa"/>
          </w:tcPr>
          <w:p w14:paraId="4395838D" w14:textId="77777777" w:rsidR="00BB77C0" w:rsidRDefault="00370BAA">
            <w:pPr>
              <w:pStyle w:val="TableParagraph"/>
              <w:spacing w:line="249" w:lineRule="exact"/>
              <w:ind w:left="82"/>
            </w:pPr>
            <w:r>
              <w:rPr>
                <w:spacing w:val="-8"/>
              </w:rPr>
              <w:t>E-</w:t>
            </w:r>
            <w:r>
              <w:rPr>
                <w:spacing w:val="-2"/>
              </w:rPr>
              <w:t>mail:</w:t>
            </w:r>
          </w:p>
        </w:tc>
      </w:tr>
      <w:tr w:rsidR="00BB77C0" w14:paraId="6B26A7C4" w14:textId="77777777">
        <w:trPr>
          <w:trHeight w:val="254"/>
        </w:trPr>
        <w:tc>
          <w:tcPr>
            <w:tcW w:w="1441" w:type="dxa"/>
            <w:vMerge w:val="restart"/>
          </w:tcPr>
          <w:p w14:paraId="2EE15736" w14:textId="77777777" w:rsidR="00BB77C0" w:rsidRDefault="00BB77C0">
            <w:pPr>
              <w:pStyle w:val="TableParagraph"/>
            </w:pPr>
          </w:p>
        </w:tc>
        <w:tc>
          <w:tcPr>
            <w:tcW w:w="3962" w:type="dxa"/>
          </w:tcPr>
          <w:p w14:paraId="15DB8DCF" w14:textId="77777777" w:rsidR="00BB77C0" w:rsidRDefault="00BB77C0">
            <w:pPr>
              <w:pStyle w:val="TableParagraph"/>
              <w:rPr>
                <w:sz w:val="18"/>
              </w:rPr>
            </w:pPr>
          </w:p>
        </w:tc>
        <w:tc>
          <w:tcPr>
            <w:tcW w:w="3693" w:type="dxa"/>
          </w:tcPr>
          <w:p w14:paraId="22DBF3DA" w14:textId="77777777" w:rsidR="00BB77C0" w:rsidRDefault="00BB77C0">
            <w:pPr>
              <w:pStyle w:val="TableParagraph"/>
              <w:rPr>
                <w:sz w:val="18"/>
              </w:rPr>
            </w:pPr>
          </w:p>
        </w:tc>
      </w:tr>
      <w:tr w:rsidR="00BB77C0" w14:paraId="187F5D62" w14:textId="77777777">
        <w:trPr>
          <w:trHeight w:val="508"/>
        </w:trPr>
        <w:tc>
          <w:tcPr>
            <w:tcW w:w="1441" w:type="dxa"/>
            <w:vMerge/>
            <w:tcBorders>
              <w:top w:val="nil"/>
            </w:tcBorders>
          </w:tcPr>
          <w:p w14:paraId="44FF0589" w14:textId="77777777" w:rsidR="00BB77C0" w:rsidRDefault="00BB77C0">
            <w:pPr>
              <w:rPr>
                <w:sz w:val="2"/>
                <w:szCs w:val="2"/>
              </w:rPr>
            </w:pPr>
          </w:p>
        </w:tc>
        <w:tc>
          <w:tcPr>
            <w:tcW w:w="7655" w:type="dxa"/>
            <w:gridSpan w:val="2"/>
          </w:tcPr>
          <w:p w14:paraId="06843203" w14:textId="77777777" w:rsidR="00BB77C0" w:rsidRDefault="00370BAA">
            <w:pPr>
              <w:pStyle w:val="TableParagraph"/>
              <w:spacing w:line="249" w:lineRule="exact"/>
              <w:ind w:left="83"/>
            </w:pPr>
            <w:r>
              <w:rPr>
                <w:spacing w:val="-4"/>
              </w:rPr>
              <w:t>Professional</w:t>
            </w:r>
            <w:r>
              <w:rPr>
                <w:spacing w:val="12"/>
              </w:rPr>
              <w:t xml:space="preserve"> </w:t>
            </w:r>
            <w:r>
              <w:rPr>
                <w:spacing w:val="-2"/>
              </w:rPr>
              <w:t>qualifications:</w:t>
            </w:r>
          </w:p>
        </w:tc>
      </w:tr>
      <w:tr w:rsidR="00BB77C0" w14:paraId="2F17A91B" w14:textId="77777777">
        <w:trPr>
          <w:trHeight w:val="503"/>
        </w:trPr>
        <w:tc>
          <w:tcPr>
            <w:tcW w:w="1441" w:type="dxa"/>
            <w:vMerge/>
            <w:tcBorders>
              <w:top w:val="nil"/>
            </w:tcBorders>
          </w:tcPr>
          <w:p w14:paraId="692E263B" w14:textId="77777777" w:rsidR="00BB77C0" w:rsidRDefault="00BB77C0">
            <w:pPr>
              <w:rPr>
                <w:sz w:val="2"/>
                <w:szCs w:val="2"/>
              </w:rPr>
            </w:pPr>
          </w:p>
        </w:tc>
        <w:tc>
          <w:tcPr>
            <w:tcW w:w="7655" w:type="dxa"/>
            <w:gridSpan w:val="2"/>
          </w:tcPr>
          <w:p w14:paraId="2A7D9707" w14:textId="77777777" w:rsidR="00BB77C0" w:rsidRDefault="00370BAA">
            <w:pPr>
              <w:pStyle w:val="TableParagraph"/>
              <w:spacing w:line="249" w:lineRule="exact"/>
              <w:ind w:left="83"/>
            </w:pPr>
            <w:r>
              <w:rPr>
                <w:spacing w:val="-4"/>
              </w:rPr>
              <w:t>Academic</w:t>
            </w:r>
            <w:r>
              <w:rPr>
                <w:spacing w:val="2"/>
              </w:rPr>
              <w:t xml:space="preserve"> </w:t>
            </w:r>
            <w:r>
              <w:rPr>
                <w:spacing w:val="-2"/>
              </w:rPr>
              <w:t>qualifications:</w:t>
            </w:r>
          </w:p>
        </w:tc>
      </w:tr>
      <w:tr w:rsidR="00BB77C0" w14:paraId="1FE910D2" w14:textId="77777777">
        <w:trPr>
          <w:trHeight w:val="503"/>
        </w:trPr>
        <w:tc>
          <w:tcPr>
            <w:tcW w:w="1441" w:type="dxa"/>
            <w:vMerge/>
            <w:tcBorders>
              <w:top w:val="nil"/>
            </w:tcBorders>
          </w:tcPr>
          <w:p w14:paraId="39BF482D" w14:textId="77777777" w:rsidR="00BB77C0" w:rsidRDefault="00BB77C0">
            <w:pPr>
              <w:rPr>
                <w:sz w:val="2"/>
                <w:szCs w:val="2"/>
              </w:rPr>
            </w:pPr>
          </w:p>
        </w:tc>
        <w:tc>
          <w:tcPr>
            <w:tcW w:w="7655" w:type="dxa"/>
            <w:gridSpan w:val="2"/>
          </w:tcPr>
          <w:p w14:paraId="7A40B83E" w14:textId="77777777" w:rsidR="00BB77C0" w:rsidRDefault="00370BAA">
            <w:pPr>
              <w:pStyle w:val="TableParagraph"/>
              <w:spacing w:line="249" w:lineRule="exact"/>
              <w:ind w:left="83"/>
              <w:rPr>
                <w:i/>
              </w:rPr>
            </w:pPr>
            <w:r>
              <w:rPr>
                <w:spacing w:val="-2"/>
              </w:rPr>
              <w:t>Language</w:t>
            </w:r>
            <w:r>
              <w:rPr>
                <w:spacing w:val="-13"/>
              </w:rPr>
              <w:t xml:space="preserve"> </w:t>
            </w:r>
            <w:r>
              <w:rPr>
                <w:spacing w:val="-2"/>
              </w:rPr>
              <w:t>proficiency:</w:t>
            </w:r>
            <w:r>
              <w:rPr>
                <w:spacing w:val="-10"/>
              </w:rPr>
              <w:t xml:space="preserve"> </w:t>
            </w:r>
            <w:r>
              <w:rPr>
                <w:i/>
                <w:spacing w:val="-2"/>
              </w:rPr>
              <w:t>[language</w:t>
            </w:r>
            <w:r>
              <w:rPr>
                <w:i/>
                <w:spacing w:val="-14"/>
              </w:rPr>
              <w:t xml:space="preserve"> </w:t>
            </w:r>
            <w:r>
              <w:rPr>
                <w:i/>
                <w:spacing w:val="-2"/>
              </w:rPr>
              <w:t>and</w:t>
            </w:r>
            <w:r>
              <w:rPr>
                <w:i/>
                <w:spacing w:val="-8"/>
              </w:rPr>
              <w:t xml:space="preserve"> </w:t>
            </w:r>
            <w:r>
              <w:rPr>
                <w:i/>
                <w:spacing w:val="-2"/>
              </w:rPr>
              <w:t>levels</w:t>
            </w:r>
            <w:r>
              <w:rPr>
                <w:i/>
                <w:spacing w:val="-8"/>
              </w:rPr>
              <w:t xml:space="preserve"> </w:t>
            </w:r>
            <w:r>
              <w:rPr>
                <w:i/>
                <w:spacing w:val="-2"/>
              </w:rPr>
              <w:t>of</w:t>
            </w:r>
            <w:r>
              <w:rPr>
                <w:i/>
                <w:spacing w:val="-12"/>
              </w:rPr>
              <w:t xml:space="preserve"> </w:t>
            </w:r>
            <w:r>
              <w:rPr>
                <w:i/>
                <w:spacing w:val="-2"/>
              </w:rPr>
              <w:t>speaking,</w:t>
            </w:r>
            <w:r>
              <w:rPr>
                <w:i/>
                <w:spacing w:val="-10"/>
              </w:rPr>
              <w:t xml:space="preserve"> </w:t>
            </w:r>
            <w:r>
              <w:rPr>
                <w:i/>
                <w:spacing w:val="-2"/>
              </w:rPr>
              <w:t>reading</w:t>
            </w:r>
            <w:r>
              <w:rPr>
                <w:i/>
                <w:spacing w:val="-12"/>
              </w:rPr>
              <w:t xml:space="preserve"> </w:t>
            </w:r>
            <w:r>
              <w:rPr>
                <w:i/>
                <w:spacing w:val="-2"/>
              </w:rPr>
              <w:t>and</w:t>
            </w:r>
            <w:r>
              <w:rPr>
                <w:i/>
                <w:spacing w:val="-7"/>
              </w:rPr>
              <w:t xml:space="preserve"> </w:t>
            </w:r>
            <w:r>
              <w:rPr>
                <w:i/>
                <w:spacing w:val="-2"/>
              </w:rPr>
              <w:t>writing</w:t>
            </w:r>
            <w:r>
              <w:rPr>
                <w:i/>
                <w:spacing w:val="-12"/>
              </w:rPr>
              <w:t xml:space="preserve"> </w:t>
            </w:r>
            <w:r>
              <w:rPr>
                <w:i/>
                <w:spacing w:val="-2"/>
              </w:rPr>
              <w:t>skills]</w:t>
            </w:r>
          </w:p>
        </w:tc>
      </w:tr>
      <w:tr w:rsidR="00BB77C0" w14:paraId="5BEB58C5" w14:textId="77777777">
        <w:trPr>
          <w:trHeight w:val="253"/>
        </w:trPr>
        <w:tc>
          <w:tcPr>
            <w:tcW w:w="1441" w:type="dxa"/>
            <w:vMerge w:val="restart"/>
          </w:tcPr>
          <w:p w14:paraId="4B370A27" w14:textId="77777777" w:rsidR="00BB77C0" w:rsidRDefault="00370BAA">
            <w:pPr>
              <w:pStyle w:val="TableParagraph"/>
              <w:spacing w:line="249" w:lineRule="exact"/>
              <w:ind w:left="83"/>
            </w:pPr>
            <w:r>
              <w:rPr>
                <w:spacing w:val="-2"/>
              </w:rPr>
              <w:t>Details</w:t>
            </w:r>
          </w:p>
        </w:tc>
        <w:tc>
          <w:tcPr>
            <w:tcW w:w="7655" w:type="dxa"/>
            <w:gridSpan w:val="2"/>
          </w:tcPr>
          <w:p w14:paraId="198D470C" w14:textId="77777777" w:rsidR="00BB77C0" w:rsidRDefault="00BB77C0">
            <w:pPr>
              <w:pStyle w:val="TableParagraph"/>
              <w:rPr>
                <w:sz w:val="18"/>
              </w:rPr>
            </w:pPr>
          </w:p>
        </w:tc>
      </w:tr>
      <w:tr w:rsidR="00BB77C0" w14:paraId="10112793" w14:textId="77777777">
        <w:trPr>
          <w:trHeight w:val="503"/>
        </w:trPr>
        <w:tc>
          <w:tcPr>
            <w:tcW w:w="1441" w:type="dxa"/>
            <w:vMerge/>
            <w:tcBorders>
              <w:top w:val="nil"/>
            </w:tcBorders>
          </w:tcPr>
          <w:p w14:paraId="6EB96D5B" w14:textId="77777777" w:rsidR="00BB77C0" w:rsidRDefault="00BB77C0">
            <w:pPr>
              <w:rPr>
                <w:sz w:val="2"/>
                <w:szCs w:val="2"/>
              </w:rPr>
            </w:pPr>
          </w:p>
        </w:tc>
        <w:tc>
          <w:tcPr>
            <w:tcW w:w="7655" w:type="dxa"/>
            <w:gridSpan w:val="2"/>
          </w:tcPr>
          <w:p w14:paraId="5AA53C8F" w14:textId="77777777" w:rsidR="00BB77C0" w:rsidRDefault="00370BAA">
            <w:pPr>
              <w:pStyle w:val="TableParagraph"/>
              <w:spacing w:line="249" w:lineRule="exact"/>
              <w:ind w:left="83"/>
            </w:pPr>
            <w:r>
              <w:rPr>
                <w:spacing w:val="-2"/>
              </w:rPr>
              <w:t>Address</w:t>
            </w:r>
            <w:r>
              <w:rPr>
                <w:spacing w:val="-7"/>
              </w:rPr>
              <w:t xml:space="preserve"> </w:t>
            </w:r>
            <w:r>
              <w:rPr>
                <w:spacing w:val="-2"/>
              </w:rPr>
              <w:t>of</w:t>
            </w:r>
            <w:r>
              <w:rPr>
                <w:spacing w:val="-10"/>
              </w:rPr>
              <w:t xml:space="preserve"> </w:t>
            </w:r>
            <w:r>
              <w:rPr>
                <w:spacing w:val="-2"/>
              </w:rPr>
              <w:t>Procuring</w:t>
            </w:r>
            <w:r>
              <w:rPr>
                <w:spacing w:val="-6"/>
              </w:rPr>
              <w:t xml:space="preserve"> </w:t>
            </w:r>
            <w:r>
              <w:rPr>
                <w:spacing w:val="-2"/>
              </w:rPr>
              <w:t>Entity:</w:t>
            </w:r>
          </w:p>
        </w:tc>
      </w:tr>
      <w:tr w:rsidR="00BB77C0" w14:paraId="415CB5F9" w14:textId="77777777">
        <w:trPr>
          <w:trHeight w:val="503"/>
        </w:trPr>
        <w:tc>
          <w:tcPr>
            <w:tcW w:w="1441" w:type="dxa"/>
            <w:vMerge/>
            <w:tcBorders>
              <w:top w:val="nil"/>
            </w:tcBorders>
          </w:tcPr>
          <w:p w14:paraId="7D27DBE9" w14:textId="77777777" w:rsidR="00BB77C0" w:rsidRDefault="00BB77C0">
            <w:pPr>
              <w:rPr>
                <w:sz w:val="2"/>
                <w:szCs w:val="2"/>
              </w:rPr>
            </w:pPr>
          </w:p>
        </w:tc>
        <w:tc>
          <w:tcPr>
            <w:tcW w:w="3962" w:type="dxa"/>
          </w:tcPr>
          <w:p w14:paraId="7D2C6B9B" w14:textId="77777777" w:rsidR="00BB77C0" w:rsidRDefault="00370BAA">
            <w:pPr>
              <w:pStyle w:val="TableParagraph"/>
              <w:spacing w:line="249" w:lineRule="exact"/>
              <w:ind w:left="83"/>
            </w:pPr>
            <w:r>
              <w:rPr>
                <w:spacing w:val="-2"/>
              </w:rPr>
              <w:t>Telephone:</w:t>
            </w:r>
          </w:p>
        </w:tc>
        <w:tc>
          <w:tcPr>
            <w:tcW w:w="3693" w:type="dxa"/>
          </w:tcPr>
          <w:p w14:paraId="2C292427" w14:textId="77777777" w:rsidR="00BB77C0" w:rsidRDefault="00370BAA">
            <w:pPr>
              <w:pStyle w:val="TableParagraph"/>
              <w:spacing w:line="249" w:lineRule="exact"/>
              <w:ind w:left="82"/>
            </w:pPr>
            <w:r>
              <w:rPr>
                <w:spacing w:val="-2"/>
              </w:rPr>
              <w:t>Contact</w:t>
            </w:r>
            <w:r>
              <w:rPr>
                <w:spacing w:val="-12"/>
              </w:rPr>
              <w:t xml:space="preserve"> </w:t>
            </w:r>
            <w:r>
              <w:rPr>
                <w:spacing w:val="-2"/>
              </w:rPr>
              <w:t>(manager</w:t>
            </w:r>
            <w:r>
              <w:rPr>
                <w:spacing w:val="-10"/>
              </w:rPr>
              <w:t xml:space="preserve"> </w:t>
            </w:r>
            <w:r>
              <w:rPr>
                <w:spacing w:val="-2"/>
              </w:rPr>
              <w:t>/</w:t>
            </w:r>
            <w:r>
              <w:rPr>
                <w:spacing w:val="-12"/>
              </w:rPr>
              <w:t xml:space="preserve"> </w:t>
            </w:r>
            <w:r>
              <w:rPr>
                <w:spacing w:val="-2"/>
              </w:rPr>
              <w:t>personnel</w:t>
            </w:r>
            <w:r>
              <w:rPr>
                <w:spacing w:val="-9"/>
              </w:rPr>
              <w:t xml:space="preserve"> </w:t>
            </w:r>
            <w:r>
              <w:rPr>
                <w:spacing w:val="-2"/>
              </w:rPr>
              <w:t>officer):</w:t>
            </w:r>
          </w:p>
        </w:tc>
      </w:tr>
      <w:tr w:rsidR="00BB77C0" w14:paraId="3788BB5E" w14:textId="77777777">
        <w:trPr>
          <w:trHeight w:val="508"/>
        </w:trPr>
        <w:tc>
          <w:tcPr>
            <w:tcW w:w="1441" w:type="dxa"/>
            <w:vMerge/>
            <w:tcBorders>
              <w:top w:val="nil"/>
            </w:tcBorders>
          </w:tcPr>
          <w:p w14:paraId="1CBDE814" w14:textId="77777777" w:rsidR="00BB77C0" w:rsidRDefault="00BB77C0">
            <w:pPr>
              <w:rPr>
                <w:sz w:val="2"/>
                <w:szCs w:val="2"/>
              </w:rPr>
            </w:pPr>
          </w:p>
        </w:tc>
        <w:tc>
          <w:tcPr>
            <w:tcW w:w="3962" w:type="dxa"/>
          </w:tcPr>
          <w:p w14:paraId="3C7CF9D8" w14:textId="77777777" w:rsidR="00BB77C0" w:rsidRDefault="00370BAA">
            <w:pPr>
              <w:pStyle w:val="TableParagraph"/>
              <w:spacing w:line="249" w:lineRule="exact"/>
              <w:ind w:left="83"/>
            </w:pPr>
            <w:r>
              <w:rPr>
                <w:spacing w:val="-4"/>
              </w:rPr>
              <w:t>Fax:</w:t>
            </w:r>
          </w:p>
        </w:tc>
        <w:tc>
          <w:tcPr>
            <w:tcW w:w="3693" w:type="dxa"/>
          </w:tcPr>
          <w:p w14:paraId="21899E40" w14:textId="77777777" w:rsidR="00BB77C0" w:rsidRDefault="00BB77C0">
            <w:pPr>
              <w:pStyle w:val="TableParagraph"/>
            </w:pPr>
          </w:p>
        </w:tc>
      </w:tr>
      <w:tr w:rsidR="00BB77C0" w14:paraId="077EE2F4" w14:textId="77777777">
        <w:trPr>
          <w:trHeight w:val="508"/>
        </w:trPr>
        <w:tc>
          <w:tcPr>
            <w:tcW w:w="1441" w:type="dxa"/>
            <w:vMerge/>
            <w:tcBorders>
              <w:top w:val="nil"/>
            </w:tcBorders>
          </w:tcPr>
          <w:p w14:paraId="1388CEE2" w14:textId="77777777" w:rsidR="00BB77C0" w:rsidRDefault="00BB77C0">
            <w:pPr>
              <w:rPr>
                <w:sz w:val="2"/>
                <w:szCs w:val="2"/>
              </w:rPr>
            </w:pPr>
          </w:p>
        </w:tc>
        <w:tc>
          <w:tcPr>
            <w:tcW w:w="3962" w:type="dxa"/>
          </w:tcPr>
          <w:p w14:paraId="02755D64" w14:textId="77777777" w:rsidR="00BB77C0" w:rsidRDefault="00370BAA">
            <w:pPr>
              <w:pStyle w:val="TableParagraph"/>
              <w:spacing w:line="249" w:lineRule="exact"/>
              <w:ind w:left="83"/>
            </w:pPr>
            <w:r>
              <w:t>Job</w:t>
            </w:r>
            <w:r>
              <w:rPr>
                <w:spacing w:val="-15"/>
              </w:rPr>
              <w:t xml:space="preserve"> </w:t>
            </w:r>
            <w:r>
              <w:rPr>
                <w:spacing w:val="-2"/>
              </w:rPr>
              <w:t>title:</w:t>
            </w:r>
          </w:p>
        </w:tc>
        <w:tc>
          <w:tcPr>
            <w:tcW w:w="3693" w:type="dxa"/>
          </w:tcPr>
          <w:p w14:paraId="6B8C7C06" w14:textId="77777777" w:rsidR="00BB77C0" w:rsidRDefault="00370BAA">
            <w:pPr>
              <w:pStyle w:val="TableParagraph"/>
              <w:spacing w:line="249" w:lineRule="exact"/>
              <w:ind w:left="82"/>
            </w:pPr>
            <w:r>
              <w:rPr>
                <w:spacing w:val="-2"/>
              </w:rPr>
              <w:t>Years</w:t>
            </w:r>
            <w:r>
              <w:rPr>
                <w:spacing w:val="-10"/>
              </w:rPr>
              <w:t xml:space="preserve"> </w:t>
            </w:r>
            <w:r>
              <w:rPr>
                <w:spacing w:val="-2"/>
              </w:rPr>
              <w:t>with</w:t>
            </w:r>
            <w:r>
              <w:rPr>
                <w:spacing w:val="-12"/>
              </w:rPr>
              <w:t xml:space="preserve"> </w:t>
            </w:r>
            <w:r>
              <w:rPr>
                <w:spacing w:val="-2"/>
              </w:rPr>
              <w:t>present</w:t>
            </w:r>
            <w:r>
              <w:rPr>
                <w:spacing w:val="-7"/>
              </w:rPr>
              <w:t xml:space="preserve"> </w:t>
            </w:r>
            <w:r>
              <w:rPr>
                <w:spacing w:val="-2"/>
              </w:rPr>
              <w:t>Procuring</w:t>
            </w:r>
            <w:r>
              <w:rPr>
                <w:spacing w:val="-8"/>
              </w:rPr>
              <w:t xml:space="preserve"> </w:t>
            </w:r>
            <w:r>
              <w:rPr>
                <w:spacing w:val="-2"/>
              </w:rPr>
              <w:t>Entity:</w:t>
            </w:r>
          </w:p>
        </w:tc>
      </w:tr>
    </w:tbl>
    <w:p w14:paraId="29D55CEB" w14:textId="77777777" w:rsidR="00BB77C0" w:rsidRDefault="00BB77C0">
      <w:pPr>
        <w:pStyle w:val="BodyText"/>
        <w:spacing w:before="2"/>
      </w:pPr>
    </w:p>
    <w:p w14:paraId="795A78A3" w14:textId="77777777" w:rsidR="00BB77C0" w:rsidRDefault="00370BAA">
      <w:pPr>
        <w:pStyle w:val="BodyText"/>
        <w:ind w:left="360" w:right="587"/>
      </w:pPr>
      <w:r>
        <w:rPr>
          <w:spacing w:val="-2"/>
        </w:rPr>
        <w:t>Summarize</w:t>
      </w:r>
      <w:r>
        <w:rPr>
          <w:spacing w:val="-11"/>
        </w:rPr>
        <w:t xml:space="preserve"> </w:t>
      </w:r>
      <w:r>
        <w:rPr>
          <w:spacing w:val="-2"/>
        </w:rPr>
        <w:t>professional</w:t>
      </w:r>
      <w:r>
        <w:rPr>
          <w:spacing w:val="-7"/>
        </w:rPr>
        <w:t xml:space="preserve"> </w:t>
      </w:r>
      <w:r>
        <w:rPr>
          <w:spacing w:val="-2"/>
        </w:rPr>
        <w:t>experience</w:t>
      </w:r>
      <w:r>
        <w:rPr>
          <w:spacing w:val="-11"/>
        </w:rPr>
        <w:t xml:space="preserve"> </w:t>
      </w:r>
      <w:r>
        <w:rPr>
          <w:spacing w:val="-2"/>
        </w:rPr>
        <w:t>in</w:t>
      </w:r>
      <w:r>
        <w:rPr>
          <w:spacing w:val="-9"/>
        </w:rPr>
        <w:t xml:space="preserve"> </w:t>
      </w:r>
      <w:r>
        <w:rPr>
          <w:spacing w:val="-2"/>
        </w:rPr>
        <w:t>reverse</w:t>
      </w:r>
      <w:r>
        <w:rPr>
          <w:spacing w:val="-10"/>
        </w:rPr>
        <w:t xml:space="preserve"> </w:t>
      </w:r>
      <w:r>
        <w:rPr>
          <w:spacing w:val="-2"/>
        </w:rPr>
        <w:t>chronological</w:t>
      </w:r>
      <w:r>
        <w:rPr>
          <w:spacing w:val="-7"/>
        </w:rPr>
        <w:t xml:space="preserve"> </w:t>
      </w:r>
      <w:r>
        <w:rPr>
          <w:spacing w:val="-2"/>
        </w:rPr>
        <w:t>order.</w:t>
      </w:r>
      <w:r>
        <w:rPr>
          <w:spacing w:val="-7"/>
        </w:rPr>
        <w:t xml:space="preserve"> </w:t>
      </w:r>
      <w:r>
        <w:rPr>
          <w:spacing w:val="-2"/>
        </w:rPr>
        <w:t>Indicate</w:t>
      </w:r>
      <w:r>
        <w:rPr>
          <w:spacing w:val="-11"/>
        </w:rPr>
        <w:t xml:space="preserve"> </w:t>
      </w:r>
      <w:r>
        <w:rPr>
          <w:spacing w:val="-2"/>
        </w:rPr>
        <w:t>particular</w:t>
      </w:r>
      <w:r>
        <w:rPr>
          <w:spacing w:val="-5"/>
        </w:rPr>
        <w:t xml:space="preserve"> </w:t>
      </w:r>
      <w:r>
        <w:rPr>
          <w:spacing w:val="-2"/>
        </w:rPr>
        <w:t>technical</w:t>
      </w:r>
      <w:r>
        <w:rPr>
          <w:spacing w:val="-8"/>
        </w:rPr>
        <w:t xml:space="preserve"> </w:t>
      </w:r>
      <w:r>
        <w:rPr>
          <w:spacing w:val="-2"/>
        </w:rPr>
        <w:t>and</w:t>
      </w:r>
      <w:r>
        <w:rPr>
          <w:spacing w:val="-9"/>
        </w:rPr>
        <w:t xml:space="preserve"> </w:t>
      </w:r>
      <w:r>
        <w:rPr>
          <w:spacing w:val="-2"/>
        </w:rPr>
        <w:t>managerial</w:t>
      </w:r>
      <w:r>
        <w:rPr>
          <w:spacing w:val="-7"/>
        </w:rPr>
        <w:t xml:space="preserve"> </w:t>
      </w:r>
      <w:r>
        <w:rPr>
          <w:spacing w:val="-2"/>
        </w:rPr>
        <w:t xml:space="preserve">experience </w:t>
      </w:r>
      <w:r>
        <w:t>relevant to the project.</w:t>
      </w:r>
    </w:p>
    <w:p w14:paraId="1ED2FA2E" w14:textId="77777777" w:rsidR="00BB77C0" w:rsidRDefault="00BB77C0">
      <w:pPr>
        <w:pStyle w:val="BodyText"/>
        <w:spacing w:before="31" w:after="1"/>
        <w:rPr>
          <w:sz w:val="20"/>
        </w:rPr>
      </w:pPr>
    </w:p>
    <w:tbl>
      <w:tblPr>
        <w:tblW w:w="0" w:type="auto"/>
        <w:tblInd w:w="4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2261"/>
        <w:gridCol w:w="1441"/>
        <w:gridCol w:w="4230"/>
      </w:tblGrid>
      <w:tr w:rsidR="00BB77C0" w14:paraId="61AA2B6E" w14:textId="77777777">
        <w:trPr>
          <w:trHeight w:val="503"/>
        </w:trPr>
        <w:tc>
          <w:tcPr>
            <w:tcW w:w="1080" w:type="dxa"/>
          </w:tcPr>
          <w:p w14:paraId="1ED47F05" w14:textId="77777777" w:rsidR="00BB77C0" w:rsidRDefault="00370BAA">
            <w:pPr>
              <w:pStyle w:val="TableParagraph"/>
              <w:spacing w:before="125"/>
              <w:ind w:left="76"/>
              <w:rPr>
                <w:b/>
              </w:rPr>
            </w:pPr>
            <w:r>
              <w:rPr>
                <w:b/>
                <w:spacing w:val="-2"/>
              </w:rPr>
              <w:t>Project</w:t>
            </w:r>
          </w:p>
        </w:tc>
        <w:tc>
          <w:tcPr>
            <w:tcW w:w="2261" w:type="dxa"/>
          </w:tcPr>
          <w:p w14:paraId="5919A128" w14:textId="77777777" w:rsidR="00BB77C0" w:rsidRDefault="00370BAA">
            <w:pPr>
              <w:pStyle w:val="TableParagraph"/>
              <w:spacing w:before="125"/>
              <w:ind w:left="77"/>
              <w:rPr>
                <w:b/>
              </w:rPr>
            </w:pPr>
            <w:r>
              <w:rPr>
                <w:b/>
                <w:spacing w:val="-4"/>
              </w:rPr>
              <w:t>Role</w:t>
            </w:r>
          </w:p>
        </w:tc>
        <w:tc>
          <w:tcPr>
            <w:tcW w:w="1441" w:type="dxa"/>
          </w:tcPr>
          <w:p w14:paraId="47485A2A" w14:textId="77777777" w:rsidR="00BB77C0" w:rsidRDefault="00370BAA">
            <w:pPr>
              <w:pStyle w:val="TableParagraph"/>
              <w:spacing w:line="249" w:lineRule="exact"/>
              <w:ind w:left="77"/>
              <w:rPr>
                <w:b/>
              </w:rPr>
            </w:pPr>
            <w:r>
              <w:rPr>
                <w:b/>
              </w:rPr>
              <w:t>Duration</w:t>
            </w:r>
            <w:r>
              <w:rPr>
                <w:b/>
                <w:spacing w:val="-11"/>
              </w:rPr>
              <w:t xml:space="preserve"> </w:t>
            </w:r>
            <w:r>
              <w:rPr>
                <w:b/>
                <w:spacing w:val="-5"/>
              </w:rPr>
              <w:t>of</w:t>
            </w:r>
          </w:p>
          <w:p w14:paraId="3DB7E6E8" w14:textId="77777777" w:rsidR="00BB77C0" w:rsidRDefault="005C3190">
            <w:pPr>
              <w:pStyle w:val="TableParagraph"/>
              <w:spacing w:before="1" w:line="233" w:lineRule="exact"/>
              <w:ind w:left="77"/>
              <w:rPr>
                <w:b/>
              </w:rPr>
            </w:pPr>
            <w:r>
              <w:rPr>
                <w:b/>
                <w:spacing w:val="-2"/>
              </w:rPr>
              <w:t>I</w:t>
            </w:r>
            <w:r w:rsidR="00370BAA">
              <w:rPr>
                <w:b/>
                <w:spacing w:val="-2"/>
              </w:rPr>
              <w:t>nvolvement</w:t>
            </w:r>
          </w:p>
        </w:tc>
        <w:tc>
          <w:tcPr>
            <w:tcW w:w="4230" w:type="dxa"/>
          </w:tcPr>
          <w:p w14:paraId="53223077" w14:textId="77777777" w:rsidR="00BB77C0" w:rsidRDefault="00370BAA">
            <w:pPr>
              <w:pStyle w:val="TableParagraph"/>
              <w:spacing w:before="125"/>
              <w:ind w:left="77"/>
              <w:rPr>
                <w:b/>
              </w:rPr>
            </w:pPr>
            <w:r>
              <w:rPr>
                <w:b/>
                <w:spacing w:val="-2"/>
              </w:rPr>
              <w:t>Relevant</w:t>
            </w:r>
            <w:r>
              <w:rPr>
                <w:b/>
                <w:spacing w:val="-11"/>
              </w:rPr>
              <w:t xml:space="preserve"> </w:t>
            </w:r>
            <w:r>
              <w:rPr>
                <w:b/>
                <w:spacing w:val="-2"/>
              </w:rPr>
              <w:t>experience</w:t>
            </w:r>
          </w:p>
        </w:tc>
      </w:tr>
      <w:tr w:rsidR="00BB77C0" w14:paraId="2895BC32" w14:textId="77777777">
        <w:trPr>
          <w:trHeight w:val="762"/>
        </w:trPr>
        <w:tc>
          <w:tcPr>
            <w:tcW w:w="1080" w:type="dxa"/>
          </w:tcPr>
          <w:p w14:paraId="585111DF" w14:textId="77777777" w:rsidR="00BB77C0" w:rsidRDefault="00370BAA">
            <w:pPr>
              <w:pStyle w:val="TableParagraph"/>
              <w:spacing w:before="3" w:line="237" w:lineRule="auto"/>
              <w:ind w:left="76"/>
              <w:rPr>
                <w:i/>
              </w:rPr>
            </w:pPr>
            <w:r>
              <w:rPr>
                <w:i/>
                <w:spacing w:val="-2"/>
              </w:rPr>
              <w:t xml:space="preserve">[main </w:t>
            </w:r>
            <w:r>
              <w:rPr>
                <w:i/>
                <w:spacing w:val="-4"/>
              </w:rPr>
              <w:t>project</w:t>
            </w:r>
          </w:p>
          <w:p w14:paraId="39277BF8" w14:textId="77777777" w:rsidR="00BB77C0" w:rsidRDefault="00370BAA">
            <w:pPr>
              <w:pStyle w:val="TableParagraph"/>
              <w:spacing w:before="1" w:line="238" w:lineRule="exact"/>
              <w:ind w:left="76"/>
              <w:rPr>
                <w:i/>
              </w:rPr>
            </w:pPr>
            <w:r>
              <w:rPr>
                <w:i/>
                <w:spacing w:val="-2"/>
              </w:rPr>
              <w:t>details]</w:t>
            </w:r>
          </w:p>
        </w:tc>
        <w:tc>
          <w:tcPr>
            <w:tcW w:w="2261" w:type="dxa"/>
          </w:tcPr>
          <w:p w14:paraId="3ACB9869" w14:textId="77777777" w:rsidR="00BB77C0" w:rsidRDefault="00370BAA">
            <w:pPr>
              <w:pStyle w:val="TableParagraph"/>
              <w:spacing w:before="3" w:line="237" w:lineRule="auto"/>
              <w:ind w:left="77" w:right="88"/>
              <w:rPr>
                <w:i/>
              </w:rPr>
            </w:pPr>
            <w:r>
              <w:rPr>
                <w:i/>
              </w:rPr>
              <w:t xml:space="preserve">[role and </w:t>
            </w:r>
            <w:r>
              <w:rPr>
                <w:i/>
                <w:spacing w:val="-4"/>
              </w:rPr>
              <w:t>responsibilities</w:t>
            </w:r>
            <w:r>
              <w:rPr>
                <w:i/>
                <w:spacing w:val="-6"/>
              </w:rPr>
              <w:t xml:space="preserve"> </w:t>
            </w:r>
            <w:r>
              <w:rPr>
                <w:i/>
                <w:spacing w:val="-4"/>
              </w:rPr>
              <w:t>on</w:t>
            </w:r>
            <w:r>
              <w:rPr>
                <w:i/>
                <w:spacing w:val="-7"/>
              </w:rPr>
              <w:t xml:space="preserve"> </w:t>
            </w:r>
            <w:r>
              <w:rPr>
                <w:i/>
                <w:spacing w:val="-4"/>
              </w:rPr>
              <w:t>the</w:t>
            </w:r>
          </w:p>
          <w:p w14:paraId="2FA2BA47" w14:textId="77777777" w:rsidR="00BB77C0" w:rsidRDefault="00370BAA">
            <w:pPr>
              <w:pStyle w:val="TableParagraph"/>
              <w:spacing w:before="1" w:line="238" w:lineRule="exact"/>
              <w:ind w:left="77"/>
              <w:rPr>
                <w:i/>
              </w:rPr>
            </w:pPr>
            <w:r>
              <w:rPr>
                <w:i/>
                <w:spacing w:val="-2"/>
              </w:rPr>
              <w:t>project]</w:t>
            </w:r>
          </w:p>
        </w:tc>
        <w:tc>
          <w:tcPr>
            <w:tcW w:w="1441" w:type="dxa"/>
          </w:tcPr>
          <w:p w14:paraId="10D1103C" w14:textId="77777777" w:rsidR="00BB77C0" w:rsidRDefault="00370BAA">
            <w:pPr>
              <w:pStyle w:val="TableParagraph"/>
              <w:spacing w:before="245"/>
              <w:ind w:left="77"/>
              <w:rPr>
                <w:i/>
              </w:rPr>
            </w:pPr>
            <w:r>
              <w:rPr>
                <w:i/>
              </w:rPr>
              <w:t>[time</w:t>
            </w:r>
            <w:r>
              <w:rPr>
                <w:i/>
                <w:spacing w:val="-14"/>
              </w:rPr>
              <w:t xml:space="preserve"> </w:t>
            </w:r>
            <w:r>
              <w:rPr>
                <w:i/>
              </w:rPr>
              <w:t>in</w:t>
            </w:r>
            <w:r>
              <w:rPr>
                <w:i/>
                <w:spacing w:val="-12"/>
              </w:rPr>
              <w:t xml:space="preserve"> </w:t>
            </w:r>
            <w:r>
              <w:rPr>
                <w:i/>
                <w:spacing w:val="-2"/>
              </w:rPr>
              <w:t>role]</w:t>
            </w:r>
          </w:p>
        </w:tc>
        <w:tc>
          <w:tcPr>
            <w:tcW w:w="4230" w:type="dxa"/>
          </w:tcPr>
          <w:p w14:paraId="3F688A7D" w14:textId="77777777" w:rsidR="00BB77C0" w:rsidRDefault="00370BAA">
            <w:pPr>
              <w:pStyle w:val="TableParagraph"/>
              <w:spacing w:before="121"/>
              <w:ind w:left="77"/>
              <w:rPr>
                <w:i/>
              </w:rPr>
            </w:pPr>
            <w:r>
              <w:rPr>
                <w:i/>
                <w:spacing w:val="-2"/>
              </w:rPr>
              <w:t>[describe</w:t>
            </w:r>
            <w:r>
              <w:rPr>
                <w:i/>
                <w:spacing w:val="-14"/>
              </w:rPr>
              <w:t xml:space="preserve"> </w:t>
            </w:r>
            <w:r>
              <w:rPr>
                <w:i/>
                <w:spacing w:val="-2"/>
              </w:rPr>
              <w:t>the</w:t>
            </w:r>
            <w:r>
              <w:rPr>
                <w:i/>
                <w:spacing w:val="-12"/>
              </w:rPr>
              <w:t xml:space="preserve"> </w:t>
            </w:r>
            <w:r>
              <w:rPr>
                <w:i/>
                <w:spacing w:val="-2"/>
              </w:rPr>
              <w:t>experience</w:t>
            </w:r>
            <w:r>
              <w:rPr>
                <w:i/>
                <w:spacing w:val="-13"/>
              </w:rPr>
              <w:t xml:space="preserve"> </w:t>
            </w:r>
            <w:r>
              <w:rPr>
                <w:i/>
                <w:spacing w:val="-2"/>
              </w:rPr>
              <w:t>relevant</w:t>
            </w:r>
            <w:r>
              <w:rPr>
                <w:i/>
                <w:spacing w:val="-12"/>
              </w:rPr>
              <w:t xml:space="preserve"> </w:t>
            </w:r>
            <w:r>
              <w:rPr>
                <w:i/>
                <w:spacing w:val="-2"/>
              </w:rPr>
              <w:t>to</w:t>
            </w:r>
            <w:r>
              <w:rPr>
                <w:i/>
                <w:spacing w:val="-12"/>
              </w:rPr>
              <w:t xml:space="preserve"> </w:t>
            </w:r>
            <w:r>
              <w:rPr>
                <w:i/>
                <w:spacing w:val="-2"/>
              </w:rPr>
              <w:t>this position]</w:t>
            </w:r>
          </w:p>
        </w:tc>
      </w:tr>
      <w:tr w:rsidR="00BB77C0" w14:paraId="5A66DB27" w14:textId="77777777">
        <w:trPr>
          <w:trHeight w:val="249"/>
        </w:trPr>
        <w:tc>
          <w:tcPr>
            <w:tcW w:w="1080" w:type="dxa"/>
          </w:tcPr>
          <w:p w14:paraId="13619B64" w14:textId="77777777" w:rsidR="00BB77C0" w:rsidRDefault="00BB77C0">
            <w:pPr>
              <w:pStyle w:val="TableParagraph"/>
              <w:rPr>
                <w:sz w:val="18"/>
              </w:rPr>
            </w:pPr>
          </w:p>
        </w:tc>
        <w:tc>
          <w:tcPr>
            <w:tcW w:w="2261" w:type="dxa"/>
          </w:tcPr>
          <w:p w14:paraId="2292FAE9" w14:textId="77777777" w:rsidR="00BB77C0" w:rsidRDefault="00BB77C0">
            <w:pPr>
              <w:pStyle w:val="TableParagraph"/>
              <w:rPr>
                <w:sz w:val="18"/>
              </w:rPr>
            </w:pPr>
          </w:p>
        </w:tc>
        <w:tc>
          <w:tcPr>
            <w:tcW w:w="1441" w:type="dxa"/>
          </w:tcPr>
          <w:p w14:paraId="7BB07D3B" w14:textId="77777777" w:rsidR="00BB77C0" w:rsidRDefault="00BB77C0">
            <w:pPr>
              <w:pStyle w:val="TableParagraph"/>
              <w:rPr>
                <w:sz w:val="18"/>
              </w:rPr>
            </w:pPr>
          </w:p>
        </w:tc>
        <w:tc>
          <w:tcPr>
            <w:tcW w:w="4230" w:type="dxa"/>
          </w:tcPr>
          <w:p w14:paraId="3CC1304D" w14:textId="77777777" w:rsidR="00BB77C0" w:rsidRDefault="00BB77C0">
            <w:pPr>
              <w:pStyle w:val="TableParagraph"/>
              <w:rPr>
                <w:sz w:val="18"/>
              </w:rPr>
            </w:pPr>
          </w:p>
        </w:tc>
      </w:tr>
      <w:tr w:rsidR="00BB77C0" w14:paraId="10A06967" w14:textId="77777777">
        <w:trPr>
          <w:trHeight w:val="254"/>
        </w:trPr>
        <w:tc>
          <w:tcPr>
            <w:tcW w:w="1080" w:type="dxa"/>
          </w:tcPr>
          <w:p w14:paraId="36F25790" w14:textId="77777777" w:rsidR="00BB77C0" w:rsidRDefault="00BB77C0">
            <w:pPr>
              <w:pStyle w:val="TableParagraph"/>
              <w:rPr>
                <w:sz w:val="18"/>
              </w:rPr>
            </w:pPr>
          </w:p>
        </w:tc>
        <w:tc>
          <w:tcPr>
            <w:tcW w:w="2261" w:type="dxa"/>
          </w:tcPr>
          <w:p w14:paraId="0A15F47A" w14:textId="77777777" w:rsidR="00BB77C0" w:rsidRDefault="00BB77C0">
            <w:pPr>
              <w:pStyle w:val="TableParagraph"/>
              <w:rPr>
                <w:sz w:val="18"/>
              </w:rPr>
            </w:pPr>
          </w:p>
        </w:tc>
        <w:tc>
          <w:tcPr>
            <w:tcW w:w="1441" w:type="dxa"/>
          </w:tcPr>
          <w:p w14:paraId="0750928A" w14:textId="77777777" w:rsidR="00BB77C0" w:rsidRDefault="00BB77C0">
            <w:pPr>
              <w:pStyle w:val="TableParagraph"/>
              <w:rPr>
                <w:sz w:val="18"/>
              </w:rPr>
            </w:pPr>
          </w:p>
        </w:tc>
        <w:tc>
          <w:tcPr>
            <w:tcW w:w="4230" w:type="dxa"/>
          </w:tcPr>
          <w:p w14:paraId="39125DAC" w14:textId="77777777" w:rsidR="00BB77C0" w:rsidRDefault="00BB77C0">
            <w:pPr>
              <w:pStyle w:val="TableParagraph"/>
              <w:rPr>
                <w:sz w:val="18"/>
              </w:rPr>
            </w:pPr>
          </w:p>
        </w:tc>
      </w:tr>
      <w:tr w:rsidR="00BB77C0" w14:paraId="5D966167" w14:textId="77777777">
        <w:trPr>
          <w:trHeight w:val="254"/>
        </w:trPr>
        <w:tc>
          <w:tcPr>
            <w:tcW w:w="1080" w:type="dxa"/>
          </w:tcPr>
          <w:p w14:paraId="74F846B1" w14:textId="77777777" w:rsidR="00BB77C0" w:rsidRDefault="00BB77C0">
            <w:pPr>
              <w:pStyle w:val="TableParagraph"/>
              <w:rPr>
                <w:sz w:val="18"/>
              </w:rPr>
            </w:pPr>
          </w:p>
        </w:tc>
        <w:tc>
          <w:tcPr>
            <w:tcW w:w="2261" w:type="dxa"/>
          </w:tcPr>
          <w:p w14:paraId="73BCEFEE" w14:textId="77777777" w:rsidR="00BB77C0" w:rsidRDefault="00BB77C0">
            <w:pPr>
              <w:pStyle w:val="TableParagraph"/>
              <w:rPr>
                <w:sz w:val="18"/>
              </w:rPr>
            </w:pPr>
          </w:p>
        </w:tc>
        <w:tc>
          <w:tcPr>
            <w:tcW w:w="1441" w:type="dxa"/>
          </w:tcPr>
          <w:p w14:paraId="324D7293" w14:textId="77777777" w:rsidR="00BB77C0" w:rsidRDefault="00BB77C0">
            <w:pPr>
              <w:pStyle w:val="TableParagraph"/>
              <w:rPr>
                <w:sz w:val="18"/>
              </w:rPr>
            </w:pPr>
          </w:p>
        </w:tc>
        <w:tc>
          <w:tcPr>
            <w:tcW w:w="4230" w:type="dxa"/>
          </w:tcPr>
          <w:p w14:paraId="603147A5" w14:textId="77777777" w:rsidR="00BB77C0" w:rsidRDefault="00BB77C0">
            <w:pPr>
              <w:pStyle w:val="TableParagraph"/>
              <w:rPr>
                <w:sz w:val="18"/>
              </w:rPr>
            </w:pPr>
          </w:p>
        </w:tc>
      </w:tr>
    </w:tbl>
    <w:p w14:paraId="6D238BCD" w14:textId="77777777" w:rsidR="00BB77C0" w:rsidRDefault="00BB77C0">
      <w:pPr>
        <w:pStyle w:val="TableParagraph"/>
        <w:rPr>
          <w:sz w:val="18"/>
        </w:rPr>
        <w:sectPr w:rsidR="00BB77C0">
          <w:pgSz w:w="11920" w:h="16850"/>
          <w:pgMar w:top="0" w:right="0" w:bottom="0" w:left="360" w:header="720" w:footer="720" w:gutter="0"/>
          <w:cols w:space="720"/>
        </w:sectPr>
      </w:pPr>
    </w:p>
    <w:p w14:paraId="07B71A15" w14:textId="77777777" w:rsidR="00BB77C0" w:rsidRDefault="00370BAA">
      <w:pPr>
        <w:pStyle w:val="BodyText"/>
        <w:rPr>
          <w:sz w:val="24"/>
        </w:rPr>
      </w:pPr>
      <w:r>
        <w:rPr>
          <w:noProof/>
          <w:sz w:val="24"/>
        </w:rPr>
        <w:lastRenderedPageBreak/>
        <mc:AlternateContent>
          <mc:Choice Requires="wpg">
            <w:drawing>
              <wp:anchor distT="0" distB="0" distL="0" distR="0" simplePos="0" relativeHeight="15739392" behindDoc="0" locked="0" layoutInCell="1" allowOverlap="1" wp14:anchorId="27AADC3F" wp14:editId="60D02F3B">
                <wp:simplePos x="0" y="0"/>
                <wp:positionH relativeFrom="page">
                  <wp:posOffset>0</wp:posOffset>
                </wp:positionH>
                <wp:positionV relativeFrom="page">
                  <wp:posOffset>10234295</wp:posOffset>
                </wp:positionV>
                <wp:extent cx="7561580" cy="459105"/>
                <wp:effectExtent l="0" t="0" r="0" b="0"/>
                <wp:wrapNone/>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1580" cy="459105"/>
                          <a:chOff x="0" y="0"/>
                          <a:chExt cx="7561580" cy="459105"/>
                        </a:xfrm>
                      </wpg:grpSpPr>
                      <wps:wsp>
                        <wps:cNvPr id="77" name="Graphic 77"/>
                        <wps:cNvSpPr/>
                        <wps:spPr>
                          <a:xfrm>
                            <a:off x="6449059" y="5714"/>
                            <a:ext cx="1110615" cy="451484"/>
                          </a:xfrm>
                          <a:custGeom>
                            <a:avLst/>
                            <a:gdLst/>
                            <a:ahLst/>
                            <a:cxnLst/>
                            <a:rect l="l" t="t" r="r" b="b"/>
                            <a:pathLst>
                              <a:path w="1110615" h="451484">
                                <a:moveTo>
                                  <a:pt x="1110614" y="0"/>
                                </a:moveTo>
                                <a:lnTo>
                                  <a:pt x="0" y="0"/>
                                </a:lnTo>
                                <a:lnTo>
                                  <a:pt x="260349" y="451483"/>
                                </a:lnTo>
                                <a:lnTo>
                                  <a:pt x="1110614" y="451483"/>
                                </a:lnTo>
                                <a:lnTo>
                                  <a:pt x="1110614" y="0"/>
                                </a:lnTo>
                                <a:close/>
                              </a:path>
                            </a:pathLst>
                          </a:custGeom>
                          <a:solidFill>
                            <a:srgbClr val="FAD2C1"/>
                          </a:solidFill>
                        </wps:spPr>
                        <wps:bodyPr wrap="square" lIns="0" tIns="0" rIns="0" bIns="0" rtlCol="0">
                          <a:prstTxWarp prst="textNoShape">
                            <a:avLst/>
                          </a:prstTxWarp>
                          <a:noAutofit/>
                        </wps:bodyPr>
                      </wps:wsp>
                      <wps:wsp>
                        <wps:cNvPr id="78" name="Graphic 78"/>
                        <wps:cNvSpPr/>
                        <wps:spPr>
                          <a:xfrm>
                            <a:off x="6449059" y="5714"/>
                            <a:ext cx="1110615" cy="451484"/>
                          </a:xfrm>
                          <a:custGeom>
                            <a:avLst/>
                            <a:gdLst/>
                            <a:ahLst/>
                            <a:cxnLst/>
                            <a:rect l="l" t="t" r="r" b="b"/>
                            <a:pathLst>
                              <a:path w="1110615" h="451484">
                                <a:moveTo>
                                  <a:pt x="0" y="0"/>
                                </a:moveTo>
                                <a:lnTo>
                                  <a:pt x="1110614" y="0"/>
                                </a:lnTo>
                                <a:lnTo>
                                  <a:pt x="1110614" y="451483"/>
                                </a:lnTo>
                                <a:lnTo>
                                  <a:pt x="260349" y="451483"/>
                                </a:lnTo>
                                <a:lnTo>
                                  <a:pt x="0" y="0"/>
                                </a:lnTo>
                              </a:path>
                            </a:pathLst>
                          </a:custGeom>
                          <a:ln w="3051">
                            <a:solidFill>
                              <a:srgbClr val="FAD2C1"/>
                            </a:solidFill>
                            <a:prstDash val="solid"/>
                          </a:ln>
                        </wps:spPr>
                        <wps:bodyPr wrap="square" lIns="0" tIns="0" rIns="0" bIns="0" rtlCol="0">
                          <a:prstTxWarp prst="textNoShape">
                            <a:avLst/>
                          </a:prstTxWarp>
                          <a:noAutofit/>
                        </wps:bodyPr>
                      </wps:wsp>
                      <wps:wsp>
                        <wps:cNvPr id="79" name="Graphic 79"/>
                        <wps:cNvSpPr/>
                        <wps:spPr>
                          <a:xfrm>
                            <a:off x="0" y="6350"/>
                            <a:ext cx="7560309" cy="1270"/>
                          </a:xfrm>
                          <a:custGeom>
                            <a:avLst/>
                            <a:gdLst/>
                            <a:ahLst/>
                            <a:cxnLst/>
                            <a:rect l="l" t="t" r="r" b="b"/>
                            <a:pathLst>
                              <a:path w="7560309">
                                <a:moveTo>
                                  <a:pt x="0" y="0"/>
                                </a:moveTo>
                                <a:lnTo>
                                  <a:pt x="7560309" y="0"/>
                                </a:lnTo>
                              </a:path>
                            </a:pathLst>
                          </a:custGeom>
                          <a:ln w="12700">
                            <a:solidFill>
                              <a:srgbClr val="FAD2C1"/>
                            </a:solidFill>
                            <a:prstDash val="solid"/>
                          </a:ln>
                        </wps:spPr>
                        <wps:bodyPr wrap="square" lIns="0" tIns="0" rIns="0" bIns="0" rtlCol="0">
                          <a:prstTxWarp prst="textNoShape">
                            <a:avLst/>
                          </a:prstTxWarp>
                          <a:noAutofit/>
                        </wps:bodyPr>
                      </wps:wsp>
                      <wps:wsp>
                        <wps:cNvPr id="80" name="Textbox 80"/>
                        <wps:cNvSpPr txBox="1"/>
                        <wps:spPr>
                          <a:xfrm>
                            <a:off x="6882130" y="37491"/>
                            <a:ext cx="147320" cy="155575"/>
                          </a:xfrm>
                          <a:prstGeom prst="rect">
                            <a:avLst/>
                          </a:prstGeom>
                        </wps:spPr>
                        <wps:txbx>
                          <w:txbxContent>
                            <w:p w14:paraId="5A2FA29F" w14:textId="77777777" w:rsidR="00BB77C0" w:rsidRDefault="00370BAA">
                              <w:pPr>
                                <w:spacing w:line="244" w:lineRule="exact"/>
                              </w:pPr>
                              <w:r>
                                <w:rPr>
                                  <w:spacing w:val="-5"/>
                                </w:rPr>
                                <w:t>61</w:t>
                              </w:r>
                            </w:p>
                          </w:txbxContent>
                        </wps:txbx>
                        <wps:bodyPr wrap="square" lIns="0" tIns="0" rIns="0" bIns="0" rtlCol="0">
                          <a:noAutofit/>
                        </wps:bodyPr>
                      </wps:wsp>
                    </wpg:wgp>
                  </a:graphicData>
                </a:graphic>
              </wp:anchor>
            </w:drawing>
          </mc:Choice>
          <mc:Fallback>
            <w:pict>
              <v:group w14:anchorId="27AADC3F" id="Group 76" o:spid="_x0000_s1052" style="position:absolute;margin-left:0;margin-top:805.85pt;width:595.4pt;height:36.15pt;z-index:15739392;mso-wrap-distance-left:0;mso-wrap-distance-right:0;mso-position-horizontal-relative:page;mso-position-vertical-relative:page" coordsize="75615,4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">
                <v:shape id="Graphic 77" o:spid="_x0000_s1053" style="position:absolute;left:64490;top:57;width:11106;height:4514;visibility:visible;mso-wrap-style:square;v-text-anchor:top" coordsize="1110615,4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" path="m1110614,l,,260349,451483r850265,l1110614,xe" fillcolor="#fad2c1" stroked="f">
                  <v:path arrowok="t"/>
                </v:shape>
                <v:shape id="Graphic 78" o:spid="_x0000_s1054" style="position:absolute;left:64490;top:57;width:11106;height:4514;visibility:visible;mso-wrap-style:square;v-text-anchor:top" coordsize="1110615,4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" path="m,l1110614,r,451483l260349,451483,,e" filled="f" strokecolor="#fad2c1" strokeweight=".08475mm">
                  <v:path arrowok="t"/>
                </v:shape>
                <v:shape id="Graphic 79" o:spid="_x0000_s1055" style="position:absolute;top:63;width:75603;height:13;visibility:visible;mso-wrap-style:square;v-text-anchor:top" coordsize="756030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" path="m,l7560309,e" filled="f" strokecolor="#fad2c1" strokeweight="1pt">
                  <v:path arrowok="t"/>
                </v:shape>
                <v:shape id="Textbox 80" o:spid="_x0000_s1056" type="#_x0000_t202" style="position:absolute;left:68821;top:374;width:1473;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14:paraId="5A2FA29F" w14:textId="77777777" w:rsidR="00BB77C0" w:rsidRDefault="00370BAA">
                        <w:pPr>
                          <w:spacing w:line="244" w:lineRule="exact"/>
                        </w:pPr>
                        <w:r>
                          <w:rPr>
                            <w:spacing w:val="-5"/>
                          </w:rPr>
                          <w:t>61</w:t>
                        </w:r>
                      </w:p>
                    </w:txbxContent>
                  </v:textbox>
                </v:shape>
                <w10:wrap anchorx="page" anchory="page"/>
              </v:group>
            </w:pict>
          </mc:Fallback>
        </mc:AlternateContent>
      </w:r>
      <w:r>
        <w:rPr>
          <w:noProof/>
          <w:sz w:val="24"/>
        </w:rPr>
        <mc:AlternateContent>
          <mc:Choice Requires="wpg">
            <w:drawing>
              <wp:anchor distT="0" distB="0" distL="0" distR="0" simplePos="0" relativeHeight="15739904" behindDoc="0" locked="0" layoutInCell="1" allowOverlap="1" wp14:anchorId="2DB0DC2D" wp14:editId="74FB79D8">
                <wp:simplePos x="0" y="0"/>
                <wp:positionH relativeFrom="page">
                  <wp:posOffset>0</wp:posOffset>
                </wp:positionH>
                <wp:positionV relativeFrom="page">
                  <wp:posOffset>762</wp:posOffset>
                </wp:positionV>
                <wp:extent cx="7559675" cy="228600"/>
                <wp:effectExtent l="0" t="0" r="0" b="0"/>
                <wp:wrapNone/>
                <wp:docPr id="8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675" cy="228600"/>
                          <a:chOff x="0" y="0"/>
                          <a:chExt cx="7559675" cy="228600"/>
                        </a:xfrm>
                      </wpg:grpSpPr>
                      <wps:wsp>
                        <wps:cNvPr id="82" name="Graphic 82"/>
                        <wps:cNvSpPr/>
                        <wps:spPr>
                          <a:xfrm>
                            <a:off x="0" y="0"/>
                            <a:ext cx="6701155" cy="228600"/>
                          </a:xfrm>
                          <a:custGeom>
                            <a:avLst/>
                            <a:gdLst/>
                            <a:ahLst/>
                            <a:cxnLst/>
                            <a:rect l="l" t="t" r="r" b="b"/>
                            <a:pathLst>
                              <a:path w="6701155" h="228600">
                                <a:moveTo>
                                  <a:pt x="6700647" y="0"/>
                                </a:moveTo>
                                <a:lnTo>
                                  <a:pt x="0" y="0"/>
                                </a:lnTo>
                                <a:lnTo>
                                  <a:pt x="0" y="223520"/>
                                </a:lnTo>
                                <a:lnTo>
                                  <a:pt x="6516497" y="228600"/>
                                </a:lnTo>
                                <a:lnTo>
                                  <a:pt x="6700647" y="0"/>
                                </a:lnTo>
                                <a:close/>
                              </a:path>
                            </a:pathLst>
                          </a:custGeom>
                          <a:solidFill>
                            <a:srgbClr val="E6E7E8"/>
                          </a:solidFill>
                        </wps:spPr>
                        <wps:bodyPr wrap="square" lIns="0" tIns="0" rIns="0" bIns="0" rtlCol="0">
                          <a:prstTxWarp prst="textNoShape">
                            <a:avLst/>
                          </a:prstTxWarp>
                          <a:noAutofit/>
                        </wps:bodyPr>
                      </wps:wsp>
                      <wps:wsp>
                        <wps:cNvPr id="83" name="Graphic 83"/>
                        <wps:cNvSpPr/>
                        <wps:spPr>
                          <a:xfrm>
                            <a:off x="6892925" y="0"/>
                            <a:ext cx="666750" cy="228600"/>
                          </a:xfrm>
                          <a:custGeom>
                            <a:avLst/>
                            <a:gdLst/>
                            <a:ahLst/>
                            <a:cxnLst/>
                            <a:rect l="l" t="t" r="r" b="b"/>
                            <a:pathLst>
                              <a:path w="666750" h="228600">
                                <a:moveTo>
                                  <a:pt x="666750" y="0"/>
                                </a:moveTo>
                                <a:lnTo>
                                  <a:pt x="126365" y="0"/>
                                </a:lnTo>
                                <a:lnTo>
                                  <a:pt x="0" y="228600"/>
                                </a:lnTo>
                                <a:lnTo>
                                  <a:pt x="666750" y="228600"/>
                                </a:lnTo>
                                <a:lnTo>
                                  <a:pt x="666750" y="0"/>
                                </a:lnTo>
                                <a:close/>
                              </a:path>
                            </a:pathLst>
                          </a:custGeom>
                          <a:solidFill>
                            <a:srgbClr val="EB1C22"/>
                          </a:solidFill>
                        </wps:spPr>
                        <wps:bodyPr wrap="square" lIns="0" tIns="0" rIns="0" bIns="0" rtlCol="0">
                          <a:prstTxWarp prst="textNoShape">
                            <a:avLst/>
                          </a:prstTxWarp>
                          <a:noAutofit/>
                        </wps:bodyPr>
                      </wps:wsp>
                      <wps:wsp>
                        <wps:cNvPr id="84" name="Graphic 84"/>
                        <wps:cNvSpPr/>
                        <wps:spPr>
                          <a:xfrm>
                            <a:off x="6664452" y="0"/>
                            <a:ext cx="330200" cy="228600"/>
                          </a:xfrm>
                          <a:custGeom>
                            <a:avLst/>
                            <a:gdLst/>
                            <a:ahLst/>
                            <a:cxnLst/>
                            <a:rect l="l" t="t" r="r" b="b"/>
                            <a:pathLst>
                              <a:path w="330200" h="228600">
                                <a:moveTo>
                                  <a:pt x="330073" y="0"/>
                                </a:moveTo>
                                <a:lnTo>
                                  <a:pt x="126365" y="0"/>
                                </a:lnTo>
                                <a:lnTo>
                                  <a:pt x="0" y="228600"/>
                                </a:lnTo>
                                <a:lnTo>
                                  <a:pt x="200532" y="228600"/>
                                </a:lnTo>
                                <a:lnTo>
                                  <a:pt x="330073" y="0"/>
                                </a:lnTo>
                                <a:close/>
                              </a:path>
                            </a:pathLst>
                          </a:custGeom>
                          <a:solidFill>
                            <a:srgbClr val="00A650"/>
                          </a:solidFill>
                        </wps:spPr>
                        <wps:bodyPr wrap="square" lIns="0" tIns="0" rIns="0" bIns="0" rtlCol="0">
                          <a:prstTxWarp prst="textNoShape">
                            <a:avLst/>
                          </a:prstTxWarp>
                          <a:noAutofit/>
                        </wps:bodyPr>
                      </wps:wsp>
                      <wps:wsp>
                        <wps:cNvPr id="85" name="Graphic 85"/>
                        <wps:cNvSpPr/>
                        <wps:spPr>
                          <a:xfrm>
                            <a:off x="6435216" y="0"/>
                            <a:ext cx="330200" cy="228600"/>
                          </a:xfrm>
                          <a:custGeom>
                            <a:avLst/>
                            <a:gdLst/>
                            <a:ahLst/>
                            <a:cxnLst/>
                            <a:rect l="l" t="t" r="r" b="b"/>
                            <a:pathLst>
                              <a:path w="330200" h="228600">
                                <a:moveTo>
                                  <a:pt x="330200" y="0"/>
                                </a:moveTo>
                                <a:lnTo>
                                  <a:pt x="126364" y="0"/>
                                </a:lnTo>
                                <a:lnTo>
                                  <a:pt x="0" y="228600"/>
                                </a:lnTo>
                                <a:lnTo>
                                  <a:pt x="200660" y="228600"/>
                                </a:lnTo>
                                <a:lnTo>
                                  <a:pt x="330200" y="0"/>
                                </a:lnTo>
                                <a:close/>
                              </a:path>
                            </a:pathLst>
                          </a:custGeom>
                          <a:solidFill>
                            <a:srgbClr val="A7A9AC"/>
                          </a:solidFill>
                        </wps:spPr>
                        <wps:bodyPr wrap="square" lIns="0" tIns="0" rIns="0" bIns="0" rtlCol="0">
                          <a:prstTxWarp prst="textNoShape">
                            <a:avLst/>
                          </a:prstTxWarp>
                          <a:noAutofit/>
                        </wps:bodyPr>
                      </wps:wsp>
                    </wpg:wgp>
                  </a:graphicData>
                </a:graphic>
              </wp:anchor>
            </w:drawing>
          </mc:Choice>
          <mc:Fallback>
            <w:pict>
              <v:group w14:anchorId="5BDCD548" id="Group 81" o:spid="_x0000_s1026" style="position:absolute;margin-left:0;margin-top:.05pt;width:595.25pt;height:18pt;z-index:15739904;mso-wrap-distance-left:0;mso-wrap-distance-right:0;mso-position-horizontal-relative:page;mso-position-vertical-relative:page" coordsize="75596,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">
                <v:shape id="Graphic 82" o:spid="_x0000_s1027" style="position:absolute;width:67011;height:2286;visibility:visible;mso-wrap-style:square;v-text-anchor:top" coordsize="670115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" path="m6700647,l,,,223520r6516497,5080l6700647,xe" fillcolor="#e6e7e8" stroked="f">
                  <v:path arrowok="t"/>
                </v:shape>
                <v:shape id="Graphic 83" o:spid="_x0000_s1028" style="position:absolute;left:68929;width:6667;height:2286;visibility:visible;mso-wrap-style:square;v-text-anchor:top" coordsize="6667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" path="m666750,l126365,,,228600r666750,l666750,xe" fillcolor="#eb1c22" stroked="f">
                  <v:path arrowok="t"/>
                </v:shape>
                <v:shape id="Graphic 84" o:spid="_x0000_s1029" style="position:absolute;left:66644;width:3302;height:2286;visibility:visible;mso-wrap-style:square;v-text-anchor:top" coordsize="3302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" path="m330073,l126365,,,228600r200532,l330073,xe" fillcolor="#00a650" stroked="f">
                  <v:path arrowok="t"/>
                </v:shape>
                <v:shape id="Graphic 85" o:spid="_x0000_s1030" style="position:absolute;left:64352;width:3302;height:2286;visibility:visible;mso-wrap-style:square;v-text-anchor:top" coordsize="3302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" path="m330200,l126364,,,228600r200660,l330200,xe" fillcolor="#a7a9ac" stroked="f">
                  <v:path arrowok="t"/>
                </v:shape>
                <w10:wrap anchorx="page" anchory="page"/>
              </v:group>
            </w:pict>
          </mc:Fallback>
        </mc:AlternateContent>
      </w:r>
    </w:p>
    <w:p w14:paraId="16704C9B" w14:textId="77777777" w:rsidR="00BB77C0" w:rsidRDefault="00BB77C0">
      <w:pPr>
        <w:pStyle w:val="BodyText"/>
        <w:spacing w:before="253"/>
        <w:rPr>
          <w:sz w:val="24"/>
        </w:rPr>
      </w:pPr>
    </w:p>
    <w:p w14:paraId="6D3799E4" w14:textId="77777777" w:rsidR="00BB77C0" w:rsidRDefault="00370BAA">
      <w:pPr>
        <w:ind w:left="485"/>
        <w:rPr>
          <w:b/>
          <w:sz w:val="24"/>
        </w:rPr>
      </w:pPr>
      <w:r>
        <w:rPr>
          <w:b/>
          <w:color w:val="211F1F"/>
          <w:spacing w:val="-2"/>
          <w:sz w:val="24"/>
        </w:rPr>
        <w:t>Declaration</w:t>
      </w:r>
    </w:p>
    <w:p w14:paraId="0917B9E4" w14:textId="77777777" w:rsidR="00BB77C0" w:rsidRDefault="00370BAA">
      <w:pPr>
        <w:spacing w:before="236" w:line="230" w:lineRule="auto"/>
        <w:ind w:left="485" w:right="706"/>
        <w:jc w:val="both"/>
      </w:pPr>
      <w:r>
        <w:rPr>
          <w:color w:val="211F1F"/>
        </w:rPr>
        <w:t>I, the</w:t>
      </w:r>
      <w:r>
        <w:rPr>
          <w:color w:val="211F1F"/>
          <w:spacing w:val="-3"/>
        </w:rPr>
        <w:t xml:space="preserve"> </w:t>
      </w:r>
      <w:r>
        <w:rPr>
          <w:color w:val="211F1F"/>
        </w:rPr>
        <w:t xml:space="preserve">undersigned </w:t>
      </w:r>
      <w:r>
        <w:rPr>
          <w:i/>
          <w:color w:val="211F1F"/>
        </w:rPr>
        <w:t>[insert either “Contractor's Representative” or</w:t>
      </w:r>
      <w:r>
        <w:rPr>
          <w:i/>
          <w:color w:val="211F1F"/>
          <w:spacing w:val="-5"/>
        </w:rPr>
        <w:t xml:space="preserve"> </w:t>
      </w:r>
      <w:r>
        <w:rPr>
          <w:i/>
          <w:color w:val="211F1F"/>
        </w:rPr>
        <w:t>“Key Personnel” as</w:t>
      </w:r>
      <w:r>
        <w:rPr>
          <w:i/>
          <w:color w:val="211F1F"/>
          <w:spacing w:val="-5"/>
        </w:rPr>
        <w:t xml:space="preserve"> </w:t>
      </w:r>
      <w:r>
        <w:rPr>
          <w:i/>
          <w:color w:val="211F1F"/>
        </w:rPr>
        <w:t>applicable]</w:t>
      </w:r>
      <w:r>
        <w:rPr>
          <w:color w:val="211F1F"/>
        </w:rPr>
        <w:t>,</w:t>
      </w:r>
      <w:r>
        <w:rPr>
          <w:color w:val="211F1F"/>
          <w:spacing w:val="-3"/>
        </w:rPr>
        <w:t xml:space="preserve"> </w:t>
      </w:r>
      <w:r>
        <w:rPr>
          <w:color w:val="211F1F"/>
        </w:rPr>
        <w:t>certify</w:t>
      </w:r>
      <w:r>
        <w:rPr>
          <w:color w:val="211F1F"/>
          <w:spacing w:val="-5"/>
        </w:rPr>
        <w:t xml:space="preserve"> </w:t>
      </w:r>
      <w:r>
        <w:rPr>
          <w:color w:val="211F1F"/>
        </w:rPr>
        <w:t>that to</w:t>
      </w:r>
      <w:r>
        <w:rPr>
          <w:color w:val="211F1F"/>
          <w:spacing w:val="-5"/>
        </w:rPr>
        <w:t xml:space="preserve"> </w:t>
      </w:r>
      <w:r>
        <w:rPr>
          <w:color w:val="211F1F"/>
        </w:rPr>
        <w:t>the best of my knowledge and belief, the information contained in this Form PER-2 correctly describes myself, my qualifications and my experience.</w:t>
      </w:r>
    </w:p>
    <w:p w14:paraId="6E430F41" w14:textId="77777777" w:rsidR="00BB77C0" w:rsidRDefault="00370BAA">
      <w:pPr>
        <w:pStyle w:val="BodyText"/>
        <w:spacing w:before="240" w:line="237" w:lineRule="auto"/>
        <w:ind w:left="485" w:right="805"/>
        <w:jc w:val="both"/>
      </w:pPr>
      <w:r>
        <w:rPr>
          <w:color w:val="211F1F"/>
        </w:rPr>
        <w:t>I confirm that I am available as certified in the following table and throughout the expected time schedule for this position as provided in the Tender:</w:t>
      </w:r>
    </w:p>
    <w:p w14:paraId="1DAD2FFE" w14:textId="77777777" w:rsidR="00BB77C0" w:rsidRDefault="00BB77C0">
      <w:pPr>
        <w:pStyle w:val="BodyText"/>
        <w:spacing w:before="7"/>
        <w:rPr>
          <w:sz w:val="19"/>
        </w:rPr>
      </w:pPr>
    </w:p>
    <w:tbl>
      <w:tblPr>
        <w:tblW w:w="0" w:type="auto"/>
        <w:tblInd w:w="4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16"/>
        <w:gridCol w:w="5488"/>
      </w:tblGrid>
      <w:tr w:rsidR="00BB77C0" w14:paraId="1CAE0574" w14:textId="77777777">
        <w:trPr>
          <w:trHeight w:val="254"/>
        </w:trPr>
        <w:tc>
          <w:tcPr>
            <w:tcW w:w="3616" w:type="dxa"/>
          </w:tcPr>
          <w:p w14:paraId="1816F506" w14:textId="77777777" w:rsidR="00BB77C0" w:rsidRDefault="00370BAA">
            <w:pPr>
              <w:pStyle w:val="TableParagraph"/>
              <w:spacing w:line="234" w:lineRule="exact"/>
              <w:ind w:left="76"/>
              <w:rPr>
                <w:b/>
              </w:rPr>
            </w:pPr>
            <w:r>
              <w:rPr>
                <w:b/>
                <w:spacing w:val="-2"/>
              </w:rPr>
              <w:t>Commitment</w:t>
            </w:r>
          </w:p>
        </w:tc>
        <w:tc>
          <w:tcPr>
            <w:tcW w:w="5488" w:type="dxa"/>
          </w:tcPr>
          <w:p w14:paraId="43C2A12D" w14:textId="77777777" w:rsidR="00BB77C0" w:rsidRDefault="00370BAA">
            <w:pPr>
              <w:pStyle w:val="TableParagraph"/>
              <w:spacing w:line="234" w:lineRule="exact"/>
              <w:ind w:left="76"/>
              <w:rPr>
                <w:b/>
              </w:rPr>
            </w:pPr>
            <w:r>
              <w:rPr>
                <w:b/>
                <w:spacing w:val="-2"/>
              </w:rPr>
              <w:t>Details</w:t>
            </w:r>
          </w:p>
        </w:tc>
      </w:tr>
      <w:tr w:rsidR="00BB77C0" w14:paraId="63093F65" w14:textId="77777777">
        <w:trPr>
          <w:trHeight w:val="758"/>
        </w:trPr>
        <w:tc>
          <w:tcPr>
            <w:tcW w:w="3616" w:type="dxa"/>
          </w:tcPr>
          <w:p w14:paraId="5B13FF44" w14:textId="77777777" w:rsidR="00BB77C0" w:rsidRDefault="00370BAA">
            <w:pPr>
              <w:pStyle w:val="TableParagraph"/>
              <w:spacing w:line="249" w:lineRule="exact"/>
              <w:ind w:left="76"/>
            </w:pPr>
            <w:r>
              <w:rPr>
                <w:spacing w:val="-2"/>
              </w:rPr>
              <w:t>Commitment</w:t>
            </w:r>
            <w:r>
              <w:rPr>
                <w:spacing w:val="-5"/>
              </w:rPr>
              <w:t xml:space="preserve"> </w:t>
            </w:r>
            <w:r>
              <w:rPr>
                <w:spacing w:val="-2"/>
              </w:rPr>
              <w:t>to</w:t>
            </w:r>
            <w:r>
              <w:rPr>
                <w:spacing w:val="-11"/>
              </w:rPr>
              <w:t xml:space="preserve"> </w:t>
            </w:r>
            <w:r>
              <w:rPr>
                <w:spacing w:val="-2"/>
              </w:rPr>
              <w:t>duration</w:t>
            </w:r>
            <w:r>
              <w:rPr>
                <w:spacing w:val="-11"/>
              </w:rPr>
              <w:t xml:space="preserve"> </w:t>
            </w:r>
            <w:r>
              <w:rPr>
                <w:spacing w:val="-2"/>
              </w:rPr>
              <w:t>of</w:t>
            </w:r>
            <w:r>
              <w:rPr>
                <w:spacing w:val="-11"/>
              </w:rPr>
              <w:t xml:space="preserve"> </w:t>
            </w:r>
            <w:r>
              <w:rPr>
                <w:spacing w:val="-2"/>
              </w:rPr>
              <w:t>contract:</w:t>
            </w:r>
          </w:p>
        </w:tc>
        <w:tc>
          <w:tcPr>
            <w:tcW w:w="5488" w:type="dxa"/>
          </w:tcPr>
          <w:p w14:paraId="2934C286" w14:textId="77777777" w:rsidR="00BB77C0" w:rsidRDefault="00370BAA">
            <w:pPr>
              <w:pStyle w:val="TableParagraph"/>
              <w:spacing w:line="249" w:lineRule="exact"/>
              <w:ind w:left="76"/>
              <w:rPr>
                <w:i/>
              </w:rPr>
            </w:pPr>
            <w:r>
              <w:rPr>
                <w:i/>
              </w:rPr>
              <w:t>[insert</w:t>
            </w:r>
            <w:r>
              <w:rPr>
                <w:i/>
                <w:spacing w:val="-2"/>
              </w:rPr>
              <w:t xml:space="preserve"> </w:t>
            </w:r>
            <w:r>
              <w:rPr>
                <w:i/>
              </w:rPr>
              <w:t>period</w:t>
            </w:r>
            <w:r>
              <w:rPr>
                <w:i/>
                <w:spacing w:val="-3"/>
              </w:rPr>
              <w:t xml:space="preserve"> </w:t>
            </w:r>
            <w:r>
              <w:rPr>
                <w:i/>
              </w:rPr>
              <w:t>(start</w:t>
            </w:r>
            <w:r>
              <w:rPr>
                <w:i/>
                <w:spacing w:val="-6"/>
              </w:rPr>
              <w:t xml:space="preserve"> </w:t>
            </w:r>
            <w:r>
              <w:rPr>
                <w:i/>
              </w:rPr>
              <w:t>and</w:t>
            </w:r>
            <w:r>
              <w:rPr>
                <w:i/>
                <w:spacing w:val="-2"/>
              </w:rPr>
              <w:t xml:space="preserve"> </w:t>
            </w:r>
            <w:r>
              <w:rPr>
                <w:i/>
              </w:rPr>
              <w:t>end</w:t>
            </w:r>
            <w:r>
              <w:rPr>
                <w:i/>
                <w:spacing w:val="-8"/>
              </w:rPr>
              <w:t xml:space="preserve"> </w:t>
            </w:r>
            <w:r>
              <w:rPr>
                <w:i/>
              </w:rPr>
              <w:t>dates) for</w:t>
            </w:r>
            <w:r>
              <w:rPr>
                <w:i/>
                <w:spacing w:val="-3"/>
              </w:rPr>
              <w:t xml:space="preserve"> </w:t>
            </w:r>
            <w:r>
              <w:rPr>
                <w:i/>
              </w:rPr>
              <w:t>which</w:t>
            </w:r>
            <w:r>
              <w:rPr>
                <w:i/>
                <w:spacing w:val="-2"/>
              </w:rPr>
              <w:t xml:space="preserve"> </w:t>
            </w:r>
            <w:r>
              <w:rPr>
                <w:i/>
                <w:spacing w:val="-4"/>
              </w:rPr>
              <w:t>this</w:t>
            </w:r>
          </w:p>
          <w:p w14:paraId="68175AF4" w14:textId="77777777" w:rsidR="00BB77C0" w:rsidRDefault="00370BAA">
            <w:pPr>
              <w:pStyle w:val="TableParagraph"/>
              <w:spacing w:before="9" w:line="240" w:lineRule="exact"/>
              <w:ind w:left="76" w:right="301"/>
              <w:rPr>
                <w:i/>
              </w:rPr>
            </w:pPr>
            <w:r>
              <w:rPr>
                <w:i/>
              </w:rPr>
              <w:t>Contractor’s</w:t>
            </w:r>
            <w:r>
              <w:rPr>
                <w:i/>
                <w:spacing w:val="-16"/>
              </w:rPr>
              <w:t xml:space="preserve"> </w:t>
            </w:r>
            <w:r>
              <w:rPr>
                <w:i/>
              </w:rPr>
              <w:t>Representative</w:t>
            </w:r>
            <w:r>
              <w:rPr>
                <w:i/>
                <w:spacing w:val="-14"/>
              </w:rPr>
              <w:t xml:space="preserve"> </w:t>
            </w:r>
            <w:r>
              <w:rPr>
                <w:i/>
              </w:rPr>
              <w:t>or</w:t>
            </w:r>
            <w:r>
              <w:rPr>
                <w:i/>
                <w:spacing w:val="-14"/>
              </w:rPr>
              <w:t xml:space="preserve"> </w:t>
            </w:r>
            <w:r>
              <w:rPr>
                <w:i/>
              </w:rPr>
              <w:t>Key</w:t>
            </w:r>
            <w:r>
              <w:rPr>
                <w:i/>
                <w:spacing w:val="-14"/>
              </w:rPr>
              <w:t xml:space="preserve"> </w:t>
            </w:r>
            <w:r>
              <w:rPr>
                <w:i/>
              </w:rPr>
              <w:t>Personnel</w:t>
            </w:r>
            <w:r>
              <w:rPr>
                <w:i/>
                <w:spacing w:val="-14"/>
              </w:rPr>
              <w:t xml:space="preserve"> </w:t>
            </w:r>
            <w:r>
              <w:rPr>
                <w:i/>
              </w:rPr>
              <w:t>is</w:t>
            </w:r>
            <w:r>
              <w:rPr>
                <w:i/>
                <w:spacing w:val="-17"/>
              </w:rPr>
              <w:t xml:space="preserve"> </w:t>
            </w:r>
            <w:r>
              <w:rPr>
                <w:i/>
              </w:rPr>
              <w:t>available to work on this contract]</w:t>
            </w:r>
          </w:p>
        </w:tc>
      </w:tr>
      <w:tr w:rsidR="00BB77C0" w14:paraId="0AE4F5F1" w14:textId="77777777">
        <w:trPr>
          <w:trHeight w:val="763"/>
        </w:trPr>
        <w:tc>
          <w:tcPr>
            <w:tcW w:w="3616" w:type="dxa"/>
          </w:tcPr>
          <w:p w14:paraId="74D1F016" w14:textId="77777777" w:rsidR="00BB77C0" w:rsidRDefault="00370BAA">
            <w:pPr>
              <w:pStyle w:val="TableParagraph"/>
              <w:spacing w:line="249" w:lineRule="exact"/>
              <w:ind w:left="76"/>
            </w:pPr>
            <w:r>
              <w:rPr>
                <w:spacing w:val="-2"/>
              </w:rPr>
              <w:t>Time</w:t>
            </w:r>
            <w:r>
              <w:rPr>
                <w:spacing w:val="-11"/>
              </w:rPr>
              <w:t xml:space="preserve"> </w:t>
            </w:r>
            <w:r>
              <w:rPr>
                <w:spacing w:val="-2"/>
              </w:rPr>
              <w:t>commitment:</w:t>
            </w:r>
          </w:p>
        </w:tc>
        <w:tc>
          <w:tcPr>
            <w:tcW w:w="5488" w:type="dxa"/>
          </w:tcPr>
          <w:p w14:paraId="34F47980" w14:textId="77777777" w:rsidR="00BB77C0" w:rsidRDefault="00370BAA">
            <w:pPr>
              <w:pStyle w:val="TableParagraph"/>
              <w:spacing w:line="249" w:lineRule="exact"/>
              <w:ind w:left="76"/>
              <w:rPr>
                <w:i/>
              </w:rPr>
            </w:pPr>
            <w:r>
              <w:rPr>
                <w:i/>
                <w:spacing w:val="-2"/>
              </w:rPr>
              <w:t>[insert</w:t>
            </w:r>
            <w:r>
              <w:rPr>
                <w:i/>
                <w:spacing w:val="-8"/>
              </w:rPr>
              <w:t xml:space="preserve"> </w:t>
            </w:r>
            <w:r>
              <w:rPr>
                <w:i/>
                <w:spacing w:val="-2"/>
              </w:rPr>
              <w:t>period</w:t>
            </w:r>
            <w:r>
              <w:rPr>
                <w:i/>
                <w:spacing w:val="-7"/>
              </w:rPr>
              <w:t xml:space="preserve"> </w:t>
            </w:r>
            <w:r>
              <w:rPr>
                <w:i/>
                <w:spacing w:val="-2"/>
              </w:rPr>
              <w:t>(start</w:t>
            </w:r>
            <w:r>
              <w:rPr>
                <w:i/>
                <w:spacing w:val="-7"/>
              </w:rPr>
              <w:t xml:space="preserve"> </w:t>
            </w:r>
            <w:r>
              <w:rPr>
                <w:i/>
                <w:spacing w:val="-2"/>
              </w:rPr>
              <w:t>and</w:t>
            </w:r>
            <w:r>
              <w:rPr>
                <w:i/>
                <w:spacing w:val="-8"/>
              </w:rPr>
              <w:t xml:space="preserve"> </w:t>
            </w:r>
            <w:r>
              <w:rPr>
                <w:i/>
                <w:spacing w:val="-2"/>
              </w:rPr>
              <w:t>end</w:t>
            </w:r>
            <w:r>
              <w:rPr>
                <w:i/>
                <w:spacing w:val="-12"/>
              </w:rPr>
              <w:t xml:space="preserve"> </w:t>
            </w:r>
            <w:r>
              <w:rPr>
                <w:i/>
                <w:spacing w:val="-2"/>
              </w:rPr>
              <w:t>dates)</w:t>
            </w:r>
            <w:r>
              <w:rPr>
                <w:i/>
                <w:spacing w:val="-9"/>
              </w:rPr>
              <w:t xml:space="preserve"> </w:t>
            </w:r>
            <w:r>
              <w:rPr>
                <w:i/>
                <w:spacing w:val="-2"/>
              </w:rPr>
              <w:t>for</w:t>
            </w:r>
            <w:r>
              <w:rPr>
                <w:i/>
                <w:spacing w:val="-7"/>
              </w:rPr>
              <w:t xml:space="preserve"> </w:t>
            </w:r>
            <w:r>
              <w:rPr>
                <w:i/>
                <w:spacing w:val="-2"/>
              </w:rPr>
              <w:t>which</w:t>
            </w:r>
            <w:r>
              <w:rPr>
                <w:i/>
                <w:spacing w:val="-7"/>
              </w:rPr>
              <w:t xml:space="preserve"> </w:t>
            </w:r>
            <w:r>
              <w:rPr>
                <w:i/>
                <w:spacing w:val="-4"/>
              </w:rPr>
              <w:t>this</w:t>
            </w:r>
          </w:p>
          <w:p w14:paraId="21E5E092" w14:textId="77777777" w:rsidR="00BB77C0" w:rsidRDefault="00370BAA">
            <w:pPr>
              <w:pStyle w:val="TableParagraph"/>
              <w:spacing w:line="250" w:lineRule="atLeast"/>
              <w:ind w:left="76" w:right="301"/>
              <w:rPr>
                <w:i/>
              </w:rPr>
            </w:pPr>
            <w:r>
              <w:rPr>
                <w:i/>
              </w:rPr>
              <w:t>Contractor’s</w:t>
            </w:r>
            <w:r>
              <w:rPr>
                <w:i/>
                <w:spacing w:val="-16"/>
              </w:rPr>
              <w:t xml:space="preserve"> </w:t>
            </w:r>
            <w:r>
              <w:rPr>
                <w:i/>
              </w:rPr>
              <w:t>Representative</w:t>
            </w:r>
            <w:r>
              <w:rPr>
                <w:i/>
                <w:spacing w:val="-14"/>
              </w:rPr>
              <w:t xml:space="preserve"> </w:t>
            </w:r>
            <w:r>
              <w:rPr>
                <w:i/>
              </w:rPr>
              <w:t>or</w:t>
            </w:r>
            <w:r>
              <w:rPr>
                <w:i/>
                <w:spacing w:val="-14"/>
              </w:rPr>
              <w:t xml:space="preserve"> </w:t>
            </w:r>
            <w:r>
              <w:rPr>
                <w:i/>
              </w:rPr>
              <w:t>Key</w:t>
            </w:r>
            <w:r>
              <w:rPr>
                <w:i/>
                <w:spacing w:val="-14"/>
              </w:rPr>
              <w:t xml:space="preserve"> </w:t>
            </w:r>
            <w:r>
              <w:rPr>
                <w:i/>
              </w:rPr>
              <w:t>Personnel</w:t>
            </w:r>
            <w:r>
              <w:rPr>
                <w:i/>
                <w:spacing w:val="-14"/>
              </w:rPr>
              <w:t xml:space="preserve"> </w:t>
            </w:r>
            <w:r>
              <w:rPr>
                <w:i/>
              </w:rPr>
              <w:t>is</w:t>
            </w:r>
            <w:r>
              <w:rPr>
                <w:i/>
                <w:spacing w:val="-17"/>
              </w:rPr>
              <w:t xml:space="preserve"> </w:t>
            </w:r>
            <w:r>
              <w:rPr>
                <w:i/>
              </w:rPr>
              <w:t>available to work on this contract]</w:t>
            </w:r>
          </w:p>
        </w:tc>
      </w:tr>
    </w:tbl>
    <w:p w14:paraId="0CBBDB2C" w14:textId="77777777" w:rsidR="00BB77C0" w:rsidRDefault="00BB77C0">
      <w:pPr>
        <w:pStyle w:val="BodyText"/>
      </w:pPr>
    </w:p>
    <w:p w14:paraId="1DD3D871" w14:textId="77777777" w:rsidR="00BB77C0" w:rsidRDefault="00BB77C0">
      <w:pPr>
        <w:pStyle w:val="BodyText"/>
        <w:spacing w:before="51"/>
      </w:pPr>
    </w:p>
    <w:p w14:paraId="63231607" w14:textId="77777777" w:rsidR="00BB77C0" w:rsidRDefault="00370BAA">
      <w:pPr>
        <w:pStyle w:val="BodyText"/>
        <w:ind w:left="485"/>
      </w:pPr>
      <w:r>
        <w:rPr>
          <w:color w:val="211F1F"/>
        </w:rPr>
        <w:t>I</w:t>
      </w:r>
      <w:r>
        <w:rPr>
          <w:color w:val="211F1F"/>
          <w:spacing w:val="-8"/>
        </w:rPr>
        <w:t xml:space="preserve"> </w:t>
      </w:r>
      <w:r>
        <w:rPr>
          <w:color w:val="211F1F"/>
        </w:rPr>
        <w:t>understand</w:t>
      </w:r>
      <w:r>
        <w:rPr>
          <w:color w:val="211F1F"/>
          <w:spacing w:val="-9"/>
        </w:rPr>
        <w:t xml:space="preserve"> </w:t>
      </w:r>
      <w:r>
        <w:rPr>
          <w:color w:val="211F1F"/>
        </w:rPr>
        <w:t>that</w:t>
      </w:r>
      <w:r>
        <w:rPr>
          <w:color w:val="211F1F"/>
          <w:spacing w:val="-5"/>
        </w:rPr>
        <w:t xml:space="preserve"> </w:t>
      </w:r>
      <w:r>
        <w:rPr>
          <w:color w:val="211F1F"/>
        </w:rPr>
        <w:t>any</w:t>
      </w:r>
      <w:r>
        <w:rPr>
          <w:color w:val="211F1F"/>
          <w:spacing w:val="-6"/>
        </w:rPr>
        <w:t xml:space="preserve"> </w:t>
      </w:r>
      <w:r>
        <w:rPr>
          <w:color w:val="211F1F"/>
        </w:rPr>
        <w:t>misrepresentation</w:t>
      </w:r>
      <w:r>
        <w:rPr>
          <w:color w:val="211F1F"/>
          <w:spacing w:val="-8"/>
        </w:rPr>
        <w:t xml:space="preserve"> </w:t>
      </w:r>
      <w:r>
        <w:rPr>
          <w:color w:val="211F1F"/>
        </w:rPr>
        <w:t>or</w:t>
      </w:r>
      <w:r>
        <w:rPr>
          <w:color w:val="211F1F"/>
          <w:spacing w:val="1"/>
        </w:rPr>
        <w:t xml:space="preserve"> </w:t>
      </w:r>
      <w:r>
        <w:rPr>
          <w:color w:val="211F1F"/>
        </w:rPr>
        <w:t>omission</w:t>
      </w:r>
      <w:r>
        <w:rPr>
          <w:color w:val="211F1F"/>
          <w:spacing w:val="-6"/>
        </w:rPr>
        <w:t xml:space="preserve"> </w:t>
      </w:r>
      <w:r>
        <w:rPr>
          <w:color w:val="211F1F"/>
        </w:rPr>
        <w:t>in</w:t>
      </w:r>
      <w:r>
        <w:rPr>
          <w:color w:val="211F1F"/>
          <w:spacing w:val="-10"/>
        </w:rPr>
        <w:t xml:space="preserve"> </w:t>
      </w:r>
      <w:r>
        <w:rPr>
          <w:color w:val="211F1F"/>
        </w:rPr>
        <w:t>this</w:t>
      </w:r>
      <w:r>
        <w:rPr>
          <w:color w:val="211F1F"/>
          <w:spacing w:val="-6"/>
        </w:rPr>
        <w:t xml:space="preserve"> </w:t>
      </w:r>
      <w:r>
        <w:rPr>
          <w:color w:val="211F1F"/>
        </w:rPr>
        <w:t>Form</w:t>
      </w:r>
      <w:r>
        <w:rPr>
          <w:color w:val="211F1F"/>
          <w:spacing w:val="-9"/>
        </w:rPr>
        <w:t xml:space="preserve"> </w:t>
      </w:r>
      <w:r>
        <w:rPr>
          <w:color w:val="211F1F"/>
          <w:spacing w:val="-4"/>
        </w:rPr>
        <w:t>may:</w:t>
      </w:r>
    </w:p>
    <w:p w14:paraId="54110679" w14:textId="77777777" w:rsidR="00BB77C0" w:rsidRDefault="00370BAA">
      <w:pPr>
        <w:pStyle w:val="ListParagraph"/>
        <w:numPr>
          <w:ilvl w:val="0"/>
          <w:numId w:val="63"/>
        </w:numPr>
        <w:tabs>
          <w:tab w:val="left" w:pos="907"/>
        </w:tabs>
        <w:spacing w:before="41"/>
        <w:ind w:hanging="422"/>
      </w:pPr>
      <w:r>
        <w:rPr>
          <w:color w:val="211F1F"/>
          <w:spacing w:val="-4"/>
        </w:rPr>
        <w:t>be</w:t>
      </w:r>
      <w:r>
        <w:rPr>
          <w:color w:val="211F1F"/>
          <w:spacing w:val="-15"/>
        </w:rPr>
        <w:t xml:space="preserve"> </w:t>
      </w:r>
      <w:r>
        <w:rPr>
          <w:color w:val="211F1F"/>
          <w:spacing w:val="-4"/>
        </w:rPr>
        <w:t>taken</w:t>
      </w:r>
      <w:r>
        <w:rPr>
          <w:color w:val="211F1F"/>
          <w:spacing w:val="-3"/>
        </w:rPr>
        <w:t xml:space="preserve"> </w:t>
      </w:r>
      <w:r>
        <w:rPr>
          <w:color w:val="211F1F"/>
          <w:spacing w:val="-4"/>
        </w:rPr>
        <w:t>into</w:t>
      </w:r>
      <w:r>
        <w:rPr>
          <w:color w:val="211F1F"/>
          <w:spacing w:val="-11"/>
        </w:rPr>
        <w:t xml:space="preserve"> </w:t>
      </w:r>
      <w:r>
        <w:rPr>
          <w:color w:val="211F1F"/>
          <w:spacing w:val="-4"/>
        </w:rPr>
        <w:t>consideration during</w:t>
      </w:r>
      <w:r>
        <w:rPr>
          <w:color w:val="211F1F"/>
          <w:spacing w:val="-23"/>
        </w:rPr>
        <w:t xml:space="preserve"> </w:t>
      </w:r>
      <w:r>
        <w:rPr>
          <w:color w:val="211F1F"/>
          <w:spacing w:val="-4"/>
        </w:rPr>
        <w:t>Tender</w:t>
      </w:r>
      <w:r>
        <w:rPr>
          <w:color w:val="211F1F"/>
          <w:spacing w:val="1"/>
        </w:rPr>
        <w:t xml:space="preserve"> </w:t>
      </w:r>
      <w:r>
        <w:rPr>
          <w:color w:val="211F1F"/>
          <w:spacing w:val="-4"/>
        </w:rPr>
        <w:t>evaluation;</w:t>
      </w:r>
    </w:p>
    <w:p w14:paraId="2C323A6F" w14:textId="77777777" w:rsidR="00BB77C0" w:rsidRDefault="00370BAA">
      <w:pPr>
        <w:pStyle w:val="ListParagraph"/>
        <w:numPr>
          <w:ilvl w:val="0"/>
          <w:numId w:val="63"/>
        </w:numPr>
        <w:tabs>
          <w:tab w:val="left" w:pos="907"/>
        </w:tabs>
        <w:spacing w:before="40"/>
        <w:ind w:hanging="422"/>
      </w:pPr>
      <w:r>
        <w:rPr>
          <w:color w:val="211F1F"/>
          <w:spacing w:val="-4"/>
        </w:rPr>
        <w:t>result in</w:t>
      </w:r>
      <w:r>
        <w:rPr>
          <w:color w:val="211F1F"/>
          <w:spacing w:val="-5"/>
        </w:rPr>
        <w:t xml:space="preserve"> </w:t>
      </w:r>
      <w:r>
        <w:rPr>
          <w:color w:val="211F1F"/>
          <w:spacing w:val="-4"/>
        </w:rPr>
        <w:t>my</w:t>
      </w:r>
      <w:r>
        <w:rPr>
          <w:color w:val="211F1F"/>
          <w:spacing w:val="-6"/>
        </w:rPr>
        <w:t xml:space="preserve"> </w:t>
      </w:r>
      <w:r>
        <w:rPr>
          <w:color w:val="211F1F"/>
          <w:spacing w:val="-4"/>
        </w:rPr>
        <w:t>disqualification</w:t>
      </w:r>
      <w:r>
        <w:rPr>
          <w:color w:val="211F1F"/>
          <w:spacing w:val="-11"/>
        </w:rPr>
        <w:t xml:space="preserve"> </w:t>
      </w:r>
      <w:r>
        <w:rPr>
          <w:color w:val="211F1F"/>
          <w:spacing w:val="-4"/>
        </w:rPr>
        <w:t>from</w:t>
      </w:r>
      <w:r>
        <w:rPr>
          <w:color w:val="211F1F"/>
          <w:spacing w:val="-11"/>
        </w:rPr>
        <w:t xml:space="preserve"> </w:t>
      </w:r>
      <w:r>
        <w:rPr>
          <w:color w:val="211F1F"/>
          <w:spacing w:val="-4"/>
        </w:rPr>
        <w:t>participating</w:t>
      </w:r>
      <w:r>
        <w:rPr>
          <w:color w:val="211F1F"/>
          <w:spacing w:val="-11"/>
        </w:rPr>
        <w:t xml:space="preserve"> </w:t>
      </w:r>
      <w:r>
        <w:rPr>
          <w:color w:val="211F1F"/>
          <w:spacing w:val="-4"/>
        </w:rPr>
        <w:t>in</w:t>
      </w:r>
      <w:r>
        <w:rPr>
          <w:color w:val="211F1F"/>
          <w:spacing w:val="-6"/>
        </w:rPr>
        <w:t xml:space="preserve"> </w:t>
      </w:r>
      <w:r>
        <w:rPr>
          <w:color w:val="211F1F"/>
          <w:spacing w:val="-4"/>
        </w:rPr>
        <w:t>the</w:t>
      </w:r>
      <w:r>
        <w:rPr>
          <w:color w:val="211F1F"/>
          <w:spacing w:val="-19"/>
        </w:rPr>
        <w:t xml:space="preserve"> </w:t>
      </w:r>
      <w:r>
        <w:rPr>
          <w:color w:val="211F1F"/>
          <w:spacing w:val="-4"/>
        </w:rPr>
        <w:t>Tender;</w:t>
      </w:r>
    </w:p>
    <w:p w14:paraId="1DF86C13" w14:textId="77777777" w:rsidR="00BB77C0" w:rsidRDefault="00370BAA">
      <w:pPr>
        <w:pStyle w:val="ListParagraph"/>
        <w:numPr>
          <w:ilvl w:val="0"/>
          <w:numId w:val="63"/>
        </w:numPr>
        <w:tabs>
          <w:tab w:val="left" w:pos="907"/>
        </w:tabs>
        <w:spacing w:before="39"/>
        <w:ind w:hanging="422"/>
      </w:pPr>
      <w:r>
        <w:rPr>
          <w:color w:val="211F1F"/>
          <w:spacing w:val="-4"/>
        </w:rPr>
        <w:t>result</w:t>
      </w:r>
      <w:r>
        <w:rPr>
          <w:color w:val="211F1F"/>
          <w:spacing w:val="-6"/>
        </w:rPr>
        <w:t xml:space="preserve"> </w:t>
      </w:r>
      <w:r>
        <w:rPr>
          <w:color w:val="211F1F"/>
          <w:spacing w:val="-4"/>
        </w:rPr>
        <w:t>in</w:t>
      </w:r>
      <w:r>
        <w:rPr>
          <w:color w:val="211F1F"/>
          <w:spacing w:val="-14"/>
        </w:rPr>
        <w:t xml:space="preserve"> </w:t>
      </w:r>
      <w:r>
        <w:rPr>
          <w:color w:val="211F1F"/>
          <w:spacing w:val="-4"/>
        </w:rPr>
        <w:t>my</w:t>
      </w:r>
      <w:r>
        <w:rPr>
          <w:color w:val="211F1F"/>
          <w:spacing w:val="-14"/>
        </w:rPr>
        <w:t xml:space="preserve"> </w:t>
      </w:r>
      <w:r>
        <w:rPr>
          <w:color w:val="211F1F"/>
          <w:spacing w:val="-4"/>
        </w:rPr>
        <w:t>dismissal</w:t>
      </w:r>
      <w:r>
        <w:rPr>
          <w:color w:val="211F1F"/>
          <w:spacing w:val="-7"/>
        </w:rPr>
        <w:t xml:space="preserve"> </w:t>
      </w:r>
      <w:r>
        <w:rPr>
          <w:color w:val="211F1F"/>
          <w:spacing w:val="-4"/>
        </w:rPr>
        <w:t>from</w:t>
      </w:r>
      <w:r>
        <w:rPr>
          <w:color w:val="211F1F"/>
          <w:spacing w:val="-13"/>
        </w:rPr>
        <w:t xml:space="preserve"> </w:t>
      </w:r>
      <w:r>
        <w:rPr>
          <w:color w:val="211F1F"/>
          <w:spacing w:val="-4"/>
        </w:rPr>
        <w:t>the</w:t>
      </w:r>
      <w:r>
        <w:rPr>
          <w:color w:val="211F1F"/>
          <w:spacing w:val="-16"/>
        </w:rPr>
        <w:t xml:space="preserve"> </w:t>
      </w:r>
      <w:r>
        <w:rPr>
          <w:color w:val="211F1F"/>
          <w:spacing w:val="-4"/>
        </w:rPr>
        <w:t>contract.</w:t>
      </w:r>
    </w:p>
    <w:p w14:paraId="5E56CDC5" w14:textId="77777777" w:rsidR="00BB77C0" w:rsidRDefault="00370BAA">
      <w:pPr>
        <w:pStyle w:val="BodyText"/>
        <w:spacing w:before="232"/>
        <w:ind w:left="485"/>
      </w:pPr>
      <w:r>
        <w:rPr>
          <w:color w:val="211F1F"/>
        </w:rPr>
        <w:t>Name</w:t>
      </w:r>
      <w:r>
        <w:rPr>
          <w:color w:val="211F1F"/>
          <w:spacing w:val="-10"/>
        </w:rPr>
        <w:t xml:space="preserve"> </w:t>
      </w:r>
      <w:r>
        <w:rPr>
          <w:color w:val="211F1F"/>
        </w:rPr>
        <w:t>of</w:t>
      </w:r>
      <w:r>
        <w:rPr>
          <w:color w:val="211F1F"/>
          <w:spacing w:val="-10"/>
        </w:rPr>
        <w:t xml:space="preserve"> </w:t>
      </w:r>
      <w:r>
        <w:rPr>
          <w:color w:val="211F1F"/>
        </w:rPr>
        <w:t>Contractor's</w:t>
      </w:r>
      <w:r>
        <w:rPr>
          <w:color w:val="211F1F"/>
          <w:spacing w:val="-7"/>
        </w:rPr>
        <w:t xml:space="preserve"> </w:t>
      </w:r>
      <w:r>
        <w:rPr>
          <w:color w:val="211F1F"/>
        </w:rPr>
        <w:t>Representative</w:t>
      </w:r>
      <w:r>
        <w:rPr>
          <w:color w:val="211F1F"/>
          <w:spacing w:val="-8"/>
        </w:rPr>
        <w:t xml:space="preserve"> </w:t>
      </w:r>
      <w:r>
        <w:rPr>
          <w:color w:val="211F1F"/>
        </w:rPr>
        <w:t>or</w:t>
      </w:r>
      <w:r>
        <w:rPr>
          <w:color w:val="211F1F"/>
          <w:spacing w:val="-6"/>
        </w:rPr>
        <w:t xml:space="preserve"> </w:t>
      </w:r>
      <w:r>
        <w:rPr>
          <w:color w:val="211F1F"/>
        </w:rPr>
        <w:t>Key</w:t>
      </w:r>
      <w:r>
        <w:rPr>
          <w:color w:val="211F1F"/>
          <w:spacing w:val="-12"/>
        </w:rPr>
        <w:t xml:space="preserve"> </w:t>
      </w:r>
      <w:r>
        <w:rPr>
          <w:color w:val="211F1F"/>
        </w:rPr>
        <w:t>Personnel:</w:t>
      </w:r>
      <w:r>
        <w:rPr>
          <w:color w:val="211F1F"/>
          <w:spacing w:val="-11"/>
        </w:rPr>
        <w:t xml:space="preserve"> </w:t>
      </w:r>
      <w:r>
        <w:rPr>
          <w:color w:val="211F1F"/>
        </w:rPr>
        <w:t>[</w:t>
      </w:r>
      <w:r>
        <w:rPr>
          <w:i/>
          <w:color w:val="211F1F"/>
        </w:rPr>
        <w:t>insert</w:t>
      </w:r>
      <w:r>
        <w:rPr>
          <w:i/>
          <w:color w:val="211F1F"/>
          <w:spacing w:val="-6"/>
        </w:rPr>
        <w:t xml:space="preserve"> </w:t>
      </w:r>
      <w:r>
        <w:rPr>
          <w:i/>
          <w:color w:val="211F1F"/>
          <w:spacing w:val="-2"/>
        </w:rPr>
        <w:t>name</w:t>
      </w:r>
      <w:r>
        <w:rPr>
          <w:color w:val="211F1F"/>
          <w:spacing w:val="-2"/>
        </w:rPr>
        <w:t>]</w:t>
      </w:r>
    </w:p>
    <w:p w14:paraId="4320F999" w14:textId="77777777" w:rsidR="00BB77C0" w:rsidRDefault="00BB77C0">
      <w:pPr>
        <w:pStyle w:val="BodyText"/>
        <w:spacing w:before="80"/>
      </w:pPr>
    </w:p>
    <w:p w14:paraId="63144629" w14:textId="77777777" w:rsidR="00BB77C0" w:rsidRDefault="00370BAA">
      <w:pPr>
        <w:pStyle w:val="BodyText"/>
        <w:tabs>
          <w:tab w:val="left" w:pos="9159"/>
        </w:tabs>
        <w:ind w:left="485"/>
      </w:pPr>
      <w:r>
        <w:rPr>
          <w:color w:val="211F1F"/>
        </w:rPr>
        <w:t>Signature:</w:t>
      </w:r>
      <w:r>
        <w:rPr>
          <w:color w:val="211F1F"/>
          <w:spacing w:val="-20"/>
        </w:rPr>
        <w:t xml:space="preserve"> </w:t>
      </w:r>
      <w:r>
        <w:rPr>
          <w:color w:val="211F1F"/>
          <w:u w:val="single" w:color="201E1F"/>
        </w:rPr>
        <w:tab/>
      </w:r>
    </w:p>
    <w:p w14:paraId="1BD47C19" w14:textId="77777777" w:rsidR="00BB77C0" w:rsidRDefault="00BB77C0">
      <w:pPr>
        <w:pStyle w:val="BodyText"/>
        <w:spacing w:before="80"/>
      </w:pPr>
    </w:p>
    <w:p w14:paraId="41A97F75" w14:textId="77777777" w:rsidR="00BB77C0" w:rsidRDefault="00370BAA">
      <w:pPr>
        <w:pStyle w:val="BodyText"/>
        <w:tabs>
          <w:tab w:val="left" w:pos="9193"/>
        </w:tabs>
        <w:ind w:left="485"/>
      </w:pPr>
      <w:r>
        <w:rPr>
          <w:color w:val="211F1F"/>
          <w:spacing w:val="-4"/>
        </w:rPr>
        <w:t>Date:</w:t>
      </w:r>
      <w:r>
        <w:rPr>
          <w:color w:val="211F1F"/>
          <w:spacing w:val="-23"/>
        </w:rPr>
        <w:t xml:space="preserve"> </w:t>
      </w:r>
      <w:r>
        <w:rPr>
          <w:color w:val="211F1F"/>
          <w:spacing w:val="-4"/>
        </w:rPr>
        <w:t>(day</w:t>
      </w:r>
      <w:r>
        <w:rPr>
          <w:color w:val="211F1F"/>
          <w:spacing w:val="-15"/>
        </w:rPr>
        <w:t xml:space="preserve"> </w:t>
      </w:r>
      <w:r>
        <w:rPr>
          <w:color w:val="211F1F"/>
          <w:spacing w:val="-4"/>
        </w:rPr>
        <w:t>month</w:t>
      </w:r>
      <w:r>
        <w:rPr>
          <w:color w:val="211F1F"/>
          <w:spacing w:val="-15"/>
        </w:rPr>
        <w:t xml:space="preserve"> </w:t>
      </w:r>
      <w:r>
        <w:rPr>
          <w:color w:val="211F1F"/>
          <w:spacing w:val="-4"/>
        </w:rPr>
        <w:t>year):</w:t>
      </w:r>
      <w:r>
        <w:rPr>
          <w:color w:val="211F1F"/>
          <w:spacing w:val="-20"/>
        </w:rPr>
        <w:t xml:space="preserve"> </w:t>
      </w:r>
      <w:r>
        <w:rPr>
          <w:color w:val="211F1F"/>
          <w:u w:val="single" w:color="201E1F"/>
        </w:rPr>
        <w:tab/>
      </w:r>
      <w:r>
        <w:rPr>
          <w:color w:val="211F1F"/>
          <w:spacing w:val="-2"/>
        </w:rPr>
        <w:t>Countersignature</w:t>
      </w:r>
    </w:p>
    <w:p w14:paraId="1E8B8412" w14:textId="77777777" w:rsidR="00BB77C0" w:rsidRDefault="00BB77C0">
      <w:pPr>
        <w:pStyle w:val="BodyText"/>
        <w:spacing w:before="27"/>
      </w:pPr>
    </w:p>
    <w:p w14:paraId="695674D6" w14:textId="77777777" w:rsidR="00BB77C0" w:rsidRDefault="00370BAA">
      <w:pPr>
        <w:pStyle w:val="BodyText"/>
        <w:ind w:left="485"/>
      </w:pPr>
      <w:r>
        <w:rPr>
          <w:color w:val="211F1F"/>
          <w:spacing w:val="-4"/>
        </w:rPr>
        <w:t>of</w:t>
      </w:r>
      <w:r>
        <w:rPr>
          <w:color w:val="211F1F"/>
          <w:spacing w:val="-1"/>
        </w:rPr>
        <w:t xml:space="preserve"> </w:t>
      </w:r>
      <w:r>
        <w:rPr>
          <w:color w:val="211F1F"/>
          <w:spacing w:val="-4"/>
        </w:rPr>
        <w:t>authorized</w:t>
      </w:r>
      <w:r>
        <w:rPr>
          <w:color w:val="211F1F"/>
          <w:spacing w:val="-9"/>
        </w:rPr>
        <w:t xml:space="preserve"> </w:t>
      </w:r>
      <w:r>
        <w:rPr>
          <w:color w:val="211F1F"/>
          <w:spacing w:val="-4"/>
        </w:rPr>
        <w:t>representative</w:t>
      </w:r>
      <w:r>
        <w:rPr>
          <w:color w:val="211F1F"/>
          <w:spacing w:val="-13"/>
        </w:rPr>
        <w:t xml:space="preserve"> </w:t>
      </w:r>
      <w:r>
        <w:rPr>
          <w:color w:val="211F1F"/>
          <w:spacing w:val="-4"/>
        </w:rPr>
        <w:t>of</w:t>
      </w:r>
      <w:r>
        <w:rPr>
          <w:color w:val="211F1F"/>
        </w:rPr>
        <w:t xml:space="preserve"> </w:t>
      </w:r>
      <w:r>
        <w:rPr>
          <w:color w:val="211F1F"/>
          <w:spacing w:val="-4"/>
        </w:rPr>
        <w:t>the</w:t>
      </w:r>
      <w:r>
        <w:rPr>
          <w:color w:val="211F1F"/>
          <w:spacing w:val="-13"/>
        </w:rPr>
        <w:t xml:space="preserve"> </w:t>
      </w:r>
      <w:r>
        <w:rPr>
          <w:color w:val="211F1F"/>
          <w:spacing w:val="-4"/>
        </w:rPr>
        <w:t>Tenderer:</w:t>
      </w:r>
    </w:p>
    <w:p w14:paraId="34CD2ED4" w14:textId="77777777" w:rsidR="00BB77C0" w:rsidRDefault="00370BAA">
      <w:pPr>
        <w:pStyle w:val="BodyText"/>
        <w:tabs>
          <w:tab w:val="left" w:pos="9159"/>
        </w:tabs>
        <w:spacing w:before="241" w:line="460" w:lineRule="auto"/>
        <w:ind w:left="485" w:right="901"/>
      </w:pPr>
      <w:r>
        <w:rPr>
          <w:color w:val="211F1F"/>
          <w:spacing w:val="-2"/>
        </w:rPr>
        <w:t>Signature:</w:t>
      </w:r>
      <w:r>
        <w:rPr>
          <w:color w:val="211F1F"/>
          <w:u w:val="single" w:color="201E1F"/>
        </w:rPr>
        <w:tab/>
      </w:r>
      <w:r>
        <w:rPr>
          <w:color w:val="211F1F"/>
          <w:spacing w:val="-2"/>
        </w:rPr>
        <w:t>Date:</w:t>
      </w:r>
      <w:r>
        <w:rPr>
          <w:color w:val="211F1F"/>
          <w:spacing w:val="-16"/>
        </w:rPr>
        <w:t xml:space="preserve"> </w:t>
      </w:r>
      <w:r>
        <w:rPr>
          <w:color w:val="211F1F"/>
          <w:spacing w:val="-2"/>
        </w:rPr>
        <w:t>(day</w:t>
      </w:r>
      <w:r>
        <w:rPr>
          <w:color w:val="211F1F"/>
          <w:spacing w:val="-21"/>
        </w:rPr>
        <w:t xml:space="preserve"> </w:t>
      </w:r>
      <w:r>
        <w:rPr>
          <w:color w:val="211F1F"/>
          <w:spacing w:val="-2"/>
        </w:rPr>
        <w:t xml:space="preserve">month </w:t>
      </w:r>
      <w:r>
        <w:rPr>
          <w:color w:val="211F1F"/>
        </w:rPr>
        <w:t>year):</w:t>
      </w:r>
      <w:r>
        <w:rPr>
          <w:color w:val="211F1F"/>
          <w:spacing w:val="-20"/>
        </w:rPr>
        <w:t xml:space="preserve"> </w:t>
      </w:r>
      <w:r>
        <w:rPr>
          <w:color w:val="211F1F"/>
          <w:u w:val="single" w:color="201E1F"/>
        </w:rPr>
        <w:tab/>
      </w:r>
      <w:r>
        <w:rPr>
          <w:color w:val="211F1F"/>
          <w:spacing w:val="40"/>
          <w:u w:val="single" w:color="201E1F"/>
        </w:rPr>
        <w:t xml:space="preserve"> </w:t>
      </w:r>
    </w:p>
    <w:p w14:paraId="3E8A42DF" w14:textId="77777777" w:rsidR="00BB77C0" w:rsidRDefault="00BB77C0">
      <w:pPr>
        <w:pStyle w:val="BodyText"/>
        <w:spacing w:line="460" w:lineRule="auto"/>
        <w:sectPr w:rsidR="00BB77C0">
          <w:pgSz w:w="11920" w:h="16850"/>
          <w:pgMar w:top="0" w:right="0" w:bottom="0" w:left="360" w:header="720" w:footer="720" w:gutter="0"/>
          <w:cols w:space="720"/>
        </w:sectPr>
      </w:pPr>
    </w:p>
    <w:p w14:paraId="59344644" w14:textId="77777777" w:rsidR="00BB77C0" w:rsidRDefault="00370BAA">
      <w:pPr>
        <w:pStyle w:val="BodyText"/>
        <w:rPr>
          <w:sz w:val="24"/>
        </w:rPr>
      </w:pPr>
      <w:r>
        <w:rPr>
          <w:noProof/>
          <w:sz w:val="24"/>
        </w:rPr>
        <w:lastRenderedPageBreak/>
        <mc:AlternateContent>
          <mc:Choice Requires="wpg">
            <w:drawing>
              <wp:anchor distT="0" distB="0" distL="0" distR="0" simplePos="0" relativeHeight="15740416" behindDoc="0" locked="0" layoutInCell="1" allowOverlap="1" wp14:anchorId="6E7E48F4" wp14:editId="7DC1B1A5">
                <wp:simplePos x="0" y="0"/>
                <wp:positionH relativeFrom="page">
                  <wp:posOffset>0</wp:posOffset>
                </wp:positionH>
                <wp:positionV relativeFrom="page">
                  <wp:posOffset>10234295</wp:posOffset>
                </wp:positionV>
                <wp:extent cx="7559675" cy="457200"/>
                <wp:effectExtent l="0" t="0" r="0" b="0"/>
                <wp:wrapNone/>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675" cy="457200"/>
                          <a:chOff x="0" y="0"/>
                          <a:chExt cx="7559675" cy="457200"/>
                        </a:xfrm>
                      </wpg:grpSpPr>
                      <wps:wsp>
                        <wps:cNvPr id="87" name="Graphic 87"/>
                        <wps:cNvSpPr/>
                        <wps:spPr>
                          <a:xfrm>
                            <a:off x="0" y="5714"/>
                            <a:ext cx="1021080" cy="451484"/>
                          </a:xfrm>
                          <a:custGeom>
                            <a:avLst/>
                            <a:gdLst/>
                            <a:ahLst/>
                            <a:cxnLst/>
                            <a:rect l="l" t="t" r="r" b="b"/>
                            <a:pathLst>
                              <a:path w="1021080" h="451484">
                                <a:moveTo>
                                  <a:pt x="1020991" y="0"/>
                                </a:moveTo>
                                <a:lnTo>
                                  <a:pt x="0" y="0"/>
                                </a:lnTo>
                                <a:lnTo>
                                  <a:pt x="0" y="451483"/>
                                </a:lnTo>
                                <a:lnTo>
                                  <a:pt x="795591" y="451483"/>
                                </a:lnTo>
                                <a:lnTo>
                                  <a:pt x="1020991" y="0"/>
                                </a:lnTo>
                                <a:close/>
                              </a:path>
                            </a:pathLst>
                          </a:custGeom>
                          <a:solidFill>
                            <a:srgbClr val="CCE7D2"/>
                          </a:solidFill>
                        </wps:spPr>
                        <wps:bodyPr wrap="square" lIns="0" tIns="0" rIns="0" bIns="0" rtlCol="0">
                          <a:prstTxWarp prst="textNoShape">
                            <a:avLst/>
                          </a:prstTxWarp>
                          <a:noAutofit/>
                        </wps:bodyPr>
                      </wps:wsp>
                      <wps:wsp>
                        <wps:cNvPr id="88" name="Graphic 88"/>
                        <wps:cNvSpPr/>
                        <wps:spPr>
                          <a:xfrm>
                            <a:off x="0" y="6350"/>
                            <a:ext cx="7559675" cy="1270"/>
                          </a:xfrm>
                          <a:custGeom>
                            <a:avLst/>
                            <a:gdLst/>
                            <a:ahLst/>
                            <a:cxnLst/>
                            <a:rect l="l" t="t" r="r" b="b"/>
                            <a:pathLst>
                              <a:path w="7559675">
                                <a:moveTo>
                                  <a:pt x="0" y="0"/>
                                </a:moveTo>
                                <a:lnTo>
                                  <a:pt x="7559675" y="0"/>
                                </a:lnTo>
                              </a:path>
                            </a:pathLst>
                          </a:custGeom>
                          <a:ln w="12700">
                            <a:solidFill>
                              <a:srgbClr val="CCE7D2"/>
                            </a:solidFill>
                            <a:prstDash val="solid"/>
                          </a:ln>
                        </wps:spPr>
                        <wps:bodyPr wrap="square" lIns="0" tIns="0" rIns="0" bIns="0" rtlCol="0">
                          <a:prstTxWarp prst="textNoShape">
                            <a:avLst/>
                          </a:prstTxWarp>
                          <a:noAutofit/>
                        </wps:bodyPr>
                      </wps:wsp>
                      <wps:wsp>
                        <wps:cNvPr id="89" name="Textbox 89"/>
                        <wps:cNvSpPr txBox="1"/>
                        <wps:spPr>
                          <a:xfrm>
                            <a:off x="530656" y="37491"/>
                            <a:ext cx="147320" cy="155575"/>
                          </a:xfrm>
                          <a:prstGeom prst="rect">
                            <a:avLst/>
                          </a:prstGeom>
                        </wps:spPr>
                        <wps:txbx>
                          <w:txbxContent>
                            <w:p w14:paraId="45A59CC2" w14:textId="77777777" w:rsidR="00BB77C0" w:rsidRDefault="00370BAA">
                              <w:pPr>
                                <w:spacing w:line="244" w:lineRule="exact"/>
                              </w:pPr>
                              <w:r>
                                <w:rPr>
                                  <w:spacing w:val="-5"/>
                                </w:rPr>
                                <w:t>64</w:t>
                              </w:r>
                            </w:p>
                          </w:txbxContent>
                        </wps:txbx>
                        <wps:bodyPr wrap="square" lIns="0" tIns="0" rIns="0" bIns="0" rtlCol="0">
                          <a:noAutofit/>
                        </wps:bodyPr>
                      </wps:wsp>
                    </wpg:wgp>
                  </a:graphicData>
                </a:graphic>
              </wp:anchor>
            </w:drawing>
          </mc:Choice>
          <mc:Fallback>
            <w:pict>
              <v:group w14:anchorId="6E7E48F4" id="Group 86" o:spid="_x0000_s1057" style="position:absolute;margin-left:0;margin-top:805.85pt;width:595.25pt;height:36pt;z-index:15740416;mso-wrap-distance-left:0;mso-wrap-distance-right:0;mso-position-horizontal-relative:page;mso-position-vertical-relative:page" coordsize="75596,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">
                <v:shape id="Graphic 87" o:spid="_x0000_s1058" style="position:absolute;top:57;width:10210;height:4514;visibility:visible;mso-wrap-style:square;v-text-anchor:top" coordsize="1021080,4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" path="m1020991,l,,,451483r795591,l1020991,xe" fillcolor="#cce7d2" stroked="f">
                  <v:path arrowok="t"/>
                </v:shape>
                <v:shape id="Graphic 88" o:spid="_x0000_s1059" style="position:absolute;top:63;width:75596;height:13;visibility:visible;mso-wrap-style:square;v-text-anchor:top" coordsize="75596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" path="m,l7559675,e" filled="f" strokecolor="#cce7d2" strokeweight="1pt">
                  <v:path arrowok="t"/>
                </v:shape>
                <v:shape id="Textbox 89" o:spid="_x0000_s1060" type="#_x0000_t202" style="position:absolute;left:5306;top:374;width:1473;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" filled="f" stroked="f">
                  <v:textbox inset="0,0,0,0">
                    <w:txbxContent>
                      <w:p w14:paraId="45A59CC2" w14:textId="77777777" w:rsidR="00BB77C0" w:rsidRDefault="00370BAA">
                        <w:pPr>
                          <w:spacing w:line="244" w:lineRule="exact"/>
                        </w:pPr>
                        <w:r>
                          <w:rPr>
                            <w:spacing w:val="-5"/>
                          </w:rPr>
                          <w:t>64</w:t>
                        </w:r>
                      </w:p>
                    </w:txbxContent>
                  </v:textbox>
                </v:shape>
                <w10:wrap anchorx="page" anchory="page"/>
              </v:group>
            </w:pict>
          </mc:Fallback>
        </mc:AlternateContent>
      </w:r>
      <w:r>
        <w:rPr>
          <w:noProof/>
          <w:sz w:val="24"/>
        </w:rPr>
        <mc:AlternateContent>
          <mc:Choice Requires="wpg">
            <w:drawing>
              <wp:anchor distT="0" distB="0" distL="0" distR="0" simplePos="0" relativeHeight="15740928" behindDoc="0" locked="0" layoutInCell="1" allowOverlap="1" wp14:anchorId="0AC914A2" wp14:editId="5F2950E8">
                <wp:simplePos x="0" y="0"/>
                <wp:positionH relativeFrom="page">
                  <wp:posOffset>0</wp:posOffset>
                </wp:positionH>
                <wp:positionV relativeFrom="page">
                  <wp:posOffset>762</wp:posOffset>
                </wp:positionV>
                <wp:extent cx="7559675" cy="228600"/>
                <wp:effectExtent l="0" t="0" r="0" b="0"/>
                <wp:wrapNone/>
                <wp:docPr id="90"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675" cy="228600"/>
                          <a:chOff x="0" y="0"/>
                          <a:chExt cx="7559675" cy="228600"/>
                        </a:xfrm>
                      </wpg:grpSpPr>
                      <wps:wsp>
                        <wps:cNvPr id="91" name="Graphic 91"/>
                        <wps:cNvSpPr/>
                        <wps:spPr>
                          <a:xfrm>
                            <a:off x="848283" y="0"/>
                            <a:ext cx="6711950" cy="228600"/>
                          </a:xfrm>
                          <a:custGeom>
                            <a:avLst/>
                            <a:gdLst/>
                            <a:ahLst/>
                            <a:cxnLst/>
                            <a:rect l="l" t="t" r="r" b="b"/>
                            <a:pathLst>
                              <a:path w="6711950" h="228600">
                                <a:moveTo>
                                  <a:pt x="6711391" y="0"/>
                                </a:moveTo>
                                <a:lnTo>
                                  <a:pt x="0" y="0"/>
                                </a:lnTo>
                                <a:lnTo>
                                  <a:pt x="184137" y="228600"/>
                                </a:lnTo>
                                <a:lnTo>
                                  <a:pt x="6711391" y="223520"/>
                                </a:lnTo>
                                <a:lnTo>
                                  <a:pt x="6711391" y="0"/>
                                </a:lnTo>
                                <a:close/>
                              </a:path>
                            </a:pathLst>
                          </a:custGeom>
                          <a:solidFill>
                            <a:srgbClr val="E6E7E8"/>
                          </a:solidFill>
                        </wps:spPr>
                        <wps:bodyPr wrap="square" lIns="0" tIns="0" rIns="0" bIns="0" rtlCol="0">
                          <a:prstTxWarp prst="textNoShape">
                            <a:avLst/>
                          </a:prstTxWarp>
                          <a:noAutofit/>
                        </wps:bodyPr>
                      </wps:wsp>
                      <wps:wsp>
                        <wps:cNvPr id="92" name="Graphic 92"/>
                        <wps:cNvSpPr/>
                        <wps:spPr>
                          <a:xfrm>
                            <a:off x="0" y="0"/>
                            <a:ext cx="655955" cy="228600"/>
                          </a:xfrm>
                          <a:custGeom>
                            <a:avLst/>
                            <a:gdLst/>
                            <a:ahLst/>
                            <a:cxnLst/>
                            <a:rect l="l" t="t" r="r" b="b"/>
                            <a:pathLst>
                              <a:path w="655955" h="228600">
                                <a:moveTo>
                                  <a:pt x="530174" y="0"/>
                                </a:moveTo>
                                <a:lnTo>
                                  <a:pt x="0" y="0"/>
                                </a:lnTo>
                                <a:lnTo>
                                  <a:pt x="0" y="228600"/>
                                </a:lnTo>
                                <a:lnTo>
                                  <a:pt x="655904" y="228600"/>
                                </a:lnTo>
                                <a:lnTo>
                                  <a:pt x="530174" y="0"/>
                                </a:lnTo>
                                <a:close/>
                              </a:path>
                            </a:pathLst>
                          </a:custGeom>
                          <a:solidFill>
                            <a:srgbClr val="00A650"/>
                          </a:solidFill>
                        </wps:spPr>
                        <wps:bodyPr wrap="square" lIns="0" tIns="0" rIns="0" bIns="0" rtlCol="0">
                          <a:prstTxWarp prst="textNoShape">
                            <a:avLst/>
                          </a:prstTxWarp>
                          <a:noAutofit/>
                        </wps:bodyPr>
                      </wps:wsp>
                      <wps:wsp>
                        <wps:cNvPr id="93" name="Graphic 93"/>
                        <wps:cNvSpPr/>
                        <wps:spPr>
                          <a:xfrm>
                            <a:off x="554304" y="0"/>
                            <a:ext cx="329565" cy="228600"/>
                          </a:xfrm>
                          <a:custGeom>
                            <a:avLst/>
                            <a:gdLst/>
                            <a:ahLst/>
                            <a:cxnLst/>
                            <a:rect l="l" t="t" r="r" b="b"/>
                            <a:pathLst>
                              <a:path w="329565" h="228600">
                                <a:moveTo>
                                  <a:pt x="203822" y="0"/>
                                </a:moveTo>
                                <a:lnTo>
                                  <a:pt x="0" y="0"/>
                                </a:lnTo>
                                <a:lnTo>
                                  <a:pt x="128904" y="228600"/>
                                </a:lnTo>
                                <a:lnTo>
                                  <a:pt x="329539" y="228600"/>
                                </a:lnTo>
                                <a:lnTo>
                                  <a:pt x="203822" y="0"/>
                                </a:lnTo>
                                <a:close/>
                              </a:path>
                            </a:pathLst>
                          </a:custGeom>
                          <a:solidFill>
                            <a:srgbClr val="EB1C22"/>
                          </a:solidFill>
                        </wps:spPr>
                        <wps:bodyPr wrap="square" lIns="0" tIns="0" rIns="0" bIns="0" rtlCol="0">
                          <a:prstTxWarp prst="textNoShape">
                            <a:avLst/>
                          </a:prstTxWarp>
                          <a:noAutofit/>
                        </wps:bodyPr>
                      </wps:wsp>
                      <wps:wsp>
                        <wps:cNvPr id="94" name="Graphic 94"/>
                        <wps:cNvSpPr/>
                        <wps:spPr>
                          <a:xfrm>
                            <a:off x="783526" y="0"/>
                            <a:ext cx="329565" cy="228600"/>
                          </a:xfrm>
                          <a:custGeom>
                            <a:avLst/>
                            <a:gdLst/>
                            <a:ahLst/>
                            <a:cxnLst/>
                            <a:rect l="l" t="t" r="r" b="b"/>
                            <a:pathLst>
                              <a:path w="329565" h="228600">
                                <a:moveTo>
                                  <a:pt x="203822" y="0"/>
                                </a:moveTo>
                                <a:lnTo>
                                  <a:pt x="0" y="0"/>
                                </a:lnTo>
                                <a:lnTo>
                                  <a:pt x="128879" y="228600"/>
                                </a:lnTo>
                                <a:lnTo>
                                  <a:pt x="329539" y="228600"/>
                                </a:lnTo>
                                <a:lnTo>
                                  <a:pt x="203822" y="0"/>
                                </a:lnTo>
                                <a:close/>
                              </a:path>
                            </a:pathLst>
                          </a:custGeom>
                          <a:solidFill>
                            <a:srgbClr val="A7A9AC"/>
                          </a:solidFill>
                        </wps:spPr>
                        <wps:bodyPr wrap="square" lIns="0" tIns="0" rIns="0" bIns="0" rtlCol="0">
                          <a:prstTxWarp prst="textNoShape">
                            <a:avLst/>
                          </a:prstTxWarp>
                          <a:noAutofit/>
                        </wps:bodyPr>
                      </wps:wsp>
                    </wpg:wgp>
                  </a:graphicData>
                </a:graphic>
              </wp:anchor>
            </w:drawing>
          </mc:Choice>
          <mc:Fallback>
            <w:pict>
              <v:group w14:anchorId="23B3FB3F" id="Group 90" o:spid="_x0000_s1026" style="position:absolute;margin-left:0;margin-top:.05pt;width:595.25pt;height:18pt;z-index:15740928;mso-wrap-distance-left:0;mso-wrap-distance-right:0;mso-position-horizontal-relative:page;mso-position-vertical-relative:page" coordsize="75596,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">
                <v:shape id="Graphic 91" o:spid="_x0000_s1027" style="position:absolute;left:8482;width:67120;height:2286;visibility:visible;mso-wrap-style:square;v-text-anchor:top" coordsize="67119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" path="m6711391,l,,184137,228600r6527254,-5080l6711391,xe" fillcolor="#e6e7e8" stroked="f">
                  <v:path arrowok="t"/>
                </v:shape>
                <v:shape id="Graphic 92" o:spid="_x0000_s1028" style="position:absolute;width:6559;height:2286;visibility:visible;mso-wrap-style:square;v-text-anchor:top" coordsize="65595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" path="m530174,l,,,228600r655904,l530174,xe" fillcolor="#00a650" stroked="f">
                  <v:path arrowok="t"/>
                </v:shape>
                <v:shape id="Graphic 93" o:spid="_x0000_s1029" style="position:absolute;left:5543;width:3295;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" path="m203822,l,,128904,228600r200635,l203822,xe" fillcolor="#eb1c22" stroked="f">
                  <v:path arrowok="t"/>
                </v:shape>
                <v:shape id="Graphic 94" o:spid="_x0000_s1030" style="position:absolute;left:7835;width:3295;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" path="m203822,l,,128879,228600r200660,l203822,xe" fillcolor="#a7a9ac" stroked="f">
                  <v:path arrowok="t"/>
                </v:shape>
                <w10:wrap anchorx="page" anchory="page"/>
              </v:group>
            </w:pict>
          </mc:Fallback>
        </mc:AlternateContent>
      </w:r>
    </w:p>
    <w:p w14:paraId="45789610" w14:textId="77777777" w:rsidR="00BB77C0" w:rsidRDefault="00BB77C0">
      <w:pPr>
        <w:pStyle w:val="BodyText"/>
        <w:spacing w:before="257"/>
        <w:rPr>
          <w:sz w:val="24"/>
        </w:rPr>
      </w:pPr>
    </w:p>
    <w:p w14:paraId="3E21CB37" w14:textId="77777777" w:rsidR="00BB77C0" w:rsidRDefault="00370BAA">
      <w:pPr>
        <w:pStyle w:val="Heading5"/>
        <w:numPr>
          <w:ilvl w:val="0"/>
          <w:numId w:val="64"/>
        </w:numPr>
        <w:tabs>
          <w:tab w:val="left" w:pos="1017"/>
        </w:tabs>
        <w:spacing w:before="1"/>
        <w:ind w:left="1017" w:hanging="532"/>
        <w:rPr>
          <w:color w:val="211F1F"/>
        </w:rPr>
      </w:pPr>
      <w:bookmarkStart w:id="139" w:name="4._TENDERER’S_QUALIFICATION_WITHOUT_PRE-"/>
      <w:bookmarkEnd w:id="139"/>
      <w:r>
        <w:rPr>
          <w:color w:val="211F1F"/>
        </w:rPr>
        <w:t>TENDERER’S</w:t>
      </w:r>
      <w:r>
        <w:rPr>
          <w:color w:val="211F1F"/>
          <w:spacing w:val="22"/>
        </w:rPr>
        <w:t xml:space="preserve"> </w:t>
      </w:r>
      <w:r>
        <w:rPr>
          <w:color w:val="211F1F"/>
        </w:rPr>
        <w:t>QUALIFICATION</w:t>
      </w:r>
      <w:r>
        <w:rPr>
          <w:color w:val="211F1F"/>
          <w:spacing w:val="-11"/>
        </w:rPr>
        <w:t xml:space="preserve"> </w:t>
      </w:r>
      <w:r>
        <w:rPr>
          <w:color w:val="211F1F"/>
        </w:rPr>
        <w:t>WITHOUT</w:t>
      </w:r>
      <w:r>
        <w:rPr>
          <w:color w:val="211F1F"/>
          <w:spacing w:val="22"/>
        </w:rPr>
        <w:t xml:space="preserve"> </w:t>
      </w:r>
      <w:r>
        <w:rPr>
          <w:color w:val="211F1F"/>
        </w:rPr>
        <w:t>PRE-</w:t>
      </w:r>
      <w:r>
        <w:rPr>
          <w:color w:val="211F1F"/>
          <w:spacing w:val="-2"/>
        </w:rPr>
        <w:t>QUALIFICATION</w:t>
      </w:r>
    </w:p>
    <w:p w14:paraId="317DC9EF" w14:textId="77777777" w:rsidR="00BB77C0" w:rsidRDefault="00370BAA">
      <w:pPr>
        <w:pStyle w:val="BodyText"/>
        <w:spacing w:before="233" w:line="232" w:lineRule="auto"/>
        <w:ind w:left="485" w:right="722"/>
        <w:jc w:val="both"/>
      </w:pPr>
      <w:r>
        <w:rPr>
          <w:color w:val="211F1F"/>
        </w:rPr>
        <w:t xml:space="preserve">To establish its qualifications to perform the contract in accordance with Section III, Evaluation and Qualification Criteria the Tenderer shall provide the information requested in the corresponding Information Sheets included </w:t>
      </w:r>
      <w:r>
        <w:rPr>
          <w:color w:val="211F1F"/>
          <w:spacing w:val="-2"/>
        </w:rPr>
        <w:t>hereunder.</w:t>
      </w:r>
    </w:p>
    <w:p w14:paraId="41B89E35" w14:textId="77777777" w:rsidR="00BB77C0" w:rsidRDefault="00BB77C0">
      <w:pPr>
        <w:pStyle w:val="BodyText"/>
      </w:pPr>
    </w:p>
    <w:p w14:paraId="629A1C90" w14:textId="77777777" w:rsidR="00BB77C0" w:rsidRDefault="00370BAA">
      <w:pPr>
        <w:pStyle w:val="Heading5"/>
        <w:numPr>
          <w:ilvl w:val="1"/>
          <w:numId w:val="64"/>
        </w:numPr>
        <w:tabs>
          <w:tab w:val="left" w:pos="844"/>
        </w:tabs>
        <w:ind w:left="844" w:hanging="359"/>
      </w:pPr>
      <w:bookmarkStart w:id="140" w:name="4.1_FORM_ELI_-1.1"/>
      <w:bookmarkEnd w:id="140"/>
      <w:r>
        <w:t>FORM</w:t>
      </w:r>
      <w:r>
        <w:rPr>
          <w:spacing w:val="-2"/>
        </w:rPr>
        <w:t xml:space="preserve"> </w:t>
      </w:r>
      <w:r>
        <w:t>ELI</w:t>
      </w:r>
      <w:r>
        <w:rPr>
          <w:spacing w:val="-2"/>
        </w:rPr>
        <w:t xml:space="preserve"> </w:t>
      </w:r>
      <w:r>
        <w:t>-</w:t>
      </w:r>
      <w:r>
        <w:rPr>
          <w:spacing w:val="-5"/>
        </w:rPr>
        <w:t>1.1</w:t>
      </w:r>
    </w:p>
    <w:p w14:paraId="4D469AD3" w14:textId="77777777" w:rsidR="00BB77C0" w:rsidRDefault="00BB77C0">
      <w:pPr>
        <w:pStyle w:val="BodyText"/>
        <w:rPr>
          <w:b/>
          <w:sz w:val="24"/>
        </w:rPr>
      </w:pPr>
    </w:p>
    <w:p w14:paraId="28AE7AAD" w14:textId="77777777" w:rsidR="00BB77C0" w:rsidRDefault="00370BAA">
      <w:pPr>
        <w:pStyle w:val="Heading6"/>
        <w:ind w:left="360" w:firstLine="0"/>
      </w:pPr>
      <w:bookmarkStart w:id="141" w:name="Tenderer_Information_Form"/>
      <w:bookmarkEnd w:id="141"/>
      <w:r>
        <w:t>Tenderer</w:t>
      </w:r>
      <w:r>
        <w:rPr>
          <w:spacing w:val="-13"/>
        </w:rPr>
        <w:t xml:space="preserve"> </w:t>
      </w:r>
      <w:r>
        <w:t>Information</w:t>
      </w:r>
      <w:r>
        <w:rPr>
          <w:spacing w:val="-5"/>
        </w:rPr>
        <w:t xml:space="preserve"> </w:t>
      </w:r>
      <w:r>
        <w:rPr>
          <w:spacing w:val="-4"/>
        </w:rPr>
        <w:t>Form</w:t>
      </w:r>
    </w:p>
    <w:p w14:paraId="48A51983" w14:textId="77777777" w:rsidR="00BB77C0" w:rsidRDefault="00370BAA">
      <w:pPr>
        <w:pStyle w:val="BodyText"/>
        <w:tabs>
          <w:tab w:val="left" w:pos="2801"/>
        </w:tabs>
        <w:spacing w:before="2"/>
        <w:ind w:left="360"/>
      </w:pPr>
      <w:r>
        <w:t xml:space="preserve">Date: </w:t>
      </w:r>
      <w:r>
        <w:rPr>
          <w:u w:val="single"/>
        </w:rPr>
        <w:tab/>
      </w:r>
    </w:p>
    <w:p w14:paraId="00D08831" w14:textId="77777777" w:rsidR="00BB77C0" w:rsidRDefault="00370BAA">
      <w:pPr>
        <w:pStyle w:val="BodyText"/>
        <w:tabs>
          <w:tab w:val="left" w:pos="3896"/>
        </w:tabs>
        <w:spacing w:before="246"/>
        <w:ind w:left="360"/>
      </w:pPr>
      <w:r>
        <w:t>ITT</w:t>
      </w:r>
      <w:r>
        <w:rPr>
          <w:spacing w:val="-5"/>
        </w:rPr>
        <w:t xml:space="preserve"> </w:t>
      </w:r>
      <w:r>
        <w:t>No.</w:t>
      </w:r>
      <w:r>
        <w:rPr>
          <w:spacing w:val="-6"/>
        </w:rPr>
        <w:t xml:space="preserve"> </w:t>
      </w:r>
      <w:r>
        <w:t>and</w:t>
      </w:r>
      <w:r>
        <w:rPr>
          <w:spacing w:val="-8"/>
        </w:rPr>
        <w:t xml:space="preserve"> </w:t>
      </w:r>
      <w:r>
        <w:t>title:</w:t>
      </w:r>
      <w:r>
        <w:rPr>
          <w:spacing w:val="-7"/>
        </w:rPr>
        <w:t xml:space="preserve"> </w:t>
      </w:r>
      <w:r>
        <w:rPr>
          <w:u w:val="single"/>
        </w:rPr>
        <w:tab/>
      </w:r>
    </w:p>
    <w:p w14:paraId="5B056BDB" w14:textId="77777777" w:rsidR="00BB77C0" w:rsidRDefault="00BB77C0">
      <w:pPr>
        <w:pStyle w:val="BodyText"/>
        <w:spacing w:before="29" w:after="1"/>
        <w:rPr>
          <w:sz w:val="20"/>
        </w:rPr>
      </w:pPr>
    </w:p>
    <w:tbl>
      <w:tblPr>
        <w:tblW w:w="0" w:type="auto"/>
        <w:tblInd w:w="36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9282"/>
      </w:tblGrid>
      <w:tr w:rsidR="00BB77C0" w14:paraId="12F592E9" w14:textId="77777777">
        <w:trPr>
          <w:trHeight w:val="254"/>
        </w:trPr>
        <w:tc>
          <w:tcPr>
            <w:tcW w:w="9282" w:type="dxa"/>
          </w:tcPr>
          <w:p w14:paraId="7A07A944" w14:textId="77777777" w:rsidR="00BB77C0" w:rsidRDefault="00370BAA">
            <w:pPr>
              <w:pStyle w:val="TableParagraph"/>
              <w:spacing w:line="235" w:lineRule="exact"/>
              <w:ind w:left="7"/>
            </w:pPr>
            <w:r>
              <w:rPr>
                <w:spacing w:val="-2"/>
              </w:rPr>
              <w:t>Tenderer's</w:t>
            </w:r>
            <w:r>
              <w:rPr>
                <w:spacing w:val="-10"/>
              </w:rPr>
              <w:t xml:space="preserve"> </w:t>
            </w:r>
            <w:r>
              <w:rPr>
                <w:spacing w:val="-4"/>
              </w:rPr>
              <w:t>name</w:t>
            </w:r>
          </w:p>
        </w:tc>
      </w:tr>
      <w:tr w:rsidR="00BB77C0" w14:paraId="2D6DDC47" w14:textId="77777777">
        <w:trPr>
          <w:trHeight w:val="254"/>
        </w:trPr>
        <w:tc>
          <w:tcPr>
            <w:tcW w:w="9282" w:type="dxa"/>
          </w:tcPr>
          <w:p w14:paraId="7211BC33" w14:textId="77777777" w:rsidR="00BB77C0" w:rsidRDefault="00370BAA">
            <w:pPr>
              <w:pStyle w:val="TableParagraph"/>
              <w:spacing w:line="234" w:lineRule="exact"/>
              <w:ind w:left="7"/>
            </w:pPr>
            <w:r>
              <w:rPr>
                <w:spacing w:val="-4"/>
              </w:rPr>
              <w:t>In</w:t>
            </w:r>
            <w:r>
              <w:rPr>
                <w:spacing w:val="-12"/>
              </w:rPr>
              <w:t xml:space="preserve"> </w:t>
            </w:r>
            <w:r>
              <w:rPr>
                <w:spacing w:val="-4"/>
              </w:rPr>
              <w:t>case</w:t>
            </w:r>
            <w:r>
              <w:rPr>
                <w:spacing w:val="-8"/>
              </w:rPr>
              <w:t xml:space="preserve"> </w:t>
            </w:r>
            <w:r>
              <w:rPr>
                <w:spacing w:val="-4"/>
              </w:rPr>
              <w:t>of</w:t>
            </w:r>
            <w:r>
              <w:rPr>
                <w:spacing w:val="-8"/>
              </w:rPr>
              <w:t xml:space="preserve"> </w:t>
            </w:r>
            <w:r>
              <w:rPr>
                <w:spacing w:val="-4"/>
              </w:rPr>
              <w:t>Joint</w:t>
            </w:r>
            <w:r>
              <w:t xml:space="preserve"> </w:t>
            </w:r>
            <w:r>
              <w:rPr>
                <w:spacing w:val="-4"/>
              </w:rPr>
              <w:t>Venture</w:t>
            </w:r>
            <w:r>
              <w:rPr>
                <w:spacing w:val="-13"/>
              </w:rPr>
              <w:t xml:space="preserve"> </w:t>
            </w:r>
            <w:r>
              <w:rPr>
                <w:spacing w:val="-4"/>
              </w:rPr>
              <w:t>(JV), name</w:t>
            </w:r>
            <w:r>
              <w:rPr>
                <w:spacing w:val="-17"/>
              </w:rPr>
              <w:t xml:space="preserve"> </w:t>
            </w:r>
            <w:r>
              <w:rPr>
                <w:spacing w:val="-4"/>
              </w:rPr>
              <w:t>of</w:t>
            </w:r>
            <w:r>
              <w:rPr>
                <w:spacing w:val="-18"/>
              </w:rPr>
              <w:t xml:space="preserve"> </w:t>
            </w:r>
            <w:r>
              <w:rPr>
                <w:spacing w:val="-4"/>
              </w:rPr>
              <w:t>each</w:t>
            </w:r>
            <w:r>
              <w:rPr>
                <w:spacing w:val="-20"/>
              </w:rPr>
              <w:t xml:space="preserve"> </w:t>
            </w:r>
            <w:r>
              <w:rPr>
                <w:spacing w:val="-4"/>
              </w:rPr>
              <w:t>member:</w:t>
            </w:r>
          </w:p>
        </w:tc>
      </w:tr>
      <w:tr w:rsidR="00BB77C0" w14:paraId="23B153AE" w14:textId="77777777">
        <w:trPr>
          <w:trHeight w:val="499"/>
        </w:trPr>
        <w:tc>
          <w:tcPr>
            <w:tcW w:w="9282" w:type="dxa"/>
          </w:tcPr>
          <w:p w14:paraId="6AA84B0F" w14:textId="77777777" w:rsidR="00BB77C0" w:rsidRDefault="00370BAA">
            <w:pPr>
              <w:pStyle w:val="TableParagraph"/>
              <w:spacing w:line="243" w:lineRule="exact"/>
              <w:ind w:left="7"/>
            </w:pPr>
            <w:r>
              <w:rPr>
                <w:spacing w:val="-8"/>
              </w:rPr>
              <w:t>Tenderer's</w:t>
            </w:r>
            <w:r>
              <w:rPr>
                <w:spacing w:val="-21"/>
              </w:rPr>
              <w:t xml:space="preserve"> </w:t>
            </w:r>
            <w:r>
              <w:rPr>
                <w:spacing w:val="-8"/>
              </w:rPr>
              <w:t>actual</w:t>
            </w:r>
            <w:r>
              <w:rPr>
                <w:spacing w:val="-17"/>
              </w:rPr>
              <w:t xml:space="preserve"> </w:t>
            </w:r>
            <w:r>
              <w:rPr>
                <w:spacing w:val="-8"/>
              </w:rPr>
              <w:t>or</w:t>
            </w:r>
            <w:r>
              <w:rPr>
                <w:spacing w:val="-16"/>
              </w:rPr>
              <w:t xml:space="preserve"> </w:t>
            </w:r>
            <w:r>
              <w:rPr>
                <w:spacing w:val="-8"/>
              </w:rPr>
              <w:t>intended</w:t>
            </w:r>
            <w:r>
              <w:rPr>
                <w:spacing w:val="-19"/>
              </w:rPr>
              <w:t xml:space="preserve"> </w:t>
            </w:r>
            <w:r>
              <w:rPr>
                <w:spacing w:val="-8"/>
              </w:rPr>
              <w:t>country</w:t>
            </w:r>
            <w:r>
              <w:rPr>
                <w:spacing w:val="-19"/>
              </w:rPr>
              <w:t xml:space="preserve"> </w:t>
            </w:r>
            <w:r>
              <w:rPr>
                <w:spacing w:val="-8"/>
              </w:rPr>
              <w:t>of</w:t>
            </w:r>
            <w:r>
              <w:rPr>
                <w:spacing w:val="-20"/>
              </w:rPr>
              <w:t xml:space="preserve"> </w:t>
            </w:r>
            <w:r>
              <w:rPr>
                <w:spacing w:val="-8"/>
              </w:rPr>
              <w:t>registration:</w:t>
            </w:r>
          </w:p>
          <w:p w14:paraId="5554724A" w14:textId="77777777" w:rsidR="00BB77C0" w:rsidRDefault="00370BAA">
            <w:pPr>
              <w:pStyle w:val="TableParagraph"/>
              <w:spacing w:line="236" w:lineRule="exact"/>
              <w:ind w:left="7"/>
              <w:rPr>
                <w:i/>
              </w:rPr>
            </w:pPr>
            <w:r>
              <w:rPr>
                <w:i/>
              </w:rPr>
              <w:t>[indicate</w:t>
            </w:r>
            <w:r>
              <w:rPr>
                <w:i/>
                <w:spacing w:val="33"/>
              </w:rPr>
              <w:t xml:space="preserve"> </w:t>
            </w:r>
            <w:r>
              <w:rPr>
                <w:i/>
              </w:rPr>
              <w:t>country</w:t>
            </w:r>
            <w:r>
              <w:rPr>
                <w:i/>
                <w:spacing w:val="34"/>
              </w:rPr>
              <w:t xml:space="preserve"> </w:t>
            </w:r>
            <w:r>
              <w:rPr>
                <w:i/>
              </w:rPr>
              <w:t>of</w:t>
            </w:r>
            <w:r>
              <w:rPr>
                <w:i/>
                <w:spacing w:val="36"/>
              </w:rPr>
              <w:t xml:space="preserve"> </w:t>
            </w:r>
            <w:r>
              <w:rPr>
                <w:i/>
                <w:spacing w:val="-2"/>
              </w:rPr>
              <w:t>Constitution]</w:t>
            </w:r>
          </w:p>
        </w:tc>
      </w:tr>
      <w:tr w:rsidR="00BB77C0" w14:paraId="1B3B7B68" w14:textId="77777777">
        <w:trPr>
          <w:trHeight w:val="508"/>
        </w:trPr>
        <w:tc>
          <w:tcPr>
            <w:tcW w:w="9282" w:type="dxa"/>
          </w:tcPr>
          <w:p w14:paraId="64E40909" w14:textId="77777777" w:rsidR="00BB77C0" w:rsidRDefault="00370BAA">
            <w:pPr>
              <w:pStyle w:val="TableParagraph"/>
              <w:spacing w:line="249" w:lineRule="exact"/>
              <w:ind w:left="7"/>
            </w:pPr>
            <w:r>
              <w:rPr>
                <w:spacing w:val="-8"/>
              </w:rPr>
              <w:t>Tenderer's</w:t>
            </w:r>
            <w:r>
              <w:rPr>
                <w:spacing w:val="-22"/>
              </w:rPr>
              <w:t xml:space="preserve"> </w:t>
            </w:r>
            <w:r>
              <w:rPr>
                <w:spacing w:val="-8"/>
              </w:rPr>
              <w:t>actual</w:t>
            </w:r>
            <w:r>
              <w:rPr>
                <w:spacing w:val="-12"/>
              </w:rPr>
              <w:t xml:space="preserve"> </w:t>
            </w:r>
            <w:r>
              <w:rPr>
                <w:spacing w:val="-8"/>
              </w:rPr>
              <w:t>or</w:t>
            </w:r>
            <w:r>
              <w:rPr>
                <w:spacing w:val="-17"/>
              </w:rPr>
              <w:t xml:space="preserve"> </w:t>
            </w:r>
            <w:r>
              <w:rPr>
                <w:spacing w:val="-8"/>
              </w:rPr>
              <w:t>intended</w:t>
            </w:r>
            <w:r>
              <w:rPr>
                <w:spacing w:val="-21"/>
              </w:rPr>
              <w:t xml:space="preserve"> </w:t>
            </w:r>
            <w:r>
              <w:rPr>
                <w:spacing w:val="-8"/>
              </w:rPr>
              <w:t>year</w:t>
            </w:r>
            <w:r>
              <w:rPr>
                <w:spacing w:val="-11"/>
              </w:rPr>
              <w:t xml:space="preserve"> </w:t>
            </w:r>
            <w:r>
              <w:rPr>
                <w:spacing w:val="-8"/>
              </w:rPr>
              <w:t>of</w:t>
            </w:r>
            <w:r>
              <w:rPr>
                <w:spacing w:val="-21"/>
              </w:rPr>
              <w:t xml:space="preserve"> </w:t>
            </w:r>
            <w:r>
              <w:rPr>
                <w:spacing w:val="-8"/>
              </w:rPr>
              <w:t>incorporation:</w:t>
            </w:r>
          </w:p>
        </w:tc>
      </w:tr>
      <w:tr w:rsidR="00BB77C0" w14:paraId="3C30BA0C" w14:textId="77777777">
        <w:trPr>
          <w:trHeight w:val="504"/>
        </w:trPr>
        <w:tc>
          <w:tcPr>
            <w:tcW w:w="9282" w:type="dxa"/>
          </w:tcPr>
          <w:p w14:paraId="53FA1627" w14:textId="77777777" w:rsidR="00BB77C0" w:rsidRDefault="00370BAA">
            <w:pPr>
              <w:pStyle w:val="TableParagraph"/>
              <w:spacing w:line="250" w:lineRule="exact"/>
              <w:ind w:left="7"/>
            </w:pPr>
            <w:r>
              <w:rPr>
                <w:spacing w:val="-2"/>
              </w:rPr>
              <w:t>Tenderer's</w:t>
            </w:r>
            <w:r>
              <w:rPr>
                <w:spacing w:val="-10"/>
              </w:rPr>
              <w:t xml:space="preserve"> </w:t>
            </w:r>
            <w:r>
              <w:rPr>
                <w:spacing w:val="-2"/>
              </w:rPr>
              <w:t>legal</w:t>
            </w:r>
            <w:r>
              <w:rPr>
                <w:spacing w:val="-8"/>
              </w:rPr>
              <w:t xml:space="preserve"> </w:t>
            </w:r>
            <w:r>
              <w:rPr>
                <w:spacing w:val="-2"/>
              </w:rPr>
              <w:t>address</w:t>
            </w:r>
            <w:r>
              <w:rPr>
                <w:spacing w:val="-9"/>
              </w:rPr>
              <w:t xml:space="preserve"> </w:t>
            </w:r>
            <w:r>
              <w:rPr>
                <w:spacing w:val="-2"/>
              </w:rPr>
              <w:t>[in</w:t>
            </w:r>
            <w:r>
              <w:rPr>
                <w:spacing w:val="-12"/>
              </w:rPr>
              <w:t xml:space="preserve"> </w:t>
            </w:r>
            <w:r>
              <w:rPr>
                <w:spacing w:val="-2"/>
              </w:rPr>
              <w:t>country</w:t>
            </w:r>
            <w:r>
              <w:rPr>
                <w:spacing w:val="-9"/>
              </w:rPr>
              <w:t xml:space="preserve"> </w:t>
            </w:r>
            <w:r>
              <w:rPr>
                <w:spacing w:val="-2"/>
              </w:rPr>
              <w:t>of</w:t>
            </w:r>
            <w:r>
              <w:rPr>
                <w:spacing w:val="-10"/>
              </w:rPr>
              <w:t xml:space="preserve"> </w:t>
            </w:r>
            <w:r>
              <w:rPr>
                <w:spacing w:val="-2"/>
              </w:rPr>
              <w:t>registration]:</w:t>
            </w:r>
          </w:p>
        </w:tc>
      </w:tr>
      <w:tr w:rsidR="00BB77C0" w14:paraId="1E59A5CC" w14:textId="77777777">
        <w:trPr>
          <w:trHeight w:val="1262"/>
        </w:trPr>
        <w:tc>
          <w:tcPr>
            <w:tcW w:w="9282" w:type="dxa"/>
            <w:tcBorders>
              <w:bottom w:val="single" w:sz="6" w:space="0" w:color="000000"/>
            </w:tcBorders>
          </w:tcPr>
          <w:p w14:paraId="345E3D12" w14:textId="77777777" w:rsidR="00BB77C0" w:rsidRDefault="00370BAA">
            <w:pPr>
              <w:pStyle w:val="TableParagraph"/>
              <w:tabs>
                <w:tab w:val="left" w:pos="4681"/>
                <w:tab w:val="left" w:pos="4758"/>
              </w:tabs>
              <w:spacing w:line="235" w:lineRule="auto"/>
              <w:ind w:left="7" w:right="4478"/>
            </w:pPr>
            <w:r>
              <w:t xml:space="preserve">Tenderer's authorized representative information Name: </w:t>
            </w:r>
            <w:r>
              <w:rPr>
                <w:u w:val="single"/>
              </w:rPr>
              <w:tab/>
            </w:r>
            <w:r>
              <w:t xml:space="preserve"> Address: </w:t>
            </w:r>
            <w:r>
              <w:rPr>
                <w:u w:val="single"/>
              </w:rPr>
              <w:tab/>
            </w:r>
            <w:r>
              <w:rPr>
                <w:u w:val="single"/>
              </w:rPr>
              <w:tab/>
            </w:r>
            <w:r>
              <w:t xml:space="preserve"> Telephone/Fax numbers: </w:t>
            </w:r>
            <w:r>
              <w:rPr>
                <w:u w:val="single"/>
              </w:rPr>
              <w:tab/>
            </w:r>
            <w:r>
              <w:rPr>
                <w:u w:val="single"/>
              </w:rPr>
              <w:tab/>
            </w:r>
            <w:r>
              <w:rPr>
                <w:spacing w:val="-35"/>
                <w:u w:val="single"/>
              </w:rPr>
              <w:t xml:space="preserve"> </w:t>
            </w:r>
            <w:r>
              <w:t xml:space="preserve"> E-mail</w:t>
            </w:r>
            <w:r>
              <w:rPr>
                <w:spacing w:val="-21"/>
              </w:rPr>
              <w:t xml:space="preserve"> </w:t>
            </w:r>
            <w:r>
              <w:t>address:</w:t>
            </w:r>
          </w:p>
        </w:tc>
      </w:tr>
      <w:tr w:rsidR="00BB77C0" w14:paraId="09071A50" w14:textId="77777777">
        <w:trPr>
          <w:trHeight w:val="2827"/>
        </w:trPr>
        <w:tc>
          <w:tcPr>
            <w:tcW w:w="9282" w:type="dxa"/>
            <w:tcBorders>
              <w:top w:val="single" w:sz="6" w:space="0" w:color="000000"/>
            </w:tcBorders>
          </w:tcPr>
          <w:p w14:paraId="703A36CF" w14:textId="77777777" w:rsidR="00BB77C0" w:rsidRDefault="00370BAA">
            <w:pPr>
              <w:pStyle w:val="TableParagraph"/>
              <w:numPr>
                <w:ilvl w:val="0"/>
                <w:numId w:val="62"/>
              </w:numPr>
              <w:tabs>
                <w:tab w:val="left" w:pos="217"/>
              </w:tabs>
              <w:spacing w:line="244" w:lineRule="exact"/>
              <w:ind w:left="217" w:hanging="210"/>
            </w:pPr>
            <w:r>
              <w:rPr>
                <w:spacing w:val="-2"/>
              </w:rPr>
              <w:t>Attached</w:t>
            </w:r>
            <w:r>
              <w:rPr>
                <w:spacing w:val="-12"/>
              </w:rPr>
              <w:t xml:space="preserve"> </w:t>
            </w:r>
            <w:r>
              <w:rPr>
                <w:spacing w:val="-2"/>
              </w:rPr>
              <w:t>are</w:t>
            </w:r>
            <w:r>
              <w:rPr>
                <w:spacing w:val="-12"/>
              </w:rPr>
              <w:t xml:space="preserve"> </w:t>
            </w:r>
            <w:r>
              <w:rPr>
                <w:spacing w:val="-2"/>
              </w:rPr>
              <w:t>copies</w:t>
            </w:r>
            <w:r>
              <w:rPr>
                <w:spacing w:val="-11"/>
              </w:rPr>
              <w:t xml:space="preserve"> </w:t>
            </w:r>
            <w:r>
              <w:rPr>
                <w:spacing w:val="-2"/>
              </w:rPr>
              <w:t>of</w:t>
            </w:r>
            <w:r>
              <w:rPr>
                <w:spacing w:val="-7"/>
              </w:rPr>
              <w:t xml:space="preserve"> </w:t>
            </w:r>
            <w:r>
              <w:rPr>
                <w:spacing w:val="-2"/>
              </w:rPr>
              <w:t>original</w:t>
            </w:r>
            <w:r>
              <w:rPr>
                <w:spacing w:val="-10"/>
              </w:rPr>
              <w:t xml:space="preserve"> </w:t>
            </w:r>
            <w:r>
              <w:rPr>
                <w:spacing w:val="-2"/>
              </w:rPr>
              <w:t>documents</w:t>
            </w:r>
            <w:r>
              <w:rPr>
                <w:spacing w:val="-5"/>
              </w:rPr>
              <w:t xml:space="preserve"> of</w:t>
            </w:r>
          </w:p>
          <w:p w14:paraId="045589C8" w14:textId="77777777" w:rsidR="00BB77C0" w:rsidRDefault="00370BAA">
            <w:pPr>
              <w:pStyle w:val="TableParagraph"/>
              <w:numPr>
                <w:ilvl w:val="1"/>
                <w:numId w:val="62"/>
              </w:numPr>
              <w:tabs>
                <w:tab w:val="left" w:pos="727"/>
              </w:tabs>
              <w:spacing w:before="3" w:line="237" w:lineRule="auto"/>
              <w:ind w:right="955" w:firstLine="0"/>
            </w:pPr>
            <w:r>
              <w:rPr>
                <w:spacing w:val="-2"/>
              </w:rPr>
              <w:t>Articles</w:t>
            </w:r>
            <w:r>
              <w:rPr>
                <w:spacing w:val="-12"/>
              </w:rPr>
              <w:t xml:space="preserve"> </w:t>
            </w:r>
            <w:r>
              <w:rPr>
                <w:spacing w:val="-2"/>
              </w:rPr>
              <w:t>of</w:t>
            </w:r>
            <w:r>
              <w:rPr>
                <w:spacing w:val="-12"/>
              </w:rPr>
              <w:t xml:space="preserve"> </w:t>
            </w:r>
            <w:r>
              <w:rPr>
                <w:spacing w:val="-2"/>
              </w:rPr>
              <w:t>Incorporation</w:t>
            </w:r>
            <w:r>
              <w:rPr>
                <w:spacing w:val="-12"/>
              </w:rPr>
              <w:t xml:space="preserve"> </w:t>
            </w:r>
            <w:r>
              <w:rPr>
                <w:spacing w:val="-2"/>
              </w:rPr>
              <w:t>(or</w:t>
            </w:r>
            <w:r>
              <w:rPr>
                <w:spacing w:val="-11"/>
              </w:rPr>
              <w:t xml:space="preserve"> </w:t>
            </w:r>
            <w:r>
              <w:rPr>
                <w:spacing w:val="-2"/>
              </w:rPr>
              <w:t>equivalent</w:t>
            </w:r>
            <w:r>
              <w:rPr>
                <w:spacing w:val="-11"/>
              </w:rPr>
              <w:t xml:space="preserve"> </w:t>
            </w:r>
            <w:r>
              <w:rPr>
                <w:spacing w:val="-2"/>
              </w:rPr>
              <w:t>documents</w:t>
            </w:r>
            <w:r>
              <w:rPr>
                <w:spacing w:val="-10"/>
              </w:rPr>
              <w:t xml:space="preserve"> </w:t>
            </w:r>
            <w:r>
              <w:rPr>
                <w:spacing w:val="-2"/>
              </w:rPr>
              <w:t>of</w:t>
            </w:r>
            <w:r>
              <w:rPr>
                <w:spacing w:val="-9"/>
              </w:rPr>
              <w:t xml:space="preserve"> </w:t>
            </w:r>
            <w:r>
              <w:rPr>
                <w:spacing w:val="-2"/>
              </w:rPr>
              <w:t>constitution</w:t>
            </w:r>
            <w:r>
              <w:rPr>
                <w:spacing w:val="-12"/>
              </w:rPr>
              <w:t xml:space="preserve"> </w:t>
            </w:r>
            <w:r>
              <w:rPr>
                <w:spacing w:val="-2"/>
              </w:rPr>
              <w:t>or</w:t>
            </w:r>
            <w:r>
              <w:rPr>
                <w:spacing w:val="-12"/>
              </w:rPr>
              <w:t xml:space="preserve"> </w:t>
            </w:r>
            <w:r>
              <w:rPr>
                <w:spacing w:val="-2"/>
              </w:rPr>
              <w:t>association),</w:t>
            </w:r>
            <w:r>
              <w:rPr>
                <w:spacing w:val="-12"/>
              </w:rPr>
              <w:t xml:space="preserve"> </w:t>
            </w:r>
            <w:r>
              <w:rPr>
                <w:spacing w:val="-2"/>
              </w:rPr>
              <w:t xml:space="preserve">and/or </w:t>
            </w:r>
            <w:r>
              <w:rPr>
                <w:spacing w:val="-4"/>
              </w:rPr>
              <w:t>documents</w:t>
            </w:r>
            <w:r>
              <w:t xml:space="preserve"> </w:t>
            </w:r>
            <w:r>
              <w:rPr>
                <w:spacing w:val="-4"/>
              </w:rPr>
              <w:t>of registration of the</w:t>
            </w:r>
            <w:r>
              <w:rPr>
                <w:spacing w:val="-20"/>
              </w:rPr>
              <w:t xml:space="preserve"> </w:t>
            </w:r>
            <w:r>
              <w:rPr>
                <w:spacing w:val="-4"/>
              </w:rPr>
              <w:t>legal</w:t>
            </w:r>
            <w:r>
              <w:rPr>
                <w:spacing w:val="-16"/>
              </w:rPr>
              <w:t xml:space="preserve"> </w:t>
            </w:r>
            <w:r>
              <w:rPr>
                <w:spacing w:val="-4"/>
              </w:rPr>
              <w:t>entity</w:t>
            </w:r>
            <w:r>
              <w:rPr>
                <w:spacing w:val="-16"/>
              </w:rPr>
              <w:t xml:space="preserve"> </w:t>
            </w:r>
            <w:r>
              <w:rPr>
                <w:spacing w:val="-4"/>
              </w:rPr>
              <w:t>named</w:t>
            </w:r>
            <w:r>
              <w:rPr>
                <w:spacing w:val="-17"/>
              </w:rPr>
              <w:t xml:space="preserve"> </w:t>
            </w:r>
            <w:r>
              <w:rPr>
                <w:spacing w:val="-4"/>
              </w:rPr>
              <w:t>above,</w:t>
            </w:r>
            <w:r>
              <w:rPr>
                <w:spacing w:val="-8"/>
              </w:rPr>
              <w:t xml:space="preserve"> </w:t>
            </w:r>
            <w:r>
              <w:rPr>
                <w:spacing w:val="-4"/>
              </w:rPr>
              <w:t>in</w:t>
            </w:r>
            <w:r>
              <w:rPr>
                <w:spacing w:val="-17"/>
              </w:rPr>
              <w:t xml:space="preserve"> </w:t>
            </w:r>
            <w:r>
              <w:rPr>
                <w:spacing w:val="-4"/>
              </w:rPr>
              <w:t>accordance</w:t>
            </w:r>
            <w:r>
              <w:rPr>
                <w:spacing w:val="-14"/>
              </w:rPr>
              <w:t xml:space="preserve"> </w:t>
            </w:r>
            <w:r>
              <w:rPr>
                <w:spacing w:val="-4"/>
              </w:rPr>
              <w:t>with</w:t>
            </w:r>
            <w:r>
              <w:rPr>
                <w:spacing w:val="-17"/>
              </w:rPr>
              <w:t xml:space="preserve"> </w:t>
            </w:r>
            <w:r>
              <w:rPr>
                <w:spacing w:val="-4"/>
              </w:rPr>
              <w:t>ITT</w:t>
            </w:r>
            <w:r>
              <w:rPr>
                <w:spacing w:val="-13"/>
              </w:rPr>
              <w:t xml:space="preserve"> </w:t>
            </w:r>
            <w:r>
              <w:rPr>
                <w:spacing w:val="-4"/>
              </w:rPr>
              <w:t>3.6</w:t>
            </w:r>
          </w:p>
          <w:p w14:paraId="60936464" w14:textId="77777777" w:rsidR="00BB77C0" w:rsidRDefault="00370BAA">
            <w:pPr>
              <w:pStyle w:val="TableParagraph"/>
              <w:numPr>
                <w:ilvl w:val="1"/>
                <w:numId w:val="62"/>
              </w:numPr>
              <w:tabs>
                <w:tab w:val="left" w:pos="727"/>
              </w:tabs>
              <w:spacing w:before="1"/>
              <w:ind w:left="727"/>
            </w:pPr>
            <w:r>
              <w:t>In</w:t>
            </w:r>
            <w:r>
              <w:rPr>
                <w:spacing w:val="-17"/>
              </w:rPr>
              <w:t xml:space="preserve"> </w:t>
            </w:r>
            <w:r>
              <w:t>case</w:t>
            </w:r>
            <w:r>
              <w:rPr>
                <w:spacing w:val="-18"/>
              </w:rPr>
              <w:t xml:space="preserve"> </w:t>
            </w:r>
            <w:r>
              <w:t>of</w:t>
            </w:r>
            <w:r>
              <w:rPr>
                <w:spacing w:val="-14"/>
              </w:rPr>
              <w:t xml:space="preserve"> </w:t>
            </w:r>
            <w:r>
              <w:t>JV,</w:t>
            </w:r>
            <w:r>
              <w:rPr>
                <w:spacing w:val="-14"/>
              </w:rPr>
              <w:t xml:space="preserve"> </w:t>
            </w:r>
            <w:r>
              <w:t>letter</w:t>
            </w:r>
            <w:r>
              <w:rPr>
                <w:spacing w:val="-14"/>
              </w:rPr>
              <w:t xml:space="preserve"> </w:t>
            </w:r>
            <w:r>
              <w:t>of</w:t>
            </w:r>
            <w:r>
              <w:rPr>
                <w:spacing w:val="-14"/>
              </w:rPr>
              <w:t xml:space="preserve"> </w:t>
            </w:r>
            <w:r>
              <w:t>intent</w:t>
            </w:r>
            <w:r>
              <w:rPr>
                <w:spacing w:val="-13"/>
              </w:rPr>
              <w:t xml:space="preserve"> </w:t>
            </w:r>
            <w:r>
              <w:t>to</w:t>
            </w:r>
            <w:r>
              <w:rPr>
                <w:spacing w:val="-17"/>
              </w:rPr>
              <w:t xml:space="preserve"> </w:t>
            </w:r>
            <w:r>
              <w:t>form</w:t>
            </w:r>
            <w:r>
              <w:rPr>
                <w:spacing w:val="-20"/>
              </w:rPr>
              <w:t xml:space="preserve"> </w:t>
            </w:r>
            <w:r>
              <w:t>JV</w:t>
            </w:r>
            <w:r>
              <w:rPr>
                <w:spacing w:val="-14"/>
              </w:rPr>
              <w:t xml:space="preserve"> </w:t>
            </w:r>
            <w:r>
              <w:t>or</w:t>
            </w:r>
            <w:r>
              <w:rPr>
                <w:spacing w:val="-14"/>
              </w:rPr>
              <w:t xml:space="preserve"> </w:t>
            </w:r>
            <w:r>
              <w:t>JV</w:t>
            </w:r>
            <w:r>
              <w:rPr>
                <w:spacing w:val="-18"/>
              </w:rPr>
              <w:t xml:space="preserve"> </w:t>
            </w:r>
            <w:r>
              <w:t>agreement,</w:t>
            </w:r>
            <w:r>
              <w:rPr>
                <w:spacing w:val="-14"/>
              </w:rPr>
              <w:t xml:space="preserve"> </w:t>
            </w:r>
            <w:r>
              <w:t>in</w:t>
            </w:r>
            <w:r>
              <w:rPr>
                <w:spacing w:val="-17"/>
              </w:rPr>
              <w:t xml:space="preserve"> </w:t>
            </w:r>
            <w:r>
              <w:t>accordance</w:t>
            </w:r>
            <w:r>
              <w:rPr>
                <w:spacing w:val="-13"/>
              </w:rPr>
              <w:t xml:space="preserve"> </w:t>
            </w:r>
            <w:r>
              <w:t>with</w:t>
            </w:r>
            <w:r>
              <w:rPr>
                <w:spacing w:val="-16"/>
              </w:rPr>
              <w:t xml:space="preserve"> </w:t>
            </w:r>
            <w:r>
              <w:t>ITT</w:t>
            </w:r>
            <w:r>
              <w:rPr>
                <w:spacing w:val="-12"/>
              </w:rPr>
              <w:t xml:space="preserve"> </w:t>
            </w:r>
            <w:r>
              <w:rPr>
                <w:spacing w:val="-5"/>
              </w:rPr>
              <w:t>3.5</w:t>
            </w:r>
          </w:p>
          <w:p w14:paraId="117F4D03" w14:textId="77777777" w:rsidR="00BB77C0" w:rsidRDefault="00370BAA">
            <w:pPr>
              <w:pStyle w:val="TableParagraph"/>
              <w:numPr>
                <w:ilvl w:val="1"/>
                <w:numId w:val="62"/>
              </w:numPr>
              <w:tabs>
                <w:tab w:val="left" w:pos="727"/>
              </w:tabs>
              <w:spacing w:before="4" w:line="237" w:lineRule="auto"/>
              <w:ind w:right="1125" w:firstLine="0"/>
            </w:pPr>
            <w:r>
              <w:rPr>
                <w:spacing w:val="-2"/>
              </w:rPr>
              <w:t>In</w:t>
            </w:r>
            <w:r>
              <w:rPr>
                <w:spacing w:val="-11"/>
              </w:rPr>
              <w:t xml:space="preserve"> </w:t>
            </w:r>
            <w:r>
              <w:rPr>
                <w:spacing w:val="-2"/>
              </w:rPr>
              <w:t>case</w:t>
            </w:r>
            <w:r>
              <w:rPr>
                <w:spacing w:val="-10"/>
              </w:rPr>
              <w:t xml:space="preserve"> </w:t>
            </w:r>
            <w:r>
              <w:rPr>
                <w:spacing w:val="-2"/>
              </w:rPr>
              <w:t>of</w:t>
            </w:r>
            <w:r>
              <w:rPr>
                <w:spacing w:val="-11"/>
              </w:rPr>
              <w:t xml:space="preserve"> </w:t>
            </w:r>
            <w:r>
              <w:rPr>
                <w:spacing w:val="-2"/>
              </w:rPr>
              <w:t>state-owned</w:t>
            </w:r>
            <w:r>
              <w:rPr>
                <w:spacing w:val="-9"/>
              </w:rPr>
              <w:t xml:space="preserve"> </w:t>
            </w:r>
            <w:r>
              <w:rPr>
                <w:spacing w:val="-2"/>
              </w:rPr>
              <w:t>enterprise</w:t>
            </w:r>
            <w:r>
              <w:rPr>
                <w:spacing w:val="-10"/>
              </w:rPr>
              <w:t xml:space="preserve"> </w:t>
            </w:r>
            <w:r>
              <w:rPr>
                <w:spacing w:val="-2"/>
              </w:rPr>
              <w:t>or</w:t>
            </w:r>
            <w:r>
              <w:rPr>
                <w:spacing w:val="-6"/>
              </w:rPr>
              <w:t xml:space="preserve"> </w:t>
            </w:r>
            <w:r>
              <w:rPr>
                <w:spacing w:val="-2"/>
              </w:rPr>
              <w:t>institution,</w:t>
            </w:r>
            <w:r>
              <w:rPr>
                <w:spacing w:val="-6"/>
              </w:rPr>
              <w:t xml:space="preserve"> </w:t>
            </w:r>
            <w:r>
              <w:rPr>
                <w:spacing w:val="-2"/>
              </w:rPr>
              <w:t>in</w:t>
            </w:r>
            <w:r>
              <w:rPr>
                <w:spacing w:val="-12"/>
              </w:rPr>
              <w:t xml:space="preserve"> </w:t>
            </w:r>
            <w:r>
              <w:rPr>
                <w:spacing w:val="-2"/>
              </w:rPr>
              <w:t>accordance</w:t>
            </w:r>
            <w:r>
              <w:rPr>
                <w:spacing w:val="-11"/>
              </w:rPr>
              <w:t xml:space="preserve"> </w:t>
            </w:r>
            <w:r>
              <w:rPr>
                <w:spacing w:val="-2"/>
              </w:rPr>
              <w:t>with</w:t>
            </w:r>
            <w:r>
              <w:rPr>
                <w:spacing w:val="-9"/>
              </w:rPr>
              <w:t xml:space="preserve"> </w:t>
            </w:r>
            <w:r>
              <w:rPr>
                <w:spacing w:val="-2"/>
              </w:rPr>
              <w:t>ITT</w:t>
            </w:r>
            <w:r>
              <w:rPr>
                <w:spacing w:val="-10"/>
              </w:rPr>
              <w:t xml:space="preserve"> </w:t>
            </w:r>
            <w:r>
              <w:rPr>
                <w:spacing w:val="-2"/>
              </w:rPr>
              <w:t>3.8,</w:t>
            </w:r>
            <w:r>
              <w:rPr>
                <w:spacing w:val="-6"/>
              </w:rPr>
              <w:t xml:space="preserve"> </w:t>
            </w:r>
            <w:r>
              <w:rPr>
                <w:spacing w:val="-2"/>
              </w:rPr>
              <w:t>documents establishing:</w:t>
            </w:r>
          </w:p>
          <w:p w14:paraId="5BBA2928" w14:textId="77777777" w:rsidR="00BB77C0" w:rsidRDefault="00370BAA">
            <w:pPr>
              <w:pStyle w:val="TableParagraph"/>
              <w:numPr>
                <w:ilvl w:val="0"/>
                <w:numId w:val="61"/>
              </w:numPr>
              <w:tabs>
                <w:tab w:val="left" w:pos="727"/>
              </w:tabs>
              <w:spacing w:line="264" w:lineRule="exact"/>
            </w:pPr>
            <w:r>
              <w:rPr>
                <w:spacing w:val="-2"/>
              </w:rPr>
              <w:t>Legal</w:t>
            </w:r>
            <w:r>
              <w:rPr>
                <w:spacing w:val="-8"/>
              </w:rPr>
              <w:t xml:space="preserve"> </w:t>
            </w:r>
            <w:r>
              <w:rPr>
                <w:spacing w:val="-2"/>
              </w:rPr>
              <w:t>and</w:t>
            </w:r>
            <w:r>
              <w:rPr>
                <w:spacing w:val="-8"/>
              </w:rPr>
              <w:t xml:space="preserve"> </w:t>
            </w:r>
            <w:r>
              <w:rPr>
                <w:spacing w:val="-2"/>
              </w:rPr>
              <w:t>financial</w:t>
            </w:r>
            <w:r>
              <w:rPr>
                <w:spacing w:val="-11"/>
              </w:rPr>
              <w:t xml:space="preserve"> </w:t>
            </w:r>
            <w:r>
              <w:rPr>
                <w:spacing w:val="-2"/>
              </w:rPr>
              <w:t>autonomy</w:t>
            </w:r>
          </w:p>
          <w:p w14:paraId="0FC9BECC" w14:textId="77777777" w:rsidR="00BB77C0" w:rsidRDefault="00370BAA">
            <w:pPr>
              <w:pStyle w:val="TableParagraph"/>
              <w:numPr>
                <w:ilvl w:val="0"/>
                <w:numId w:val="61"/>
              </w:numPr>
              <w:tabs>
                <w:tab w:val="left" w:pos="727"/>
              </w:tabs>
              <w:spacing w:before="4" w:line="269" w:lineRule="exact"/>
            </w:pPr>
            <w:r>
              <w:rPr>
                <w:spacing w:val="-2"/>
              </w:rPr>
              <w:t>Operation</w:t>
            </w:r>
            <w:r>
              <w:rPr>
                <w:spacing w:val="-12"/>
              </w:rPr>
              <w:t xml:space="preserve"> </w:t>
            </w:r>
            <w:r>
              <w:rPr>
                <w:spacing w:val="-2"/>
              </w:rPr>
              <w:t>under</w:t>
            </w:r>
            <w:r>
              <w:rPr>
                <w:spacing w:val="-11"/>
              </w:rPr>
              <w:t xml:space="preserve"> </w:t>
            </w:r>
            <w:r>
              <w:rPr>
                <w:spacing w:val="-2"/>
              </w:rPr>
              <w:t>commercial</w:t>
            </w:r>
            <w:r>
              <w:rPr>
                <w:spacing w:val="-11"/>
              </w:rPr>
              <w:t xml:space="preserve"> </w:t>
            </w:r>
            <w:r>
              <w:rPr>
                <w:spacing w:val="-5"/>
              </w:rPr>
              <w:t>law</w:t>
            </w:r>
          </w:p>
          <w:p w14:paraId="49A954BA" w14:textId="77777777" w:rsidR="00BB77C0" w:rsidRDefault="00370BAA">
            <w:pPr>
              <w:pStyle w:val="TableParagraph"/>
              <w:numPr>
                <w:ilvl w:val="0"/>
                <w:numId w:val="61"/>
              </w:numPr>
              <w:tabs>
                <w:tab w:val="left" w:pos="727"/>
              </w:tabs>
              <w:spacing w:line="269" w:lineRule="exact"/>
            </w:pPr>
            <w:r>
              <w:rPr>
                <w:spacing w:val="-2"/>
              </w:rPr>
              <w:t>Establishing</w:t>
            </w:r>
            <w:r>
              <w:rPr>
                <w:spacing w:val="-12"/>
              </w:rPr>
              <w:t xml:space="preserve"> </w:t>
            </w:r>
            <w:r>
              <w:rPr>
                <w:spacing w:val="-2"/>
              </w:rPr>
              <w:t>that</w:t>
            </w:r>
            <w:r>
              <w:rPr>
                <w:spacing w:val="-12"/>
              </w:rPr>
              <w:t xml:space="preserve"> </w:t>
            </w:r>
            <w:r>
              <w:rPr>
                <w:spacing w:val="-2"/>
              </w:rPr>
              <w:t>the</w:t>
            </w:r>
            <w:r>
              <w:rPr>
                <w:spacing w:val="-14"/>
              </w:rPr>
              <w:t xml:space="preserve"> </w:t>
            </w:r>
            <w:r>
              <w:rPr>
                <w:spacing w:val="-2"/>
              </w:rPr>
              <w:t>Tenderer</w:t>
            </w:r>
            <w:r>
              <w:rPr>
                <w:spacing w:val="-3"/>
              </w:rPr>
              <w:t xml:space="preserve"> </w:t>
            </w:r>
            <w:r>
              <w:rPr>
                <w:spacing w:val="-2"/>
              </w:rPr>
              <w:t>is</w:t>
            </w:r>
            <w:r>
              <w:rPr>
                <w:spacing w:val="-8"/>
              </w:rPr>
              <w:t xml:space="preserve"> </w:t>
            </w:r>
            <w:r>
              <w:rPr>
                <w:spacing w:val="-2"/>
              </w:rPr>
              <w:t>not</w:t>
            </w:r>
            <w:r>
              <w:rPr>
                <w:spacing w:val="-8"/>
              </w:rPr>
              <w:t xml:space="preserve"> </w:t>
            </w:r>
            <w:r>
              <w:rPr>
                <w:spacing w:val="-2"/>
              </w:rPr>
              <w:t>under</w:t>
            </w:r>
            <w:r>
              <w:rPr>
                <w:spacing w:val="-6"/>
              </w:rPr>
              <w:t xml:space="preserve"> </w:t>
            </w:r>
            <w:r>
              <w:rPr>
                <w:spacing w:val="-2"/>
              </w:rPr>
              <w:t>the</w:t>
            </w:r>
            <w:r>
              <w:rPr>
                <w:spacing w:val="-11"/>
              </w:rPr>
              <w:t xml:space="preserve"> </w:t>
            </w:r>
            <w:r>
              <w:rPr>
                <w:spacing w:val="-2"/>
              </w:rPr>
              <w:t>supervision</w:t>
            </w:r>
            <w:r>
              <w:rPr>
                <w:spacing w:val="-8"/>
              </w:rPr>
              <w:t xml:space="preserve"> </w:t>
            </w:r>
            <w:r>
              <w:rPr>
                <w:spacing w:val="-2"/>
              </w:rPr>
              <w:t>of</w:t>
            </w:r>
            <w:r>
              <w:rPr>
                <w:spacing w:val="-7"/>
              </w:rPr>
              <w:t xml:space="preserve"> </w:t>
            </w:r>
            <w:r>
              <w:rPr>
                <w:spacing w:val="-2"/>
              </w:rPr>
              <w:t>the</w:t>
            </w:r>
            <w:r>
              <w:rPr>
                <w:spacing w:val="-14"/>
              </w:rPr>
              <w:t xml:space="preserve"> </w:t>
            </w:r>
            <w:r>
              <w:rPr>
                <w:spacing w:val="-2"/>
              </w:rPr>
              <w:t>Procuring</w:t>
            </w:r>
            <w:r>
              <w:rPr>
                <w:spacing w:val="-7"/>
              </w:rPr>
              <w:t xml:space="preserve"> </w:t>
            </w:r>
            <w:r>
              <w:rPr>
                <w:spacing w:val="-2"/>
              </w:rPr>
              <w:t>Entity</w:t>
            </w:r>
          </w:p>
          <w:p w14:paraId="00243B64" w14:textId="77777777" w:rsidR="00BB77C0" w:rsidRDefault="00370BAA">
            <w:pPr>
              <w:pStyle w:val="TableParagraph"/>
              <w:spacing w:before="1"/>
              <w:ind w:left="7"/>
            </w:pPr>
            <w:r>
              <w:rPr>
                <w:spacing w:val="-2"/>
              </w:rPr>
              <w:t>2.</w:t>
            </w:r>
            <w:r>
              <w:rPr>
                <w:spacing w:val="-14"/>
              </w:rPr>
              <w:t xml:space="preserve"> </w:t>
            </w:r>
            <w:r>
              <w:rPr>
                <w:spacing w:val="-2"/>
              </w:rPr>
              <w:t>Included</w:t>
            </w:r>
            <w:r>
              <w:rPr>
                <w:spacing w:val="-9"/>
              </w:rPr>
              <w:t xml:space="preserve"> </w:t>
            </w:r>
            <w:r>
              <w:rPr>
                <w:spacing w:val="-2"/>
              </w:rPr>
              <w:t>are</w:t>
            </w:r>
            <w:r>
              <w:rPr>
                <w:spacing w:val="-10"/>
              </w:rPr>
              <w:t xml:space="preserve"> </w:t>
            </w:r>
            <w:r>
              <w:rPr>
                <w:spacing w:val="-2"/>
              </w:rPr>
              <w:t>the</w:t>
            </w:r>
            <w:r>
              <w:rPr>
                <w:spacing w:val="-10"/>
              </w:rPr>
              <w:t xml:space="preserve"> </w:t>
            </w:r>
            <w:r>
              <w:rPr>
                <w:spacing w:val="-2"/>
              </w:rPr>
              <w:t>organizational</w:t>
            </w:r>
            <w:r>
              <w:rPr>
                <w:spacing w:val="-6"/>
              </w:rPr>
              <w:t xml:space="preserve"> </w:t>
            </w:r>
            <w:r>
              <w:rPr>
                <w:spacing w:val="-2"/>
              </w:rPr>
              <w:t>chart</w:t>
            </w:r>
            <w:r>
              <w:rPr>
                <w:spacing w:val="-12"/>
              </w:rPr>
              <w:t xml:space="preserve"> </w:t>
            </w:r>
            <w:r>
              <w:rPr>
                <w:spacing w:val="-2"/>
              </w:rPr>
              <w:t>and</w:t>
            </w:r>
            <w:r>
              <w:rPr>
                <w:spacing w:val="-12"/>
              </w:rPr>
              <w:t xml:space="preserve"> </w:t>
            </w:r>
            <w:r>
              <w:rPr>
                <w:spacing w:val="-2"/>
              </w:rPr>
              <w:t>a</w:t>
            </w:r>
            <w:r>
              <w:rPr>
                <w:spacing w:val="-1"/>
              </w:rPr>
              <w:t xml:space="preserve"> </w:t>
            </w:r>
            <w:r>
              <w:rPr>
                <w:spacing w:val="-2"/>
              </w:rPr>
              <w:t>list</w:t>
            </w:r>
            <w:r>
              <w:rPr>
                <w:spacing w:val="-4"/>
              </w:rPr>
              <w:t xml:space="preserve"> </w:t>
            </w:r>
            <w:r>
              <w:rPr>
                <w:spacing w:val="-2"/>
              </w:rPr>
              <w:t>of</w:t>
            </w:r>
            <w:r>
              <w:rPr>
                <w:spacing w:val="-5"/>
              </w:rPr>
              <w:t xml:space="preserve"> </w:t>
            </w:r>
            <w:r>
              <w:rPr>
                <w:spacing w:val="-2"/>
              </w:rPr>
              <w:t>Board</w:t>
            </w:r>
            <w:r>
              <w:rPr>
                <w:spacing w:val="-8"/>
              </w:rPr>
              <w:t xml:space="preserve"> </w:t>
            </w:r>
            <w:r>
              <w:rPr>
                <w:spacing w:val="-2"/>
              </w:rPr>
              <w:t>of</w:t>
            </w:r>
            <w:r>
              <w:rPr>
                <w:spacing w:val="-5"/>
              </w:rPr>
              <w:t xml:space="preserve"> </w:t>
            </w:r>
            <w:r>
              <w:rPr>
                <w:spacing w:val="-2"/>
              </w:rPr>
              <w:t>Directors.</w:t>
            </w:r>
          </w:p>
        </w:tc>
      </w:tr>
    </w:tbl>
    <w:p w14:paraId="70891E44" w14:textId="77777777" w:rsidR="00BB77C0" w:rsidRDefault="00BB77C0">
      <w:pPr>
        <w:pStyle w:val="TableParagraph"/>
        <w:sectPr w:rsidR="00BB77C0">
          <w:pgSz w:w="11920" w:h="16850"/>
          <w:pgMar w:top="0" w:right="0" w:bottom="0" w:left="360" w:header="720" w:footer="720" w:gutter="0"/>
          <w:cols w:space="720"/>
        </w:sectPr>
      </w:pPr>
    </w:p>
    <w:p w14:paraId="575B0F8D" w14:textId="77777777" w:rsidR="00BB77C0" w:rsidRDefault="00370BAA">
      <w:pPr>
        <w:pStyle w:val="BodyText"/>
        <w:spacing w:before="53"/>
        <w:rPr>
          <w:sz w:val="24"/>
        </w:rPr>
      </w:pPr>
      <w:r>
        <w:rPr>
          <w:noProof/>
          <w:sz w:val="24"/>
        </w:rPr>
        <w:lastRenderedPageBreak/>
        <mc:AlternateContent>
          <mc:Choice Requires="wpg">
            <w:drawing>
              <wp:anchor distT="0" distB="0" distL="0" distR="0" simplePos="0" relativeHeight="15741440" behindDoc="0" locked="0" layoutInCell="1" allowOverlap="1" wp14:anchorId="4F11CE1D" wp14:editId="791D15B5">
                <wp:simplePos x="0" y="0"/>
                <wp:positionH relativeFrom="page">
                  <wp:posOffset>0</wp:posOffset>
                </wp:positionH>
                <wp:positionV relativeFrom="page">
                  <wp:posOffset>10234295</wp:posOffset>
                </wp:positionV>
                <wp:extent cx="7561580" cy="459105"/>
                <wp:effectExtent l="0" t="0" r="0" b="0"/>
                <wp:wrapNone/>
                <wp:docPr id="95"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1580" cy="459105"/>
                          <a:chOff x="0" y="0"/>
                          <a:chExt cx="7561580" cy="459105"/>
                        </a:xfrm>
                      </wpg:grpSpPr>
                      <wps:wsp>
                        <wps:cNvPr id="96" name="Graphic 96"/>
                        <wps:cNvSpPr/>
                        <wps:spPr>
                          <a:xfrm>
                            <a:off x="6449059" y="5714"/>
                            <a:ext cx="1110615" cy="451484"/>
                          </a:xfrm>
                          <a:custGeom>
                            <a:avLst/>
                            <a:gdLst/>
                            <a:ahLst/>
                            <a:cxnLst/>
                            <a:rect l="l" t="t" r="r" b="b"/>
                            <a:pathLst>
                              <a:path w="1110615" h="451484">
                                <a:moveTo>
                                  <a:pt x="1110614" y="0"/>
                                </a:moveTo>
                                <a:lnTo>
                                  <a:pt x="0" y="0"/>
                                </a:lnTo>
                                <a:lnTo>
                                  <a:pt x="260349" y="451483"/>
                                </a:lnTo>
                                <a:lnTo>
                                  <a:pt x="1110614" y="451483"/>
                                </a:lnTo>
                                <a:lnTo>
                                  <a:pt x="1110614" y="0"/>
                                </a:lnTo>
                                <a:close/>
                              </a:path>
                            </a:pathLst>
                          </a:custGeom>
                          <a:solidFill>
                            <a:srgbClr val="FAD2C1"/>
                          </a:solidFill>
                        </wps:spPr>
                        <wps:bodyPr wrap="square" lIns="0" tIns="0" rIns="0" bIns="0" rtlCol="0">
                          <a:prstTxWarp prst="textNoShape">
                            <a:avLst/>
                          </a:prstTxWarp>
                          <a:noAutofit/>
                        </wps:bodyPr>
                      </wps:wsp>
                      <wps:wsp>
                        <wps:cNvPr id="97" name="Graphic 97"/>
                        <wps:cNvSpPr/>
                        <wps:spPr>
                          <a:xfrm>
                            <a:off x="6449059" y="5714"/>
                            <a:ext cx="1110615" cy="451484"/>
                          </a:xfrm>
                          <a:custGeom>
                            <a:avLst/>
                            <a:gdLst/>
                            <a:ahLst/>
                            <a:cxnLst/>
                            <a:rect l="l" t="t" r="r" b="b"/>
                            <a:pathLst>
                              <a:path w="1110615" h="451484">
                                <a:moveTo>
                                  <a:pt x="0" y="0"/>
                                </a:moveTo>
                                <a:lnTo>
                                  <a:pt x="1110614" y="0"/>
                                </a:lnTo>
                                <a:lnTo>
                                  <a:pt x="1110614" y="451483"/>
                                </a:lnTo>
                                <a:lnTo>
                                  <a:pt x="260349" y="451483"/>
                                </a:lnTo>
                                <a:lnTo>
                                  <a:pt x="0" y="0"/>
                                </a:lnTo>
                              </a:path>
                            </a:pathLst>
                          </a:custGeom>
                          <a:ln w="3051">
                            <a:solidFill>
                              <a:srgbClr val="FAD2C1"/>
                            </a:solidFill>
                            <a:prstDash val="solid"/>
                          </a:ln>
                        </wps:spPr>
                        <wps:bodyPr wrap="square" lIns="0" tIns="0" rIns="0" bIns="0" rtlCol="0">
                          <a:prstTxWarp prst="textNoShape">
                            <a:avLst/>
                          </a:prstTxWarp>
                          <a:noAutofit/>
                        </wps:bodyPr>
                      </wps:wsp>
                      <wps:wsp>
                        <wps:cNvPr id="98" name="Graphic 98"/>
                        <wps:cNvSpPr/>
                        <wps:spPr>
                          <a:xfrm>
                            <a:off x="0" y="6350"/>
                            <a:ext cx="7560309" cy="1270"/>
                          </a:xfrm>
                          <a:custGeom>
                            <a:avLst/>
                            <a:gdLst/>
                            <a:ahLst/>
                            <a:cxnLst/>
                            <a:rect l="l" t="t" r="r" b="b"/>
                            <a:pathLst>
                              <a:path w="7560309">
                                <a:moveTo>
                                  <a:pt x="0" y="0"/>
                                </a:moveTo>
                                <a:lnTo>
                                  <a:pt x="7560309" y="0"/>
                                </a:lnTo>
                              </a:path>
                            </a:pathLst>
                          </a:custGeom>
                          <a:ln w="12700">
                            <a:solidFill>
                              <a:srgbClr val="FAD2C1"/>
                            </a:solidFill>
                            <a:prstDash val="solid"/>
                          </a:ln>
                        </wps:spPr>
                        <wps:bodyPr wrap="square" lIns="0" tIns="0" rIns="0" bIns="0" rtlCol="0">
                          <a:prstTxWarp prst="textNoShape">
                            <a:avLst/>
                          </a:prstTxWarp>
                          <a:noAutofit/>
                        </wps:bodyPr>
                      </wps:wsp>
                      <wps:wsp>
                        <wps:cNvPr id="99" name="Textbox 99"/>
                        <wps:cNvSpPr txBox="1"/>
                        <wps:spPr>
                          <a:xfrm>
                            <a:off x="6882130" y="37491"/>
                            <a:ext cx="147320" cy="155575"/>
                          </a:xfrm>
                          <a:prstGeom prst="rect">
                            <a:avLst/>
                          </a:prstGeom>
                        </wps:spPr>
                        <wps:txbx>
                          <w:txbxContent>
                            <w:p w14:paraId="0910B2CB" w14:textId="77777777" w:rsidR="00BB77C0" w:rsidRDefault="00370BAA">
                              <w:pPr>
                                <w:spacing w:line="244" w:lineRule="exact"/>
                              </w:pPr>
                              <w:r>
                                <w:rPr>
                                  <w:spacing w:val="-5"/>
                                </w:rPr>
                                <w:t>61</w:t>
                              </w:r>
                            </w:p>
                          </w:txbxContent>
                        </wps:txbx>
                        <wps:bodyPr wrap="square" lIns="0" tIns="0" rIns="0" bIns="0" rtlCol="0">
                          <a:noAutofit/>
                        </wps:bodyPr>
                      </wps:wsp>
                    </wpg:wgp>
                  </a:graphicData>
                </a:graphic>
              </wp:anchor>
            </w:drawing>
          </mc:Choice>
          <mc:Fallback>
            <w:pict>
              <v:group w14:anchorId="4F11CE1D" id="Group 95" o:spid="_x0000_s1061" style="position:absolute;margin-left:0;margin-top:805.85pt;width:595.4pt;height:36.15pt;z-index:15741440;mso-wrap-distance-left:0;mso-wrap-distance-right:0;mso-position-horizontal-relative:page;mso-position-vertical-relative:page" coordsize="75615,4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">
                <v:shape id="Graphic 96" o:spid="_x0000_s1062" style="position:absolute;left:64490;top:57;width:11106;height:4514;visibility:visible;mso-wrap-style:square;v-text-anchor:top" coordsize="1110615,4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" path="m1110614,l,,260349,451483r850265,l1110614,xe" fillcolor="#fad2c1" stroked="f">
                  <v:path arrowok="t"/>
                </v:shape>
                <v:shape id="Graphic 97" o:spid="_x0000_s1063" style="position:absolute;left:64490;top:57;width:11106;height:4514;visibility:visible;mso-wrap-style:square;v-text-anchor:top" coordsize="1110615,4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" path="m,l1110614,r,451483l260349,451483,,e" filled="f" strokecolor="#fad2c1" strokeweight=".08475mm">
                  <v:path arrowok="t"/>
                </v:shape>
                <v:shape id="Graphic 98" o:spid="_x0000_s1064" style="position:absolute;top:63;width:75603;height:13;visibility:visible;mso-wrap-style:square;v-text-anchor:top" coordsize="756030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" path="m,l7560309,e" filled="f" strokecolor="#fad2c1" strokeweight="1pt">
                  <v:path arrowok="t"/>
                </v:shape>
                <v:shape id="Textbox 99" o:spid="_x0000_s1065" type="#_x0000_t202" style="position:absolute;left:68821;top:374;width:1473;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" filled="f" stroked="f">
                  <v:textbox inset="0,0,0,0">
                    <w:txbxContent>
                      <w:p w14:paraId="0910B2CB" w14:textId="77777777" w:rsidR="00BB77C0" w:rsidRDefault="00370BAA">
                        <w:pPr>
                          <w:spacing w:line="244" w:lineRule="exact"/>
                        </w:pPr>
                        <w:r>
                          <w:rPr>
                            <w:spacing w:val="-5"/>
                          </w:rPr>
                          <w:t>61</w:t>
                        </w:r>
                      </w:p>
                    </w:txbxContent>
                  </v:textbox>
                </v:shape>
                <w10:wrap anchorx="page" anchory="page"/>
              </v:group>
            </w:pict>
          </mc:Fallback>
        </mc:AlternateContent>
      </w:r>
      <w:r>
        <w:rPr>
          <w:noProof/>
          <w:sz w:val="24"/>
        </w:rPr>
        <mc:AlternateContent>
          <mc:Choice Requires="wpg">
            <w:drawing>
              <wp:anchor distT="0" distB="0" distL="0" distR="0" simplePos="0" relativeHeight="15741952" behindDoc="0" locked="0" layoutInCell="1" allowOverlap="1" wp14:anchorId="6BD6C586" wp14:editId="2964A0CA">
                <wp:simplePos x="0" y="0"/>
                <wp:positionH relativeFrom="page">
                  <wp:posOffset>0</wp:posOffset>
                </wp:positionH>
                <wp:positionV relativeFrom="page">
                  <wp:posOffset>889</wp:posOffset>
                </wp:positionV>
                <wp:extent cx="7559675" cy="228600"/>
                <wp:effectExtent l="0" t="0" r="0" b="0"/>
                <wp:wrapNone/>
                <wp:docPr id="1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675" cy="228600"/>
                          <a:chOff x="0" y="0"/>
                          <a:chExt cx="7559675" cy="228600"/>
                        </a:xfrm>
                      </wpg:grpSpPr>
                      <wps:wsp>
                        <wps:cNvPr id="101" name="Graphic 101"/>
                        <wps:cNvSpPr/>
                        <wps:spPr>
                          <a:xfrm>
                            <a:off x="0" y="0"/>
                            <a:ext cx="6701155" cy="228600"/>
                          </a:xfrm>
                          <a:custGeom>
                            <a:avLst/>
                            <a:gdLst/>
                            <a:ahLst/>
                            <a:cxnLst/>
                            <a:rect l="l" t="t" r="r" b="b"/>
                            <a:pathLst>
                              <a:path w="6701155" h="228600">
                                <a:moveTo>
                                  <a:pt x="6700647" y="0"/>
                                </a:moveTo>
                                <a:lnTo>
                                  <a:pt x="0" y="0"/>
                                </a:lnTo>
                                <a:lnTo>
                                  <a:pt x="0" y="223520"/>
                                </a:lnTo>
                                <a:lnTo>
                                  <a:pt x="6516497" y="228600"/>
                                </a:lnTo>
                                <a:lnTo>
                                  <a:pt x="6700647" y="0"/>
                                </a:lnTo>
                                <a:close/>
                              </a:path>
                            </a:pathLst>
                          </a:custGeom>
                          <a:solidFill>
                            <a:srgbClr val="E6E7E8"/>
                          </a:solidFill>
                        </wps:spPr>
                        <wps:bodyPr wrap="square" lIns="0" tIns="0" rIns="0" bIns="0" rtlCol="0">
                          <a:prstTxWarp prst="textNoShape">
                            <a:avLst/>
                          </a:prstTxWarp>
                          <a:noAutofit/>
                        </wps:bodyPr>
                      </wps:wsp>
                      <wps:wsp>
                        <wps:cNvPr id="102" name="Graphic 102"/>
                        <wps:cNvSpPr/>
                        <wps:spPr>
                          <a:xfrm>
                            <a:off x="6892925" y="0"/>
                            <a:ext cx="666750" cy="228600"/>
                          </a:xfrm>
                          <a:custGeom>
                            <a:avLst/>
                            <a:gdLst/>
                            <a:ahLst/>
                            <a:cxnLst/>
                            <a:rect l="l" t="t" r="r" b="b"/>
                            <a:pathLst>
                              <a:path w="666750" h="228600">
                                <a:moveTo>
                                  <a:pt x="666750" y="0"/>
                                </a:moveTo>
                                <a:lnTo>
                                  <a:pt x="126365" y="0"/>
                                </a:lnTo>
                                <a:lnTo>
                                  <a:pt x="0" y="228600"/>
                                </a:lnTo>
                                <a:lnTo>
                                  <a:pt x="666750" y="228600"/>
                                </a:lnTo>
                                <a:lnTo>
                                  <a:pt x="666750" y="0"/>
                                </a:lnTo>
                                <a:close/>
                              </a:path>
                            </a:pathLst>
                          </a:custGeom>
                          <a:solidFill>
                            <a:srgbClr val="EB1C22"/>
                          </a:solidFill>
                        </wps:spPr>
                        <wps:bodyPr wrap="square" lIns="0" tIns="0" rIns="0" bIns="0" rtlCol="0">
                          <a:prstTxWarp prst="textNoShape">
                            <a:avLst/>
                          </a:prstTxWarp>
                          <a:noAutofit/>
                        </wps:bodyPr>
                      </wps:wsp>
                      <wps:wsp>
                        <wps:cNvPr id="103" name="Graphic 103"/>
                        <wps:cNvSpPr/>
                        <wps:spPr>
                          <a:xfrm>
                            <a:off x="6664452" y="0"/>
                            <a:ext cx="330200" cy="228600"/>
                          </a:xfrm>
                          <a:custGeom>
                            <a:avLst/>
                            <a:gdLst/>
                            <a:ahLst/>
                            <a:cxnLst/>
                            <a:rect l="l" t="t" r="r" b="b"/>
                            <a:pathLst>
                              <a:path w="330200" h="228600">
                                <a:moveTo>
                                  <a:pt x="330073" y="0"/>
                                </a:moveTo>
                                <a:lnTo>
                                  <a:pt x="126365" y="0"/>
                                </a:lnTo>
                                <a:lnTo>
                                  <a:pt x="0" y="228600"/>
                                </a:lnTo>
                                <a:lnTo>
                                  <a:pt x="200532" y="228600"/>
                                </a:lnTo>
                                <a:lnTo>
                                  <a:pt x="330073" y="0"/>
                                </a:lnTo>
                                <a:close/>
                              </a:path>
                            </a:pathLst>
                          </a:custGeom>
                          <a:solidFill>
                            <a:srgbClr val="00A650"/>
                          </a:solidFill>
                        </wps:spPr>
                        <wps:bodyPr wrap="square" lIns="0" tIns="0" rIns="0" bIns="0" rtlCol="0">
                          <a:prstTxWarp prst="textNoShape">
                            <a:avLst/>
                          </a:prstTxWarp>
                          <a:noAutofit/>
                        </wps:bodyPr>
                      </wps:wsp>
                      <wps:wsp>
                        <wps:cNvPr id="104" name="Graphic 104"/>
                        <wps:cNvSpPr/>
                        <wps:spPr>
                          <a:xfrm>
                            <a:off x="6435216" y="0"/>
                            <a:ext cx="330200" cy="228600"/>
                          </a:xfrm>
                          <a:custGeom>
                            <a:avLst/>
                            <a:gdLst/>
                            <a:ahLst/>
                            <a:cxnLst/>
                            <a:rect l="l" t="t" r="r" b="b"/>
                            <a:pathLst>
                              <a:path w="330200" h="228600">
                                <a:moveTo>
                                  <a:pt x="330200" y="0"/>
                                </a:moveTo>
                                <a:lnTo>
                                  <a:pt x="126364" y="0"/>
                                </a:lnTo>
                                <a:lnTo>
                                  <a:pt x="0" y="228600"/>
                                </a:lnTo>
                                <a:lnTo>
                                  <a:pt x="200660" y="228600"/>
                                </a:lnTo>
                                <a:lnTo>
                                  <a:pt x="330200" y="0"/>
                                </a:lnTo>
                                <a:close/>
                              </a:path>
                            </a:pathLst>
                          </a:custGeom>
                          <a:solidFill>
                            <a:srgbClr val="A7A9AC"/>
                          </a:solidFill>
                        </wps:spPr>
                        <wps:bodyPr wrap="square" lIns="0" tIns="0" rIns="0" bIns="0" rtlCol="0">
                          <a:prstTxWarp prst="textNoShape">
                            <a:avLst/>
                          </a:prstTxWarp>
                          <a:noAutofit/>
                        </wps:bodyPr>
                      </wps:wsp>
                    </wpg:wgp>
                  </a:graphicData>
                </a:graphic>
              </wp:anchor>
            </w:drawing>
          </mc:Choice>
          <mc:Fallback>
            <w:pict>
              <v:group w14:anchorId="7E489354" id="Group 100" o:spid="_x0000_s1026" style="position:absolute;margin-left:0;margin-top:.05pt;width:595.25pt;height:18pt;z-index:15741952;mso-wrap-distance-left:0;mso-wrap-distance-right:0;mso-position-horizontal-relative:page;mso-position-vertical-relative:page" coordsize="75596,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">
                <v:shape id="Graphic 101" o:spid="_x0000_s1027" style="position:absolute;width:67011;height:2286;visibility:visible;mso-wrap-style:square;v-text-anchor:top" coordsize="670115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" path="m6700647,l,,,223520r6516497,5080l6700647,xe" fillcolor="#e6e7e8" stroked="f">
                  <v:path arrowok="t"/>
                </v:shape>
                <v:shape id="Graphic 102" o:spid="_x0000_s1028" style="position:absolute;left:68929;width:6667;height:2286;visibility:visible;mso-wrap-style:square;v-text-anchor:top" coordsize="6667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" path="m666750,l126365,,,228600r666750,l666750,xe" fillcolor="#eb1c22" stroked="f">
                  <v:path arrowok="t"/>
                </v:shape>
                <v:shape id="Graphic 103" o:spid="_x0000_s1029" style="position:absolute;left:66644;width:3302;height:2286;visibility:visible;mso-wrap-style:square;v-text-anchor:top" coordsize="3302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" path="m330073,l126365,,,228600r200532,l330073,xe" fillcolor="#00a650" stroked="f">
                  <v:path arrowok="t"/>
                </v:shape>
                <v:shape id="Graphic 104" o:spid="_x0000_s1030" style="position:absolute;left:64352;width:3302;height:2286;visibility:visible;mso-wrap-style:square;v-text-anchor:top" coordsize="3302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" path="m330200,l126364,,,228600r200660,l330200,xe" fillcolor="#a7a9ac" stroked="f">
                  <v:path arrowok="t"/>
                </v:shape>
                <w10:wrap anchorx="page" anchory="page"/>
              </v:group>
            </w:pict>
          </mc:Fallback>
        </mc:AlternateContent>
      </w:r>
    </w:p>
    <w:p w14:paraId="5B7084B0" w14:textId="77777777" w:rsidR="00BB77C0" w:rsidRDefault="00370BAA">
      <w:pPr>
        <w:pStyle w:val="Heading5"/>
        <w:numPr>
          <w:ilvl w:val="1"/>
          <w:numId w:val="64"/>
        </w:numPr>
        <w:tabs>
          <w:tab w:val="left" w:pos="844"/>
        </w:tabs>
        <w:ind w:left="844" w:hanging="359"/>
      </w:pPr>
      <w:bookmarkStart w:id="142" w:name="4.2_FORM_ELI_-1.2"/>
      <w:bookmarkEnd w:id="142"/>
      <w:r>
        <w:rPr>
          <w:u w:val="single"/>
        </w:rPr>
        <w:t>FORM</w:t>
      </w:r>
      <w:r>
        <w:rPr>
          <w:spacing w:val="-2"/>
          <w:u w:val="single"/>
        </w:rPr>
        <w:t xml:space="preserve"> </w:t>
      </w:r>
      <w:r>
        <w:rPr>
          <w:u w:val="single"/>
        </w:rPr>
        <w:t>ELI</w:t>
      </w:r>
      <w:r>
        <w:rPr>
          <w:spacing w:val="-2"/>
          <w:u w:val="single"/>
        </w:rPr>
        <w:t xml:space="preserve"> </w:t>
      </w:r>
      <w:r>
        <w:rPr>
          <w:u w:val="single"/>
        </w:rPr>
        <w:t>-</w:t>
      </w:r>
      <w:r>
        <w:rPr>
          <w:spacing w:val="-5"/>
          <w:u w:val="single"/>
        </w:rPr>
        <w:t>1.2</w:t>
      </w:r>
    </w:p>
    <w:p w14:paraId="069F466F" w14:textId="77777777" w:rsidR="00BB77C0" w:rsidRDefault="00BB77C0">
      <w:pPr>
        <w:pStyle w:val="BodyText"/>
        <w:spacing w:before="1"/>
        <w:rPr>
          <w:b/>
          <w:sz w:val="24"/>
        </w:rPr>
      </w:pPr>
    </w:p>
    <w:p w14:paraId="275DB26B" w14:textId="77777777" w:rsidR="00BB77C0" w:rsidRDefault="00370BAA">
      <w:pPr>
        <w:pStyle w:val="Heading6"/>
        <w:ind w:left="360" w:firstLine="0"/>
      </w:pPr>
      <w:bookmarkStart w:id="143" w:name="Tenderer's_JV_Information_Form"/>
      <w:bookmarkEnd w:id="143"/>
      <w:r>
        <w:t>Tenderer's</w:t>
      </w:r>
      <w:r>
        <w:rPr>
          <w:spacing w:val="-9"/>
        </w:rPr>
        <w:t xml:space="preserve"> </w:t>
      </w:r>
      <w:r>
        <w:t>JV</w:t>
      </w:r>
      <w:r>
        <w:rPr>
          <w:spacing w:val="-4"/>
        </w:rPr>
        <w:t xml:space="preserve"> </w:t>
      </w:r>
      <w:r>
        <w:t>Information</w:t>
      </w:r>
      <w:r>
        <w:rPr>
          <w:spacing w:val="-1"/>
        </w:rPr>
        <w:t xml:space="preserve"> </w:t>
      </w:r>
      <w:r>
        <w:rPr>
          <w:spacing w:val="-4"/>
        </w:rPr>
        <w:t>Form</w:t>
      </w:r>
    </w:p>
    <w:p w14:paraId="50927F26" w14:textId="77777777" w:rsidR="00BB77C0" w:rsidRDefault="00370BAA">
      <w:pPr>
        <w:spacing w:before="2"/>
        <w:ind w:left="360"/>
        <w:rPr>
          <w:b/>
          <w:sz w:val="24"/>
        </w:rPr>
      </w:pPr>
      <w:r>
        <w:rPr>
          <w:b/>
          <w:sz w:val="24"/>
        </w:rPr>
        <w:t>(to</w:t>
      </w:r>
      <w:r>
        <w:rPr>
          <w:b/>
          <w:spacing w:val="-6"/>
          <w:sz w:val="24"/>
        </w:rPr>
        <w:t xml:space="preserve"> </w:t>
      </w:r>
      <w:r>
        <w:rPr>
          <w:b/>
          <w:sz w:val="24"/>
        </w:rPr>
        <w:t>be</w:t>
      </w:r>
      <w:r>
        <w:rPr>
          <w:b/>
          <w:spacing w:val="-6"/>
          <w:sz w:val="24"/>
        </w:rPr>
        <w:t xml:space="preserve"> </w:t>
      </w:r>
      <w:r>
        <w:rPr>
          <w:b/>
          <w:sz w:val="24"/>
        </w:rPr>
        <w:t>completed</w:t>
      </w:r>
      <w:r>
        <w:rPr>
          <w:b/>
          <w:spacing w:val="1"/>
          <w:sz w:val="24"/>
        </w:rPr>
        <w:t xml:space="preserve"> </w:t>
      </w:r>
      <w:r>
        <w:rPr>
          <w:b/>
          <w:sz w:val="24"/>
        </w:rPr>
        <w:t>for</w:t>
      </w:r>
      <w:r>
        <w:rPr>
          <w:b/>
          <w:spacing w:val="-6"/>
          <w:sz w:val="24"/>
        </w:rPr>
        <w:t xml:space="preserve"> </w:t>
      </w:r>
      <w:r>
        <w:rPr>
          <w:b/>
          <w:sz w:val="24"/>
        </w:rPr>
        <w:t>each member</w:t>
      </w:r>
      <w:r>
        <w:rPr>
          <w:b/>
          <w:spacing w:val="-5"/>
          <w:sz w:val="24"/>
        </w:rPr>
        <w:t xml:space="preserve"> </w:t>
      </w:r>
      <w:r>
        <w:rPr>
          <w:b/>
          <w:sz w:val="24"/>
        </w:rPr>
        <w:t>of</w:t>
      </w:r>
      <w:r>
        <w:rPr>
          <w:b/>
          <w:spacing w:val="-4"/>
          <w:sz w:val="24"/>
        </w:rPr>
        <w:t xml:space="preserve"> </w:t>
      </w:r>
      <w:r>
        <w:rPr>
          <w:b/>
          <w:sz w:val="24"/>
        </w:rPr>
        <w:t>Tenderer’s</w:t>
      </w:r>
      <w:r>
        <w:rPr>
          <w:b/>
          <w:spacing w:val="-1"/>
          <w:sz w:val="24"/>
        </w:rPr>
        <w:t xml:space="preserve"> </w:t>
      </w:r>
      <w:r>
        <w:rPr>
          <w:b/>
          <w:spacing w:val="-5"/>
          <w:sz w:val="24"/>
        </w:rPr>
        <w:t>JV)</w:t>
      </w:r>
    </w:p>
    <w:p w14:paraId="1F24AB33" w14:textId="77777777" w:rsidR="00BB77C0" w:rsidRDefault="00370BAA">
      <w:pPr>
        <w:pStyle w:val="BodyText"/>
        <w:tabs>
          <w:tab w:val="left" w:pos="2614"/>
        </w:tabs>
        <w:spacing w:before="2"/>
        <w:ind w:left="360"/>
      </w:pPr>
      <w:r>
        <w:t xml:space="preserve">Date: </w:t>
      </w:r>
      <w:r>
        <w:rPr>
          <w:u w:val="single"/>
        </w:rPr>
        <w:tab/>
      </w:r>
    </w:p>
    <w:p w14:paraId="5CC88790" w14:textId="77777777" w:rsidR="00BB77C0" w:rsidRDefault="00370BAA">
      <w:pPr>
        <w:pStyle w:val="BodyText"/>
        <w:tabs>
          <w:tab w:val="left" w:pos="3992"/>
        </w:tabs>
        <w:spacing w:before="246"/>
        <w:ind w:left="360"/>
      </w:pPr>
      <w:r>
        <w:t>ITT</w:t>
      </w:r>
      <w:r>
        <w:rPr>
          <w:spacing w:val="-7"/>
        </w:rPr>
        <w:t xml:space="preserve"> </w:t>
      </w:r>
      <w:r>
        <w:t>No.</w:t>
      </w:r>
      <w:r>
        <w:rPr>
          <w:spacing w:val="-8"/>
        </w:rPr>
        <w:t xml:space="preserve"> </w:t>
      </w:r>
      <w:r>
        <w:t>and</w:t>
      </w:r>
      <w:r>
        <w:rPr>
          <w:spacing w:val="-10"/>
        </w:rPr>
        <w:t xml:space="preserve"> </w:t>
      </w:r>
      <w:r>
        <w:t>title:</w:t>
      </w:r>
      <w:r>
        <w:rPr>
          <w:spacing w:val="-13"/>
        </w:rPr>
        <w:t xml:space="preserve"> </w:t>
      </w:r>
      <w:r>
        <w:rPr>
          <w:u w:val="single"/>
        </w:rPr>
        <w:tab/>
      </w:r>
    </w:p>
    <w:p w14:paraId="14057675" w14:textId="77777777" w:rsidR="00BB77C0" w:rsidRDefault="00BB77C0">
      <w:pPr>
        <w:pStyle w:val="BodyText"/>
        <w:spacing w:before="30"/>
        <w:rPr>
          <w:sz w:val="20"/>
        </w:rPr>
      </w:pPr>
    </w:p>
    <w:tbl>
      <w:tblPr>
        <w:tblW w:w="0" w:type="auto"/>
        <w:tblInd w:w="36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9378"/>
      </w:tblGrid>
      <w:tr w:rsidR="00BB77C0" w14:paraId="3DC4936E" w14:textId="77777777">
        <w:trPr>
          <w:trHeight w:val="504"/>
        </w:trPr>
        <w:tc>
          <w:tcPr>
            <w:tcW w:w="9378" w:type="dxa"/>
          </w:tcPr>
          <w:p w14:paraId="309E237F" w14:textId="77777777" w:rsidR="00BB77C0" w:rsidRDefault="00370BAA">
            <w:pPr>
              <w:pStyle w:val="TableParagraph"/>
              <w:spacing w:line="250" w:lineRule="exact"/>
              <w:ind w:left="146"/>
            </w:pPr>
            <w:r>
              <w:rPr>
                <w:spacing w:val="-2"/>
              </w:rPr>
              <w:t>Tenderer’s</w:t>
            </w:r>
            <w:r>
              <w:rPr>
                <w:spacing w:val="-6"/>
              </w:rPr>
              <w:t xml:space="preserve"> </w:t>
            </w:r>
            <w:r>
              <w:rPr>
                <w:spacing w:val="-2"/>
              </w:rPr>
              <w:t>JV</w:t>
            </w:r>
            <w:r>
              <w:rPr>
                <w:spacing w:val="-8"/>
              </w:rPr>
              <w:t xml:space="preserve"> </w:t>
            </w:r>
            <w:r>
              <w:rPr>
                <w:spacing w:val="-4"/>
              </w:rPr>
              <w:t>name:</w:t>
            </w:r>
          </w:p>
        </w:tc>
      </w:tr>
      <w:tr w:rsidR="00BB77C0" w14:paraId="1E4C9F42" w14:textId="77777777">
        <w:trPr>
          <w:trHeight w:val="508"/>
        </w:trPr>
        <w:tc>
          <w:tcPr>
            <w:tcW w:w="9378" w:type="dxa"/>
          </w:tcPr>
          <w:p w14:paraId="3958CA10" w14:textId="77777777" w:rsidR="00BB77C0" w:rsidRDefault="00370BAA">
            <w:pPr>
              <w:pStyle w:val="TableParagraph"/>
              <w:spacing w:line="249" w:lineRule="exact"/>
              <w:ind w:left="146"/>
            </w:pPr>
            <w:r>
              <w:rPr>
                <w:spacing w:val="-2"/>
              </w:rPr>
              <w:t>JV</w:t>
            </w:r>
            <w:r>
              <w:rPr>
                <w:spacing w:val="-12"/>
              </w:rPr>
              <w:t xml:space="preserve"> </w:t>
            </w:r>
            <w:r>
              <w:rPr>
                <w:spacing w:val="-2"/>
              </w:rPr>
              <w:t xml:space="preserve">member’s </w:t>
            </w:r>
            <w:r>
              <w:rPr>
                <w:spacing w:val="-4"/>
              </w:rPr>
              <w:t>name:</w:t>
            </w:r>
          </w:p>
        </w:tc>
      </w:tr>
      <w:tr w:rsidR="00BB77C0" w14:paraId="4923877E" w14:textId="77777777">
        <w:trPr>
          <w:trHeight w:val="503"/>
        </w:trPr>
        <w:tc>
          <w:tcPr>
            <w:tcW w:w="9378" w:type="dxa"/>
          </w:tcPr>
          <w:p w14:paraId="7C86597A" w14:textId="77777777" w:rsidR="00BB77C0" w:rsidRDefault="00370BAA">
            <w:pPr>
              <w:pStyle w:val="TableParagraph"/>
              <w:spacing w:line="249" w:lineRule="exact"/>
              <w:ind w:left="146"/>
            </w:pPr>
            <w:r>
              <w:rPr>
                <w:spacing w:val="-2"/>
              </w:rPr>
              <w:t>JV</w:t>
            </w:r>
            <w:r>
              <w:rPr>
                <w:spacing w:val="-10"/>
              </w:rPr>
              <w:t xml:space="preserve"> </w:t>
            </w:r>
            <w:r>
              <w:rPr>
                <w:spacing w:val="-2"/>
              </w:rPr>
              <w:t>member’s</w:t>
            </w:r>
            <w:r>
              <w:rPr>
                <w:spacing w:val="-6"/>
              </w:rPr>
              <w:t xml:space="preserve"> </w:t>
            </w:r>
            <w:r>
              <w:rPr>
                <w:spacing w:val="-2"/>
              </w:rPr>
              <w:t>country</w:t>
            </w:r>
            <w:r>
              <w:rPr>
                <w:spacing w:val="-8"/>
              </w:rPr>
              <w:t xml:space="preserve"> </w:t>
            </w:r>
            <w:r>
              <w:rPr>
                <w:spacing w:val="-2"/>
              </w:rPr>
              <w:t>of</w:t>
            </w:r>
            <w:r>
              <w:rPr>
                <w:spacing w:val="-9"/>
              </w:rPr>
              <w:t xml:space="preserve"> </w:t>
            </w:r>
            <w:r>
              <w:rPr>
                <w:spacing w:val="-2"/>
              </w:rPr>
              <w:t>registration:</w:t>
            </w:r>
          </w:p>
        </w:tc>
      </w:tr>
      <w:tr w:rsidR="00BB77C0" w14:paraId="0E366D1B" w14:textId="77777777">
        <w:trPr>
          <w:trHeight w:val="508"/>
        </w:trPr>
        <w:tc>
          <w:tcPr>
            <w:tcW w:w="9378" w:type="dxa"/>
          </w:tcPr>
          <w:p w14:paraId="7311D572" w14:textId="77777777" w:rsidR="00BB77C0" w:rsidRDefault="00370BAA">
            <w:pPr>
              <w:pStyle w:val="TableParagraph"/>
              <w:spacing w:line="249" w:lineRule="exact"/>
              <w:ind w:left="146"/>
            </w:pPr>
            <w:r>
              <w:rPr>
                <w:spacing w:val="-2"/>
              </w:rPr>
              <w:t>JV</w:t>
            </w:r>
            <w:r>
              <w:rPr>
                <w:spacing w:val="-11"/>
              </w:rPr>
              <w:t xml:space="preserve"> </w:t>
            </w:r>
            <w:r>
              <w:rPr>
                <w:spacing w:val="-2"/>
              </w:rPr>
              <w:t>member’s</w:t>
            </w:r>
            <w:r>
              <w:rPr>
                <w:spacing w:val="-9"/>
              </w:rPr>
              <w:t xml:space="preserve"> </w:t>
            </w:r>
            <w:r>
              <w:rPr>
                <w:spacing w:val="-2"/>
              </w:rPr>
              <w:t>year</w:t>
            </w:r>
            <w:r>
              <w:rPr>
                <w:spacing w:val="-6"/>
              </w:rPr>
              <w:t xml:space="preserve"> </w:t>
            </w:r>
            <w:r>
              <w:rPr>
                <w:spacing w:val="-2"/>
              </w:rPr>
              <w:t>of</w:t>
            </w:r>
            <w:r>
              <w:rPr>
                <w:spacing w:val="-6"/>
              </w:rPr>
              <w:t xml:space="preserve"> </w:t>
            </w:r>
            <w:r>
              <w:rPr>
                <w:spacing w:val="-2"/>
              </w:rPr>
              <w:t>constitution:</w:t>
            </w:r>
          </w:p>
        </w:tc>
      </w:tr>
      <w:tr w:rsidR="00BB77C0" w14:paraId="151DCCD1" w14:textId="77777777">
        <w:trPr>
          <w:trHeight w:val="503"/>
        </w:trPr>
        <w:tc>
          <w:tcPr>
            <w:tcW w:w="9378" w:type="dxa"/>
          </w:tcPr>
          <w:p w14:paraId="59044D7E" w14:textId="77777777" w:rsidR="00BB77C0" w:rsidRDefault="00370BAA">
            <w:pPr>
              <w:pStyle w:val="TableParagraph"/>
              <w:spacing w:line="249" w:lineRule="exact"/>
              <w:ind w:left="146"/>
            </w:pPr>
            <w:r>
              <w:rPr>
                <w:spacing w:val="-8"/>
              </w:rPr>
              <w:t>JV</w:t>
            </w:r>
            <w:r>
              <w:rPr>
                <w:spacing w:val="-16"/>
              </w:rPr>
              <w:t xml:space="preserve"> </w:t>
            </w:r>
            <w:r>
              <w:rPr>
                <w:spacing w:val="-8"/>
              </w:rPr>
              <w:t>member’s</w:t>
            </w:r>
            <w:r>
              <w:rPr>
                <w:spacing w:val="-2"/>
              </w:rPr>
              <w:t xml:space="preserve"> </w:t>
            </w:r>
            <w:r>
              <w:rPr>
                <w:spacing w:val="-8"/>
              </w:rPr>
              <w:t>legal</w:t>
            </w:r>
            <w:r>
              <w:rPr>
                <w:spacing w:val="-13"/>
              </w:rPr>
              <w:t xml:space="preserve"> </w:t>
            </w:r>
            <w:r>
              <w:rPr>
                <w:spacing w:val="-8"/>
              </w:rPr>
              <w:t>address</w:t>
            </w:r>
            <w:r>
              <w:rPr>
                <w:spacing w:val="-9"/>
              </w:rPr>
              <w:t xml:space="preserve"> </w:t>
            </w:r>
            <w:r>
              <w:rPr>
                <w:spacing w:val="-8"/>
              </w:rPr>
              <w:t>in</w:t>
            </w:r>
            <w:r>
              <w:rPr>
                <w:spacing w:val="-14"/>
              </w:rPr>
              <w:t xml:space="preserve"> </w:t>
            </w:r>
            <w:r>
              <w:rPr>
                <w:spacing w:val="-8"/>
              </w:rPr>
              <w:t>country</w:t>
            </w:r>
            <w:r>
              <w:rPr>
                <w:spacing w:val="-9"/>
              </w:rPr>
              <w:t xml:space="preserve"> </w:t>
            </w:r>
            <w:r>
              <w:rPr>
                <w:spacing w:val="-8"/>
              </w:rPr>
              <w:t>of</w:t>
            </w:r>
            <w:r>
              <w:rPr>
                <w:spacing w:val="-9"/>
              </w:rPr>
              <w:t xml:space="preserve"> </w:t>
            </w:r>
            <w:r>
              <w:rPr>
                <w:spacing w:val="-8"/>
              </w:rPr>
              <w:t>constitution:</w:t>
            </w:r>
          </w:p>
        </w:tc>
      </w:tr>
      <w:tr w:rsidR="00BB77C0" w14:paraId="578C9C29" w14:textId="77777777">
        <w:trPr>
          <w:trHeight w:val="1248"/>
        </w:trPr>
        <w:tc>
          <w:tcPr>
            <w:tcW w:w="9378" w:type="dxa"/>
            <w:tcBorders>
              <w:bottom w:val="double" w:sz="2" w:space="0" w:color="000000"/>
            </w:tcBorders>
          </w:tcPr>
          <w:p w14:paraId="334732F0" w14:textId="77777777" w:rsidR="00BB77C0" w:rsidRDefault="00370BAA">
            <w:pPr>
              <w:pStyle w:val="TableParagraph"/>
              <w:tabs>
                <w:tab w:val="left" w:pos="4690"/>
              </w:tabs>
              <w:ind w:left="146" w:right="4670"/>
            </w:pPr>
            <w:r>
              <w:t>JV</w:t>
            </w:r>
            <w:r>
              <w:rPr>
                <w:spacing w:val="-9"/>
              </w:rPr>
              <w:t xml:space="preserve"> </w:t>
            </w:r>
            <w:r>
              <w:t>member’s</w:t>
            </w:r>
            <w:r>
              <w:rPr>
                <w:spacing w:val="-7"/>
              </w:rPr>
              <w:t xml:space="preserve"> </w:t>
            </w:r>
            <w:r>
              <w:t>authorized</w:t>
            </w:r>
            <w:r>
              <w:rPr>
                <w:spacing w:val="-7"/>
              </w:rPr>
              <w:t xml:space="preserve"> </w:t>
            </w:r>
            <w:r>
              <w:t>representative</w:t>
            </w:r>
            <w:r>
              <w:rPr>
                <w:spacing w:val="-8"/>
              </w:rPr>
              <w:t xml:space="preserve"> </w:t>
            </w:r>
            <w:r>
              <w:t xml:space="preserve">information Name: </w:t>
            </w:r>
            <w:r>
              <w:rPr>
                <w:u w:val="single"/>
              </w:rPr>
              <w:tab/>
            </w:r>
            <w:r>
              <w:t xml:space="preserve"> Address: </w:t>
            </w:r>
            <w:r>
              <w:rPr>
                <w:u w:val="single"/>
              </w:rPr>
              <w:tab/>
            </w:r>
          </w:p>
          <w:p w14:paraId="4D79DFD4" w14:textId="77777777" w:rsidR="00BB77C0" w:rsidRDefault="00370BAA">
            <w:pPr>
              <w:pStyle w:val="TableParagraph"/>
              <w:tabs>
                <w:tab w:val="left" w:pos="4671"/>
              </w:tabs>
              <w:spacing w:before="18" w:line="213" w:lineRule="auto"/>
              <w:ind w:left="146" w:right="4699"/>
            </w:pPr>
            <w:r>
              <w:t xml:space="preserve">Telephone/Fax numbers: </w:t>
            </w:r>
            <w:r>
              <w:rPr>
                <w:u w:val="single"/>
              </w:rPr>
              <w:tab/>
            </w:r>
            <w:r>
              <w:t xml:space="preserve"> E-mail</w:t>
            </w:r>
            <w:r>
              <w:rPr>
                <w:spacing w:val="-21"/>
              </w:rPr>
              <w:t xml:space="preserve"> </w:t>
            </w:r>
            <w:r>
              <w:t>address:</w:t>
            </w:r>
          </w:p>
        </w:tc>
      </w:tr>
      <w:tr w:rsidR="00BB77C0" w14:paraId="50E8C3DC" w14:textId="77777777">
        <w:trPr>
          <w:trHeight w:val="2505"/>
        </w:trPr>
        <w:tc>
          <w:tcPr>
            <w:tcW w:w="9378" w:type="dxa"/>
            <w:tcBorders>
              <w:top w:val="double" w:sz="2" w:space="0" w:color="000000"/>
            </w:tcBorders>
          </w:tcPr>
          <w:p w14:paraId="484FAA0F" w14:textId="77777777" w:rsidR="00BB77C0" w:rsidRDefault="00370BAA">
            <w:pPr>
              <w:pStyle w:val="TableParagraph"/>
              <w:numPr>
                <w:ilvl w:val="0"/>
                <w:numId w:val="60"/>
              </w:numPr>
              <w:tabs>
                <w:tab w:val="left" w:pos="361"/>
              </w:tabs>
              <w:spacing w:before="221"/>
              <w:ind w:left="361" w:hanging="215"/>
              <w:jc w:val="both"/>
            </w:pPr>
            <w:r>
              <w:rPr>
                <w:spacing w:val="-2"/>
              </w:rPr>
              <w:t>Attached</w:t>
            </w:r>
            <w:r>
              <w:rPr>
                <w:spacing w:val="-12"/>
              </w:rPr>
              <w:t xml:space="preserve"> </w:t>
            </w:r>
            <w:r>
              <w:rPr>
                <w:spacing w:val="-2"/>
              </w:rPr>
              <w:t>are</w:t>
            </w:r>
            <w:r>
              <w:rPr>
                <w:spacing w:val="-12"/>
              </w:rPr>
              <w:t xml:space="preserve"> </w:t>
            </w:r>
            <w:r>
              <w:rPr>
                <w:spacing w:val="-2"/>
              </w:rPr>
              <w:t>copies</w:t>
            </w:r>
            <w:r>
              <w:rPr>
                <w:spacing w:val="-11"/>
              </w:rPr>
              <w:t xml:space="preserve"> </w:t>
            </w:r>
            <w:r>
              <w:rPr>
                <w:spacing w:val="-2"/>
              </w:rPr>
              <w:t>of</w:t>
            </w:r>
            <w:r>
              <w:rPr>
                <w:spacing w:val="-7"/>
              </w:rPr>
              <w:t xml:space="preserve"> </w:t>
            </w:r>
            <w:r>
              <w:rPr>
                <w:spacing w:val="-2"/>
              </w:rPr>
              <w:t>original</w:t>
            </w:r>
            <w:r>
              <w:rPr>
                <w:spacing w:val="-10"/>
              </w:rPr>
              <w:t xml:space="preserve"> </w:t>
            </w:r>
            <w:r>
              <w:rPr>
                <w:spacing w:val="-2"/>
              </w:rPr>
              <w:t>documents</w:t>
            </w:r>
            <w:r>
              <w:rPr>
                <w:spacing w:val="-5"/>
              </w:rPr>
              <w:t xml:space="preserve"> of</w:t>
            </w:r>
          </w:p>
          <w:p w14:paraId="333BE122" w14:textId="77777777" w:rsidR="00BB77C0" w:rsidRDefault="00370BAA">
            <w:pPr>
              <w:pStyle w:val="TableParagraph"/>
              <w:numPr>
                <w:ilvl w:val="1"/>
                <w:numId w:val="60"/>
              </w:numPr>
              <w:tabs>
                <w:tab w:val="left" w:pos="394"/>
              </w:tabs>
              <w:spacing w:before="8" w:line="237" w:lineRule="auto"/>
              <w:ind w:right="361" w:firstLine="0"/>
              <w:jc w:val="both"/>
            </w:pPr>
            <w:r>
              <w:rPr>
                <w:spacing w:val="-2"/>
              </w:rPr>
              <w:t>Articles</w:t>
            </w:r>
            <w:r>
              <w:rPr>
                <w:spacing w:val="-12"/>
              </w:rPr>
              <w:t xml:space="preserve"> </w:t>
            </w:r>
            <w:r>
              <w:rPr>
                <w:spacing w:val="-2"/>
              </w:rPr>
              <w:t>of</w:t>
            </w:r>
            <w:r>
              <w:rPr>
                <w:spacing w:val="-12"/>
              </w:rPr>
              <w:t xml:space="preserve"> </w:t>
            </w:r>
            <w:r>
              <w:rPr>
                <w:spacing w:val="-2"/>
              </w:rPr>
              <w:t>Incorporation</w:t>
            </w:r>
            <w:r>
              <w:rPr>
                <w:spacing w:val="-12"/>
              </w:rPr>
              <w:t xml:space="preserve"> </w:t>
            </w:r>
            <w:r>
              <w:rPr>
                <w:spacing w:val="-2"/>
              </w:rPr>
              <w:t>(or</w:t>
            </w:r>
            <w:r>
              <w:rPr>
                <w:spacing w:val="-11"/>
              </w:rPr>
              <w:t xml:space="preserve"> </w:t>
            </w:r>
            <w:r>
              <w:rPr>
                <w:spacing w:val="-2"/>
              </w:rPr>
              <w:t>equivalent</w:t>
            </w:r>
            <w:r>
              <w:rPr>
                <w:spacing w:val="-7"/>
              </w:rPr>
              <w:t xml:space="preserve"> </w:t>
            </w:r>
            <w:r>
              <w:rPr>
                <w:spacing w:val="-2"/>
              </w:rPr>
              <w:t>documents</w:t>
            </w:r>
            <w:r>
              <w:rPr>
                <w:spacing w:val="-9"/>
              </w:rPr>
              <w:t xml:space="preserve"> </w:t>
            </w:r>
            <w:r>
              <w:rPr>
                <w:spacing w:val="-2"/>
              </w:rPr>
              <w:t>of</w:t>
            </w:r>
            <w:r>
              <w:rPr>
                <w:spacing w:val="-12"/>
              </w:rPr>
              <w:t xml:space="preserve"> </w:t>
            </w:r>
            <w:r>
              <w:rPr>
                <w:spacing w:val="-2"/>
              </w:rPr>
              <w:t>constitution</w:t>
            </w:r>
            <w:r>
              <w:rPr>
                <w:spacing w:val="-12"/>
              </w:rPr>
              <w:t xml:space="preserve"> </w:t>
            </w:r>
            <w:r>
              <w:rPr>
                <w:spacing w:val="-2"/>
              </w:rPr>
              <w:t>or</w:t>
            </w:r>
            <w:r>
              <w:rPr>
                <w:spacing w:val="-12"/>
              </w:rPr>
              <w:t xml:space="preserve"> </w:t>
            </w:r>
            <w:r>
              <w:rPr>
                <w:spacing w:val="-2"/>
              </w:rPr>
              <w:t>association),</w:t>
            </w:r>
            <w:r>
              <w:rPr>
                <w:spacing w:val="-11"/>
              </w:rPr>
              <w:t xml:space="preserve"> </w:t>
            </w:r>
            <w:r>
              <w:rPr>
                <w:spacing w:val="-2"/>
              </w:rPr>
              <w:t>and/or</w:t>
            </w:r>
            <w:r>
              <w:rPr>
                <w:spacing w:val="-12"/>
              </w:rPr>
              <w:t xml:space="preserve"> </w:t>
            </w:r>
            <w:r>
              <w:rPr>
                <w:spacing w:val="-2"/>
              </w:rPr>
              <w:t>registration documents</w:t>
            </w:r>
            <w:r>
              <w:rPr>
                <w:spacing w:val="-12"/>
              </w:rPr>
              <w:t xml:space="preserve"> </w:t>
            </w:r>
            <w:r>
              <w:rPr>
                <w:spacing w:val="-2"/>
              </w:rPr>
              <w:t>of</w:t>
            </w:r>
            <w:r>
              <w:rPr>
                <w:spacing w:val="-12"/>
              </w:rPr>
              <w:t xml:space="preserve"> </w:t>
            </w:r>
            <w:r>
              <w:rPr>
                <w:spacing w:val="-2"/>
              </w:rPr>
              <w:t>the</w:t>
            </w:r>
            <w:r>
              <w:rPr>
                <w:spacing w:val="-14"/>
              </w:rPr>
              <w:t xml:space="preserve"> </w:t>
            </w:r>
            <w:r>
              <w:rPr>
                <w:spacing w:val="-2"/>
              </w:rPr>
              <w:t>legal</w:t>
            </w:r>
            <w:r>
              <w:rPr>
                <w:spacing w:val="-21"/>
              </w:rPr>
              <w:t xml:space="preserve"> </w:t>
            </w:r>
            <w:r>
              <w:rPr>
                <w:spacing w:val="-2"/>
              </w:rPr>
              <w:t>entity</w:t>
            </w:r>
            <w:r>
              <w:rPr>
                <w:spacing w:val="-21"/>
              </w:rPr>
              <w:t xml:space="preserve"> </w:t>
            </w:r>
            <w:r>
              <w:rPr>
                <w:spacing w:val="-2"/>
              </w:rPr>
              <w:t>named</w:t>
            </w:r>
            <w:r>
              <w:rPr>
                <w:spacing w:val="-22"/>
              </w:rPr>
              <w:t xml:space="preserve"> </w:t>
            </w:r>
            <w:r>
              <w:rPr>
                <w:spacing w:val="-2"/>
              </w:rPr>
              <w:t>above,</w:t>
            </w:r>
            <w:r>
              <w:rPr>
                <w:spacing w:val="-19"/>
              </w:rPr>
              <w:t xml:space="preserve"> </w:t>
            </w:r>
            <w:r>
              <w:rPr>
                <w:spacing w:val="-2"/>
              </w:rPr>
              <w:t>in</w:t>
            </w:r>
            <w:r>
              <w:rPr>
                <w:spacing w:val="-22"/>
              </w:rPr>
              <w:t xml:space="preserve"> </w:t>
            </w:r>
            <w:r>
              <w:rPr>
                <w:spacing w:val="-2"/>
              </w:rPr>
              <w:t>accordance</w:t>
            </w:r>
            <w:r>
              <w:rPr>
                <w:spacing w:val="-24"/>
              </w:rPr>
              <w:t xml:space="preserve"> </w:t>
            </w:r>
            <w:r>
              <w:rPr>
                <w:spacing w:val="-2"/>
              </w:rPr>
              <w:t>with</w:t>
            </w:r>
            <w:r>
              <w:rPr>
                <w:spacing w:val="-22"/>
              </w:rPr>
              <w:t xml:space="preserve"> </w:t>
            </w:r>
            <w:r>
              <w:rPr>
                <w:spacing w:val="-2"/>
              </w:rPr>
              <w:t>ITT</w:t>
            </w:r>
            <w:r>
              <w:rPr>
                <w:spacing w:val="-22"/>
              </w:rPr>
              <w:t xml:space="preserve"> </w:t>
            </w:r>
            <w:r>
              <w:rPr>
                <w:spacing w:val="-2"/>
              </w:rPr>
              <w:t>3.6.</w:t>
            </w:r>
          </w:p>
          <w:p w14:paraId="1B38AD78" w14:textId="77777777" w:rsidR="00BB77C0" w:rsidRDefault="00370BAA">
            <w:pPr>
              <w:pStyle w:val="TableParagraph"/>
              <w:numPr>
                <w:ilvl w:val="1"/>
                <w:numId w:val="60"/>
              </w:numPr>
              <w:tabs>
                <w:tab w:val="left" w:pos="394"/>
              </w:tabs>
              <w:spacing w:line="242" w:lineRule="auto"/>
              <w:ind w:right="73" w:firstLine="0"/>
              <w:jc w:val="both"/>
            </w:pPr>
            <w:r>
              <w:t>In</w:t>
            </w:r>
            <w:r>
              <w:rPr>
                <w:spacing w:val="-14"/>
              </w:rPr>
              <w:t xml:space="preserve"> </w:t>
            </w:r>
            <w:r>
              <w:t>case</w:t>
            </w:r>
            <w:r>
              <w:rPr>
                <w:spacing w:val="-14"/>
              </w:rPr>
              <w:t xml:space="preserve"> </w:t>
            </w:r>
            <w:r>
              <w:t>of</w:t>
            </w:r>
            <w:r>
              <w:rPr>
                <w:spacing w:val="-14"/>
              </w:rPr>
              <w:t xml:space="preserve"> </w:t>
            </w:r>
            <w:r>
              <w:t>a</w:t>
            </w:r>
            <w:r>
              <w:rPr>
                <w:spacing w:val="-13"/>
              </w:rPr>
              <w:t xml:space="preserve"> </w:t>
            </w:r>
            <w:r>
              <w:t>state-owned</w:t>
            </w:r>
            <w:r>
              <w:rPr>
                <w:spacing w:val="-14"/>
              </w:rPr>
              <w:t xml:space="preserve"> </w:t>
            </w:r>
            <w:r>
              <w:t>enterprise</w:t>
            </w:r>
            <w:r>
              <w:rPr>
                <w:spacing w:val="-14"/>
              </w:rPr>
              <w:t xml:space="preserve"> </w:t>
            </w:r>
            <w:r>
              <w:t>or</w:t>
            </w:r>
            <w:r>
              <w:rPr>
                <w:spacing w:val="-14"/>
              </w:rPr>
              <w:t xml:space="preserve"> </w:t>
            </w:r>
            <w:r>
              <w:t>institution,</w:t>
            </w:r>
            <w:r>
              <w:rPr>
                <w:spacing w:val="-13"/>
              </w:rPr>
              <w:t xml:space="preserve"> </w:t>
            </w:r>
            <w:r>
              <w:t>documents</w:t>
            </w:r>
            <w:r>
              <w:rPr>
                <w:spacing w:val="-14"/>
              </w:rPr>
              <w:t xml:space="preserve"> </w:t>
            </w:r>
            <w:r>
              <w:t>establishing</w:t>
            </w:r>
            <w:r>
              <w:rPr>
                <w:spacing w:val="-14"/>
              </w:rPr>
              <w:t xml:space="preserve"> </w:t>
            </w:r>
            <w:r>
              <w:t>legal</w:t>
            </w:r>
            <w:r>
              <w:rPr>
                <w:spacing w:val="-14"/>
              </w:rPr>
              <w:t xml:space="preserve"> </w:t>
            </w:r>
            <w:r>
              <w:t>and</w:t>
            </w:r>
            <w:r>
              <w:rPr>
                <w:spacing w:val="-13"/>
              </w:rPr>
              <w:t xml:space="preserve"> </w:t>
            </w:r>
            <w:r>
              <w:t>financial</w:t>
            </w:r>
            <w:r>
              <w:rPr>
                <w:spacing w:val="-14"/>
              </w:rPr>
              <w:t xml:space="preserve"> </w:t>
            </w:r>
            <w:r>
              <w:t>autonomy, operation</w:t>
            </w:r>
            <w:r>
              <w:rPr>
                <w:spacing w:val="-16"/>
              </w:rPr>
              <w:t xml:space="preserve"> </w:t>
            </w:r>
            <w:r>
              <w:t>in</w:t>
            </w:r>
            <w:r>
              <w:rPr>
                <w:spacing w:val="-14"/>
              </w:rPr>
              <w:t xml:space="preserve"> </w:t>
            </w:r>
            <w:r>
              <w:t>accordance</w:t>
            </w:r>
            <w:r>
              <w:rPr>
                <w:spacing w:val="-14"/>
              </w:rPr>
              <w:t xml:space="preserve"> </w:t>
            </w:r>
            <w:r>
              <w:t>with</w:t>
            </w:r>
            <w:r>
              <w:rPr>
                <w:spacing w:val="-13"/>
              </w:rPr>
              <w:t xml:space="preserve"> </w:t>
            </w:r>
            <w:r>
              <w:t>commercial</w:t>
            </w:r>
            <w:r>
              <w:rPr>
                <w:spacing w:val="-14"/>
              </w:rPr>
              <w:t xml:space="preserve"> </w:t>
            </w:r>
            <w:r>
              <w:t>law,</w:t>
            </w:r>
            <w:r>
              <w:rPr>
                <w:spacing w:val="-14"/>
              </w:rPr>
              <w:t xml:space="preserve"> </w:t>
            </w:r>
            <w:r>
              <w:t>and</w:t>
            </w:r>
            <w:r>
              <w:rPr>
                <w:spacing w:val="-14"/>
              </w:rPr>
              <w:t xml:space="preserve"> </w:t>
            </w:r>
            <w:r>
              <w:t>that</w:t>
            </w:r>
            <w:r>
              <w:rPr>
                <w:spacing w:val="-13"/>
              </w:rPr>
              <w:t xml:space="preserve"> </w:t>
            </w:r>
            <w:r>
              <w:t>they</w:t>
            </w:r>
            <w:r>
              <w:rPr>
                <w:spacing w:val="-14"/>
              </w:rPr>
              <w:t xml:space="preserve"> </w:t>
            </w:r>
            <w:r>
              <w:t>are</w:t>
            </w:r>
            <w:r>
              <w:rPr>
                <w:spacing w:val="-14"/>
              </w:rPr>
              <w:t xml:space="preserve"> </w:t>
            </w:r>
            <w:r>
              <w:t>not</w:t>
            </w:r>
            <w:r>
              <w:rPr>
                <w:spacing w:val="-14"/>
              </w:rPr>
              <w:t xml:space="preserve"> </w:t>
            </w:r>
            <w:r>
              <w:t>under</w:t>
            </w:r>
            <w:r>
              <w:rPr>
                <w:spacing w:val="-13"/>
              </w:rPr>
              <w:t xml:space="preserve"> </w:t>
            </w:r>
            <w:r>
              <w:t>the</w:t>
            </w:r>
            <w:r>
              <w:rPr>
                <w:spacing w:val="-14"/>
              </w:rPr>
              <w:t xml:space="preserve"> </w:t>
            </w:r>
            <w:r>
              <w:t>supervision</w:t>
            </w:r>
            <w:r>
              <w:rPr>
                <w:spacing w:val="-14"/>
              </w:rPr>
              <w:t xml:space="preserve"> </w:t>
            </w:r>
            <w:r>
              <w:t>of</w:t>
            </w:r>
            <w:r>
              <w:rPr>
                <w:spacing w:val="-14"/>
              </w:rPr>
              <w:t xml:space="preserve"> </w:t>
            </w:r>
            <w:r>
              <w:t>the</w:t>
            </w:r>
            <w:r>
              <w:rPr>
                <w:spacing w:val="-13"/>
              </w:rPr>
              <w:t xml:space="preserve"> </w:t>
            </w:r>
            <w:r>
              <w:t>Procuring Entity, in accordance with ITT 3.8.</w:t>
            </w:r>
          </w:p>
          <w:p w14:paraId="68639F72" w14:textId="77777777" w:rsidR="00BB77C0" w:rsidRDefault="00370BAA">
            <w:pPr>
              <w:pStyle w:val="TableParagraph"/>
              <w:spacing w:before="243"/>
              <w:ind w:left="146"/>
              <w:jc w:val="both"/>
            </w:pPr>
            <w:r>
              <w:rPr>
                <w:spacing w:val="-2"/>
              </w:rPr>
              <w:t>2.</w:t>
            </w:r>
            <w:r>
              <w:rPr>
                <w:spacing w:val="-14"/>
              </w:rPr>
              <w:t xml:space="preserve"> </w:t>
            </w:r>
            <w:r>
              <w:rPr>
                <w:spacing w:val="-2"/>
              </w:rPr>
              <w:t>Included</w:t>
            </w:r>
            <w:r>
              <w:rPr>
                <w:spacing w:val="-9"/>
              </w:rPr>
              <w:t xml:space="preserve"> </w:t>
            </w:r>
            <w:r>
              <w:rPr>
                <w:spacing w:val="-2"/>
              </w:rPr>
              <w:t>are</w:t>
            </w:r>
            <w:r>
              <w:rPr>
                <w:spacing w:val="-11"/>
              </w:rPr>
              <w:t xml:space="preserve"> </w:t>
            </w:r>
            <w:r>
              <w:rPr>
                <w:spacing w:val="-2"/>
              </w:rPr>
              <w:t>the</w:t>
            </w:r>
            <w:r>
              <w:rPr>
                <w:spacing w:val="-10"/>
              </w:rPr>
              <w:t xml:space="preserve"> </w:t>
            </w:r>
            <w:r>
              <w:rPr>
                <w:spacing w:val="-2"/>
              </w:rPr>
              <w:t>organizational</w:t>
            </w:r>
            <w:r>
              <w:rPr>
                <w:spacing w:val="-6"/>
              </w:rPr>
              <w:t xml:space="preserve"> </w:t>
            </w:r>
            <w:r>
              <w:rPr>
                <w:spacing w:val="-2"/>
              </w:rPr>
              <w:t>chart</w:t>
            </w:r>
            <w:r>
              <w:rPr>
                <w:spacing w:val="-12"/>
              </w:rPr>
              <w:t xml:space="preserve"> </w:t>
            </w:r>
            <w:r>
              <w:rPr>
                <w:spacing w:val="-2"/>
              </w:rPr>
              <w:t>and</w:t>
            </w:r>
            <w:r>
              <w:rPr>
                <w:spacing w:val="-12"/>
              </w:rPr>
              <w:t xml:space="preserve"> </w:t>
            </w:r>
            <w:r>
              <w:rPr>
                <w:spacing w:val="-2"/>
              </w:rPr>
              <w:t>a</w:t>
            </w:r>
            <w:r>
              <w:rPr>
                <w:spacing w:val="-1"/>
              </w:rPr>
              <w:t xml:space="preserve"> </w:t>
            </w:r>
            <w:r>
              <w:rPr>
                <w:spacing w:val="-2"/>
              </w:rPr>
              <w:t>list</w:t>
            </w:r>
            <w:r>
              <w:rPr>
                <w:spacing w:val="-4"/>
              </w:rPr>
              <w:t xml:space="preserve"> </w:t>
            </w:r>
            <w:r>
              <w:rPr>
                <w:spacing w:val="-2"/>
              </w:rPr>
              <w:t>of</w:t>
            </w:r>
            <w:r>
              <w:rPr>
                <w:spacing w:val="-5"/>
              </w:rPr>
              <w:t xml:space="preserve"> </w:t>
            </w:r>
            <w:r>
              <w:rPr>
                <w:spacing w:val="-2"/>
              </w:rPr>
              <w:t>Board</w:t>
            </w:r>
            <w:r>
              <w:rPr>
                <w:spacing w:val="-8"/>
              </w:rPr>
              <w:t xml:space="preserve"> </w:t>
            </w:r>
            <w:r>
              <w:rPr>
                <w:spacing w:val="-2"/>
              </w:rPr>
              <w:t>of</w:t>
            </w:r>
            <w:r>
              <w:rPr>
                <w:spacing w:val="-5"/>
              </w:rPr>
              <w:t xml:space="preserve"> </w:t>
            </w:r>
            <w:r>
              <w:rPr>
                <w:spacing w:val="-2"/>
              </w:rPr>
              <w:t>Directors.</w:t>
            </w:r>
          </w:p>
        </w:tc>
      </w:tr>
    </w:tbl>
    <w:p w14:paraId="0CAEBAE6" w14:textId="77777777" w:rsidR="00BB77C0" w:rsidRDefault="00BB77C0">
      <w:pPr>
        <w:pStyle w:val="TableParagraph"/>
        <w:jc w:val="both"/>
        <w:sectPr w:rsidR="00BB77C0">
          <w:pgSz w:w="11920" w:h="16850"/>
          <w:pgMar w:top="0" w:right="0" w:bottom="0" w:left="360" w:header="720" w:footer="720" w:gutter="0"/>
          <w:cols w:space="720"/>
        </w:sectPr>
      </w:pPr>
    </w:p>
    <w:p w14:paraId="2644B337" w14:textId="77777777" w:rsidR="00BB77C0" w:rsidRDefault="00370BAA">
      <w:pPr>
        <w:pStyle w:val="BodyText"/>
        <w:rPr>
          <w:sz w:val="24"/>
        </w:rPr>
      </w:pPr>
      <w:r>
        <w:rPr>
          <w:noProof/>
          <w:sz w:val="24"/>
        </w:rPr>
        <w:lastRenderedPageBreak/>
        <mc:AlternateContent>
          <mc:Choice Requires="wpg">
            <w:drawing>
              <wp:anchor distT="0" distB="0" distL="0" distR="0" simplePos="0" relativeHeight="15742464" behindDoc="0" locked="0" layoutInCell="1" allowOverlap="1" wp14:anchorId="147929A5" wp14:editId="073F64A1">
                <wp:simplePos x="0" y="0"/>
                <wp:positionH relativeFrom="page">
                  <wp:posOffset>0</wp:posOffset>
                </wp:positionH>
                <wp:positionV relativeFrom="page">
                  <wp:posOffset>0</wp:posOffset>
                </wp:positionV>
                <wp:extent cx="7559675" cy="228600"/>
                <wp:effectExtent l="0" t="0" r="0" b="0"/>
                <wp:wrapNone/>
                <wp:docPr id="105"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675" cy="228600"/>
                          <a:chOff x="0" y="0"/>
                          <a:chExt cx="7559675" cy="228600"/>
                        </a:xfrm>
                      </wpg:grpSpPr>
                      <wps:wsp>
                        <wps:cNvPr id="106" name="Graphic 106"/>
                        <wps:cNvSpPr/>
                        <wps:spPr>
                          <a:xfrm>
                            <a:off x="848283" y="0"/>
                            <a:ext cx="6711950" cy="228600"/>
                          </a:xfrm>
                          <a:custGeom>
                            <a:avLst/>
                            <a:gdLst/>
                            <a:ahLst/>
                            <a:cxnLst/>
                            <a:rect l="l" t="t" r="r" b="b"/>
                            <a:pathLst>
                              <a:path w="6711950" h="228600">
                                <a:moveTo>
                                  <a:pt x="6711391" y="0"/>
                                </a:moveTo>
                                <a:lnTo>
                                  <a:pt x="0" y="0"/>
                                </a:lnTo>
                                <a:lnTo>
                                  <a:pt x="184137" y="228600"/>
                                </a:lnTo>
                                <a:lnTo>
                                  <a:pt x="6711391" y="223520"/>
                                </a:lnTo>
                                <a:lnTo>
                                  <a:pt x="6711391" y="0"/>
                                </a:lnTo>
                                <a:close/>
                              </a:path>
                            </a:pathLst>
                          </a:custGeom>
                          <a:solidFill>
                            <a:srgbClr val="E6E7E8"/>
                          </a:solidFill>
                        </wps:spPr>
                        <wps:bodyPr wrap="square" lIns="0" tIns="0" rIns="0" bIns="0" rtlCol="0">
                          <a:prstTxWarp prst="textNoShape">
                            <a:avLst/>
                          </a:prstTxWarp>
                          <a:noAutofit/>
                        </wps:bodyPr>
                      </wps:wsp>
                      <wps:wsp>
                        <wps:cNvPr id="107" name="Graphic 107"/>
                        <wps:cNvSpPr/>
                        <wps:spPr>
                          <a:xfrm>
                            <a:off x="0" y="0"/>
                            <a:ext cx="655955" cy="228600"/>
                          </a:xfrm>
                          <a:custGeom>
                            <a:avLst/>
                            <a:gdLst/>
                            <a:ahLst/>
                            <a:cxnLst/>
                            <a:rect l="l" t="t" r="r" b="b"/>
                            <a:pathLst>
                              <a:path w="655955" h="228600">
                                <a:moveTo>
                                  <a:pt x="530174" y="0"/>
                                </a:moveTo>
                                <a:lnTo>
                                  <a:pt x="0" y="0"/>
                                </a:lnTo>
                                <a:lnTo>
                                  <a:pt x="0" y="228600"/>
                                </a:lnTo>
                                <a:lnTo>
                                  <a:pt x="655904" y="228600"/>
                                </a:lnTo>
                                <a:lnTo>
                                  <a:pt x="530174" y="0"/>
                                </a:lnTo>
                                <a:close/>
                              </a:path>
                            </a:pathLst>
                          </a:custGeom>
                          <a:solidFill>
                            <a:srgbClr val="00A650"/>
                          </a:solidFill>
                        </wps:spPr>
                        <wps:bodyPr wrap="square" lIns="0" tIns="0" rIns="0" bIns="0" rtlCol="0">
                          <a:prstTxWarp prst="textNoShape">
                            <a:avLst/>
                          </a:prstTxWarp>
                          <a:noAutofit/>
                        </wps:bodyPr>
                      </wps:wsp>
                      <wps:wsp>
                        <wps:cNvPr id="108" name="Graphic 108"/>
                        <wps:cNvSpPr/>
                        <wps:spPr>
                          <a:xfrm>
                            <a:off x="554304" y="0"/>
                            <a:ext cx="329565" cy="228600"/>
                          </a:xfrm>
                          <a:custGeom>
                            <a:avLst/>
                            <a:gdLst/>
                            <a:ahLst/>
                            <a:cxnLst/>
                            <a:rect l="l" t="t" r="r" b="b"/>
                            <a:pathLst>
                              <a:path w="329565" h="228600">
                                <a:moveTo>
                                  <a:pt x="203822" y="0"/>
                                </a:moveTo>
                                <a:lnTo>
                                  <a:pt x="0" y="0"/>
                                </a:lnTo>
                                <a:lnTo>
                                  <a:pt x="128904" y="228600"/>
                                </a:lnTo>
                                <a:lnTo>
                                  <a:pt x="329539" y="228600"/>
                                </a:lnTo>
                                <a:lnTo>
                                  <a:pt x="203822" y="0"/>
                                </a:lnTo>
                                <a:close/>
                              </a:path>
                            </a:pathLst>
                          </a:custGeom>
                          <a:solidFill>
                            <a:srgbClr val="EB1C22"/>
                          </a:solidFill>
                        </wps:spPr>
                        <wps:bodyPr wrap="square" lIns="0" tIns="0" rIns="0" bIns="0" rtlCol="0">
                          <a:prstTxWarp prst="textNoShape">
                            <a:avLst/>
                          </a:prstTxWarp>
                          <a:noAutofit/>
                        </wps:bodyPr>
                      </wps:wsp>
                      <wps:wsp>
                        <wps:cNvPr id="109" name="Graphic 109"/>
                        <wps:cNvSpPr/>
                        <wps:spPr>
                          <a:xfrm>
                            <a:off x="783526" y="0"/>
                            <a:ext cx="329565" cy="228600"/>
                          </a:xfrm>
                          <a:custGeom>
                            <a:avLst/>
                            <a:gdLst/>
                            <a:ahLst/>
                            <a:cxnLst/>
                            <a:rect l="l" t="t" r="r" b="b"/>
                            <a:pathLst>
                              <a:path w="329565" h="228600">
                                <a:moveTo>
                                  <a:pt x="203822" y="0"/>
                                </a:moveTo>
                                <a:lnTo>
                                  <a:pt x="0" y="0"/>
                                </a:lnTo>
                                <a:lnTo>
                                  <a:pt x="128879" y="228600"/>
                                </a:lnTo>
                                <a:lnTo>
                                  <a:pt x="329539" y="228600"/>
                                </a:lnTo>
                                <a:lnTo>
                                  <a:pt x="203822" y="0"/>
                                </a:lnTo>
                                <a:close/>
                              </a:path>
                            </a:pathLst>
                          </a:custGeom>
                          <a:solidFill>
                            <a:srgbClr val="A7A9AC"/>
                          </a:solidFill>
                        </wps:spPr>
                        <wps:bodyPr wrap="square" lIns="0" tIns="0" rIns="0" bIns="0" rtlCol="0">
                          <a:prstTxWarp prst="textNoShape">
                            <a:avLst/>
                          </a:prstTxWarp>
                          <a:noAutofit/>
                        </wps:bodyPr>
                      </wps:wsp>
                    </wpg:wgp>
                  </a:graphicData>
                </a:graphic>
              </wp:anchor>
            </w:drawing>
          </mc:Choice>
          <mc:Fallback>
            <w:pict>
              <v:group w14:anchorId="5185DD35" id="Group 105" o:spid="_x0000_s1026" style="position:absolute;margin-left:0;margin-top:0;width:595.25pt;height:18pt;z-index:15742464;mso-wrap-distance-left:0;mso-wrap-distance-right:0;mso-position-horizontal-relative:page;mso-position-vertical-relative:page" coordsize="75596,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">
                <v:shape id="Graphic 106" o:spid="_x0000_s1027" style="position:absolute;left:8482;width:67120;height:2286;visibility:visible;mso-wrap-style:square;v-text-anchor:top" coordsize="67119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" path="m6711391,l,,184137,228600r6527254,-5080l6711391,xe" fillcolor="#e6e7e8" stroked="f">
                  <v:path arrowok="t"/>
                </v:shape>
                <v:shape id="Graphic 107" o:spid="_x0000_s1028" style="position:absolute;width:6559;height:2286;visibility:visible;mso-wrap-style:square;v-text-anchor:top" coordsize="65595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" path="m530174,l,,,228600r655904,l530174,xe" fillcolor="#00a650" stroked="f">
                  <v:path arrowok="t"/>
                </v:shape>
                <v:shape id="Graphic 108" o:spid="_x0000_s1029" style="position:absolute;left:5543;width:3295;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" path="m203822,l,,128904,228600r200635,l203822,xe" fillcolor="#eb1c22" stroked="f">
                  <v:path arrowok="t"/>
                </v:shape>
                <v:shape id="Graphic 109" o:spid="_x0000_s1030" style="position:absolute;left:7835;width:3295;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" path="m203822,l,,128879,228600r200660,l203822,xe" fillcolor="#a7a9ac" stroked="f">
                  <v:path arrowok="t"/>
                </v:shape>
                <w10:wrap anchorx="page" anchory="page"/>
              </v:group>
            </w:pict>
          </mc:Fallback>
        </mc:AlternateContent>
      </w:r>
      <w:r>
        <w:rPr>
          <w:noProof/>
          <w:sz w:val="24"/>
        </w:rPr>
        <mc:AlternateContent>
          <mc:Choice Requires="wpg">
            <w:drawing>
              <wp:anchor distT="0" distB="0" distL="0" distR="0" simplePos="0" relativeHeight="15742976" behindDoc="0" locked="0" layoutInCell="1" allowOverlap="1" wp14:anchorId="2604251E" wp14:editId="0810C552">
                <wp:simplePos x="0" y="0"/>
                <wp:positionH relativeFrom="page">
                  <wp:posOffset>0</wp:posOffset>
                </wp:positionH>
                <wp:positionV relativeFrom="page">
                  <wp:posOffset>10234295</wp:posOffset>
                </wp:positionV>
                <wp:extent cx="7559675" cy="457200"/>
                <wp:effectExtent l="0" t="0" r="0" b="0"/>
                <wp:wrapNone/>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675" cy="457200"/>
                          <a:chOff x="0" y="0"/>
                          <a:chExt cx="7559675" cy="457200"/>
                        </a:xfrm>
                      </wpg:grpSpPr>
                      <wps:wsp>
                        <wps:cNvPr id="111" name="Graphic 111"/>
                        <wps:cNvSpPr/>
                        <wps:spPr>
                          <a:xfrm>
                            <a:off x="0" y="5714"/>
                            <a:ext cx="1021080" cy="451484"/>
                          </a:xfrm>
                          <a:custGeom>
                            <a:avLst/>
                            <a:gdLst/>
                            <a:ahLst/>
                            <a:cxnLst/>
                            <a:rect l="l" t="t" r="r" b="b"/>
                            <a:pathLst>
                              <a:path w="1021080" h="451484">
                                <a:moveTo>
                                  <a:pt x="1020991" y="0"/>
                                </a:moveTo>
                                <a:lnTo>
                                  <a:pt x="0" y="0"/>
                                </a:lnTo>
                                <a:lnTo>
                                  <a:pt x="0" y="451483"/>
                                </a:lnTo>
                                <a:lnTo>
                                  <a:pt x="795591" y="451483"/>
                                </a:lnTo>
                                <a:lnTo>
                                  <a:pt x="1020991" y="0"/>
                                </a:lnTo>
                                <a:close/>
                              </a:path>
                            </a:pathLst>
                          </a:custGeom>
                          <a:solidFill>
                            <a:srgbClr val="CCE7D2"/>
                          </a:solidFill>
                        </wps:spPr>
                        <wps:bodyPr wrap="square" lIns="0" tIns="0" rIns="0" bIns="0" rtlCol="0">
                          <a:prstTxWarp prst="textNoShape">
                            <a:avLst/>
                          </a:prstTxWarp>
                          <a:noAutofit/>
                        </wps:bodyPr>
                      </wps:wsp>
                      <wps:wsp>
                        <wps:cNvPr id="112" name="Graphic 112"/>
                        <wps:cNvSpPr/>
                        <wps:spPr>
                          <a:xfrm>
                            <a:off x="0" y="6350"/>
                            <a:ext cx="7559675" cy="1270"/>
                          </a:xfrm>
                          <a:custGeom>
                            <a:avLst/>
                            <a:gdLst/>
                            <a:ahLst/>
                            <a:cxnLst/>
                            <a:rect l="l" t="t" r="r" b="b"/>
                            <a:pathLst>
                              <a:path w="7559675">
                                <a:moveTo>
                                  <a:pt x="0" y="0"/>
                                </a:moveTo>
                                <a:lnTo>
                                  <a:pt x="7559675" y="0"/>
                                </a:lnTo>
                              </a:path>
                            </a:pathLst>
                          </a:custGeom>
                          <a:ln w="12700">
                            <a:solidFill>
                              <a:srgbClr val="CCE7D2"/>
                            </a:solidFill>
                            <a:prstDash val="solid"/>
                          </a:ln>
                        </wps:spPr>
                        <wps:bodyPr wrap="square" lIns="0" tIns="0" rIns="0" bIns="0" rtlCol="0">
                          <a:prstTxWarp prst="textNoShape">
                            <a:avLst/>
                          </a:prstTxWarp>
                          <a:noAutofit/>
                        </wps:bodyPr>
                      </wps:wsp>
                      <wps:wsp>
                        <wps:cNvPr id="113" name="Textbox 113"/>
                        <wps:cNvSpPr txBox="1"/>
                        <wps:spPr>
                          <a:xfrm>
                            <a:off x="530656" y="37491"/>
                            <a:ext cx="147320" cy="155575"/>
                          </a:xfrm>
                          <a:prstGeom prst="rect">
                            <a:avLst/>
                          </a:prstGeom>
                        </wps:spPr>
                        <wps:txbx>
                          <w:txbxContent>
                            <w:p w14:paraId="1E417401" w14:textId="77777777" w:rsidR="00BB77C0" w:rsidRDefault="00370BAA">
                              <w:pPr>
                                <w:spacing w:line="244" w:lineRule="exact"/>
                              </w:pPr>
                              <w:r>
                                <w:rPr>
                                  <w:spacing w:val="-5"/>
                                </w:rPr>
                                <w:t>64</w:t>
                              </w:r>
                            </w:p>
                          </w:txbxContent>
                        </wps:txbx>
                        <wps:bodyPr wrap="square" lIns="0" tIns="0" rIns="0" bIns="0" rtlCol="0">
                          <a:noAutofit/>
                        </wps:bodyPr>
                      </wps:wsp>
                    </wpg:wgp>
                  </a:graphicData>
                </a:graphic>
              </wp:anchor>
            </w:drawing>
          </mc:Choice>
          <mc:Fallback>
            <w:pict>
              <v:group w14:anchorId="2604251E" id="Group 110" o:spid="_x0000_s1066" style="position:absolute;margin-left:0;margin-top:805.85pt;width:595.25pt;height:36pt;z-index:15742976;mso-wrap-distance-left:0;mso-wrap-distance-right:0;mso-position-horizontal-relative:page;mso-position-vertical-relative:page" coordsize="75596,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">
                <v:shape id="Graphic 111" o:spid="_x0000_s1067" style="position:absolute;top:57;width:10210;height:4514;visibility:visible;mso-wrap-style:square;v-text-anchor:top" coordsize="1021080,4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" path="m1020991,l,,,451483r795591,l1020991,xe" fillcolor="#cce7d2" stroked="f">
                  <v:path arrowok="t"/>
                </v:shape>
                <v:shape id="Graphic 112" o:spid="_x0000_s1068" style="position:absolute;top:63;width:75596;height:13;visibility:visible;mso-wrap-style:square;v-text-anchor:top" coordsize="75596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" path="m,l7559675,e" filled="f" strokecolor="#cce7d2" strokeweight="1pt">
                  <v:path arrowok="t"/>
                </v:shape>
                <v:shape id="Textbox 113" o:spid="_x0000_s1069" type="#_x0000_t202" style="position:absolute;left:5306;top:374;width:1473;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VlFwwAAANwAAAAPAAAAZHJzL2Rvd25yZXYueG1sRE9Na8JA&#10;EL0X+h+WKXhrNi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FNVZRcMAAADcAAAADwAA&#10;AAAAAAAAAAAAAAAHAgAAZHJzL2Rvd25yZXYueG1sUEsFBgAAAAADAAMAtwAAAPcCAAAAAA==&#10;" filled="f" stroked="f">
                  <v:textbox inset="0,0,0,0">
                    <w:txbxContent>
                      <w:p w14:paraId="1E417401" w14:textId="77777777" w:rsidR="00BB77C0" w:rsidRDefault="00370BAA">
                        <w:pPr>
                          <w:spacing w:line="244" w:lineRule="exact"/>
                        </w:pPr>
                        <w:r>
                          <w:rPr>
                            <w:spacing w:val="-5"/>
                          </w:rPr>
                          <w:t>64</w:t>
                        </w:r>
                      </w:p>
                    </w:txbxContent>
                  </v:textbox>
                </v:shape>
                <w10:wrap anchorx="page" anchory="page"/>
              </v:group>
            </w:pict>
          </mc:Fallback>
        </mc:AlternateContent>
      </w:r>
    </w:p>
    <w:p w14:paraId="349C1E85" w14:textId="77777777" w:rsidR="00BB77C0" w:rsidRDefault="00BB77C0">
      <w:pPr>
        <w:pStyle w:val="BodyText"/>
        <w:rPr>
          <w:sz w:val="24"/>
        </w:rPr>
      </w:pPr>
    </w:p>
    <w:p w14:paraId="644BB07A" w14:textId="77777777" w:rsidR="00BB77C0" w:rsidRDefault="00BB77C0">
      <w:pPr>
        <w:pStyle w:val="BodyText"/>
        <w:spacing w:before="260"/>
        <w:rPr>
          <w:sz w:val="24"/>
        </w:rPr>
      </w:pPr>
    </w:p>
    <w:p w14:paraId="46BE2232" w14:textId="77777777" w:rsidR="00BB77C0" w:rsidRDefault="00370BAA">
      <w:pPr>
        <w:pStyle w:val="Heading5"/>
        <w:numPr>
          <w:ilvl w:val="1"/>
          <w:numId w:val="64"/>
        </w:numPr>
        <w:tabs>
          <w:tab w:val="left" w:pos="844"/>
        </w:tabs>
        <w:ind w:left="844" w:hanging="359"/>
      </w:pPr>
      <w:bookmarkStart w:id="144" w:name="4.3_FORM_CON_–_2"/>
      <w:bookmarkEnd w:id="144"/>
      <w:r>
        <w:rPr>
          <w:u w:val="single"/>
        </w:rPr>
        <w:t>FORM CON –</w:t>
      </w:r>
      <w:r>
        <w:rPr>
          <w:spacing w:val="-3"/>
          <w:u w:val="single"/>
        </w:rPr>
        <w:t xml:space="preserve"> </w:t>
      </w:r>
      <w:r>
        <w:rPr>
          <w:spacing w:val="-10"/>
          <w:u w:val="single"/>
        </w:rPr>
        <w:t>2</w:t>
      </w:r>
    </w:p>
    <w:p w14:paraId="0732A4E5" w14:textId="77777777" w:rsidR="00BB77C0" w:rsidRDefault="00370BAA">
      <w:pPr>
        <w:pStyle w:val="Heading6"/>
        <w:spacing w:before="271"/>
        <w:ind w:left="360" w:firstLine="0"/>
      </w:pPr>
      <w:bookmarkStart w:id="145" w:name="Historical_Contract_Non-Performance,_Pen"/>
      <w:bookmarkEnd w:id="145"/>
      <w:r>
        <w:t>Historical</w:t>
      </w:r>
      <w:r>
        <w:rPr>
          <w:spacing w:val="-13"/>
        </w:rPr>
        <w:t xml:space="preserve"> </w:t>
      </w:r>
      <w:r>
        <w:t>Contract</w:t>
      </w:r>
      <w:r>
        <w:rPr>
          <w:spacing w:val="-1"/>
        </w:rPr>
        <w:t xml:space="preserve"> </w:t>
      </w:r>
      <w:r>
        <w:t>Non-Performance,</w:t>
      </w:r>
      <w:r>
        <w:rPr>
          <w:spacing w:val="-4"/>
        </w:rPr>
        <w:t xml:space="preserve"> </w:t>
      </w:r>
      <w:r>
        <w:t>Pending</w:t>
      </w:r>
      <w:r>
        <w:rPr>
          <w:spacing w:val="-7"/>
        </w:rPr>
        <w:t xml:space="preserve"> </w:t>
      </w:r>
      <w:r>
        <w:t>Litigation</w:t>
      </w:r>
      <w:r>
        <w:rPr>
          <w:spacing w:val="-4"/>
        </w:rPr>
        <w:t xml:space="preserve"> </w:t>
      </w:r>
      <w:r>
        <w:t>and</w:t>
      </w:r>
      <w:r>
        <w:rPr>
          <w:spacing w:val="-7"/>
        </w:rPr>
        <w:t xml:space="preserve"> </w:t>
      </w:r>
      <w:r>
        <w:t>Litigation</w:t>
      </w:r>
      <w:r>
        <w:rPr>
          <w:spacing w:val="-9"/>
        </w:rPr>
        <w:t xml:space="preserve"> </w:t>
      </w:r>
      <w:r>
        <w:rPr>
          <w:spacing w:val="-2"/>
        </w:rPr>
        <w:t>History</w:t>
      </w:r>
    </w:p>
    <w:p w14:paraId="3CEC98AB" w14:textId="77777777" w:rsidR="00BB77C0" w:rsidRDefault="00370BAA">
      <w:pPr>
        <w:pStyle w:val="BodyText"/>
        <w:tabs>
          <w:tab w:val="left" w:pos="3661"/>
        </w:tabs>
        <w:spacing w:before="252"/>
        <w:ind w:left="360"/>
      </w:pPr>
      <w:r>
        <w:t xml:space="preserve">Tenderer’s Name: </w:t>
      </w:r>
      <w:r>
        <w:rPr>
          <w:u w:val="single"/>
        </w:rPr>
        <w:tab/>
      </w:r>
    </w:p>
    <w:p w14:paraId="5BA9A9CB" w14:textId="77777777" w:rsidR="00BB77C0" w:rsidRDefault="00370BAA">
      <w:pPr>
        <w:pStyle w:val="BodyText"/>
        <w:tabs>
          <w:tab w:val="left" w:pos="3200"/>
        </w:tabs>
        <w:spacing w:before="2" w:line="251" w:lineRule="exact"/>
        <w:ind w:left="360"/>
      </w:pPr>
      <w:r>
        <w:t xml:space="preserve">Date: </w:t>
      </w:r>
      <w:r>
        <w:rPr>
          <w:u w:val="single"/>
        </w:rPr>
        <w:tab/>
      </w:r>
    </w:p>
    <w:p w14:paraId="16E3AA23" w14:textId="77777777" w:rsidR="00BB77C0" w:rsidRDefault="00370BAA">
      <w:pPr>
        <w:pStyle w:val="BodyText"/>
        <w:tabs>
          <w:tab w:val="left" w:pos="4746"/>
        </w:tabs>
        <w:ind w:left="360" w:right="6795"/>
      </w:pPr>
      <w:r>
        <w:t>JV Member’s Name</w:t>
      </w:r>
      <w:r>
        <w:rPr>
          <w:u w:val="single"/>
        </w:rPr>
        <w:tab/>
      </w:r>
      <w:r>
        <w:t xml:space="preserve"> </w:t>
      </w:r>
      <w:r>
        <w:rPr>
          <w:spacing w:val="-4"/>
        </w:rPr>
        <w:t>ITT</w:t>
      </w:r>
      <w:r>
        <w:rPr>
          <w:spacing w:val="-6"/>
        </w:rPr>
        <w:t xml:space="preserve"> </w:t>
      </w:r>
      <w:r>
        <w:rPr>
          <w:spacing w:val="-4"/>
        </w:rPr>
        <w:t>No.</w:t>
      </w:r>
      <w:r>
        <w:rPr>
          <w:spacing w:val="-8"/>
        </w:rPr>
        <w:t xml:space="preserve"> </w:t>
      </w:r>
      <w:r>
        <w:rPr>
          <w:spacing w:val="-4"/>
        </w:rPr>
        <w:t>and</w:t>
      </w:r>
      <w:r>
        <w:rPr>
          <w:spacing w:val="-10"/>
        </w:rPr>
        <w:t xml:space="preserve"> </w:t>
      </w:r>
      <w:r>
        <w:rPr>
          <w:spacing w:val="-4"/>
        </w:rPr>
        <w:t xml:space="preserve">title: </w:t>
      </w:r>
      <w:r>
        <w:rPr>
          <w:u w:val="single"/>
        </w:rPr>
        <w:tab/>
      </w:r>
    </w:p>
    <w:p w14:paraId="3702CEF1" w14:textId="77777777" w:rsidR="00BB77C0" w:rsidRDefault="00BB77C0">
      <w:pPr>
        <w:pStyle w:val="BodyText"/>
        <w:rPr>
          <w:sz w:val="20"/>
        </w:rPr>
      </w:pPr>
    </w:p>
    <w:p w14:paraId="01C9BF4F" w14:textId="77777777" w:rsidR="00BB77C0" w:rsidRDefault="00BB77C0">
      <w:pPr>
        <w:pStyle w:val="BodyText"/>
        <w:spacing w:before="53" w:after="1"/>
        <w:rPr>
          <w:sz w:val="20"/>
        </w:rPr>
      </w:pPr>
    </w:p>
    <w:tbl>
      <w:tblPr>
        <w:tblW w:w="0" w:type="auto"/>
        <w:tblInd w:w="36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970"/>
        <w:gridCol w:w="1528"/>
        <w:gridCol w:w="5134"/>
        <w:gridCol w:w="1763"/>
      </w:tblGrid>
      <w:tr w:rsidR="00BB77C0" w14:paraId="6FCFE0F2" w14:textId="77777777">
        <w:trPr>
          <w:trHeight w:val="249"/>
        </w:trPr>
        <w:tc>
          <w:tcPr>
            <w:tcW w:w="9395" w:type="dxa"/>
            <w:gridSpan w:val="4"/>
          </w:tcPr>
          <w:p w14:paraId="33BCDF50" w14:textId="77777777" w:rsidR="00BB77C0" w:rsidRDefault="00370BAA">
            <w:pPr>
              <w:pStyle w:val="TableParagraph"/>
              <w:spacing w:line="229" w:lineRule="exact"/>
              <w:ind w:left="7"/>
            </w:pPr>
            <w:r>
              <w:rPr>
                <w:spacing w:val="-4"/>
              </w:rPr>
              <w:t>Non-Performed</w:t>
            </w:r>
            <w:r>
              <w:rPr>
                <w:spacing w:val="-16"/>
              </w:rPr>
              <w:t xml:space="preserve"> </w:t>
            </w:r>
            <w:r>
              <w:rPr>
                <w:spacing w:val="-4"/>
              </w:rPr>
              <w:t>Contracts</w:t>
            </w:r>
            <w:r>
              <w:rPr>
                <w:spacing w:val="-12"/>
              </w:rPr>
              <w:t xml:space="preserve"> </w:t>
            </w:r>
            <w:r>
              <w:rPr>
                <w:spacing w:val="-4"/>
              </w:rPr>
              <w:t>in</w:t>
            </w:r>
            <w:r>
              <w:rPr>
                <w:spacing w:val="-17"/>
              </w:rPr>
              <w:t xml:space="preserve"> </w:t>
            </w:r>
            <w:r>
              <w:rPr>
                <w:spacing w:val="-4"/>
              </w:rPr>
              <w:t>accordance</w:t>
            </w:r>
            <w:r>
              <w:rPr>
                <w:spacing w:val="-14"/>
              </w:rPr>
              <w:t xml:space="preserve"> </w:t>
            </w:r>
            <w:r>
              <w:rPr>
                <w:spacing w:val="-4"/>
              </w:rPr>
              <w:t>with</w:t>
            </w:r>
            <w:r>
              <w:rPr>
                <w:spacing w:val="-16"/>
              </w:rPr>
              <w:t xml:space="preserve"> </w:t>
            </w:r>
            <w:r>
              <w:rPr>
                <w:spacing w:val="-4"/>
              </w:rPr>
              <w:t>Section</w:t>
            </w:r>
            <w:r>
              <w:rPr>
                <w:spacing w:val="-16"/>
              </w:rPr>
              <w:t xml:space="preserve"> </w:t>
            </w:r>
            <w:r>
              <w:rPr>
                <w:spacing w:val="-4"/>
              </w:rPr>
              <w:t>III,</w:t>
            </w:r>
            <w:r>
              <w:rPr>
                <w:spacing w:val="-9"/>
              </w:rPr>
              <w:t xml:space="preserve"> </w:t>
            </w:r>
            <w:r>
              <w:rPr>
                <w:spacing w:val="-4"/>
              </w:rPr>
              <w:t>Evaluation</w:t>
            </w:r>
            <w:r>
              <w:rPr>
                <w:spacing w:val="-17"/>
              </w:rPr>
              <w:t xml:space="preserve"> </w:t>
            </w:r>
            <w:r>
              <w:rPr>
                <w:spacing w:val="-4"/>
              </w:rPr>
              <w:t>and</w:t>
            </w:r>
            <w:r>
              <w:rPr>
                <w:spacing w:val="-17"/>
              </w:rPr>
              <w:t xml:space="preserve"> </w:t>
            </w:r>
            <w:r>
              <w:rPr>
                <w:spacing w:val="-4"/>
              </w:rPr>
              <w:t>Qualification</w:t>
            </w:r>
            <w:r>
              <w:rPr>
                <w:spacing w:val="-15"/>
              </w:rPr>
              <w:t xml:space="preserve"> </w:t>
            </w:r>
            <w:r>
              <w:rPr>
                <w:spacing w:val="-4"/>
              </w:rPr>
              <w:t>Criteria</w:t>
            </w:r>
          </w:p>
        </w:tc>
      </w:tr>
      <w:tr w:rsidR="00BB77C0" w14:paraId="4957447A" w14:textId="77777777">
        <w:trPr>
          <w:trHeight w:val="1521"/>
        </w:trPr>
        <w:tc>
          <w:tcPr>
            <w:tcW w:w="9395" w:type="dxa"/>
            <w:gridSpan w:val="4"/>
          </w:tcPr>
          <w:p w14:paraId="14F58F70" w14:textId="77777777" w:rsidR="00BB77C0" w:rsidRDefault="00370BAA">
            <w:pPr>
              <w:pStyle w:val="TableParagraph"/>
              <w:numPr>
                <w:ilvl w:val="0"/>
                <w:numId w:val="59"/>
              </w:numPr>
              <w:tabs>
                <w:tab w:val="left" w:pos="727"/>
              </w:tabs>
              <w:spacing w:line="242" w:lineRule="auto"/>
              <w:ind w:right="929" w:firstLine="0"/>
            </w:pPr>
            <w:r>
              <w:rPr>
                <w:spacing w:val="-6"/>
              </w:rPr>
              <w:t>Contract</w:t>
            </w:r>
            <w:r>
              <w:rPr>
                <w:spacing w:val="-14"/>
              </w:rPr>
              <w:t xml:space="preserve"> </w:t>
            </w:r>
            <w:r>
              <w:rPr>
                <w:spacing w:val="-6"/>
              </w:rPr>
              <w:t>non-performance</w:t>
            </w:r>
            <w:r>
              <w:rPr>
                <w:spacing w:val="-17"/>
              </w:rPr>
              <w:t xml:space="preserve"> </w:t>
            </w:r>
            <w:r>
              <w:rPr>
                <w:spacing w:val="-6"/>
              </w:rPr>
              <w:t>did</w:t>
            </w:r>
            <w:r>
              <w:rPr>
                <w:spacing w:val="-15"/>
              </w:rPr>
              <w:t xml:space="preserve"> </w:t>
            </w:r>
            <w:r>
              <w:rPr>
                <w:spacing w:val="-6"/>
              </w:rPr>
              <w:t>not occur</w:t>
            </w:r>
            <w:r>
              <w:rPr>
                <w:spacing w:val="-11"/>
              </w:rPr>
              <w:t xml:space="preserve"> </w:t>
            </w:r>
            <w:r>
              <w:rPr>
                <w:spacing w:val="-6"/>
              </w:rPr>
              <w:t>since</w:t>
            </w:r>
            <w:r>
              <w:rPr>
                <w:spacing w:val="-17"/>
              </w:rPr>
              <w:t xml:space="preserve"> </w:t>
            </w:r>
            <w:r>
              <w:rPr>
                <w:spacing w:val="-6"/>
              </w:rPr>
              <w:t>1</w:t>
            </w:r>
            <w:r>
              <w:rPr>
                <w:spacing w:val="-6"/>
                <w:vertAlign w:val="superscript"/>
              </w:rPr>
              <w:t>st</w:t>
            </w:r>
            <w:r>
              <w:rPr>
                <w:spacing w:val="-11"/>
              </w:rPr>
              <w:t xml:space="preserve"> </w:t>
            </w:r>
            <w:r>
              <w:rPr>
                <w:spacing w:val="-6"/>
              </w:rPr>
              <w:t>January</w:t>
            </w:r>
            <w:r>
              <w:rPr>
                <w:spacing w:val="-20"/>
              </w:rPr>
              <w:t xml:space="preserve"> </w:t>
            </w:r>
            <w:r>
              <w:rPr>
                <w:i/>
                <w:spacing w:val="-6"/>
              </w:rPr>
              <w:t>[insert</w:t>
            </w:r>
            <w:r>
              <w:rPr>
                <w:i/>
                <w:spacing w:val="-9"/>
              </w:rPr>
              <w:t xml:space="preserve"> </w:t>
            </w:r>
            <w:r>
              <w:rPr>
                <w:i/>
                <w:spacing w:val="-6"/>
              </w:rPr>
              <w:t>year]</w:t>
            </w:r>
            <w:r>
              <w:rPr>
                <w:i/>
                <w:spacing w:val="-10"/>
              </w:rPr>
              <w:t xml:space="preserve"> </w:t>
            </w:r>
            <w:r>
              <w:rPr>
                <w:spacing w:val="-6"/>
              </w:rPr>
              <w:t>specified</w:t>
            </w:r>
            <w:r>
              <w:rPr>
                <w:spacing w:val="-10"/>
              </w:rPr>
              <w:t xml:space="preserve"> </w:t>
            </w:r>
            <w:r>
              <w:rPr>
                <w:spacing w:val="-6"/>
              </w:rPr>
              <w:t>in</w:t>
            </w:r>
            <w:r>
              <w:rPr>
                <w:spacing w:val="-9"/>
              </w:rPr>
              <w:t xml:space="preserve"> </w:t>
            </w:r>
            <w:r>
              <w:rPr>
                <w:spacing w:val="-6"/>
              </w:rPr>
              <w:t>Section</w:t>
            </w:r>
            <w:r>
              <w:rPr>
                <w:spacing w:val="-10"/>
              </w:rPr>
              <w:t xml:space="preserve"> </w:t>
            </w:r>
            <w:r>
              <w:rPr>
                <w:spacing w:val="-6"/>
              </w:rPr>
              <w:t xml:space="preserve">III, </w:t>
            </w:r>
            <w:r>
              <w:rPr>
                <w:spacing w:val="-4"/>
              </w:rPr>
              <w:t>Evaluation</w:t>
            </w:r>
            <w:r>
              <w:rPr>
                <w:spacing w:val="-7"/>
              </w:rPr>
              <w:t xml:space="preserve"> </w:t>
            </w:r>
            <w:r>
              <w:rPr>
                <w:spacing w:val="-4"/>
              </w:rPr>
              <w:t>and Qualification</w:t>
            </w:r>
            <w:r>
              <w:rPr>
                <w:spacing w:val="-12"/>
              </w:rPr>
              <w:t xml:space="preserve"> </w:t>
            </w:r>
            <w:r>
              <w:rPr>
                <w:spacing w:val="-4"/>
              </w:rPr>
              <w:t>Criteria,</w:t>
            </w:r>
            <w:r>
              <w:rPr>
                <w:spacing w:val="-7"/>
              </w:rPr>
              <w:t xml:space="preserve"> </w:t>
            </w:r>
            <w:r>
              <w:rPr>
                <w:spacing w:val="-4"/>
              </w:rPr>
              <w:t>Sub-Factor</w:t>
            </w:r>
            <w:r>
              <w:rPr>
                <w:spacing w:val="-6"/>
              </w:rPr>
              <w:t xml:space="preserve"> </w:t>
            </w:r>
            <w:r>
              <w:rPr>
                <w:spacing w:val="-4"/>
              </w:rPr>
              <w:t>2.1.</w:t>
            </w:r>
          </w:p>
          <w:p w14:paraId="2B8C8857" w14:textId="77777777" w:rsidR="00BB77C0" w:rsidRDefault="00370BAA">
            <w:pPr>
              <w:pStyle w:val="TableParagraph"/>
              <w:numPr>
                <w:ilvl w:val="0"/>
                <w:numId w:val="59"/>
              </w:numPr>
              <w:tabs>
                <w:tab w:val="left" w:pos="727"/>
              </w:tabs>
              <w:spacing w:before="244"/>
              <w:ind w:right="660" w:firstLine="0"/>
            </w:pPr>
            <w:r>
              <w:rPr>
                <w:spacing w:val="-4"/>
              </w:rPr>
              <w:t>Contract(s)</w:t>
            </w:r>
            <w:r>
              <w:rPr>
                <w:spacing w:val="-12"/>
              </w:rPr>
              <w:t xml:space="preserve"> </w:t>
            </w:r>
            <w:r>
              <w:rPr>
                <w:spacing w:val="-4"/>
              </w:rPr>
              <w:t>not</w:t>
            </w:r>
            <w:r>
              <w:rPr>
                <w:spacing w:val="-10"/>
              </w:rPr>
              <w:t xml:space="preserve"> </w:t>
            </w:r>
            <w:r>
              <w:rPr>
                <w:spacing w:val="-4"/>
              </w:rPr>
              <w:t>performed</w:t>
            </w:r>
            <w:r>
              <w:rPr>
                <w:spacing w:val="-11"/>
              </w:rPr>
              <w:t xml:space="preserve"> </w:t>
            </w:r>
            <w:r>
              <w:rPr>
                <w:spacing w:val="-4"/>
              </w:rPr>
              <w:t>since</w:t>
            </w:r>
            <w:r>
              <w:rPr>
                <w:spacing w:val="-23"/>
              </w:rPr>
              <w:t xml:space="preserve"> </w:t>
            </w:r>
            <w:r>
              <w:rPr>
                <w:spacing w:val="-4"/>
              </w:rPr>
              <w:t>1</w:t>
            </w:r>
            <w:r>
              <w:rPr>
                <w:spacing w:val="-4"/>
                <w:vertAlign w:val="superscript"/>
              </w:rPr>
              <w:t>st</w:t>
            </w:r>
            <w:r>
              <w:rPr>
                <w:spacing w:val="-16"/>
              </w:rPr>
              <w:t xml:space="preserve"> </w:t>
            </w:r>
            <w:r>
              <w:rPr>
                <w:spacing w:val="-4"/>
              </w:rPr>
              <w:t>January</w:t>
            </w:r>
            <w:r>
              <w:rPr>
                <w:spacing w:val="-21"/>
              </w:rPr>
              <w:t xml:space="preserve"> </w:t>
            </w:r>
            <w:r>
              <w:rPr>
                <w:i/>
                <w:spacing w:val="-4"/>
              </w:rPr>
              <w:t>[insert</w:t>
            </w:r>
            <w:r>
              <w:rPr>
                <w:i/>
                <w:spacing w:val="-15"/>
              </w:rPr>
              <w:t xml:space="preserve"> </w:t>
            </w:r>
            <w:r>
              <w:rPr>
                <w:i/>
                <w:spacing w:val="-4"/>
              </w:rPr>
              <w:t>year]</w:t>
            </w:r>
            <w:r>
              <w:rPr>
                <w:i/>
                <w:spacing w:val="-6"/>
              </w:rPr>
              <w:t xml:space="preserve"> </w:t>
            </w:r>
            <w:r>
              <w:rPr>
                <w:spacing w:val="-4"/>
              </w:rPr>
              <w:t>specified</w:t>
            </w:r>
            <w:r>
              <w:rPr>
                <w:spacing w:val="-11"/>
              </w:rPr>
              <w:t xml:space="preserve"> </w:t>
            </w:r>
            <w:r>
              <w:rPr>
                <w:spacing w:val="-4"/>
              </w:rPr>
              <w:t>in</w:t>
            </w:r>
            <w:r>
              <w:rPr>
                <w:spacing w:val="-16"/>
              </w:rPr>
              <w:t xml:space="preserve"> </w:t>
            </w:r>
            <w:r>
              <w:rPr>
                <w:spacing w:val="-4"/>
              </w:rPr>
              <w:t>Section</w:t>
            </w:r>
            <w:r>
              <w:rPr>
                <w:spacing w:val="-15"/>
              </w:rPr>
              <w:t xml:space="preserve"> </w:t>
            </w:r>
            <w:r>
              <w:rPr>
                <w:spacing w:val="-4"/>
              </w:rPr>
              <w:t>III,</w:t>
            </w:r>
            <w:r>
              <w:rPr>
                <w:spacing w:val="-9"/>
              </w:rPr>
              <w:t xml:space="preserve"> </w:t>
            </w:r>
            <w:r>
              <w:rPr>
                <w:spacing w:val="-4"/>
              </w:rPr>
              <w:t>Evaluation</w:t>
            </w:r>
            <w:r>
              <w:rPr>
                <w:spacing w:val="-15"/>
              </w:rPr>
              <w:t xml:space="preserve"> </w:t>
            </w:r>
            <w:r>
              <w:rPr>
                <w:spacing w:val="-4"/>
              </w:rPr>
              <w:t xml:space="preserve">and </w:t>
            </w:r>
            <w:r>
              <w:t>Qualification Criteria, requirement 2.1</w:t>
            </w:r>
          </w:p>
        </w:tc>
      </w:tr>
      <w:tr w:rsidR="00BB77C0" w14:paraId="16563804" w14:textId="77777777">
        <w:trPr>
          <w:trHeight w:val="1517"/>
        </w:trPr>
        <w:tc>
          <w:tcPr>
            <w:tcW w:w="970" w:type="dxa"/>
          </w:tcPr>
          <w:p w14:paraId="33EAD21D" w14:textId="77777777" w:rsidR="00BB77C0" w:rsidRDefault="00370BAA">
            <w:pPr>
              <w:pStyle w:val="TableParagraph"/>
              <w:spacing w:line="249" w:lineRule="exact"/>
              <w:ind w:left="7"/>
              <w:rPr>
                <w:b/>
              </w:rPr>
            </w:pPr>
            <w:r>
              <w:rPr>
                <w:b/>
                <w:spacing w:val="-4"/>
              </w:rPr>
              <w:t>Year</w:t>
            </w:r>
          </w:p>
        </w:tc>
        <w:tc>
          <w:tcPr>
            <w:tcW w:w="1528" w:type="dxa"/>
          </w:tcPr>
          <w:p w14:paraId="528B7B8D" w14:textId="77777777" w:rsidR="00BB77C0" w:rsidRDefault="00370BAA">
            <w:pPr>
              <w:pStyle w:val="TableParagraph"/>
              <w:spacing w:before="1"/>
              <w:ind w:left="1" w:right="72"/>
              <w:rPr>
                <w:b/>
              </w:rPr>
            </w:pPr>
            <w:r>
              <w:rPr>
                <w:b/>
                <w:spacing w:val="-6"/>
              </w:rPr>
              <w:t>Non-</w:t>
            </w:r>
            <w:r>
              <w:rPr>
                <w:b/>
                <w:spacing w:val="-14"/>
              </w:rPr>
              <w:t xml:space="preserve"> </w:t>
            </w:r>
            <w:r>
              <w:rPr>
                <w:b/>
                <w:spacing w:val="-6"/>
              </w:rPr>
              <w:t xml:space="preserve">performed </w:t>
            </w:r>
            <w:r>
              <w:rPr>
                <w:b/>
              </w:rPr>
              <w:t>portion</w:t>
            </w:r>
            <w:r>
              <w:rPr>
                <w:b/>
                <w:spacing w:val="-4"/>
              </w:rPr>
              <w:t xml:space="preserve"> </w:t>
            </w:r>
            <w:r>
              <w:rPr>
                <w:b/>
              </w:rPr>
              <w:t xml:space="preserve">of </w:t>
            </w:r>
            <w:r>
              <w:rPr>
                <w:b/>
                <w:spacing w:val="-2"/>
              </w:rPr>
              <w:t>contract</w:t>
            </w:r>
          </w:p>
        </w:tc>
        <w:tc>
          <w:tcPr>
            <w:tcW w:w="5134" w:type="dxa"/>
          </w:tcPr>
          <w:p w14:paraId="4C0FA1F8" w14:textId="77777777" w:rsidR="00BB77C0" w:rsidRDefault="00370BAA">
            <w:pPr>
              <w:pStyle w:val="TableParagraph"/>
              <w:spacing w:line="249" w:lineRule="exact"/>
              <w:ind w:left="6"/>
              <w:rPr>
                <w:b/>
              </w:rPr>
            </w:pPr>
            <w:r>
              <w:rPr>
                <w:b/>
                <w:spacing w:val="-7"/>
              </w:rPr>
              <w:t>Contract</w:t>
            </w:r>
            <w:r>
              <w:rPr>
                <w:b/>
                <w:spacing w:val="2"/>
              </w:rPr>
              <w:t xml:space="preserve"> </w:t>
            </w:r>
            <w:r>
              <w:rPr>
                <w:b/>
                <w:spacing w:val="-2"/>
              </w:rPr>
              <w:t>Identification</w:t>
            </w:r>
          </w:p>
        </w:tc>
        <w:tc>
          <w:tcPr>
            <w:tcW w:w="1763" w:type="dxa"/>
          </w:tcPr>
          <w:p w14:paraId="0EC58774" w14:textId="77777777" w:rsidR="00BB77C0" w:rsidRDefault="00370BAA">
            <w:pPr>
              <w:pStyle w:val="TableParagraph"/>
              <w:spacing w:before="1"/>
              <w:ind w:right="117"/>
              <w:rPr>
                <w:b/>
              </w:rPr>
            </w:pPr>
            <w:r>
              <w:rPr>
                <w:b/>
              </w:rPr>
              <w:t>Total Contract Amount</w:t>
            </w:r>
            <w:r>
              <w:rPr>
                <w:b/>
                <w:spacing w:val="-14"/>
              </w:rPr>
              <w:t xml:space="preserve"> </w:t>
            </w:r>
            <w:r>
              <w:rPr>
                <w:b/>
              </w:rPr>
              <w:t xml:space="preserve">(current value, currency, </w:t>
            </w:r>
            <w:r>
              <w:rPr>
                <w:b/>
                <w:spacing w:val="-4"/>
              </w:rPr>
              <w:t>exchange</w:t>
            </w:r>
            <w:r>
              <w:rPr>
                <w:b/>
                <w:spacing w:val="-16"/>
              </w:rPr>
              <w:t xml:space="preserve"> </w:t>
            </w:r>
            <w:r>
              <w:rPr>
                <w:b/>
                <w:spacing w:val="-4"/>
              </w:rPr>
              <w:t>rate</w:t>
            </w:r>
            <w:r>
              <w:rPr>
                <w:b/>
                <w:spacing w:val="-14"/>
              </w:rPr>
              <w:t xml:space="preserve"> </w:t>
            </w:r>
            <w:r>
              <w:rPr>
                <w:b/>
                <w:spacing w:val="-4"/>
              </w:rPr>
              <w:t xml:space="preserve">and </w:t>
            </w:r>
            <w:r>
              <w:rPr>
                <w:b/>
              </w:rPr>
              <w:t>Kenya</w:t>
            </w:r>
            <w:r>
              <w:rPr>
                <w:b/>
                <w:spacing w:val="-22"/>
              </w:rPr>
              <w:t xml:space="preserve"> </w:t>
            </w:r>
            <w:r>
              <w:rPr>
                <w:b/>
              </w:rPr>
              <w:t>Shilling</w:t>
            </w:r>
          </w:p>
          <w:p w14:paraId="4AEA373F" w14:textId="77777777" w:rsidR="00BB77C0" w:rsidRDefault="00370BAA">
            <w:pPr>
              <w:pStyle w:val="TableParagraph"/>
              <w:spacing w:line="231" w:lineRule="exact"/>
              <w:rPr>
                <w:b/>
              </w:rPr>
            </w:pPr>
            <w:r>
              <w:rPr>
                <w:b/>
                <w:spacing w:val="-2"/>
              </w:rPr>
              <w:t>equivalent)</w:t>
            </w:r>
          </w:p>
        </w:tc>
      </w:tr>
      <w:tr w:rsidR="00BB77C0" w14:paraId="067892AC" w14:textId="77777777">
        <w:trPr>
          <w:trHeight w:val="1267"/>
        </w:trPr>
        <w:tc>
          <w:tcPr>
            <w:tcW w:w="970" w:type="dxa"/>
          </w:tcPr>
          <w:p w14:paraId="04AFB9EA" w14:textId="77777777" w:rsidR="00BB77C0" w:rsidRDefault="00370BAA">
            <w:pPr>
              <w:pStyle w:val="TableParagraph"/>
              <w:spacing w:line="237" w:lineRule="auto"/>
              <w:ind w:left="7"/>
              <w:rPr>
                <w:i/>
              </w:rPr>
            </w:pPr>
            <w:r>
              <w:rPr>
                <w:i/>
                <w:spacing w:val="-10"/>
              </w:rPr>
              <w:t xml:space="preserve">[insert </w:t>
            </w:r>
            <w:r>
              <w:rPr>
                <w:i/>
                <w:spacing w:val="-2"/>
              </w:rPr>
              <w:t>year]</w:t>
            </w:r>
          </w:p>
        </w:tc>
        <w:tc>
          <w:tcPr>
            <w:tcW w:w="1528" w:type="dxa"/>
          </w:tcPr>
          <w:p w14:paraId="647BEBEB" w14:textId="77777777" w:rsidR="00BB77C0" w:rsidRDefault="00370BAA">
            <w:pPr>
              <w:pStyle w:val="TableParagraph"/>
              <w:spacing w:line="237" w:lineRule="auto"/>
              <w:ind w:left="1" w:right="155"/>
              <w:rPr>
                <w:i/>
              </w:rPr>
            </w:pPr>
            <w:r>
              <w:rPr>
                <w:i/>
              </w:rPr>
              <w:t xml:space="preserve">[insert amount </w:t>
            </w:r>
            <w:r>
              <w:rPr>
                <w:i/>
                <w:spacing w:val="-6"/>
              </w:rPr>
              <w:t>and</w:t>
            </w:r>
            <w:r>
              <w:rPr>
                <w:i/>
                <w:spacing w:val="-17"/>
              </w:rPr>
              <w:t xml:space="preserve"> </w:t>
            </w:r>
            <w:r>
              <w:rPr>
                <w:i/>
                <w:spacing w:val="-6"/>
              </w:rPr>
              <w:t>percentage]</w:t>
            </w:r>
          </w:p>
        </w:tc>
        <w:tc>
          <w:tcPr>
            <w:tcW w:w="5134" w:type="dxa"/>
          </w:tcPr>
          <w:p w14:paraId="01169322" w14:textId="77777777" w:rsidR="00BB77C0" w:rsidRDefault="00370BAA">
            <w:pPr>
              <w:pStyle w:val="TableParagraph"/>
              <w:spacing w:line="237" w:lineRule="auto"/>
              <w:ind w:left="6"/>
              <w:rPr>
                <w:i/>
              </w:rPr>
            </w:pPr>
            <w:r>
              <w:rPr>
                <w:spacing w:val="-6"/>
              </w:rPr>
              <w:t>Contract</w:t>
            </w:r>
            <w:r>
              <w:rPr>
                <w:spacing w:val="-10"/>
              </w:rPr>
              <w:t xml:space="preserve"> </w:t>
            </w:r>
            <w:r>
              <w:rPr>
                <w:spacing w:val="-6"/>
              </w:rPr>
              <w:t>Identification:</w:t>
            </w:r>
            <w:r>
              <w:rPr>
                <w:spacing w:val="-9"/>
              </w:rPr>
              <w:t xml:space="preserve"> </w:t>
            </w:r>
            <w:r>
              <w:rPr>
                <w:i/>
                <w:spacing w:val="-6"/>
              </w:rPr>
              <w:t>[indicate</w:t>
            </w:r>
            <w:r>
              <w:rPr>
                <w:i/>
                <w:spacing w:val="-13"/>
              </w:rPr>
              <w:t xml:space="preserve"> </w:t>
            </w:r>
            <w:r>
              <w:rPr>
                <w:i/>
                <w:spacing w:val="-6"/>
              </w:rPr>
              <w:t>complete</w:t>
            </w:r>
            <w:r>
              <w:rPr>
                <w:i/>
                <w:spacing w:val="-13"/>
              </w:rPr>
              <w:t xml:space="preserve"> </w:t>
            </w:r>
            <w:r>
              <w:rPr>
                <w:i/>
                <w:spacing w:val="-6"/>
              </w:rPr>
              <w:t>contract</w:t>
            </w:r>
            <w:r>
              <w:rPr>
                <w:i/>
                <w:spacing w:val="-15"/>
              </w:rPr>
              <w:t xml:space="preserve"> </w:t>
            </w:r>
            <w:r>
              <w:rPr>
                <w:i/>
                <w:spacing w:val="-6"/>
              </w:rPr>
              <w:t xml:space="preserve">name/ </w:t>
            </w:r>
            <w:r>
              <w:rPr>
                <w:i/>
              </w:rPr>
              <w:t>number, and any other identification]</w:t>
            </w:r>
          </w:p>
          <w:p w14:paraId="5A171D06" w14:textId="77777777" w:rsidR="00BB77C0" w:rsidRDefault="00370BAA">
            <w:pPr>
              <w:pStyle w:val="TableParagraph"/>
              <w:ind w:left="6"/>
              <w:rPr>
                <w:i/>
              </w:rPr>
            </w:pPr>
            <w:r>
              <w:rPr>
                <w:spacing w:val="-6"/>
              </w:rPr>
              <w:t>Name</w:t>
            </w:r>
            <w:r>
              <w:rPr>
                <w:spacing w:val="-8"/>
              </w:rPr>
              <w:t xml:space="preserve"> </w:t>
            </w:r>
            <w:r>
              <w:rPr>
                <w:spacing w:val="-6"/>
              </w:rPr>
              <w:t>of</w:t>
            </w:r>
            <w:r>
              <w:t xml:space="preserve"> </w:t>
            </w:r>
            <w:r>
              <w:rPr>
                <w:spacing w:val="-6"/>
              </w:rPr>
              <w:t>Procuring</w:t>
            </w:r>
            <w:r>
              <w:rPr>
                <w:spacing w:val="-3"/>
              </w:rPr>
              <w:t xml:space="preserve"> </w:t>
            </w:r>
            <w:r>
              <w:rPr>
                <w:spacing w:val="-6"/>
              </w:rPr>
              <w:t>Entity:</w:t>
            </w:r>
            <w:r>
              <w:rPr>
                <w:spacing w:val="-3"/>
              </w:rPr>
              <w:t xml:space="preserve"> </w:t>
            </w:r>
            <w:r>
              <w:rPr>
                <w:i/>
                <w:spacing w:val="-6"/>
              </w:rPr>
              <w:t>[insert</w:t>
            </w:r>
            <w:r>
              <w:rPr>
                <w:i/>
                <w:spacing w:val="-13"/>
              </w:rPr>
              <w:t xml:space="preserve"> </w:t>
            </w:r>
            <w:r>
              <w:rPr>
                <w:i/>
                <w:spacing w:val="-6"/>
              </w:rPr>
              <w:t>full</w:t>
            </w:r>
            <w:r>
              <w:rPr>
                <w:i/>
                <w:spacing w:val="-7"/>
              </w:rPr>
              <w:t xml:space="preserve"> </w:t>
            </w:r>
            <w:r>
              <w:rPr>
                <w:i/>
                <w:spacing w:val="-6"/>
              </w:rPr>
              <w:t>name]</w:t>
            </w:r>
          </w:p>
          <w:p w14:paraId="43C14653" w14:textId="77777777" w:rsidR="00BB77C0" w:rsidRDefault="00370BAA">
            <w:pPr>
              <w:pStyle w:val="TableParagraph"/>
              <w:spacing w:before="1" w:line="246" w:lineRule="exact"/>
              <w:ind w:left="6"/>
              <w:rPr>
                <w:i/>
              </w:rPr>
            </w:pPr>
            <w:r>
              <w:rPr>
                <w:spacing w:val="-6"/>
              </w:rPr>
              <w:t>Address</w:t>
            </w:r>
            <w:r>
              <w:rPr>
                <w:spacing w:val="-5"/>
              </w:rPr>
              <w:t xml:space="preserve"> </w:t>
            </w:r>
            <w:r>
              <w:rPr>
                <w:spacing w:val="-6"/>
              </w:rPr>
              <w:t>of</w:t>
            </w:r>
            <w:r>
              <w:rPr>
                <w:spacing w:val="1"/>
              </w:rPr>
              <w:t xml:space="preserve"> </w:t>
            </w:r>
            <w:r>
              <w:rPr>
                <w:spacing w:val="-6"/>
              </w:rPr>
              <w:t>Procuring</w:t>
            </w:r>
            <w:r>
              <w:rPr>
                <w:spacing w:val="-8"/>
              </w:rPr>
              <w:t xml:space="preserve"> </w:t>
            </w:r>
            <w:r>
              <w:rPr>
                <w:spacing w:val="-6"/>
              </w:rPr>
              <w:t>Entity:</w:t>
            </w:r>
            <w:r>
              <w:rPr>
                <w:spacing w:val="-1"/>
              </w:rPr>
              <w:t xml:space="preserve"> </w:t>
            </w:r>
            <w:r>
              <w:rPr>
                <w:i/>
                <w:spacing w:val="-6"/>
              </w:rPr>
              <w:t>[insert street/city/country]</w:t>
            </w:r>
          </w:p>
          <w:p w14:paraId="68B3A69B" w14:textId="77777777" w:rsidR="00BB77C0" w:rsidRDefault="00370BAA">
            <w:pPr>
              <w:pStyle w:val="TableParagraph"/>
              <w:spacing w:line="246" w:lineRule="exact"/>
              <w:ind w:left="6"/>
              <w:rPr>
                <w:i/>
              </w:rPr>
            </w:pPr>
            <w:r>
              <w:rPr>
                <w:spacing w:val="-6"/>
              </w:rPr>
              <w:t>Reason(s) for</w:t>
            </w:r>
            <w:r>
              <w:rPr>
                <w:spacing w:val="1"/>
              </w:rPr>
              <w:t xml:space="preserve"> </w:t>
            </w:r>
            <w:r>
              <w:rPr>
                <w:spacing w:val="-6"/>
              </w:rPr>
              <w:t xml:space="preserve">nonperformance: </w:t>
            </w:r>
            <w:r>
              <w:rPr>
                <w:i/>
                <w:spacing w:val="-6"/>
              </w:rPr>
              <w:t>[indicate</w:t>
            </w:r>
            <w:r>
              <w:rPr>
                <w:i/>
                <w:spacing w:val="-9"/>
              </w:rPr>
              <w:t xml:space="preserve"> </w:t>
            </w:r>
            <w:r>
              <w:rPr>
                <w:i/>
                <w:spacing w:val="-6"/>
              </w:rPr>
              <w:t>main</w:t>
            </w:r>
            <w:r>
              <w:rPr>
                <w:i/>
                <w:spacing w:val="-11"/>
              </w:rPr>
              <w:t xml:space="preserve"> </w:t>
            </w:r>
            <w:r>
              <w:rPr>
                <w:i/>
                <w:spacing w:val="-6"/>
              </w:rPr>
              <w:t>reason(s)]</w:t>
            </w:r>
          </w:p>
        </w:tc>
        <w:tc>
          <w:tcPr>
            <w:tcW w:w="1763" w:type="dxa"/>
          </w:tcPr>
          <w:p w14:paraId="4F0B7AF3" w14:textId="77777777" w:rsidR="00BB77C0" w:rsidRDefault="00370BAA">
            <w:pPr>
              <w:pStyle w:val="TableParagraph"/>
              <w:spacing w:line="249" w:lineRule="exact"/>
              <w:rPr>
                <w:i/>
              </w:rPr>
            </w:pPr>
            <w:r>
              <w:rPr>
                <w:i/>
                <w:spacing w:val="-8"/>
              </w:rPr>
              <w:t>[insert</w:t>
            </w:r>
            <w:r>
              <w:rPr>
                <w:i/>
                <w:spacing w:val="-4"/>
              </w:rPr>
              <w:t xml:space="preserve"> </w:t>
            </w:r>
            <w:r>
              <w:rPr>
                <w:i/>
                <w:spacing w:val="-2"/>
              </w:rPr>
              <w:t>amount]</w:t>
            </w:r>
          </w:p>
        </w:tc>
      </w:tr>
      <w:tr w:rsidR="00BB77C0" w14:paraId="37118975" w14:textId="77777777">
        <w:trPr>
          <w:trHeight w:val="249"/>
        </w:trPr>
        <w:tc>
          <w:tcPr>
            <w:tcW w:w="9395" w:type="dxa"/>
            <w:gridSpan w:val="4"/>
          </w:tcPr>
          <w:p w14:paraId="5A9F9485" w14:textId="77777777" w:rsidR="00BB77C0" w:rsidRDefault="00370BAA">
            <w:pPr>
              <w:pStyle w:val="TableParagraph"/>
              <w:spacing w:line="229" w:lineRule="exact"/>
              <w:ind w:left="7"/>
            </w:pPr>
            <w:r>
              <w:rPr>
                <w:spacing w:val="-6"/>
              </w:rPr>
              <w:t>Pending</w:t>
            </w:r>
            <w:r>
              <w:rPr>
                <w:spacing w:val="-24"/>
              </w:rPr>
              <w:t xml:space="preserve"> </w:t>
            </w:r>
            <w:r>
              <w:rPr>
                <w:spacing w:val="-6"/>
              </w:rPr>
              <w:t>Litigation,</w:t>
            </w:r>
            <w:r>
              <w:rPr>
                <w:spacing w:val="-13"/>
              </w:rPr>
              <w:t xml:space="preserve"> </w:t>
            </w:r>
            <w:r>
              <w:rPr>
                <w:spacing w:val="-6"/>
              </w:rPr>
              <w:t>in</w:t>
            </w:r>
            <w:r>
              <w:rPr>
                <w:spacing w:val="-16"/>
              </w:rPr>
              <w:t xml:space="preserve"> </w:t>
            </w:r>
            <w:r>
              <w:rPr>
                <w:spacing w:val="-6"/>
              </w:rPr>
              <w:t>accordance</w:t>
            </w:r>
            <w:r>
              <w:rPr>
                <w:spacing w:val="-13"/>
              </w:rPr>
              <w:t xml:space="preserve"> </w:t>
            </w:r>
            <w:r>
              <w:rPr>
                <w:spacing w:val="-6"/>
              </w:rPr>
              <w:t>with</w:t>
            </w:r>
            <w:r>
              <w:rPr>
                <w:spacing w:val="-16"/>
              </w:rPr>
              <w:t xml:space="preserve"> </w:t>
            </w:r>
            <w:r>
              <w:rPr>
                <w:spacing w:val="-6"/>
              </w:rPr>
              <w:t>Section</w:t>
            </w:r>
            <w:r>
              <w:rPr>
                <w:spacing w:val="-15"/>
              </w:rPr>
              <w:t xml:space="preserve"> </w:t>
            </w:r>
            <w:r>
              <w:rPr>
                <w:spacing w:val="-6"/>
              </w:rPr>
              <w:t>III,</w:t>
            </w:r>
            <w:r>
              <w:rPr>
                <w:spacing w:val="-4"/>
              </w:rPr>
              <w:t xml:space="preserve"> </w:t>
            </w:r>
            <w:r>
              <w:rPr>
                <w:spacing w:val="-6"/>
              </w:rPr>
              <w:t>Evaluation</w:t>
            </w:r>
            <w:r>
              <w:rPr>
                <w:spacing w:val="4"/>
              </w:rPr>
              <w:t xml:space="preserve"> </w:t>
            </w:r>
            <w:r>
              <w:rPr>
                <w:spacing w:val="-6"/>
              </w:rPr>
              <w:t>and</w:t>
            </w:r>
            <w:r>
              <w:rPr>
                <w:spacing w:val="3"/>
              </w:rPr>
              <w:t xml:space="preserve"> </w:t>
            </w:r>
            <w:r>
              <w:rPr>
                <w:spacing w:val="-6"/>
              </w:rPr>
              <w:t>Qualification</w:t>
            </w:r>
            <w:r>
              <w:t xml:space="preserve"> </w:t>
            </w:r>
            <w:r>
              <w:rPr>
                <w:spacing w:val="-6"/>
              </w:rPr>
              <w:t>Criteria</w:t>
            </w:r>
          </w:p>
        </w:tc>
      </w:tr>
      <w:tr w:rsidR="00BB77C0" w14:paraId="5F063C37" w14:textId="77777777">
        <w:trPr>
          <w:trHeight w:val="510"/>
        </w:trPr>
        <w:tc>
          <w:tcPr>
            <w:tcW w:w="9395" w:type="dxa"/>
            <w:gridSpan w:val="4"/>
            <w:tcBorders>
              <w:bottom w:val="nil"/>
            </w:tcBorders>
          </w:tcPr>
          <w:p w14:paraId="36D330DC" w14:textId="77777777" w:rsidR="00BB77C0" w:rsidRDefault="00370BAA">
            <w:pPr>
              <w:pStyle w:val="TableParagraph"/>
              <w:numPr>
                <w:ilvl w:val="0"/>
                <w:numId w:val="58"/>
              </w:numPr>
              <w:tabs>
                <w:tab w:val="left" w:pos="727"/>
              </w:tabs>
              <w:spacing w:line="254" w:lineRule="exact"/>
              <w:ind w:right="572" w:firstLine="0"/>
            </w:pPr>
            <w:r>
              <w:rPr>
                <w:spacing w:val="-4"/>
              </w:rPr>
              <w:t>No</w:t>
            </w:r>
            <w:r>
              <w:rPr>
                <w:spacing w:val="-16"/>
              </w:rPr>
              <w:t xml:space="preserve"> </w:t>
            </w:r>
            <w:r>
              <w:rPr>
                <w:spacing w:val="-4"/>
              </w:rPr>
              <w:t>pending</w:t>
            </w:r>
            <w:r>
              <w:rPr>
                <w:spacing w:val="-5"/>
              </w:rPr>
              <w:t xml:space="preserve"> </w:t>
            </w:r>
            <w:r>
              <w:rPr>
                <w:spacing w:val="-4"/>
              </w:rPr>
              <w:t>litigation</w:t>
            </w:r>
            <w:r>
              <w:rPr>
                <w:spacing w:val="-14"/>
              </w:rPr>
              <w:t xml:space="preserve"> </w:t>
            </w:r>
            <w:r>
              <w:rPr>
                <w:spacing w:val="-4"/>
              </w:rPr>
              <w:t>in</w:t>
            </w:r>
            <w:r>
              <w:rPr>
                <w:spacing w:val="-16"/>
              </w:rPr>
              <w:t xml:space="preserve"> </w:t>
            </w:r>
            <w:r>
              <w:rPr>
                <w:spacing w:val="-4"/>
              </w:rPr>
              <w:t>accordance</w:t>
            </w:r>
            <w:r>
              <w:rPr>
                <w:spacing w:val="-7"/>
              </w:rPr>
              <w:t xml:space="preserve"> </w:t>
            </w:r>
            <w:r>
              <w:rPr>
                <w:spacing w:val="-4"/>
              </w:rPr>
              <w:t>with</w:t>
            </w:r>
            <w:r>
              <w:rPr>
                <w:spacing w:val="-16"/>
              </w:rPr>
              <w:t xml:space="preserve"> </w:t>
            </w:r>
            <w:r>
              <w:rPr>
                <w:spacing w:val="-4"/>
              </w:rPr>
              <w:t>Section</w:t>
            </w:r>
            <w:r>
              <w:rPr>
                <w:spacing w:val="-14"/>
              </w:rPr>
              <w:t xml:space="preserve"> </w:t>
            </w:r>
            <w:r>
              <w:rPr>
                <w:spacing w:val="-4"/>
              </w:rPr>
              <w:t>III, Evaluation</w:t>
            </w:r>
            <w:r>
              <w:rPr>
                <w:spacing w:val="-5"/>
              </w:rPr>
              <w:t xml:space="preserve"> </w:t>
            </w:r>
            <w:r>
              <w:rPr>
                <w:spacing w:val="-4"/>
              </w:rPr>
              <w:t>and</w:t>
            </w:r>
            <w:r>
              <w:rPr>
                <w:spacing w:val="-5"/>
              </w:rPr>
              <w:t xml:space="preserve"> </w:t>
            </w:r>
            <w:r>
              <w:rPr>
                <w:spacing w:val="-4"/>
              </w:rPr>
              <w:t>Qualification</w:t>
            </w:r>
            <w:r>
              <w:rPr>
                <w:spacing w:val="-5"/>
              </w:rPr>
              <w:t xml:space="preserve"> </w:t>
            </w:r>
            <w:r>
              <w:rPr>
                <w:spacing w:val="-4"/>
              </w:rPr>
              <w:t xml:space="preserve">Criteria, Sub- </w:t>
            </w:r>
            <w:r>
              <w:t>Factor 2.3.</w:t>
            </w:r>
          </w:p>
        </w:tc>
      </w:tr>
      <w:tr w:rsidR="00BB77C0" w14:paraId="0F6D8A13" w14:textId="77777777">
        <w:trPr>
          <w:trHeight w:val="502"/>
        </w:trPr>
        <w:tc>
          <w:tcPr>
            <w:tcW w:w="9395" w:type="dxa"/>
            <w:gridSpan w:val="4"/>
            <w:tcBorders>
              <w:top w:val="nil"/>
            </w:tcBorders>
          </w:tcPr>
          <w:p w14:paraId="0D40F116" w14:textId="77777777" w:rsidR="00BB77C0" w:rsidRDefault="00370BAA">
            <w:pPr>
              <w:pStyle w:val="TableParagraph"/>
              <w:numPr>
                <w:ilvl w:val="0"/>
                <w:numId w:val="57"/>
              </w:numPr>
              <w:tabs>
                <w:tab w:val="left" w:pos="727"/>
              </w:tabs>
              <w:spacing w:before="9" w:line="223" w:lineRule="auto"/>
              <w:ind w:right="276" w:firstLine="0"/>
            </w:pPr>
            <w:r>
              <w:rPr>
                <w:spacing w:val="-6"/>
              </w:rPr>
              <w:t>Pending</w:t>
            </w:r>
            <w:r>
              <w:rPr>
                <w:spacing w:val="-19"/>
              </w:rPr>
              <w:t xml:space="preserve"> </w:t>
            </w:r>
            <w:r>
              <w:rPr>
                <w:spacing w:val="-6"/>
              </w:rPr>
              <w:t>litigation</w:t>
            </w:r>
            <w:r>
              <w:rPr>
                <w:spacing w:val="-20"/>
              </w:rPr>
              <w:t xml:space="preserve"> </w:t>
            </w:r>
            <w:r>
              <w:rPr>
                <w:spacing w:val="-6"/>
              </w:rPr>
              <w:t>in</w:t>
            </w:r>
            <w:r>
              <w:rPr>
                <w:spacing w:val="-19"/>
              </w:rPr>
              <w:t xml:space="preserve"> </w:t>
            </w:r>
            <w:r>
              <w:rPr>
                <w:spacing w:val="-6"/>
              </w:rPr>
              <w:t>accordance</w:t>
            </w:r>
            <w:r>
              <w:rPr>
                <w:spacing w:val="-22"/>
              </w:rPr>
              <w:t xml:space="preserve"> </w:t>
            </w:r>
            <w:r>
              <w:rPr>
                <w:spacing w:val="-6"/>
              </w:rPr>
              <w:t>with</w:t>
            </w:r>
            <w:r>
              <w:rPr>
                <w:spacing w:val="-19"/>
              </w:rPr>
              <w:t xml:space="preserve"> </w:t>
            </w:r>
            <w:r>
              <w:rPr>
                <w:spacing w:val="-6"/>
              </w:rPr>
              <w:t>Section</w:t>
            </w:r>
            <w:r>
              <w:rPr>
                <w:spacing w:val="-20"/>
              </w:rPr>
              <w:t xml:space="preserve"> </w:t>
            </w:r>
            <w:r>
              <w:rPr>
                <w:spacing w:val="-6"/>
              </w:rPr>
              <w:t>III,</w:t>
            </w:r>
            <w:r>
              <w:rPr>
                <w:spacing w:val="-11"/>
              </w:rPr>
              <w:t xml:space="preserve"> </w:t>
            </w:r>
            <w:r>
              <w:rPr>
                <w:spacing w:val="-6"/>
              </w:rPr>
              <w:t>Evaluation</w:t>
            </w:r>
            <w:r>
              <w:rPr>
                <w:spacing w:val="-9"/>
              </w:rPr>
              <w:t xml:space="preserve"> </w:t>
            </w:r>
            <w:r>
              <w:rPr>
                <w:spacing w:val="-6"/>
              </w:rPr>
              <w:t>and</w:t>
            </w:r>
            <w:r>
              <w:rPr>
                <w:spacing w:val="-9"/>
              </w:rPr>
              <w:t xml:space="preserve"> </w:t>
            </w:r>
            <w:r>
              <w:rPr>
                <w:spacing w:val="-6"/>
              </w:rPr>
              <w:t>Qualification</w:t>
            </w:r>
            <w:r>
              <w:rPr>
                <w:spacing w:val="-14"/>
              </w:rPr>
              <w:t xml:space="preserve"> </w:t>
            </w:r>
            <w:r>
              <w:rPr>
                <w:spacing w:val="-6"/>
              </w:rPr>
              <w:t>Criteria,</w:t>
            </w:r>
            <w:r>
              <w:rPr>
                <w:spacing w:val="-11"/>
              </w:rPr>
              <w:t xml:space="preserve"> </w:t>
            </w:r>
            <w:r>
              <w:rPr>
                <w:spacing w:val="-6"/>
              </w:rPr>
              <w:t xml:space="preserve">Sub-Factor 2.3 </w:t>
            </w:r>
            <w:r>
              <w:t>as indicated below.</w:t>
            </w:r>
          </w:p>
        </w:tc>
      </w:tr>
    </w:tbl>
    <w:p w14:paraId="7856AD67" w14:textId="77777777" w:rsidR="00BB77C0" w:rsidRDefault="00BB77C0">
      <w:pPr>
        <w:pStyle w:val="BodyText"/>
        <w:rPr>
          <w:sz w:val="20"/>
        </w:rPr>
      </w:pPr>
    </w:p>
    <w:p w14:paraId="30473298" w14:textId="77777777" w:rsidR="00BB77C0" w:rsidRDefault="00BB77C0">
      <w:pPr>
        <w:pStyle w:val="BodyText"/>
        <w:rPr>
          <w:sz w:val="20"/>
        </w:rPr>
      </w:pPr>
    </w:p>
    <w:p w14:paraId="366CB388" w14:textId="77777777" w:rsidR="00BB77C0" w:rsidRDefault="00BB77C0">
      <w:pPr>
        <w:pStyle w:val="BodyText"/>
        <w:rPr>
          <w:sz w:val="20"/>
        </w:rPr>
      </w:pPr>
    </w:p>
    <w:p w14:paraId="033038BC" w14:textId="77777777" w:rsidR="00BB77C0" w:rsidRDefault="00BB77C0">
      <w:pPr>
        <w:pStyle w:val="BodyText"/>
        <w:spacing w:before="95"/>
        <w:rPr>
          <w:sz w:val="20"/>
        </w:rPr>
      </w:pPr>
    </w:p>
    <w:tbl>
      <w:tblPr>
        <w:tblW w:w="0" w:type="auto"/>
        <w:tblInd w:w="4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7"/>
        <w:gridCol w:w="2051"/>
        <w:gridCol w:w="3986"/>
        <w:gridCol w:w="2234"/>
      </w:tblGrid>
      <w:tr w:rsidR="00BB77C0" w14:paraId="389CDB3C" w14:textId="77777777">
        <w:trPr>
          <w:trHeight w:val="1152"/>
        </w:trPr>
        <w:tc>
          <w:tcPr>
            <w:tcW w:w="1527" w:type="dxa"/>
          </w:tcPr>
          <w:p w14:paraId="6BFD2CFB" w14:textId="77777777" w:rsidR="00BB77C0" w:rsidRDefault="00370BAA">
            <w:pPr>
              <w:pStyle w:val="TableParagraph"/>
              <w:ind w:left="110" w:right="776"/>
              <w:rPr>
                <w:b/>
                <w:sz w:val="20"/>
              </w:rPr>
            </w:pPr>
            <w:r>
              <w:rPr>
                <w:b/>
                <w:spacing w:val="-2"/>
                <w:sz w:val="20"/>
              </w:rPr>
              <w:t>Year</w:t>
            </w:r>
            <w:r>
              <w:rPr>
                <w:b/>
                <w:spacing w:val="-11"/>
                <w:sz w:val="20"/>
              </w:rPr>
              <w:t xml:space="preserve"> </w:t>
            </w:r>
            <w:r>
              <w:rPr>
                <w:b/>
                <w:spacing w:val="-2"/>
                <w:sz w:val="20"/>
              </w:rPr>
              <w:t>of dispute</w:t>
            </w:r>
          </w:p>
        </w:tc>
        <w:tc>
          <w:tcPr>
            <w:tcW w:w="2051" w:type="dxa"/>
          </w:tcPr>
          <w:p w14:paraId="6AB38B39" w14:textId="77777777" w:rsidR="00BB77C0" w:rsidRDefault="00370BAA">
            <w:pPr>
              <w:pStyle w:val="TableParagraph"/>
              <w:ind w:left="110" w:right="370"/>
              <w:rPr>
                <w:b/>
                <w:sz w:val="20"/>
              </w:rPr>
            </w:pPr>
            <w:r>
              <w:rPr>
                <w:b/>
                <w:spacing w:val="-2"/>
                <w:sz w:val="20"/>
              </w:rPr>
              <w:t>Amount</w:t>
            </w:r>
            <w:r>
              <w:rPr>
                <w:b/>
                <w:spacing w:val="-12"/>
                <w:sz w:val="20"/>
              </w:rPr>
              <w:t xml:space="preserve"> </w:t>
            </w:r>
            <w:r>
              <w:rPr>
                <w:b/>
                <w:spacing w:val="-2"/>
                <w:sz w:val="20"/>
              </w:rPr>
              <w:t>in</w:t>
            </w:r>
            <w:r>
              <w:rPr>
                <w:b/>
                <w:spacing w:val="-14"/>
                <w:sz w:val="20"/>
              </w:rPr>
              <w:t xml:space="preserve"> </w:t>
            </w:r>
            <w:r>
              <w:rPr>
                <w:b/>
                <w:spacing w:val="-2"/>
                <w:sz w:val="20"/>
              </w:rPr>
              <w:t>dispute (currency)</w:t>
            </w:r>
          </w:p>
        </w:tc>
        <w:tc>
          <w:tcPr>
            <w:tcW w:w="3986" w:type="dxa"/>
          </w:tcPr>
          <w:p w14:paraId="04F10C29" w14:textId="77777777" w:rsidR="00BB77C0" w:rsidRDefault="00370BAA">
            <w:pPr>
              <w:pStyle w:val="TableParagraph"/>
              <w:ind w:left="109"/>
              <w:rPr>
                <w:b/>
                <w:sz w:val="20"/>
              </w:rPr>
            </w:pPr>
            <w:r>
              <w:rPr>
                <w:b/>
                <w:sz w:val="20"/>
              </w:rPr>
              <w:t>Contract</w:t>
            </w:r>
            <w:r>
              <w:rPr>
                <w:b/>
                <w:spacing w:val="-9"/>
                <w:sz w:val="20"/>
              </w:rPr>
              <w:t xml:space="preserve"> </w:t>
            </w:r>
            <w:r>
              <w:rPr>
                <w:b/>
                <w:spacing w:val="-2"/>
                <w:sz w:val="20"/>
              </w:rPr>
              <w:t>Identification</w:t>
            </w:r>
          </w:p>
        </w:tc>
        <w:tc>
          <w:tcPr>
            <w:tcW w:w="2234" w:type="dxa"/>
          </w:tcPr>
          <w:p w14:paraId="2E6C3D70" w14:textId="77777777" w:rsidR="00BB77C0" w:rsidRDefault="00370BAA">
            <w:pPr>
              <w:pStyle w:val="TableParagraph"/>
              <w:ind w:left="109" w:right="162"/>
              <w:rPr>
                <w:b/>
                <w:sz w:val="20"/>
              </w:rPr>
            </w:pPr>
            <w:r>
              <w:rPr>
                <w:b/>
                <w:sz w:val="20"/>
              </w:rPr>
              <w:t>Total Contract Amount (currency), Kenya Shilling</w:t>
            </w:r>
          </w:p>
          <w:p w14:paraId="097DC28A" w14:textId="77777777" w:rsidR="00BB77C0" w:rsidRDefault="00370BAA">
            <w:pPr>
              <w:pStyle w:val="TableParagraph"/>
              <w:spacing w:line="230" w:lineRule="atLeast"/>
              <w:ind w:left="109" w:right="162"/>
              <w:rPr>
                <w:b/>
                <w:sz w:val="20"/>
              </w:rPr>
            </w:pPr>
            <w:r>
              <w:rPr>
                <w:b/>
                <w:spacing w:val="-2"/>
                <w:sz w:val="20"/>
              </w:rPr>
              <w:t>Equivalent</w:t>
            </w:r>
            <w:r>
              <w:rPr>
                <w:b/>
                <w:spacing w:val="-11"/>
                <w:sz w:val="20"/>
              </w:rPr>
              <w:t xml:space="preserve"> </w:t>
            </w:r>
            <w:r>
              <w:rPr>
                <w:b/>
                <w:spacing w:val="-2"/>
                <w:sz w:val="20"/>
              </w:rPr>
              <w:t>(exchange rate)</w:t>
            </w:r>
          </w:p>
        </w:tc>
      </w:tr>
      <w:tr w:rsidR="00BB77C0" w14:paraId="3944F497" w14:textId="77777777">
        <w:trPr>
          <w:trHeight w:val="1511"/>
        </w:trPr>
        <w:tc>
          <w:tcPr>
            <w:tcW w:w="1527" w:type="dxa"/>
          </w:tcPr>
          <w:p w14:paraId="749361FD" w14:textId="77777777" w:rsidR="00BB77C0" w:rsidRDefault="00BB77C0">
            <w:pPr>
              <w:pStyle w:val="TableParagraph"/>
            </w:pPr>
          </w:p>
        </w:tc>
        <w:tc>
          <w:tcPr>
            <w:tcW w:w="2051" w:type="dxa"/>
          </w:tcPr>
          <w:p w14:paraId="552314E7" w14:textId="77777777" w:rsidR="00BB77C0" w:rsidRDefault="00BB77C0">
            <w:pPr>
              <w:pStyle w:val="TableParagraph"/>
            </w:pPr>
          </w:p>
        </w:tc>
        <w:tc>
          <w:tcPr>
            <w:tcW w:w="3986" w:type="dxa"/>
            <w:tcBorders>
              <w:bottom w:val="single" w:sz="8" w:space="0" w:color="000000"/>
            </w:tcBorders>
          </w:tcPr>
          <w:p w14:paraId="3DE5D4A2" w14:textId="77777777" w:rsidR="00BB77C0" w:rsidRDefault="00370BAA">
            <w:pPr>
              <w:pStyle w:val="TableParagraph"/>
              <w:tabs>
                <w:tab w:val="left" w:pos="3266"/>
              </w:tabs>
              <w:spacing w:line="247" w:lineRule="exact"/>
              <w:ind w:left="109"/>
              <w:jc w:val="both"/>
            </w:pPr>
            <w:r>
              <w:t xml:space="preserve">Contract Identification: </w:t>
            </w:r>
            <w:r>
              <w:rPr>
                <w:u w:val="single"/>
              </w:rPr>
              <w:tab/>
            </w:r>
          </w:p>
          <w:p w14:paraId="351B2837" w14:textId="77777777" w:rsidR="00BB77C0" w:rsidRDefault="00370BAA">
            <w:pPr>
              <w:pStyle w:val="TableParagraph"/>
              <w:tabs>
                <w:tab w:val="left" w:pos="3323"/>
                <w:tab w:val="left" w:pos="3857"/>
              </w:tabs>
              <w:ind w:left="109" w:right="116"/>
              <w:jc w:val="both"/>
            </w:pPr>
            <w:r>
              <w:t xml:space="preserve">Name of Procuring Entity: </w:t>
            </w:r>
            <w:r>
              <w:rPr>
                <w:u w:val="single"/>
              </w:rPr>
              <w:tab/>
            </w:r>
            <w:r>
              <w:rPr>
                <w:u w:val="single"/>
              </w:rPr>
              <w:tab/>
            </w:r>
            <w:r>
              <w:t xml:space="preserve"> Address of Procuring Entity: </w:t>
            </w:r>
            <w:r>
              <w:rPr>
                <w:u w:val="single"/>
              </w:rPr>
              <w:tab/>
            </w:r>
            <w:r>
              <w:rPr>
                <w:u w:val="single"/>
              </w:rPr>
              <w:tab/>
            </w:r>
            <w:r>
              <w:t xml:space="preserve"> Matter in dispute: </w:t>
            </w:r>
            <w:r>
              <w:rPr>
                <w:u w:val="single"/>
              </w:rPr>
              <w:tab/>
            </w:r>
          </w:p>
          <w:p w14:paraId="6DE285E4" w14:textId="77777777" w:rsidR="00BB77C0" w:rsidRDefault="00370BAA">
            <w:pPr>
              <w:pStyle w:val="TableParagraph"/>
              <w:spacing w:line="250" w:lineRule="exact"/>
              <w:ind w:left="109" w:right="615"/>
              <w:jc w:val="both"/>
            </w:pPr>
            <w:r>
              <w:t>Party who initiated the dispute: Status of dispute:</w:t>
            </w:r>
          </w:p>
        </w:tc>
        <w:tc>
          <w:tcPr>
            <w:tcW w:w="2234" w:type="dxa"/>
          </w:tcPr>
          <w:p w14:paraId="263779B6" w14:textId="77777777" w:rsidR="00BB77C0" w:rsidRDefault="00BB77C0">
            <w:pPr>
              <w:pStyle w:val="TableParagraph"/>
            </w:pPr>
          </w:p>
        </w:tc>
      </w:tr>
      <w:tr w:rsidR="00BB77C0" w14:paraId="50DDE172" w14:textId="77777777">
        <w:trPr>
          <w:trHeight w:val="1521"/>
        </w:trPr>
        <w:tc>
          <w:tcPr>
            <w:tcW w:w="1527" w:type="dxa"/>
          </w:tcPr>
          <w:p w14:paraId="2568048C" w14:textId="77777777" w:rsidR="00BB77C0" w:rsidRDefault="00BB77C0">
            <w:pPr>
              <w:pStyle w:val="TableParagraph"/>
            </w:pPr>
          </w:p>
        </w:tc>
        <w:tc>
          <w:tcPr>
            <w:tcW w:w="2051" w:type="dxa"/>
          </w:tcPr>
          <w:p w14:paraId="22833179" w14:textId="77777777" w:rsidR="00BB77C0" w:rsidRDefault="00BB77C0">
            <w:pPr>
              <w:pStyle w:val="TableParagraph"/>
            </w:pPr>
          </w:p>
        </w:tc>
        <w:tc>
          <w:tcPr>
            <w:tcW w:w="3986" w:type="dxa"/>
            <w:tcBorders>
              <w:top w:val="single" w:sz="8" w:space="0" w:color="000000"/>
            </w:tcBorders>
          </w:tcPr>
          <w:p w14:paraId="1E0DB4CB" w14:textId="77777777" w:rsidR="00BB77C0" w:rsidRDefault="00370BAA">
            <w:pPr>
              <w:pStyle w:val="TableParagraph"/>
              <w:ind w:left="109" w:right="1302"/>
            </w:pPr>
            <w:r>
              <w:t xml:space="preserve">Contract Identification: Name of Procuring Entity: </w:t>
            </w:r>
            <w:r>
              <w:rPr>
                <w:spacing w:val="-2"/>
              </w:rPr>
              <w:t>Address</w:t>
            </w:r>
            <w:r>
              <w:rPr>
                <w:spacing w:val="-7"/>
              </w:rPr>
              <w:t xml:space="preserve"> </w:t>
            </w:r>
            <w:r>
              <w:rPr>
                <w:spacing w:val="-2"/>
              </w:rPr>
              <w:t>of</w:t>
            </w:r>
            <w:r>
              <w:rPr>
                <w:spacing w:val="-9"/>
              </w:rPr>
              <w:t xml:space="preserve"> </w:t>
            </w:r>
            <w:r>
              <w:rPr>
                <w:spacing w:val="-2"/>
              </w:rPr>
              <w:t>Procuring</w:t>
            </w:r>
            <w:r>
              <w:rPr>
                <w:spacing w:val="-13"/>
              </w:rPr>
              <w:t xml:space="preserve"> </w:t>
            </w:r>
            <w:r>
              <w:rPr>
                <w:spacing w:val="-2"/>
              </w:rPr>
              <w:t xml:space="preserve">Entity: </w:t>
            </w:r>
            <w:r>
              <w:t>Matter in dispute:</w:t>
            </w:r>
          </w:p>
          <w:p w14:paraId="0EDD8E51" w14:textId="77777777" w:rsidR="00BB77C0" w:rsidRDefault="00370BAA">
            <w:pPr>
              <w:pStyle w:val="TableParagraph"/>
              <w:spacing w:line="250" w:lineRule="atLeast"/>
              <w:ind w:left="109" w:right="1153"/>
            </w:pPr>
            <w:r>
              <w:t>Party</w:t>
            </w:r>
            <w:r>
              <w:rPr>
                <w:spacing w:val="-14"/>
              </w:rPr>
              <w:t xml:space="preserve"> </w:t>
            </w:r>
            <w:r>
              <w:t>who</w:t>
            </w:r>
            <w:r>
              <w:rPr>
                <w:spacing w:val="-14"/>
              </w:rPr>
              <w:t xml:space="preserve"> </w:t>
            </w:r>
            <w:r>
              <w:t>initiated</w:t>
            </w:r>
            <w:r>
              <w:rPr>
                <w:spacing w:val="-14"/>
              </w:rPr>
              <w:t xml:space="preserve"> </w:t>
            </w:r>
            <w:r>
              <w:t>the</w:t>
            </w:r>
            <w:r>
              <w:rPr>
                <w:spacing w:val="-14"/>
              </w:rPr>
              <w:t xml:space="preserve"> </w:t>
            </w:r>
            <w:r>
              <w:t>dispute: Status of dispute:</w:t>
            </w:r>
          </w:p>
        </w:tc>
        <w:tc>
          <w:tcPr>
            <w:tcW w:w="2234" w:type="dxa"/>
          </w:tcPr>
          <w:p w14:paraId="64A9603D" w14:textId="77777777" w:rsidR="00BB77C0" w:rsidRDefault="00BB77C0">
            <w:pPr>
              <w:pStyle w:val="TableParagraph"/>
            </w:pPr>
          </w:p>
        </w:tc>
      </w:tr>
      <w:tr w:rsidR="00BB77C0" w14:paraId="1394E1D9" w14:textId="77777777">
        <w:trPr>
          <w:trHeight w:val="244"/>
        </w:trPr>
        <w:tc>
          <w:tcPr>
            <w:tcW w:w="9798" w:type="dxa"/>
            <w:gridSpan w:val="4"/>
          </w:tcPr>
          <w:p w14:paraId="6B1EB1B8" w14:textId="77777777" w:rsidR="00BB77C0" w:rsidRDefault="00370BAA">
            <w:pPr>
              <w:pStyle w:val="TableParagraph"/>
              <w:spacing w:line="224" w:lineRule="exact"/>
              <w:ind w:left="110"/>
            </w:pPr>
            <w:r>
              <w:rPr>
                <w:spacing w:val="-2"/>
              </w:rPr>
              <w:t>Litigation</w:t>
            </w:r>
            <w:r>
              <w:rPr>
                <w:spacing w:val="-14"/>
              </w:rPr>
              <w:t xml:space="preserve"> </w:t>
            </w:r>
            <w:r>
              <w:rPr>
                <w:spacing w:val="-2"/>
              </w:rPr>
              <w:t>History</w:t>
            </w:r>
            <w:r>
              <w:rPr>
                <w:spacing w:val="-6"/>
              </w:rPr>
              <w:t xml:space="preserve"> </w:t>
            </w:r>
            <w:r>
              <w:rPr>
                <w:spacing w:val="-2"/>
              </w:rPr>
              <w:t>in</w:t>
            </w:r>
            <w:r>
              <w:rPr>
                <w:spacing w:val="-12"/>
              </w:rPr>
              <w:t xml:space="preserve"> </w:t>
            </w:r>
            <w:r>
              <w:rPr>
                <w:spacing w:val="-2"/>
              </w:rPr>
              <w:t>accordance</w:t>
            </w:r>
            <w:r>
              <w:rPr>
                <w:spacing w:val="-13"/>
              </w:rPr>
              <w:t xml:space="preserve"> </w:t>
            </w:r>
            <w:r>
              <w:rPr>
                <w:spacing w:val="-2"/>
              </w:rPr>
              <w:t>with</w:t>
            </w:r>
            <w:r>
              <w:rPr>
                <w:spacing w:val="-12"/>
              </w:rPr>
              <w:t xml:space="preserve"> </w:t>
            </w:r>
            <w:r>
              <w:rPr>
                <w:spacing w:val="-2"/>
              </w:rPr>
              <w:t>Section</w:t>
            </w:r>
            <w:r>
              <w:rPr>
                <w:spacing w:val="-8"/>
              </w:rPr>
              <w:t xml:space="preserve"> </w:t>
            </w:r>
            <w:r>
              <w:rPr>
                <w:spacing w:val="-2"/>
              </w:rPr>
              <w:t>III,</w:t>
            </w:r>
            <w:r>
              <w:rPr>
                <w:spacing w:val="-7"/>
              </w:rPr>
              <w:t xml:space="preserve"> </w:t>
            </w:r>
            <w:r>
              <w:rPr>
                <w:spacing w:val="-2"/>
              </w:rPr>
              <w:t>Evaluation</w:t>
            </w:r>
            <w:r>
              <w:rPr>
                <w:spacing w:val="-4"/>
              </w:rPr>
              <w:t xml:space="preserve"> </w:t>
            </w:r>
            <w:r>
              <w:rPr>
                <w:spacing w:val="-2"/>
              </w:rPr>
              <w:t>and</w:t>
            </w:r>
            <w:r>
              <w:rPr>
                <w:spacing w:val="-4"/>
              </w:rPr>
              <w:t xml:space="preserve"> </w:t>
            </w:r>
            <w:r>
              <w:rPr>
                <w:spacing w:val="-2"/>
              </w:rPr>
              <w:t>Qualification</w:t>
            </w:r>
            <w:r>
              <w:rPr>
                <w:spacing w:val="-3"/>
              </w:rPr>
              <w:t xml:space="preserve"> </w:t>
            </w:r>
            <w:r>
              <w:rPr>
                <w:spacing w:val="-2"/>
              </w:rPr>
              <w:t>Criteria</w:t>
            </w:r>
          </w:p>
        </w:tc>
      </w:tr>
      <w:tr w:rsidR="00BB77C0" w14:paraId="7E70EA97" w14:textId="77777777">
        <w:trPr>
          <w:trHeight w:val="1012"/>
        </w:trPr>
        <w:tc>
          <w:tcPr>
            <w:tcW w:w="9798" w:type="dxa"/>
            <w:gridSpan w:val="4"/>
          </w:tcPr>
          <w:p w14:paraId="51A8FB00" w14:textId="77777777" w:rsidR="00BB77C0" w:rsidRDefault="00370BAA">
            <w:pPr>
              <w:pStyle w:val="TableParagraph"/>
              <w:numPr>
                <w:ilvl w:val="0"/>
                <w:numId w:val="56"/>
              </w:numPr>
              <w:tabs>
                <w:tab w:val="left" w:pos="830"/>
              </w:tabs>
              <w:spacing w:line="242" w:lineRule="auto"/>
              <w:ind w:right="157" w:firstLine="0"/>
            </w:pPr>
            <w:r>
              <w:rPr>
                <w:spacing w:val="-2"/>
              </w:rPr>
              <w:t>No</w:t>
            </w:r>
            <w:r>
              <w:rPr>
                <w:spacing w:val="-17"/>
              </w:rPr>
              <w:t xml:space="preserve"> </w:t>
            </w:r>
            <w:r>
              <w:rPr>
                <w:spacing w:val="-2"/>
              </w:rPr>
              <w:t>Litigation</w:t>
            </w:r>
            <w:r>
              <w:rPr>
                <w:spacing w:val="-7"/>
              </w:rPr>
              <w:t xml:space="preserve"> </w:t>
            </w:r>
            <w:r>
              <w:rPr>
                <w:spacing w:val="-2"/>
              </w:rPr>
              <w:t>History</w:t>
            </w:r>
            <w:r>
              <w:rPr>
                <w:spacing w:val="-8"/>
              </w:rPr>
              <w:t xml:space="preserve"> </w:t>
            </w:r>
            <w:r>
              <w:rPr>
                <w:spacing w:val="-2"/>
              </w:rPr>
              <w:t>in</w:t>
            </w:r>
            <w:r>
              <w:rPr>
                <w:spacing w:val="-21"/>
              </w:rPr>
              <w:t xml:space="preserve"> </w:t>
            </w:r>
            <w:r>
              <w:rPr>
                <w:spacing w:val="-2"/>
              </w:rPr>
              <w:t>accordance</w:t>
            </w:r>
            <w:r>
              <w:rPr>
                <w:spacing w:val="-18"/>
              </w:rPr>
              <w:t xml:space="preserve"> </w:t>
            </w:r>
            <w:r>
              <w:rPr>
                <w:spacing w:val="-2"/>
              </w:rPr>
              <w:t>with</w:t>
            </w:r>
            <w:r>
              <w:rPr>
                <w:spacing w:val="-17"/>
              </w:rPr>
              <w:t xml:space="preserve"> </w:t>
            </w:r>
            <w:r>
              <w:rPr>
                <w:spacing w:val="-2"/>
              </w:rPr>
              <w:t>Section</w:t>
            </w:r>
            <w:r>
              <w:rPr>
                <w:spacing w:val="-16"/>
              </w:rPr>
              <w:t xml:space="preserve"> </w:t>
            </w:r>
            <w:r>
              <w:rPr>
                <w:spacing w:val="-2"/>
              </w:rPr>
              <w:t>III,</w:t>
            </w:r>
            <w:r>
              <w:rPr>
                <w:spacing w:val="-5"/>
              </w:rPr>
              <w:t xml:space="preserve"> </w:t>
            </w:r>
            <w:r>
              <w:rPr>
                <w:spacing w:val="-2"/>
              </w:rPr>
              <w:t>Evaluation</w:t>
            </w:r>
            <w:r>
              <w:rPr>
                <w:spacing w:val="-7"/>
              </w:rPr>
              <w:t xml:space="preserve"> </w:t>
            </w:r>
            <w:r>
              <w:rPr>
                <w:spacing w:val="-2"/>
              </w:rPr>
              <w:t>and</w:t>
            </w:r>
            <w:r>
              <w:rPr>
                <w:spacing w:val="-3"/>
              </w:rPr>
              <w:t xml:space="preserve"> </w:t>
            </w:r>
            <w:r>
              <w:rPr>
                <w:spacing w:val="-2"/>
              </w:rPr>
              <w:t>Qualification</w:t>
            </w:r>
            <w:r>
              <w:rPr>
                <w:spacing w:val="-8"/>
              </w:rPr>
              <w:t xml:space="preserve"> </w:t>
            </w:r>
            <w:r>
              <w:rPr>
                <w:spacing w:val="-2"/>
              </w:rPr>
              <w:t>Criteria,</w:t>
            </w:r>
            <w:r>
              <w:rPr>
                <w:spacing w:val="-12"/>
              </w:rPr>
              <w:t xml:space="preserve"> </w:t>
            </w:r>
            <w:r>
              <w:rPr>
                <w:spacing w:val="-2"/>
              </w:rPr>
              <w:t xml:space="preserve">Sub-Factor </w:t>
            </w:r>
            <w:r>
              <w:rPr>
                <w:spacing w:val="-4"/>
              </w:rPr>
              <w:t>2.4.</w:t>
            </w:r>
          </w:p>
          <w:p w14:paraId="5AB21F8A" w14:textId="77777777" w:rsidR="00BB77C0" w:rsidRDefault="00370BAA">
            <w:pPr>
              <w:pStyle w:val="TableParagraph"/>
              <w:numPr>
                <w:ilvl w:val="0"/>
                <w:numId w:val="56"/>
              </w:numPr>
              <w:tabs>
                <w:tab w:val="left" w:pos="830"/>
              </w:tabs>
              <w:spacing w:before="1" w:line="240" w:lineRule="exact"/>
              <w:ind w:right="250" w:firstLine="0"/>
            </w:pPr>
            <w:r>
              <w:rPr>
                <w:spacing w:val="-4"/>
              </w:rPr>
              <w:t>Litigation History</w:t>
            </w:r>
            <w:r>
              <w:rPr>
                <w:spacing w:val="-6"/>
              </w:rPr>
              <w:t xml:space="preserve"> </w:t>
            </w:r>
            <w:r>
              <w:rPr>
                <w:spacing w:val="-4"/>
              </w:rPr>
              <w:t>in</w:t>
            </w:r>
            <w:r>
              <w:rPr>
                <w:spacing w:val="-16"/>
              </w:rPr>
              <w:t xml:space="preserve"> </w:t>
            </w:r>
            <w:r>
              <w:rPr>
                <w:spacing w:val="-4"/>
              </w:rPr>
              <w:t>accordance</w:t>
            </w:r>
            <w:r>
              <w:rPr>
                <w:spacing w:val="-13"/>
              </w:rPr>
              <w:t xml:space="preserve"> </w:t>
            </w:r>
            <w:r>
              <w:rPr>
                <w:spacing w:val="-4"/>
              </w:rPr>
              <w:t>with</w:t>
            </w:r>
            <w:r>
              <w:rPr>
                <w:spacing w:val="-16"/>
              </w:rPr>
              <w:t xml:space="preserve"> </w:t>
            </w:r>
            <w:r>
              <w:rPr>
                <w:spacing w:val="-4"/>
              </w:rPr>
              <w:t>Section</w:t>
            </w:r>
            <w:r>
              <w:rPr>
                <w:spacing w:val="-15"/>
              </w:rPr>
              <w:t xml:space="preserve"> </w:t>
            </w:r>
            <w:r>
              <w:rPr>
                <w:spacing w:val="-4"/>
              </w:rPr>
              <w:t>III,</w:t>
            </w:r>
            <w:r>
              <w:rPr>
                <w:spacing w:val="-9"/>
              </w:rPr>
              <w:t xml:space="preserve"> </w:t>
            </w:r>
            <w:r>
              <w:rPr>
                <w:spacing w:val="-4"/>
              </w:rPr>
              <w:t>Evaluation</w:t>
            </w:r>
            <w:r>
              <w:t xml:space="preserve"> </w:t>
            </w:r>
            <w:r>
              <w:rPr>
                <w:spacing w:val="-4"/>
              </w:rPr>
              <w:t>and Qualification</w:t>
            </w:r>
            <w:r>
              <w:t xml:space="preserve"> </w:t>
            </w:r>
            <w:r>
              <w:rPr>
                <w:spacing w:val="-4"/>
              </w:rPr>
              <w:t xml:space="preserve">Criteria, Sub-Factor 2.4 </w:t>
            </w:r>
            <w:r>
              <w:t>as indicated below.</w:t>
            </w:r>
          </w:p>
        </w:tc>
      </w:tr>
    </w:tbl>
    <w:p w14:paraId="4CE48D8E" w14:textId="77777777" w:rsidR="00BB77C0" w:rsidRDefault="00BB77C0">
      <w:pPr>
        <w:pStyle w:val="TableParagraph"/>
        <w:spacing w:line="240" w:lineRule="exact"/>
        <w:sectPr w:rsidR="00BB77C0">
          <w:pgSz w:w="11920" w:h="16850"/>
          <w:pgMar w:top="0" w:right="0" w:bottom="0" w:left="360" w:header="720" w:footer="720" w:gutter="0"/>
          <w:cols w:space="720"/>
        </w:sectPr>
      </w:pPr>
    </w:p>
    <w:p w14:paraId="77174D3C" w14:textId="77777777" w:rsidR="00BB77C0" w:rsidRDefault="00370BAA">
      <w:pPr>
        <w:pStyle w:val="BodyText"/>
        <w:spacing w:before="102" w:after="1"/>
        <w:rPr>
          <w:sz w:val="20"/>
        </w:rPr>
      </w:pPr>
      <w:r>
        <w:rPr>
          <w:noProof/>
          <w:sz w:val="20"/>
        </w:rPr>
        <w:lastRenderedPageBreak/>
        <mc:AlternateContent>
          <mc:Choice Requires="wpg">
            <w:drawing>
              <wp:anchor distT="0" distB="0" distL="0" distR="0" simplePos="0" relativeHeight="15743488" behindDoc="0" locked="0" layoutInCell="1" allowOverlap="1" wp14:anchorId="066E90F7" wp14:editId="5ABC13B8">
                <wp:simplePos x="0" y="0"/>
                <wp:positionH relativeFrom="page">
                  <wp:posOffset>0</wp:posOffset>
                </wp:positionH>
                <wp:positionV relativeFrom="page">
                  <wp:posOffset>0</wp:posOffset>
                </wp:positionV>
                <wp:extent cx="7559675" cy="228600"/>
                <wp:effectExtent l="0" t="0" r="0" b="0"/>
                <wp:wrapNone/>
                <wp:docPr id="114"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675" cy="228600"/>
                          <a:chOff x="0" y="0"/>
                          <a:chExt cx="7559675" cy="228600"/>
                        </a:xfrm>
                      </wpg:grpSpPr>
                      <wps:wsp>
                        <wps:cNvPr id="115" name="Graphic 115"/>
                        <wps:cNvSpPr/>
                        <wps:spPr>
                          <a:xfrm>
                            <a:off x="0" y="0"/>
                            <a:ext cx="6701155" cy="228600"/>
                          </a:xfrm>
                          <a:custGeom>
                            <a:avLst/>
                            <a:gdLst/>
                            <a:ahLst/>
                            <a:cxnLst/>
                            <a:rect l="l" t="t" r="r" b="b"/>
                            <a:pathLst>
                              <a:path w="6701155" h="228600">
                                <a:moveTo>
                                  <a:pt x="6700647" y="0"/>
                                </a:moveTo>
                                <a:lnTo>
                                  <a:pt x="0" y="0"/>
                                </a:lnTo>
                                <a:lnTo>
                                  <a:pt x="0" y="223520"/>
                                </a:lnTo>
                                <a:lnTo>
                                  <a:pt x="6516497" y="228600"/>
                                </a:lnTo>
                                <a:lnTo>
                                  <a:pt x="6700647" y="0"/>
                                </a:lnTo>
                                <a:close/>
                              </a:path>
                            </a:pathLst>
                          </a:custGeom>
                          <a:solidFill>
                            <a:srgbClr val="E6E7E8"/>
                          </a:solidFill>
                        </wps:spPr>
                        <wps:bodyPr wrap="square" lIns="0" tIns="0" rIns="0" bIns="0" rtlCol="0">
                          <a:prstTxWarp prst="textNoShape">
                            <a:avLst/>
                          </a:prstTxWarp>
                          <a:noAutofit/>
                        </wps:bodyPr>
                      </wps:wsp>
                      <wps:wsp>
                        <wps:cNvPr id="116" name="Graphic 116"/>
                        <wps:cNvSpPr/>
                        <wps:spPr>
                          <a:xfrm>
                            <a:off x="6892925" y="0"/>
                            <a:ext cx="666750" cy="228600"/>
                          </a:xfrm>
                          <a:custGeom>
                            <a:avLst/>
                            <a:gdLst/>
                            <a:ahLst/>
                            <a:cxnLst/>
                            <a:rect l="l" t="t" r="r" b="b"/>
                            <a:pathLst>
                              <a:path w="666750" h="228600">
                                <a:moveTo>
                                  <a:pt x="666750" y="0"/>
                                </a:moveTo>
                                <a:lnTo>
                                  <a:pt x="126365" y="0"/>
                                </a:lnTo>
                                <a:lnTo>
                                  <a:pt x="0" y="228600"/>
                                </a:lnTo>
                                <a:lnTo>
                                  <a:pt x="666750" y="228600"/>
                                </a:lnTo>
                                <a:lnTo>
                                  <a:pt x="666750" y="0"/>
                                </a:lnTo>
                                <a:close/>
                              </a:path>
                            </a:pathLst>
                          </a:custGeom>
                          <a:solidFill>
                            <a:srgbClr val="EB1C22"/>
                          </a:solidFill>
                        </wps:spPr>
                        <wps:bodyPr wrap="square" lIns="0" tIns="0" rIns="0" bIns="0" rtlCol="0">
                          <a:prstTxWarp prst="textNoShape">
                            <a:avLst/>
                          </a:prstTxWarp>
                          <a:noAutofit/>
                        </wps:bodyPr>
                      </wps:wsp>
                      <wps:wsp>
                        <wps:cNvPr id="117" name="Graphic 117"/>
                        <wps:cNvSpPr/>
                        <wps:spPr>
                          <a:xfrm>
                            <a:off x="6664452" y="0"/>
                            <a:ext cx="330200" cy="228600"/>
                          </a:xfrm>
                          <a:custGeom>
                            <a:avLst/>
                            <a:gdLst/>
                            <a:ahLst/>
                            <a:cxnLst/>
                            <a:rect l="l" t="t" r="r" b="b"/>
                            <a:pathLst>
                              <a:path w="330200" h="228600">
                                <a:moveTo>
                                  <a:pt x="330073" y="0"/>
                                </a:moveTo>
                                <a:lnTo>
                                  <a:pt x="126365" y="0"/>
                                </a:lnTo>
                                <a:lnTo>
                                  <a:pt x="0" y="228600"/>
                                </a:lnTo>
                                <a:lnTo>
                                  <a:pt x="200532" y="228600"/>
                                </a:lnTo>
                                <a:lnTo>
                                  <a:pt x="330073" y="0"/>
                                </a:lnTo>
                                <a:close/>
                              </a:path>
                            </a:pathLst>
                          </a:custGeom>
                          <a:solidFill>
                            <a:srgbClr val="00A650"/>
                          </a:solidFill>
                        </wps:spPr>
                        <wps:bodyPr wrap="square" lIns="0" tIns="0" rIns="0" bIns="0" rtlCol="0">
                          <a:prstTxWarp prst="textNoShape">
                            <a:avLst/>
                          </a:prstTxWarp>
                          <a:noAutofit/>
                        </wps:bodyPr>
                      </wps:wsp>
                      <wps:wsp>
                        <wps:cNvPr id="118" name="Graphic 118"/>
                        <wps:cNvSpPr/>
                        <wps:spPr>
                          <a:xfrm>
                            <a:off x="6435216" y="0"/>
                            <a:ext cx="330200" cy="228600"/>
                          </a:xfrm>
                          <a:custGeom>
                            <a:avLst/>
                            <a:gdLst/>
                            <a:ahLst/>
                            <a:cxnLst/>
                            <a:rect l="l" t="t" r="r" b="b"/>
                            <a:pathLst>
                              <a:path w="330200" h="228600">
                                <a:moveTo>
                                  <a:pt x="330200" y="0"/>
                                </a:moveTo>
                                <a:lnTo>
                                  <a:pt x="126364" y="0"/>
                                </a:lnTo>
                                <a:lnTo>
                                  <a:pt x="0" y="228600"/>
                                </a:lnTo>
                                <a:lnTo>
                                  <a:pt x="200660" y="228600"/>
                                </a:lnTo>
                                <a:lnTo>
                                  <a:pt x="330200" y="0"/>
                                </a:lnTo>
                                <a:close/>
                              </a:path>
                            </a:pathLst>
                          </a:custGeom>
                          <a:solidFill>
                            <a:srgbClr val="A7A9AC"/>
                          </a:solidFill>
                        </wps:spPr>
                        <wps:bodyPr wrap="square" lIns="0" tIns="0" rIns="0" bIns="0" rtlCol="0">
                          <a:prstTxWarp prst="textNoShape">
                            <a:avLst/>
                          </a:prstTxWarp>
                          <a:noAutofit/>
                        </wps:bodyPr>
                      </wps:wsp>
                    </wpg:wgp>
                  </a:graphicData>
                </a:graphic>
              </wp:anchor>
            </w:drawing>
          </mc:Choice>
          <mc:Fallback>
            <w:pict>
              <v:group w14:anchorId="5014A056" id="Group 114" o:spid="_x0000_s1026" style="position:absolute;margin-left:0;margin-top:0;width:595.25pt;height:18pt;z-index:15743488;mso-wrap-distance-left:0;mso-wrap-distance-right:0;mso-position-horizontal-relative:page;mso-position-vertical-relative:page" coordsize="75596,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">
                <v:shape id="Graphic 115" o:spid="_x0000_s1027" style="position:absolute;width:67011;height:2286;visibility:visible;mso-wrap-style:square;v-text-anchor:top" coordsize="670115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" path="m6700647,l,,,223520r6516497,5080l6700647,xe" fillcolor="#e6e7e8" stroked="f">
                  <v:path arrowok="t"/>
                </v:shape>
                <v:shape id="Graphic 116" o:spid="_x0000_s1028" style="position:absolute;left:68929;width:6667;height:2286;visibility:visible;mso-wrap-style:square;v-text-anchor:top" coordsize="6667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" path="m666750,l126365,,,228600r666750,l666750,xe" fillcolor="#eb1c22" stroked="f">
                  <v:path arrowok="t"/>
                </v:shape>
                <v:shape id="Graphic 117" o:spid="_x0000_s1029" style="position:absolute;left:66644;width:3302;height:2286;visibility:visible;mso-wrap-style:square;v-text-anchor:top" coordsize="3302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" path="m330073,l126365,,,228600r200532,l330073,xe" fillcolor="#00a650" stroked="f">
                  <v:path arrowok="t"/>
                </v:shape>
                <v:shape id="Graphic 118" o:spid="_x0000_s1030" style="position:absolute;left:64352;width:3302;height:2286;visibility:visible;mso-wrap-style:square;v-text-anchor:top" coordsize="3302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" path="m330200,l126364,,,228600r200660,l330200,xe" fillcolor="#a7a9ac" stroked="f">
                  <v:path arrowok="t"/>
                </v:shape>
                <w10:wrap anchorx="page" anchory="page"/>
              </v:group>
            </w:pict>
          </mc:Fallback>
        </mc:AlternateContent>
      </w:r>
      <w:r>
        <w:rPr>
          <w:noProof/>
          <w:sz w:val="20"/>
        </w:rPr>
        <mc:AlternateContent>
          <mc:Choice Requires="wpg">
            <w:drawing>
              <wp:anchor distT="0" distB="0" distL="0" distR="0" simplePos="0" relativeHeight="15744000" behindDoc="0" locked="0" layoutInCell="1" allowOverlap="1" wp14:anchorId="7C4D5853" wp14:editId="3E426A3A">
                <wp:simplePos x="0" y="0"/>
                <wp:positionH relativeFrom="page">
                  <wp:posOffset>0</wp:posOffset>
                </wp:positionH>
                <wp:positionV relativeFrom="page">
                  <wp:posOffset>10234295</wp:posOffset>
                </wp:positionV>
                <wp:extent cx="7561580" cy="459105"/>
                <wp:effectExtent l="0" t="0" r="0" b="0"/>
                <wp:wrapNone/>
                <wp:docPr id="119"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1580" cy="459105"/>
                          <a:chOff x="0" y="0"/>
                          <a:chExt cx="7561580" cy="459105"/>
                        </a:xfrm>
                      </wpg:grpSpPr>
                      <wps:wsp>
                        <wps:cNvPr id="120" name="Graphic 120"/>
                        <wps:cNvSpPr/>
                        <wps:spPr>
                          <a:xfrm>
                            <a:off x="6449059" y="5714"/>
                            <a:ext cx="1110615" cy="451484"/>
                          </a:xfrm>
                          <a:custGeom>
                            <a:avLst/>
                            <a:gdLst/>
                            <a:ahLst/>
                            <a:cxnLst/>
                            <a:rect l="l" t="t" r="r" b="b"/>
                            <a:pathLst>
                              <a:path w="1110615" h="451484">
                                <a:moveTo>
                                  <a:pt x="1110614" y="0"/>
                                </a:moveTo>
                                <a:lnTo>
                                  <a:pt x="0" y="0"/>
                                </a:lnTo>
                                <a:lnTo>
                                  <a:pt x="260349" y="451483"/>
                                </a:lnTo>
                                <a:lnTo>
                                  <a:pt x="1110614" y="451483"/>
                                </a:lnTo>
                                <a:lnTo>
                                  <a:pt x="1110614" y="0"/>
                                </a:lnTo>
                                <a:close/>
                              </a:path>
                            </a:pathLst>
                          </a:custGeom>
                          <a:solidFill>
                            <a:srgbClr val="FAD2C1"/>
                          </a:solidFill>
                        </wps:spPr>
                        <wps:bodyPr wrap="square" lIns="0" tIns="0" rIns="0" bIns="0" rtlCol="0">
                          <a:prstTxWarp prst="textNoShape">
                            <a:avLst/>
                          </a:prstTxWarp>
                          <a:noAutofit/>
                        </wps:bodyPr>
                      </wps:wsp>
                      <wps:wsp>
                        <wps:cNvPr id="121" name="Graphic 121"/>
                        <wps:cNvSpPr/>
                        <wps:spPr>
                          <a:xfrm>
                            <a:off x="6449059" y="5714"/>
                            <a:ext cx="1110615" cy="451484"/>
                          </a:xfrm>
                          <a:custGeom>
                            <a:avLst/>
                            <a:gdLst/>
                            <a:ahLst/>
                            <a:cxnLst/>
                            <a:rect l="l" t="t" r="r" b="b"/>
                            <a:pathLst>
                              <a:path w="1110615" h="451484">
                                <a:moveTo>
                                  <a:pt x="0" y="0"/>
                                </a:moveTo>
                                <a:lnTo>
                                  <a:pt x="1110614" y="0"/>
                                </a:lnTo>
                                <a:lnTo>
                                  <a:pt x="1110614" y="451483"/>
                                </a:lnTo>
                                <a:lnTo>
                                  <a:pt x="260349" y="451483"/>
                                </a:lnTo>
                                <a:lnTo>
                                  <a:pt x="0" y="0"/>
                                </a:lnTo>
                              </a:path>
                            </a:pathLst>
                          </a:custGeom>
                          <a:ln w="3051">
                            <a:solidFill>
                              <a:srgbClr val="FAD2C1"/>
                            </a:solidFill>
                            <a:prstDash val="solid"/>
                          </a:ln>
                        </wps:spPr>
                        <wps:bodyPr wrap="square" lIns="0" tIns="0" rIns="0" bIns="0" rtlCol="0">
                          <a:prstTxWarp prst="textNoShape">
                            <a:avLst/>
                          </a:prstTxWarp>
                          <a:noAutofit/>
                        </wps:bodyPr>
                      </wps:wsp>
                      <wps:wsp>
                        <wps:cNvPr id="122" name="Graphic 122"/>
                        <wps:cNvSpPr/>
                        <wps:spPr>
                          <a:xfrm>
                            <a:off x="0" y="6350"/>
                            <a:ext cx="7560309" cy="1270"/>
                          </a:xfrm>
                          <a:custGeom>
                            <a:avLst/>
                            <a:gdLst/>
                            <a:ahLst/>
                            <a:cxnLst/>
                            <a:rect l="l" t="t" r="r" b="b"/>
                            <a:pathLst>
                              <a:path w="7560309">
                                <a:moveTo>
                                  <a:pt x="0" y="0"/>
                                </a:moveTo>
                                <a:lnTo>
                                  <a:pt x="7560309" y="0"/>
                                </a:lnTo>
                              </a:path>
                            </a:pathLst>
                          </a:custGeom>
                          <a:ln w="12700">
                            <a:solidFill>
                              <a:srgbClr val="FAD2C1"/>
                            </a:solidFill>
                            <a:prstDash val="solid"/>
                          </a:ln>
                        </wps:spPr>
                        <wps:bodyPr wrap="square" lIns="0" tIns="0" rIns="0" bIns="0" rtlCol="0">
                          <a:prstTxWarp prst="textNoShape">
                            <a:avLst/>
                          </a:prstTxWarp>
                          <a:noAutofit/>
                        </wps:bodyPr>
                      </wps:wsp>
                      <wps:wsp>
                        <wps:cNvPr id="123" name="Textbox 123"/>
                        <wps:cNvSpPr txBox="1"/>
                        <wps:spPr>
                          <a:xfrm>
                            <a:off x="6882130" y="37491"/>
                            <a:ext cx="147320" cy="155575"/>
                          </a:xfrm>
                          <a:prstGeom prst="rect">
                            <a:avLst/>
                          </a:prstGeom>
                        </wps:spPr>
                        <wps:txbx>
                          <w:txbxContent>
                            <w:p w14:paraId="79B69483" w14:textId="77777777" w:rsidR="00BB77C0" w:rsidRDefault="00370BAA">
                              <w:pPr>
                                <w:spacing w:line="244" w:lineRule="exact"/>
                              </w:pPr>
                              <w:r>
                                <w:rPr>
                                  <w:spacing w:val="-5"/>
                                </w:rPr>
                                <w:t>61</w:t>
                              </w:r>
                            </w:p>
                          </w:txbxContent>
                        </wps:txbx>
                        <wps:bodyPr wrap="square" lIns="0" tIns="0" rIns="0" bIns="0" rtlCol="0">
                          <a:noAutofit/>
                        </wps:bodyPr>
                      </wps:wsp>
                    </wpg:wgp>
                  </a:graphicData>
                </a:graphic>
              </wp:anchor>
            </w:drawing>
          </mc:Choice>
          <mc:Fallback>
            <w:pict>
              <v:group w14:anchorId="7C4D5853" id="Group 119" o:spid="_x0000_s1070" style="position:absolute;margin-left:0;margin-top:805.85pt;width:595.4pt;height:36.15pt;z-index:15744000;mso-wrap-distance-left:0;mso-wrap-distance-right:0;mso-position-horizontal-relative:page;mso-position-vertical-relative:page" coordsize="75615,4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">
                <v:shape id="Graphic 120" o:spid="_x0000_s1071" style="position:absolute;left:64490;top:57;width:11106;height:4514;visibility:visible;mso-wrap-style:square;v-text-anchor:top" coordsize="1110615,4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" path="m1110614,l,,260349,451483r850265,l1110614,xe" fillcolor="#fad2c1" stroked="f">
                  <v:path arrowok="t"/>
                </v:shape>
                <v:shape id="Graphic 121" o:spid="_x0000_s1072" style="position:absolute;left:64490;top:57;width:11106;height:4514;visibility:visible;mso-wrap-style:square;v-text-anchor:top" coordsize="1110615,4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" path="m,l1110614,r,451483l260349,451483,,e" filled="f" strokecolor="#fad2c1" strokeweight=".08475mm">
                  <v:path arrowok="t"/>
                </v:shape>
                <v:shape id="Graphic 122" o:spid="_x0000_s1073" style="position:absolute;top:63;width:75603;height:13;visibility:visible;mso-wrap-style:square;v-text-anchor:top" coordsize="756030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" path="m,l7560309,e" filled="f" strokecolor="#fad2c1" strokeweight="1pt">
                  <v:path arrowok="t"/>
                </v:shape>
                <v:shape id="Textbox 123" o:spid="_x0000_s1074" type="#_x0000_t202" style="position:absolute;left:68821;top:374;width:1473;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ZP4wwAAANwAAAAPAAAAZHJzL2Rvd25yZXYueG1sRE9Na8JA&#10;EL0X+h+WKfTWbLQg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2rmT+MMAAADcAAAADwAA&#10;AAAAAAAAAAAAAAAHAgAAZHJzL2Rvd25yZXYueG1sUEsFBgAAAAADAAMAtwAAAPcCAAAAAA==&#10;" filled="f" stroked="f">
                  <v:textbox inset="0,0,0,0">
                    <w:txbxContent>
                      <w:p w14:paraId="79B69483" w14:textId="77777777" w:rsidR="00BB77C0" w:rsidRDefault="00370BAA">
                        <w:pPr>
                          <w:spacing w:line="244" w:lineRule="exact"/>
                        </w:pPr>
                        <w:r>
                          <w:rPr>
                            <w:spacing w:val="-5"/>
                          </w:rPr>
                          <w:t>61</w:t>
                        </w:r>
                      </w:p>
                    </w:txbxContent>
                  </v:textbox>
                </v:shape>
                <w10:wrap anchorx="page" anchory="page"/>
              </v:group>
            </w:pict>
          </mc:Fallback>
        </mc:AlternateContent>
      </w:r>
    </w:p>
    <w:tbl>
      <w:tblPr>
        <w:tblW w:w="0" w:type="auto"/>
        <w:tblInd w:w="4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3"/>
        <w:gridCol w:w="2070"/>
        <w:gridCol w:w="4231"/>
        <w:gridCol w:w="2233"/>
      </w:tblGrid>
      <w:tr w:rsidR="00BB77C0" w14:paraId="0C320072" w14:textId="77777777">
        <w:trPr>
          <w:trHeight w:val="1262"/>
        </w:trPr>
        <w:tc>
          <w:tcPr>
            <w:tcW w:w="1263" w:type="dxa"/>
          </w:tcPr>
          <w:p w14:paraId="53FAF008" w14:textId="77777777" w:rsidR="00BB77C0" w:rsidRDefault="00370BAA">
            <w:pPr>
              <w:pStyle w:val="TableParagraph"/>
              <w:spacing w:before="3" w:line="237" w:lineRule="auto"/>
              <w:ind w:left="110" w:right="446"/>
              <w:rPr>
                <w:b/>
              </w:rPr>
            </w:pPr>
            <w:r>
              <w:rPr>
                <w:b/>
                <w:spacing w:val="-2"/>
              </w:rPr>
              <w:t>Year</w:t>
            </w:r>
            <w:r>
              <w:rPr>
                <w:b/>
                <w:spacing w:val="-14"/>
              </w:rPr>
              <w:t xml:space="preserve"> </w:t>
            </w:r>
            <w:r>
              <w:rPr>
                <w:b/>
                <w:spacing w:val="-2"/>
              </w:rPr>
              <w:t>of award</w:t>
            </w:r>
          </w:p>
        </w:tc>
        <w:tc>
          <w:tcPr>
            <w:tcW w:w="2070" w:type="dxa"/>
          </w:tcPr>
          <w:p w14:paraId="5CD738D9" w14:textId="77777777" w:rsidR="00BB77C0" w:rsidRDefault="00370BAA">
            <w:pPr>
              <w:pStyle w:val="TableParagraph"/>
              <w:spacing w:before="1"/>
              <w:ind w:left="110"/>
              <w:rPr>
                <w:b/>
              </w:rPr>
            </w:pPr>
            <w:r>
              <w:rPr>
                <w:b/>
              </w:rPr>
              <w:t xml:space="preserve">Outcome as </w:t>
            </w:r>
            <w:r>
              <w:rPr>
                <w:b/>
                <w:spacing w:val="-2"/>
              </w:rPr>
              <w:t>percentage</w:t>
            </w:r>
            <w:r>
              <w:rPr>
                <w:b/>
                <w:spacing w:val="-13"/>
              </w:rPr>
              <w:t xml:space="preserve"> </w:t>
            </w:r>
            <w:r>
              <w:rPr>
                <w:b/>
                <w:spacing w:val="-2"/>
              </w:rPr>
              <w:t>of</w:t>
            </w:r>
            <w:r>
              <w:rPr>
                <w:b/>
                <w:spacing w:val="-19"/>
              </w:rPr>
              <w:t xml:space="preserve"> </w:t>
            </w:r>
            <w:r>
              <w:rPr>
                <w:b/>
                <w:spacing w:val="-2"/>
              </w:rPr>
              <w:t>Net Worth</w:t>
            </w:r>
          </w:p>
        </w:tc>
        <w:tc>
          <w:tcPr>
            <w:tcW w:w="4231" w:type="dxa"/>
          </w:tcPr>
          <w:p w14:paraId="47ACC3C9" w14:textId="77777777" w:rsidR="00BB77C0" w:rsidRDefault="00370BAA">
            <w:pPr>
              <w:pStyle w:val="TableParagraph"/>
              <w:spacing w:line="244" w:lineRule="exact"/>
              <w:ind w:left="109"/>
              <w:rPr>
                <w:b/>
              </w:rPr>
            </w:pPr>
            <w:r>
              <w:rPr>
                <w:b/>
              </w:rPr>
              <w:t>Contract</w:t>
            </w:r>
            <w:r>
              <w:rPr>
                <w:b/>
                <w:spacing w:val="-12"/>
              </w:rPr>
              <w:t xml:space="preserve"> </w:t>
            </w:r>
            <w:r>
              <w:rPr>
                <w:b/>
                <w:spacing w:val="-2"/>
              </w:rPr>
              <w:t>Identification</w:t>
            </w:r>
          </w:p>
        </w:tc>
        <w:tc>
          <w:tcPr>
            <w:tcW w:w="2233" w:type="dxa"/>
          </w:tcPr>
          <w:p w14:paraId="49DFBF86" w14:textId="77777777" w:rsidR="00BB77C0" w:rsidRDefault="00370BAA">
            <w:pPr>
              <w:pStyle w:val="TableParagraph"/>
              <w:spacing w:before="1"/>
              <w:ind w:left="109" w:right="204"/>
              <w:rPr>
                <w:b/>
              </w:rPr>
            </w:pPr>
            <w:r>
              <w:rPr>
                <w:b/>
              </w:rPr>
              <w:t xml:space="preserve">Total Contract </w:t>
            </w:r>
            <w:r>
              <w:rPr>
                <w:b/>
                <w:spacing w:val="-4"/>
              </w:rPr>
              <w:t>Amount</w:t>
            </w:r>
            <w:r>
              <w:rPr>
                <w:b/>
                <w:spacing w:val="-13"/>
              </w:rPr>
              <w:t xml:space="preserve"> </w:t>
            </w:r>
            <w:r>
              <w:rPr>
                <w:b/>
                <w:spacing w:val="-4"/>
              </w:rPr>
              <w:t xml:space="preserve">(currency), </w:t>
            </w:r>
            <w:r>
              <w:rPr>
                <w:b/>
              </w:rPr>
              <w:t>Kenya Shilling</w:t>
            </w:r>
          </w:p>
          <w:p w14:paraId="27C358CA" w14:textId="77777777" w:rsidR="00BB77C0" w:rsidRDefault="00370BAA">
            <w:pPr>
              <w:pStyle w:val="TableParagraph"/>
              <w:spacing w:before="2" w:line="240" w:lineRule="exact"/>
              <w:ind w:left="109" w:right="204"/>
              <w:rPr>
                <w:b/>
              </w:rPr>
            </w:pPr>
            <w:r>
              <w:rPr>
                <w:b/>
                <w:spacing w:val="-2"/>
              </w:rPr>
              <w:t>Equivalent (exchange</w:t>
            </w:r>
            <w:r>
              <w:rPr>
                <w:b/>
                <w:spacing w:val="-12"/>
              </w:rPr>
              <w:t xml:space="preserve"> </w:t>
            </w:r>
            <w:r>
              <w:rPr>
                <w:b/>
                <w:spacing w:val="-2"/>
              </w:rPr>
              <w:t>rate)</w:t>
            </w:r>
          </w:p>
        </w:tc>
      </w:tr>
      <w:tr w:rsidR="00BB77C0" w14:paraId="61A27323" w14:textId="77777777">
        <w:trPr>
          <w:trHeight w:val="3039"/>
        </w:trPr>
        <w:tc>
          <w:tcPr>
            <w:tcW w:w="1263" w:type="dxa"/>
          </w:tcPr>
          <w:p w14:paraId="7547DEB1" w14:textId="77777777" w:rsidR="00BB77C0" w:rsidRDefault="00370BAA">
            <w:pPr>
              <w:pStyle w:val="TableParagraph"/>
              <w:spacing w:line="242" w:lineRule="auto"/>
              <w:ind w:left="110" w:right="564"/>
              <w:rPr>
                <w:i/>
              </w:rPr>
            </w:pPr>
            <w:r>
              <w:rPr>
                <w:i/>
                <w:spacing w:val="-4"/>
              </w:rPr>
              <w:t xml:space="preserve">[insert </w:t>
            </w:r>
            <w:r>
              <w:rPr>
                <w:i/>
                <w:spacing w:val="-2"/>
              </w:rPr>
              <w:t>year]</w:t>
            </w:r>
          </w:p>
        </w:tc>
        <w:tc>
          <w:tcPr>
            <w:tcW w:w="2070" w:type="dxa"/>
          </w:tcPr>
          <w:p w14:paraId="61371EDD" w14:textId="77777777" w:rsidR="00BB77C0" w:rsidRDefault="00370BAA">
            <w:pPr>
              <w:pStyle w:val="TableParagraph"/>
              <w:spacing w:line="244" w:lineRule="exact"/>
              <w:ind w:left="110"/>
              <w:rPr>
                <w:i/>
              </w:rPr>
            </w:pPr>
            <w:r>
              <w:rPr>
                <w:i/>
              </w:rPr>
              <w:t>[insert</w:t>
            </w:r>
            <w:r>
              <w:rPr>
                <w:i/>
                <w:spacing w:val="-2"/>
              </w:rPr>
              <w:t xml:space="preserve"> percentage]</w:t>
            </w:r>
          </w:p>
        </w:tc>
        <w:tc>
          <w:tcPr>
            <w:tcW w:w="4231" w:type="dxa"/>
          </w:tcPr>
          <w:p w14:paraId="1AA7FA26" w14:textId="77777777" w:rsidR="00BB77C0" w:rsidRDefault="00370BAA">
            <w:pPr>
              <w:pStyle w:val="TableParagraph"/>
              <w:ind w:left="109" w:right="390"/>
            </w:pPr>
            <w:r>
              <w:t>Contract</w:t>
            </w:r>
            <w:r>
              <w:rPr>
                <w:spacing w:val="-14"/>
              </w:rPr>
              <w:t xml:space="preserve"> </w:t>
            </w:r>
            <w:r>
              <w:t>Identification:</w:t>
            </w:r>
            <w:r>
              <w:rPr>
                <w:spacing w:val="-15"/>
              </w:rPr>
              <w:t xml:space="preserve"> </w:t>
            </w:r>
            <w:r>
              <w:t>[indicate</w:t>
            </w:r>
            <w:r>
              <w:rPr>
                <w:spacing w:val="-14"/>
              </w:rPr>
              <w:t xml:space="preserve"> </w:t>
            </w:r>
            <w:r>
              <w:t xml:space="preserve">complete contract name, number, and any other </w:t>
            </w:r>
            <w:r>
              <w:rPr>
                <w:spacing w:val="-2"/>
              </w:rPr>
              <w:t>identification]</w:t>
            </w:r>
          </w:p>
          <w:p w14:paraId="393452EE" w14:textId="77777777" w:rsidR="00BB77C0" w:rsidRDefault="00370BAA">
            <w:pPr>
              <w:pStyle w:val="TableParagraph"/>
              <w:ind w:left="109"/>
              <w:rPr>
                <w:i/>
              </w:rPr>
            </w:pPr>
            <w:r>
              <w:t>Name</w:t>
            </w:r>
            <w:r>
              <w:rPr>
                <w:spacing w:val="-14"/>
              </w:rPr>
              <w:t xml:space="preserve"> </w:t>
            </w:r>
            <w:r>
              <w:t>of</w:t>
            </w:r>
            <w:r>
              <w:rPr>
                <w:spacing w:val="-11"/>
              </w:rPr>
              <w:t xml:space="preserve"> </w:t>
            </w:r>
            <w:r>
              <w:t>Procuring</w:t>
            </w:r>
            <w:r>
              <w:rPr>
                <w:spacing w:val="-13"/>
              </w:rPr>
              <w:t xml:space="preserve"> </w:t>
            </w:r>
            <w:r>
              <w:t>Entity:</w:t>
            </w:r>
            <w:r>
              <w:rPr>
                <w:spacing w:val="-14"/>
              </w:rPr>
              <w:t xml:space="preserve"> </w:t>
            </w:r>
            <w:r>
              <w:rPr>
                <w:i/>
              </w:rPr>
              <w:t>[insert</w:t>
            </w:r>
            <w:r>
              <w:rPr>
                <w:i/>
                <w:spacing w:val="-13"/>
              </w:rPr>
              <w:t xml:space="preserve"> </w:t>
            </w:r>
            <w:r>
              <w:rPr>
                <w:i/>
              </w:rPr>
              <w:t>full</w:t>
            </w:r>
            <w:r>
              <w:rPr>
                <w:i/>
                <w:spacing w:val="-13"/>
              </w:rPr>
              <w:t xml:space="preserve"> </w:t>
            </w:r>
            <w:r>
              <w:rPr>
                <w:i/>
              </w:rPr>
              <w:t xml:space="preserve">name] </w:t>
            </w:r>
            <w:r>
              <w:t xml:space="preserve">Address of Procuring Entity: </w:t>
            </w:r>
            <w:r>
              <w:rPr>
                <w:i/>
              </w:rPr>
              <w:t xml:space="preserve">[insert </w:t>
            </w:r>
            <w:r>
              <w:rPr>
                <w:i/>
                <w:spacing w:val="-2"/>
              </w:rPr>
              <w:t>street/city/country]</w:t>
            </w:r>
          </w:p>
          <w:p w14:paraId="275E471C" w14:textId="77777777" w:rsidR="00BB77C0" w:rsidRDefault="00370BAA">
            <w:pPr>
              <w:pStyle w:val="TableParagraph"/>
              <w:ind w:left="109"/>
              <w:rPr>
                <w:i/>
              </w:rPr>
            </w:pPr>
            <w:r>
              <w:t>Matter</w:t>
            </w:r>
            <w:r>
              <w:rPr>
                <w:spacing w:val="-11"/>
              </w:rPr>
              <w:t xml:space="preserve"> </w:t>
            </w:r>
            <w:r>
              <w:t>in</w:t>
            </w:r>
            <w:r>
              <w:rPr>
                <w:spacing w:val="-13"/>
              </w:rPr>
              <w:t xml:space="preserve"> </w:t>
            </w:r>
            <w:r>
              <w:t>dispute:</w:t>
            </w:r>
            <w:r>
              <w:rPr>
                <w:spacing w:val="-13"/>
              </w:rPr>
              <w:t xml:space="preserve"> </w:t>
            </w:r>
            <w:r>
              <w:rPr>
                <w:i/>
              </w:rPr>
              <w:t>[indicate</w:t>
            </w:r>
            <w:r>
              <w:rPr>
                <w:i/>
                <w:spacing w:val="-11"/>
              </w:rPr>
              <w:t xml:space="preserve"> </w:t>
            </w:r>
            <w:r>
              <w:rPr>
                <w:i/>
              </w:rPr>
              <w:t>main</w:t>
            </w:r>
            <w:r>
              <w:rPr>
                <w:i/>
                <w:spacing w:val="-10"/>
              </w:rPr>
              <w:t xml:space="preserve"> </w:t>
            </w:r>
            <w:r>
              <w:rPr>
                <w:i/>
              </w:rPr>
              <w:t>issues</w:t>
            </w:r>
            <w:r>
              <w:rPr>
                <w:i/>
                <w:spacing w:val="-13"/>
              </w:rPr>
              <w:t xml:space="preserve"> </w:t>
            </w:r>
            <w:r>
              <w:rPr>
                <w:i/>
              </w:rPr>
              <w:t xml:space="preserve">in </w:t>
            </w:r>
            <w:r>
              <w:rPr>
                <w:i/>
                <w:spacing w:val="-2"/>
              </w:rPr>
              <w:t>dispute]</w:t>
            </w:r>
          </w:p>
          <w:p w14:paraId="66DABE0F" w14:textId="77777777" w:rsidR="00BB77C0" w:rsidRDefault="00370BAA">
            <w:pPr>
              <w:pStyle w:val="TableParagraph"/>
              <w:ind w:left="109"/>
            </w:pPr>
            <w:r>
              <w:t xml:space="preserve">Party who initiated the dispute: </w:t>
            </w:r>
            <w:r>
              <w:rPr>
                <w:i/>
              </w:rPr>
              <w:t xml:space="preserve">[indicate “Procuring Entity” or “Contractor”] </w:t>
            </w:r>
            <w:r>
              <w:rPr>
                <w:spacing w:val="-4"/>
              </w:rPr>
              <w:t>Reason(s)</w:t>
            </w:r>
            <w:r>
              <w:rPr>
                <w:spacing w:val="-13"/>
              </w:rPr>
              <w:t xml:space="preserve"> </w:t>
            </w:r>
            <w:r>
              <w:rPr>
                <w:spacing w:val="-4"/>
              </w:rPr>
              <w:t>for</w:t>
            </w:r>
            <w:r>
              <w:rPr>
                <w:spacing w:val="-10"/>
              </w:rPr>
              <w:t xml:space="preserve"> </w:t>
            </w:r>
            <w:r>
              <w:rPr>
                <w:spacing w:val="-4"/>
              </w:rPr>
              <w:t>Litigation</w:t>
            </w:r>
            <w:r>
              <w:rPr>
                <w:spacing w:val="-17"/>
              </w:rPr>
              <w:t xml:space="preserve"> </w:t>
            </w:r>
            <w:r>
              <w:rPr>
                <w:spacing w:val="-4"/>
              </w:rPr>
              <w:t>and</w:t>
            </w:r>
            <w:r>
              <w:rPr>
                <w:spacing w:val="-17"/>
              </w:rPr>
              <w:t xml:space="preserve"> </w:t>
            </w:r>
            <w:r>
              <w:rPr>
                <w:spacing w:val="-4"/>
              </w:rPr>
              <w:t>award</w:t>
            </w:r>
            <w:r>
              <w:rPr>
                <w:spacing w:val="-17"/>
              </w:rPr>
              <w:t xml:space="preserve"> </w:t>
            </w:r>
            <w:r>
              <w:rPr>
                <w:spacing w:val="-4"/>
              </w:rPr>
              <w:t>decision</w:t>
            </w:r>
          </w:p>
          <w:p w14:paraId="70BA2AD3" w14:textId="77777777" w:rsidR="00BB77C0" w:rsidRDefault="00370BAA">
            <w:pPr>
              <w:pStyle w:val="TableParagraph"/>
              <w:spacing w:line="238" w:lineRule="exact"/>
              <w:ind w:left="109"/>
              <w:rPr>
                <w:i/>
              </w:rPr>
            </w:pPr>
            <w:r>
              <w:rPr>
                <w:i/>
                <w:spacing w:val="-8"/>
              </w:rPr>
              <w:t>[indicate</w:t>
            </w:r>
            <w:r>
              <w:rPr>
                <w:i/>
                <w:spacing w:val="-10"/>
              </w:rPr>
              <w:t xml:space="preserve"> </w:t>
            </w:r>
            <w:r>
              <w:rPr>
                <w:i/>
                <w:spacing w:val="-8"/>
              </w:rPr>
              <w:t>main</w:t>
            </w:r>
            <w:r>
              <w:rPr>
                <w:i/>
                <w:spacing w:val="-4"/>
              </w:rPr>
              <w:t xml:space="preserve"> </w:t>
            </w:r>
            <w:r>
              <w:rPr>
                <w:i/>
                <w:spacing w:val="-8"/>
              </w:rPr>
              <w:t>reason(s)]</w:t>
            </w:r>
          </w:p>
        </w:tc>
        <w:tc>
          <w:tcPr>
            <w:tcW w:w="2233" w:type="dxa"/>
          </w:tcPr>
          <w:p w14:paraId="3109D7A4" w14:textId="77777777" w:rsidR="00BB77C0" w:rsidRDefault="00370BAA">
            <w:pPr>
              <w:pStyle w:val="TableParagraph"/>
              <w:spacing w:line="244" w:lineRule="exact"/>
              <w:ind w:left="109"/>
              <w:rPr>
                <w:i/>
              </w:rPr>
            </w:pPr>
            <w:r>
              <w:rPr>
                <w:i/>
              </w:rPr>
              <w:t>[insert</w:t>
            </w:r>
            <w:r>
              <w:rPr>
                <w:i/>
                <w:spacing w:val="-6"/>
              </w:rPr>
              <w:t xml:space="preserve"> </w:t>
            </w:r>
            <w:r>
              <w:rPr>
                <w:i/>
                <w:spacing w:val="-2"/>
              </w:rPr>
              <w:t>amount]</w:t>
            </w:r>
          </w:p>
        </w:tc>
      </w:tr>
    </w:tbl>
    <w:p w14:paraId="3027E746" w14:textId="77777777" w:rsidR="00BB77C0" w:rsidRDefault="00BB77C0">
      <w:pPr>
        <w:pStyle w:val="BodyText"/>
        <w:rPr>
          <w:sz w:val="24"/>
        </w:rPr>
      </w:pPr>
    </w:p>
    <w:p w14:paraId="05E02EF1" w14:textId="77777777" w:rsidR="00BB77C0" w:rsidRDefault="00BB77C0">
      <w:pPr>
        <w:pStyle w:val="BodyText"/>
        <w:spacing w:before="217"/>
        <w:rPr>
          <w:sz w:val="24"/>
        </w:rPr>
      </w:pPr>
    </w:p>
    <w:p w14:paraId="0475841C" w14:textId="77777777" w:rsidR="00BB77C0" w:rsidRDefault="00370BAA">
      <w:pPr>
        <w:pStyle w:val="Heading5"/>
        <w:numPr>
          <w:ilvl w:val="1"/>
          <w:numId w:val="64"/>
        </w:numPr>
        <w:tabs>
          <w:tab w:val="left" w:pos="844"/>
        </w:tabs>
        <w:ind w:left="844" w:hanging="359"/>
      </w:pPr>
      <w:bookmarkStart w:id="146" w:name="4.4_FORM_FIN_–_3.1:"/>
      <w:bookmarkEnd w:id="146"/>
      <w:r>
        <w:rPr>
          <w:u w:val="single"/>
        </w:rPr>
        <w:t>FORM FIN</w:t>
      </w:r>
      <w:r>
        <w:rPr>
          <w:spacing w:val="-2"/>
          <w:u w:val="single"/>
        </w:rPr>
        <w:t xml:space="preserve"> </w:t>
      </w:r>
      <w:r>
        <w:rPr>
          <w:u w:val="single"/>
        </w:rPr>
        <w:t>–</w:t>
      </w:r>
      <w:r>
        <w:rPr>
          <w:spacing w:val="-5"/>
          <w:u w:val="single"/>
        </w:rPr>
        <w:t xml:space="preserve"> </w:t>
      </w:r>
      <w:r>
        <w:rPr>
          <w:spacing w:val="-4"/>
          <w:u w:val="single"/>
        </w:rPr>
        <w:t>3.1:</w:t>
      </w:r>
      <w:r>
        <w:rPr>
          <w:spacing w:val="80"/>
          <w:u w:val="single"/>
        </w:rPr>
        <w:t xml:space="preserve"> </w:t>
      </w:r>
    </w:p>
    <w:p w14:paraId="2B59CE43" w14:textId="77777777" w:rsidR="00BB77C0" w:rsidRDefault="00BB77C0">
      <w:pPr>
        <w:pStyle w:val="BodyText"/>
        <w:spacing w:before="4"/>
        <w:rPr>
          <w:b/>
        </w:rPr>
      </w:pPr>
    </w:p>
    <w:p w14:paraId="2F4A9AA3" w14:textId="77777777" w:rsidR="00BB77C0" w:rsidRDefault="00370BAA">
      <w:pPr>
        <w:ind w:left="360"/>
        <w:rPr>
          <w:b/>
        </w:rPr>
      </w:pPr>
      <w:r>
        <w:rPr>
          <w:b/>
        </w:rPr>
        <w:t>Financial</w:t>
      </w:r>
      <w:r>
        <w:rPr>
          <w:b/>
          <w:spacing w:val="-11"/>
        </w:rPr>
        <w:t xml:space="preserve"> </w:t>
      </w:r>
      <w:r>
        <w:rPr>
          <w:b/>
        </w:rPr>
        <w:t>Situation</w:t>
      </w:r>
      <w:r>
        <w:rPr>
          <w:b/>
          <w:spacing w:val="-8"/>
        </w:rPr>
        <w:t xml:space="preserve"> </w:t>
      </w:r>
      <w:r>
        <w:rPr>
          <w:b/>
        </w:rPr>
        <w:t>and</w:t>
      </w:r>
      <w:r>
        <w:rPr>
          <w:b/>
          <w:spacing w:val="-9"/>
        </w:rPr>
        <w:t xml:space="preserve"> </w:t>
      </w:r>
      <w:r>
        <w:rPr>
          <w:b/>
          <w:spacing w:val="-2"/>
        </w:rPr>
        <w:t>Performance</w:t>
      </w:r>
    </w:p>
    <w:p w14:paraId="5C1B1ED4" w14:textId="77777777" w:rsidR="00BB77C0" w:rsidRDefault="00370BAA">
      <w:pPr>
        <w:pStyle w:val="BodyText"/>
        <w:tabs>
          <w:tab w:val="left" w:pos="3661"/>
        </w:tabs>
        <w:spacing w:before="246"/>
        <w:ind w:left="360"/>
      </w:pPr>
      <w:r>
        <w:t xml:space="preserve">Tenderer’s Name: </w:t>
      </w:r>
      <w:r>
        <w:rPr>
          <w:u w:val="single"/>
        </w:rPr>
        <w:tab/>
      </w:r>
    </w:p>
    <w:p w14:paraId="177A8D06" w14:textId="77777777" w:rsidR="00BB77C0" w:rsidRDefault="00370BAA">
      <w:pPr>
        <w:pStyle w:val="BodyText"/>
        <w:tabs>
          <w:tab w:val="left" w:pos="3200"/>
        </w:tabs>
        <w:spacing w:before="2"/>
        <w:ind w:left="360"/>
      </w:pPr>
      <w:r>
        <w:t xml:space="preserve">Date: </w:t>
      </w:r>
      <w:r>
        <w:rPr>
          <w:u w:val="single"/>
        </w:rPr>
        <w:tab/>
      </w:r>
    </w:p>
    <w:p w14:paraId="5380E922" w14:textId="77777777" w:rsidR="00BB77C0" w:rsidRDefault="00370BAA">
      <w:pPr>
        <w:pStyle w:val="BodyText"/>
        <w:tabs>
          <w:tab w:val="left" w:pos="4746"/>
        </w:tabs>
        <w:spacing w:before="3" w:line="237" w:lineRule="auto"/>
        <w:ind w:left="360" w:right="6795"/>
      </w:pPr>
      <w:r>
        <w:t>JV Member’s Name</w:t>
      </w:r>
      <w:r>
        <w:rPr>
          <w:u w:val="single"/>
        </w:rPr>
        <w:tab/>
      </w:r>
      <w:r>
        <w:t xml:space="preserve"> </w:t>
      </w:r>
      <w:r>
        <w:rPr>
          <w:spacing w:val="-4"/>
        </w:rPr>
        <w:t>ITT</w:t>
      </w:r>
      <w:r>
        <w:rPr>
          <w:spacing w:val="-6"/>
        </w:rPr>
        <w:t xml:space="preserve"> </w:t>
      </w:r>
      <w:r>
        <w:rPr>
          <w:spacing w:val="-4"/>
        </w:rPr>
        <w:t>No.</w:t>
      </w:r>
      <w:r>
        <w:rPr>
          <w:spacing w:val="-8"/>
        </w:rPr>
        <w:t xml:space="preserve"> </w:t>
      </w:r>
      <w:r>
        <w:rPr>
          <w:spacing w:val="-4"/>
        </w:rPr>
        <w:t>and</w:t>
      </w:r>
      <w:r>
        <w:rPr>
          <w:spacing w:val="-10"/>
        </w:rPr>
        <w:t xml:space="preserve"> </w:t>
      </w:r>
      <w:r>
        <w:rPr>
          <w:spacing w:val="-4"/>
        </w:rPr>
        <w:t xml:space="preserve">title: </w:t>
      </w:r>
      <w:r>
        <w:rPr>
          <w:u w:val="single"/>
        </w:rPr>
        <w:tab/>
      </w:r>
    </w:p>
    <w:p w14:paraId="137CA1E9" w14:textId="77777777" w:rsidR="00BB77C0" w:rsidRDefault="00BB77C0">
      <w:pPr>
        <w:pStyle w:val="BodyText"/>
        <w:spacing w:before="3"/>
      </w:pPr>
    </w:p>
    <w:p w14:paraId="2F5C11FB" w14:textId="77777777" w:rsidR="00BB77C0" w:rsidRDefault="00370BAA">
      <w:pPr>
        <w:pStyle w:val="ListParagraph"/>
        <w:numPr>
          <w:ilvl w:val="2"/>
          <w:numId w:val="64"/>
        </w:numPr>
        <w:tabs>
          <w:tab w:val="left" w:pos="1080"/>
        </w:tabs>
        <w:rPr>
          <w:b/>
        </w:rPr>
      </w:pPr>
      <w:r>
        <w:rPr>
          <w:b/>
          <w:spacing w:val="-6"/>
        </w:rPr>
        <w:t>Financial</w:t>
      </w:r>
      <w:r>
        <w:rPr>
          <w:b/>
          <w:spacing w:val="1"/>
        </w:rPr>
        <w:t xml:space="preserve"> </w:t>
      </w:r>
      <w:r>
        <w:rPr>
          <w:b/>
          <w:spacing w:val="-4"/>
        </w:rPr>
        <w:t>Data</w:t>
      </w:r>
    </w:p>
    <w:p w14:paraId="7A2A95B5" w14:textId="77777777" w:rsidR="00BB77C0" w:rsidRDefault="00BB77C0">
      <w:pPr>
        <w:pStyle w:val="BodyText"/>
        <w:spacing w:before="30"/>
        <w:rPr>
          <w:b/>
          <w:sz w:val="20"/>
        </w:rPr>
      </w:pPr>
    </w:p>
    <w:tbl>
      <w:tblPr>
        <w:tblW w:w="0" w:type="auto"/>
        <w:tblInd w:w="36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953"/>
        <w:gridCol w:w="1191"/>
        <w:gridCol w:w="1186"/>
        <w:gridCol w:w="1191"/>
        <w:gridCol w:w="1186"/>
        <w:gridCol w:w="1239"/>
      </w:tblGrid>
      <w:tr w:rsidR="00BB77C0" w14:paraId="0C2C28DD" w14:textId="77777777">
        <w:trPr>
          <w:trHeight w:val="489"/>
        </w:trPr>
        <w:tc>
          <w:tcPr>
            <w:tcW w:w="2953" w:type="dxa"/>
            <w:vMerge w:val="restart"/>
          </w:tcPr>
          <w:p w14:paraId="4EBE448D" w14:textId="77777777" w:rsidR="00BB77C0" w:rsidRDefault="00370BAA">
            <w:pPr>
              <w:pStyle w:val="TableParagraph"/>
              <w:tabs>
                <w:tab w:val="left" w:pos="2184"/>
              </w:tabs>
              <w:spacing w:line="242" w:lineRule="auto"/>
              <w:ind w:left="7" w:right="343"/>
              <w:rPr>
                <w:b/>
              </w:rPr>
            </w:pPr>
            <w:r>
              <w:rPr>
                <w:b/>
                <w:spacing w:val="-8"/>
              </w:rPr>
              <w:t>Type</w:t>
            </w:r>
            <w:r>
              <w:rPr>
                <w:b/>
                <w:spacing w:val="-26"/>
              </w:rPr>
              <w:t xml:space="preserve"> </w:t>
            </w:r>
            <w:r>
              <w:rPr>
                <w:b/>
                <w:spacing w:val="-8"/>
              </w:rPr>
              <w:t>of</w:t>
            </w:r>
            <w:r>
              <w:rPr>
                <w:b/>
                <w:spacing w:val="-23"/>
              </w:rPr>
              <w:t xml:space="preserve"> </w:t>
            </w:r>
            <w:r>
              <w:rPr>
                <w:b/>
                <w:spacing w:val="-8"/>
              </w:rPr>
              <w:t>Financial</w:t>
            </w:r>
            <w:r>
              <w:rPr>
                <w:b/>
                <w:spacing w:val="-15"/>
              </w:rPr>
              <w:t xml:space="preserve"> </w:t>
            </w:r>
            <w:r>
              <w:rPr>
                <w:b/>
                <w:spacing w:val="-8"/>
              </w:rPr>
              <w:t xml:space="preserve">information </w:t>
            </w:r>
            <w:r>
              <w:rPr>
                <w:b/>
                <w:spacing w:val="-6"/>
              </w:rPr>
              <w:t>in</w:t>
            </w:r>
            <w:r>
              <w:rPr>
                <w:b/>
                <w:u w:val="single"/>
              </w:rPr>
              <w:tab/>
            </w:r>
            <w:r>
              <w:rPr>
                <w:b/>
              </w:rPr>
              <w:t xml:space="preserve"> </w:t>
            </w:r>
            <w:r>
              <w:rPr>
                <w:b/>
                <w:spacing w:val="-2"/>
              </w:rPr>
              <w:t>(currency)</w:t>
            </w:r>
          </w:p>
        </w:tc>
        <w:tc>
          <w:tcPr>
            <w:tcW w:w="5993" w:type="dxa"/>
            <w:gridSpan w:val="5"/>
            <w:tcBorders>
              <w:bottom w:val="single" w:sz="6" w:space="0" w:color="000000"/>
            </w:tcBorders>
          </w:tcPr>
          <w:p w14:paraId="7458C28A" w14:textId="77777777" w:rsidR="00BB77C0" w:rsidRDefault="00370BAA">
            <w:pPr>
              <w:pStyle w:val="TableParagraph"/>
              <w:tabs>
                <w:tab w:val="left" w:pos="3939"/>
              </w:tabs>
              <w:spacing w:line="249" w:lineRule="exact"/>
              <w:ind w:left="2"/>
              <w:rPr>
                <w:b/>
                <w:i/>
              </w:rPr>
            </w:pPr>
            <w:r>
              <w:rPr>
                <w:b/>
                <w:spacing w:val="-8"/>
              </w:rPr>
              <w:t>Historic</w:t>
            </w:r>
            <w:r>
              <w:rPr>
                <w:b/>
                <w:spacing w:val="-6"/>
              </w:rPr>
              <w:t xml:space="preserve"> </w:t>
            </w:r>
            <w:r>
              <w:rPr>
                <w:b/>
                <w:spacing w:val="-8"/>
              </w:rPr>
              <w:t>information for previous</w:t>
            </w:r>
            <w:r>
              <w:rPr>
                <w:b/>
                <w:spacing w:val="-3"/>
              </w:rPr>
              <w:t xml:space="preserve"> </w:t>
            </w:r>
            <w:r>
              <w:rPr>
                <w:b/>
                <w:i/>
                <w:u w:val="single"/>
              </w:rPr>
              <w:tab/>
            </w:r>
            <w:r>
              <w:rPr>
                <w:b/>
                <w:i/>
                <w:spacing w:val="-2"/>
              </w:rPr>
              <w:t>years,</w:t>
            </w:r>
          </w:p>
        </w:tc>
      </w:tr>
      <w:tr w:rsidR="00BB77C0" w14:paraId="4D123A7B" w14:textId="77777777">
        <w:trPr>
          <w:trHeight w:val="696"/>
        </w:trPr>
        <w:tc>
          <w:tcPr>
            <w:tcW w:w="2953" w:type="dxa"/>
            <w:vMerge/>
            <w:tcBorders>
              <w:top w:val="nil"/>
            </w:tcBorders>
          </w:tcPr>
          <w:p w14:paraId="15285C29" w14:textId="77777777" w:rsidR="00BB77C0" w:rsidRDefault="00BB77C0">
            <w:pPr>
              <w:rPr>
                <w:sz w:val="2"/>
                <w:szCs w:val="2"/>
              </w:rPr>
            </w:pPr>
          </w:p>
        </w:tc>
        <w:tc>
          <w:tcPr>
            <w:tcW w:w="5993" w:type="dxa"/>
            <w:gridSpan w:val="5"/>
            <w:tcBorders>
              <w:top w:val="single" w:sz="6" w:space="0" w:color="000000"/>
            </w:tcBorders>
          </w:tcPr>
          <w:p w14:paraId="48645B60" w14:textId="77777777" w:rsidR="00BB77C0" w:rsidRDefault="00370BAA">
            <w:pPr>
              <w:pStyle w:val="TableParagraph"/>
              <w:spacing w:line="249" w:lineRule="exact"/>
              <w:ind w:left="2"/>
              <w:rPr>
                <w:b/>
              </w:rPr>
            </w:pPr>
            <w:r>
              <w:rPr>
                <w:b/>
                <w:spacing w:val="-6"/>
              </w:rPr>
              <w:t>(amount</w:t>
            </w:r>
            <w:r>
              <w:rPr>
                <w:b/>
                <w:spacing w:val="-25"/>
              </w:rPr>
              <w:t xml:space="preserve"> </w:t>
            </w:r>
            <w:r>
              <w:rPr>
                <w:b/>
                <w:spacing w:val="-6"/>
              </w:rPr>
              <w:t>in</w:t>
            </w:r>
            <w:r>
              <w:rPr>
                <w:b/>
                <w:spacing w:val="-25"/>
              </w:rPr>
              <w:t xml:space="preserve"> </w:t>
            </w:r>
            <w:r>
              <w:rPr>
                <w:b/>
                <w:spacing w:val="-6"/>
              </w:rPr>
              <w:t>currency, currency,</w:t>
            </w:r>
            <w:r>
              <w:rPr>
                <w:b/>
                <w:spacing w:val="-5"/>
              </w:rPr>
              <w:t xml:space="preserve"> </w:t>
            </w:r>
            <w:r>
              <w:rPr>
                <w:b/>
                <w:spacing w:val="-6"/>
              </w:rPr>
              <w:t>exchange</w:t>
            </w:r>
            <w:r>
              <w:rPr>
                <w:b/>
                <w:spacing w:val="-4"/>
              </w:rPr>
              <w:t xml:space="preserve"> </w:t>
            </w:r>
            <w:r>
              <w:rPr>
                <w:b/>
                <w:spacing w:val="-6"/>
              </w:rPr>
              <w:t>rate*,</w:t>
            </w:r>
            <w:r>
              <w:rPr>
                <w:b/>
              </w:rPr>
              <w:t xml:space="preserve"> </w:t>
            </w:r>
            <w:r>
              <w:rPr>
                <w:b/>
                <w:spacing w:val="-6"/>
              </w:rPr>
              <w:t>USD</w:t>
            </w:r>
            <w:r>
              <w:rPr>
                <w:b/>
                <w:spacing w:val="-13"/>
              </w:rPr>
              <w:t xml:space="preserve"> </w:t>
            </w:r>
            <w:r>
              <w:rPr>
                <w:b/>
                <w:spacing w:val="-6"/>
              </w:rPr>
              <w:t>equivalent)</w:t>
            </w:r>
          </w:p>
        </w:tc>
      </w:tr>
      <w:tr w:rsidR="00BB77C0" w14:paraId="0C38801B" w14:textId="77777777">
        <w:trPr>
          <w:trHeight w:val="518"/>
        </w:trPr>
        <w:tc>
          <w:tcPr>
            <w:tcW w:w="2953" w:type="dxa"/>
          </w:tcPr>
          <w:p w14:paraId="4F5A5AE6" w14:textId="77777777" w:rsidR="00BB77C0" w:rsidRDefault="00BB77C0">
            <w:pPr>
              <w:pStyle w:val="TableParagraph"/>
            </w:pPr>
          </w:p>
        </w:tc>
        <w:tc>
          <w:tcPr>
            <w:tcW w:w="1191" w:type="dxa"/>
          </w:tcPr>
          <w:p w14:paraId="585DF7B4" w14:textId="77777777" w:rsidR="00BB77C0" w:rsidRDefault="00370BAA">
            <w:pPr>
              <w:pStyle w:val="TableParagraph"/>
              <w:spacing w:line="249" w:lineRule="exact"/>
              <w:ind w:left="2"/>
              <w:rPr>
                <w:b/>
              </w:rPr>
            </w:pPr>
            <w:r>
              <w:rPr>
                <w:b/>
                <w:spacing w:val="-5"/>
              </w:rPr>
              <w:t>Year</w:t>
            </w:r>
            <w:r>
              <w:rPr>
                <w:b/>
                <w:spacing w:val="-7"/>
              </w:rPr>
              <w:t xml:space="preserve"> </w:t>
            </w:r>
            <w:r>
              <w:rPr>
                <w:b/>
                <w:spacing w:val="-10"/>
              </w:rPr>
              <w:t>1</w:t>
            </w:r>
          </w:p>
        </w:tc>
        <w:tc>
          <w:tcPr>
            <w:tcW w:w="1186" w:type="dxa"/>
          </w:tcPr>
          <w:p w14:paraId="27F49F8A" w14:textId="77777777" w:rsidR="00BB77C0" w:rsidRDefault="00370BAA">
            <w:pPr>
              <w:pStyle w:val="TableParagraph"/>
              <w:spacing w:line="249" w:lineRule="exact"/>
              <w:ind w:left="2"/>
              <w:rPr>
                <w:b/>
              </w:rPr>
            </w:pPr>
            <w:r>
              <w:rPr>
                <w:b/>
                <w:spacing w:val="-5"/>
              </w:rPr>
              <w:t>Year</w:t>
            </w:r>
            <w:r>
              <w:rPr>
                <w:b/>
                <w:spacing w:val="-8"/>
              </w:rPr>
              <w:t xml:space="preserve"> </w:t>
            </w:r>
            <w:r>
              <w:rPr>
                <w:b/>
                <w:spacing w:val="-10"/>
              </w:rPr>
              <w:t>2</w:t>
            </w:r>
          </w:p>
        </w:tc>
        <w:tc>
          <w:tcPr>
            <w:tcW w:w="1191" w:type="dxa"/>
          </w:tcPr>
          <w:p w14:paraId="6E99413B" w14:textId="77777777" w:rsidR="00BB77C0" w:rsidRDefault="00370BAA">
            <w:pPr>
              <w:pStyle w:val="TableParagraph"/>
              <w:spacing w:line="249" w:lineRule="exact"/>
              <w:ind w:left="2"/>
              <w:rPr>
                <w:b/>
              </w:rPr>
            </w:pPr>
            <w:r>
              <w:rPr>
                <w:b/>
                <w:spacing w:val="-5"/>
              </w:rPr>
              <w:t>Year</w:t>
            </w:r>
            <w:r>
              <w:rPr>
                <w:b/>
                <w:spacing w:val="-8"/>
              </w:rPr>
              <w:t xml:space="preserve"> </w:t>
            </w:r>
            <w:r>
              <w:rPr>
                <w:b/>
                <w:spacing w:val="-10"/>
              </w:rPr>
              <w:t>3</w:t>
            </w:r>
          </w:p>
        </w:tc>
        <w:tc>
          <w:tcPr>
            <w:tcW w:w="1186" w:type="dxa"/>
          </w:tcPr>
          <w:p w14:paraId="086854F2" w14:textId="77777777" w:rsidR="00BB77C0" w:rsidRDefault="00370BAA">
            <w:pPr>
              <w:pStyle w:val="TableParagraph"/>
              <w:spacing w:line="249" w:lineRule="exact"/>
              <w:ind w:left="2"/>
              <w:rPr>
                <w:b/>
              </w:rPr>
            </w:pPr>
            <w:r>
              <w:rPr>
                <w:b/>
                <w:spacing w:val="-5"/>
              </w:rPr>
              <w:t>Year</w:t>
            </w:r>
            <w:r>
              <w:rPr>
                <w:b/>
                <w:spacing w:val="-8"/>
              </w:rPr>
              <w:t xml:space="preserve"> </w:t>
            </w:r>
            <w:r>
              <w:rPr>
                <w:b/>
                <w:spacing w:val="-10"/>
              </w:rPr>
              <w:t>4</w:t>
            </w:r>
          </w:p>
        </w:tc>
        <w:tc>
          <w:tcPr>
            <w:tcW w:w="1239" w:type="dxa"/>
          </w:tcPr>
          <w:p w14:paraId="258F7998" w14:textId="77777777" w:rsidR="00BB77C0" w:rsidRDefault="00370BAA">
            <w:pPr>
              <w:pStyle w:val="TableParagraph"/>
              <w:spacing w:line="249" w:lineRule="exact"/>
              <w:ind w:left="7"/>
              <w:rPr>
                <w:b/>
              </w:rPr>
            </w:pPr>
            <w:r>
              <w:rPr>
                <w:b/>
                <w:spacing w:val="-5"/>
              </w:rPr>
              <w:t>Year</w:t>
            </w:r>
            <w:r>
              <w:rPr>
                <w:b/>
                <w:spacing w:val="-8"/>
              </w:rPr>
              <w:t xml:space="preserve"> </w:t>
            </w:r>
            <w:r>
              <w:rPr>
                <w:b/>
                <w:spacing w:val="-10"/>
              </w:rPr>
              <w:t>5</w:t>
            </w:r>
          </w:p>
        </w:tc>
      </w:tr>
      <w:tr w:rsidR="00BB77C0" w14:paraId="3EA53FB0" w14:textId="77777777">
        <w:trPr>
          <w:trHeight w:val="522"/>
        </w:trPr>
        <w:tc>
          <w:tcPr>
            <w:tcW w:w="8946" w:type="dxa"/>
            <w:gridSpan w:val="6"/>
          </w:tcPr>
          <w:p w14:paraId="6E975503" w14:textId="77777777" w:rsidR="00BB77C0" w:rsidRDefault="00370BAA">
            <w:pPr>
              <w:pStyle w:val="TableParagraph"/>
              <w:spacing w:line="249" w:lineRule="exact"/>
              <w:ind w:left="7"/>
            </w:pPr>
            <w:r>
              <w:rPr>
                <w:spacing w:val="-6"/>
              </w:rPr>
              <w:t>Statement</w:t>
            </w:r>
            <w:r>
              <w:rPr>
                <w:spacing w:val="4"/>
              </w:rPr>
              <w:t xml:space="preserve"> </w:t>
            </w:r>
            <w:r>
              <w:rPr>
                <w:spacing w:val="-6"/>
              </w:rPr>
              <w:t>of</w:t>
            </w:r>
            <w:r>
              <w:rPr>
                <w:spacing w:val="2"/>
              </w:rPr>
              <w:t xml:space="preserve"> </w:t>
            </w:r>
            <w:r>
              <w:rPr>
                <w:spacing w:val="-6"/>
              </w:rPr>
              <w:t>Financial</w:t>
            </w:r>
            <w:r>
              <w:rPr>
                <w:spacing w:val="-3"/>
              </w:rPr>
              <w:t xml:space="preserve"> </w:t>
            </w:r>
            <w:r>
              <w:rPr>
                <w:spacing w:val="-6"/>
              </w:rPr>
              <w:t>Position</w:t>
            </w:r>
            <w:r>
              <w:rPr>
                <w:spacing w:val="-2"/>
              </w:rPr>
              <w:t xml:space="preserve"> </w:t>
            </w:r>
            <w:r>
              <w:rPr>
                <w:spacing w:val="-6"/>
              </w:rPr>
              <w:t>(Information</w:t>
            </w:r>
            <w:r>
              <w:rPr>
                <w:spacing w:val="-2"/>
              </w:rPr>
              <w:t xml:space="preserve"> </w:t>
            </w:r>
            <w:r>
              <w:rPr>
                <w:spacing w:val="-6"/>
              </w:rPr>
              <w:t>from</w:t>
            </w:r>
            <w:r>
              <w:rPr>
                <w:spacing w:val="4"/>
              </w:rPr>
              <w:t xml:space="preserve"> </w:t>
            </w:r>
            <w:r>
              <w:rPr>
                <w:spacing w:val="-6"/>
              </w:rPr>
              <w:t>Balance Sheet)</w:t>
            </w:r>
          </w:p>
        </w:tc>
      </w:tr>
      <w:tr w:rsidR="00BB77C0" w14:paraId="0C78CAE9" w14:textId="77777777">
        <w:trPr>
          <w:trHeight w:val="677"/>
        </w:trPr>
        <w:tc>
          <w:tcPr>
            <w:tcW w:w="2953" w:type="dxa"/>
          </w:tcPr>
          <w:p w14:paraId="6489167B" w14:textId="77777777" w:rsidR="00BB77C0" w:rsidRDefault="00370BAA">
            <w:pPr>
              <w:pStyle w:val="TableParagraph"/>
              <w:spacing w:line="249" w:lineRule="exact"/>
              <w:ind w:left="7"/>
            </w:pPr>
            <w:r>
              <w:rPr>
                <w:spacing w:val="-6"/>
              </w:rPr>
              <w:t>Total</w:t>
            </w:r>
            <w:r>
              <w:rPr>
                <w:spacing w:val="-8"/>
              </w:rPr>
              <w:t xml:space="preserve"> </w:t>
            </w:r>
            <w:r>
              <w:rPr>
                <w:spacing w:val="-6"/>
              </w:rPr>
              <w:t>Assets</w:t>
            </w:r>
            <w:r>
              <w:rPr>
                <w:spacing w:val="-3"/>
              </w:rPr>
              <w:t xml:space="preserve"> </w:t>
            </w:r>
            <w:r>
              <w:rPr>
                <w:spacing w:val="-6"/>
              </w:rPr>
              <w:t>(TA)</w:t>
            </w:r>
          </w:p>
        </w:tc>
        <w:tc>
          <w:tcPr>
            <w:tcW w:w="1191" w:type="dxa"/>
          </w:tcPr>
          <w:p w14:paraId="7A305AD3" w14:textId="77777777" w:rsidR="00BB77C0" w:rsidRDefault="00BB77C0">
            <w:pPr>
              <w:pStyle w:val="TableParagraph"/>
            </w:pPr>
          </w:p>
        </w:tc>
        <w:tc>
          <w:tcPr>
            <w:tcW w:w="1186" w:type="dxa"/>
          </w:tcPr>
          <w:p w14:paraId="2C19514E" w14:textId="77777777" w:rsidR="00BB77C0" w:rsidRDefault="00BB77C0">
            <w:pPr>
              <w:pStyle w:val="TableParagraph"/>
            </w:pPr>
          </w:p>
        </w:tc>
        <w:tc>
          <w:tcPr>
            <w:tcW w:w="1191" w:type="dxa"/>
          </w:tcPr>
          <w:p w14:paraId="6250F287" w14:textId="77777777" w:rsidR="00BB77C0" w:rsidRDefault="00BB77C0">
            <w:pPr>
              <w:pStyle w:val="TableParagraph"/>
            </w:pPr>
          </w:p>
        </w:tc>
        <w:tc>
          <w:tcPr>
            <w:tcW w:w="1186" w:type="dxa"/>
          </w:tcPr>
          <w:p w14:paraId="56751309" w14:textId="77777777" w:rsidR="00BB77C0" w:rsidRDefault="00BB77C0">
            <w:pPr>
              <w:pStyle w:val="TableParagraph"/>
            </w:pPr>
          </w:p>
        </w:tc>
        <w:tc>
          <w:tcPr>
            <w:tcW w:w="1239" w:type="dxa"/>
          </w:tcPr>
          <w:p w14:paraId="646832FC" w14:textId="77777777" w:rsidR="00BB77C0" w:rsidRDefault="00BB77C0">
            <w:pPr>
              <w:pStyle w:val="TableParagraph"/>
            </w:pPr>
          </w:p>
        </w:tc>
      </w:tr>
      <w:tr w:rsidR="00BB77C0" w14:paraId="79C0D4E9" w14:textId="77777777">
        <w:trPr>
          <w:trHeight w:val="676"/>
        </w:trPr>
        <w:tc>
          <w:tcPr>
            <w:tcW w:w="2953" w:type="dxa"/>
          </w:tcPr>
          <w:p w14:paraId="110D0C90" w14:textId="77777777" w:rsidR="00BB77C0" w:rsidRDefault="00370BAA">
            <w:pPr>
              <w:pStyle w:val="TableParagraph"/>
              <w:spacing w:line="249" w:lineRule="exact"/>
              <w:ind w:left="7"/>
            </w:pPr>
            <w:r>
              <w:rPr>
                <w:spacing w:val="-6"/>
              </w:rPr>
              <w:t>Total</w:t>
            </w:r>
            <w:r>
              <w:rPr>
                <w:spacing w:val="-9"/>
              </w:rPr>
              <w:t xml:space="preserve"> </w:t>
            </w:r>
            <w:r>
              <w:rPr>
                <w:spacing w:val="-6"/>
              </w:rPr>
              <w:t>Liabilities</w:t>
            </w:r>
            <w:r>
              <w:rPr>
                <w:spacing w:val="6"/>
              </w:rPr>
              <w:t xml:space="preserve"> </w:t>
            </w:r>
            <w:r>
              <w:rPr>
                <w:spacing w:val="-6"/>
              </w:rPr>
              <w:t>(TL)</w:t>
            </w:r>
          </w:p>
        </w:tc>
        <w:tc>
          <w:tcPr>
            <w:tcW w:w="1191" w:type="dxa"/>
          </w:tcPr>
          <w:p w14:paraId="3CA7A177" w14:textId="77777777" w:rsidR="00BB77C0" w:rsidRDefault="00BB77C0">
            <w:pPr>
              <w:pStyle w:val="TableParagraph"/>
            </w:pPr>
          </w:p>
        </w:tc>
        <w:tc>
          <w:tcPr>
            <w:tcW w:w="1186" w:type="dxa"/>
          </w:tcPr>
          <w:p w14:paraId="05EA3211" w14:textId="77777777" w:rsidR="00BB77C0" w:rsidRDefault="00BB77C0">
            <w:pPr>
              <w:pStyle w:val="TableParagraph"/>
            </w:pPr>
          </w:p>
        </w:tc>
        <w:tc>
          <w:tcPr>
            <w:tcW w:w="1191" w:type="dxa"/>
          </w:tcPr>
          <w:p w14:paraId="048F75DE" w14:textId="77777777" w:rsidR="00BB77C0" w:rsidRDefault="00BB77C0">
            <w:pPr>
              <w:pStyle w:val="TableParagraph"/>
            </w:pPr>
          </w:p>
        </w:tc>
        <w:tc>
          <w:tcPr>
            <w:tcW w:w="1186" w:type="dxa"/>
          </w:tcPr>
          <w:p w14:paraId="0EA98843" w14:textId="77777777" w:rsidR="00BB77C0" w:rsidRDefault="00BB77C0">
            <w:pPr>
              <w:pStyle w:val="TableParagraph"/>
            </w:pPr>
          </w:p>
        </w:tc>
        <w:tc>
          <w:tcPr>
            <w:tcW w:w="1239" w:type="dxa"/>
          </w:tcPr>
          <w:p w14:paraId="18DD382D" w14:textId="77777777" w:rsidR="00BB77C0" w:rsidRDefault="00BB77C0">
            <w:pPr>
              <w:pStyle w:val="TableParagraph"/>
            </w:pPr>
          </w:p>
        </w:tc>
      </w:tr>
      <w:tr w:rsidR="00BB77C0" w14:paraId="6293024C" w14:textId="77777777">
        <w:trPr>
          <w:trHeight w:val="681"/>
        </w:trPr>
        <w:tc>
          <w:tcPr>
            <w:tcW w:w="2953" w:type="dxa"/>
          </w:tcPr>
          <w:p w14:paraId="75B4E22E" w14:textId="77777777" w:rsidR="00BB77C0" w:rsidRDefault="00370BAA">
            <w:pPr>
              <w:pStyle w:val="TableParagraph"/>
              <w:spacing w:line="249" w:lineRule="exact"/>
              <w:ind w:left="7"/>
            </w:pPr>
            <w:r>
              <w:rPr>
                <w:spacing w:val="-6"/>
              </w:rPr>
              <w:t>Total</w:t>
            </w:r>
            <w:r>
              <w:rPr>
                <w:spacing w:val="-5"/>
              </w:rPr>
              <w:t xml:space="preserve"> </w:t>
            </w:r>
            <w:r>
              <w:rPr>
                <w:spacing w:val="-6"/>
              </w:rPr>
              <w:t>Equity/Net</w:t>
            </w:r>
            <w:r>
              <w:rPr>
                <w:spacing w:val="5"/>
              </w:rPr>
              <w:t xml:space="preserve"> </w:t>
            </w:r>
            <w:r>
              <w:rPr>
                <w:spacing w:val="-6"/>
              </w:rPr>
              <w:t>Worth</w:t>
            </w:r>
            <w:r>
              <w:rPr>
                <w:spacing w:val="-1"/>
              </w:rPr>
              <w:t xml:space="preserve"> </w:t>
            </w:r>
            <w:r>
              <w:rPr>
                <w:spacing w:val="-6"/>
              </w:rPr>
              <w:t>(NW)</w:t>
            </w:r>
          </w:p>
        </w:tc>
        <w:tc>
          <w:tcPr>
            <w:tcW w:w="1191" w:type="dxa"/>
          </w:tcPr>
          <w:p w14:paraId="37560283" w14:textId="77777777" w:rsidR="00BB77C0" w:rsidRDefault="00BB77C0">
            <w:pPr>
              <w:pStyle w:val="TableParagraph"/>
            </w:pPr>
          </w:p>
        </w:tc>
        <w:tc>
          <w:tcPr>
            <w:tcW w:w="1186" w:type="dxa"/>
          </w:tcPr>
          <w:p w14:paraId="79AB228B" w14:textId="77777777" w:rsidR="00BB77C0" w:rsidRDefault="00BB77C0">
            <w:pPr>
              <w:pStyle w:val="TableParagraph"/>
            </w:pPr>
          </w:p>
        </w:tc>
        <w:tc>
          <w:tcPr>
            <w:tcW w:w="1191" w:type="dxa"/>
          </w:tcPr>
          <w:p w14:paraId="35592F39" w14:textId="77777777" w:rsidR="00BB77C0" w:rsidRDefault="00BB77C0">
            <w:pPr>
              <w:pStyle w:val="TableParagraph"/>
            </w:pPr>
          </w:p>
        </w:tc>
        <w:tc>
          <w:tcPr>
            <w:tcW w:w="1186" w:type="dxa"/>
          </w:tcPr>
          <w:p w14:paraId="397579F2" w14:textId="77777777" w:rsidR="00BB77C0" w:rsidRDefault="00BB77C0">
            <w:pPr>
              <w:pStyle w:val="TableParagraph"/>
            </w:pPr>
          </w:p>
        </w:tc>
        <w:tc>
          <w:tcPr>
            <w:tcW w:w="1239" w:type="dxa"/>
          </w:tcPr>
          <w:p w14:paraId="6AD40364" w14:textId="77777777" w:rsidR="00BB77C0" w:rsidRDefault="00BB77C0">
            <w:pPr>
              <w:pStyle w:val="TableParagraph"/>
            </w:pPr>
          </w:p>
        </w:tc>
      </w:tr>
      <w:tr w:rsidR="00BB77C0" w14:paraId="6D5373AE" w14:textId="77777777">
        <w:trPr>
          <w:trHeight w:val="672"/>
        </w:trPr>
        <w:tc>
          <w:tcPr>
            <w:tcW w:w="2953" w:type="dxa"/>
          </w:tcPr>
          <w:p w14:paraId="3CCBF7E6" w14:textId="77777777" w:rsidR="00BB77C0" w:rsidRDefault="00370BAA">
            <w:pPr>
              <w:pStyle w:val="TableParagraph"/>
              <w:spacing w:line="249" w:lineRule="exact"/>
              <w:ind w:left="7"/>
            </w:pPr>
            <w:r>
              <w:rPr>
                <w:spacing w:val="-6"/>
              </w:rPr>
              <w:t>Current</w:t>
            </w:r>
            <w:r>
              <w:rPr>
                <w:spacing w:val="-4"/>
              </w:rPr>
              <w:t xml:space="preserve"> </w:t>
            </w:r>
            <w:r>
              <w:rPr>
                <w:spacing w:val="-6"/>
              </w:rPr>
              <w:t>Assets</w:t>
            </w:r>
            <w:r>
              <w:rPr>
                <w:spacing w:val="1"/>
              </w:rPr>
              <w:t xml:space="preserve"> </w:t>
            </w:r>
            <w:r>
              <w:rPr>
                <w:spacing w:val="-6"/>
              </w:rPr>
              <w:t>(CA)</w:t>
            </w:r>
          </w:p>
        </w:tc>
        <w:tc>
          <w:tcPr>
            <w:tcW w:w="1191" w:type="dxa"/>
          </w:tcPr>
          <w:p w14:paraId="77F207AC" w14:textId="77777777" w:rsidR="00BB77C0" w:rsidRDefault="00BB77C0">
            <w:pPr>
              <w:pStyle w:val="TableParagraph"/>
            </w:pPr>
          </w:p>
        </w:tc>
        <w:tc>
          <w:tcPr>
            <w:tcW w:w="1186" w:type="dxa"/>
          </w:tcPr>
          <w:p w14:paraId="1B1D3883" w14:textId="77777777" w:rsidR="00BB77C0" w:rsidRDefault="00BB77C0">
            <w:pPr>
              <w:pStyle w:val="TableParagraph"/>
            </w:pPr>
          </w:p>
        </w:tc>
        <w:tc>
          <w:tcPr>
            <w:tcW w:w="1191" w:type="dxa"/>
          </w:tcPr>
          <w:p w14:paraId="4B0DCA23" w14:textId="77777777" w:rsidR="00BB77C0" w:rsidRDefault="00BB77C0">
            <w:pPr>
              <w:pStyle w:val="TableParagraph"/>
            </w:pPr>
          </w:p>
        </w:tc>
        <w:tc>
          <w:tcPr>
            <w:tcW w:w="1186" w:type="dxa"/>
          </w:tcPr>
          <w:p w14:paraId="6B1084AB" w14:textId="77777777" w:rsidR="00BB77C0" w:rsidRDefault="00BB77C0">
            <w:pPr>
              <w:pStyle w:val="TableParagraph"/>
            </w:pPr>
          </w:p>
        </w:tc>
        <w:tc>
          <w:tcPr>
            <w:tcW w:w="1239" w:type="dxa"/>
          </w:tcPr>
          <w:p w14:paraId="73BE79CC" w14:textId="77777777" w:rsidR="00BB77C0" w:rsidRDefault="00BB77C0">
            <w:pPr>
              <w:pStyle w:val="TableParagraph"/>
            </w:pPr>
          </w:p>
        </w:tc>
      </w:tr>
      <w:tr w:rsidR="00BB77C0" w14:paraId="01FC002E" w14:textId="77777777">
        <w:trPr>
          <w:trHeight w:val="676"/>
        </w:trPr>
        <w:tc>
          <w:tcPr>
            <w:tcW w:w="2953" w:type="dxa"/>
          </w:tcPr>
          <w:p w14:paraId="3589BBB2" w14:textId="77777777" w:rsidR="00BB77C0" w:rsidRDefault="00370BAA">
            <w:pPr>
              <w:pStyle w:val="TableParagraph"/>
              <w:spacing w:line="249" w:lineRule="exact"/>
              <w:ind w:left="7"/>
            </w:pPr>
            <w:r>
              <w:rPr>
                <w:spacing w:val="-6"/>
              </w:rPr>
              <w:t>Current</w:t>
            </w:r>
            <w:r>
              <w:rPr>
                <w:spacing w:val="2"/>
              </w:rPr>
              <w:t xml:space="preserve"> </w:t>
            </w:r>
            <w:r>
              <w:rPr>
                <w:spacing w:val="-6"/>
              </w:rPr>
              <w:t>Liabilities</w:t>
            </w:r>
            <w:r>
              <w:rPr>
                <w:spacing w:val="3"/>
              </w:rPr>
              <w:t xml:space="preserve"> </w:t>
            </w:r>
            <w:r>
              <w:rPr>
                <w:spacing w:val="-6"/>
              </w:rPr>
              <w:t>(CL)</w:t>
            </w:r>
          </w:p>
        </w:tc>
        <w:tc>
          <w:tcPr>
            <w:tcW w:w="1191" w:type="dxa"/>
          </w:tcPr>
          <w:p w14:paraId="7FF25B46" w14:textId="77777777" w:rsidR="00BB77C0" w:rsidRDefault="00BB77C0">
            <w:pPr>
              <w:pStyle w:val="TableParagraph"/>
            </w:pPr>
          </w:p>
        </w:tc>
        <w:tc>
          <w:tcPr>
            <w:tcW w:w="1186" w:type="dxa"/>
          </w:tcPr>
          <w:p w14:paraId="0FA494CD" w14:textId="77777777" w:rsidR="00BB77C0" w:rsidRDefault="00BB77C0">
            <w:pPr>
              <w:pStyle w:val="TableParagraph"/>
            </w:pPr>
          </w:p>
        </w:tc>
        <w:tc>
          <w:tcPr>
            <w:tcW w:w="1191" w:type="dxa"/>
          </w:tcPr>
          <w:p w14:paraId="37ED466D" w14:textId="77777777" w:rsidR="00BB77C0" w:rsidRDefault="00BB77C0">
            <w:pPr>
              <w:pStyle w:val="TableParagraph"/>
            </w:pPr>
          </w:p>
        </w:tc>
        <w:tc>
          <w:tcPr>
            <w:tcW w:w="1186" w:type="dxa"/>
          </w:tcPr>
          <w:p w14:paraId="24B3A827" w14:textId="77777777" w:rsidR="00BB77C0" w:rsidRDefault="00BB77C0">
            <w:pPr>
              <w:pStyle w:val="TableParagraph"/>
            </w:pPr>
          </w:p>
        </w:tc>
        <w:tc>
          <w:tcPr>
            <w:tcW w:w="1239" w:type="dxa"/>
          </w:tcPr>
          <w:p w14:paraId="1B46B0DE" w14:textId="77777777" w:rsidR="00BB77C0" w:rsidRDefault="00BB77C0">
            <w:pPr>
              <w:pStyle w:val="TableParagraph"/>
            </w:pPr>
          </w:p>
        </w:tc>
      </w:tr>
      <w:tr w:rsidR="00BB77C0" w14:paraId="01C63E22" w14:textId="77777777">
        <w:trPr>
          <w:trHeight w:val="677"/>
        </w:trPr>
        <w:tc>
          <w:tcPr>
            <w:tcW w:w="2953" w:type="dxa"/>
          </w:tcPr>
          <w:p w14:paraId="3B9F9BC9" w14:textId="77777777" w:rsidR="00BB77C0" w:rsidRDefault="00370BAA">
            <w:pPr>
              <w:pStyle w:val="TableParagraph"/>
              <w:spacing w:line="249" w:lineRule="exact"/>
              <w:ind w:left="7"/>
            </w:pPr>
            <w:r>
              <w:rPr>
                <w:spacing w:val="-6"/>
              </w:rPr>
              <w:t>Working</w:t>
            </w:r>
            <w:r>
              <w:rPr>
                <w:spacing w:val="-1"/>
              </w:rPr>
              <w:t xml:space="preserve"> </w:t>
            </w:r>
            <w:r>
              <w:rPr>
                <w:spacing w:val="-6"/>
              </w:rPr>
              <w:t>Capital</w:t>
            </w:r>
            <w:r>
              <w:rPr>
                <w:spacing w:val="2"/>
              </w:rPr>
              <w:t xml:space="preserve"> </w:t>
            </w:r>
            <w:r>
              <w:rPr>
                <w:spacing w:val="-6"/>
              </w:rPr>
              <w:t>(WC)</w:t>
            </w:r>
          </w:p>
        </w:tc>
        <w:tc>
          <w:tcPr>
            <w:tcW w:w="1191" w:type="dxa"/>
          </w:tcPr>
          <w:p w14:paraId="752834E7" w14:textId="77777777" w:rsidR="00BB77C0" w:rsidRDefault="00BB77C0">
            <w:pPr>
              <w:pStyle w:val="TableParagraph"/>
            </w:pPr>
          </w:p>
        </w:tc>
        <w:tc>
          <w:tcPr>
            <w:tcW w:w="1186" w:type="dxa"/>
          </w:tcPr>
          <w:p w14:paraId="22826C51" w14:textId="77777777" w:rsidR="00BB77C0" w:rsidRDefault="00BB77C0">
            <w:pPr>
              <w:pStyle w:val="TableParagraph"/>
            </w:pPr>
          </w:p>
        </w:tc>
        <w:tc>
          <w:tcPr>
            <w:tcW w:w="1191" w:type="dxa"/>
          </w:tcPr>
          <w:p w14:paraId="00823692" w14:textId="77777777" w:rsidR="00BB77C0" w:rsidRDefault="00BB77C0">
            <w:pPr>
              <w:pStyle w:val="TableParagraph"/>
            </w:pPr>
          </w:p>
        </w:tc>
        <w:tc>
          <w:tcPr>
            <w:tcW w:w="1186" w:type="dxa"/>
          </w:tcPr>
          <w:p w14:paraId="1E743C08" w14:textId="77777777" w:rsidR="00BB77C0" w:rsidRDefault="00BB77C0">
            <w:pPr>
              <w:pStyle w:val="TableParagraph"/>
            </w:pPr>
          </w:p>
        </w:tc>
        <w:tc>
          <w:tcPr>
            <w:tcW w:w="1239" w:type="dxa"/>
          </w:tcPr>
          <w:p w14:paraId="6C2FD333" w14:textId="77777777" w:rsidR="00BB77C0" w:rsidRDefault="00BB77C0">
            <w:pPr>
              <w:pStyle w:val="TableParagraph"/>
            </w:pPr>
          </w:p>
        </w:tc>
      </w:tr>
      <w:tr w:rsidR="00BB77C0" w14:paraId="19096E7C" w14:textId="77777777">
        <w:trPr>
          <w:trHeight w:val="522"/>
        </w:trPr>
        <w:tc>
          <w:tcPr>
            <w:tcW w:w="8946" w:type="dxa"/>
            <w:gridSpan w:val="6"/>
          </w:tcPr>
          <w:p w14:paraId="2D4A5E1E" w14:textId="77777777" w:rsidR="00BB77C0" w:rsidRDefault="00370BAA">
            <w:pPr>
              <w:pStyle w:val="TableParagraph"/>
              <w:spacing w:line="249" w:lineRule="exact"/>
              <w:ind w:left="7"/>
            </w:pPr>
            <w:r>
              <w:rPr>
                <w:spacing w:val="-4"/>
              </w:rPr>
              <w:t>Information</w:t>
            </w:r>
            <w:r>
              <w:rPr>
                <w:spacing w:val="-16"/>
              </w:rPr>
              <w:t xml:space="preserve"> </w:t>
            </w:r>
            <w:r>
              <w:rPr>
                <w:spacing w:val="-4"/>
              </w:rPr>
              <w:t>from</w:t>
            </w:r>
            <w:r>
              <w:rPr>
                <w:spacing w:val="-16"/>
              </w:rPr>
              <w:t xml:space="preserve"> </w:t>
            </w:r>
            <w:r>
              <w:rPr>
                <w:spacing w:val="-4"/>
              </w:rPr>
              <w:t>Income</w:t>
            </w:r>
            <w:r>
              <w:rPr>
                <w:spacing w:val="-18"/>
              </w:rPr>
              <w:t xml:space="preserve"> </w:t>
            </w:r>
            <w:r>
              <w:rPr>
                <w:spacing w:val="-4"/>
              </w:rPr>
              <w:t>Statement</w:t>
            </w:r>
          </w:p>
        </w:tc>
      </w:tr>
      <w:tr w:rsidR="00BB77C0" w14:paraId="765F394F" w14:textId="77777777">
        <w:trPr>
          <w:trHeight w:val="676"/>
        </w:trPr>
        <w:tc>
          <w:tcPr>
            <w:tcW w:w="2953" w:type="dxa"/>
          </w:tcPr>
          <w:p w14:paraId="19E03D67" w14:textId="77777777" w:rsidR="00BB77C0" w:rsidRDefault="00370BAA">
            <w:pPr>
              <w:pStyle w:val="TableParagraph"/>
              <w:spacing w:line="249" w:lineRule="exact"/>
              <w:ind w:left="7"/>
            </w:pPr>
            <w:r>
              <w:rPr>
                <w:spacing w:val="-4"/>
              </w:rPr>
              <w:t>Total</w:t>
            </w:r>
            <w:r>
              <w:rPr>
                <w:spacing w:val="-17"/>
              </w:rPr>
              <w:t xml:space="preserve"> </w:t>
            </w:r>
            <w:r>
              <w:rPr>
                <w:spacing w:val="-4"/>
              </w:rPr>
              <w:t>Revenue</w:t>
            </w:r>
            <w:r>
              <w:rPr>
                <w:spacing w:val="-16"/>
              </w:rPr>
              <w:t xml:space="preserve"> </w:t>
            </w:r>
            <w:r>
              <w:rPr>
                <w:spacing w:val="-4"/>
              </w:rPr>
              <w:t>(TR)</w:t>
            </w:r>
          </w:p>
        </w:tc>
        <w:tc>
          <w:tcPr>
            <w:tcW w:w="1191" w:type="dxa"/>
          </w:tcPr>
          <w:p w14:paraId="4AA04E4B" w14:textId="77777777" w:rsidR="00BB77C0" w:rsidRDefault="00BB77C0">
            <w:pPr>
              <w:pStyle w:val="TableParagraph"/>
            </w:pPr>
          </w:p>
        </w:tc>
        <w:tc>
          <w:tcPr>
            <w:tcW w:w="1186" w:type="dxa"/>
          </w:tcPr>
          <w:p w14:paraId="02E85DBB" w14:textId="77777777" w:rsidR="00BB77C0" w:rsidRDefault="00BB77C0">
            <w:pPr>
              <w:pStyle w:val="TableParagraph"/>
            </w:pPr>
          </w:p>
        </w:tc>
        <w:tc>
          <w:tcPr>
            <w:tcW w:w="1191" w:type="dxa"/>
          </w:tcPr>
          <w:p w14:paraId="2760712D" w14:textId="77777777" w:rsidR="00BB77C0" w:rsidRDefault="00BB77C0">
            <w:pPr>
              <w:pStyle w:val="TableParagraph"/>
            </w:pPr>
          </w:p>
        </w:tc>
        <w:tc>
          <w:tcPr>
            <w:tcW w:w="1186" w:type="dxa"/>
          </w:tcPr>
          <w:p w14:paraId="39E2A590" w14:textId="77777777" w:rsidR="00BB77C0" w:rsidRDefault="00BB77C0">
            <w:pPr>
              <w:pStyle w:val="TableParagraph"/>
            </w:pPr>
          </w:p>
        </w:tc>
        <w:tc>
          <w:tcPr>
            <w:tcW w:w="1239" w:type="dxa"/>
          </w:tcPr>
          <w:p w14:paraId="46F66A77" w14:textId="77777777" w:rsidR="00BB77C0" w:rsidRDefault="00BB77C0">
            <w:pPr>
              <w:pStyle w:val="TableParagraph"/>
            </w:pPr>
          </w:p>
        </w:tc>
      </w:tr>
    </w:tbl>
    <w:p w14:paraId="3E2682FC" w14:textId="77777777" w:rsidR="00BB77C0" w:rsidRDefault="00BB77C0">
      <w:pPr>
        <w:pStyle w:val="TableParagraph"/>
        <w:sectPr w:rsidR="00BB77C0">
          <w:pgSz w:w="11920" w:h="16850"/>
          <w:pgMar w:top="0" w:right="0" w:bottom="0" w:left="360" w:header="720" w:footer="720" w:gutter="0"/>
          <w:cols w:space="720"/>
        </w:sectPr>
      </w:pPr>
    </w:p>
    <w:p w14:paraId="667BDDFA" w14:textId="77777777" w:rsidR="00BB77C0" w:rsidRDefault="00370BAA">
      <w:pPr>
        <w:pStyle w:val="BodyText"/>
        <w:spacing w:before="102" w:after="1"/>
        <w:rPr>
          <w:b/>
          <w:sz w:val="20"/>
        </w:rPr>
      </w:pPr>
      <w:r>
        <w:rPr>
          <w:b/>
          <w:noProof/>
          <w:sz w:val="20"/>
        </w:rPr>
        <w:lastRenderedPageBreak/>
        <mc:AlternateContent>
          <mc:Choice Requires="wpg">
            <w:drawing>
              <wp:anchor distT="0" distB="0" distL="0" distR="0" simplePos="0" relativeHeight="15745024" behindDoc="0" locked="0" layoutInCell="1" allowOverlap="1" wp14:anchorId="14F21980" wp14:editId="26C90297">
                <wp:simplePos x="0" y="0"/>
                <wp:positionH relativeFrom="page">
                  <wp:posOffset>0</wp:posOffset>
                </wp:positionH>
                <wp:positionV relativeFrom="page">
                  <wp:posOffset>10142443</wp:posOffset>
                </wp:positionV>
                <wp:extent cx="7561580" cy="551180"/>
                <wp:effectExtent l="0" t="0" r="0" b="0"/>
                <wp:wrapNone/>
                <wp:docPr id="124"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1580" cy="551180"/>
                          <a:chOff x="0" y="0"/>
                          <a:chExt cx="7561580" cy="551180"/>
                        </a:xfrm>
                      </wpg:grpSpPr>
                      <wps:wsp>
                        <wps:cNvPr id="125" name="Graphic 125"/>
                        <wps:cNvSpPr/>
                        <wps:spPr>
                          <a:xfrm>
                            <a:off x="6449059" y="97566"/>
                            <a:ext cx="1110615" cy="451484"/>
                          </a:xfrm>
                          <a:custGeom>
                            <a:avLst/>
                            <a:gdLst/>
                            <a:ahLst/>
                            <a:cxnLst/>
                            <a:rect l="l" t="t" r="r" b="b"/>
                            <a:pathLst>
                              <a:path w="1110615" h="451484">
                                <a:moveTo>
                                  <a:pt x="1110614" y="0"/>
                                </a:moveTo>
                                <a:lnTo>
                                  <a:pt x="0" y="0"/>
                                </a:lnTo>
                                <a:lnTo>
                                  <a:pt x="260349" y="451483"/>
                                </a:lnTo>
                                <a:lnTo>
                                  <a:pt x="1110614" y="451483"/>
                                </a:lnTo>
                                <a:lnTo>
                                  <a:pt x="1110614" y="0"/>
                                </a:lnTo>
                                <a:close/>
                              </a:path>
                            </a:pathLst>
                          </a:custGeom>
                          <a:solidFill>
                            <a:srgbClr val="FAD2C1"/>
                          </a:solidFill>
                        </wps:spPr>
                        <wps:bodyPr wrap="square" lIns="0" tIns="0" rIns="0" bIns="0" rtlCol="0">
                          <a:prstTxWarp prst="textNoShape">
                            <a:avLst/>
                          </a:prstTxWarp>
                          <a:noAutofit/>
                        </wps:bodyPr>
                      </wps:wsp>
                      <wps:wsp>
                        <wps:cNvPr id="126" name="Graphic 126"/>
                        <wps:cNvSpPr/>
                        <wps:spPr>
                          <a:xfrm>
                            <a:off x="6449059" y="97566"/>
                            <a:ext cx="1110615" cy="451484"/>
                          </a:xfrm>
                          <a:custGeom>
                            <a:avLst/>
                            <a:gdLst/>
                            <a:ahLst/>
                            <a:cxnLst/>
                            <a:rect l="l" t="t" r="r" b="b"/>
                            <a:pathLst>
                              <a:path w="1110615" h="451484">
                                <a:moveTo>
                                  <a:pt x="0" y="0"/>
                                </a:moveTo>
                                <a:lnTo>
                                  <a:pt x="1110614" y="0"/>
                                </a:lnTo>
                                <a:lnTo>
                                  <a:pt x="1110614" y="451483"/>
                                </a:lnTo>
                                <a:lnTo>
                                  <a:pt x="260349" y="451483"/>
                                </a:lnTo>
                                <a:lnTo>
                                  <a:pt x="0" y="0"/>
                                </a:lnTo>
                              </a:path>
                            </a:pathLst>
                          </a:custGeom>
                          <a:ln w="3051">
                            <a:solidFill>
                              <a:srgbClr val="FAD2C1"/>
                            </a:solidFill>
                            <a:prstDash val="solid"/>
                          </a:ln>
                        </wps:spPr>
                        <wps:bodyPr wrap="square" lIns="0" tIns="0" rIns="0" bIns="0" rtlCol="0">
                          <a:prstTxWarp prst="textNoShape">
                            <a:avLst/>
                          </a:prstTxWarp>
                          <a:noAutofit/>
                        </wps:bodyPr>
                      </wps:wsp>
                      <wps:wsp>
                        <wps:cNvPr id="127" name="Graphic 127"/>
                        <wps:cNvSpPr/>
                        <wps:spPr>
                          <a:xfrm>
                            <a:off x="0" y="98201"/>
                            <a:ext cx="7560309" cy="1270"/>
                          </a:xfrm>
                          <a:custGeom>
                            <a:avLst/>
                            <a:gdLst/>
                            <a:ahLst/>
                            <a:cxnLst/>
                            <a:rect l="l" t="t" r="r" b="b"/>
                            <a:pathLst>
                              <a:path w="7560309">
                                <a:moveTo>
                                  <a:pt x="0" y="0"/>
                                </a:moveTo>
                                <a:lnTo>
                                  <a:pt x="7560309" y="0"/>
                                </a:lnTo>
                              </a:path>
                            </a:pathLst>
                          </a:custGeom>
                          <a:ln w="12700">
                            <a:solidFill>
                              <a:srgbClr val="FAD2C1"/>
                            </a:solidFill>
                            <a:prstDash val="solid"/>
                          </a:ln>
                        </wps:spPr>
                        <wps:bodyPr wrap="square" lIns="0" tIns="0" rIns="0" bIns="0" rtlCol="0">
                          <a:prstTxWarp prst="textNoShape">
                            <a:avLst/>
                          </a:prstTxWarp>
                          <a:noAutofit/>
                        </wps:bodyPr>
                      </wps:wsp>
                      <wps:wsp>
                        <wps:cNvPr id="128" name="Textbox 128"/>
                        <wps:cNvSpPr txBox="1"/>
                        <wps:spPr>
                          <a:xfrm>
                            <a:off x="573328" y="0"/>
                            <a:ext cx="450215" cy="142240"/>
                          </a:xfrm>
                          <a:prstGeom prst="rect">
                            <a:avLst/>
                          </a:prstGeom>
                        </wps:spPr>
                        <wps:txbx>
                          <w:txbxContent>
                            <w:p w14:paraId="14AF7853" w14:textId="77777777" w:rsidR="00BB77C0" w:rsidRDefault="00370BAA">
                              <w:pPr>
                                <w:spacing w:line="223" w:lineRule="exact"/>
                                <w:rPr>
                                  <w:sz w:val="20"/>
                                </w:rPr>
                              </w:pPr>
                              <w:r>
                                <w:rPr>
                                  <w:spacing w:val="-2"/>
                                  <w:sz w:val="20"/>
                                </w:rPr>
                                <w:t>justified.</w:t>
                              </w:r>
                            </w:p>
                          </w:txbxContent>
                        </wps:txbx>
                        <wps:bodyPr wrap="square" lIns="0" tIns="0" rIns="0" bIns="0" rtlCol="0">
                          <a:noAutofit/>
                        </wps:bodyPr>
                      </wps:wsp>
                      <wps:wsp>
                        <wps:cNvPr id="129" name="Textbox 129"/>
                        <wps:cNvSpPr txBox="1"/>
                        <wps:spPr>
                          <a:xfrm>
                            <a:off x="6882130" y="129343"/>
                            <a:ext cx="147320" cy="155575"/>
                          </a:xfrm>
                          <a:prstGeom prst="rect">
                            <a:avLst/>
                          </a:prstGeom>
                        </wps:spPr>
                        <wps:txbx>
                          <w:txbxContent>
                            <w:p w14:paraId="01C44AEC" w14:textId="77777777" w:rsidR="00BB77C0" w:rsidRDefault="00370BAA">
                              <w:pPr>
                                <w:spacing w:line="244" w:lineRule="exact"/>
                              </w:pPr>
                              <w:r>
                                <w:rPr>
                                  <w:spacing w:val="-5"/>
                                </w:rPr>
                                <w:t>61</w:t>
                              </w:r>
                            </w:p>
                          </w:txbxContent>
                        </wps:txbx>
                        <wps:bodyPr wrap="square" lIns="0" tIns="0" rIns="0" bIns="0" rtlCol="0">
                          <a:noAutofit/>
                        </wps:bodyPr>
                      </wps:wsp>
                    </wpg:wgp>
                  </a:graphicData>
                </a:graphic>
              </wp:anchor>
            </w:drawing>
          </mc:Choice>
          <mc:Fallback>
            <w:pict>
              <v:group w14:anchorId="14F21980" id="Group 124" o:spid="_x0000_s1075" style="position:absolute;margin-left:0;margin-top:798.6pt;width:595.4pt;height:43.4pt;z-index:15745024;mso-wrap-distance-left:0;mso-wrap-distance-right:0;mso-position-horizontal-relative:page;mso-position-vertical-relative:page" coordsize="75615,5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">
                <v:shape id="Graphic 125" o:spid="_x0000_s1076" style="position:absolute;left:64490;top:975;width:11106;height:4515;visibility:visible;mso-wrap-style:square;v-text-anchor:top" coordsize="1110615,4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" path="m1110614,l,,260349,451483r850265,l1110614,xe" fillcolor="#fad2c1" stroked="f">
                  <v:path arrowok="t"/>
                </v:shape>
                <v:shape id="Graphic 126" o:spid="_x0000_s1077" style="position:absolute;left:64490;top:975;width:11106;height:4515;visibility:visible;mso-wrap-style:square;v-text-anchor:top" coordsize="1110615,4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" path="m,l1110614,r,451483l260349,451483,,e" filled="f" strokecolor="#fad2c1" strokeweight=".08475mm">
                  <v:path arrowok="t"/>
                </v:shape>
                <v:shape id="Graphic 127" o:spid="_x0000_s1078" style="position:absolute;top:982;width:75603;height:12;visibility:visible;mso-wrap-style:square;v-text-anchor:top" coordsize="756030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" path="m,l7560309,e" filled="f" strokecolor="#fad2c1" strokeweight="1pt">
                  <v:path arrowok="t"/>
                </v:shape>
                <v:shape id="Textbox 128" o:spid="_x0000_s1079" type="#_x0000_t202" style="position:absolute;left:5733;width:4502;height:1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" filled="f" stroked="f">
                  <v:textbox inset="0,0,0,0">
                    <w:txbxContent>
                      <w:p w14:paraId="14AF7853" w14:textId="77777777" w:rsidR="00BB77C0" w:rsidRDefault="00370BAA">
                        <w:pPr>
                          <w:spacing w:line="223" w:lineRule="exact"/>
                          <w:rPr>
                            <w:sz w:val="20"/>
                          </w:rPr>
                        </w:pPr>
                        <w:r>
                          <w:rPr>
                            <w:spacing w:val="-2"/>
                            <w:sz w:val="20"/>
                          </w:rPr>
                          <w:t>justified.</w:t>
                        </w:r>
                      </w:p>
                    </w:txbxContent>
                  </v:textbox>
                </v:shape>
                <v:shape id="Textbox 129" o:spid="_x0000_s1080" type="#_x0000_t202" style="position:absolute;left:68821;top:1293;width:1473;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" filled="f" stroked="f">
                  <v:textbox inset="0,0,0,0">
                    <w:txbxContent>
                      <w:p w14:paraId="01C44AEC" w14:textId="77777777" w:rsidR="00BB77C0" w:rsidRDefault="00370BAA">
                        <w:pPr>
                          <w:spacing w:line="244" w:lineRule="exact"/>
                        </w:pPr>
                        <w:r>
                          <w:rPr>
                            <w:spacing w:val="-5"/>
                          </w:rPr>
                          <w:t>61</w:t>
                        </w:r>
                      </w:p>
                    </w:txbxContent>
                  </v:textbox>
                </v:shape>
                <w10:wrap anchorx="page" anchory="page"/>
              </v:group>
            </w:pict>
          </mc:Fallback>
        </mc:AlternateContent>
      </w:r>
      <w:r>
        <w:rPr>
          <w:b/>
          <w:noProof/>
          <w:sz w:val="20"/>
        </w:rPr>
        <mc:AlternateContent>
          <mc:Choice Requires="wpg">
            <w:drawing>
              <wp:anchor distT="0" distB="0" distL="0" distR="0" simplePos="0" relativeHeight="15745536" behindDoc="0" locked="0" layoutInCell="1" allowOverlap="1" wp14:anchorId="08753273" wp14:editId="131D2638">
                <wp:simplePos x="0" y="0"/>
                <wp:positionH relativeFrom="page">
                  <wp:posOffset>0</wp:posOffset>
                </wp:positionH>
                <wp:positionV relativeFrom="page">
                  <wp:posOffset>0</wp:posOffset>
                </wp:positionV>
                <wp:extent cx="7559675" cy="228600"/>
                <wp:effectExtent l="0" t="0" r="0" b="0"/>
                <wp:wrapNone/>
                <wp:docPr id="130"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675" cy="228600"/>
                          <a:chOff x="0" y="0"/>
                          <a:chExt cx="7559675" cy="228600"/>
                        </a:xfrm>
                      </wpg:grpSpPr>
                      <wps:wsp>
                        <wps:cNvPr id="131" name="Graphic 131"/>
                        <wps:cNvSpPr/>
                        <wps:spPr>
                          <a:xfrm>
                            <a:off x="848283" y="0"/>
                            <a:ext cx="6711950" cy="228600"/>
                          </a:xfrm>
                          <a:custGeom>
                            <a:avLst/>
                            <a:gdLst/>
                            <a:ahLst/>
                            <a:cxnLst/>
                            <a:rect l="l" t="t" r="r" b="b"/>
                            <a:pathLst>
                              <a:path w="6711950" h="228600">
                                <a:moveTo>
                                  <a:pt x="6711391" y="0"/>
                                </a:moveTo>
                                <a:lnTo>
                                  <a:pt x="0" y="0"/>
                                </a:lnTo>
                                <a:lnTo>
                                  <a:pt x="184137" y="228600"/>
                                </a:lnTo>
                                <a:lnTo>
                                  <a:pt x="6711391" y="223520"/>
                                </a:lnTo>
                                <a:lnTo>
                                  <a:pt x="6711391" y="0"/>
                                </a:lnTo>
                                <a:close/>
                              </a:path>
                            </a:pathLst>
                          </a:custGeom>
                          <a:solidFill>
                            <a:srgbClr val="E6E7E8"/>
                          </a:solidFill>
                        </wps:spPr>
                        <wps:bodyPr wrap="square" lIns="0" tIns="0" rIns="0" bIns="0" rtlCol="0">
                          <a:prstTxWarp prst="textNoShape">
                            <a:avLst/>
                          </a:prstTxWarp>
                          <a:noAutofit/>
                        </wps:bodyPr>
                      </wps:wsp>
                      <wps:wsp>
                        <wps:cNvPr id="132" name="Graphic 132"/>
                        <wps:cNvSpPr/>
                        <wps:spPr>
                          <a:xfrm>
                            <a:off x="0" y="0"/>
                            <a:ext cx="655955" cy="228600"/>
                          </a:xfrm>
                          <a:custGeom>
                            <a:avLst/>
                            <a:gdLst/>
                            <a:ahLst/>
                            <a:cxnLst/>
                            <a:rect l="l" t="t" r="r" b="b"/>
                            <a:pathLst>
                              <a:path w="655955" h="228600">
                                <a:moveTo>
                                  <a:pt x="530174" y="0"/>
                                </a:moveTo>
                                <a:lnTo>
                                  <a:pt x="0" y="0"/>
                                </a:lnTo>
                                <a:lnTo>
                                  <a:pt x="0" y="228600"/>
                                </a:lnTo>
                                <a:lnTo>
                                  <a:pt x="655904" y="228600"/>
                                </a:lnTo>
                                <a:lnTo>
                                  <a:pt x="530174" y="0"/>
                                </a:lnTo>
                                <a:close/>
                              </a:path>
                            </a:pathLst>
                          </a:custGeom>
                          <a:solidFill>
                            <a:srgbClr val="00A650"/>
                          </a:solidFill>
                        </wps:spPr>
                        <wps:bodyPr wrap="square" lIns="0" tIns="0" rIns="0" bIns="0" rtlCol="0">
                          <a:prstTxWarp prst="textNoShape">
                            <a:avLst/>
                          </a:prstTxWarp>
                          <a:noAutofit/>
                        </wps:bodyPr>
                      </wps:wsp>
                      <wps:wsp>
                        <wps:cNvPr id="133" name="Graphic 133"/>
                        <wps:cNvSpPr/>
                        <wps:spPr>
                          <a:xfrm>
                            <a:off x="554304" y="0"/>
                            <a:ext cx="329565" cy="228600"/>
                          </a:xfrm>
                          <a:custGeom>
                            <a:avLst/>
                            <a:gdLst/>
                            <a:ahLst/>
                            <a:cxnLst/>
                            <a:rect l="l" t="t" r="r" b="b"/>
                            <a:pathLst>
                              <a:path w="329565" h="228600">
                                <a:moveTo>
                                  <a:pt x="203822" y="0"/>
                                </a:moveTo>
                                <a:lnTo>
                                  <a:pt x="0" y="0"/>
                                </a:lnTo>
                                <a:lnTo>
                                  <a:pt x="128904" y="228600"/>
                                </a:lnTo>
                                <a:lnTo>
                                  <a:pt x="329539" y="228600"/>
                                </a:lnTo>
                                <a:lnTo>
                                  <a:pt x="203822" y="0"/>
                                </a:lnTo>
                                <a:close/>
                              </a:path>
                            </a:pathLst>
                          </a:custGeom>
                          <a:solidFill>
                            <a:srgbClr val="EB1C22"/>
                          </a:solidFill>
                        </wps:spPr>
                        <wps:bodyPr wrap="square" lIns="0" tIns="0" rIns="0" bIns="0" rtlCol="0">
                          <a:prstTxWarp prst="textNoShape">
                            <a:avLst/>
                          </a:prstTxWarp>
                          <a:noAutofit/>
                        </wps:bodyPr>
                      </wps:wsp>
                      <wps:wsp>
                        <wps:cNvPr id="134" name="Graphic 134"/>
                        <wps:cNvSpPr/>
                        <wps:spPr>
                          <a:xfrm>
                            <a:off x="783526" y="0"/>
                            <a:ext cx="329565" cy="228600"/>
                          </a:xfrm>
                          <a:custGeom>
                            <a:avLst/>
                            <a:gdLst/>
                            <a:ahLst/>
                            <a:cxnLst/>
                            <a:rect l="l" t="t" r="r" b="b"/>
                            <a:pathLst>
                              <a:path w="329565" h="228600">
                                <a:moveTo>
                                  <a:pt x="203822" y="0"/>
                                </a:moveTo>
                                <a:lnTo>
                                  <a:pt x="0" y="0"/>
                                </a:lnTo>
                                <a:lnTo>
                                  <a:pt x="128879" y="228600"/>
                                </a:lnTo>
                                <a:lnTo>
                                  <a:pt x="329539" y="228600"/>
                                </a:lnTo>
                                <a:lnTo>
                                  <a:pt x="203822" y="0"/>
                                </a:lnTo>
                                <a:close/>
                              </a:path>
                            </a:pathLst>
                          </a:custGeom>
                          <a:solidFill>
                            <a:srgbClr val="A7A9AC"/>
                          </a:solidFill>
                        </wps:spPr>
                        <wps:bodyPr wrap="square" lIns="0" tIns="0" rIns="0" bIns="0" rtlCol="0">
                          <a:prstTxWarp prst="textNoShape">
                            <a:avLst/>
                          </a:prstTxWarp>
                          <a:noAutofit/>
                        </wps:bodyPr>
                      </wps:wsp>
                    </wpg:wgp>
                  </a:graphicData>
                </a:graphic>
              </wp:anchor>
            </w:drawing>
          </mc:Choice>
          <mc:Fallback>
            <w:pict>
              <v:group w14:anchorId="2F0EC8E2" id="Group 130" o:spid="_x0000_s1026" style="position:absolute;margin-left:0;margin-top:0;width:595.25pt;height:18pt;z-index:15745536;mso-wrap-distance-left:0;mso-wrap-distance-right:0;mso-position-horizontal-relative:page;mso-position-vertical-relative:page" coordsize="75596,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">
                <v:shape id="Graphic 131" o:spid="_x0000_s1027" style="position:absolute;left:8482;width:67120;height:2286;visibility:visible;mso-wrap-style:square;v-text-anchor:top" coordsize="67119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" path="m6711391,l,,184137,228600r6527254,-5080l6711391,xe" fillcolor="#e6e7e8" stroked="f">
                  <v:path arrowok="t"/>
                </v:shape>
                <v:shape id="Graphic 132" o:spid="_x0000_s1028" style="position:absolute;width:6559;height:2286;visibility:visible;mso-wrap-style:square;v-text-anchor:top" coordsize="65595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" path="m530174,l,,,228600r655904,l530174,xe" fillcolor="#00a650" stroked="f">
                  <v:path arrowok="t"/>
                </v:shape>
                <v:shape id="Graphic 133" o:spid="_x0000_s1029" style="position:absolute;left:5543;width:3295;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" path="m203822,l,,128904,228600r200635,l203822,xe" fillcolor="#eb1c22" stroked="f">
                  <v:path arrowok="t"/>
                </v:shape>
                <v:shape id="Graphic 134" o:spid="_x0000_s1030" style="position:absolute;left:7835;width:3295;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" path="m203822,l,,128879,228600r200660,l203822,xe" fillcolor="#a7a9ac" stroked="f">
                  <v:path arrowok="t"/>
                </v:shape>
                <w10:wrap anchorx="page" anchory="page"/>
              </v:group>
            </w:pict>
          </mc:Fallback>
        </mc:AlternateContent>
      </w:r>
    </w:p>
    <w:tbl>
      <w:tblPr>
        <w:tblW w:w="0" w:type="auto"/>
        <w:tblInd w:w="36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953"/>
        <w:gridCol w:w="1191"/>
        <w:gridCol w:w="1186"/>
        <w:gridCol w:w="1191"/>
        <w:gridCol w:w="1186"/>
        <w:gridCol w:w="1239"/>
      </w:tblGrid>
      <w:tr w:rsidR="00BB77C0" w14:paraId="63B25A60" w14:textId="77777777">
        <w:trPr>
          <w:trHeight w:val="489"/>
        </w:trPr>
        <w:tc>
          <w:tcPr>
            <w:tcW w:w="2953" w:type="dxa"/>
            <w:vMerge w:val="restart"/>
          </w:tcPr>
          <w:p w14:paraId="38FFB742" w14:textId="77777777" w:rsidR="00BB77C0" w:rsidRDefault="00370BAA">
            <w:pPr>
              <w:pStyle w:val="TableParagraph"/>
              <w:tabs>
                <w:tab w:val="left" w:pos="2184"/>
              </w:tabs>
              <w:spacing w:before="1"/>
              <w:ind w:left="7" w:right="343"/>
              <w:rPr>
                <w:b/>
              </w:rPr>
            </w:pPr>
            <w:r>
              <w:rPr>
                <w:b/>
                <w:spacing w:val="-8"/>
              </w:rPr>
              <w:t>Type</w:t>
            </w:r>
            <w:r>
              <w:rPr>
                <w:b/>
                <w:spacing w:val="-26"/>
              </w:rPr>
              <w:t xml:space="preserve"> </w:t>
            </w:r>
            <w:r>
              <w:rPr>
                <w:b/>
                <w:spacing w:val="-8"/>
              </w:rPr>
              <w:t>of</w:t>
            </w:r>
            <w:r>
              <w:rPr>
                <w:b/>
                <w:spacing w:val="-23"/>
              </w:rPr>
              <w:t xml:space="preserve"> </w:t>
            </w:r>
            <w:r>
              <w:rPr>
                <w:b/>
                <w:spacing w:val="-8"/>
              </w:rPr>
              <w:t>Financial</w:t>
            </w:r>
            <w:r>
              <w:rPr>
                <w:b/>
                <w:spacing w:val="-15"/>
              </w:rPr>
              <w:t xml:space="preserve"> </w:t>
            </w:r>
            <w:r>
              <w:rPr>
                <w:b/>
                <w:spacing w:val="-8"/>
              </w:rPr>
              <w:t xml:space="preserve">information </w:t>
            </w:r>
            <w:r>
              <w:rPr>
                <w:b/>
                <w:spacing w:val="-6"/>
              </w:rPr>
              <w:t>in</w:t>
            </w:r>
            <w:r>
              <w:rPr>
                <w:b/>
                <w:u w:val="single"/>
              </w:rPr>
              <w:tab/>
            </w:r>
            <w:r>
              <w:rPr>
                <w:b/>
              </w:rPr>
              <w:t xml:space="preserve"> </w:t>
            </w:r>
            <w:r>
              <w:rPr>
                <w:b/>
                <w:spacing w:val="-2"/>
              </w:rPr>
              <w:t>(currency)</w:t>
            </w:r>
          </w:p>
        </w:tc>
        <w:tc>
          <w:tcPr>
            <w:tcW w:w="5993" w:type="dxa"/>
            <w:gridSpan w:val="5"/>
            <w:tcBorders>
              <w:bottom w:val="single" w:sz="6" w:space="0" w:color="000000"/>
            </w:tcBorders>
          </w:tcPr>
          <w:p w14:paraId="452626FC" w14:textId="77777777" w:rsidR="00BB77C0" w:rsidRDefault="00370BAA">
            <w:pPr>
              <w:pStyle w:val="TableParagraph"/>
              <w:tabs>
                <w:tab w:val="left" w:pos="3939"/>
              </w:tabs>
              <w:spacing w:line="249" w:lineRule="exact"/>
              <w:ind w:left="2"/>
              <w:rPr>
                <w:b/>
                <w:i/>
              </w:rPr>
            </w:pPr>
            <w:r>
              <w:rPr>
                <w:b/>
                <w:spacing w:val="-8"/>
              </w:rPr>
              <w:t>Historic</w:t>
            </w:r>
            <w:r>
              <w:rPr>
                <w:b/>
                <w:spacing w:val="-6"/>
              </w:rPr>
              <w:t xml:space="preserve"> </w:t>
            </w:r>
            <w:r>
              <w:rPr>
                <w:b/>
                <w:spacing w:val="-8"/>
              </w:rPr>
              <w:t>information for previous</w:t>
            </w:r>
            <w:r>
              <w:rPr>
                <w:b/>
                <w:spacing w:val="-3"/>
              </w:rPr>
              <w:t xml:space="preserve"> </w:t>
            </w:r>
            <w:r>
              <w:rPr>
                <w:b/>
                <w:i/>
                <w:u w:val="single"/>
              </w:rPr>
              <w:tab/>
            </w:r>
            <w:r>
              <w:rPr>
                <w:b/>
                <w:i/>
                <w:spacing w:val="-2"/>
              </w:rPr>
              <w:t>years,</w:t>
            </w:r>
          </w:p>
        </w:tc>
      </w:tr>
      <w:tr w:rsidR="00BB77C0" w14:paraId="667C8E81" w14:textId="77777777">
        <w:trPr>
          <w:trHeight w:val="695"/>
        </w:trPr>
        <w:tc>
          <w:tcPr>
            <w:tcW w:w="2953" w:type="dxa"/>
            <w:vMerge/>
            <w:tcBorders>
              <w:top w:val="nil"/>
            </w:tcBorders>
          </w:tcPr>
          <w:p w14:paraId="4C4203FE" w14:textId="77777777" w:rsidR="00BB77C0" w:rsidRDefault="00BB77C0">
            <w:pPr>
              <w:rPr>
                <w:sz w:val="2"/>
                <w:szCs w:val="2"/>
              </w:rPr>
            </w:pPr>
          </w:p>
        </w:tc>
        <w:tc>
          <w:tcPr>
            <w:tcW w:w="5993" w:type="dxa"/>
            <w:gridSpan w:val="5"/>
            <w:tcBorders>
              <w:top w:val="single" w:sz="6" w:space="0" w:color="000000"/>
            </w:tcBorders>
          </w:tcPr>
          <w:p w14:paraId="1BA00F6D" w14:textId="77777777" w:rsidR="00BB77C0" w:rsidRDefault="00370BAA">
            <w:pPr>
              <w:pStyle w:val="TableParagraph"/>
              <w:spacing w:line="249" w:lineRule="exact"/>
              <w:ind w:left="2"/>
              <w:rPr>
                <w:b/>
              </w:rPr>
            </w:pPr>
            <w:r>
              <w:rPr>
                <w:b/>
                <w:spacing w:val="-6"/>
              </w:rPr>
              <w:t>(amount</w:t>
            </w:r>
            <w:r>
              <w:rPr>
                <w:b/>
                <w:spacing w:val="-25"/>
              </w:rPr>
              <w:t xml:space="preserve"> </w:t>
            </w:r>
            <w:r>
              <w:rPr>
                <w:b/>
                <w:spacing w:val="-6"/>
              </w:rPr>
              <w:t>in</w:t>
            </w:r>
            <w:r>
              <w:rPr>
                <w:b/>
                <w:spacing w:val="-25"/>
              </w:rPr>
              <w:t xml:space="preserve"> </w:t>
            </w:r>
            <w:r>
              <w:rPr>
                <w:b/>
                <w:spacing w:val="-6"/>
              </w:rPr>
              <w:t>currency, currency,</w:t>
            </w:r>
            <w:r>
              <w:rPr>
                <w:b/>
                <w:spacing w:val="-5"/>
              </w:rPr>
              <w:t xml:space="preserve"> </w:t>
            </w:r>
            <w:r>
              <w:rPr>
                <w:b/>
                <w:spacing w:val="-6"/>
              </w:rPr>
              <w:t>exchange</w:t>
            </w:r>
            <w:r>
              <w:rPr>
                <w:b/>
                <w:spacing w:val="-4"/>
              </w:rPr>
              <w:t xml:space="preserve"> </w:t>
            </w:r>
            <w:r>
              <w:rPr>
                <w:b/>
                <w:spacing w:val="-6"/>
              </w:rPr>
              <w:t>rate*,</w:t>
            </w:r>
            <w:r>
              <w:rPr>
                <w:b/>
              </w:rPr>
              <w:t xml:space="preserve"> </w:t>
            </w:r>
            <w:r>
              <w:rPr>
                <w:b/>
                <w:spacing w:val="-6"/>
              </w:rPr>
              <w:t>USD</w:t>
            </w:r>
            <w:r>
              <w:rPr>
                <w:b/>
                <w:spacing w:val="-13"/>
              </w:rPr>
              <w:t xml:space="preserve"> </w:t>
            </w:r>
            <w:r>
              <w:rPr>
                <w:b/>
                <w:spacing w:val="-6"/>
              </w:rPr>
              <w:t>equivalent)</w:t>
            </w:r>
          </w:p>
        </w:tc>
      </w:tr>
      <w:tr w:rsidR="00BB77C0" w14:paraId="6200630C" w14:textId="77777777">
        <w:trPr>
          <w:trHeight w:val="518"/>
        </w:trPr>
        <w:tc>
          <w:tcPr>
            <w:tcW w:w="2953" w:type="dxa"/>
          </w:tcPr>
          <w:p w14:paraId="5373D6C2" w14:textId="77777777" w:rsidR="00BB77C0" w:rsidRDefault="00BB77C0">
            <w:pPr>
              <w:pStyle w:val="TableParagraph"/>
            </w:pPr>
          </w:p>
        </w:tc>
        <w:tc>
          <w:tcPr>
            <w:tcW w:w="1191" w:type="dxa"/>
          </w:tcPr>
          <w:p w14:paraId="1E02BFE6" w14:textId="77777777" w:rsidR="00BB77C0" w:rsidRDefault="00370BAA">
            <w:pPr>
              <w:pStyle w:val="TableParagraph"/>
              <w:spacing w:line="249" w:lineRule="exact"/>
              <w:ind w:left="2"/>
              <w:rPr>
                <w:b/>
              </w:rPr>
            </w:pPr>
            <w:r>
              <w:rPr>
                <w:b/>
                <w:spacing w:val="-5"/>
              </w:rPr>
              <w:t>Year</w:t>
            </w:r>
            <w:r>
              <w:rPr>
                <w:b/>
                <w:spacing w:val="-7"/>
              </w:rPr>
              <w:t xml:space="preserve"> </w:t>
            </w:r>
            <w:r>
              <w:rPr>
                <w:b/>
                <w:spacing w:val="-10"/>
              </w:rPr>
              <w:t>1</w:t>
            </w:r>
          </w:p>
        </w:tc>
        <w:tc>
          <w:tcPr>
            <w:tcW w:w="1186" w:type="dxa"/>
          </w:tcPr>
          <w:p w14:paraId="6A8891D9" w14:textId="77777777" w:rsidR="00BB77C0" w:rsidRDefault="00370BAA">
            <w:pPr>
              <w:pStyle w:val="TableParagraph"/>
              <w:spacing w:line="249" w:lineRule="exact"/>
              <w:ind w:left="2"/>
              <w:rPr>
                <w:b/>
              </w:rPr>
            </w:pPr>
            <w:r>
              <w:rPr>
                <w:b/>
                <w:spacing w:val="-5"/>
              </w:rPr>
              <w:t>Year</w:t>
            </w:r>
            <w:r>
              <w:rPr>
                <w:b/>
                <w:spacing w:val="-8"/>
              </w:rPr>
              <w:t xml:space="preserve"> </w:t>
            </w:r>
            <w:r>
              <w:rPr>
                <w:b/>
                <w:spacing w:val="-10"/>
              </w:rPr>
              <w:t>2</w:t>
            </w:r>
          </w:p>
        </w:tc>
        <w:tc>
          <w:tcPr>
            <w:tcW w:w="1191" w:type="dxa"/>
          </w:tcPr>
          <w:p w14:paraId="145033FC" w14:textId="77777777" w:rsidR="00BB77C0" w:rsidRDefault="00370BAA">
            <w:pPr>
              <w:pStyle w:val="TableParagraph"/>
              <w:spacing w:line="249" w:lineRule="exact"/>
              <w:ind w:left="2"/>
              <w:rPr>
                <w:b/>
              </w:rPr>
            </w:pPr>
            <w:r>
              <w:rPr>
                <w:b/>
                <w:spacing w:val="-5"/>
              </w:rPr>
              <w:t>Year</w:t>
            </w:r>
            <w:r>
              <w:rPr>
                <w:b/>
                <w:spacing w:val="-8"/>
              </w:rPr>
              <w:t xml:space="preserve"> </w:t>
            </w:r>
            <w:r>
              <w:rPr>
                <w:b/>
                <w:spacing w:val="-10"/>
              </w:rPr>
              <w:t>3</w:t>
            </w:r>
          </w:p>
        </w:tc>
        <w:tc>
          <w:tcPr>
            <w:tcW w:w="1186" w:type="dxa"/>
          </w:tcPr>
          <w:p w14:paraId="63E71194" w14:textId="77777777" w:rsidR="00BB77C0" w:rsidRDefault="00370BAA">
            <w:pPr>
              <w:pStyle w:val="TableParagraph"/>
              <w:spacing w:line="249" w:lineRule="exact"/>
              <w:ind w:left="2"/>
              <w:rPr>
                <w:b/>
              </w:rPr>
            </w:pPr>
            <w:r>
              <w:rPr>
                <w:b/>
                <w:spacing w:val="-5"/>
              </w:rPr>
              <w:t>Year</w:t>
            </w:r>
            <w:r>
              <w:rPr>
                <w:b/>
                <w:spacing w:val="-8"/>
              </w:rPr>
              <w:t xml:space="preserve"> </w:t>
            </w:r>
            <w:r>
              <w:rPr>
                <w:b/>
                <w:spacing w:val="-10"/>
              </w:rPr>
              <w:t>4</w:t>
            </w:r>
          </w:p>
        </w:tc>
        <w:tc>
          <w:tcPr>
            <w:tcW w:w="1239" w:type="dxa"/>
          </w:tcPr>
          <w:p w14:paraId="329A3C19" w14:textId="77777777" w:rsidR="00BB77C0" w:rsidRDefault="00370BAA">
            <w:pPr>
              <w:pStyle w:val="TableParagraph"/>
              <w:spacing w:line="249" w:lineRule="exact"/>
              <w:ind w:left="7"/>
              <w:rPr>
                <w:b/>
              </w:rPr>
            </w:pPr>
            <w:r>
              <w:rPr>
                <w:b/>
                <w:spacing w:val="-5"/>
              </w:rPr>
              <w:t>Year</w:t>
            </w:r>
            <w:r>
              <w:rPr>
                <w:b/>
                <w:spacing w:val="-8"/>
              </w:rPr>
              <w:t xml:space="preserve"> </w:t>
            </w:r>
            <w:r>
              <w:rPr>
                <w:b/>
                <w:spacing w:val="-10"/>
              </w:rPr>
              <w:t>5</w:t>
            </w:r>
          </w:p>
        </w:tc>
      </w:tr>
      <w:tr w:rsidR="00BB77C0" w14:paraId="4D223978" w14:textId="77777777">
        <w:trPr>
          <w:trHeight w:val="773"/>
        </w:trPr>
        <w:tc>
          <w:tcPr>
            <w:tcW w:w="2953" w:type="dxa"/>
          </w:tcPr>
          <w:p w14:paraId="43E4A6A4" w14:textId="77777777" w:rsidR="00BB77C0" w:rsidRDefault="00370BAA">
            <w:pPr>
              <w:pStyle w:val="TableParagraph"/>
              <w:spacing w:line="249" w:lineRule="exact"/>
              <w:ind w:left="7"/>
            </w:pPr>
            <w:r>
              <w:rPr>
                <w:spacing w:val="-6"/>
              </w:rPr>
              <w:t>Profits</w:t>
            </w:r>
            <w:r>
              <w:rPr>
                <w:spacing w:val="-1"/>
              </w:rPr>
              <w:t xml:space="preserve"> </w:t>
            </w:r>
            <w:r>
              <w:rPr>
                <w:spacing w:val="-6"/>
              </w:rPr>
              <w:t>Before</w:t>
            </w:r>
            <w:r>
              <w:rPr>
                <w:spacing w:val="-9"/>
              </w:rPr>
              <w:t xml:space="preserve"> </w:t>
            </w:r>
            <w:r>
              <w:rPr>
                <w:spacing w:val="-6"/>
              </w:rPr>
              <w:t>Taxes</w:t>
            </w:r>
            <w:r>
              <w:rPr>
                <w:spacing w:val="6"/>
              </w:rPr>
              <w:t xml:space="preserve"> </w:t>
            </w:r>
            <w:r>
              <w:rPr>
                <w:spacing w:val="-6"/>
              </w:rPr>
              <w:t>(PBT)</w:t>
            </w:r>
          </w:p>
        </w:tc>
        <w:tc>
          <w:tcPr>
            <w:tcW w:w="1191" w:type="dxa"/>
          </w:tcPr>
          <w:p w14:paraId="35D9AEE8" w14:textId="77777777" w:rsidR="00BB77C0" w:rsidRDefault="00BB77C0">
            <w:pPr>
              <w:pStyle w:val="TableParagraph"/>
            </w:pPr>
          </w:p>
        </w:tc>
        <w:tc>
          <w:tcPr>
            <w:tcW w:w="1186" w:type="dxa"/>
          </w:tcPr>
          <w:p w14:paraId="7B17BF23" w14:textId="77777777" w:rsidR="00BB77C0" w:rsidRDefault="00BB77C0">
            <w:pPr>
              <w:pStyle w:val="TableParagraph"/>
            </w:pPr>
          </w:p>
        </w:tc>
        <w:tc>
          <w:tcPr>
            <w:tcW w:w="1191" w:type="dxa"/>
          </w:tcPr>
          <w:p w14:paraId="590C9F25" w14:textId="77777777" w:rsidR="00BB77C0" w:rsidRDefault="00BB77C0">
            <w:pPr>
              <w:pStyle w:val="TableParagraph"/>
            </w:pPr>
          </w:p>
        </w:tc>
        <w:tc>
          <w:tcPr>
            <w:tcW w:w="1186" w:type="dxa"/>
          </w:tcPr>
          <w:p w14:paraId="54422AFA" w14:textId="77777777" w:rsidR="00BB77C0" w:rsidRDefault="00BB77C0">
            <w:pPr>
              <w:pStyle w:val="TableParagraph"/>
            </w:pPr>
          </w:p>
        </w:tc>
        <w:tc>
          <w:tcPr>
            <w:tcW w:w="1239" w:type="dxa"/>
          </w:tcPr>
          <w:p w14:paraId="09779F2D" w14:textId="77777777" w:rsidR="00BB77C0" w:rsidRDefault="00BB77C0">
            <w:pPr>
              <w:pStyle w:val="TableParagraph"/>
            </w:pPr>
          </w:p>
        </w:tc>
      </w:tr>
      <w:tr w:rsidR="00BB77C0" w14:paraId="642A72C3" w14:textId="77777777">
        <w:trPr>
          <w:trHeight w:val="523"/>
        </w:trPr>
        <w:tc>
          <w:tcPr>
            <w:tcW w:w="8946" w:type="dxa"/>
            <w:gridSpan w:val="6"/>
          </w:tcPr>
          <w:p w14:paraId="35038C4F" w14:textId="77777777" w:rsidR="00BB77C0" w:rsidRDefault="00370BAA">
            <w:pPr>
              <w:pStyle w:val="TableParagraph"/>
              <w:spacing w:line="249" w:lineRule="exact"/>
              <w:ind w:left="7"/>
            </w:pPr>
            <w:r>
              <w:rPr>
                <w:spacing w:val="-4"/>
              </w:rPr>
              <w:t>Cash</w:t>
            </w:r>
            <w:r>
              <w:rPr>
                <w:spacing w:val="-16"/>
              </w:rPr>
              <w:t xml:space="preserve"> </w:t>
            </w:r>
            <w:r>
              <w:rPr>
                <w:spacing w:val="-4"/>
              </w:rPr>
              <w:t>Flow</w:t>
            </w:r>
            <w:r>
              <w:rPr>
                <w:spacing w:val="-10"/>
              </w:rPr>
              <w:t xml:space="preserve"> </w:t>
            </w:r>
            <w:r>
              <w:rPr>
                <w:spacing w:val="-4"/>
              </w:rPr>
              <w:t>Information</w:t>
            </w:r>
          </w:p>
        </w:tc>
      </w:tr>
      <w:tr w:rsidR="00BB77C0" w14:paraId="34BBED2E" w14:textId="77777777">
        <w:trPr>
          <w:trHeight w:val="676"/>
        </w:trPr>
        <w:tc>
          <w:tcPr>
            <w:tcW w:w="2953" w:type="dxa"/>
          </w:tcPr>
          <w:p w14:paraId="4B81884B" w14:textId="77777777" w:rsidR="00BB77C0" w:rsidRDefault="00370BAA">
            <w:pPr>
              <w:pStyle w:val="TableParagraph"/>
              <w:spacing w:line="237" w:lineRule="auto"/>
              <w:ind w:left="7" w:right="343"/>
            </w:pPr>
            <w:r>
              <w:rPr>
                <w:spacing w:val="-4"/>
              </w:rPr>
              <w:t>Cash</w:t>
            </w:r>
            <w:r>
              <w:rPr>
                <w:spacing w:val="-19"/>
              </w:rPr>
              <w:t xml:space="preserve"> </w:t>
            </w:r>
            <w:r>
              <w:rPr>
                <w:spacing w:val="-4"/>
              </w:rPr>
              <w:t>Flow</w:t>
            </w:r>
            <w:r>
              <w:rPr>
                <w:spacing w:val="-18"/>
              </w:rPr>
              <w:t xml:space="preserve"> </w:t>
            </w:r>
            <w:r>
              <w:rPr>
                <w:spacing w:val="-4"/>
              </w:rPr>
              <w:t>from</w:t>
            </w:r>
            <w:r>
              <w:rPr>
                <w:spacing w:val="-15"/>
              </w:rPr>
              <w:t xml:space="preserve"> </w:t>
            </w:r>
            <w:r>
              <w:rPr>
                <w:spacing w:val="-4"/>
              </w:rPr>
              <w:t xml:space="preserve">Operating </w:t>
            </w:r>
            <w:r>
              <w:rPr>
                <w:spacing w:val="-2"/>
              </w:rPr>
              <w:t>Activities</w:t>
            </w:r>
          </w:p>
        </w:tc>
        <w:tc>
          <w:tcPr>
            <w:tcW w:w="1191" w:type="dxa"/>
          </w:tcPr>
          <w:p w14:paraId="43567CD6" w14:textId="77777777" w:rsidR="00BB77C0" w:rsidRDefault="00BB77C0">
            <w:pPr>
              <w:pStyle w:val="TableParagraph"/>
            </w:pPr>
          </w:p>
        </w:tc>
        <w:tc>
          <w:tcPr>
            <w:tcW w:w="1186" w:type="dxa"/>
          </w:tcPr>
          <w:p w14:paraId="6800048B" w14:textId="77777777" w:rsidR="00BB77C0" w:rsidRDefault="00BB77C0">
            <w:pPr>
              <w:pStyle w:val="TableParagraph"/>
            </w:pPr>
          </w:p>
        </w:tc>
        <w:tc>
          <w:tcPr>
            <w:tcW w:w="1191" w:type="dxa"/>
          </w:tcPr>
          <w:p w14:paraId="63BB2A6D" w14:textId="77777777" w:rsidR="00BB77C0" w:rsidRDefault="00BB77C0">
            <w:pPr>
              <w:pStyle w:val="TableParagraph"/>
            </w:pPr>
          </w:p>
        </w:tc>
        <w:tc>
          <w:tcPr>
            <w:tcW w:w="1186" w:type="dxa"/>
          </w:tcPr>
          <w:p w14:paraId="1E5780F3" w14:textId="77777777" w:rsidR="00BB77C0" w:rsidRDefault="00BB77C0">
            <w:pPr>
              <w:pStyle w:val="TableParagraph"/>
            </w:pPr>
          </w:p>
        </w:tc>
        <w:tc>
          <w:tcPr>
            <w:tcW w:w="1239" w:type="dxa"/>
          </w:tcPr>
          <w:p w14:paraId="1DFAAC97" w14:textId="77777777" w:rsidR="00BB77C0" w:rsidRDefault="00BB77C0">
            <w:pPr>
              <w:pStyle w:val="TableParagraph"/>
            </w:pPr>
          </w:p>
        </w:tc>
      </w:tr>
    </w:tbl>
    <w:p w14:paraId="2886CCC3" w14:textId="77777777" w:rsidR="00BB77C0" w:rsidRDefault="00370BAA">
      <w:pPr>
        <w:spacing w:before="272"/>
        <w:ind w:left="360"/>
        <w:rPr>
          <w:sz w:val="24"/>
        </w:rPr>
      </w:pPr>
      <w:r>
        <w:rPr>
          <w:sz w:val="24"/>
        </w:rPr>
        <w:t>*Refer</w:t>
      </w:r>
      <w:r>
        <w:rPr>
          <w:spacing w:val="-15"/>
          <w:sz w:val="24"/>
        </w:rPr>
        <w:t xml:space="preserve"> </w:t>
      </w:r>
      <w:r>
        <w:rPr>
          <w:sz w:val="24"/>
        </w:rPr>
        <w:t>to</w:t>
      </w:r>
      <w:r>
        <w:rPr>
          <w:spacing w:val="-8"/>
          <w:sz w:val="24"/>
        </w:rPr>
        <w:t xml:space="preserve"> </w:t>
      </w:r>
      <w:r>
        <w:rPr>
          <w:sz w:val="24"/>
        </w:rPr>
        <w:t>ITT</w:t>
      </w:r>
      <w:r>
        <w:rPr>
          <w:spacing w:val="-12"/>
          <w:sz w:val="24"/>
        </w:rPr>
        <w:t xml:space="preserve"> </w:t>
      </w:r>
      <w:r>
        <w:rPr>
          <w:sz w:val="24"/>
        </w:rPr>
        <w:t>15</w:t>
      </w:r>
      <w:r>
        <w:rPr>
          <w:spacing w:val="-15"/>
          <w:sz w:val="24"/>
        </w:rPr>
        <w:t xml:space="preserve"> </w:t>
      </w:r>
      <w:r>
        <w:rPr>
          <w:sz w:val="24"/>
        </w:rPr>
        <w:t>for</w:t>
      </w:r>
      <w:r>
        <w:rPr>
          <w:spacing w:val="-15"/>
          <w:sz w:val="24"/>
        </w:rPr>
        <w:t xml:space="preserve"> </w:t>
      </w:r>
      <w:r>
        <w:rPr>
          <w:sz w:val="24"/>
        </w:rPr>
        <w:t>the</w:t>
      </w:r>
      <w:r>
        <w:rPr>
          <w:spacing w:val="-15"/>
          <w:sz w:val="24"/>
        </w:rPr>
        <w:t xml:space="preserve"> </w:t>
      </w:r>
      <w:r>
        <w:rPr>
          <w:sz w:val="24"/>
        </w:rPr>
        <w:t>exchange</w:t>
      </w:r>
      <w:r>
        <w:rPr>
          <w:spacing w:val="-10"/>
          <w:sz w:val="24"/>
        </w:rPr>
        <w:t xml:space="preserve"> </w:t>
      </w:r>
      <w:r>
        <w:rPr>
          <w:spacing w:val="-4"/>
          <w:sz w:val="24"/>
        </w:rPr>
        <w:t>rate</w:t>
      </w:r>
    </w:p>
    <w:p w14:paraId="566A2084" w14:textId="77777777" w:rsidR="00BB77C0" w:rsidRDefault="00BB77C0">
      <w:pPr>
        <w:pStyle w:val="BodyText"/>
        <w:spacing w:before="259"/>
        <w:rPr>
          <w:sz w:val="24"/>
        </w:rPr>
      </w:pPr>
    </w:p>
    <w:p w14:paraId="406E5353" w14:textId="77777777" w:rsidR="00BB77C0" w:rsidRDefault="00370BAA">
      <w:pPr>
        <w:pStyle w:val="ListParagraph"/>
        <w:numPr>
          <w:ilvl w:val="2"/>
          <w:numId w:val="55"/>
        </w:numPr>
        <w:tabs>
          <w:tab w:val="left" w:pos="1080"/>
        </w:tabs>
        <w:rPr>
          <w:b/>
        </w:rPr>
      </w:pPr>
      <w:r>
        <w:rPr>
          <w:b/>
          <w:spacing w:val="-4"/>
        </w:rPr>
        <w:t>Sources</w:t>
      </w:r>
      <w:r>
        <w:rPr>
          <w:b/>
          <w:spacing w:val="-17"/>
        </w:rPr>
        <w:t xml:space="preserve"> </w:t>
      </w:r>
      <w:r>
        <w:rPr>
          <w:b/>
          <w:spacing w:val="-4"/>
        </w:rPr>
        <w:t>of</w:t>
      </w:r>
      <w:r>
        <w:rPr>
          <w:b/>
          <w:spacing w:val="-11"/>
        </w:rPr>
        <w:t xml:space="preserve"> </w:t>
      </w:r>
      <w:r>
        <w:rPr>
          <w:b/>
          <w:spacing w:val="-4"/>
        </w:rPr>
        <w:t>Finance</w:t>
      </w:r>
    </w:p>
    <w:p w14:paraId="637F7C27" w14:textId="77777777" w:rsidR="00BB77C0" w:rsidRDefault="00BB77C0">
      <w:pPr>
        <w:pStyle w:val="BodyText"/>
        <w:rPr>
          <w:b/>
        </w:rPr>
      </w:pPr>
    </w:p>
    <w:p w14:paraId="2CCADEAD" w14:textId="77777777" w:rsidR="00BB77C0" w:rsidRDefault="00370BAA">
      <w:pPr>
        <w:pStyle w:val="BodyText"/>
        <w:spacing w:line="237" w:lineRule="auto"/>
        <w:ind w:left="360"/>
      </w:pPr>
      <w:r>
        <w:t>Specify</w:t>
      </w:r>
      <w:r>
        <w:rPr>
          <w:spacing w:val="-10"/>
        </w:rPr>
        <w:t xml:space="preserve"> </w:t>
      </w:r>
      <w:r>
        <w:t>sources</w:t>
      </w:r>
      <w:r>
        <w:rPr>
          <w:spacing w:val="-1"/>
        </w:rPr>
        <w:t xml:space="preserve"> </w:t>
      </w:r>
      <w:r>
        <w:t>of</w:t>
      </w:r>
      <w:r>
        <w:rPr>
          <w:spacing w:val="-3"/>
        </w:rPr>
        <w:t xml:space="preserve"> </w:t>
      </w:r>
      <w:r>
        <w:t>finance</w:t>
      </w:r>
      <w:r>
        <w:rPr>
          <w:spacing w:val="-11"/>
        </w:rPr>
        <w:t xml:space="preserve"> </w:t>
      </w:r>
      <w:r>
        <w:t>to</w:t>
      </w:r>
      <w:r>
        <w:rPr>
          <w:spacing w:val="-6"/>
        </w:rPr>
        <w:t xml:space="preserve"> </w:t>
      </w:r>
      <w:r>
        <w:t>meet</w:t>
      </w:r>
      <w:r>
        <w:rPr>
          <w:spacing w:val="-5"/>
        </w:rPr>
        <w:t xml:space="preserve"> </w:t>
      </w:r>
      <w:r>
        <w:t>the</w:t>
      </w:r>
      <w:r>
        <w:rPr>
          <w:spacing w:val="-12"/>
        </w:rPr>
        <w:t xml:space="preserve"> </w:t>
      </w:r>
      <w:r>
        <w:t>cash</w:t>
      </w:r>
      <w:r>
        <w:rPr>
          <w:spacing w:val="-9"/>
        </w:rPr>
        <w:t xml:space="preserve"> </w:t>
      </w:r>
      <w:r>
        <w:t>flow</w:t>
      </w:r>
      <w:r>
        <w:rPr>
          <w:spacing w:val="-11"/>
        </w:rPr>
        <w:t xml:space="preserve"> </w:t>
      </w:r>
      <w:r>
        <w:t>requirements</w:t>
      </w:r>
      <w:r>
        <w:rPr>
          <w:spacing w:val="-4"/>
        </w:rPr>
        <w:t xml:space="preserve"> </w:t>
      </w:r>
      <w:r>
        <w:t>on</w:t>
      </w:r>
      <w:r>
        <w:rPr>
          <w:spacing w:val="-6"/>
        </w:rPr>
        <w:t xml:space="preserve"> </w:t>
      </w:r>
      <w:r>
        <w:t>works</w:t>
      </w:r>
      <w:r>
        <w:rPr>
          <w:spacing w:val="-4"/>
        </w:rPr>
        <w:t xml:space="preserve"> </w:t>
      </w:r>
      <w:r>
        <w:t>currently</w:t>
      </w:r>
      <w:r>
        <w:rPr>
          <w:spacing w:val="-9"/>
        </w:rPr>
        <w:t xml:space="preserve"> </w:t>
      </w:r>
      <w:r>
        <w:t>in</w:t>
      </w:r>
      <w:r>
        <w:rPr>
          <w:spacing w:val="-10"/>
        </w:rPr>
        <w:t xml:space="preserve"> </w:t>
      </w:r>
      <w:r>
        <w:t>progress</w:t>
      </w:r>
      <w:r>
        <w:rPr>
          <w:spacing w:val="-4"/>
        </w:rPr>
        <w:t xml:space="preserve"> </w:t>
      </w:r>
      <w:r>
        <w:t>and</w:t>
      </w:r>
      <w:r>
        <w:rPr>
          <w:spacing w:val="-10"/>
        </w:rPr>
        <w:t xml:space="preserve"> </w:t>
      </w:r>
      <w:r>
        <w:t>for future</w:t>
      </w:r>
      <w:r>
        <w:rPr>
          <w:spacing w:val="-7"/>
        </w:rPr>
        <w:t xml:space="preserve"> </w:t>
      </w:r>
      <w:r>
        <w:t xml:space="preserve">contract </w:t>
      </w:r>
      <w:r>
        <w:rPr>
          <w:spacing w:val="-2"/>
        </w:rPr>
        <w:t>commitments.</w:t>
      </w:r>
    </w:p>
    <w:p w14:paraId="7DCD6C02" w14:textId="77777777" w:rsidR="00BB77C0" w:rsidRDefault="00BB77C0">
      <w:pPr>
        <w:pStyle w:val="BodyText"/>
        <w:spacing w:before="49"/>
        <w:rPr>
          <w:sz w:val="20"/>
        </w:rPr>
      </w:pPr>
    </w:p>
    <w:tbl>
      <w:tblPr>
        <w:tblW w:w="0" w:type="auto"/>
        <w:tblInd w:w="18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38"/>
        <w:gridCol w:w="3861"/>
        <w:gridCol w:w="3870"/>
      </w:tblGrid>
      <w:tr w:rsidR="00BB77C0" w14:paraId="1C63B1F5" w14:textId="77777777">
        <w:trPr>
          <w:trHeight w:val="253"/>
        </w:trPr>
        <w:tc>
          <w:tcPr>
            <w:tcW w:w="538" w:type="dxa"/>
            <w:tcBorders>
              <w:right w:val="single" w:sz="6" w:space="0" w:color="000000"/>
            </w:tcBorders>
          </w:tcPr>
          <w:p w14:paraId="4CB58EC6" w14:textId="77777777" w:rsidR="00BB77C0" w:rsidRDefault="00370BAA">
            <w:pPr>
              <w:pStyle w:val="TableParagraph"/>
              <w:spacing w:line="233" w:lineRule="exact"/>
              <w:ind w:left="88"/>
              <w:rPr>
                <w:b/>
              </w:rPr>
            </w:pPr>
            <w:r>
              <w:rPr>
                <w:b/>
                <w:spacing w:val="-5"/>
              </w:rPr>
              <w:t>No.</w:t>
            </w:r>
          </w:p>
        </w:tc>
        <w:tc>
          <w:tcPr>
            <w:tcW w:w="3861" w:type="dxa"/>
            <w:tcBorders>
              <w:left w:val="single" w:sz="6" w:space="0" w:color="000000"/>
              <w:right w:val="single" w:sz="6" w:space="0" w:color="000000"/>
            </w:tcBorders>
          </w:tcPr>
          <w:p w14:paraId="6C331A1E" w14:textId="77777777" w:rsidR="00BB77C0" w:rsidRDefault="00370BAA">
            <w:pPr>
              <w:pStyle w:val="TableParagraph"/>
              <w:spacing w:line="233" w:lineRule="exact"/>
              <w:ind w:left="95"/>
              <w:rPr>
                <w:b/>
              </w:rPr>
            </w:pPr>
            <w:r>
              <w:rPr>
                <w:b/>
                <w:spacing w:val="-2"/>
              </w:rPr>
              <w:t>Source</w:t>
            </w:r>
            <w:r>
              <w:rPr>
                <w:b/>
                <w:spacing w:val="-8"/>
              </w:rPr>
              <w:t xml:space="preserve"> </w:t>
            </w:r>
            <w:r>
              <w:rPr>
                <w:b/>
                <w:spacing w:val="-2"/>
              </w:rPr>
              <w:t>of</w:t>
            </w:r>
            <w:r>
              <w:rPr>
                <w:b/>
                <w:spacing w:val="-7"/>
              </w:rPr>
              <w:t xml:space="preserve"> </w:t>
            </w:r>
            <w:r>
              <w:rPr>
                <w:b/>
                <w:spacing w:val="-2"/>
              </w:rPr>
              <w:t>finance</w:t>
            </w:r>
          </w:p>
        </w:tc>
        <w:tc>
          <w:tcPr>
            <w:tcW w:w="3870" w:type="dxa"/>
            <w:tcBorders>
              <w:left w:val="single" w:sz="6" w:space="0" w:color="000000"/>
            </w:tcBorders>
          </w:tcPr>
          <w:p w14:paraId="7F7DE914" w14:textId="77777777" w:rsidR="00BB77C0" w:rsidRDefault="00370BAA">
            <w:pPr>
              <w:pStyle w:val="TableParagraph"/>
              <w:spacing w:line="233" w:lineRule="exact"/>
              <w:ind w:left="90"/>
              <w:rPr>
                <w:b/>
              </w:rPr>
            </w:pPr>
            <w:r>
              <w:rPr>
                <w:b/>
                <w:spacing w:val="-4"/>
              </w:rPr>
              <w:t>Amount</w:t>
            </w:r>
            <w:r>
              <w:rPr>
                <w:b/>
                <w:spacing w:val="-9"/>
              </w:rPr>
              <w:t xml:space="preserve"> </w:t>
            </w:r>
            <w:r>
              <w:rPr>
                <w:b/>
                <w:spacing w:val="-4"/>
              </w:rPr>
              <w:t>(Kenya</w:t>
            </w:r>
            <w:r>
              <w:rPr>
                <w:b/>
                <w:spacing w:val="-12"/>
              </w:rPr>
              <w:t xml:space="preserve"> </w:t>
            </w:r>
            <w:r>
              <w:rPr>
                <w:b/>
                <w:spacing w:val="-4"/>
              </w:rPr>
              <w:t>Shilling</w:t>
            </w:r>
            <w:r>
              <w:rPr>
                <w:b/>
                <w:spacing w:val="-9"/>
              </w:rPr>
              <w:t xml:space="preserve"> </w:t>
            </w:r>
            <w:r>
              <w:rPr>
                <w:b/>
                <w:spacing w:val="-4"/>
              </w:rPr>
              <w:t>equivalent)</w:t>
            </w:r>
          </w:p>
        </w:tc>
      </w:tr>
      <w:tr w:rsidR="00BB77C0" w14:paraId="1C3D9B4B" w14:textId="77777777">
        <w:trPr>
          <w:trHeight w:val="507"/>
        </w:trPr>
        <w:tc>
          <w:tcPr>
            <w:tcW w:w="538" w:type="dxa"/>
            <w:tcBorders>
              <w:left w:val="single" w:sz="6" w:space="0" w:color="000000"/>
              <w:bottom w:val="single" w:sz="6" w:space="0" w:color="000000"/>
              <w:right w:val="single" w:sz="6" w:space="0" w:color="000000"/>
            </w:tcBorders>
          </w:tcPr>
          <w:p w14:paraId="37AECA10" w14:textId="77777777" w:rsidR="00BB77C0" w:rsidRDefault="00370BAA">
            <w:pPr>
              <w:pStyle w:val="TableParagraph"/>
              <w:spacing w:before="120"/>
              <w:ind w:left="90"/>
            </w:pPr>
            <w:r>
              <w:rPr>
                <w:spacing w:val="-10"/>
              </w:rPr>
              <w:t>1</w:t>
            </w:r>
          </w:p>
        </w:tc>
        <w:tc>
          <w:tcPr>
            <w:tcW w:w="3861" w:type="dxa"/>
            <w:tcBorders>
              <w:left w:val="single" w:sz="6" w:space="0" w:color="000000"/>
              <w:bottom w:val="single" w:sz="6" w:space="0" w:color="000000"/>
              <w:right w:val="single" w:sz="6" w:space="0" w:color="000000"/>
            </w:tcBorders>
          </w:tcPr>
          <w:p w14:paraId="478A9B48" w14:textId="77777777" w:rsidR="00BB77C0" w:rsidRDefault="00BB77C0">
            <w:pPr>
              <w:pStyle w:val="TableParagraph"/>
            </w:pPr>
          </w:p>
        </w:tc>
        <w:tc>
          <w:tcPr>
            <w:tcW w:w="3870" w:type="dxa"/>
            <w:tcBorders>
              <w:left w:val="single" w:sz="6" w:space="0" w:color="000000"/>
              <w:bottom w:val="single" w:sz="6" w:space="0" w:color="000000"/>
              <w:right w:val="single" w:sz="6" w:space="0" w:color="000000"/>
            </w:tcBorders>
          </w:tcPr>
          <w:p w14:paraId="2B740056" w14:textId="77777777" w:rsidR="00BB77C0" w:rsidRDefault="00BB77C0">
            <w:pPr>
              <w:pStyle w:val="TableParagraph"/>
            </w:pPr>
          </w:p>
        </w:tc>
      </w:tr>
      <w:tr w:rsidR="00BB77C0" w14:paraId="7D93CB6D" w14:textId="77777777">
        <w:trPr>
          <w:trHeight w:val="503"/>
        </w:trPr>
        <w:tc>
          <w:tcPr>
            <w:tcW w:w="538" w:type="dxa"/>
            <w:tcBorders>
              <w:top w:val="single" w:sz="6" w:space="0" w:color="000000"/>
              <w:left w:val="single" w:sz="6" w:space="0" w:color="000000"/>
              <w:bottom w:val="single" w:sz="4" w:space="0" w:color="000000"/>
              <w:right w:val="single" w:sz="6" w:space="0" w:color="000000"/>
            </w:tcBorders>
          </w:tcPr>
          <w:p w14:paraId="027B3AA1" w14:textId="77777777" w:rsidR="00BB77C0" w:rsidRDefault="00370BAA">
            <w:pPr>
              <w:pStyle w:val="TableParagraph"/>
              <w:spacing w:before="121"/>
              <w:ind w:left="90"/>
            </w:pPr>
            <w:r>
              <w:rPr>
                <w:spacing w:val="-10"/>
              </w:rPr>
              <w:t>2</w:t>
            </w:r>
          </w:p>
        </w:tc>
        <w:tc>
          <w:tcPr>
            <w:tcW w:w="3861" w:type="dxa"/>
            <w:tcBorders>
              <w:top w:val="single" w:sz="6" w:space="0" w:color="000000"/>
              <w:left w:val="single" w:sz="6" w:space="0" w:color="000000"/>
              <w:bottom w:val="single" w:sz="4" w:space="0" w:color="000000"/>
              <w:right w:val="single" w:sz="6" w:space="0" w:color="000000"/>
            </w:tcBorders>
          </w:tcPr>
          <w:p w14:paraId="4C84F6AC" w14:textId="77777777" w:rsidR="00BB77C0" w:rsidRDefault="00BB77C0">
            <w:pPr>
              <w:pStyle w:val="TableParagraph"/>
            </w:pPr>
          </w:p>
        </w:tc>
        <w:tc>
          <w:tcPr>
            <w:tcW w:w="3870" w:type="dxa"/>
            <w:tcBorders>
              <w:top w:val="single" w:sz="6" w:space="0" w:color="000000"/>
              <w:left w:val="single" w:sz="6" w:space="0" w:color="000000"/>
              <w:bottom w:val="single" w:sz="4" w:space="0" w:color="000000"/>
              <w:right w:val="single" w:sz="6" w:space="0" w:color="000000"/>
            </w:tcBorders>
          </w:tcPr>
          <w:p w14:paraId="23F80991" w14:textId="77777777" w:rsidR="00BB77C0" w:rsidRDefault="00BB77C0">
            <w:pPr>
              <w:pStyle w:val="TableParagraph"/>
            </w:pPr>
          </w:p>
        </w:tc>
      </w:tr>
      <w:tr w:rsidR="00BB77C0" w14:paraId="737BAA05" w14:textId="77777777">
        <w:trPr>
          <w:trHeight w:val="508"/>
        </w:trPr>
        <w:tc>
          <w:tcPr>
            <w:tcW w:w="538" w:type="dxa"/>
            <w:tcBorders>
              <w:top w:val="single" w:sz="4" w:space="0" w:color="000000"/>
              <w:left w:val="single" w:sz="4" w:space="0" w:color="000000"/>
              <w:bottom w:val="single" w:sz="4" w:space="0" w:color="000000"/>
              <w:right w:val="single" w:sz="4" w:space="0" w:color="000000"/>
            </w:tcBorders>
          </w:tcPr>
          <w:p w14:paraId="29F006F1" w14:textId="77777777" w:rsidR="00BB77C0" w:rsidRDefault="00370BAA">
            <w:pPr>
              <w:pStyle w:val="TableParagraph"/>
              <w:spacing w:before="116"/>
              <w:ind w:left="98"/>
            </w:pPr>
            <w:r>
              <w:rPr>
                <w:spacing w:val="-10"/>
              </w:rPr>
              <w:t>3</w:t>
            </w:r>
          </w:p>
        </w:tc>
        <w:tc>
          <w:tcPr>
            <w:tcW w:w="3861" w:type="dxa"/>
            <w:tcBorders>
              <w:top w:val="single" w:sz="4" w:space="0" w:color="000000"/>
              <w:left w:val="single" w:sz="4" w:space="0" w:color="000000"/>
              <w:bottom w:val="single" w:sz="4" w:space="0" w:color="000000"/>
              <w:right w:val="single" w:sz="4" w:space="0" w:color="000000"/>
            </w:tcBorders>
          </w:tcPr>
          <w:p w14:paraId="78470637" w14:textId="77777777" w:rsidR="00BB77C0" w:rsidRDefault="00BB77C0">
            <w:pPr>
              <w:pStyle w:val="TableParagraph"/>
            </w:pPr>
          </w:p>
        </w:tc>
        <w:tc>
          <w:tcPr>
            <w:tcW w:w="3870" w:type="dxa"/>
            <w:tcBorders>
              <w:top w:val="single" w:sz="4" w:space="0" w:color="000000"/>
              <w:left w:val="single" w:sz="4" w:space="0" w:color="000000"/>
              <w:bottom w:val="single" w:sz="4" w:space="0" w:color="000000"/>
              <w:right w:val="single" w:sz="4" w:space="0" w:color="000000"/>
            </w:tcBorders>
          </w:tcPr>
          <w:p w14:paraId="57C674CC" w14:textId="77777777" w:rsidR="00BB77C0" w:rsidRDefault="00BB77C0">
            <w:pPr>
              <w:pStyle w:val="TableParagraph"/>
            </w:pPr>
          </w:p>
        </w:tc>
      </w:tr>
    </w:tbl>
    <w:p w14:paraId="6A3681F1" w14:textId="77777777" w:rsidR="00BB77C0" w:rsidRDefault="00BB77C0">
      <w:pPr>
        <w:pStyle w:val="BodyText"/>
        <w:spacing w:before="18"/>
      </w:pPr>
    </w:p>
    <w:p w14:paraId="4823EBC4" w14:textId="77777777" w:rsidR="00BB77C0" w:rsidRDefault="00370BAA">
      <w:pPr>
        <w:pStyle w:val="Heading6"/>
        <w:numPr>
          <w:ilvl w:val="2"/>
          <w:numId w:val="55"/>
        </w:numPr>
        <w:tabs>
          <w:tab w:val="left" w:pos="1080"/>
        </w:tabs>
        <w:spacing w:before="1"/>
      </w:pPr>
      <w:bookmarkStart w:id="147" w:name="4.4.3_Financial_documents"/>
      <w:bookmarkEnd w:id="147"/>
      <w:r>
        <w:rPr>
          <w:spacing w:val="-2"/>
        </w:rPr>
        <w:t>Financial</w:t>
      </w:r>
      <w:r>
        <w:rPr>
          <w:spacing w:val="-10"/>
        </w:rPr>
        <w:t xml:space="preserve"> </w:t>
      </w:r>
      <w:r>
        <w:rPr>
          <w:spacing w:val="-2"/>
        </w:rPr>
        <w:t>documents</w:t>
      </w:r>
    </w:p>
    <w:p w14:paraId="2518A9A7" w14:textId="77777777" w:rsidR="00BB77C0" w:rsidRDefault="00370BAA">
      <w:pPr>
        <w:pStyle w:val="BodyText"/>
        <w:tabs>
          <w:tab w:val="left" w:pos="7822"/>
        </w:tabs>
        <w:spacing w:before="252"/>
        <w:ind w:left="360" w:right="277"/>
      </w:pPr>
      <w:r>
        <w:t xml:space="preserve">The Tenderer and its parties shall provide copies of financial statements for </w:t>
      </w:r>
      <w:r>
        <w:rPr>
          <w:u w:val="single"/>
        </w:rPr>
        <w:tab/>
      </w:r>
      <w:r>
        <w:rPr>
          <w:spacing w:val="-6"/>
        </w:rPr>
        <w:t>years</w:t>
      </w:r>
      <w:r>
        <w:rPr>
          <w:spacing w:val="-12"/>
        </w:rPr>
        <w:t xml:space="preserve"> </w:t>
      </w:r>
      <w:r>
        <w:rPr>
          <w:spacing w:val="-6"/>
        </w:rPr>
        <w:t>pursuant</w:t>
      </w:r>
      <w:r>
        <w:rPr>
          <w:spacing w:val="-11"/>
        </w:rPr>
        <w:t xml:space="preserve"> </w:t>
      </w:r>
      <w:r>
        <w:rPr>
          <w:spacing w:val="-6"/>
        </w:rPr>
        <w:t>Section</w:t>
      </w:r>
      <w:r>
        <w:rPr>
          <w:spacing w:val="-12"/>
        </w:rPr>
        <w:t xml:space="preserve"> </w:t>
      </w:r>
      <w:r>
        <w:rPr>
          <w:spacing w:val="-6"/>
        </w:rPr>
        <w:t>III,</w:t>
      </w:r>
      <w:r>
        <w:rPr>
          <w:spacing w:val="-8"/>
        </w:rPr>
        <w:t xml:space="preserve"> </w:t>
      </w:r>
      <w:r>
        <w:rPr>
          <w:spacing w:val="-6"/>
        </w:rPr>
        <w:t>Evaluation</w:t>
      </w:r>
      <w:r>
        <w:rPr>
          <w:spacing w:val="-12"/>
        </w:rPr>
        <w:t xml:space="preserve"> </w:t>
      </w:r>
      <w:r>
        <w:rPr>
          <w:spacing w:val="-6"/>
        </w:rPr>
        <w:t xml:space="preserve">and </w:t>
      </w:r>
      <w:r>
        <w:rPr>
          <w:spacing w:val="-2"/>
        </w:rPr>
        <w:t>Qualifications Criteria, Sub-factor</w:t>
      </w:r>
      <w:r>
        <w:rPr>
          <w:spacing w:val="-5"/>
        </w:rPr>
        <w:t xml:space="preserve"> </w:t>
      </w:r>
      <w:r>
        <w:rPr>
          <w:spacing w:val="-2"/>
        </w:rPr>
        <w:t>3.1.</w:t>
      </w:r>
      <w:r>
        <w:rPr>
          <w:spacing w:val="-11"/>
        </w:rPr>
        <w:t xml:space="preserve"> </w:t>
      </w:r>
      <w:r>
        <w:rPr>
          <w:spacing w:val="-2"/>
        </w:rPr>
        <w:t>The</w:t>
      </w:r>
      <w:r>
        <w:rPr>
          <w:spacing w:val="-15"/>
        </w:rPr>
        <w:t xml:space="preserve"> </w:t>
      </w:r>
      <w:r>
        <w:rPr>
          <w:spacing w:val="-2"/>
        </w:rPr>
        <w:t>financial</w:t>
      </w:r>
      <w:r>
        <w:rPr>
          <w:spacing w:val="-18"/>
        </w:rPr>
        <w:t xml:space="preserve"> </w:t>
      </w:r>
      <w:r>
        <w:rPr>
          <w:spacing w:val="-2"/>
        </w:rPr>
        <w:t>statements</w:t>
      </w:r>
      <w:r>
        <w:rPr>
          <w:spacing w:val="-7"/>
        </w:rPr>
        <w:t xml:space="preserve"> </w:t>
      </w:r>
      <w:r>
        <w:rPr>
          <w:spacing w:val="-2"/>
        </w:rPr>
        <w:t>shall:</w:t>
      </w:r>
    </w:p>
    <w:p w14:paraId="3E313147" w14:textId="77777777" w:rsidR="00BB77C0" w:rsidRDefault="00370BAA">
      <w:pPr>
        <w:pStyle w:val="ListParagraph"/>
        <w:numPr>
          <w:ilvl w:val="0"/>
          <w:numId w:val="54"/>
        </w:numPr>
        <w:tabs>
          <w:tab w:val="left" w:pos="1080"/>
        </w:tabs>
        <w:spacing w:line="237" w:lineRule="auto"/>
        <w:ind w:right="533" w:firstLine="0"/>
        <w:rPr>
          <w:sz w:val="24"/>
        </w:rPr>
      </w:pPr>
      <w:r>
        <w:rPr>
          <w:sz w:val="24"/>
        </w:rPr>
        <w:t>reflect</w:t>
      </w:r>
      <w:r>
        <w:rPr>
          <w:spacing w:val="-15"/>
          <w:sz w:val="24"/>
        </w:rPr>
        <w:t xml:space="preserve"> </w:t>
      </w:r>
      <w:r>
        <w:rPr>
          <w:sz w:val="24"/>
        </w:rPr>
        <w:t>the</w:t>
      </w:r>
      <w:r>
        <w:rPr>
          <w:spacing w:val="-15"/>
          <w:sz w:val="24"/>
        </w:rPr>
        <w:t xml:space="preserve"> </w:t>
      </w:r>
      <w:r>
        <w:rPr>
          <w:sz w:val="24"/>
        </w:rPr>
        <w:t>financial</w:t>
      </w:r>
      <w:r>
        <w:rPr>
          <w:spacing w:val="-15"/>
          <w:sz w:val="24"/>
        </w:rPr>
        <w:t xml:space="preserve"> </w:t>
      </w:r>
      <w:r>
        <w:rPr>
          <w:sz w:val="24"/>
        </w:rPr>
        <w:t>situation</w:t>
      </w:r>
      <w:r>
        <w:rPr>
          <w:spacing w:val="-16"/>
          <w:sz w:val="24"/>
        </w:rPr>
        <w:t xml:space="preserve"> </w:t>
      </w:r>
      <w:r>
        <w:rPr>
          <w:sz w:val="24"/>
        </w:rPr>
        <w:t>of</w:t>
      </w:r>
      <w:r>
        <w:rPr>
          <w:spacing w:val="-20"/>
          <w:sz w:val="24"/>
        </w:rPr>
        <w:t xml:space="preserve"> </w:t>
      </w:r>
      <w:r>
        <w:rPr>
          <w:sz w:val="24"/>
        </w:rPr>
        <w:t>the</w:t>
      </w:r>
      <w:r>
        <w:rPr>
          <w:spacing w:val="-15"/>
          <w:sz w:val="24"/>
        </w:rPr>
        <w:t xml:space="preserve"> </w:t>
      </w:r>
      <w:r>
        <w:rPr>
          <w:sz w:val="24"/>
        </w:rPr>
        <w:t>Tenderer</w:t>
      </w:r>
      <w:r>
        <w:rPr>
          <w:spacing w:val="-15"/>
          <w:sz w:val="24"/>
        </w:rPr>
        <w:t xml:space="preserve"> </w:t>
      </w:r>
      <w:r>
        <w:rPr>
          <w:sz w:val="24"/>
        </w:rPr>
        <w:t>or</w:t>
      </w:r>
      <w:r>
        <w:rPr>
          <w:spacing w:val="-15"/>
          <w:sz w:val="24"/>
        </w:rPr>
        <w:t xml:space="preserve"> </w:t>
      </w:r>
      <w:r>
        <w:rPr>
          <w:sz w:val="24"/>
        </w:rPr>
        <w:t>in</w:t>
      </w:r>
      <w:r>
        <w:rPr>
          <w:spacing w:val="-15"/>
          <w:sz w:val="24"/>
        </w:rPr>
        <w:t xml:space="preserve"> </w:t>
      </w:r>
      <w:r>
        <w:rPr>
          <w:sz w:val="24"/>
        </w:rPr>
        <w:t>case</w:t>
      </w:r>
      <w:r>
        <w:rPr>
          <w:spacing w:val="-15"/>
          <w:sz w:val="24"/>
        </w:rPr>
        <w:t xml:space="preserve"> </w:t>
      </w:r>
      <w:r>
        <w:rPr>
          <w:sz w:val="24"/>
        </w:rPr>
        <w:t>of</w:t>
      </w:r>
      <w:r>
        <w:rPr>
          <w:spacing w:val="-20"/>
          <w:sz w:val="24"/>
        </w:rPr>
        <w:t xml:space="preserve"> </w:t>
      </w:r>
      <w:r>
        <w:rPr>
          <w:sz w:val="24"/>
        </w:rPr>
        <w:t>JV</w:t>
      </w:r>
      <w:r>
        <w:rPr>
          <w:spacing w:val="-11"/>
          <w:sz w:val="24"/>
        </w:rPr>
        <w:t xml:space="preserve"> </w:t>
      </w:r>
      <w:r>
        <w:rPr>
          <w:sz w:val="24"/>
        </w:rPr>
        <w:t>member,</w:t>
      </w:r>
      <w:r>
        <w:rPr>
          <w:spacing w:val="-12"/>
          <w:sz w:val="24"/>
        </w:rPr>
        <w:t xml:space="preserve"> </w:t>
      </w:r>
      <w:r>
        <w:rPr>
          <w:sz w:val="24"/>
        </w:rPr>
        <w:t>and</w:t>
      </w:r>
      <w:r>
        <w:rPr>
          <w:spacing w:val="-11"/>
          <w:sz w:val="24"/>
        </w:rPr>
        <w:t xml:space="preserve"> </w:t>
      </w:r>
      <w:r>
        <w:rPr>
          <w:sz w:val="24"/>
        </w:rPr>
        <w:t>not</w:t>
      </w:r>
      <w:r>
        <w:rPr>
          <w:spacing w:val="-15"/>
          <w:sz w:val="24"/>
        </w:rPr>
        <w:t xml:space="preserve"> </w:t>
      </w:r>
      <w:r>
        <w:rPr>
          <w:sz w:val="24"/>
        </w:rPr>
        <w:t>an</w:t>
      </w:r>
      <w:r>
        <w:rPr>
          <w:spacing w:val="-17"/>
          <w:sz w:val="24"/>
        </w:rPr>
        <w:t xml:space="preserve"> </w:t>
      </w:r>
      <w:r>
        <w:rPr>
          <w:sz w:val="24"/>
        </w:rPr>
        <w:t>affiliated</w:t>
      </w:r>
      <w:r>
        <w:rPr>
          <w:spacing w:val="-15"/>
          <w:sz w:val="24"/>
        </w:rPr>
        <w:t xml:space="preserve"> </w:t>
      </w:r>
      <w:r>
        <w:rPr>
          <w:sz w:val="24"/>
        </w:rPr>
        <w:t>entity</w:t>
      </w:r>
      <w:r>
        <w:rPr>
          <w:spacing w:val="-21"/>
          <w:sz w:val="24"/>
        </w:rPr>
        <w:t xml:space="preserve"> </w:t>
      </w:r>
      <w:r>
        <w:rPr>
          <w:sz w:val="24"/>
        </w:rPr>
        <w:t>(such</w:t>
      </w:r>
      <w:r>
        <w:rPr>
          <w:spacing w:val="-15"/>
          <w:sz w:val="24"/>
        </w:rPr>
        <w:t xml:space="preserve"> </w:t>
      </w:r>
      <w:r>
        <w:rPr>
          <w:sz w:val="24"/>
        </w:rPr>
        <w:t>as parent company or group member).</w:t>
      </w:r>
    </w:p>
    <w:p w14:paraId="003C40D2" w14:textId="77777777" w:rsidR="00BB77C0" w:rsidRDefault="00370BAA">
      <w:pPr>
        <w:pStyle w:val="ListParagraph"/>
        <w:numPr>
          <w:ilvl w:val="0"/>
          <w:numId w:val="54"/>
        </w:numPr>
        <w:tabs>
          <w:tab w:val="left" w:pos="1080"/>
        </w:tabs>
        <w:spacing w:before="4" w:line="275" w:lineRule="exact"/>
        <w:ind w:left="1080"/>
        <w:rPr>
          <w:sz w:val="24"/>
        </w:rPr>
      </w:pPr>
      <w:r>
        <w:rPr>
          <w:spacing w:val="-2"/>
          <w:sz w:val="24"/>
        </w:rPr>
        <w:t>be</w:t>
      </w:r>
      <w:r>
        <w:rPr>
          <w:spacing w:val="-10"/>
          <w:sz w:val="24"/>
        </w:rPr>
        <w:t xml:space="preserve"> </w:t>
      </w:r>
      <w:r>
        <w:rPr>
          <w:spacing w:val="-2"/>
          <w:sz w:val="24"/>
        </w:rPr>
        <w:t>independently</w:t>
      </w:r>
      <w:r>
        <w:rPr>
          <w:spacing w:val="-10"/>
          <w:sz w:val="24"/>
        </w:rPr>
        <w:t xml:space="preserve"> </w:t>
      </w:r>
      <w:r>
        <w:rPr>
          <w:spacing w:val="-2"/>
          <w:sz w:val="24"/>
        </w:rPr>
        <w:t>audited</w:t>
      </w:r>
      <w:r>
        <w:rPr>
          <w:spacing w:val="-6"/>
          <w:sz w:val="24"/>
        </w:rPr>
        <w:t xml:space="preserve"> </w:t>
      </w:r>
      <w:r>
        <w:rPr>
          <w:spacing w:val="-2"/>
          <w:sz w:val="24"/>
        </w:rPr>
        <w:t>or</w:t>
      </w:r>
      <w:r>
        <w:rPr>
          <w:spacing w:val="-5"/>
          <w:sz w:val="24"/>
        </w:rPr>
        <w:t xml:space="preserve"> </w:t>
      </w:r>
      <w:r>
        <w:rPr>
          <w:spacing w:val="-2"/>
          <w:sz w:val="24"/>
        </w:rPr>
        <w:t>certified</w:t>
      </w:r>
      <w:r>
        <w:rPr>
          <w:spacing w:val="-1"/>
          <w:sz w:val="24"/>
        </w:rPr>
        <w:t xml:space="preserve"> </w:t>
      </w:r>
      <w:r>
        <w:rPr>
          <w:spacing w:val="-2"/>
          <w:sz w:val="24"/>
        </w:rPr>
        <w:t>in</w:t>
      </w:r>
      <w:r>
        <w:rPr>
          <w:spacing w:val="-7"/>
          <w:sz w:val="24"/>
        </w:rPr>
        <w:t xml:space="preserve"> </w:t>
      </w:r>
      <w:r>
        <w:rPr>
          <w:spacing w:val="-2"/>
          <w:sz w:val="24"/>
        </w:rPr>
        <w:t>accordance</w:t>
      </w:r>
      <w:r>
        <w:rPr>
          <w:spacing w:val="-7"/>
          <w:sz w:val="24"/>
        </w:rPr>
        <w:t xml:space="preserve"> </w:t>
      </w:r>
      <w:r>
        <w:rPr>
          <w:spacing w:val="-2"/>
          <w:sz w:val="24"/>
        </w:rPr>
        <w:t>with</w:t>
      </w:r>
      <w:r>
        <w:rPr>
          <w:spacing w:val="-6"/>
          <w:sz w:val="24"/>
        </w:rPr>
        <w:t xml:space="preserve"> </w:t>
      </w:r>
      <w:r>
        <w:rPr>
          <w:spacing w:val="-2"/>
          <w:sz w:val="24"/>
        </w:rPr>
        <w:t>local</w:t>
      </w:r>
      <w:r>
        <w:rPr>
          <w:spacing w:val="-5"/>
          <w:sz w:val="24"/>
        </w:rPr>
        <w:t xml:space="preserve"> </w:t>
      </w:r>
      <w:r>
        <w:rPr>
          <w:spacing w:val="-2"/>
          <w:sz w:val="24"/>
        </w:rPr>
        <w:t>legislation.</w:t>
      </w:r>
    </w:p>
    <w:p w14:paraId="228F6B78" w14:textId="77777777" w:rsidR="00BB77C0" w:rsidRDefault="00370BAA">
      <w:pPr>
        <w:pStyle w:val="ListParagraph"/>
        <w:numPr>
          <w:ilvl w:val="0"/>
          <w:numId w:val="54"/>
        </w:numPr>
        <w:tabs>
          <w:tab w:val="left" w:pos="1080"/>
        </w:tabs>
        <w:spacing w:line="275" w:lineRule="exact"/>
        <w:ind w:left="1080"/>
        <w:rPr>
          <w:sz w:val="24"/>
        </w:rPr>
      </w:pPr>
      <w:r>
        <w:rPr>
          <w:spacing w:val="-2"/>
          <w:sz w:val="24"/>
        </w:rPr>
        <w:t>be</w:t>
      </w:r>
      <w:r>
        <w:rPr>
          <w:spacing w:val="-7"/>
          <w:sz w:val="24"/>
        </w:rPr>
        <w:t xml:space="preserve"> </w:t>
      </w:r>
      <w:r>
        <w:rPr>
          <w:spacing w:val="-2"/>
          <w:sz w:val="24"/>
        </w:rPr>
        <w:t>complete,</w:t>
      </w:r>
      <w:r>
        <w:rPr>
          <w:spacing w:val="-1"/>
          <w:sz w:val="24"/>
        </w:rPr>
        <w:t xml:space="preserve"> </w:t>
      </w:r>
      <w:r>
        <w:rPr>
          <w:spacing w:val="-2"/>
          <w:sz w:val="24"/>
        </w:rPr>
        <w:t>including all</w:t>
      </w:r>
      <w:r>
        <w:rPr>
          <w:spacing w:val="-9"/>
          <w:sz w:val="24"/>
        </w:rPr>
        <w:t xml:space="preserve"> </w:t>
      </w:r>
      <w:r>
        <w:rPr>
          <w:spacing w:val="-2"/>
          <w:sz w:val="24"/>
        </w:rPr>
        <w:t>notes</w:t>
      </w:r>
      <w:r>
        <w:rPr>
          <w:spacing w:val="-11"/>
          <w:sz w:val="24"/>
        </w:rPr>
        <w:t xml:space="preserve"> </w:t>
      </w:r>
      <w:r>
        <w:rPr>
          <w:spacing w:val="-2"/>
          <w:sz w:val="24"/>
        </w:rPr>
        <w:t>to</w:t>
      </w:r>
      <w:r>
        <w:rPr>
          <w:spacing w:val="-9"/>
          <w:sz w:val="24"/>
        </w:rPr>
        <w:t xml:space="preserve"> </w:t>
      </w:r>
      <w:r>
        <w:rPr>
          <w:spacing w:val="-2"/>
          <w:sz w:val="24"/>
        </w:rPr>
        <w:t>the</w:t>
      </w:r>
      <w:r>
        <w:rPr>
          <w:spacing w:val="-5"/>
          <w:sz w:val="24"/>
        </w:rPr>
        <w:t xml:space="preserve"> </w:t>
      </w:r>
      <w:r>
        <w:rPr>
          <w:spacing w:val="-2"/>
          <w:sz w:val="24"/>
        </w:rPr>
        <w:t>financial</w:t>
      </w:r>
      <w:r>
        <w:rPr>
          <w:spacing w:val="-13"/>
          <w:sz w:val="24"/>
        </w:rPr>
        <w:t xml:space="preserve"> </w:t>
      </w:r>
      <w:r>
        <w:rPr>
          <w:spacing w:val="-2"/>
          <w:sz w:val="24"/>
        </w:rPr>
        <w:t>statements.</w:t>
      </w:r>
    </w:p>
    <w:p w14:paraId="731A9064" w14:textId="77777777" w:rsidR="00BB77C0" w:rsidRDefault="00370BAA">
      <w:pPr>
        <w:pStyle w:val="ListParagraph"/>
        <w:numPr>
          <w:ilvl w:val="0"/>
          <w:numId w:val="54"/>
        </w:numPr>
        <w:tabs>
          <w:tab w:val="left" w:pos="1080"/>
        </w:tabs>
        <w:spacing w:before="7"/>
        <w:ind w:left="1080"/>
        <w:rPr>
          <w:sz w:val="24"/>
        </w:rPr>
      </w:pPr>
      <w:r>
        <w:rPr>
          <w:spacing w:val="-2"/>
          <w:sz w:val="24"/>
        </w:rPr>
        <w:t>correspond</w:t>
      </w:r>
      <w:r>
        <w:rPr>
          <w:spacing w:val="-14"/>
          <w:sz w:val="24"/>
        </w:rPr>
        <w:t xml:space="preserve"> </w:t>
      </w:r>
      <w:r>
        <w:rPr>
          <w:spacing w:val="-2"/>
          <w:sz w:val="24"/>
        </w:rPr>
        <w:t>to</w:t>
      </w:r>
      <w:r>
        <w:rPr>
          <w:spacing w:val="-8"/>
          <w:sz w:val="24"/>
        </w:rPr>
        <w:t xml:space="preserve"> </w:t>
      </w:r>
      <w:r>
        <w:rPr>
          <w:spacing w:val="-2"/>
          <w:sz w:val="24"/>
        </w:rPr>
        <w:t>accounting periods</w:t>
      </w:r>
      <w:r>
        <w:rPr>
          <w:spacing w:val="-9"/>
          <w:sz w:val="24"/>
        </w:rPr>
        <w:t xml:space="preserve"> </w:t>
      </w:r>
      <w:r>
        <w:rPr>
          <w:spacing w:val="-2"/>
          <w:sz w:val="24"/>
        </w:rPr>
        <w:t>already</w:t>
      </w:r>
      <w:r>
        <w:rPr>
          <w:spacing w:val="-12"/>
          <w:sz w:val="24"/>
        </w:rPr>
        <w:t xml:space="preserve"> </w:t>
      </w:r>
      <w:r>
        <w:rPr>
          <w:spacing w:val="-2"/>
          <w:sz w:val="24"/>
        </w:rPr>
        <w:t>completed</w:t>
      </w:r>
      <w:r>
        <w:rPr>
          <w:spacing w:val="-6"/>
          <w:sz w:val="24"/>
        </w:rPr>
        <w:t xml:space="preserve"> </w:t>
      </w:r>
      <w:r>
        <w:rPr>
          <w:spacing w:val="-2"/>
          <w:sz w:val="24"/>
        </w:rPr>
        <w:t>and</w:t>
      </w:r>
      <w:r>
        <w:rPr>
          <w:spacing w:val="-7"/>
          <w:sz w:val="24"/>
        </w:rPr>
        <w:t xml:space="preserve"> </w:t>
      </w:r>
      <w:r>
        <w:rPr>
          <w:spacing w:val="-2"/>
          <w:sz w:val="24"/>
        </w:rPr>
        <w:t>audited.</w:t>
      </w:r>
    </w:p>
    <w:p w14:paraId="5D224496" w14:textId="77777777" w:rsidR="00BB77C0" w:rsidRDefault="00370BAA">
      <w:pPr>
        <w:pStyle w:val="ListParagraph"/>
        <w:numPr>
          <w:ilvl w:val="0"/>
          <w:numId w:val="53"/>
        </w:numPr>
        <w:tabs>
          <w:tab w:val="left" w:pos="1080"/>
          <w:tab w:val="left" w:pos="6732"/>
        </w:tabs>
        <w:spacing w:before="4" w:line="237" w:lineRule="auto"/>
        <w:ind w:right="908" w:firstLine="0"/>
      </w:pPr>
      <w:r>
        <w:t>Attached are copies of financial statements</w:t>
      </w:r>
      <w:hyperlink w:anchor="_bookmark61" w:history="1">
        <w:r>
          <w:rPr>
            <w:vertAlign w:val="superscript"/>
          </w:rPr>
          <w:t>1</w:t>
        </w:r>
      </w:hyperlink>
      <w:r>
        <w:rPr>
          <w:spacing w:val="40"/>
        </w:rPr>
        <w:t xml:space="preserve"> </w:t>
      </w:r>
      <w:r>
        <w:t xml:space="preserve">for the </w:t>
      </w:r>
      <w:r>
        <w:rPr>
          <w:u w:val="single"/>
        </w:rPr>
        <w:tab/>
      </w:r>
      <w:r>
        <w:rPr>
          <w:spacing w:val="-2"/>
        </w:rPr>
        <w:t>years</w:t>
      </w:r>
      <w:r>
        <w:rPr>
          <w:spacing w:val="-12"/>
        </w:rPr>
        <w:t xml:space="preserve"> </w:t>
      </w:r>
      <w:r>
        <w:rPr>
          <w:spacing w:val="-2"/>
        </w:rPr>
        <w:t>required</w:t>
      </w:r>
      <w:r>
        <w:rPr>
          <w:spacing w:val="-12"/>
        </w:rPr>
        <w:t xml:space="preserve"> </w:t>
      </w:r>
      <w:r>
        <w:rPr>
          <w:spacing w:val="-2"/>
        </w:rPr>
        <w:t>above;</w:t>
      </w:r>
      <w:r>
        <w:rPr>
          <w:spacing w:val="-12"/>
        </w:rPr>
        <w:t xml:space="preserve"> </w:t>
      </w:r>
      <w:r>
        <w:rPr>
          <w:spacing w:val="-2"/>
        </w:rPr>
        <w:t>and</w:t>
      </w:r>
      <w:r>
        <w:rPr>
          <w:spacing w:val="-11"/>
        </w:rPr>
        <w:t xml:space="preserve"> </w:t>
      </w:r>
      <w:r>
        <w:rPr>
          <w:spacing w:val="-2"/>
        </w:rPr>
        <w:t>complying</w:t>
      </w:r>
      <w:r>
        <w:rPr>
          <w:spacing w:val="-12"/>
        </w:rPr>
        <w:t xml:space="preserve"> </w:t>
      </w:r>
      <w:r>
        <w:rPr>
          <w:spacing w:val="-2"/>
        </w:rPr>
        <w:t>with</w:t>
      </w:r>
      <w:r>
        <w:rPr>
          <w:spacing w:val="-12"/>
        </w:rPr>
        <w:t xml:space="preserve"> </w:t>
      </w:r>
      <w:r>
        <w:rPr>
          <w:spacing w:val="-2"/>
        </w:rPr>
        <w:t>the requirements</w:t>
      </w:r>
    </w:p>
    <w:p w14:paraId="06AE1CDE" w14:textId="77777777" w:rsidR="00BB77C0" w:rsidRDefault="00BB77C0">
      <w:pPr>
        <w:pStyle w:val="BodyText"/>
        <w:rPr>
          <w:sz w:val="20"/>
        </w:rPr>
      </w:pPr>
    </w:p>
    <w:p w14:paraId="6096131D" w14:textId="77777777" w:rsidR="00BB77C0" w:rsidRDefault="00BB77C0">
      <w:pPr>
        <w:pStyle w:val="BodyText"/>
        <w:rPr>
          <w:sz w:val="20"/>
        </w:rPr>
      </w:pPr>
    </w:p>
    <w:p w14:paraId="78682EA7" w14:textId="77777777" w:rsidR="00BB77C0" w:rsidRDefault="00BB77C0">
      <w:pPr>
        <w:pStyle w:val="BodyText"/>
        <w:rPr>
          <w:sz w:val="20"/>
        </w:rPr>
      </w:pPr>
    </w:p>
    <w:p w14:paraId="4FD2A4D1" w14:textId="77777777" w:rsidR="00BB77C0" w:rsidRDefault="00BB77C0">
      <w:pPr>
        <w:pStyle w:val="BodyText"/>
        <w:rPr>
          <w:sz w:val="20"/>
        </w:rPr>
      </w:pPr>
    </w:p>
    <w:p w14:paraId="5F09D258" w14:textId="77777777" w:rsidR="00BB77C0" w:rsidRDefault="00BB77C0">
      <w:pPr>
        <w:pStyle w:val="BodyText"/>
        <w:rPr>
          <w:sz w:val="20"/>
        </w:rPr>
      </w:pPr>
    </w:p>
    <w:p w14:paraId="16D773CE" w14:textId="77777777" w:rsidR="00BB77C0" w:rsidRDefault="00BB77C0">
      <w:pPr>
        <w:pStyle w:val="BodyText"/>
        <w:rPr>
          <w:sz w:val="20"/>
        </w:rPr>
      </w:pPr>
    </w:p>
    <w:p w14:paraId="628266A6" w14:textId="77777777" w:rsidR="00BB77C0" w:rsidRDefault="00BB77C0">
      <w:pPr>
        <w:pStyle w:val="BodyText"/>
        <w:rPr>
          <w:sz w:val="20"/>
        </w:rPr>
      </w:pPr>
    </w:p>
    <w:p w14:paraId="3FA8CCB7" w14:textId="77777777" w:rsidR="00BB77C0" w:rsidRDefault="00BB77C0">
      <w:pPr>
        <w:pStyle w:val="BodyText"/>
        <w:rPr>
          <w:sz w:val="20"/>
        </w:rPr>
      </w:pPr>
    </w:p>
    <w:p w14:paraId="49C25D39" w14:textId="77777777" w:rsidR="00BB77C0" w:rsidRDefault="00BB77C0">
      <w:pPr>
        <w:pStyle w:val="BodyText"/>
        <w:rPr>
          <w:sz w:val="20"/>
        </w:rPr>
      </w:pPr>
    </w:p>
    <w:p w14:paraId="407F3E41" w14:textId="77777777" w:rsidR="00BB77C0" w:rsidRDefault="00BB77C0">
      <w:pPr>
        <w:pStyle w:val="BodyText"/>
        <w:rPr>
          <w:sz w:val="20"/>
        </w:rPr>
      </w:pPr>
    </w:p>
    <w:p w14:paraId="6C8428B0" w14:textId="77777777" w:rsidR="00BB77C0" w:rsidRDefault="00BB77C0">
      <w:pPr>
        <w:pStyle w:val="BodyText"/>
        <w:rPr>
          <w:sz w:val="20"/>
        </w:rPr>
      </w:pPr>
    </w:p>
    <w:p w14:paraId="2519E96A" w14:textId="77777777" w:rsidR="00BB77C0" w:rsidRDefault="00BB77C0">
      <w:pPr>
        <w:pStyle w:val="BodyText"/>
        <w:rPr>
          <w:sz w:val="20"/>
        </w:rPr>
      </w:pPr>
    </w:p>
    <w:p w14:paraId="6E1C5C8D" w14:textId="77777777" w:rsidR="00BB77C0" w:rsidRDefault="00BB77C0">
      <w:pPr>
        <w:pStyle w:val="BodyText"/>
        <w:rPr>
          <w:sz w:val="20"/>
        </w:rPr>
      </w:pPr>
    </w:p>
    <w:p w14:paraId="51176D48" w14:textId="77777777" w:rsidR="00BB77C0" w:rsidRDefault="00BB77C0">
      <w:pPr>
        <w:pStyle w:val="BodyText"/>
        <w:rPr>
          <w:sz w:val="20"/>
        </w:rPr>
      </w:pPr>
    </w:p>
    <w:p w14:paraId="0AC837E7" w14:textId="77777777" w:rsidR="00BB77C0" w:rsidRDefault="00BB77C0">
      <w:pPr>
        <w:pStyle w:val="BodyText"/>
        <w:rPr>
          <w:sz w:val="20"/>
        </w:rPr>
      </w:pPr>
    </w:p>
    <w:p w14:paraId="3E155D1A" w14:textId="77777777" w:rsidR="00BB77C0" w:rsidRDefault="00BB77C0">
      <w:pPr>
        <w:pStyle w:val="BodyText"/>
        <w:rPr>
          <w:sz w:val="20"/>
        </w:rPr>
      </w:pPr>
    </w:p>
    <w:p w14:paraId="54A19386" w14:textId="77777777" w:rsidR="00BB77C0" w:rsidRDefault="00370BAA">
      <w:pPr>
        <w:pStyle w:val="BodyText"/>
        <w:spacing w:before="205"/>
        <w:rPr>
          <w:sz w:val="20"/>
        </w:rPr>
      </w:pPr>
      <w:r>
        <w:rPr>
          <w:noProof/>
          <w:sz w:val="20"/>
        </w:rPr>
        <mc:AlternateContent>
          <mc:Choice Requires="wps">
            <w:drawing>
              <wp:anchor distT="0" distB="0" distL="0" distR="0" simplePos="0" relativeHeight="487603712" behindDoc="1" locked="0" layoutInCell="1" allowOverlap="1" wp14:anchorId="604FEDE9" wp14:editId="7566ECFE">
                <wp:simplePos x="0" y="0"/>
                <wp:positionH relativeFrom="page">
                  <wp:posOffset>457200</wp:posOffset>
                </wp:positionH>
                <wp:positionV relativeFrom="paragraph">
                  <wp:posOffset>291666</wp:posOffset>
                </wp:positionV>
                <wp:extent cx="1828800" cy="7620"/>
                <wp:effectExtent l="0" t="0" r="0" b="0"/>
                <wp:wrapTopAndBottom/>
                <wp:docPr id="135" name="Graphic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3FED83E" id="Graphic 135" o:spid="_x0000_s1026" style="position:absolute;margin-left:36pt;margin-top:22.95pt;width:2in;height:.6pt;z-index:-15712768;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" path="m1828800,l,,,7619r1828800,l1828800,xe" fillcolor="black" stroked="f">
                <v:path arrowok="t"/>
                <w10:wrap type="topAndBottom" anchorx="page"/>
              </v:shape>
            </w:pict>
          </mc:Fallback>
        </mc:AlternateContent>
      </w:r>
    </w:p>
    <w:p w14:paraId="55A556CB" w14:textId="77777777" w:rsidR="00BB77C0" w:rsidRDefault="00370BAA">
      <w:pPr>
        <w:spacing w:before="89"/>
        <w:ind w:left="360"/>
        <w:rPr>
          <w:sz w:val="20"/>
        </w:rPr>
      </w:pPr>
      <w:bookmarkStart w:id="148" w:name="_bookmark61"/>
      <w:bookmarkEnd w:id="148"/>
      <w:r>
        <w:rPr>
          <w:sz w:val="20"/>
          <w:vertAlign w:val="superscript"/>
        </w:rPr>
        <w:t>1</w:t>
      </w:r>
      <w:r>
        <w:rPr>
          <w:spacing w:val="-9"/>
          <w:sz w:val="20"/>
        </w:rPr>
        <w:t xml:space="preserve"> </w:t>
      </w:r>
      <w:r>
        <w:rPr>
          <w:sz w:val="20"/>
        </w:rPr>
        <w:t>If</w:t>
      </w:r>
      <w:r>
        <w:rPr>
          <w:spacing w:val="-12"/>
          <w:sz w:val="20"/>
        </w:rPr>
        <w:t xml:space="preserve"> </w:t>
      </w:r>
      <w:r>
        <w:rPr>
          <w:sz w:val="20"/>
        </w:rPr>
        <w:t>the</w:t>
      </w:r>
      <w:r>
        <w:rPr>
          <w:spacing w:val="-12"/>
          <w:sz w:val="20"/>
        </w:rPr>
        <w:t xml:space="preserve"> </w:t>
      </w:r>
      <w:r>
        <w:rPr>
          <w:sz w:val="20"/>
        </w:rPr>
        <w:t>most</w:t>
      </w:r>
      <w:r>
        <w:rPr>
          <w:spacing w:val="-11"/>
          <w:sz w:val="20"/>
        </w:rPr>
        <w:t xml:space="preserve"> </w:t>
      </w:r>
      <w:r>
        <w:rPr>
          <w:sz w:val="20"/>
        </w:rPr>
        <w:t>recent</w:t>
      </w:r>
      <w:r>
        <w:rPr>
          <w:spacing w:val="-5"/>
          <w:sz w:val="20"/>
        </w:rPr>
        <w:t xml:space="preserve"> </w:t>
      </w:r>
      <w:r>
        <w:rPr>
          <w:sz w:val="20"/>
        </w:rPr>
        <w:t>set</w:t>
      </w:r>
      <w:r>
        <w:rPr>
          <w:spacing w:val="-6"/>
          <w:sz w:val="20"/>
        </w:rPr>
        <w:t xml:space="preserve"> </w:t>
      </w:r>
      <w:r>
        <w:rPr>
          <w:sz w:val="20"/>
        </w:rPr>
        <w:t>of</w:t>
      </w:r>
      <w:r>
        <w:rPr>
          <w:spacing w:val="-11"/>
          <w:sz w:val="20"/>
        </w:rPr>
        <w:t xml:space="preserve"> </w:t>
      </w:r>
      <w:r>
        <w:rPr>
          <w:sz w:val="20"/>
        </w:rPr>
        <w:t>financial</w:t>
      </w:r>
      <w:r>
        <w:rPr>
          <w:spacing w:val="-10"/>
          <w:sz w:val="20"/>
        </w:rPr>
        <w:t xml:space="preserve"> </w:t>
      </w:r>
      <w:r>
        <w:rPr>
          <w:sz w:val="20"/>
        </w:rPr>
        <w:t>statements</w:t>
      </w:r>
      <w:r>
        <w:rPr>
          <w:spacing w:val="-12"/>
          <w:sz w:val="20"/>
        </w:rPr>
        <w:t xml:space="preserve"> </w:t>
      </w:r>
      <w:r>
        <w:rPr>
          <w:sz w:val="20"/>
        </w:rPr>
        <w:t>is</w:t>
      </w:r>
      <w:r>
        <w:rPr>
          <w:spacing w:val="-8"/>
          <w:sz w:val="20"/>
        </w:rPr>
        <w:t xml:space="preserve"> </w:t>
      </w:r>
      <w:r>
        <w:rPr>
          <w:sz w:val="20"/>
        </w:rPr>
        <w:t>for</w:t>
      </w:r>
      <w:r>
        <w:rPr>
          <w:spacing w:val="-4"/>
          <w:sz w:val="20"/>
        </w:rPr>
        <w:t xml:space="preserve"> </w:t>
      </w:r>
      <w:r>
        <w:rPr>
          <w:sz w:val="20"/>
        </w:rPr>
        <w:t>a</w:t>
      </w:r>
      <w:r>
        <w:rPr>
          <w:spacing w:val="-10"/>
          <w:sz w:val="20"/>
        </w:rPr>
        <w:t xml:space="preserve"> </w:t>
      </w:r>
      <w:r>
        <w:rPr>
          <w:sz w:val="20"/>
        </w:rPr>
        <w:t>period</w:t>
      </w:r>
      <w:r>
        <w:rPr>
          <w:spacing w:val="-7"/>
          <w:sz w:val="20"/>
        </w:rPr>
        <w:t xml:space="preserve"> </w:t>
      </w:r>
      <w:r>
        <w:rPr>
          <w:sz w:val="20"/>
        </w:rPr>
        <w:t>earlier</w:t>
      </w:r>
      <w:r>
        <w:rPr>
          <w:spacing w:val="-7"/>
          <w:sz w:val="20"/>
        </w:rPr>
        <w:t xml:space="preserve"> </w:t>
      </w:r>
      <w:r>
        <w:rPr>
          <w:sz w:val="20"/>
        </w:rPr>
        <w:t>than</w:t>
      </w:r>
      <w:r>
        <w:rPr>
          <w:spacing w:val="-7"/>
          <w:sz w:val="20"/>
        </w:rPr>
        <w:t xml:space="preserve"> </w:t>
      </w:r>
      <w:r>
        <w:rPr>
          <w:sz w:val="20"/>
        </w:rPr>
        <w:t>12</w:t>
      </w:r>
      <w:r>
        <w:rPr>
          <w:spacing w:val="-11"/>
          <w:sz w:val="20"/>
        </w:rPr>
        <w:t xml:space="preserve"> </w:t>
      </w:r>
      <w:r>
        <w:rPr>
          <w:sz w:val="20"/>
        </w:rPr>
        <w:t>months</w:t>
      </w:r>
      <w:r>
        <w:rPr>
          <w:spacing w:val="-9"/>
          <w:sz w:val="20"/>
        </w:rPr>
        <w:t xml:space="preserve"> </w:t>
      </w:r>
      <w:r>
        <w:rPr>
          <w:sz w:val="20"/>
        </w:rPr>
        <w:t>from</w:t>
      </w:r>
      <w:r>
        <w:rPr>
          <w:spacing w:val="-5"/>
          <w:sz w:val="20"/>
        </w:rPr>
        <w:t xml:space="preserve"> </w:t>
      </w:r>
      <w:r>
        <w:rPr>
          <w:sz w:val="20"/>
        </w:rPr>
        <w:t>the</w:t>
      </w:r>
      <w:r>
        <w:rPr>
          <w:spacing w:val="-9"/>
          <w:sz w:val="20"/>
        </w:rPr>
        <w:t xml:space="preserve"> </w:t>
      </w:r>
      <w:r>
        <w:rPr>
          <w:sz w:val="20"/>
        </w:rPr>
        <w:t>date</w:t>
      </w:r>
      <w:r>
        <w:rPr>
          <w:spacing w:val="-10"/>
          <w:sz w:val="20"/>
        </w:rPr>
        <w:t xml:space="preserve"> </w:t>
      </w:r>
      <w:r>
        <w:rPr>
          <w:sz w:val="20"/>
        </w:rPr>
        <w:t>of</w:t>
      </w:r>
      <w:r>
        <w:rPr>
          <w:spacing w:val="-11"/>
          <w:sz w:val="20"/>
        </w:rPr>
        <w:t xml:space="preserve"> </w:t>
      </w:r>
      <w:r>
        <w:rPr>
          <w:sz w:val="20"/>
        </w:rPr>
        <w:t>Tender,</w:t>
      </w:r>
      <w:r>
        <w:rPr>
          <w:spacing w:val="-13"/>
          <w:sz w:val="20"/>
        </w:rPr>
        <w:t xml:space="preserve"> </w:t>
      </w:r>
      <w:r>
        <w:rPr>
          <w:sz w:val="20"/>
        </w:rPr>
        <w:t>the</w:t>
      </w:r>
      <w:r>
        <w:rPr>
          <w:spacing w:val="-12"/>
          <w:sz w:val="20"/>
        </w:rPr>
        <w:t xml:space="preserve"> </w:t>
      </w:r>
      <w:r>
        <w:rPr>
          <w:sz w:val="20"/>
        </w:rPr>
        <w:t>reason</w:t>
      </w:r>
      <w:r>
        <w:rPr>
          <w:spacing w:val="-6"/>
          <w:sz w:val="20"/>
        </w:rPr>
        <w:t xml:space="preserve"> </w:t>
      </w:r>
      <w:r>
        <w:rPr>
          <w:sz w:val="20"/>
        </w:rPr>
        <w:t>for</w:t>
      </w:r>
      <w:r>
        <w:rPr>
          <w:spacing w:val="-4"/>
          <w:sz w:val="20"/>
        </w:rPr>
        <w:t xml:space="preserve"> </w:t>
      </w:r>
      <w:r>
        <w:rPr>
          <w:sz w:val="20"/>
        </w:rPr>
        <w:t>this</w:t>
      </w:r>
      <w:r>
        <w:rPr>
          <w:spacing w:val="-8"/>
          <w:sz w:val="20"/>
        </w:rPr>
        <w:t xml:space="preserve"> </w:t>
      </w:r>
      <w:r>
        <w:rPr>
          <w:sz w:val="20"/>
        </w:rPr>
        <w:t>should</w:t>
      </w:r>
      <w:r>
        <w:rPr>
          <w:spacing w:val="-7"/>
          <w:sz w:val="20"/>
        </w:rPr>
        <w:t xml:space="preserve"> </w:t>
      </w:r>
      <w:r>
        <w:rPr>
          <w:spacing w:val="-5"/>
          <w:sz w:val="20"/>
        </w:rPr>
        <w:t>be</w:t>
      </w:r>
    </w:p>
    <w:p w14:paraId="42FF7ECA" w14:textId="77777777" w:rsidR="00BB77C0" w:rsidRDefault="00BB77C0">
      <w:pPr>
        <w:rPr>
          <w:sz w:val="20"/>
        </w:rPr>
        <w:sectPr w:rsidR="00BB77C0">
          <w:pgSz w:w="11920" w:h="16850"/>
          <w:pgMar w:top="0" w:right="0" w:bottom="0" w:left="360" w:header="720" w:footer="720" w:gutter="0"/>
          <w:cols w:space="720"/>
        </w:sectPr>
      </w:pPr>
    </w:p>
    <w:p w14:paraId="5EAFEB70" w14:textId="77777777" w:rsidR="00BB77C0" w:rsidRDefault="00370BAA">
      <w:pPr>
        <w:pStyle w:val="BodyText"/>
        <w:rPr>
          <w:sz w:val="24"/>
        </w:rPr>
      </w:pPr>
      <w:r>
        <w:rPr>
          <w:noProof/>
          <w:sz w:val="24"/>
        </w:rPr>
        <w:lastRenderedPageBreak/>
        <mc:AlternateContent>
          <mc:Choice Requires="wpg">
            <w:drawing>
              <wp:anchor distT="0" distB="0" distL="0" distR="0" simplePos="0" relativeHeight="15746048" behindDoc="0" locked="0" layoutInCell="1" allowOverlap="1" wp14:anchorId="089EB4F4" wp14:editId="4B909EAD">
                <wp:simplePos x="0" y="0"/>
                <wp:positionH relativeFrom="page">
                  <wp:posOffset>0</wp:posOffset>
                </wp:positionH>
                <wp:positionV relativeFrom="page">
                  <wp:posOffset>10234295</wp:posOffset>
                </wp:positionV>
                <wp:extent cx="7561580" cy="459105"/>
                <wp:effectExtent l="0" t="0" r="0" b="0"/>
                <wp:wrapNone/>
                <wp:docPr id="136"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1580" cy="459105"/>
                          <a:chOff x="0" y="0"/>
                          <a:chExt cx="7561580" cy="459105"/>
                        </a:xfrm>
                      </wpg:grpSpPr>
                      <wps:wsp>
                        <wps:cNvPr id="137" name="Graphic 137"/>
                        <wps:cNvSpPr/>
                        <wps:spPr>
                          <a:xfrm>
                            <a:off x="6449059" y="5714"/>
                            <a:ext cx="1110615" cy="451484"/>
                          </a:xfrm>
                          <a:custGeom>
                            <a:avLst/>
                            <a:gdLst/>
                            <a:ahLst/>
                            <a:cxnLst/>
                            <a:rect l="l" t="t" r="r" b="b"/>
                            <a:pathLst>
                              <a:path w="1110615" h="451484">
                                <a:moveTo>
                                  <a:pt x="1110614" y="0"/>
                                </a:moveTo>
                                <a:lnTo>
                                  <a:pt x="0" y="0"/>
                                </a:lnTo>
                                <a:lnTo>
                                  <a:pt x="260349" y="451483"/>
                                </a:lnTo>
                                <a:lnTo>
                                  <a:pt x="1110614" y="451483"/>
                                </a:lnTo>
                                <a:lnTo>
                                  <a:pt x="1110614" y="0"/>
                                </a:lnTo>
                                <a:close/>
                              </a:path>
                            </a:pathLst>
                          </a:custGeom>
                          <a:solidFill>
                            <a:srgbClr val="FAD2C1"/>
                          </a:solidFill>
                        </wps:spPr>
                        <wps:bodyPr wrap="square" lIns="0" tIns="0" rIns="0" bIns="0" rtlCol="0">
                          <a:prstTxWarp prst="textNoShape">
                            <a:avLst/>
                          </a:prstTxWarp>
                          <a:noAutofit/>
                        </wps:bodyPr>
                      </wps:wsp>
                      <wps:wsp>
                        <wps:cNvPr id="138" name="Graphic 138"/>
                        <wps:cNvSpPr/>
                        <wps:spPr>
                          <a:xfrm>
                            <a:off x="6449059" y="5714"/>
                            <a:ext cx="1110615" cy="451484"/>
                          </a:xfrm>
                          <a:custGeom>
                            <a:avLst/>
                            <a:gdLst/>
                            <a:ahLst/>
                            <a:cxnLst/>
                            <a:rect l="l" t="t" r="r" b="b"/>
                            <a:pathLst>
                              <a:path w="1110615" h="451484">
                                <a:moveTo>
                                  <a:pt x="0" y="0"/>
                                </a:moveTo>
                                <a:lnTo>
                                  <a:pt x="1110614" y="0"/>
                                </a:lnTo>
                                <a:lnTo>
                                  <a:pt x="1110614" y="451483"/>
                                </a:lnTo>
                                <a:lnTo>
                                  <a:pt x="260349" y="451483"/>
                                </a:lnTo>
                                <a:lnTo>
                                  <a:pt x="0" y="0"/>
                                </a:lnTo>
                              </a:path>
                            </a:pathLst>
                          </a:custGeom>
                          <a:ln w="3051">
                            <a:solidFill>
                              <a:srgbClr val="FAD2C1"/>
                            </a:solidFill>
                            <a:prstDash val="solid"/>
                          </a:ln>
                        </wps:spPr>
                        <wps:bodyPr wrap="square" lIns="0" tIns="0" rIns="0" bIns="0" rtlCol="0">
                          <a:prstTxWarp prst="textNoShape">
                            <a:avLst/>
                          </a:prstTxWarp>
                          <a:noAutofit/>
                        </wps:bodyPr>
                      </wps:wsp>
                      <wps:wsp>
                        <wps:cNvPr id="139" name="Graphic 139"/>
                        <wps:cNvSpPr/>
                        <wps:spPr>
                          <a:xfrm>
                            <a:off x="0" y="6350"/>
                            <a:ext cx="7560309" cy="1270"/>
                          </a:xfrm>
                          <a:custGeom>
                            <a:avLst/>
                            <a:gdLst/>
                            <a:ahLst/>
                            <a:cxnLst/>
                            <a:rect l="l" t="t" r="r" b="b"/>
                            <a:pathLst>
                              <a:path w="7560309">
                                <a:moveTo>
                                  <a:pt x="0" y="0"/>
                                </a:moveTo>
                                <a:lnTo>
                                  <a:pt x="7560309" y="0"/>
                                </a:lnTo>
                              </a:path>
                            </a:pathLst>
                          </a:custGeom>
                          <a:ln w="12700">
                            <a:solidFill>
                              <a:srgbClr val="FAD2C1"/>
                            </a:solidFill>
                            <a:prstDash val="solid"/>
                          </a:ln>
                        </wps:spPr>
                        <wps:bodyPr wrap="square" lIns="0" tIns="0" rIns="0" bIns="0" rtlCol="0">
                          <a:prstTxWarp prst="textNoShape">
                            <a:avLst/>
                          </a:prstTxWarp>
                          <a:noAutofit/>
                        </wps:bodyPr>
                      </wps:wsp>
                      <wps:wsp>
                        <wps:cNvPr id="140" name="Textbox 140"/>
                        <wps:cNvSpPr txBox="1"/>
                        <wps:spPr>
                          <a:xfrm>
                            <a:off x="6882130" y="37491"/>
                            <a:ext cx="147320" cy="155575"/>
                          </a:xfrm>
                          <a:prstGeom prst="rect">
                            <a:avLst/>
                          </a:prstGeom>
                        </wps:spPr>
                        <wps:txbx>
                          <w:txbxContent>
                            <w:p w14:paraId="1F0290A0" w14:textId="77777777" w:rsidR="00BB77C0" w:rsidRDefault="00370BAA">
                              <w:pPr>
                                <w:spacing w:line="244" w:lineRule="exact"/>
                              </w:pPr>
                              <w:r>
                                <w:rPr>
                                  <w:spacing w:val="-5"/>
                                </w:rPr>
                                <w:t>61</w:t>
                              </w:r>
                            </w:p>
                          </w:txbxContent>
                        </wps:txbx>
                        <wps:bodyPr wrap="square" lIns="0" tIns="0" rIns="0" bIns="0" rtlCol="0">
                          <a:noAutofit/>
                        </wps:bodyPr>
                      </wps:wsp>
                    </wpg:wgp>
                  </a:graphicData>
                </a:graphic>
              </wp:anchor>
            </w:drawing>
          </mc:Choice>
          <mc:Fallback>
            <w:pict>
              <v:group w14:anchorId="089EB4F4" id="Group 136" o:spid="_x0000_s1081" style="position:absolute;margin-left:0;margin-top:805.85pt;width:595.4pt;height:36.15pt;z-index:15746048;mso-wrap-distance-left:0;mso-wrap-distance-right:0;mso-position-horizontal-relative:page;mso-position-vertical-relative:page" coordsize="75615,4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">
                <v:shape id="Graphic 137" o:spid="_x0000_s1082" style="position:absolute;left:64490;top:57;width:11106;height:4514;visibility:visible;mso-wrap-style:square;v-text-anchor:top" coordsize="1110615,4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" path="m1110614,l,,260349,451483r850265,l1110614,xe" fillcolor="#fad2c1" stroked="f">
                  <v:path arrowok="t"/>
                </v:shape>
                <v:shape id="Graphic 138" o:spid="_x0000_s1083" style="position:absolute;left:64490;top:57;width:11106;height:4514;visibility:visible;mso-wrap-style:square;v-text-anchor:top" coordsize="1110615,4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" path="m,l1110614,r,451483l260349,451483,,e" filled="f" strokecolor="#fad2c1" strokeweight=".08475mm">
                  <v:path arrowok="t"/>
                </v:shape>
                <v:shape id="Graphic 139" o:spid="_x0000_s1084" style="position:absolute;top:63;width:75603;height:13;visibility:visible;mso-wrap-style:square;v-text-anchor:top" coordsize="756030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" path="m,l7560309,e" filled="f" strokecolor="#fad2c1" strokeweight="1pt">
                  <v:path arrowok="t"/>
                </v:shape>
                <v:shape id="Textbox 140" o:spid="_x0000_s1085" type="#_x0000_t202" style="position:absolute;left:68821;top:374;width:1473;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OgvxQAAANwAAAAPAAAAZHJzL2Rvd25yZXYueG1sRI9Ba8JA&#10;EIXvhf6HZQRvdWMR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D3tOgvxQAAANwAAAAP&#10;AAAAAAAAAAAAAAAAAAcCAABkcnMvZG93bnJldi54bWxQSwUGAAAAAAMAAwC3AAAA+QIAAAAA&#10;" filled="f" stroked="f">
                  <v:textbox inset="0,0,0,0">
                    <w:txbxContent>
                      <w:p w14:paraId="1F0290A0" w14:textId="77777777" w:rsidR="00BB77C0" w:rsidRDefault="00370BAA">
                        <w:pPr>
                          <w:spacing w:line="244" w:lineRule="exact"/>
                        </w:pPr>
                        <w:r>
                          <w:rPr>
                            <w:spacing w:val="-5"/>
                          </w:rPr>
                          <w:t>61</w:t>
                        </w:r>
                      </w:p>
                    </w:txbxContent>
                  </v:textbox>
                </v:shape>
                <w10:wrap anchorx="page" anchory="page"/>
              </v:group>
            </w:pict>
          </mc:Fallback>
        </mc:AlternateContent>
      </w:r>
      <w:r>
        <w:rPr>
          <w:noProof/>
          <w:sz w:val="24"/>
        </w:rPr>
        <mc:AlternateContent>
          <mc:Choice Requires="wpg">
            <w:drawing>
              <wp:anchor distT="0" distB="0" distL="0" distR="0" simplePos="0" relativeHeight="15746560" behindDoc="0" locked="0" layoutInCell="1" allowOverlap="1" wp14:anchorId="062428DF" wp14:editId="34409435">
                <wp:simplePos x="0" y="0"/>
                <wp:positionH relativeFrom="page">
                  <wp:posOffset>0</wp:posOffset>
                </wp:positionH>
                <wp:positionV relativeFrom="page">
                  <wp:posOffset>0</wp:posOffset>
                </wp:positionV>
                <wp:extent cx="7559675" cy="228600"/>
                <wp:effectExtent l="0" t="0" r="0" b="0"/>
                <wp:wrapNone/>
                <wp:docPr id="141"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675" cy="228600"/>
                          <a:chOff x="0" y="0"/>
                          <a:chExt cx="7559675" cy="228600"/>
                        </a:xfrm>
                      </wpg:grpSpPr>
                      <wps:wsp>
                        <wps:cNvPr id="142" name="Graphic 142"/>
                        <wps:cNvSpPr/>
                        <wps:spPr>
                          <a:xfrm>
                            <a:off x="848283" y="0"/>
                            <a:ext cx="6711950" cy="228600"/>
                          </a:xfrm>
                          <a:custGeom>
                            <a:avLst/>
                            <a:gdLst/>
                            <a:ahLst/>
                            <a:cxnLst/>
                            <a:rect l="l" t="t" r="r" b="b"/>
                            <a:pathLst>
                              <a:path w="6711950" h="228600">
                                <a:moveTo>
                                  <a:pt x="6711391" y="0"/>
                                </a:moveTo>
                                <a:lnTo>
                                  <a:pt x="0" y="0"/>
                                </a:lnTo>
                                <a:lnTo>
                                  <a:pt x="184137" y="228600"/>
                                </a:lnTo>
                                <a:lnTo>
                                  <a:pt x="6711391" y="223520"/>
                                </a:lnTo>
                                <a:lnTo>
                                  <a:pt x="6711391" y="0"/>
                                </a:lnTo>
                                <a:close/>
                              </a:path>
                            </a:pathLst>
                          </a:custGeom>
                          <a:solidFill>
                            <a:srgbClr val="E6E7E8"/>
                          </a:solidFill>
                        </wps:spPr>
                        <wps:bodyPr wrap="square" lIns="0" tIns="0" rIns="0" bIns="0" rtlCol="0">
                          <a:prstTxWarp prst="textNoShape">
                            <a:avLst/>
                          </a:prstTxWarp>
                          <a:noAutofit/>
                        </wps:bodyPr>
                      </wps:wsp>
                      <wps:wsp>
                        <wps:cNvPr id="143" name="Graphic 143"/>
                        <wps:cNvSpPr/>
                        <wps:spPr>
                          <a:xfrm>
                            <a:off x="0" y="0"/>
                            <a:ext cx="655955" cy="228600"/>
                          </a:xfrm>
                          <a:custGeom>
                            <a:avLst/>
                            <a:gdLst/>
                            <a:ahLst/>
                            <a:cxnLst/>
                            <a:rect l="l" t="t" r="r" b="b"/>
                            <a:pathLst>
                              <a:path w="655955" h="228600">
                                <a:moveTo>
                                  <a:pt x="530174" y="0"/>
                                </a:moveTo>
                                <a:lnTo>
                                  <a:pt x="0" y="0"/>
                                </a:lnTo>
                                <a:lnTo>
                                  <a:pt x="0" y="228600"/>
                                </a:lnTo>
                                <a:lnTo>
                                  <a:pt x="655904" y="228600"/>
                                </a:lnTo>
                                <a:lnTo>
                                  <a:pt x="530174" y="0"/>
                                </a:lnTo>
                                <a:close/>
                              </a:path>
                            </a:pathLst>
                          </a:custGeom>
                          <a:solidFill>
                            <a:srgbClr val="00A650"/>
                          </a:solidFill>
                        </wps:spPr>
                        <wps:bodyPr wrap="square" lIns="0" tIns="0" rIns="0" bIns="0" rtlCol="0">
                          <a:prstTxWarp prst="textNoShape">
                            <a:avLst/>
                          </a:prstTxWarp>
                          <a:noAutofit/>
                        </wps:bodyPr>
                      </wps:wsp>
                      <wps:wsp>
                        <wps:cNvPr id="144" name="Graphic 144"/>
                        <wps:cNvSpPr/>
                        <wps:spPr>
                          <a:xfrm>
                            <a:off x="554304" y="0"/>
                            <a:ext cx="329565" cy="228600"/>
                          </a:xfrm>
                          <a:custGeom>
                            <a:avLst/>
                            <a:gdLst/>
                            <a:ahLst/>
                            <a:cxnLst/>
                            <a:rect l="l" t="t" r="r" b="b"/>
                            <a:pathLst>
                              <a:path w="329565" h="228600">
                                <a:moveTo>
                                  <a:pt x="203822" y="0"/>
                                </a:moveTo>
                                <a:lnTo>
                                  <a:pt x="0" y="0"/>
                                </a:lnTo>
                                <a:lnTo>
                                  <a:pt x="128904" y="228600"/>
                                </a:lnTo>
                                <a:lnTo>
                                  <a:pt x="329539" y="228600"/>
                                </a:lnTo>
                                <a:lnTo>
                                  <a:pt x="203822" y="0"/>
                                </a:lnTo>
                                <a:close/>
                              </a:path>
                            </a:pathLst>
                          </a:custGeom>
                          <a:solidFill>
                            <a:srgbClr val="EB1C22"/>
                          </a:solidFill>
                        </wps:spPr>
                        <wps:bodyPr wrap="square" lIns="0" tIns="0" rIns="0" bIns="0" rtlCol="0">
                          <a:prstTxWarp prst="textNoShape">
                            <a:avLst/>
                          </a:prstTxWarp>
                          <a:noAutofit/>
                        </wps:bodyPr>
                      </wps:wsp>
                      <wps:wsp>
                        <wps:cNvPr id="145" name="Graphic 145"/>
                        <wps:cNvSpPr/>
                        <wps:spPr>
                          <a:xfrm>
                            <a:off x="783526" y="0"/>
                            <a:ext cx="329565" cy="228600"/>
                          </a:xfrm>
                          <a:custGeom>
                            <a:avLst/>
                            <a:gdLst/>
                            <a:ahLst/>
                            <a:cxnLst/>
                            <a:rect l="l" t="t" r="r" b="b"/>
                            <a:pathLst>
                              <a:path w="329565" h="228600">
                                <a:moveTo>
                                  <a:pt x="203822" y="0"/>
                                </a:moveTo>
                                <a:lnTo>
                                  <a:pt x="0" y="0"/>
                                </a:lnTo>
                                <a:lnTo>
                                  <a:pt x="128879" y="228600"/>
                                </a:lnTo>
                                <a:lnTo>
                                  <a:pt x="329539" y="228600"/>
                                </a:lnTo>
                                <a:lnTo>
                                  <a:pt x="203822" y="0"/>
                                </a:lnTo>
                                <a:close/>
                              </a:path>
                            </a:pathLst>
                          </a:custGeom>
                          <a:solidFill>
                            <a:srgbClr val="A7A9AC"/>
                          </a:solidFill>
                        </wps:spPr>
                        <wps:bodyPr wrap="square" lIns="0" tIns="0" rIns="0" bIns="0" rtlCol="0">
                          <a:prstTxWarp prst="textNoShape">
                            <a:avLst/>
                          </a:prstTxWarp>
                          <a:noAutofit/>
                        </wps:bodyPr>
                      </wps:wsp>
                    </wpg:wgp>
                  </a:graphicData>
                </a:graphic>
              </wp:anchor>
            </w:drawing>
          </mc:Choice>
          <mc:Fallback>
            <w:pict>
              <v:group w14:anchorId="63CE93C2" id="Group 141" o:spid="_x0000_s1026" style="position:absolute;margin-left:0;margin-top:0;width:595.25pt;height:18pt;z-index:15746560;mso-wrap-distance-left:0;mso-wrap-distance-right:0;mso-position-horizontal-relative:page;mso-position-vertical-relative:page" coordsize="75596,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">
                <v:shape id="Graphic 142" o:spid="_x0000_s1027" style="position:absolute;left:8482;width:67120;height:2286;visibility:visible;mso-wrap-style:square;v-text-anchor:top" coordsize="67119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" path="m6711391,l,,184137,228600r6527254,-5080l6711391,xe" fillcolor="#e6e7e8" stroked="f">
                  <v:path arrowok="t"/>
                </v:shape>
                <v:shape id="Graphic 143" o:spid="_x0000_s1028" style="position:absolute;width:6559;height:2286;visibility:visible;mso-wrap-style:square;v-text-anchor:top" coordsize="65595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" path="m530174,l,,,228600r655904,l530174,xe" fillcolor="#00a650" stroked="f">
                  <v:path arrowok="t"/>
                </v:shape>
                <v:shape id="Graphic 144" o:spid="_x0000_s1029" style="position:absolute;left:5543;width:3295;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" path="m203822,l,,128904,228600r200635,l203822,xe" fillcolor="#eb1c22" stroked="f">
                  <v:path arrowok="t"/>
                </v:shape>
                <v:shape id="Graphic 145" o:spid="_x0000_s1030" style="position:absolute;left:7835;width:3295;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" path="m203822,l,,128879,228600r200660,l203822,xe" fillcolor="#a7a9ac" stroked="f">
                  <v:path arrowok="t"/>
                </v:shape>
                <w10:wrap anchorx="page" anchory="page"/>
              </v:group>
            </w:pict>
          </mc:Fallback>
        </mc:AlternateContent>
      </w:r>
    </w:p>
    <w:p w14:paraId="1DE822A6" w14:textId="77777777" w:rsidR="00BB77C0" w:rsidRDefault="00BB77C0">
      <w:pPr>
        <w:pStyle w:val="BodyText"/>
        <w:spacing w:before="27"/>
        <w:rPr>
          <w:sz w:val="24"/>
        </w:rPr>
      </w:pPr>
    </w:p>
    <w:p w14:paraId="6D85F08D" w14:textId="77777777" w:rsidR="00BB77C0" w:rsidRDefault="00370BAA">
      <w:pPr>
        <w:pStyle w:val="Heading5"/>
        <w:numPr>
          <w:ilvl w:val="1"/>
          <w:numId w:val="64"/>
        </w:numPr>
        <w:tabs>
          <w:tab w:val="left" w:pos="844"/>
        </w:tabs>
        <w:ind w:left="844" w:hanging="359"/>
      </w:pPr>
      <w:bookmarkStart w:id="149" w:name="4.5_FORM_FIN_–_3.2:"/>
      <w:bookmarkEnd w:id="149"/>
      <w:r>
        <w:rPr>
          <w:u w:val="single"/>
        </w:rPr>
        <w:t>FORM FIN</w:t>
      </w:r>
      <w:r>
        <w:rPr>
          <w:spacing w:val="-2"/>
          <w:u w:val="single"/>
        </w:rPr>
        <w:t xml:space="preserve"> </w:t>
      </w:r>
      <w:r>
        <w:rPr>
          <w:u w:val="single"/>
        </w:rPr>
        <w:t>–</w:t>
      </w:r>
      <w:r>
        <w:rPr>
          <w:spacing w:val="-5"/>
          <w:u w:val="single"/>
        </w:rPr>
        <w:t xml:space="preserve"> </w:t>
      </w:r>
      <w:r>
        <w:rPr>
          <w:spacing w:val="-4"/>
          <w:u w:val="single"/>
        </w:rPr>
        <w:t>3.2:</w:t>
      </w:r>
    </w:p>
    <w:p w14:paraId="466A3E8B" w14:textId="77777777" w:rsidR="00BB77C0" w:rsidRDefault="00BB77C0">
      <w:pPr>
        <w:pStyle w:val="BodyText"/>
        <w:spacing w:before="3"/>
        <w:rPr>
          <w:b/>
        </w:rPr>
      </w:pPr>
    </w:p>
    <w:p w14:paraId="74EE34EE" w14:textId="77777777" w:rsidR="00BB77C0" w:rsidRDefault="00370BAA">
      <w:pPr>
        <w:spacing w:before="1"/>
        <w:ind w:left="360"/>
        <w:rPr>
          <w:b/>
        </w:rPr>
      </w:pPr>
      <w:r>
        <w:rPr>
          <w:b/>
          <w:spacing w:val="-2"/>
        </w:rPr>
        <w:t>Average</w:t>
      </w:r>
      <w:r>
        <w:rPr>
          <w:b/>
          <w:spacing w:val="4"/>
        </w:rPr>
        <w:t xml:space="preserve"> </w:t>
      </w:r>
      <w:r>
        <w:rPr>
          <w:b/>
          <w:spacing w:val="-2"/>
        </w:rPr>
        <w:t>Annual</w:t>
      </w:r>
      <w:r>
        <w:rPr>
          <w:b/>
          <w:spacing w:val="8"/>
        </w:rPr>
        <w:t xml:space="preserve"> </w:t>
      </w:r>
      <w:r>
        <w:rPr>
          <w:b/>
          <w:spacing w:val="-2"/>
        </w:rPr>
        <w:t>Construction</w:t>
      </w:r>
      <w:r>
        <w:rPr>
          <w:b/>
          <w:spacing w:val="-7"/>
        </w:rPr>
        <w:t xml:space="preserve"> </w:t>
      </w:r>
      <w:r>
        <w:rPr>
          <w:b/>
          <w:spacing w:val="-2"/>
        </w:rPr>
        <w:t>Turnover</w:t>
      </w:r>
    </w:p>
    <w:p w14:paraId="717197E0" w14:textId="77777777" w:rsidR="00BB77C0" w:rsidRDefault="00370BAA">
      <w:pPr>
        <w:pStyle w:val="BodyText"/>
        <w:tabs>
          <w:tab w:val="left" w:pos="3661"/>
        </w:tabs>
        <w:spacing w:before="246"/>
        <w:ind w:left="360"/>
      </w:pPr>
      <w:r>
        <w:t xml:space="preserve">Tenderer’s Name: </w:t>
      </w:r>
      <w:r>
        <w:rPr>
          <w:u w:val="single"/>
        </w:rPr>
        <w:tab/>
      </w:r>
    </w:p>
    <w:p w14:paraId="2DDC71AD" w14:textId="77777777" w:rsidR="00BB77C0" w:rsidRDefault="00370BAA">
      <w:pPr>
        <w:pStyle w:val="BodyText"/>
        <w:tabs>
          <w:tab w:val="left" w:pos="3200"/>
        </w:tabs>
        <w:spacing w:before="1" w:line="251" w:lineRule="exact"/>
        <w:ind w:left="360"/>
      </w:pPr>
      <w:r>
        <w:t xml:space="preserve">Date: </w:t>
      </w:r>
      <w:r>
        <w:rPr>
          <w:u w:val="single"/>
        </w:rPr>
        <w:tab/>
      </w:r>
    </w:p>
    <w:p w14:paraId="7D01B2B7" w14:textId="77777777" w:rsidR="00BB77C0" w:rsidRDefault="00370BAA">
      <w:pPr>
        <w:pStyle w:val="BodyText"/>
        <w:tabs>
          <w:tab w:val="left" w:pos="4746"/>
        </w:tabs>
        <w:spacing w:line="242" w:lineRule="auto"/>
        <w:ind w:left="360" w:right="6795"/>
      </w:pPr>
      <w:r>
        <w:t>JV Member’s Name</w:t>
      </w:r>
      <w:r>
        <w:rPr>
          <w:u w:val="single"/>
        </w:rPr>
        <w:tab/>
      </w:r>
      <w:r>
        <w:t xml:space="preserve"> </w:t>
      </w:r>
      <w:r>
        <w:rPr>
          <w:spacing w:val="-4"/>
        </w:rPr>
        <w:t>ITT</w:t>
      </w:r>
      <w:r>
        <w:rPr>
          <w:spacing w:val="-6"/>
        </w:rPr>
        <w:t xml:space="preserve"> </w:t>
      </w:r>
      <w:r>
        <w:rPr>
          <w:spacing w:val="-4"/>
        </w:rPr>
        <w:t>No.</w:t>
      </w:r>
      <w:r>
        <w:rPr>
          <w:spacing w:val="-8"/>
        </w:rPr>
        <w:t xml:space="preserve"> </w:t>
      </w:r>
      <w:r>
        <w:rPr>
          <w:spacing w:val="-4"/>
        </w:rPr>
        <w:t>and</w:t>
      </w:r>
      <w:r>
        <w:rPr>
          <w:spacing w:val="-10"/>
        </w:rPr>
        <w:t xml:space="preserve"> </w:t>
      </w:r>
      <w:r>
        <w:rPr>
          <w:spacing w:val="-4"/>
        </w:rPr>
        <w:t xml:space="preserve">title: </w:t>
      </w:r>
      <w:r>
        <w:rPr>
          <w:u w:val="single"/>
        </w:rPr>
        <w:tab/>
      </w:r>
    </w:p>
    <w:p w14:paraId="45321183" w14:textId="77777777" w:rsidR="00BB77C0" w:rsidRDefault="00BB77C0">
      <w:pPr>
        <w:pStyle w:val="BodyText"/>
        <w:spacing w:before="25"/>
        <w:rPr>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1"/>
        <w:gridCol w:w="1153"/>
        <w:gridCol w:w="2219"/>
        <w:gridCol w:w="2041"/>
        <w:gridCol w:w="2613"/>
      </w:tblGrid>
      <w:tr w:rsidR="00BB77C0" w14:paraId="31189ACF" w14:textId="77777777">
        <w:trPr>
          <w:trHeight w:val="253"/>
        </w:trPr>
        <w:tc>
          <w:tcPr>
            <w:tcW w:w="2714" w:type="dxa"/>
            <w:gridSpan w:val="2"/>
          </w:tcPr>
          <w:p w14:paraId="2CD6B252" w14:textId="77777777" w:rsidR="00BB77C0" w:rsidRDefault="00BB77C0">
            <w:pPr>
              <w:pStyle w:val="TableParagraph"/>
              <w:rPr>
                <w:sz w:val="18"/>
              </w:rPr>
            </w:pPr>
          </w:p>
        </w:tc>
        <w:tc>
          <w:tcPr>
            <w:tcW w:w="6873" w:type="dxa"/>
            <w:gridSpan w:val="3"/>
          </w:tcPr>
          <w:p w14:paraId="4383C490" w14:textId="77777777" w:rsidR="00BB77C0" w:rsidRDefault="00370BAA">
            <w:pPr>
              <w:pStyle w:val="TableParagraph"/>
              <w:spacing w:line="234" w:lineRule="exact"/>
              <w:ind w:left="109"/>
              <w:rPr>
                <w:b/>
              </w:rPr>
            </w:pPr>
            <w:r>
              <w:rPr>
                <w:b/>
                <w:spacing w:val="-4"/>
              </w:rPr>
              <w:t>Annual</w:t>
            </w:r>
            <w:r>
              <w:rPr>
                <w:b/>
                <w:spacing w:val="-1"/>
              </w:rPr>
              <w:t xml:space="preserve"> </w:t>
            </w:r>
            <w:r>
              <w:rPr>
                <w:b/>
                <w:spacing w:val="-4"/>
              </w:rPr>
              <w:t>turnover</w:t>
            </w:r>
            <w:r>
              <w:rPr>
                <w:b/>
                <w:spacing w:val="6"/>
              </w:rPr>
              <w:t xml:space="preserve"> </w:t>
            </w:r>
            <w:r>
              <w:rPr>
                <w:b/>
                <w:spacing w:val="-4"/>
              </w:rPr>
              <w:t>data</w:t>
            </w:r>
            <w:r>
              <w:rPr>
                <w:b/>
                <w:spacing w:val="4"/>
              </w:rPr>
              <w:t xml:space="preserve"> </w:t>
            </w:r>
            <w:r>
              <w:rPr>
                <w:b/>
                <w:spacing w:val="-4"/>
              </w:rPr>
              <w:t>(construction</w:t>
            </w:r>
            <w:r>
              <w:rPr>
                <w:b/>
                <w:spacing w:val="1"/>
              </w:rPr>
              <w:t xml:space="preserve"> </w:t>
            </w:r>
            <w:r>
              <w:rPr>
                <w:b/>
                <w:spacing w:val="-4"/>
              </w:rPr>
              <w:t>only)</w:t>
            </w:r>
          </w:p>
        </w:tc>
      </w:tr>
      <w:tr w:rsidR="00BB77C0" w14:paraId="4E9B1A47" w14:textId="77777777">
        <w:trPr>
          <w:trHeight w:val="508"/>
        </w:trPr>
        <w:tc>
          <w:tcPr>
            <w:tcW w:w="1561" w:type="dxa"/>
          </w:tcPr>
          <w:p w14:paraId="17F7D084" w14:textId="77777777" w:rsidR="00BB77C0" w:rsidRDefault="00370BAA">
            <w:pPr>
              <w:pStyle w:val="TableParagraph"/>
              <w:spacing w:line="249" w:lineRule="exact"/>
              <w:ind w:left="110"/>
              <w:rPr>
                <w:b/>
              </w:rPr>
            </w:pPr>
            <w:r>
              <w:rPr>
                <w:b/>
                <w:spacing w:val="-4"/>
              </w:rPr>
              <w:t>Year</w:t>
            </w:r>
          </w:p>
        </w:tc>
        <w:tc>
          <w:tcPr>
            <w:tcW w:w="3372" w:type="dxa"/>
            <w:gridSpan w:val="2"/>
          </w:tcPr>
          <w:p w14:paraId="19071F36" w14:textId="77777777" w:rsidR="00BB77C0" w:rsidRDefault="00370BAA">
            <w:pPr>
              <w:pStyle w:val="TableParagraph"/>
              <w:spacing w:line="254" w:lineRule="exact"/>
              <w:ind w:left="109" w:right="1658"/>
              <w:rPr>
                <w:b/>
              </w:rPr>
            </w:pPr>
            <w:r>
              <w:rPr>
                <w:b/>
                <w:spacing w:val="-2"/>
              </w:rPr>
              <w:t xml:space="preserve">Amount </w:t>
            </w:r>
            <w:r>
              <w:rPr>
                <w:b/>
                <w:spacing w:val="-6"/>
              </w:rPr>
              <w:t>Currency</w:t>
            </w:r>
          </w:p>
        </w:tc>
        <w:tc>
          <w:tcPr>
            <w:tcW w:w="2041" w:type="dxa"/>
          </w:tcPr>
          <w:p w14:paraId="41452A7E" w14:textId="77777777" w:rsidR="00BB77C0" w:rsidRDefault="00370BAA">
            <w:pPr>
              <w:pStyle w:val="TableParagraph"/>
              <w:spacing w:line="249" w:lineRule="exact"/>
              <w:ind w:left="108"/>
              <w:rPr>
                <w:b/>
              </w:rPr>
            </w:pPr>
            <w:r>
              <w:rPr>
                <w:b/>
                <w:spacing w:val="-4"/>
              </w:rPr>
              <w:t>Exchange rate</w:t>
            </w:r>
          </w:p>
        </w:tc>
        <w:tc>
          <w:tcPr>
            <w:tcW w:w="2613" w:type="dxa"/>
          </w:tcPr>
          <w:p w14:paraId="157BEF61" w14:textId="77777777" w:rsidR="00BB77C0" w:rsidRDefault="00370BAA">
            <w:pPr>
              <w:pStyle w:val="TableParagraph"/>
              <w:spacing w:line="249" w:lineRule="exact"/>
              <w:ind w:left="108"/>
              <w:rPr>
                <w:b/>
              </w:rPr>
            </w:pPr>
            <w:r>
              <w:rPr>
                <w:b/>
                <w:spacing w:val="-2"/>
              </w:rPr>
              <w:t>Kenya</w:t>
            </w:r>
            <w:r>
              <w:rPr>
                <w:b/>
                <w:spacing w:val="-12"/>
              </w:rPr>
              <w:t xml:space="preserve"> </w:t>
            </w:r>
            <w:r>
              <w:rPr>
                <w:b/>
                <w:spacing w:val="-2"/>
              </w:rPr>
              <w:t>Shilling</w:t>
            </w:r>
            <w:r>
              <w:rPr>
                <w:b/>
                <w:spacing w:val="-9"/>
              </w:rPr>
              <w:t xml:space="preserve"> </w:t>
            </w:r>
            <w:r>
              <w:rPr>
                <w:b/>
                <w:spacing w:val="-2"/>
              </w:rPr>
              <w:t>equivalent</w:t>
            </w:r>
          </w:p>
        </w:tc>
      </w:tr>
      <w:tr w:rsidR="00BB77C0" w14:paraId="0828BF3C" w14:textId="77777777">
        <w:trPr>
          <w:trHeight w:val="503"/>
        </w:trPr>
        <w:tc>
          <w:tcPr>
            <w:tcW w:w="1561" w:type="dxa"/>
          </w:tcPr>
          <w:p w14:paraId="2F4BFEEB" w14:textId="77777777" w:rsidR="00BB77C0" w:rsidRDefault="00370BAA">
            <w:pPr>
              <w:pStyle w:val="TableParagraph"/>
              <w:spacing w:line="249" w:lineRule="exact"/>
              <w:ind w:left="110"/>
              <w:rPr>
                <w:i/>
              </w:rPr>
            </w:pPr>
            <w:r>
              <w:rPr>
                <w:i/>
                <w:spacing w:val="-7"/>
              </w:rPr>
              <w:t>[indicate</w:t>
            </w:r>
            <w:r>
              <w:rPr>
                <w:i/>
                <w:spacing w:val="2"/>
              </w:rPr>
              <w:t xml:space="preserve"> </w:t>
            </w:r>
            <w:r>
              <w:rPr>
                <w:i/>
                <w:spacing w:val="-2"/>
              </w:rPr>
              <w:t>year]</w:t>
            </w:r>
          </w:p>
        </w:tc>
        <w:tc>
          <w:tcPr>
            <w:tcW w:w="3372" w:type="dxa"/>
            <w:gridSpan w:val="2"/>
          </w:tcPr>
          <w:p w14:paraId="117F5125" w14:textId="77777777" w:rsidR="00BB77C0" w:rsidRDefault="00370BAA">
            <w:pPr>
              <w:pStyle w:val="TableParagraph"/>
              <w:spacing w:before="10" w:line="223" w:lineRule="auto"/>
              <w:ind w:left="109" w:right="15"/>
              <w:rPr>
                <w:i/>
              </w:rPr>
            </w:pPr>
            <w:r>
              <w:rPr>
                <w:i/>
              </w:rPr>
              <w:t>[insert</w:t>
            </w:r>
            <w:r>
              <w:rPr>
                <w:i/>
                <w:spacing w:val="-14"/>
              </w:rPr>
              <w:t xml:space="preserve"> </w:t>
            </w:r>
            <w:r>
              <w:rPr>
                <w:i/>
              </w:rPr>
              <w:t>amount</w:t>
            </w:r>
            <w:r>
              <w:rPr>
                <w:i/>
                <w:spacing w:val="-14"/>
              </w:rPr>
              <w:t xml:space="preserve"> </w:t>
            </w:r>
            <w:r>
              <w:rPr>
                <w:i/>
              </w:rPr>
              <w:t>and</w:t>
            </w:r>
            <w:r>
              <w:rPr>
                <w:i/>
                <w:spacing w:val="-14"/>
              </w:rPr>
              <w:t xml:space="preserve"> </w:t>
            </w:r>
            <w:r>
              <w:rPr>
                <w:i/>
              </w:rPr>
              <w:t xml:space="preserve">indicate </w:t>
            </w:r>
            <w:r>
              <w:rPr>
                <w:i/>
                <w:spacing w:val="-2"/>
              </w:rPr>
              <w:t>currency]</w:t>
            </w:r>
          </w:p>
        </w:tc>
        <w:tc>
          <w:tcPr>
            <w:tcW w:w="2041" w:type="dxa"/>
          </w:tcPr>
          <w:p w14:paraId="5C58AEC3" w14:textId="77777777" w:rsidR="00BB77C0" w:rsidRDefault="00BB77C0">
            <w:pPr>
              <w:pStyle w:val="TableParagraph"/>
            </w:pPr>
          </w:p>
        </w:tc>
        <w:tc>
          <w:tcPr>
            <w:tcW w:w="2613" w:type="dxa"/>
          </w:tcPr>
          <w:p w14:paraId="51356321" w14:textId="77777777" w:rsidR="00BB77C0" w:rsidRDefault="00BB77C0">
            <w:pPr>
              <w:pStyle w:val="TableParagraph"/>
            </w:pPr>
          </w:p>
        </w:tc>
      </w:tr>
      <w:tr w:rsidR="00BB77C0" w14:paraId="071777C4" w14:textId="77777777">
        <w:trPr>
          <w:trHeight w:val="254"/>
        </w:trPr>
        <w:tc>
          <w:tcPr>
            <w:tcW w:w="1561" w:type="dxa"/>
          </w:tcPr>
          <w:p w14:paraId="1E3D16E6" w14:textId="77777777" w:rsidR="00BB77C0" w:rsidRDefault="00BB77C0">
            <w:pPr>
              <w:pStyle w:val="TableParagraph"/>
              <w:rPr>
                <w:sz w:val="18"/>
              </w:rPr>
            </w:pPr>
          </w:p>
        </w:tc>
        <w:tc>
          <w:tcPr>
            <w:tcW w:w="3372" w:type="dxa"/>
            <w:gridSpan w:val="2"/>
          </w:tcPr>
          <w:p w14:paraId="28A42E94" w14:textId="77777777" w:rsidR="00BB77C0" w:rsidRDefault="00BB77C0">
            <w:pPr>
              <w:pStyle w:val="TableParagraph"/>
              <w:rPr>
                <w:sz w:val="18"/>
              </w:rPr>
            </w:pPr>
          </w:p>
        </w:tc>
        <w:tc>
          <w:tcPr>
            <w:tcW w:w="2041" w:type="dxa"/>
          </w:tcPr>
          <w:p w14:paraId="3D9BA002" w14:textId="77777777" w:rsidR="00BB77C0" w:rsidRDefault="00BB77C0">
            <w:pPr>
              <w:pStyle w:val="TableParagraph"/>
              <w:rPr>
                <w:sz w:val="18"/>
              </w:rPr>
            </w:pPr>
          </w:p>
        </w:tc>
        <w:tc>
          <w:tcPr>
            <w:tcW w:w="2613" w:type="dxa"/>
          </w:tcPr>
          <w:p w14:paraId="16564811" w14:textId="77777777" w:rsidR="00BB77C0" w:rsidRDefault="00BB77C0">
            <w:pPr>
              <w:pStyle w:val="TableParagraph"/>
              <w:rPr>
                <w:sz w:val="18"/>
              </w:rPr>
            </w:pPr>
          </w:p>
        </w:tc>
      </w:tr>
      <w:tr w:rsidR="00BB77C0" w14:paraId="4689BF7F" w14:textId="77777777">
        <w:trPr>
          <w:trHeight w:val="249"/>
        </w:trPr>
        <w:tc>
          <w:tcPr>
            <w:tcW w:w="1561" w:type="dxa"/>
          </w:tcPr>
          <w:p w14:paraId="2A5A4789" w14:textId="77777777" w:rsidR="00BB77C0" w:rsidRDefault="00BB77C0">
            <w:pPr>
              <w:pStyle w:val="TableParagraph"/>
              <w:rPr>
                <w:sz w:val="18"/>
              </w:rPr>
            </w:pPr>
          </w:p>
        </w:tc>
        <w:tc>
          <w:tcPr>
            <w:tcW w:w="3372" w:type="dxa"/>
            <w:gridSpan w:val="2"/>
          </w:tcPr>
          <w:p w14:paraId="6477287C" w14:textId="77777777" w:rsidR="00BB77C0" w:rsidRDefault="00BB77C0">
            <w:pPr>
              <w:pStyle w:val="TableParagraph"/>
              <w:rPr>
                <w:sz w:val="18"/>
              </w:rPr>
            </w:pPr>
          </w:p>
        </w:tc>
        <w:tc>
          <w:tcPr>
            <w:tcW w:w="2041" w:type="dxa"/>
          </w:tcPr>
          <w:p w14:paraId="4A591575" w14:textId="77777777" w:rsidR="00BB77C0" w:rsidRDefault="00BB77C0">
            <w:pPr>
              <w:pStyle w:val="TableParagraph"/>
              <w:rPr>
                <w:sz w:val="18"/>
              </w:rPr>
            </w:pPr>
          </w:p>
        </w:tc>
        <w:tc>
          <w:tcPr>
            <w:tcW w:w="2613" w:type="dxa"/>
          </w:tcPr>
          <w:p w14:paraId="5698FF5F" w14:textId="77777777" w:rsidR="00BB77C0" w:rsidRDefault="00BB77C0">
            <w:pPr>
              <w:pStyle w:val="TableParagraph"/>
              <w:rPr>
                <w:sz w:val="18"/>
              </w:rPr>
            </w:pPr>
          </w:p>
        </w:tc>
      </w:tr>
      <w:tr w:rsidR="00BB77C0" w14:paraId="54E813A7" w14:textId="77777777">
        <w:trPr>
          <w:trHeight w:val="253"/>
        </w:trPr>
        <w:tc>
          <w:tcPr>
            <w:tcW w:w="1561" w:type="dxa"/>
          </w:tcPr>
          <w:p w14:paraId="2D8438C4" w14:textId="77777777" w:rsidR="00BB77C0" w:rsidRDefault="00BB77C0">
            <w:pPr>
              <w:pStyle w:val="TableParagraph"/>
              <w:rPr>
                <w:sz w:val="18"/>
              </w:rPr>
            </w:pPr>
          </w:p>
        </w:tc>
        <w:tc>
          <w:tcPr>
            <w:tcW w:w="3372" w:type="dxa"/>
            <w:gridSpan w:val="2"/>
          </w:tcPr>
          <w:p w14:paraId="44827193" w14:textId="77777777" w:rsidR="00BB77C0" w:rsidRDefault="00BB77C0">
            <w:pPr>
              <w:pStyle w:val="TableParagraph"/>
              <w:rPr>
                <w:sz w:val="18"/>
              </w:rPr>
            </w:pPr>
          </w:p>
        </w:tc>
        <w:tc>
          <w:tcPr>
            <w:tcW w:w="2041" w:type="dxa"/>
          </w:tcPr>
          <w:p w14:paraId="5B4BDAFC" w14:textId="77777777" w:rsidR="00BB77C0" w:rsidRDefault="00BB77C0">
            <w:pPr>
              <w:pStyle w:val="TableParagraph"/>
              <w:rPr>
                <w:sz w:val="18"/>
              </w:rPr>
            </w:pPr>
          </w:p>
        </w:tc>
        <w:tc>
          <w:tcPr>
            <w:tcW w:w="2613" w:type="dxa"/>
          </w:tcPr>
          <w:p w14:paraId="081CD370" w14:textId="77777777" w:rsidR="00BB77C0" w:rsidRDefault="00BB77C0">
            <w:pPr>
              <w:pStyle w:val="TableParagraph"/>
              <w:rPr>
                <w:sz w:val="18"/>
              </w:rPr>
            </w:pPr>
          </w:p>
        </w:tc>
      </w:tr>
      <w:tr w:rsidR="00BB77C0" w14:paraId="77F34140" w14:textId="77777777">
        <w:trPr>
          <w:trHeight w:val="249"/>
        </w:trPr>
        <w:tc>
          <w:tcPr>
            <w:tcW w:w="1561" w:type="dxa"/>
          </w:tcPr>
          <w:p w14:paraId="6646CEB3" w14:textId="77777777" w:rsidR="00BB77C0" w:rsidRDefault="00BB77C0">
            <w:pPr>
              <w:pStyle w:val="TableParagraph"/>
              <w:rPr>
                <w:sz w:val="18"/>
              </w:rPr>
            </w:pPr>
          </w:p>
        </w:tc>
        <w:tc>
          <w:tcPr>
            <w:tcW w:w="3372" w:type="dxa"/>
            <w:gridSpan w:val="2"/>
          </w:tcPr>
          <w:p w14:paraId="45748B7C" w14:textId="77777777" w:rsidR="00BB77C0" w:rsidRDefault="00BB77C0">
            <w:pPr>
              <w:pStyle w:val="TableParagraph"/>
              <w:rPr>
                <w:sz w:val="18"/>
              </w:rPr>
            </w:pPr>
          </w:p>
        </w:tc>
        <w:tc>
          <w:tcPr>
            <w:tcW w:w="2041" w:type="dxa"/>
          </w:tcPr>
          <w:p w14:paraId="2317E173" w14:textId="77777777" w:rsidR="00BB77C0" w:rsidRDefault="00BB77C0">
            <w:pPr>
              <w:pStyle w:val="TableParagraph"/>
              <w:rPr>
                <w:sz w:val="18"/>
              </w:rPr>
            </w:pPr>
          </w:p>
        </w:tc>
        <w:tc>
          <w:tcPr>
            <w:tcW w:w="2613" w:type="dxa"/>
          </w:tcPr>
          <w:p w14:paraId="6630C49A" w14:textId="77777777" w:rsidR="00BB77C0" w:rsidRDefault="00BB77C0">
            <w:pPr>
              <w:pStyle w:val="TableParagraph"/>
              <w:rPr>
                <w:sz w:val="18"/>
              </w:rPr>
            </w:pPr>
          </w:p>
        </w:tc>
      </w:tr>
      <w:tr w:rsidR="00BB77C0" w14:paraId="22BE947D" w14:textId="77777777">
        <w:trPr>
          <w:trHeight w:val="1013"/>
        </w:trPr>
        <w:tc>
          <w:tcPr>
            <w:tcW w:w="1561" w:type="dxa"/>
          </w:tcPr>
          <w:p w14:paraId="4A1B3760" w14:textId="77777777" w:rsidR="00BB77C0" w:rsidRDefault="00370BAA">
            <w:pPr>
              <w:pStyle w:val="TableParagraph"/>
              <w:spacing w:line="242" w:lineRule="auto"/>
              <w:ind w:left="110" w:right="94"/>
            </w:pPr>
            <w:r>
              <w:rPr>
                <w:spacing w:val="-2"/>
              </w:rPr>
              <w:t>Average Annual</w:t>
            </w:r>
          </w:p>
          <w:p w14:paraId="112832EC" w14:textId="77777777" w:rsidR="00BB77C0" w:rsidRDefault="00370BAA">
            <w:pPr>
              <w:pStyle w:val="TableParagraph"/>
              <w:spacing w:before="2" w:line="240" w:lineRule="exact"/>
              <w:ind w:left="110"/>
            </w:pPr>
            <w:r>
              <w:rPr>
                <w:spacing w:val="-6"/>
              </w:rPr>
              <w:t xml:space="preserve">Construction </w:t>
            </w:r>
            <w:r>
              <w:t>Turnover *</w:t>
            </w:r>
          </w:p>
        </w:tc>
        <w:tc>
          <w:tcPr>
            <w:tcW w:w="3372" w:type="dxa"/>
            <w:gridSpan w:val="2"/>
          </w:tcPr>
          <w:p w14:paraId="4E36416E" w14:textId="77777777" w:rsidR="00BB77C0" w:rsidRDefault="00BB77C0">
            <w:pPr>
              <w:pStyle w:val="TableParagraph"/>
            </w:pPr>
          </w:p>
        </w:tc>
        <w:tc>
          <w:tcPr>
            <w:tcW w:w="2041" w:type="dxa"/>
          </w:tcPr>
          <w:p w14:paraId="1278ED8F" w14:textId="77777777" w:rsidR="00BB77C0" w:rsidRDefault="00BB77C0">
            <w:pPr>
              <w:pStyle w:val="TableParagraph"/>
            </w:pPr>
          </w:p>
        </w:tc>
        <w:tc>
          <w:tcPr>
            <w:tcW w:w="2613" w:type="dxa"/>
          </w:tcPr>
          <w:p w14:paraId="443E3D33" w14:textId="77777777" w:rsidR="00BB77C0" w:rsidRDefault="00BB77C0">
            <w:pPr>
              <w:pStyle w:val="TableParagraph"/>
            </w:pPr>
          </w:p>
        </w:tc>
      </w:tr>
    </w:tbl>
    <w:p w14:paraId="0453336A" w14:textId="77777777" w:rsidR="00BB77C0" w:rsidRDefault="00BB77C0">
      <w:pPr>
        <w:pStyle w:val="BodyText"/>
        <w:spacing w:before="5"/>
      </w:pPr>
    </w:p>
    <w:p w14:paraId="06E81F3C" w14:textId="77777777" w:rsidR="00BB77C0" w:rsidRDefault="00370BAA">
      <w:pPr>
        <w:pStyle w:val="BodyText"/>
        <w:tabs>
          <w:tab w:val="left" w:pos="1080"/>
        </w:tabs>
        <w:spacing w:before="1"/>
        <w:ind w:left="360"/>
      </w:pPr>
      <w:r>
        <w:rPr>
          <w:spacing w:val="-10"/>
        </w:rPr>
        <w:t>*</w:t>
      </w:r>
      <w:r>
        <w:tab/>
      </w:r>
      <w:r>
        <w:rPr>
          <w:spacing w:val="-4"/>
        </w:rPr>
        <w:t>See</w:t>
      </w:r>
      <w:r>
        <w:rPr>
          <w:spacing w:val="-3"/>
        </w:rPr>
        <w:t xml:space="preserve"> </w:t>
      </w:r>
      <w:r>
        <w:rPr>
          <w:spacing w:val="-4"/>
        </w:rPr>
        <w:t>Section</w:t>
      </w:r>
      <w:r>
        <w:t xml:space="preserve"> </w:t>
      </w:r>
      <w:r>
        <w:rPr>
          <w:spacing w:val="-4"/>
        </w:rPr>
        <w:t>III,</w:t>
      </w:r>
      <w:r>
        <w:rPr>
          <w:spacing w:val="9"/>
        </w:rPr>
        <w:t xml:space="preserve"> </w:t>
      </w:r>
      <w:r>
        <w:rPr>
          <w:spacing w:val="-4"/>
        </w:rPr>
        <w:t>Evaluation</w:t>
      </w:r>
      <w:r>
        <w:rPr>
          <w:spacing w:val="-6"/>
        </w:rPr>
        <w:t xml:space="preserve"> </w:t>
      </w:r>
      <w:r>
        <w:rPr>
          <w:spacing w:val="-4"/>
        </w:rPr>
        <w:t>and</w:t>
      </w:r>
      <w:r>
        <w:t xml:space="preserve"> </w:t>
      </w:r>
      <w:r>
        <w:rPr>
          <w:spacing w:val="-4"/>
        </w:rPr>
        <w:t>Qualification</w:t>
      </w:r>
      <w:r>
        <w:rPr>
          <w:spacing w:val="2"/>
        </w:rPr>
        <w:t xml:space="preserve"> </w:t>
      </w:r>
      <w:r>
        <w:rPr>
          <w:spacing w:val="-4"/>
        </w:rPr>
        <w:t>Criteria,</w:t>
      </w:r>
      <w:r>
        <w:rPr>
          <w:spacing w:val="3"/>
        </w:rPr>
        <w:t xml:space="preserve"> </w:t>
      </w:r>
      <w:r>
        <w:rPr>
          <w:spacing w:val="-4"/>
        </w:rPr>
        <w:t>Sub-Factor</w:t>
      </w:r>
      <w:r>
        <w:rPr>
          <w:spacing w:val="11"/>
        </w:rPr>
        <w:t xml:space="preserve"> </w:t>
      </w:r>
      <w:r>
        <w:rPr>
          <w:spacing w:val="-4"/>
        </w:rPr>
        <w:t>3.2.</w:t>
      </w:r>
    </w:p>
    <w:p w14:paraId="1202FD58" w14:textId="77777777" w:rsidR="00BB77C0" w:rsidRDefault="00BB77C0">
      <w:pPr>
        <w:pStyle w:val="BodyText"/>
      </w:pPr>
    </w:p>
    <w:p w14:paraId="17BDC375" w14:textId="77777777" w:rsidR="00BB77C0" w:rsidRDefault="00BB77C0">
      <w:pPr>
        <w:pStyle w:val="BodyText"/>
      </w:pPr>
    </w:p>
    <w:p w14:paraId="6600129A" w14:textId="77777777" w:rsidR="00BB77C0" w:rsidRDefault="00BB77C0">
      <w:pPr>
        <w:pStyle w:val="BodyText"/>
        <w:spacing w:before="20"/>
      </w:pPr>
    </w:p>
    <w:p w14:paraId="2BD69981" w14:textId="77777777" w:rsidR="00BB77C0" w:rsidRDefault="00370BAA">
      <w:pPr>
        <w:pStyle w:val="Heading5"/>
        <w:numPr>
          <w:ilvl w:val="1"/>
          <w:numId w:val="64"/>
        </w:numPr>
        <w:tabs>
          <w:tab w:val="left" w:pos="844"/>
        </w:tabs>
        <w:spacing w:before="1"/>
        <w:ind w:left="844" w:hanging="359"/>
      </w:pPr>
      <w:bookmarkStart w:id="150" w:name="4.6_FORM_FIN_–_3.3:"/>
      <w:bookmarkEnd w:id="150"/>
      <w:r>
        <w:rPr>
          <w:u w:val="single"/>
        </w:rPr>
        <w:t>FORM FIN</w:t>
      </w:r>
      <w:r>
        <w:rPr>
          <w:spacing w:val="-2"/>
          <w:u w:val="single"/>
        </w:rPr>
        <w:t xml:space="preserve"> </w:t>
      </w:r>
      <w:r>
        <w:rPr>
          <w:u w:val="single"/>
        </w:rPr>
        <w:t>–</w:t>
      </w:r>
      <w:r>
        <w:rPr>
          <w:spacing w:val="-5"/>
          <w:u w:val="single"/>
        </w:rPr>
        <w:t xml:space="preserve"> </w:t>
      </w:r>
      <w:r>
        <w:rPr>
          <w:spacing w:val="-4"/>
          <w:u w:val="single"/>
        </w:rPr>
        <w:t>3.3:</w:t>
      </w:r>
      <w:r>
        <w:rPr>
          <w:spacing w:val="80"/>
          <w:u w:val="single"/>
        </w:rPr>
        <w:t xml:space="preserve"> </w:t>
      </w:r>
    </w:p>
    <w:p w14:paraId="62CBB17E" w14:textId="77777777" w:rsidR="00BB77C0" w:rsidRDefault="00370BAA">
      <w:pPr>
        <w:spacing w:before="251"/>
        <w:ind w:left="360"/>
        <w:jc w:val="both"/>
        <w:rPr>
          <w:b/>
        </w:rPr>
      </w:pPr>
      <w:r>
        <w:rPr>
          <w:b/>
        </w:rPr>
        <w:t>Financial</w:t>
      </w:r>
      <w:r>
        <w:rPr>
          <w:b/>
          <w:spacing w:val="-10"/>
        </w:rPr>
        <w:t xml:space="preserve"> </w:t>
      </w:r>
      <w:r>
        <w:rPr>
          <w:b/>
          <w:spacing w:val="-2"/>
        </w:rPr>
        <w:t>Resources</w:t>
      </w:r>
    </w:p>
    <w:p w14:paraId="3B65217D" w14:textId="77777777" w:rsidR="00BB77C0" w:rsidRDefault="00370BAA">
      <w:pPr>
        <w:pStyle w:val="BodyText"/>
        <w:spacing w:before="251"/>
        <w:ind w:left="360" w:right="534"/>
        <w:jc w:val="both"/>
      </w:pPr>
      <w:r>
        <w:t>Specify</w:t>
      </w:r>
      <w:r>
        <w:rPr>
          <w:spacing w:val="-6"/>
        </w:rPr>
        <w:t xml:space="preserve"> </w:t>
      </w:r>
      <w:r>
        <w:t>proposed</w:t>
      </w:r>
      <w:r>
        <w:rPr>
          <w:spacing w:val="-6"/>
        </w:rPr>
        <w:t xml:space="preserve"> </w:t>
      </w:r>
      <w:r>
        <w:t>sources</w:t>
      </w:r>
      <w:r>
        <w:rPr>
          <w:spacing w:val="-1"/>
        </w:rPr>
        <w:t xml:space="preserve"> </w:t>
      </w:r>
      <w:r>
        <w:t>of</w:t>
      </w:r>
      <w:r>
        <w:rPr>
          <w:spacing w:val="-4"/>
        </w:rPr>
        <w:t xml:space="preserve"> </w:t>
      </w:r>
      <w:r>
        <w:t>financing,</w:t>
      </w:r>
      <w:r>
        <w:rPr>
          <w:spacing w:val="-2"/>
        </w:rPr>
        <w:t xml:space="preserve"> </w:t>
      </w:r>
      <w:r>
        <w:t>such</w:t>
      </w:r>
      <w:r>
        <w:rPr>
          <w:spacing w:val="-11"/>
        </w:rPr>
        <w:t xml:space="preserve"> </w:t>
      </w:r>
      <w:r>
        <w:t>as</w:t>
      </w:r>
      <w:r>
        <w:rPr>
          <w:spacing w:val="-6"/>
        </w:rPr>
        <w:t xml:space="preserve"> </w:t>
      </w:r>
      <w:r>
        <w:t>liquid</w:t>
      </w:r>
      <w:r>
        <w:rPr>
          <w:spacing w:val="-11"/>
        </w:rPr>
        <w:t xml:space="preserve"> </w:t>
      </w:r>
      <w:r>
        <w:t>assets, unencumbered</w:t>
      </w:r>
      <w:r>
        <w:rPr>
          <w:spacing w:val="-11"/>
        </w:rPr>
        <w:t xml:space="preserve"> </w:t>
      </w:r>
      <w:r>
        <w:t>real</w:t>
      </w:r>
      <w:r>
        <w:rPr>
          <w:spacing w:val="-6"/>
        </w:rPr>
        <w:t xml:space="preserve"> </w:t>
      </w:r>
      <w:r>
        <w:t>assets, lines</w:t>
      </w:r>
      <w:r>
        <w:rPr>
          <w:spacing w:val="-1"/>
        </w:rPr>
        <w:t xml:space="preserve"> </w:t>
      </w:r>
      <w:r>
        <w:t>of</w:t>
      </w:r>
      <w:r>
        <w:rPr>
          <w:spacing w:val="-8"/>
        </w:rPr>
        <w:t xml:space="preserve"> </w:t>
      </w:r>
      <w:r>
        <w:t>credit, and</w:t>
      </w:r>
      <w:r>
        <w:rPr>
          <w:spacing w:val="-11"/>
        </w:rPr>
        <w:t xml:space="preserve"> </w:t>
      </w:r>
      <w:r>
        <w:t>other financial means, net of</w:t>
      </w:r>
      <w:r>
        <w:rPr>
          <w:spacing w:val="-1"/>
        </w:rPr>
        <w:t xml:space="preserve"> </w:t>
      </w:r>
      <w:r>
        <w:t>current commitments, available</w:t>
      </w:r>
      <w:r>
        <w:rPr>
          <w:spacing w:val="-6"/>
        </w:rPr>
        <w:t xml:space="preserve"> </w:t>
      </w:r>
      <w:r>
        <w:t>to meet the</w:t>
      </w:r>
      <w:r>
        <w:rPr>
          <w:spacing w:val="-6"/>
        </w:rPr>
        <w:t xml:space="preserve"> </w:t>
      </w:r>
      <w:r>
        <w:t>total</w:t>
      </w:r>
      <w:r>
        <w:rPr>
          <w:spacing w:val="-3"/>
        </w:rPr>
        <w:t xml:space="preserve"> </w:t>
      </w:r>
      <w:r>
        <w:t>construction</w:t>
      </w:r>
      <w:r>
        <w:rPr>
          <w:spacing w:val="-4"/>
        </w:rPr>
        <w:t xml:space="preserve"> </w:t>
      </w:r>
      <w:r>
        <w:t>cash</w:t>
      </w:r>
      <w:r>
        <w:rPr>
          <w:spacing w:val="-3"/>
        </w:rPr>
        <w:t xml:space="preserve"> </w:t>
      </w:r>
      <w:r>
        <w:t>flow demands of</w:t>
      </w:r>
      <w:r>
        <w:rPr>
          <w:spacing w:val="-1"/>
        </w:rPr>
        <w:t xml:space="preserve"> </w:t>
      </w:r>
      <w:r>
        <w:t>the</w:t>
      </w:r>
      <w:r>
        <w:rPr>
          <w:spacing w:val="-6"/>
        </w:rPr>
        <w:t xml:space="preserve"> </w:t>
      </w:r>
      <w:r>
        <w:t>subject contract or contracts as specified in Section III, Evaluation and Qualification Criteria</w:t>
      </w:r>
    </w:p>
    <w:p w14:paraId="31C295C6" w14:textId="77777777" w:rsidR="00BB77C0" w:rsidRDefault="00BB77C0">
      <w:pPr>
        <w:pStyle w:val="BodyText"/>
        <w:spacing w:before="40"/>
        <w:rPr>
          <w:sz w:val="20"/>
        </w:rPr>
      </w:pPr>
    </w:p>
    <w:tbl>
      <w:tblPr>
        <w:tblW w:w="0" w:type="auto"/>
        <w:tblInd w:w="17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38"/>
        <w:gridCol w:w="4677"/>
        <w:gridCol w:w="3189"/>
      </w:tblGrid>
      <w:tr w:rsidR="00BB77C0" w14:paraId="2A4011FD" w14:textId="77777777">
        <w:trPr>
          <w:trHeight w:val="280"/>
        </w:trPr>
        <w:tc>
          <w:tcPr>
            <w:tcW w:w="8404" w:type="dxa"/>
            <w:gridSpan w:val="3"/>
            <w:tcBorders>
              <w:top w:val="nil"/>
              <w:bottom w:val="nil"/>
              <w:right w:val="nil"/>
            </w:tcBorders>
            <w:shd w:val="clear" w:color="auto" w:fill="000000"/>
          </w:tcPr>
          <w:p w14:paraId="10F88CD9" w14:textId="77777777" w:rsidR="00BB77C0" w:rsidRDefault="00370BAA">
            <w:pPr>
              <w:pStyle w:val="TableParagraph"/>
              <w:spacing w:before="1"/>
              <w:ind w:left="78"/>
              <w:rPr>
                <w:b/>
              </w:rPr>
            </w:pPr>
            <w:r>
              <w:rPr>
                <w:b/>
                <w:color w:val="FFFFFF"/>
              </w:rPr>
              <w:t>Financial</w:t>
            </w:r>
            <w:r>
              <w:rPr>
                <w:b/>
                <w:color w:val="FFFFFF"/>
                <w:spacing w:val="-10"/>
              </w:rPr>
              <w:t xml:space="preserve"> </w:t>
            </w:r>
            <w:r>
              <w:rPr>
                <w:b/>
                <w:color w:val="FFFFFF"/>
                <w:spacing w:val="-2"/>
              </w:rPr>
              <w:t>Resources</w:t>
            </w:r>
          </w:p>
        </w:tc>
      </w:tr>
      <w:tr w:rsidR="00BB77C0" w14:paraId="7E757FD2" w14:textId="77777777">
        <w:trPr>
          <w:trHeight w:val="491"/>
        </w:trPr>
        <w:tc>
          <w:tcPr>
            <w:tcW w:w="538" w:type="dxa"/>
          </w:tcPr>
          <w:p w14:paraId="76FED061" w14:textId="77777777" w:rsidR="00BB77C0" w:rsidRDefault="00370BAA">
            <w:pPr>
              <w:pStyle w:val="TableParagraph"/>
              <w:spacing w:before="108"/>
              <w:ind w:left="78"/>
              <w:rPr>
                <w:b/>
              </w:rPr>
            </w:pPr>
            <w:r>
              <w:rPr>
                <w:b/>
                <w:spacing w:val="-5"/>
              </w:rPr>
              <w:t>No.</w:t>
            </w:r>
          </w:p>
        </w:tc>
        <w:tc>
          <w:tcPr>
            <w:tcW w:w="4677" w:type="dxa"/>
          </w:tcPr>
          <w:p w14:paraId="288CFF4B" w14:textId="77777777" w:rsidR="00BB77C0" w:rsidRDefault="00370BAA">
            <w:pPr>
              <w:pStyle w:val="TableParagraph"/>
              <w:spacing w:line="237" w:lineRule="exact"/>
              <w:ind w:left="78"/>
              <w:rPr>
                <w:b/>
              </w:rPr>
            </w:pPr>
            <w:r>
              <w:rPr>
                <w:b/>
                <w:spacing w:val="-2"/>
              </w:rPr>
              <w:t>Source</w:t>
            </w:r>
            <w:r>
              <w:rPr>
                <w:b/>
                <w:spacing w:val="-10"/>
              </w:rPr>
              <w:t xml:space="preserve"> </w:t>
            </w:r>
            <w:r>
              <w:rPr>
                <w:b/>
                <w:spacing w:val="-2"/>
              </w:rPr>
              <w:t>of</w:t>
            </w:r>
            <w:r>
              <w:rPr>
                <w:b/>
                <w:spacing w:val="-9"/>
              </w:rPr>
              <w:t xml:space="preserve"> </w:t>
            </w:r>
            <w:r>
              <w:rPr>
                <w:b/>
                <w:spacing w:val="-2"/>
              </w:rPr>
              <w:t>financing</w:t>
            </w:r>
          </w:p>
        </w:tc>
        <w:tc>
          <w:tcPr>
            <w:tcW w:w="3189" w:type="dxa"/>
          </w:tcPr>
          <w:p w14:paraId="442AA302" w14:textId="77777777" w:rsidR="00BB77C0" w:rsidRDefault="00370BAA">
            <w:pPr>
              <w:pStyle w:val="TableParagraph"/>
              <w:spacing w:line="230" w:lineRule="exact"/>
              <w:ind w:left="83"/>
              <w:rPr>
                <w:b/>
              </w:rPr>
            </w:pPr>
            <w:r>
              <w:rPr>
                <w:b/>
                <w:spacing w:val="-4"/>
              </w:rPr>
              <w:t>Amount</w:t>
            </w:r>
            <w:r>
              <w:rPr>
                <w:b/>
                <w:spacing w:val="-3"/>
              </w:rPr>
              <w:t xml:space="preserve"> </w:t>
            </w:r>
            <w:r>
              <w:rPr>
                <w:b/>
                <w:spacing w:val="-4"/>
              </w:rPr>
              <w:t>(Kenya</w:t>
            </w:r>
            <w:r>
              <w:rPr>
                <w:b/>
                <w:spacing w:val="1"/>
              </w:rPr>
              <w:t xml:space="preserve"> </w:t>
            </w:r>
            <w:r>
              <w:rPr>
                <w:b/>
                <w:spacing w:val="-4"/>
              </w:rPr>
              <w:t>Shilling</w:t>
            </w:r>
          </w:p>
          <w:p w14:paraId="32BC577F" w14:textId="77777777" w:rsidR="00BB77C0" w:rsidRDefault="00370BAA">
            <w:pPr>
              <w:pStyle w:val="TableParagraph"/>
              <w:spacing w:line="241" w:lineRule="exact"/>
              <w:ind w:left="83"/>
              <w:rPr>
                <w:b/>
              </w:rPr>
            </w:pPr>
            <w:r>
              <w:rPr>
                <w:b/>
                <w:spacing w:val="-2"/>
              </w:rPr>
              <w:t>equivalent)</w:t>
            </w:r>
          </w:p>
        </w:tc>
      </w:tr>
      <w:tr w:rsidR="00BB77C0" w14:paraId="2BAAC4B2" w14:textId="77777777">
        <w:trPr>
          <w:trHeight w:val="503"/>
        </w:trPr>
        <w:tc>
          <w:tcPr>
            <w:tcW w:w="538" w:type="dxa"/>
          </w:tcPr>
          <w:p w14:paraId="7CB58F93" w14:textId="77777777" w:rsidR="00BB77C0" w:rsidRDefault="00370BAA">
            <w:pPr>
              <w:pStyle w:val="TableParagraph"/>
              <w:spacing w:before="120"/>
              <w:ind w:left="78"/>
            </w:pPr>
            <w:r>
              <w:rPr>
                <w:spacing w:val="-10"/>
              </w:rPr>
              <w:t>1</w:t>
            </w:r>
          </w:p>
        </w:tc>
        <w:tc>
          <w:tcPr>
            <w:tcW w:w="4677" w:type="dxa"/>
          </w:tcPr>
          <w:p w14:paraId="5C51F702" w14:textId="77777777" w:rsidR="00BB77C0" w:rsidRDefault="00BB77C0">
            <w:pPr>
              <w:pStyle w:val="TableParagraph"/>
            </w:pPr>
          </w:p>
        </w:tc>
        <w:tc>
          <w:tcPr>
            <w:tcW w:w="3189" w:type="dxa"/>
          </w:tcPr>
          <w:p w14:paraId="4F7DE443" w14:textId="77777777" w:rsidR="00BB77C0" w:rsidRDefault="00BB77C0">
            <w:pPr>
              <w:pStyle w:val="TableParagraph"/>
            </w:pPr>
          </w:p>
        </w:tc>
      </w:tr>
      <w:tr w:rsidR="00BB77C0" w14:paraId="367BACE0" w14:textId="77777777">
        <w:trPr>
          <w:trHeight w:val="503"/>
        </w:trPr>
        <w:tc>
          <w:tcPr>
            <w:tcW w:w="538" w:type="dxa"/>
          </w:tcPr>
          <w:p w14:paraId="514898C9" w14:textId="77777777" w:rsidR="00BB77C0" w:rsidRDefault="00370BAA">
            <w:pPr>
              <w:pStyle w:val="TableParagraph"/>
              <w:spacing w:before="121"/>
              <w:ind w:left="78"/>
            </w:pPr>
            <w:r>
              <w:rPr>
                <w:spacing w:val="-10"/>
              </w:rPr>
              <w:t>2</w:t>
            </w:r>
          </w:p>
        </w:tc>
        <w:tc>
          <w:tcPr>
            <w:tcW w:w="4677" w:type="dxa"/>
          </w:tcPr>
          <w:p w14:paraId="691A32BB" w14:textId="77777777" w:rsidR="00BB77C0" w:rsidRDefault="00BB77C0">
            <w:pPr>
              <w:pStyle w:val="TableParagraph"/>
            </w:pPr>
          </w:p>
        </w:tc>
        <w:tc>
          <w:tcPr>
            <w:tcW w:w="3189" w:type="dxa"/>
          </w:tcPr>
          <w:p w14:paraId="2D19165D" w14:textId="77777777" w:rsidR="00BB77C0" w:rsidRDefault="00BB77C0">
            <w:pPr>
              <w:pStyle w:val="TableParagraph"/>
            </w:pPr>
          </w:p>
        </w:tc>
      </w:tr>
      <w:tr w:rsidR="00BB77C0" w14:paraId="6E675197" w14:textId="77777777">
        <w:trPr>
          <w:trHeight w:val="508"/>
        </w:trPr>
        <w:tc>
          <w:tcPr>
            <w:tcW w:w="538" w:type="dxa"/>
          </w:tcPr>
          <w:p w14:paraId="41A3E4F7" w14:textId="77777777" w:rsidR="00BB77C0" w:rsidRDefault="00370BAA">
            <w:pPr>
              <w:pStyle w:val="TableParagraph"/>
              <w:spacing w:before="120"/>
              <w:ind w:left="78"/>
            </w:pPr>
            <w:r>
              <w:rPr>
                <w:spacing w:val="-10"/>
              </w:rPr>
              <w:t>3</w:t>
            </w:r>
          </w:p>
        </w:tc>
        <w:tc>
          <w:tcPr>
            <w:tcW w:w="4677" w:type="dxa"/>
          </w:tcPr>
          <w:p w14:paraId="4793BE88" w14:textId="77777777" w:rsidR="00BB77C0" w:rsidRDefault="00BB77C0">
            <w:pPr>
              <w:pStyle w:val="TableParagraph"/>
            </w:pPr>
          </w:p>
        </w:tc>
        <w:tc>
          <w:tcPr>
            <w:tcW w:w="3189" w:type="dxa"/>
          </w:tcPr>
          <w:p w14:paraId="0A014957" w14:textId="77777777" w:rsidR="00BB77C0" w:rsidRDefault="00BB77C0">
            <w:pPr>
              <w:pStyle w:val="TableParagraph"/>
            </w:pPr>
          </w:p>
        </w:tc>
      </w:tr>
      <w:tr w:rsidR="00BB77C0" w14:paraId="5DAC441D" w14:textId="77777777">
        <w:trPr>
          <w:trHeight w:val="508"/>
        </w:trPr>
        <w:tc>
          <w:tcPr>
            <w:tcW w:w="538" w:type="dxa"/>
          </w:tcPr>
          <w:p w14:paraId="0CB1F689" w14:textId="77777777" w:rsidR="00BB77C0" w:rsidRDefault="00BB77C0">
            <w:pPr>
              <w:pStyle w:val="TableParagraph"/>
            </w:pPr>
          </w:p>
        </w:tc>
        <w:tc>
          <w:tcPr>
            <w:tcW w:w="4677" w:type="dxa"/>
          </w:tcPr>
          <w:p w14:paraId="224B8FCE" w14:textId="77777777" w:rsidR="00BB77C0" w:rsidRDefault="00BB77C0">
            <w:pPr>
              <w:pStyle w:val="TableParagraph"/>
            </w:pPr>
          </w:p>
        </w:tc>
        <w:tc>
          <w:tcPr>
            <w:tcW w:w="3189" w:type="dxa"/>
          </w:tcPr>
          <w:p w14:paraId="47D8A7DA" w14:textId="77777777" w:rsidR="00BB77C0" w:rsidRDefault="00BB77C0">
            <w:pPr>
              <w:pStyle w:val="TableParagraph"/>
            </w:pPr>
          </w:p>
        </w:tc>
      </w:tr>
    </w:tbl>
    <w:p w14:paraId="34BDF848" w14:textId="77777777" w:rsidR="00BB77C0" w:rsidRDefault="00BB77C0">
      <w:pPr>
        <w:pStyle w:val="TableParagraph"/>
        <w:sectPr w:rsidR="00BB77C0">
          <w:pgSz w:w="11920" w:h="16850"/>
          <w:pgMar w:top="0" w:right="0" w:bottom="0" w:left="360" w:header="720" w:footer="720" w:gutter="0"/>
          <w:cols w:space="720"/>
        </w:sectPr>
      </w:pPr>
    </w:p>
    <w:p w14:paraId="76EAC3A3" w14:textId="77777777" w:rsidR="00BB77C0" w:rsidRDefault="00370BAA">
      <w:pPr>
        <w:pStyle w:val="BodyText"/>
        <w:rPr>
          <w:sz w:val="24"/>
        </w:rPr>
      </w:pPr>
      <w:r>
        <w:rPr>
          <w:noProof/>
          <w:sz w:val="24"/>
        </w:rPr>
        <w:lastRenderedPageBreak/>
        <mc:AlternateContent>
          <mc:Choice Requires="wpg">
            <w:drawing>
              <wp:anchor distT="0" distB="0" distL="0" distR="0" simplePos="0" relativeHeight="15747072" behindDoc="0" locked="0" layoutInCell="1" allowOverlap="1" wp14:anchorId="2C827AA4" wp14:editId="24A7A0B3">
                <wp:simplePos x="0" y="0"/>
                <wp:positionH relativeFrom="page">
                  <wp:posOffset>0</wp:posOffset>
                </wp:positionH>
                <wp:positionV relativeFrom="page">
                  <wp:posOffset>10234295</wp:posOffset>
                </wp:positionV>
                <wp:extent cx="7561580" cy="459105"/>
                <wp:effectExtent l="0" t="0" r="0" b="0"/>
                <wp:wrapNone/>
                <wp:docPr id="146"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1580" cy="459105"/>
                          <a:chOff x="0" y="0"/>
                          <a:chExt cx="7561580" cy="459105"/>
                        </a:xfrm>
                      </wpg:grpSpPr>
                      <wps:wsp>
                        <wps:cNvPr id="147" name="Graphic 147"/>
                        <wps:cNvSpPr/>
                        <wps:spPr>
                          <a:xfrm>
                            <a:off x="6449059" y="5714"/>
                            <a:ext cx="1110615" cy="451484"/>
                          </a:xfrm>
                          <a:custGeom>
                            <a:avLst/>
                            <a:gdLst/>
                            <a:ahLst/>
                            <a:cxnLst/>
                            <a:rect l="l" t="t" r="r" b="b"/>
                            <a:pathLst>
                              <a:path w="1110615" h="451484">
                                <a:moveTo>
                                  <a:pt x="1110614" y="0"/>
                                </a:moveTo>
                                <a:lnTo>
                                  <a:pt x="0" y="0"/>
                                </a:lnTo>
                                <a:lnTo>
                                  <a:pt x="260349" y="451483"/>
                                </a:lnTo>
                                <a:lnTo>
                                  <a:pt x="1110614" y="451483"/>
                                </a:lnTo>
                                <a:lnTo>
                                  <a:pt x="1110614" y="0"/>
                                </a:lnTo>
                                <a:close/>
                              </a:path>
                            </a:pathLst>
                          </a:custGeom>
                          <a:solidFill>
                            <a:srgbClr val="FAD2C1"/>
                          </a:solidFill>
                        </wps:spPr>
                        <wps:bodyPr wrap="square" lIns="0" tIns="0" rIns="0" bIns="0" rtlCol="0">
                          <a:prstTxWarp prst="textNoShape">
                            <a:avLst/>
                          </a:prstTxWarp>
                          <a:noAutofit/>
                        </wps:bodyPr>
                      </wps:wsp>
                      <wps:wsp>
                        <wps:cNvPr id="148" name="Graphic 148"/>
                        <wps:cNvSpPr/>
                        <wps:spPr>
                          <a:xfrm>
                            <a:off x="6449059" y="5714"/>
                            <a:ext cx="1110615" cy="451484"/>
                          </a:xfrm>
                          <a:custGeom>
                            <a:avLst/>
                            <a:gdLst/>
                            <a:ahLst/>
                            <a:cxnLst/>
                            <a:rect l="l" t="t" r="r" b="b"/>
                            <a:pathLst>
                              <a:path w="1110615" h="451484">
                                <a:moveTo>
                                  <a:pt x="0" y="0"/>
                                </a:moveTo>
                                <a:lnTo>
                                  <a:pt x="1110614" y="0"/>
                                </a:lnTo>
                                <a:lnTo>
                                  <a:pt x="1110614" y="451483"/>
                                </a:lnTo>
                                <a:lnTo>
                                  <a:pt x="260349" y="451483"/>
                                </a:lnTo>
                                <a:lnTo>
                                  <a:pt x="0" y="0"/>
                                </a:lnTo>
                              </a:path>
                            </a:pathLst>
                          </a:custGeom>
                          <a:ln w="3051">
                            <a:solidFill>
                              <a:srgbClr val="FAD2C1"/>
                            </a:solidFill>
                            <a:prstDash val="solid"/>
                          </a:ln>
                        </wps:spPr>
                        <wps:bodyPr wrap="square" lIns="0" tIns="0" rIns="0" bIns="0" rtlCol="0">
                          <a:prstTxWarp prst="textNoShape">
                            <a:avLst/>
                          </a:prstTxWarp>
                          <a:noAutofit/>
                        </wps:bodyPr>
                      </wps:wsp>
                      <wps:wsp>
                        <wps:cNvPr id="149" name="Graphic 149"/>
                        <wps:cNvSpPr/>
                        <wps:spPr>
                          <a:xfrm>
                            <a:off x="0" y="6350"/>
                            <a:ext cx="7560309" cy="1270"/>
                          </a:xfrm>
                          <a:custGeom>
                            <a:avLst/>
                            <a:gdLst/>
                            <a:ahLst/>
                            <a:cxnLst/>
                            <a:rect l="l" t="t" r="r" b="b"/>
                            <a:pathLst>
                              <a:path w="7560309">
                                <a:moveTo>
                                  <a:pt x="0" y="0"/>
                                </a:moveTo>
                                <a:lnTo>
                                  <a:pt x="7560309" y="0"/>
                                </a:lnTo>
                              </a:path>
                            </a:pathLst>
                          </a:custGeom>
                          <a:ln w="12700">
                            <a:solidFill>
                              <a:srgbClr val="FAD2C1"/>
                            </a:solidFill>
                            <a:prstDash val="solid"/>
                          </a:ln>
                        </wps:spPr>
                        <wps:bodyPr wrap="square" lIns="0" tIns="0" rIns="0" bIns="0" rtlCol="0">
                          <a:prstTxWarp prst="textNoShape">
                            <a:avLst/>
                          </a:prstTxWarp>
                          <a:noAutofit/>
                        </wps:bodyPr>
                      </wps:wsp>
                      <wps:wsp>
                        <wps:cNvPr id="150" name="Textbox 150"/>
                        <wps:cNvSpPr txBox="1"/>
                        <wps:spPr>
                          <a:xfrm>
                            <a:off x="6882130" y="37491"/>
                            <a:ext cx="147320" cy="155575"/>
                          </a:xfrm>
                          <a:prstGeom prst="rect">
                            <a:avLst/>
                          </a:prstGeom>
                        </wps:spPr>
                        <wps:txbx>
                          <w:txbxContent>
                            <w:p w14:paraId="19045143" w14:textId="77777777" w:rsidR="00BB77C0" w:rsidRDefault="00370BAA">
                              <w:pPr>
                                <w:spacing w:line="244" w:lineRule="exact"/>
                              </w:pPr>
                              <w:r>
                                <w:rPr>
                                  <w:spacing w:val="-5"/>
                                </w:rPr>
                                <w:t>61</w:t>
                              </w:r>
                            </w:p>
                          </w:txbxContent>
                        </wps:txbx>
                        <wps:bodyPr wrap="square" lIns="0" tIns="0" rIns="0" bIns="0" rtlCol="0">
                          <a:noAutofit/>
                        </wps:bodyPr>
                      </wps:wsp>
                    </wpg:wgp>
                  </a:graphicData>
                </a:graphic>
              </wp:anchor>
            </w:drawing>
          </mc:Choice>
          <mc:Fallback>
            <w:pict>
              <v:group w14:anchorId="2C827AA4" id="Group 146" o:spid="_x0000_s1086" style="position:absolute;margin-left:0;margin-top:805.85pt;width:595.4pt;height:36.15pt;z-index:15747072;mso-wrap-distance-left:0;mso-wrap-distance-right:0;mso-position-horizontal-relative:page;mso-position-vertical-relative:page" coordsize="75615,4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">
                <v:shape id="Graphic 147" o:spid="_x0000_s1087" style="position:absolute;left:64490;top:57;width:11106;height:4514;visibility:visible;mso-wrap-style:square;v-text-anchor:top" coordsize="1110615,4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" path="m1110614,l,,260349,451483r850265,l1110614,xe" fillcolor="#fad2c1" stroked="f">
                  <v:path arrowok="t"/>
                </v:shape>
                <v:shape id="Graphic 148" o:spid="_x0000_s1088" style="position:absolute;left:64490;top:57;width:11106;height:4514;visibility:visible;mso-wrap-style:square;v-text-anchor:top" coordsize="1110615,4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" path="m,l1110614,r,451483l260349,451483,,e" filled="f" strokecolor="#fad2c1" strokeweight=".08475mm">
                  <v:path arrowok="t"/>
                </v:shape>
                <v:shape id="Graphic 149" o:spid="_x0000_s1089" style="position:absolute;top:63;width:75603;height:13;visibility:visible;mso-wrap-style:square;v-text-anchor:top" coordsize="756030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" path="m,l7560309,e" filled="f" strokecolor="#fad2c1" strokeweight="1pt">
                  <v:path arrowok="t"/>
                </v:shape>
                <v:shape id="Textbox 150" o:spid="_x0000_s1090" type="#_x0000_t202" style="position:absolute;left:68821;top:374;width:1473;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X7yxQAAANwAAAAPAAAAZHJzL2Rvd25yZXYueG1sRI9Ba8JA&#10;EIXvhf6HZQRvdWNB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BybX7yxQAAANwAAAAP&#10;AAAAAAAAAAAAAAAAAAcCAABkcnMvZG93bnJldi54bWxQSwUGAAAAAAMAAwC3AAAA+QIAAAAA&#10;" filled="f" stroked="f">
                  <v:textbox inset="0,0,0,0">
                    <w:txbxContent>
                      <w:p w14:paraId="19045143" w14:textId="77777777" w:rsidR="00BB77C0" w:rsidRDefault="00370BAA">
                        <w:pPr>
                          <w:spacing w:line="244" w:lineRule="exact"/>
                        </w:pPr>
                        <w:r>
                          <w:rPr>
                            <w:spacing w:val="-5"/>
                          </w:rPr>
                          <w:t>61</w:t>
                        </w:r>
                      </w:p>
                    </w:txbxContent>
                  </v:textbox>
                </v:shape>
                <w10:wrap anchorx="page" anchory="page"/>
              </v:group>
            </w:pict>
          </mc:Fallback>
        </mc:AlternateContent>
      </w:r>
      <w:r>
        <w:rPr>
          <w:noProof/>
          <w:sz w:val="24"/>
        </w:rPr>
        <mc:AlternateContent>
          <mc:Choice Requires="wpg">
            <w:drawing>
              <wp:anchor distT="0" distB="0" distL="0" distR="0" simplePos="0" relativeHeight="15747584" behindDoc="0" locked="0" layoutInCell="1" allowOverlap="1" wp14:anchorId="4DCCB291" wp14:editId="40EB3FB7">
                <wp:simplePos x="0" y="0"/>
                <wp:positionH relativeFrom="page">
                  <wp:posOffset>0</wp:posOffset>
                </wp:positionH>
                <wp:positionV relativeFrom="page">
                  <wp:posOffset>0</wp:posOffset>
                </wp:positionV>
                <wp:extent cx="7559675" cy="228600"/>
                <wp:effectExtent l="0" t="0" r="0" b="0"/>
                <wp:wrapNone/>
                <wp:docPr id="151"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675" cy="228600"/>
                          <a:chOff x="0" y="0"/>
                          <a:chExt cx="7559675" cy="228600"/>
                        </a:xfrm>
                      </wpg:grpSpPr>
                      <wps:wsp>
                        <wps:cNvPr id="152" name="Graphic 152"/>
                        <wps:cNvSpPr/>
                        <wps:spPr>
                          <a:xfrm>
                            <a:off x="848283" y="0"/>
                            <a:ext cx="6711950" cy="228600"/>
                          </a:xfrm>
                          <a:custGeom>
                            <a:avLst/>
                            <a:gdLst/>
                            <a:ahLst/>
                            <a:cxnLst/>
                            <a:rect l="l" t="t" r="r" b="b"/>
                            <a:pathLst>
                              <a:path w="6711950" h="228600">
                                <a:moveTo>
                                  <a:pt x="6711391" y="0"/>
                                </a:moveTo>
                                <a:lnTo>
                                  <a:pt x="0" y="0"/>
                                </a:lnTo>
                                <a:lnTo>
                                  <a:pt x="184137" y="228600"/>
                                </a:lnTo>
                                <a:lnTo>
                                  <a:pt x="6711391" y="223520"/>
                                </a:lnTo>
                                <a:lnTo>
                                  <a:pt x="6711391" y="0"/>
                                </a:lnTo>
                                <a:close/>
                              </a:path>
                            </a:pathLst>
                          </a:custGeom>
                          <a:solidFill>
                            <a:srgbClr val="E6E7E8"/>
                          </a:solidFill>
                        </wps:spPr>
                        <wps:bodyPr wrap="square" lIns="0" tIns="0" rIns="0" bIns="0" rtlCol="0">
                          <a:prstTxWarp prst="textNoShape">
                            <a:avLst/>
                          </a:prstTxWarp>
                          <a:noAutofit/>
                        </wps:bodyPr>
                      </wps:wsp>
                      <wps:wsp>
                        <wps:cNvPr id="153" name="Graphic 153"/>
                        <wps:cNvSpPr/>
                        <wps:spPr>
                          <a:xfrm>
                            <a:off x="0" y="0"/>
                            <a:ext cx="655955" cy="228600"/>
                          </a:xfrm>
                          <a:custGeom>
                            <a:avLst/>
                            <a:gdLst/>
                            <a:ahLst/>
                            <a:cxnLst/>
                            <a:rect l="l" t="t" r="r" b="b"/>
                            <a:pathLst>
                              <a:path w="655955" h="228600">
                                <a:moveTo>
                                  <a:pt x="530174" y="0"/>
                                </a:moveTo>
                                <a:lnTo>
                                  <a:pt x="0" y="0"/>
                                </a:lnTo>
                                <a:lnTo>
                                  <a:pt x="0" y="228600"/>
                                </a:lnTo>
                                <a:lnTo>
                                  <a:pt x="655904" y="228600"/>
                                </a:lnTo>
                                <a:lnTo>
                                  <a:pt x="530174" y="0"/>
                                </a:lnTo>
                                <a:close/>
                              </a:path>
                            </a:pathLst>
                          </a:custGeom>
                          <a:solidFill>
                            <a:srgbClr val="00A650"/>
                          </a:solidFill>
                        </wps:spPr>
                        <wps:bodyPr wrap="square" lIns="0" tIns="0" rIns="0" bIns="0" rtlCol="0">
                          <a:prstTxWarp prst="textNoShape">
                            <a:avLst/>
                          </a:prstTxWarp>
                          <a:noAutofit/>
                        </wps:bodyPr>
                      </wps:wsp>
                      <wps:wsp>
                        <wps:cNvPr id="154" name="Graphic 154"/>
                        <wps:cNvSpPr/>
                        <wps:spPr>
                          <a:xfrm>
                            <a:off x="554304" y="0"/>
                            <a:ext cx="329565" cy="228600"/>
                          </a:xfrm>
                          <a:custGeom>
                            <a:avLst/>
                            <a:gdLst/>
                            <a:ahLst/>
                            <a:cxnLst/>
                            <a:rect l="l" t="t" r="r" b="b"/>
                            <a:pathLst>
                              <a:path w="329565" h="228600">
                                <a:moveTo>
                                  <a:pt x="203822" y="0"/>
                                </a:moveTo>
                                <a:lnTo>
                                  <a:pt x="0" y="0"/>
                                </a:lnTo>
                                <a:lnTo>
                                  <a:pt x="128904" y="228600"/>
                                </a:lnTo>
                                <a:lnTo>
                                  <a:pt x="329539" y="228600"/>
                                </a:lnTo>
                                <a:lnTo>
                                  <a:pt x="203822" y="0"/>
                                </a:lnTo>
                                <a:close/>
                              </a:path>
                            </a:pathLst>
                          </a:custGeom>
                          <a:solidFill>
                            <a:srgbClr val="EB1C22"/>
                          </a:solidFill>
                        </wps:spPr>
                        <wps:bodyPr wrap="square" lIns="0" tIns="0" rIns="0" bIns="0" rtlCol="0">
                          <a:prstTxWarp prst="textNoShape">
                            <a:avLst/>
                          </a:prstTxWarp>
                          <a:noAutofit/>
                        </wps:bodyPr>
                      </wps:wsp>
                      <wps:wsp>
                        <wps:cNvPr id="155" name="Graphic 155"/>
                        <wps:cNvSpPr/>
                        <wps:spPr>
                          <a:xfrm>
                            <a:off x="783526" y="0"/>
                            <a:ext cx="329565" cy="228600"/>
                          </a:xfrm>
                          <a:custGeom>
                            <a:avLst/>
                            <a:gdLst/>
                            <a:ahLst/>
                            <a:cxnLst/>
                            <a:rect l="l" t="t" r="r" b="b"/>
                            <a:pathLst>
                              <a:path w="329565" h="228600">
                                <a:moveTo>
                                  <a:pt x="203822" y="0"/>
                                </a:moveTo>
                                <a:lnTo>
                                  <a:pt x="0" y="0"/>
                                </a:lnTo>
                                <a:lnTo>
                                  <a:pt x="128879" y="228600"/>
                                </a:lnTo>
                                <a:lnTo>
                                  <a:pt x="329539" y="228600"/>
                                </a:lnTo>
                                <a:lnTo>
                                  <a:pt x="203822" y="0"/>
                                </a:lnTo>
                                <a:close/>
                              </a:path>
                            </a:pathLst>
                          </a:custGeom>
                          <a:solidFill>
                            <a:srgbClr val="A7A9AC"/>
                          </a:solidFill>
                        </wps:spPr>
                        <wps:bodyPr wrap="square" lIns="0" tIns="0" rIns="0" bIns="0" rtlCol="0">
                          <a:prstTxWarp prst="textNoShape">
                            <a:avLst/>
                          </a:prstTxWarp>
                          <a:noAutofit/>
                        </wps:bodyPr>
                      </wps:wsp>
                    </wpg:wgp>
                  </a:graphicData>
                </a:graphic>
              </wp:anchor>
            </w:drawing>
          </mc:Choice>
          <mc:Fallback>
            <w:pict>
              <v:group w14:anchorId="6585420D" id="Group 151" o:spid="_x0000_s1026" style="position:absolute;margin-left:0;margin-top:0;width:595.25pt;height:18pt;z-index:15747584;mso-wrap-distance-left:0;mso-wrap-distance-right:0;mso-position-horizontal-relative:page;mso-position-vertical-relative:page" coordsize="75596,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">
                <v:shape id="Graphic 152" o:spid="_x0000_s1027" style="position:absolute;left:8482;width:67120;height:2286;visibility:visible;mso-wrap-style:square;v-text-anchor:top" coordsize="67119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" path="m6711391,l,,184137,228600r6527254,-5080l6711391,xe" fillcolor="#e6e7e8" stroked="f">
                  <v:path arrowok="t"/>
                </v:shape>
                <v:shape id="Graphic 153" o:spid="_x0000_s1028" style="position:absolute;width:6559;height:2286;visibility:visible;mso-wrap-style:square;v-text-anchor:top" coordsize="65595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" path="m530174,l,,,228600r655904,l530174,xe" fillcolor="#00a650" stroked="f">
                  <v:path arrowok="t"/>
                </v:shape>
                <v:shape id="Graphic 154" o:spid="_x0000_s1029" style="position:absolute;left:5543;width:3295;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" path="m203822,l,,128904,228600r200635,l203822,xe" fillcolor="#eb1c22" stroked="f">
                  <v:path arrowok="t"/>
                </v:shape>
                <v:shape id="Graphic 155" o:spid="_x0000_s1030" style="position:absolute;left:7835;width:3295;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" path="m203822,l,,128879,228600r200660,l203822,xe" fillcolor="#a7a9ac" stroked="f">
                  <v:path arrowok="t"/>
                </v:shape>
                <w10:wrap anchorx="page" anchory="page"/>
              </v:group>
            </w:pict>
          </mc:Fallback>
        </mc:AlternateContent>
      </w:r>
    </w:p>
    <w:p w14:paraId="27602A1F" w14:textId="77777777" w:rsidR="00BB77C0" w:rsidRDefault="00BB77C0">
      <w:pPr>
        <w:pStyle w:val="BodyText"/>
        <w:spacing w:before="27"/>
        <w:rPr>
          <w:sz w:val="24"/>
        </w:rPr>
      </w:pPr>
    </w:p>
    <w:p w14:paraId="2F3C9BF0" w14:textId="77777777" w:rsidR="00BB77C0" w:rsidRDefault="00370BAA">
      <w:pPr>
        <w:pStyle w:val="Heading5"/>
        <w:numPr>
          <w:ilvl w:val="1"/>
          <w:numId w:val="64"/>
        </w:numPr>
        <w:tabs>
          <w:tab w:val="left" w:pos="844"/>
        </w:tabs>
        <w:ind w:left="844" w:hanging="359"/>
      </w:pPr>
      <w:bookmarkStart w:id="151" w:name="4.7_FORM_FIN_–_3.4:"/>
      <w:bookmarkEnd w:id="151"/>
      <w:r>
        <w:rPr>
          <w:u w:val="single"/>
        </w:rPr>
        <w:t>FORM FIN</w:t>
      </w:r>
      <w:r>
        <w:rPr>
          <w:spacing w:val="-2"/>
          <w:u w:val="single"/>
        </w:rPr>
        <w:t xml:space="preserve"> </w:t>
      </w:r>
      <w:r>
        <w:rPr>
          <w:u w:val="single"/>
        </w:rPr>
        <w:t>–</w:t>
      </w:r>
      <w:r>
        <w:rPr>
          <w:spacing w:val="-5"/>
          <w:u w:val="single"/>
        </w:rPr>
        <w:t xml:space="preserve"> </w:t>
      </w:r>
      <w:r>
        <w:rPr>
          <w:spacing w:val="-4"/>
          <w:u w:val="single"/>
        </w:rPr>
        <w:t>3.4:</w:t>
      </w:r>
      <w:r>
        <w:rPr>
          <w:spacing w:val="80"/>
          <w:u w:val="single"/>
        </w:rPr>
        <w:t xml:space="preserve"> </w:t>
      </w:r>
    </w:p>
    <w:p w14:paraId="43371443" w14:textId="77777777" w:rsidR="00BB77C0" w:rsidRDefault="00BB77C0">
      <w:pPr>
        <w:pStyle w:val="BodyText"/>
        <w:spacing w:before="3"/>
        <w:rPr>
          <w:b/>
        </w:rPr>
      </w:pPr>
    </w:p>
    <w:p w14:paraId="33113285" w14:textId="77777777" w:rsidR="00BB77C0" w:rsidRDefault="00370BAA">
      <w:pPr>
        <w:spacing w:before="1"/>
        <w:ind w:left="360"/>
        <w:rPr>
          <w:b/>
        </w:rPr>
      </w:pPr>
      <w:r>
        <w:rPr>
          <w:b/>
        </w:rPr>
        <w:t>Current</w:t>
      </w:r>
      <w:r>
        <w:rPr>
          <w:b/>
          <w:spacing w:val="-13"/>
        </w:rPr>
        <w:t xml:space="preserve"> </w:t>
      </w:r>
      <w:r>
        <w:rPr>
          <w:b/>
        </w:rPr>
        <w:t>Contract</w:t>
      </w:r>
      <w:r>
        <w:rPr>
          <w:b/>
          <w:spacing w:val="-9"/>
        </w:rPr>
        <w:t xml:space="preserve"> </w:t>
      </w:r>
      <w:r>
        <w:rPr>
          <w:b/>
        </w:rPr>
        <w:t>Commitments</w:t>
      </w:r>
      <w:r>
        <w:rPr>
          <w:b/>
          <w:spacing w:val="-8"/>
        </w:rPr>
        <w:t xml:space="preserve"> </w:t>
      </w:r>
      <w:r>
        <w:rPr>
          <w:b/>
        </w:rPr>
        <w:t>/</w:t>
      </w:r>
      <w:r>
        <w:rPr>
          <w:b/>
          <w:spacing w:val="-8"/>
        </w:rPr>
        <w:t xml:space="preserve"> </w:t>
      </w:r>
      <w:r>
        <w:rPr>
          <w:b/>
        </w:rPr>
        <w:t>Works</w:t>
      </w:r>
      <w:r>
        <w:rPr>
          <w:b/>
          <w:spacing w:val="-9"/>
        </w:rPr>
        <w:t xml:space="preserve"> </w:t>
      </w:r>
      <w:r>
        <w:rPr>
          <w:b/>
        </w:rPr>
        <w:t>in</w:t>
      </w:r>
      <w:r>
        <w:rPr>
          <w:b/>
          <w:spacing w:val="-13"/>
        </w:rPr>
        <w:t xml:space="preserve"> </w:t>
      </w:r>
      <w:r>
        <w:rPr>
          <w:b/>
          <w:spacing w:val="-2"/>
        </w:rPr>
        <w:t>Progress</w:t>
      </w:r>
    </w:p>
    <w:p w14:paraId="35CBEC89" w14:textId="77777777" w:rsidR="00BB77C0" w:rsidRDefault="00370BAA">
      <w:pPr>
        <w:pStyle w:val="BodyText"/>
        <w:spacing w:before="246"/>
        <w:ind w:left="360" w:right="107"/>
      </w:pPr>
      <w:r>
        <w:t>Tenderers</w:t>
      </w:r>
      <w:r>
        <w:rPr>
          <w:spacing w:val="-1"/>
        </w:rPr>
        <w:t xml:space="preserve"> </w:t>
      </w:r>
      <w:r>
        <w:t>and</w:t>
      </w:r>
      <w:r>
        <w:rPr>
          <w:spacing w:val="-6"/>
        </w:rPr>
        <w:t xml:space="preserve"> </w:t>
      </w:r>
      <w:r>
        <w:t>each</w:t>
      </w:r>
      <w:r>
        <w:rPr>
          <w:spacing w:val="-6"/>
        </w:rPr>
        <w:t xml:space="preserve"> </w:t>
      </w:r>
      <w:r>
        <w:t>member to</w:t>
      </w:r>
      <w:r>
        <w:rPr>
          <w:spacing w:val="-9"/>
        </w:rPr>
        <w:t xml:space="preserve"> </w:t>
      </w:r>
      <w:r>
        <w:t>a JV</w:t>
      </w:r>
      <w:r>
        <w:rPr>
          <w:spacing w:val="-7"/>
        </w:rPr>
        <w:t xml:space="preserve"> </w:t>
      </w:r>
      <w:r>
        <w:t>should</w:t>
      </w:r>
      <w:r>
        <w:rPr>
          <w:spacing w:val="-10"/>
        </w:rPr>
        <w:t xml:space="preserve"> </w:t>
      </w:r>
      <w:r>
        <w:t>provide</w:t>
      </w:r>
      <w:r>
        <w:rPr>
          <w:spacing w:val="-7"/>
        </w:rPr>
        <w:t xml:space="preserve"> </w:t>
      </w:r>
      <w:r>
        <w:t>information on</w:t>
      </w:r>
      <w:r>
        <w:rPr>
          <w:spacing w:val="-10"/>
        </w:rPr>
        <w:t xml:space="preserve"> </w:t>
      </w:r>
      <w:r>
        <w:t>their current</w:t>
      </w:r>
      <w:r>
        <w:rPr>
          <w:spacing w:val="-1"/>
        </w:rPr>
        <w:t xml:space="preserve"> </w:t>
      </w:r>
      <w:r>
        <w:t>commitments on</w:t>
      </w:r>
      <w:r>
        <w:rPr>
          <w:spacing w:val="-6"/>
        </w:rPr>
        <w:t xml:space="preserve"> </w:t>
      </w:r>
      <w:r>
        <w:t>all</w:t>
      </w:r>
      <w:r>
        <w:rPr>
          <w:spacing w:val="-5"/>
        </w:rPr>
        <w:t xml:space="preserve"> </w:t>
      </w:r>
      <w:r>
        <w:t>contracts</w:t>
      </w:r>
      <w:r>
        <w:rPr>
          <w:spacing w:val="-5"/>
        </w:rPr>
        <w:t xml:space="preserve"> </w:t>
      </w:r>
      <w:r>
        <w:t>that</w:t>
      </w:r>
      <w:r>
        <w:rPr>
          <w:spacing w:val="-1"/>
        </w:rPr>
        <w:t xml:space="preserve"> </w:t>
      </w:r>
      <w:r>
        <w:t>have</w:t>
      </w:r>
      <w:r>
        <w:rPr>
          <w:spacing w:val="-7"/>
        </w:rPr>
        <w:t xml:space="preserve"> </w:t>
      </w:r>
      <w:r>
        <w:t>been awarded, or for which a letter of intent or acceptance has been received, or for contracts approaching completion, but for which an unqualified, full completion certificate has yet to be issued.</w:t>
      </w:r>
    </w:p>
    <w:p w14:paraId="6B3E23E6" w14:textId="77777777" w:rsidR="00BB77C0" w:rsidRDefault="00BB77C0">
      <w:pPr>
        <w:pStyle w:val="BodyText"/>
        <w:spacing w:before="21"/>
        <w:rPr>
          <w:sz w:val="20"/>
        </w:rPr>
      </w:pPr>
    </w:p>
    <w:tbl>
      <w:tblPr>
        <w:tblW w:w="0" w:type="auto"/>
        <w:tblInd w:w="95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43"/>
        <w:gridCol w:w="195"/>
        <w:gridCol w:w="1157"/>
        <w:gridCol w:w="2237"/>
        <w:gridCol w:w="2699"/>
        <w:gridCol w:w="1229"/>
        <w:gridCol w:w="1851"/>
        <w:gridCol w:w="339"/>
      </w:tblGrid>
      <w:tr w:rsidR="00BB77C0" w14:paraId="56C7BDD5" w14:textId="77777777">
        <w:trPr>
          <w:trHeight w:val="272"/>
        </w:trPr>
        <w:tc>
          <w:tcPr>
            <w:tcW w:w="343" w:type="dxa"/>
            <w:tcBorders>
              <w:top w:val="nil"/>
              <w:left w:val="nil"/>
              <w:right w:val="nil"/>
            </w:tcBorders>
          </w:tcPr>
          <w:p w14:paraId="49F4307B" w14:textId="77777777" w:rsidR="00BB77C0" w:rsidRDefault="00BB77C0">
            <w:pPr>
              <w:pStyle w:val="TableParagraph"/>
              <w:rPr>
                <w:sz w:val="20"/>
              </w:rPr>
            </w:pPr>
          </w:p>
        </w:tc>
        <w:tc>
          <w:tcPr>
            <w:tcW w:w="9368" w:type="dxa"/>
            <w:gridSpan w:val="6"/>
            <w:tcBorders>
              <w:top w:val="nil"/>
              <w:left w:val="nil"/>
              <w:right w:val="nil"/>
            </w:tcBorders>
            <w:shd w:val="clear" w:color="auto" w:fill="000000"/>
          </w:tcPr>
          <w:p w14:paraId="37F4B753" w14:textId="77777777" w:rsidR="00BB77C0" w:rsidRDefault="00370BAA">
            <w:pPr>
              <w:pStyle w:val="TableParagraph"/>
              <w:spacing w:before="1" w:line="252" w:lineRule="exact"/>
              <w:ind w:left="140"/>
              <w:rPr>
                <w:b/>
              </w:rPr>
            </w:pPr>
            <w:r>
              <w:rPr>
                <w:b/>
                <w:color w:val="FFFFFF"/>
              </w:rPr>
              <w:t>Current</w:t>
            </w:r>
            <w:r>
              <w:rPr>
                <w:b/>
                <w:color w:val="FFFFFF"/>
                <w:spacing w:val="-14"/>
              </w:rPr>
              <w:t xml:space="preserve"> </w:t>
            </w:r>
            <w:r>
              <w:rPr>
                <w:b/>
                <w:color w:val="FFFFFF"/>
              </w:rPr>
              <w:t>Contract</w:t>
            </w:r>
            <w:r>
              <w:rPr>
                <w:b/>
                <w:color w:val="FFFFFF"/>
                <w:spacing w:val="-12"/>
              </w:rPr>
              <w:t xml:space="preserve"> </w:t>
            </w:r>
            <w:r>
              <w:rPr>
                <w:b/>
                <w:color w:val="FFFFFF"/>
                <w:spacing w:val="-2"/>
              </w:rPr>
              <w:t>Commitments</w:t>
            </w:r>
          </w:p>
        </w:tc>
        <w:tc>
          <w:tcPr>
            <w:tcW w:w="339" w:type="dxa"/>
            <w:tcBorders>
              <w:top w:val="nil"/>
              <w:left w:val="nil"/>
              <w:right w:val="nil"/>
            </w:tcBorders>
          </w:tcPr>
          <w:p w14:paraId="4229C06C" w14:textId="77777777" w:rsidR="00BB77C0" w:rsidRDefault="00BB77C0">
            <w:pPr>
              <w:pStyle w:val="TableParagraph"/>
              <w:rPr>
                <w:sz w:val="20"/>
              </w:rPr>
            </w:pPr>
          </w:p>
        </w:tc>
      </w:tr>
      <w:tr w:rsidR="00BB77C0" w14:paraId="01877BA6" w14:textId="77777777">
        <w:trPr>
          <w:trHeight w:val="199"/>
        </w:trPr>
        <w:tc>
          <w:tcPr>
            <w:tcW w:w="538" w:type="dxa"/>
            <w:gridSpan w:val="2"/>
            <w:vMerge w:val="restart"/>
            <w:tcBorders>
              <w:right w:val="single" w:sz="6" w:space="0" w:color="000000"/>
            </w:tcBorders>
          </w:tcPr>
          <w:p w14:paraId="47CA82F9" w14:textId="77777777" w:rsidR="00BB77C0" w:rsidRDefault="00BB77C0">
            <w:pPr>
              <w:pStyle w:val="TableParagraph"/>
              <w:rPr>
                <w:sz w:val="20"/>
              </w:rPr>
            </w:pPr>
          </w:p>
        </w:tc>
        <w:tc>
          <w:tcPr>
            <w:tcW w:w="1157" w:type="dxa"/>
            <w:tcBorders>
              <w:left w:val="single" w:sz="6" w:space="0" w:color="000000"/>
              <w:bottom w:val="nil"/>
              <w:right w:val="single" w:sz="6" w:space="0" w:color="000000"/>
            </w:tcBorders>
          </w:tcPr>
          <w:p w14:paraId="3F0F6831" w14:textId="77777777" w:rsidR="00BB77C0" w:rsidRDefault="00BB77C0">
            <w:pPr>
              <w:pStyle w:val="TableParagraph"/>
              <w:rPr>
                <w:sz w:val="12"/>
              </w:rPr>
            </w:pPr>
          </w:p>
        </w:tc>
        <w:tc>
          <w:tcPr>
            <w:tcW w:w="2237" w:type="dxa"/>
            <w:tcBorders>
              <w:left w:val="single" w:sz="6" w:space="0" w:color="000000"/>
              <w:bottom w:val="nil"/>
              <w:right w:val="single" w:sz="6" w:space="0" w:color="000000"/>
            </w:tcBorders>
          </w:tcPr>
          <w:p w14:paraId="4D1D028E" w14:textId="77777777" w:rsidR="00BB77C0" w:rsidRDefault="00BB77C0">
            <w:pPr>
              <w:pStyle w:val="TableParagraph"/>
              <w:rPr>
                <w:sz w:val="12"/>
              </w:rPr>
            </w:pPr>
          </w:p>
        </w:tc>
        <w:tc>
          <w:tcPr>
            <w:tcW w:w="2699" w:type="dxa"/>
            <w:tcBorders>
              <w:left w:val="single" w:sz="6" w:space="0" w:color="000000"/>
              <w:bottom w:val="nil"/>
              <w:right w:val="single" w:sz="6" w:space="0" w:color="000000"/>
            </w:tcBorders>
          </w:tcPr>
          <w:p w14:paraId="6CF7EADC" w14:textId="77777777" w:rsidR="00BB77C0" w:rsidRDefault="00370BAA">
            <w:pPr>
              <w:pStyle w:val="TableParagraph"/>
              <w:spacing w:line="180" w:lineRule="exact"/>
              <w:ind w:left="91"/>
              <w:rPr>
                <w:b/>
                <w:sz w:val="20"/>
              </w:rPr>
            </w:pPr>
            <w:r>
              <w:rPr>
                <w:b/>
                <w:spacing w:val="-4"/>
                <w:sz w:val="20"/>
              </w:rPr>
              <w:t>Value of</w:t>
            </w:r>
            <w:r>
              <w:rPr>
                <w:b/>
                <w:spacing w:val="-5"/>
                <w:sz w:val="20"/>
              </w:rPr>
              <w:t xml:space="preserve"> </w:t>
            </w:r>
            <w:r>
              <w:rPr>
                <w:b/>
                <w:spacing w:val="-4"/>
                <w:sz w:val="20"/>
              </w:rPr>
              <w:t>Outstanding</w:t>
            </w:r>
            <w:r>
              <w:rPr>
                <w:b/>
                <w:spacing w:val="1"/>
                <w:sz w:val="20"/>
              </w:rPr>
              <w:t xml:space="preserve"> </w:t>
            </w:r>
            <w:r>
              <w:rPr>
                <w:b/>
                <w:spacing w:val="-4"/>
                <w:sz w:val="20"/>
              </w:rPr>
              <w:t>Work</w:t>
            </w:r>
          </w:p>
        </w:tc>
        <w:tc>
          <w:tcPr>
            <w:tcW w:w="1229" w:type="dxa"/>
            <w:tcBorders>
              <w:left w:val="single" w:sz="6" w:space="0" w:color="000000"/>
              <w:bottom w:val="nil"/>
              <w:right w:val="single" w:sz="6" w:space="0" w:color="000000"/>
            </w:tcBorders>
          </w:tcPr>
          <w:p w14:paraId="7DF9DBA0" w14:textId="77777777" w:rsidR="00BB77C0" w:rsidRDefault="00370BAA">
            <w:pPr>
              <w:pStyle w:val="TableParagraph"/>
              <w:spacing w:line="180" w:lineRule="exact"/>
              <w:ind w:left="96"/>
              <w:rPr>
                <w:b/>
                <w:sz w:val="20"/>
              </w:rPr>
            </w:pPr>
            <w:r>
              <w:rPr>
                <w:b/>
                <w:spacing w:val="-2"/>
                <w:sz w:val="20"/>
              </w:rPr>
              <w:t>Estimated</w:t>
            </w:r>
          </w:p>
        </w:tc>
        <w:tc>
          <w:tcPr>
            <w:tcW w:w="1851" w:type="dxa"/>
            <w:tcBorders>
              <w:left w:val="single" w:sz="6" w:space="0" w:color="000000"/>
              <w:bottom w:val="nil"/>
              <w:right w:val="nil"/>
            </w:tcBorders>
          </w:tcPr>
          <w:p w14:paraId="756B83EE" w14:textId="77777777" w:rsidR="00BB77C0" w:rsidRDefault="00370BAA">
            <w:pPr>
              <w:pStyle w:val="TableParagraph"/>
              <w:spacing w:line="180" w:lineRule="exact"/>
              <w:ind w:left="92"/>
              <w:rPr>
                <w:b/>
                <w:sz w:val="20"/>
              </w:rPr>
            </w:pPr>
            <w:r>
              <w:rPr>
                <w:b/>
                <w:spacing w:val="-5"/>
                <w:sz w:val="20"/>
              </w:rPr>
              <w:t>Average</w:t>
            </w:r>
            <w:r>
              <w:rPr>
                <w:b/>
                <w:spacing w:val="-1"/>
                <w:sz w:val="20"/>
              </w:rPr>
              <w:t xml:space="preserve"> </w:t>
            </w:r>
            <w:r>
              <w:rPr>
                <w:b/>
                <w:spacing w:val="-2"/>
                <w:sz w:val="20"/>
              </w:rPr>
              <w:t>Monthly</w:t>
            </w:r>
          </w:p>
        </w:tc>
        <w:tc>
          <w:tcPr>
            <w:tcW w:w="339" w:type="dxa"/>
            <w:tcBorders>
              <w:left w:val="nil"/>
              <w:bottom w:val="nil"/>
            </w:tcBorders>
          </w:tcPr>
          <w:p w14:paraId="38B13693" w14:textId="77777777" w:rsidR="00BB77C0" w:rsidRDefault="00BB77C0">
            <w:pPr>
              <w:pStyle w:val="TableParagraph"/>
              <w:rPr>
                <w:sz w:val="12"/>
              </w:rPr>
            </w:pPr>
          </w:p>
        </w:tc>
      </w:tr>
      <w:tr w:rsidR="00BB77C0" w14:paraId="3A84EA83" w14:textId="77777777">
        <w:trPr>
          <w:trHeight w:val="205"/>
        </w:trPr>
        <w:tc>
          <w:tcPr>
            <w:tcW w:w="538" w:type="dxa"/>
            <w:gridSpan w:val="2"/>
            <w:vMerge/>
            <w:tcBorders>
              <w:top w:val="nil"/>
              <w:right w:val="single" w:sz="6" w:space="0" w:color="000000"/>
            </w:tcBorders>
          </w:tcPr>
          <w:p w14:paraId="459F4567" w14:textId="77777777" w:rsidR="00BB77C0" w:rsidRDefault="00BB77C0">
            <w:pPr>
              <w:rPr>
                <w:sz w:val="2"/>
                <w:szCs w:val="2"/>
              </w:rPr>
            </w:pPr>
          </w:p>
        </w:tc>
        <w:tc>
          <w:tcPr>
            <w:tcW w:w="1157" w:type="dxa"/>
            <w:tcBorders>
              <w:top w:val="nil"/>
              <w:left w:val="single" w:sz="6" w:space="0" w:color="000000"/>
              <w:bottom w:val="nil"/>
              <w:right w:val="single" w:sz="6" w:space="0" w:color="000000"/>
            </w:tcBorders>
          </w:tcPr>
          <w:p w14:paraId="0A365FCE" w14:textId="77777777" w:rsidR="00BB77C0" w:rsidRDefault="00370BAA">
            <w:pPr>
              <w:pStyle w:val="TableParagraph"/>
              <w:spacing w:line="185" w:lineRule="exact"/>
              <w:ind w:left="91"/>
              <w:rPr>
                <w:b/>
                <w:sz w:val="20"/>
              </w:rPr>
            </w:pPr>
            <w:r>
              <w:rPr>
                <w:b/>
                <w:sz w:val="20"/>
              </w:rPr>
              <w:t>Name</w:t>
            </w:r>
            <w:r>
              <w:rPr>
                <w:b/>
                <w:spacing w:val="-5"/>
                <w:sz w:val="20"/>
              </w:rPr>
              <w:t xml:space="preserve"> of</w:t>
            </w:r>
          </w:p>
        </w:tc>
        <w:tc>
          <w:tcPr>
            <w:tcW w:w="2237" w:type="dxa"/>
            <w:tcBorders>
              <w:top w:val="nil"/>
              <w:left w:val="single" w:sz="6" w:space="0" w:color="000000"/>
              <w:bottom w:val="nil"/>
              <w:right w:val="single" w:sz="6" w:space="0" w:color="000000"/>
            </w:tcBorders>
          </w:tcPr>
          <w:p w14:paraId="6306298A" w14:textId="77777777" w:rsidR="00BB77C0" w:rsidRDefault="00370BAA">
            <w:pPr>
              <w:pStyle w:val="TableParagraph"/>
              <w:spacing w:line="185" w:lineRule="exact"/>
              <w:ind w:left="96"/>
              <w:rPr>
                <w:b/>
                <w:sz w:val="20"/>
              </w:rPr>
            </w:pPr>
            <w:r>
              <w:rPr>
                <w:b/>
                <w:spacing w:val="-2"/>
                <w:sz w:val="20"/>
              </w:rPr>
              <w:t>Procuring Entity’s</w:t>
            </w:r>
          </w:p>
        </w:tc>
        <w:tc>
          <w:tcPr>
            <w:tcW w:w="2699" w:type="dxa"/>
            <w:tcBorders>
              <w:top w:val="nil"/>
              <w:left w:val="single" w:sz="6" w:space="0" w:color="000000"/>
              <w:bottom w:val="nil"/>
              <w:right w:val="single" w:sz="6" w:space="0" w:color="000000"/>
            </w:tcBorders>
          </w:tcPr>
          <w:p w14:paraId="7E748CD0" w14:textId="77777777" w:rsidR="00BB77C0" w:rsidRDefault="00370BAA">
            <w:pPr>
              <w:pStyle w:val="TableParagraph"/>
              <w:spacing w:line="185" w:lineRule="exact"/>
              <w:ind w:left="91"/>
              <w:rPr>
                <w:b/>
                <w:sz w:val="20"/>
              </w:rPr>
            </w:pPr>
            <w:r>
              <w:rPr>
                <w:b/>
                <w:spacing w:val="-6"/>
                <w:sz w:val="20"/>
              </w:rPr>
              <w:t>[Current</w:t>
            </w:r>
            <w:r>
              <w:rPr>
                <w:b/>
                <w:spacing w:val="5"/>
                <w:sz w:val="20"/>
              </w:rPr>
              <w:t xml:space="preserve"> </w:t>
            </w:r>
            <w:r>
              <w:rPr>
                <w:b/>
                <w:spacing w:val="-6"/>
                <w:sz w:val="20"/>
              </w:rPr>
              <w:t>Kenya</w:t>
            </w:r>
            <w:r>
              <w:rPr>
                <w:b/>
                <w:spacing w:val="1"/>
                <w:sz w:val="20"/>
              </w:rPr>
              <w:t xml:space="preserve"> </w:t>
            </w:r>
            <w:r>
              <w:rPr>
                <w:b/>
                <w:spacing w:val="-6"/>
                <w:sz w:val="20"/>
              </w:rPr>
              <w:t>Shilling</w:t>
            </w:r>
          </w:p>
        </w:tc>
        <w:tc>
          <w:tcPr>
            <w:tcW w:w="1229" w:type="dxa"/>
            <w:tcBorders>
              <w:top w:val="nil"/>
              <w:left w:val="single" w:sz="6" w:space="0" w:color="000000"/>
              <w:bottom w:val="nil"/>
              <w:right w:val="single" w:sz="6" w:space="0" w:color="000000"/>
            </w:tcBorders>
          </w:tcPr>
          <w:p w14:paraId="584B072A" w14:textId="77777777" w:rsidR="00BB77C0" w:rsidRDefault="00370BAA">
            <w:pPr>
              <w:pStyle w:val="TableParagraph"/>
              <w:spacing w:line="185" w:lineRule="exact"/>
              <w:ind w:left="96"/>
              <w:rPr>
                <w:b/>
                <w:sz w:val="20"/>
              </w:rPr>
            </w:pPr>
            <w:r>
              <w:rPr>
                <w:b/>
                <w:spacing w:val="-2"/>
                <w:sz w:val="20"/>
              </w:rPr>
              <w:t>Completion</w:t>
            </w:r>
          </w:p>
        </w:tc>
        <w:tc>
          <w:tcPr>
            <w:tcW w:w="2190" w:type="dxa"/>
            <w:gridSpan w:val="2"/>
            <w:tcBorders>
              <w:top w:val="nil"/>
              <w:left w:val="single" w:sz="6" w:space="0" w:color="000000"/>
              <w:bottom w:val="nil"/>
            </w:tcBorders>
          </w:tcPr>
          <w:p w14:paraId="515EBCFC" w14:textId="77777777" w:rsidR="00BB77C0" w:rsidRDefault="00370BAA">
            <w:pPr>
              <w:pStyle w:val="TableParagraph"/>
              <w:spacing w:line="185" w:lineRule="exact"/>
              <w:ind w:left="92"/>
              <w:rPr>
                <w:b/>
                <w:sz w:val="20"/>
              </w:rPr>
            </w:pPr>
            <w:r>
              <w:rPr>
                <w:b/>
                <w:spacing w:val="-4"/>
                <w:sz w:val="20"/>
              </w:rPr>
              <w:t>Invoicing</w:t>
            </w:r>
            <w:r>
              <w:rPr>
                <w:b/>
                <w:spacing w:val="-10"/>
                <w:sz w:val="20"/>
              </w:rPr>
              <w:t xml:space="preserve"> </w:t>
            </w:r>
            <w:r>
              <w:rPr>
                <w:b/>
                <w:spacing w:val="-4"/>
                <w:sz w:val="20"/>
              </w:rPr>
              <w:t>Over</w:t>
            </w:r>
            <w:r>
              <w:rPr>
                <w:b/>
                <w:spacing w:val="-2"/>
                <w:sz w:val="20"/>
              </w:rPr>
              <w:t xml:space="preserve"> </w:t>
            </w:r>
            <w:r>
              <w:rPr>
                <w:b/>
                <w:spacing w:val="-4"/>
                <w:sz w:val="20"/>
              </w:rPr>
              <w:t>Last</w:t>
            </w:r>
            <w:r>
              <w:rPr>
                <w:b/>
                <w:spacing w:val="3"/>
                <w:sz w:val="20"/>
              </w:rPr>
              <w:t xml:space="preserve"> </w:t>
            </w:r>
            <w:r>
              <w:rPr>
                <w:b/>
                <w:spacing w:val="-5"/>
                <w:sz w:val="20"/>
              </w:rPr>
              <w:t>Six</w:t>
            </w:r>
          </w:p>
        </w:tc>
      </w:tr>
      <w:tr w:rsidR="00BB77C0" w14:paraId="337B5E75" w14:textId="77777777">
        <w:trPr>
          <w:trHeight w:val="202"/>
        </w:trPr>
        <w:tc>
          <w:tcPr>
            <w:tcW w:w="538" w:type="dxa"/>
            <w:gridSpan w:val="2"/>
            <w:vMerge/>
            <w:tcBorders>
              <w:top w:val="nil"/>
              <w:right w:val="single" w:sz="6" w:space="0" w:color="000000"/>
            </w:tcBorders>
          </w:tcPr>
          <w:p w14:paraId="18256AB3" w14:textId="77777777" w:rsidR="00BB77C0" w:rsidRDefault="00BB77C0">
            <w:pPr>
              <w:rPr>
                <w:sz w:val="2"/>
                <w:szCs w:val="2"/>
              </w:rPr>
            </w:pPr>
          </w:p>
        </w:tc>
        <w:tc>
          <w:tcPr>
            <w:tcW w:w="1157" w:type="dxa"/>
            <w:tcBorders>
              <w:top w:val="nil"/>
              <w:left w:val="single" w:sz="6" w:space="0" w:color="000000"/>
              <w:bottom w:val="nil"/>
              <w:right w:val="single" w:sz="6" w:space="0" w:color="000000"/>
            </w:tcBorders>
          </w:tcPr>
          <w:p w14:paraId="6E7B16F6" w14:textId="77777777" w:rsidR="00BB77C0" w:rsidRDefault="00370BAA">
            <w:pPr>
              <w:pStyle w:val="TableParagraph"/>
              <w:spacing w:line="183" w:lineRule="exact"/>
              <w:ind w:left="91"/>
              <w:rPr>
                <w:b/>
                <w:sz w:val="20"/>
              </w:rPr>
            </w:pPr>
            <w:r>
              <w:rPr>
                <w:b/>
                <w:spacing w:val="-2"/>
                <w:sz w:val="20"/>
              </w:rPr>
              <w:t>Contract</w:t>
            </w:r>
          </w:p>
        </w:tc>
        <w:tc>
          <w:tcPr>
            <w:tcW w:w="2237" w:type="dxa"/>
            <w:tcBorders>
              <w:top w:val="nil"/>
              <w:left w:val="single" w:sz="6" w:space="0" w:color="000000"/>
              <w:bottom w:val="nil"/>
              <w:right w:val="single" w:sz="6" w:space="0" w:color="000000"/>
            </w:tcBorders>
          </w:tcPr>
          <w:p w14:paraId="032CD594" w14:textId="77777777" w:rsidR="00BB77C0" w:rsidRDefault="00370BAA">
            <w:pPr>
              <w:pStyle w:val="TableParagraph"/>
              <w:spacing w:line="183" w:lineRule="exact"/>
              <w:ind w:left="96"/>
              <w:rPr>
                <w:b/>
                <w:sz w:val="20"/>
              </w:rPr>
            </w:pPr>
            <w:r>
              <w:rPr>
                <w:b/>
                <w:spacing w:val="-4"/>
                <w:sz w:val="20"/>
              </w:rPr>
              <w:t>Contact</w:t>
            </w:r>
            <w:r>
              <w:rPr>
                <w:b/>
                <w:spacing w:val="-9"/>
                <w:sz w:val="20"/>
              </w:rPr>
              <w:t xml:space="preserve"> </w:t>
            </w:r>
            <w:r>
              <w:rPr>
                <w:b/>
                <w:spacing w:val="-4"/>
                <w:sz w:val="20"/>
              </w:rPr>
              <w:t>Address,</w:t>
            </w:r>
            <w:r>
              <w:rPr>
                <w:b/>
                <w:spacing w:val="-5"/>
                <w:sz w:val="20"/>
              </w:rPr>
              <w:t xml:space="preserve"> </w:t>
            </w:r>
            <w:r>
              <w:rPr>
                <w:b/>
                <w:spacing w:val="-4"/>
                <w:sz w:val="20"/>
              </w:rPr>
              <w:t>Tel,</w:t>
            </w:r>
          </w:p>
        </w:tc>
        <w:tc>
          <w:tcPr>
            <w:tcW w:w="2699" w:type="dxa"/>
            <w:tcBorders>
              <w:top w:val="nil"/>
              <w:left w:val="single" w:sz="6" w:space="0" w:color="000000"/>
              <w:bottom w:val="nil"/>
              <w:right w:val="single" w:sz="6" w:space="0" w:color="000000"/>
            </w:tcBorders>
          </w:tcPr>
          <w:p w14:paraId="6A0A4C21" w14:textId="77777777" w:rsidR="00BB77C0" w:rsidRDefault="00370BAA">
            <w:pPr>
              <w:pStyle w:val="TableParagraph"/>
              <w:spacing w:line="183" w:lineRule="exact"/>
              <w:ind w:left="91"/>
              <w:rPr>
                <w:b/>
                <w:sz w:val="20"/>
              </w:rPr>
            </w:pPr>
            <w:r>
              <w:rPr>
                <w:b/>
                <w:spacing w:val="-2"/>
                <w:sz w:val="20"/>
              </w:rPr>
              <w:t>/month</w:t>
            </w:r>
            <w:r>
              <w:rPr>
                <w:b/>
                <w:spacing w:val="-17"/>
                <w:sz w:val="20"/>
              </w:rPr>
              <w:t xml:space="preserve"> </w:t>
            </w:r>
            <w:r>
              <w:rPr>
                <w:b/>
                <w:spacing w:val="-2"/>
                <w:sz w:val="20"/>
              </w:rPr>
              <w:t>Equivalent]</w:t>
            </w:r>
          </w:p>
        </w:tc>
        <w:tc>
          <w:tcPr>
            <w:tcW w:w="1229" w:type="dxa"/>
            <w:tcBorders>
              <w:top w:val="nil"/>
              <w:left w:val="single" w:sz="6" w:space="0" w:color="000000"/>
              <w:bottom w:val="nil"/>
              <w:right w:val="single" w:sz="6" w:space="0" w:color="000000"/>
            </w:tcBorders>
          </w:tcPr>
          <w:p w14:paraId="28178521" w14:textId="77777777" w:rsidR="00BB77C0" w:rsidRDefault="00370BAA">
            <w:pPr>
              <w:pStyle w:val="TableParagraph"/>
              <w:spacing w:line="183" w:lineRule="exact"/>
              <w:ind w:left="96"/>
              <w:rPr>
                <w:b/>
                <w:sz w:val="20"/>
              </w:rPr>
            </w:pPr>
            <w:r>
              <w:rPr>
                <w:b/>
                <w:spacing w:val="-4"/>
                <w:sz w:val="20"/>
              </w:rPr>
              <w:t>Date</w:t>
            </w:r>
          </w:p>
        </w:tc>
        <w:tc>
          <w:tcPr>
            <w:tcW w:w="1851" w:type="dxa"/>
            <w:tcBorders>
              <w:top w:val="nil"/>
              <w:left w:val="single" w:sz="6" w:space="0" w:color="000000"/>
              <w:bottom w:val="nil"/>
              <w:right w:val="nil"/>
            </w:tcBorders>
          </w:tcPr>
          <w:p w14:paraId="295B0620" w14:textId="77777777" w:rsidR="00BB77C0" w:rsidRDefault="00370BAA">
            <w:pPr>
              <w:pStyle w:val="TableParagraph"/>
              <w:spacing w:line="183" w:lineRule="exact"/>
              <w:ind w:left="92"/>
              <w:rPr>
                <w:b/>
                <w:sz w:val="20"/>
              </w:rPr>
            </w:pPr>
            <w:r>
              <w:rPr>
                <w:b/>
                <w:spacing w:val="-2"/>
                <w:sz w:val="20"/>
              </w:rPr>
              <w:t>Months</w:t>
            </w:r>
          </w:p>
        </w:tc>
        <w:tc>
          <w:tcPr>
            <w:tcW w:w="339" w:type="dxa"/>
            <w:tcBorders>
              <w:top w:val="nil"/>
              <w:left w:val="nil"/>
              <w:bottom w:val="nil"/>
            </w:tcBorders>
          </w:tcPr>
          <w:p w14:paraId="2406C9E0" w14:textId="77777777" w:rsidR="00BB77C0" w:rsidRDefault="00BB77C0">
            <w:pPr>
              <w:pStyle w:val="TableParagraph"/>
              <w:rPr>
                <w:sz w:val="14"/>
              </w:rPr>
            </w:pPr>
          </w:p>
        </w:tc>
      </w:tr>
      <w:tr w:rsidR="00BB77C0" w14:paraId="17B12404" w14:textId="77777777">
        <w:trPr>
          <w:trHeight w:val="227"/>
        </w:trPr>
        <w:tc>
          <w:tcPr>
            <w:tcW w:w="538" w:type="dxa"/>
            <w:gridSpan w:val="2"/>
            <w:vMerge/>
            <w:tcBorders>
              <w:top w:val="nil"/>
              <w:right w:val="single" w:sz="6" w:space="0" w:color="000000"/>
            </w:tcBorders>
          </w:tcPr>
          <w:p w14:paraId="1EE37E4E" w14:textId="77777777" w:rsidR="00BB77C0" w:rsidRDefault="00BB77C0">
            <w:pPr>
              <w:rPr>
                <w:sz w:val="2"/>
                <w:szCs w:val="2"/>
              </w:rPr>
            </w:pPr>
          </w:p>
        </w:tc>
        <w:tc>
          <w:tcPr>
            <w:tcW w:w="1157" w:type="dxa"/>
            <w:tcBorders>
              <w:top w:val="nil"/>
              <w:left w:val="single" w:sz="6" w:space="0" w:color="000000"/>
              <w:right w:val="single" w:sz="6" w:space="0" w:color="000000"/>
            </w:tcBorders>
          </w:tcPr>
          <w:p w14:paraId="18713AF9" w14:textId="77777777" w:rsidR="00BB77C0" w:rsidRDefault="00BB77C0">
            <w:pPr>
              <w:pStyle w:val="TableParagraph"/>
              <w:rPr>
                <w:sz w:val="16"/>
              </w:rPr>
            </w:pPr>
          </w:p>
        </w:tc>
        <w:tc>
          <w:tcPr>
            <w:tcW w:w="2237" w:type="dxa"/>
            <w:tcBorders>
              <w:top w:val="nil"/>
              <w:left w:val="single" w:sz="6" w:space="0" w:color="000000"/>
              <w:right w:val="single" w:sz="6" w:space="0" w:color="000000"/>
            </w:tcBorders>
          </w:tcPr>
          <w:p w14:paraId="4AF0249E" w14:textId="77777777" w:rsidR="00BB77C0" w:rsidRDefault="00BB77C0">
            <w:pPr>
              <w:pStyle w:val="TableParagraph"/>
              <w:rPr>
                <w:sz w:val="16"/>
              </w:rPr>
            </w:pPr>
          </w:p>
        </w:tc>
        <w:tc>
          <w:tcPr>
            <w:tcW w:w="2699" w:type="dxa"/>
            <w:tcBorders>
              <w:top w:val="nil"/>
              <w:left w:val="single" w:sz="6" w:space="0" w:color="000000"/>
              <w:right w:val="single" w:sz="6" w:space="0" w:color="000000"/>
            </w:tcBorders>
          </w:tcPr>
          <w:p w14:paraId="79B9AA25" w14:textId="77777777" w:rsidR="00BB77C0" w:rsidRDefault="00BB77C0">
            <w:pPr>
              <w:pStyle w:val="TableParagraph"/>
              <w:rPr>
                <w:sz w:val="16"/>
              </w:rPr>
            </w:pPr>
          </w:p>
        </w:tc>
        <w:tc>
          <w:tcPr>
            <w:tcW w:w="1229" w:type="dxa"/>
            <w:tcBorders>
              <w:top w:val="nil"/>
              <w:left w:val="single" w:sz="6" w:space="0" w:color="000000"/>
              <w:right w:val="single" w:sz="6" w:space="0" w:color="000000"/>
            </w:tcBorders>
          </w:tcPr>
          <w:p w14:paraId="62C14B18" w14:textId="77777777" w:rsidR="00BB77C0" w:rsidRDefault="00BB77C0">
            <w:pPr>
              <w:pStyle w:val="TableParagraph"/>
              <w:rPr>
                <w:sz w:val="16"/>
              </w:rPr>
            </w:pPr>
          </w:p>
        </w:tc>
        <w:tc>
          <w:tcPr>
            <w:tcW w:w="2190" w:type="dxa"/>
            <w:gridSpan w:val="2"/>
            <w:tcBorders>
              <w:top w:val="nil"/>
              <w:left w:val="single" w:sz="6" w:space="0" w:color="000000"/>
            </w:tcBorders>
          </w:tcPr>
          <w:p w14:paraId="2C6AC916" w14:textId="77777777" w:rsidR="00BB77C0" w:rsidRDefault="00370BAA">
            <w:pPr>
              <w:pStyle w:val="TableParagraph"/>
              <w:spacing w:line="208" w:lineRule="exact"/>
              <w:ind w:left="92"/>
              <w:rPr>
                <w:b/>
                <w:sz w:val="20"/>
              </w:rPr>
            </w:pPr>
            <w:r>
              <w:rPr>
                <w:b/>
                <w:spacing w:val="-6"/>
                <w:sz w:val="20"/>
              </w:rPr>
              <w:t>[Kenya Shilling</w:t>
            </w:r>
            <w:r>
              <w:rPr>
                <w:b/>
                <w:spacing w:val="-7"/>
                <w:sz w:val="20"/>
              </w:rPr>
              <w:t xml:space="preserve"> </w:t>
            </w:r>
            <w:r>
              <w:rPr>
                <w:b/>
                <w:spacing w:val="-6"/>
                <w:sz w:val="20"/>
              </w:rPr>
              <w:t>/month)]</w:t>
            </w:r>
          </w:p>
        </w:tc>
      </w:tr>
      <w:tr w:rsidR="00BB77C0" w14:paraId="45222220" w14:textId="77777777">
        <w:trPr>
          <w:trHeight w:val="253"/>
        </w:trPr>
        <w:tc>
          <w:tcPr>
            <w:tcW w:w="538" w:type="dxa"/>
            <w:gridSpan w:val="2"/>
            <w:tcBorders>
              <w:left w:val="single" w:sz="6" w:space="0" w:color="000000"/>
              <w:bottom w:val="single" w:sz="6" w:space="0" w:color="000000"/>
              <w:right w:val="single" w:sz="6" w:space="0" w:color="000000"/>
            </w:tcBorders>
          </w:tcPr>
          <w:p w14:paraId="01BF6AD3" w14:textId="77777777" w:rsidR="00BB77C0" w:rsidRDefault="00370BAA">
            <w:pPr>
              <w:pStyle w:val="TableParagraph"/>
              <w:spacing w:line="234" w:lineRule="exact"/>
              <w:ind w:left="95"/>
            </w:pPr>
            <w:r>
              <w:rPr>
                <w:spacing w:val="-10"/>
              </w:rPr>
              <w:t>1</w:t>
            </w:r>
          </w:p>
        </w:tc>
        <w:tc>
          <w:tcPr>
            <w:tcW w:w="1157" w:type="dxa"/>
            <w:tcBorders>
              <w:left w:val="single" w:sz="6" w:space="0" w:color="000000"/>
              <w:bottom w:val="single" w:sz="6" w:space="0" w:color="000000"/>
              <w:right w:val="single" w:sz="6" w:space="0" w:color="000000"/>
            </w:tcBorders>
          </w:tcPr>
          <w:p w14:paraId="2771CB10" w14:textId="77777777" w:rsidR="00BB77C0" w:rsidRDefault="00BB77C0">
            <w:pPr>
              <w:pStyle w:val="TableParagraph"/>
              <w:rPr>
                <w:sz w:val="18"/>
              </w:rPr>
            </w:pPr>
          </w:p>
        </w:tc>
        <w:tc>
          <w:tcPr>
            <w:tcW w:w="2237" w:type="dxa"/>
            <w:tcBorders>
              <w:left w:val="single" w:sz="6" w:space="0" w:color="000000"/>
              <w:bottom w:val="single" w:sz="6" w:space="0" w:color="000000"/>
              <w:right w:val="single" w:sz="6" w:space="0" w:color="000000"/>
            </w:tcBorders>
          </w:tcPr>
          <w:p w14:paraId="5387F74F" w14:textId="77777777" w:rsidR="00BB77C0" w:rsidRDefault="00BB77C0">
            <w:pPr>
              <w:pStyle w:val="TableParagraph"/>
              <w:rPr>
                <w:sz w:val="18"/>
              </w:rPr>
            </w:pPr>
          </w:p>
        </w:tc>
        <w:tc>
          <w:tcPr>
            <w:tcW w:w="2699" w:type="dxa"/>
            <w:tcBorders>
              <w:left w:val="single" w:sz="6" w:space="0" w:color="000000"/>
              <w:bottom w:val="single" w:sz="6" w:space="0" w:color="000000"/>
              <w:right w:val="single" w:sz="6" w:space="0" w:color="000000"/>
            </w:tcBorders>
          </w:tcPr>
          <w:p w14:paraId="22278205" w14:textId="77777777" w:rsidR="00BB77C0" w:rsidRDefault="00BB77C0">
            <w:pPr>
              <w:pStyle w:val="TableParagraph"/>
              <w:rPr>
                <w:sz w:val="18"/>
              </w:rPr>
            </w:pPr>
          </w:p>
        </w:tc>
        <w:tc>
          <w:tcPr>
            <w:tcW w:w="1229" w:type="dxa"/>
            <w:tcBorders>
              <w:left w:val="single" w:sz="6" w:space="0" w:color="000000"/>
              <w:bottom w:val="single" w:sz="6" w:space="0" w:color="000000"/>
              <w:right w:val="single" w:sz="6" w:space="0" w:color="000000"/>
            </w:tcBorders>
          </w:tcPr>
          <w:p w14:paraId="60B3B801" w14:textId="77777777" w:rsidR="00BB77C0" w:rsidRDefault="00BB77C0">
            <w:pPr>
              <w:pStyle w:val="TableParagraph"/>
              <w:rPr>
                <w:sz w:val="18"/>
              </w:rPr>
            </w:pPr>
          </w:p>
        </w:tc>
        <w:tc>
          <w:tcPr>
            <w:tcW w:w="2190" w:type="dxa"/>
            <w:gridSpan w:val="2"/>
            <w:tcBorders>
              <w:left w:val="single" w:sz="6" w:space="0" w:color="000000"/>
              <w:bottom w:val="single" w:sz="6" w:space="0" w:color="000000"/>
              <w:right w:val="single" w:sz="6" w:space="0" w:color="000000"/>
            </w:tcBorders>
          </w:tcPr>
          <w:p w14:paraId="69A6F56C" w14:textId="77777777" w:rsidR="00BB77C0" w:rsidRDefault="00BB77C0">
            <w:pPr>
              <w:pStyle w:val="TableParagraph"/>
              <w:rPr>
                <w:sz w:val="18"/>
              </w:rPr>
            </w:pPr>
          </w:p>
        </w:tc>
      </w:tr>
      <w:tr w:rsidR="00BB77C0" w14:paraId="39FEB248" w14:textId="77777777">
        <w:trPr>
          <w:trHeight w:val="254"/>
        </w:trPr>
        <w:tc>
          <w:tcPr>
            <w:tcW w:w="538" w:type="dxa"/>
            <w:gridSpan w:val="2"/>
            <w:tcBorders>
              <w:top w:val="single" w:sz="6" w:space="0" w:color="000000"/>
              <w:left w:val="single" w:sz="6" w:space="0" w:color="000000"/>
              <w:bottom w:val="single" w:sz="6" w:space="0" w:color="000000"/>
              <w:right w:val="single" w:sz="6" w:space="0" w:color="000000"/>
            </w:tcBorders>
          </w:tcPr>
          <w:p w14:paraId="4984030F" w14:textId="77777777" w:rsidR="00BB77C0" w:rsidRDefault="00370BAA">
            <w:pPr>
              <w:pStyle w:val="TableParagraph"/>
              <w:spacing w:line="234" w:lineRule="exact"/>
              <w:ind w:left="95"/>
            </w:pPr>
            <w:r>
              <w:rPr>
                <w:spacing w:val="-10"/>
              </w:rPr>
              <w:t>2</w:t>
            </w:r>
          </w:p>
        </w:tc>
        <w:tc>
          <w:tcPr>
            <w:tcW w:w="1157" w:type="dxa"/>
            <w:tcBorders>
              <w:top w:val="single" w:sz="6" w:space="0" w:color="000000"/>
              <w:left w:val="single" w:sz="6" w:space="0" w:color="000000"/>
              <w:bottom w:val="single" w:sz="6" w:space="0" w:color="000000"/>
              <w:right w:val="single" w:sz="6" w:space="0" w:color="000000"/>
            </w:tcBorders>
          </w:tcPr>
          <w:p w14:paraId="687643B1" w14:textId="77777777" w:rsidR="00BB77C0" w:rsidRDefault="00BB77C0">
            <w:pPr>
              <w:pStyle w:val="TableParagraph"/>
              <w:rPr>
                <w:sz w:val="18"/>
              </w:rPr>
            </w:pPr>
          </w:p>
        </w:tc>
        <w:tc>
          <w:tcPr>
            <w:tcW w:w="2237" w:type="dxa"/>
            <w:tcBorders>
              <w:top w:val="single" w:sz="6" w:space="0" w:color="000000"/>
              <w:left w:val="single" w:sz="6" w:space="0" w:color="000000"/>
              <w:bottom w:val="single" w:sz="6" w:space="0" w:color="000000"/>
              <w:right w:val="single" w:sz="6" w:space="0" w:color="000000"/>
            </w:tcBorders>
          </w:tcPr>
          <w:p w14:paraId="1C0FD710" w14:textId="77777777" w:rsidR="00BB77C0" w:rsidRDefault="00BB77C0">
            <w:pPr>
              <w:pStyle w:val="TableParagraph"/>
              <w:rPr>
                <w:sz w:val="18"/>
              </w:rPr>
            </w:pPr>
          </w:p>
        </w:tc>
        <w:tc>
          <w:tcPr>
            <w:tcW w:w="2699" w:type="dxa"/>
            <w:tcBorders>
              <w:top w:val="single" w:sz="6" w:space="0" w:color="000000"/>
              <w:left w:val="single" w:sz="6" w:space="0" w:color="000000"/>
              <w:bottom w:val="single" w:sz="6" w:space="0" w:color="000000"/>
              <w:right w:val="single" w:sz="6" w:space="0" w:color="000000"/>
            </w:tcBorders>
          </w:tcPr>
          <w:p w14:paraId="26BA3AA9" w14:textId="77777777" w:rsidR="00BB77C0" w:rsidRDefault="00BB77C0">
            <w:pPr>
              <w:pStyle w:val="TableParagraph"/>
              <w:rPr>
                <w:sz w:val="18"/>
              </w:rPr>
            </w:pPr>
          </w:p>
        </w:tc>
        <w:tc>
          <w:tcPr>
            <w:tcW w:w="1229" w:type="dxa"/>
            <w:tcBorders>
              <w:top w:val="single" w:sz="6" w:space="0" w:color="000000"/>
              <w:left w:val="single" w:sz="6" w:space="0" w:color="000000"/>
              <w:bottom w:val="single" w:sz="6" w:space="0" w:color="000000"/>
              <w:right w:val="single" w:sz="6" w:space="0" w:color="000000"/>
            </w:tcBorders>
          </w:tcPr>
          <w:p w14:paraId="51692190" w14:textId="77777777" w:rsidR="00BB77C0" w:rsidRDefault="00BB77C0">
            <w:pPr>
              <w:pStyle w:val="TableParagraph"/>
              <w:rPr>
                <w:sz w:val="18"/>
              </w:rPr>
            </w:pPr>
          </w:p>
        </w:tc>
        <w:tc>
          <w:tcPr>
            <w:tcW w:w="2190" w:type="dxa"/>
            <w:gridSpan w:val="2"/>
            <w:tcBorders>
              <w:top w:val="single" w:sz="6" w:space="0" w:color="000000"/>
              <w:left w:val="single" w:sz="6" w:space="0" w:color="000000"/>
              <w:bottom w:val="single" w:sz="6" w:space="0" w:color="000000"/>
              <w:right w:val="single" w:sz="6" w:space="0" w:color="000000"/>
            </w:tcBorders>
          </w:tcPr>
          <w:p w14:paraId="493965AE" w14:textId="77777777" w:rsidR="00BB77C0" w:rsidRDefault="00BB77C0">
            <w:pPr>
              <w:pStyle w:val="TableParagraph"/>
              <w:rPr>
                <w:sz w:val="18"/>
              </w:rPr>
            </w:pPr>
          </w:p>
        </w:tc>
      </w:tr>
      <w:tr w:rsidR="00BB77C0" w14:paraId="7B426013" w14:textId="77777777">
        <w:trPr>
          <w:trHeight w:val="253"/>
        </w:trPr>
        <w:tc>
          <w:tcPr>
            <w:tcW w:w="538" w:type="dxa"/>
            <w:gridSpan w:val="2"/>
            <w:tcBorders>
              <w:top w:val="single" w:sz="6" w:space="0" w:color="000000"/>
              <w:left w:val="single" w:sz="6" w:space="0" w:color="000000"/>
              <w:bottom w:val="single" w:sz="6" w:space="0" w:color="000000"/>
              <w:right w:val="single" w:sz="6" w:space="0" w:color="000000"/>
            </w:tcBorders>
          </w:tcPr>
          <w:p w14:paraId="7B0A4779" w14:textId="77777777" w:rsidR="00BB77C0" w:rsidRDefault="00370BAA">
            <w:pPr>
              <w:pStyle w:val="TableParagraph"/>
              <w:spacing w:line="234" w:lineRule="exact"/>
              <w:ind w:left="95"/>
            </w:pPr>
            <w:r>
              <w:rPr>
                <w:spacing w:val="-10"/>
              </w:rPr>
              <w:t>3</w:t>
            </w:r>
          </w:p>
        </w:tc>
        <w:tc>
          <w:tcPr>
            <w:tcW w:w="1157" w:type="dxa"/>
            <w:tcBorders>
              <w:top w:val="single" w:sz="6" w:space="0" w:color="000000"/>
              <w:left w:val="single" w:sz="6" w:space="0" w:color="000000"/>
              <w:bottom w:val="single" w:sz="6" w:space="0" w:color="000000"/>
              <w:right w:val="single" w:sz="6" w:space="0" w:color="000000"/>
            </w:tcBorders>
          </w:tcPr>
          <w:p w14:paraId="5464EC8F" w14:textId="77777777" w:rsidR="00BB77C0" w:rsidRDefault="00BB77C0">
            <w:pPr>
              <w:pStyle w:val="TableParagraph"/>
              <w:rPr>
                <w:sz w:val="18"/>
              </w:rPr>
            </w:pPr>
          </w:p>
        </w:tc>
        <w:tc>
          <w:tcPr>
            <w:tcW w:w="2237" w:type="dxa"/>
            <w:tcBorders>
              <w:top w:val="single" w:sz="6" w:space="0" w:color="000000"/>
              <w:left w:val="single" w:sz="6" w:space="0" w:color="000000"/>
              <w:bottom w:val="single" w:sz="6" w:space="0" w:color="000000"/>
              <w:right w:val="single" w:sz="6" w:space="0" w:color="000000"/>
            </w:tcBorders>
          </w:tcPr>
          <w:p w14:paraId="3ED410AD" w14:textId="77777777" w:rsidR="00BB77C0" w:rsidRDefault="00BB77C0">
            <w:pPr>
              <w:pStyle w:val="TableParagraph"/>
              <w:rPr>
                <w:sz w:val="18"/>
              </w:rPr>
            </w:pPr>
          </w:p>
        </w:tc>
        <w:tc>
          <w:tcPr>
            <w:tcW w:w="2699" w:type="dxa"/>
            <w:tcBorders>
              <w:top w:val="single" w:sz="6" w:space="0" w:color="000000"/>
              <w:left w:val="single" w:sz="6" w:space="0" w:color="000000"/>
              <w:bottom w:val="single" w:sz="6" w:space="0" w:color="000000"/>
              <w:right w:val="single" w:sz="6" w:space="0" w:color="000000"/>
            </w:tcBorders>
          </w:tcPr>
          <w:p w14:paraId="689097CF" w14:textId="77777777" w:rsidR="00BB77C0" w:rsidRDefault="00BB77C0">
            <w:pPr>
              <w:pStyle w:val="TableParagraph"/>
              <w:rPr>
                <w:sz w:val="18"/>
              </w:rPr>
            </w:pPr>
          </w:p>
        </w:tc>
        <w:tc>
          <w:tcPr>
            <w:tcW w:w="1229" w:type="dxa"/>
            <w:tcBorders>
              <w:top w:val="single" w:sz="6" w:space="0" w:color="000000"/>
              <w:left w:val="single" w:sz="6" w:space="0" w:color="000000"/>
              <w:bottom w:val="single" w:sz="6" w:space="0" w:color="000000"/>
              <w:right w:val="single" w:sz="6" w:space="0" w:color="000000"/>
            </w:tcBorders>
          </w:tcPr>
          <w:p w14:paraId="0E1CCDAC" w14:textId="77777777" w:rsidR="00BB77C0" w:rsidRDefault="00BB77C0">
            <w:pPr>
              <w:pStyle w:val="TableParagraph"/>
              <w:rPr>
                <w:sz w:val="18"/>
              </w:rPr>
            </w:pPr>
          </w:p>
        </w:tc>
        <w:tc>
          <w:tcPr>
            <w:tcW w:w="2190" w:type="dxa"/>
            <w:gridSpan w:val="2"/>
            <w:tcBorders>
              <w:top w:val="single" w:sz="6" w:space="0" w:color="000000"/>
              <w:left w:val="single" w:sz="6" w:space="0" w:color="000000"/>
              <w:bottom w:val="single" w:sz="6" w:space="0" w:color="000000"/>
              <w:right w:val="single" w:sz="6" w:space="0" w:color="000000"/>
            </w:tcBorders>
          </w:tcPr>
          <w:p w14:paraId="020B016D" w14:textId="77777777" w:rsidR="00BB77C0" w:rsidRDefault="00BB77C0">
            <w:pPr>
              <w:pStyle w:val="TableParagraph"/>
              <w:rPr>
                <w:sz w:val="18"/>
              </w:rPr>
            </w:pPr>
          </w:p>
        </w:tc>
      </w:tr>
      <w:tr w:rsidR="00BB77C0" w14:paraId="2E84DF4D" w14:textId="77777777">
        <w:trPr>
          <w:trHeight w:val="249"/>
        </w:trPr>
        <w:tc>
          <w:tcPr>
            <w:tcW w:w="538" w:type="dxa"/>
            <w:gridSpan w:val="2"/>
            <w:tcBorders>
              <w:top w:val="single" w:sz="6" w:space="0" w:color="000000"/>
              <w:left w:val="single" w:sz="6" w:space="0" w:color="000000"/>
              <w:bottom w:val="single" w:sz="6" w:space="0" w:color="000000"/>
              <w:right w:val="single" w:sz="6" w:space="0" w:color="000000"/>
            </w:tcBorders>
          </w:tcPr>
          <w:p w14:paraId="3C6CC2EC" w14:textId="77777777" w:rsidR="00BB77C0" w:rsidRDefault="00370BAA">
            <w:pPr>
              <w:pStyle w:val="TableParagraph"/>
              <w:spacing w:line="229" w:lineRule="exact"/>
              <w:ind w:left="95"/>
            </w:pPr>
            <w:r>
              <w:rPr>
                <w:spacing w:val="-10"/>
              </w:rPr>
              <w:t>4</w:t>
            </w:r>
          </w:p>
        </w:tc>
        <w:tc>
          <w:tcPr>
            <w:tcW w:w="1157" w:type="dxa"/>
            <w:tcBorders>
              <w:top w:val="single" w:sz="6" w:space="0" w:color="000000"/>
              <w:left w:val="single" w:sz="6" w:space="0" w:color="000000"/>
              <w:bottom w:val="single" w:sz="6" w:space="0" w:color="000000"/>
              <w:right w:val="single" w:sz="6" w:space="0" w:color="000000"/>
            </w:tcBorders>
          </w:tcPr>
          <w:p w14:paraId="337EB89E" w14:textId="77777777" w:rsidR="00BB77C0" w:rsidRDefault="00BB77C0">
            <w:pPr>
              <w:pStyle w:val="TableParagraph"/>
              <w:rPr>
                <w:sz w:val="18"/>
              </w:rPr>
            </w:pPr>
          </w:p>
        </w:tc>
        <w:tc>
          <w:tcPr>
            <w:tcW w:w="2237" w:type="dxa"/>
            <w:tcBorders>
              <w:top w:val="single" w:sz="6" w:space="0" w:color="000000"/>
              <w:left w:val="single" w:sz="6" w:space="0" w:color="000000"/>
              <w:bottom w:val="single" w:sz="6" w:space="0" w:color="000000"/>
              <w:right w:val="single" w:sz="6" w:space="0" w:color="000000"/>
            </w:tcBorders>
          </w:tcPr>
          <w:p w14:paraId="1F7D59EB" w14:textId="77777777" w:rsidR="00BB77C0" w:rsidRDefault="00BB77C0">
            <w:pPr>
              <w:pStyle w:val="TableParagraph"/>
              <w:rPr>
                <w:sz w:val="18"/>
              </w:rPr>
            </w:pPr>
          </w:p>
        </w:tc>
        <w:tc>
          <w:tcPr>
            <w:tcW w:w="2699" w:type="dxa"/>
            <w:tcBorders>
              <w:top w:val="single" w:sz="6" w:space="0" w:color="000000"/>
              <w:left w:val="single" w:sz="6" w:space="0" w:color="000000"/>
              <w:bottom w:val="single" w:sz="6" w:space="0" w:color="000000"/>
              <w:right w:val="single" w:sz="6" w:space="0" w:color="000000"/>
            </w:tcBorders>
          </w:tcPr>
          <w:p w14:paraId="26EF6204" w14:textId="77777777" w:rsidR="00BB77C0" w:rsidRDefault="00BB77C0">
            <w:pPr>
              <w:pStyle w:val="TableParagraph"/>
              <w:rPr>
                <w:sz w:val="18"/>
              </w:rPr>
            </w:pPr>
          </w:p>
        </w:tc>
        <w:tc>
          <w:tcPr>
            <w:tcW w:w="1229" w:type="dxa"/>
            <w:tcBorders>
              <w:top w:val="single" w:sz="6" w:space="0" w:color="000000"/>
              <w:left w:val="single" w:sz="6" w:space="0" w:color="000000"/>
              <w:bottom w:val="single" w:sz="6" w:space="0" w:color="000000"/>
              <w:right w:val="single" w:sz="6" w:space="0" w:color="000000"/>
            </w:tcBorders>
          </w:tcPr>
          <w:p w14:paraId="488FFE88" w14:textId="77777777" w:rsidR="00BB77C0" w:rsidRDefault="00BB77C0">
            <w:pPr>
              <w:pStyle w:val="TableParagraph"/>
              <w:rPr>
                <w:sz w:val="18"/>
              </w:rPr>
            </w:pPr>
          </w:p>
        </w:tc>
        <w:tc>
          <w:tcPr>
            <w:tcW w:w="2190" w:type="dxa"/>
            <w:gridSpan w:val="2"/>
            <w:tcBorders>
              <w:top w:val="single" w:sz="6" w:space="0" w:color="000000"/>
              <w:left w:val="single" w:sz="6" w:space="0" w:color="000000"/>
              <w:bottom w:val="single" w:sz="6" w:space="0" w:color="000000"/>
              <w:right w:val="single" w:sz="6" w:space="0" w:color="000000"/>
            </w:tcBorders>
          </w:tcPr>
          <w:p w14:paraId="57248165" w14:textId="77777777" w:rsidR="00BB77C0" w:rsidRDefault="00BB77C0">
            <w:pPr>
              <w:pStyle w:val="TableParagraph"/>
              <w:rPr>
                <w:sz w:val="18"/>
              </w:rPr>
            </w:pPr>
          </w:p>
        </w:tc>
      </w:tr>
      <w:tr w:rsidR="00BB77C0" w14:paraId="49AE00A4" w14:textId="77777777">
        <w:trPr>
          <w:trHeight w:val="253"/>
        </w:trPr>
        <w:tc>
          <w:tcPr>
            <w:tcW w:w="538" w:type="dxa"/>
            <w:gridSpan w:val="2"/>
            <w:tcBorders>
              <w:top w:val="single" w:sz="6" w:space="0" w:color="000000"/>
              <w:left w:val="single" w:sz="6" w:space="0" w:color="000000"/>
              <w:bottom w:val="single" w:sz="6" w:space="0" w:color="000000"/>
              <w:right w:val="single" w:sz="6" w:space="0" w:color="000000"/>
            </w:tcBorders>
          </w:tcPr>
          <w:p w14:paraId="3A775E1F" w14:textId="77777777" w:rsidR="00BB77C0" w:rsidRDefault="00370BAA">
            <w:pPr>
              <w:pStyle w:val="TableParagraph"/>
              <w:spacing w:line="234" w:lineRule="exact"/>
              <w:ind w:left="95"/>
            </w:pPr>
            <w:r>
              <w:rPr>
                <w:spacing w:val="-10"/>
              </w:rPr>
              <w:t>5</w:t>
            </w:r>
          </w:p>
        </w:tc>
        <w:tc>
          <w:tcPr>
            <w:tcW w:w="1157" w:type="dxa"/>
            <w:tcBorders>
              <w:top w:val="single" w:sz="6" w:space="0" w:color="000000"/>
              <w:left w:val="single" w:sz="6" w:space="0" w:color="000000"/>
              <w:bottom w:val="single" w:sz="6" w:space="0" w:color="000000"/>
              <w:right w:val="single" w:sz="6" w:space="0" w:color="000000"/>
            </w:tcBorders>
          </w:tcPr>
          <w:p w14:paraId="10629A3D" w14:textId="77777777" w:rsidR="00BB77C0" w:rsidRDefault="00BB77C0">
            <w:pPr>
              <w:pStyle w:val="TableParagraph"/>
              <w:rPr>
                <w:sz w:val="18"/>
              </w:rPr>
            </w:pPr>
          </w:p>
        </w:tc>
        <w:tc>
          <w:tcPr>
            <w:tcW w:w="2237" w:type="dxa"/>
            <w:tcBorders>
              <w:top w:val="single" w:sz="6" w:space="0" w:color="000000"/>
              <w:left w:val="single" w:sz="6" w:space="0" w:color="000000"/>
              <w:bottom w:val="single" w:sz="6" w:space="0" w:color="000000"/>
              <w:right w:val="single" w:sz="6" w:space="0" w:color="000000"/>
            </w:tcBorders>
          </w:tcPr>
          <w:p w14:paraId="31C3DADF" w14:textId="77777777" w:rsidR="00BB77C0" w:rsidRDefault="00BB77C0">
            <w:pPr>
              <w:pStyle w:val="TableParagraph"/>
              <w:rPr>
                <w:sz w:val="18"/>
              </w:rPr>
            </w:pPr>
          </w:p>
        </w:tc>
        <w:tc>
          <w:tcPr>
            <w:tcW w:w="2699" w:type="dxa"/>
            <w:tcBorders>
              <w:top w:val="single" w:sz="6" w:space="0" w:color="000000"/>
              <w:left w:val="single" w:sz="6" w:space="0" w:color="000000"/>
              <w:bottom w:val="single" w:sz="6" w:space="0" w:color="000000"/>
              <w:right w:val="single" w:sz="6" w:space="0" w:color="000000"/>
            </w:tcBorders>
          </w:tcPr>
          <w:p w14:paraId="41B06624" w14:textId="77777777" w:rsidR="00BB77C0" w:rsidRDefault="00BB77C0">
            <w:pPr>
              <w:pStyle w:val="TableParagraph"/>
              <w:rPr>
                <w:sz w:val="18"/>
              </w:rPr>
            </w:pPr>
          </w:p>
        </w:tc>
        <w:tc>
          <w:tcPr>
            <w:tcW w:w="1229" w:type="dxa"/>
            <w:tcBorders>
              <w:top w:val="single" w:sz="6" w:space="0" w:color="000000"/>
              <w:left w:val="single" w:sz="6" w:space="0" w:color="000000"/>
              <w:bottom w:val="single" w:sz="6" w:space="0" w:color="000000"/>
              <w:right w:val="single" w:sz="6" w:space="0" w:color="000000"/>
            </w:tcBorders>
          </w:tcPr>
          <w:p w14:paraId="274B57B5" w14:textId="77777777" w:rsidR="00BB77C0" w:rsidRDefault="00BB77C0">
            <w:pPr>
              <w:pStyle w:val="TableParagraph"/>
              <w:rPr>
                <w:sz w:val="18"/>
              </w:rPr>
            </w:pPr>
          </w:p>
        </w:tc>
        <w:tc>
          <w:tcPr>
            <w:tcW w:w="2190" w:type="dxa"/>
            <w:gridSpan w:val="2"/>
            <w:tcBorders>
              <w:top w:val="single" w:sz="6" w:space="0" w:color="000000"/>
              <w:left w:val="single" w:sz="6" w:space="0" w:color="000000"/>
              <w:bottom w:val="single" w:sz="6" w:space="0" w:color="000000"/>
              <w:right w:val="single" w:sz="6" w:space="0" w:color="000000"/>
            </w:tcBorders>
          </w:tcPr>
          <w:p w14:paraId="1070926C" w14:textId="77777777" w:rsidR="00BB77C0" w:rsidRDefault="00BB77C0">
            <w:pPr>
              <w:pStyle w:val="TableParagraph"/>
              <w:rPr>
                <w:sz w:val="18"/>
              </w:rPr>
            </w:pPr>
          </w:p>
        </w:tc>
      </w:tr>
      <w:tr w:rsidR="00BB77C0" w14:paraId="108A6FE2" w14:textId="77777777">
        <w:trPr>
          <w:trHeight w:val="253"/>
        </w:trPr>
        <w:tc>
          <w:tcPr>
            <w:tcW w:w="538" w:type="dxa"/>
            <w:gridSpan w:val="2"/>
            <w:tcBorders>
              <w:top w:val="single" w:sz="6" w:space="0" w:color="000000"/>
              <w:left w:val="single" w:sz="6" w:space="0" w:color="000000"/>
              <w:bottom w:val="single" w:sz="6" w:space="0" w:color="000000"/>
              <w:right w:val="single" w:sz="6" w:space="0" w:color="000000"/>
            </w:tcBorders>
          </w:tcPr>
          <w:p w14:paraId="335B7164" w14:textId="77777777" w:rsidR="00BB77C0" w:rsidRDefault="00BB77C0">
            <w:pPr>
              <w:pStyle w:val="TableParagraph"/>
              <w:rPr>
                <w:sz w:val="18"/>
              </w:rPr>
            </w:pPr>
          </w:p>
        </w:tc>
        <w:tc>
          <w:tcPr>
            <w:tcW w:w="1157" w:type="dxa"/>
            <w:tcBorders>
              <w:top w:val="single" w:sz="6" w:space="0" w:color="000000"/>
              <w:left w:val="single" w:sz="6" w:space="0" w:color="000000"/>
              <w:bottom w:val="single" w:sz="6" w:space="0" w:color="000000"/>
              <w:right w:val="single" w:sz="6" w:space="0" w:color="000000"/>
            </w:tcBorders>
          </w:tcPr>
          <w:p w14:paraId="5619CCB0" w14:textId="77777777" w:rsidR="00BB77C0" w:rsidRDefault="00BB77C0">
            <w:pPr>
              <w:pStyle w:val="TableParagraph"/>
              <w:rPr>
                <w:sz w:val="18"/>
              </w:rPr>
            </w:pPr>
          </w:p>
        </w:tc>
        <w:tc>
          <w:tcPr>
            <w:tcW w:w="2237" w:type="dxa"/>
            <w:tcBorders>
              <w:top w:val="single" w:sz="6" w:space="0" w:color="000000"/>
              <w:left w:val="single" w:sz="6" w:space="0" w:color="000000"/>
              <w:bottom w:val="single" w:sz="6" w:space="0" w:color="000000"/>
              <w:right w:val="single" w:sz="6" w:space="0" w:color="000000"/>
            </w:tcBorders>
          </w:tcPr>
          <w:p w14:paraId="36CE6117" w14:textId="77777777" w:rsidR="00BB77C0" w:rsidRDefault="00BB77C0">
            <w:pPr>
              <w:pStyle w:val="TableParagraph"/>
              <w:rPr>
                <w:sz w:val="18"/>
              </w:rPr>
            </w:pPr>
          </w:p>
        </w:tc>
        <w:tc>
          <w:tcPr>
            <w:tcW w:w="2699" w:type="dxa"/>
            <w:tcBorders>
              <w:top w:val="single" w:sz="6" w:space="0" w:color="000000"/>
              <w:left w:val="single" w:sz="6" w:space="0" w:color="000000"/>
              <w:bottom w:val="single" w:sz="6" w:space="0" w:color="000000"/>
              <w:right w:val="single" w:sz="6" w:space="0" w:color="000000"/>
            </w:tcBorders>
          </w:tcPr>
          <w:p w14:paraId="266F9170" w14:textId="77777777" w:rsidR="00BB77C0" w:rsidRDefault="00BB77C0">
            <w:pPr>
              <w:pStyle w:val="TableParagraph"/>
              <w:rPr>
                <w:sz w:val="18"/>
              </w:rPr>
            </w:pPr>
          </w:p>
        </w:tc>
        <w:tc>
          <w:tcPr>
            <w:tcW w:w="1229" w:type="dxa"/>
            <w:tcBorders>
              <w:top w:val="single" w:sz="6" w:space="0" w:color="000000"/>
              <w:left w:val="single" w:sz="6" w:space="0" w:color="000000"/>
              <w:bottom w:val="single" w:sz="6" w:space="0" w:color="000000"/>
              <w:right w:val="single" w:sz="6" w:space="0" w:color="000000"/>
            </w:tcBorders>
          </w:tcPr>
          <w:p w14:paraId="212B469D" w14:textId="77777777" w:rsidR="00BB77C0" w:rsidRDefault="00BB77C0">
            <w:pPr>
              <w:pStyle w:val="TableParagraph"/>
              <w:rPr>
                <w:sz w:val="18"/>
              </w:rPr>
            </w:pPr>
          </w:p>
        </w:tc>
        <w:tc>
          <w:tcPr>
            <w:tcW w:w="2190" w:type="dxa"/>
            <w:gridSpan w:val="2"/>
            <w:tcBorders>
              <w:top w:val="single" w:sz="6" w:space="0" w:color="000000"/>
              <w:left w:val="single" w:sz="6" w:space="0" w:color="000000"/>
              <w:bottom w:val="single" w:sz="6" w:space="0" w:color="000000"/>
              <w:right w:val="single" w:sz="6" w:space="0" w:color="000000"/>
            </w:tcBorders>
          </w:tcPr>
          <w:p w14:paraId="1440AF1C" w14:textId="77777777" w:rsidR="00BB77C0" w:rsidRDefault="00BB77C0">
            <w:pPr>
              <w:pStyle w:val="TableParagraph"/>
              <w:rPr>
                <w:sz w:val="18"/>
              </w:rPr>
            </w:pPr>
          </w:p>
        </w:tc>
      </w:tr>
    </w:tbl>
    <w:p w14:paraId="29F2F91C" w14:textId="77777777" w:rsidR="00BB77C0" w:rsidRDefault="00BB77C0">
      <w:pPr>
        <w:pStyle w:val="TableParagraph"/>
        <w:rPr>
          <w:sz w:val="18"/>
        </w:rPr>
        <w:sectPr w:rsidR="00BB77C0">
          <w:pgSz w:w="11920" w:h="16850"/>
          <w:pgMar w:top="0" w:right="0" w:bottom="0" w:left="360" w:header="720" w:footer="720" w:gutter="0"/>
          <w:cols w:space="720"/>
        </w:sectPr>
      </w:pPr>
    </w:p>
    <w:p w14:paraId="694B7000" w14:textId="77777777" w:rsidR="00BB77C0" w:rsidRDefault="00370BAA">
      <w:pPr>
        <w:pStyle w:val="BodyText"/>
        <w:spacing w:before="43"/>
        <w:rPr>
          <w:sz w:val="24"/>
        </w:rPr>
      </w:pPr>
      <w:r>
        <w:rPr>
          <w:noProof/>
          <w:sz w:val="24"/>
        </w:rPr>
        <w:lastRenderedPageBreak/>
        <mc:AlternateContent>
          <mc:Choice Requires="wpg">
            <w:drawing>
              <wp:anchor distT="0" distB="0" distL="0" distR="0" simplePos="0" relativeHeight="15748096" behindDoc="0" locked="0" layoutInCell="1" allowOverlap="1" wp14:anchorId="1BF81D8F" wp14:editId="1892B4C5">
                <wp:simplePos x="0" y="0"/>
                <wp:positionH relativeFrom="page">
                  <wp:posOffset>0</wp:posOffset>
                </wp:positionH>
                <wp:positionV relativeFrom="page">
                  <wp:posOffset>10234295</wp:posOffset>
                </wp:positionV>
                <wp:extent cx="7561580" cy="459105"/>
                <wp:effectExtent l="0" t="0" r="0" b="0"/>
                <wp:wrapNone/>
                <wp:docPr id="156"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1580" cy="459105"/>
                          <a:chOff x="0" y="0"/>
                          <a:chExt cx="7561580" cy="459105"/>
                        </a:xfrm>
                      </wpg:grpSpPr>
                      <wps:wsp>
                        <wps:cNvPr id="157" name="Graphic 157"/>
                        <wps:cNvSpPr/>
                        <wps:spPr>
                          <a:xfrm>
                            <a:off x="6449059" y="5714"/>
                            <a:ext cx="1110615" cy="451484"/>
                          </a:xfrm>
                          <a:custGeom>
                            <a:avLst/>
                            <a:gdLst/>
                            <a:ahLst/>
                            <a:cxnLst/>
                            <a:rect l="l" t="t" r="r" b="b"/>
                            <a:pathLst>
                              <a:path w="1110615" h="451484">
                                <a:moveTo>
                                  <a:pt x="1110614" y="0"/>
                                </a:moveTo>
                                <a:lnTo>
                                  <a:pt x="0" y="0"/>
                                </a:lnTo>
                                <a:lnTo>
                                  <a:pt x="260349" y="451483"/>
                                </a:lnTo>
                                <a:lnTo>
                                  <a:pt x="1110614" y="451483"/>
                                </a:lnTo>
                                <a:lnTo>
                                  <a:pt x="1110614" y="0"/>
                                </a:lnTo>
                                <a:close/>
                              </a:path>
                            </a:pathLst>
                          </a:custGeom>
                          <a:solidFill>
                            <a:srgbClr val="FAD2C1"/>
                          </a:solidFill>
                        </wps:spPr>
                        <wps:bodyPr wrap="square" lIns="0" tIns="0" rIns="0" bIns="0" rtlCol="0">
                          <a:prstTxWarp prst="textNoShape">
                            <a:avLst/>
                          </a:prstTxWarp>
                          <a:noAutofit/>
                        </wps:bodyPr>
                      </wps:wsp>
                      <wps:wsp>
                        <wps:cNvPr id="158" name="Graphic 158"/>
                        <wps:cNvSpPr/>
                        <wps:spPr>
                          <a:xfrm>
                            <a:off x="6449059" y="5714"/>
                            <a:ext cx="1110615" cy="451484"/>
                          </a:xfrm>
                          <a:custGeom>
                            <a:avLst/>
                            <a:gdLst/>
                            <a:ahLst/>
                            <a:cxnLst/>
                            <a:rect l="l" t="t" r="r" b="b"/>
                            <a:pathLst>
                              <a:path w="1110615" h="451484">
                                <a:moveTo>
                                  <a:pt x="0" y="0"/>
                                </a:moveTo>
                                <a:lnTo>
                                  <a:pt x="1110614" y="0"/>
                                </a:lnTo>
                                <a:lnTo>
                                  <a:pt x="1110614" y="451483"/>
                                </a:lnTo>
                                <a:lnTo>
                                  <a:pt x="260349" y="451483"/>
                                </a:lnTo>
                                <a:lnTo>
                                  <a:pt x="0" y="0"/>
                                </a:lnTo>
                              </a:path>
                            </a:pathLst>
                          </a:custGeom>
                          <a:ln w="3051">
                            <a:solidFill>
                              <a:srgbClr val="FAD2C1"/>
                            </a:solidFill>
                            <a:prstDash val="solid"/>
                          </a:ln>
                        </wps:spPr>
                        <wps:bodyPr wrap="square" lIns="0" tIns="0" rIns="0" bIns="0" rtlCol="0">
                          <a:prstTxWarp prst="textNoShape">
                            <a:avLst/>
                          </a:prstTxWarp>
                          <a:noAutofit/>
                        </wps:bodyPr>
                      </wps:wsp>
                      <wps:wsp>
                        <wps:cNvPr id="159" name="Graphic 159"/>
                        <wps:cNvSpPr/>
                        <wps:spPr>
                          <a:xfrm>
                            <a:off x="0" y="6350"/>
                            <a:ext cx="7560309" cy="1270"/>
                          </a:xfrm>
                          <a:custGeom>
                            <a:avLst/>
                            <a:gdLst/>
                            <a:ahLst/>
                            <a:cxnLst/>
                            <a:rect l="l" t="t" r="r" b="b"/>
                            <a:pathLst>
                              <a:path w="7560309">
                                <a:moveTo>
                                  <a:pt x="0" y="0"/>
                                </a:moveTo>
                                <a:lnTo>
                                  <a:pt x="7560309" y="0"/>
                                </a:lnTo>
                              </a:path>
                            </a:pathLst>
                          </a:custGeom>
                          <a:ln w="12700">
                            <a:solidFill>
                              <a:srgbClr val="FAD2C1"/>
                            </a:solidFill>
                            <a:prstDash val="solid"/>
                          </a:ln>
                        </wps:spPr>
                        <wps:bodyPr wrap="square" lIns="0" tIns="0" rIns="0" bIns="0" rtlCol="0">
                          <a:prstTxWarp prst="textNoShape">
                            <a:avLst/>
                          </a:prstTxWarp>
                          <a:noAutofit/>
                        </wps:bodyPr>
                      </wps:wsp>
                      <wps:wsp>
                        <wps:cNvPr id="160" name="Textbox 160"/>
                        <wps:cNvSpPr txBox="1"/>
                        <wps:spPr>
                          <a:xfrm>
                            <a:off x="6882130" y="37491"/>
                            <a:ext cx="147320" cy="155575"/>
                          </a:xfrm>
                          <a:prstGeom prst="rect">
                            <a:avLst/>
                          </a:prstGeom>
                        </wps:spPr>
                        <wps:txbx>
                          <w:txbxContent>
                            <w:p w14:paraId="19259DA3" w14:textId="77777777" w:rsidR="00BB77C0" w:rsidRDefault="00370BAA">
                              <w:pPr>
                                <w:spacing w:line="244" w:lineRule="exact"/>
                              </w:pPr>
                              <w:r>
                                <w:rPr>
                                  <w:spacing w:val="-5"/>
                                </w:rPr>
                                <w:t>61</w:t>
                              </w:r>
                            </w:p>
                          </w:txbxContent>
                        </wps:txbx>
                        <wps:bodyPr wrap="square" lIns="0" tIns="0" rIns="0" bIns="0" rtlCol="0">
                          <a:noAutofit/>
                        </wps:bodyPr>
                      </wps:wsp>
                    </wpg:wgp>
                  </a:graphicData>
                </a:graphic>
              </wp:anchor>
            </w:drawing>
          </mc:Choice>
          <mc:Fallback>
            <w:pict>
              <v:group w14:anchorId="1BF81D8F" id="Group 156" o:spid="_x0000_s1091" style="position:absolute;margin-left:0;margin-top:805.85pt;width:595.4pt;height:36.15pt;z-index:15748096;mso-wrap-distance-left:0;mso-wrap-distance-right:0;mso-position-horizontal-relative:page;mso-position-vertical-relative:page" coordsize="75615,4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">
                <v:shape id="Graphic 157" o:spid="_x0000_s1092" style="position:absolute;left:64490;top:57;width:11106;height:4514;visibility:visible;mso-wrap-style:square;v-text-anchor:top" coordsize="1110615,4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" path="m1110614,l,,260349,451483r850265,l1110614,xe" fillcolor="#fad2c1" stroked="f">
                  <v:path arrowok="t"/>
                </v:shape>
                <v:shape id="Graphic 158" o:spid="_x0000_s1093" style="position:absolute;left:64490;top:57;width:11106;height:4514;visibility:visible;mso-wrap-style:square;v-text-anchor:top" coordsize="1110615,4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" path="m,l1110614,r,451483l260349,451483,,e" filled="f" strokecolor="#fad2c1" strokeweight=".08475mm">
                  <v:path arrowok="t"/>
                </v:shape>
                <v:shape id="Graphic 159" o:spid="_x0000_s1094" style="position:absolute;top:63;width:75603;height:13;visibility:visible;mso-wrap-style:square;v-text-anchor:top" coordsize="756030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" path="m,l7560309,e" filled="f" strokecolor="#fad2c1" strokeweight="1pt">
                  <v:path arrowok="t"/>
                </v:shape>
                <v:shape id="Textbox 160" o:spid="_x0000_s1095" type="#_x0000_t202" style="position:absolute;left:68821;top:374;width:1473;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" filled="f" stroked="f">
                  <v:textbox inset="0,0,0,0">
                    <w:txbxContent>
                      <w:p w14:paraId="19259DA3" w14:textId="77777777" w:rsidR="00BB77C0" w:rsidRDefault="00370BAA">
                        <w:pPr>
                          <w:spacing w:line="244" w:lineRule="exact"/>
                        </w:pPr>
                        <w:r>
                          <w:rPr>
                            <w:spacing w:val="-5"/>
                          </w:rPr>
                          <w:t>61</w:t>
                        </w:r>
                      </w:p>
                    </w:txbxContent>
                  </v:textbox>
                </v:shape>
                <w10:wrap anchorx="page" anchory="page"/>
              </v:group>
            </w:pict>
          </mc:Fallback>
        </mc:AlternateContent>
      </w:r>
      <w:r>
        <w:rPr>
          <w:noProof/>
          <w:sz w:val="24"/>
        </w:rPr>
        <mc:AlternateContent>
          <mc:Choice Requires="wpg">
            <w:drawing>
              <wp:anchor distT="0" distB="0" distL="0" distR="0" simplePos="0" relativeHeight="15748608" behindDoc="0" locked="0" layoutInCell="1" allowOverlap="1" wp14:anchorId="4F2D976C" wp14:editId="2316EA5F">
                <wp:simplePos x="0" y="0"/>
                <wp:positionH relativeFrom="page">
                  <wp:posOffset>0</wp:posOffset>
                </wp:positionH>
                <wp:positionV relativeFrom="page">
                  <wp:posOffset>0</wp:posOffset>
                </wp:positionV>
                <wp:extent cx="7559675" cy="228600"/>
                <wp:effectExtent l="0" t="0" r="0" b="0"/>
                <wp:wrapNone/>
                <wp:docPr id="161" name="Group 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675" cy="228600"/>
                          <a:chOff x="0" y="0"/>
                          <a:chExt cx="7559675" cy="228600"/>
                        </a:xfrm>
                      </wpg:grpSpPr>
                      <wps:wsp>
                        <wps:cNvPr id="162" name="Graphic 162"/>
                        <wps:cNvSpPr/>
                        <wps:spPr>
                          <a:xfrm>
                            <a:off x="848283" y="0"/>
                            <a:ext cx="6711950" cy="228600"/>
                          </a:xfrm>
                          <a:custGeom>
                            <a:avLst/>
                            <a:gdLst/>
                            <a:ahLst/>
                            <a:cxnLst/>
                            <a:rect l="l" t="t" r="r" b="b"/>
                            <a:pathLst>
                              <a:path w="6711950" h="228600">
                                <a:moveTo>
                                  <a:pt x="6711391" y="0"/>
                                </a:moveTo>
                                <a:lnTo>
                                  <a:pt x="0" y="0"/>
                                </a:lnTo>
                                <a:lnTo>
                                  <a:pt x="184137" y="228600"/>
                                </a:lnTo>
                                <a:lnTo>
                                  <a:pt x="6711391" y="223520"/>
                                </a:lnTo>
                                <a:lnTo>
                                  <a:pt x="6711391" y="0"/>
                                </a:lnTo>
                                <a:close/>
                              </a:path>
                            </a:pathLst>
                          </a:custGeom>
                          <a:solidFill>
                            <a:srgbClr val="E6E7E8"/>
                          </a:solidFill>
                        </wps:spPr>
                        <wps:bodyPr wrap="square" lIns="0" tIns="0" rIns="0" bIns="0" rtlCol="0">
                          <a:prstTxWarp prst="textNoShape">
                            <a:avLst/>
                          </a:prstTxWarp>
                          <a:noAutofit/>
                        </wps:bodyPr>
                      </wps:wsp>
                      <wps:wsp>
                        <wps:cNvPr id="163" name="Graphic 163"/>
                        <wps:cNvSpPr/>
                        <wps:spPr>
                          <a:xfrm>
                            <a:off x="0" y="0"/>
                            <a:ext cx="655955" cy="228600"/>
                          </a:xfrm>
                          <a:custGeom>
                            <a:avLst/>
                            <a:gdLst/>
                            <a:ahLst/>
                            <a:cxnLst/>
                            <a:rect l="l" t="t" r="r" b="b"/>
                            <a:pathLst>
                              <a:path w="655955" h="228600">
                                <a:moveTo>
                                  <a:pt x="530174" y="0"/>
                                </a:moveTo>
                                <a:lnTo>
                                  <a:pt x="0" y="0"/>
                                </a:lnTo>
                                <a:lnTo>
                                  <a:pt x="0" y="228600"/>
                                </a:lnTo>
                                <a:lnTo>
                                  <a:pt x="655904" y="228600"/>
                                </a:lnTo>
                                <a:lnTo>
                                  <a:pt x="530174" y="0"/>
                                </a:lnTo>
                                <a:close/>
                              </a:path>
                            </a:pathLst>
                          </a:custGeom>
                          <a:solidFill>
                            <a:srgbClr val="00A650"/>
                          </a:solidFill>
                        </wps:spPr>
                        <wps:bodyPr wrap="square" lIns="0" tIns="0" rIns="0" bIns="0" rtlCol="0">
                          <a:prstTxWarp prst="textNoShape">
                            <a:avLst/>
                          </a:prstTxWarp>
                          <a:noAutofit/>
                        </wps:bodyPr>
                      </wps:wsp>
                      <wps:wsp>
                        <wps:cNvPr id="164" name="Graphic 164"/>
                        <wps:cNvSpPr/>
                        <wps:spPr>
                          <a:xfrm>
                            <a:off x="554304" y="0"/>
                            <a:ext cx="329565" cy="228600"/>
                          </a:xfrm>
                          <a:custGeom>
                            <a:avLst/>
                            <a:gdLst/>
                            <a:ahLst/>
                            <a:cxnLst/>
                            <a:rect l="l" t="t" r="r" b="b"/>
                            <a:pathLst>
                              <a:path w="329565" h="228600">
                                <a:moveTo>
                                  <a:pt x="203822" y="0"/>
                                </a:moveTo>
                                <a:lnTo>
                                  <a:pt x="0" y="0"/>
                                </a:lnTo>
                                <a:lnTo>
                                  <a:pt x="128904" y="228600"/>
                                </a:lnTo>
                                <a:lnTo>
                                  <a:pt x="329539" y="228600"/>
                                </a:lnTo>
                                <a:lnTo>
                                  <a:pt x="203822" y="0"/>
                                </a:lnTo>
                                <a:close/>
                              </a:path>
                            </a:pathLst>
                          </a:custGeom>
                          <a:solidFill>
                            <a:srgbClr val="EB1C22"/>
                          </a:solidFill>
                        </wps:spPr>
                        <wps:bodyPr wrap="square" lIns="0" tIns="0" rIns="0" bIns="0" rtlCol="0">
                          <a:prstTxWarp prst="textNoShape">
                            <a:avLst/>
                          </a:prstTxWarp>
                          <a:noAutofit/>
                        </wps:bodyPr>
                      </wps:wsp>
                      <wps:wsp>
                        <wps:cNvPr id="165" name="Graphic 165"/>
                        <wps:cNvSpPr/>
                        <wps:spPr>
                          <a:xfrm>
                            <a:off x="783526" y="0"/>
                            <a:ext cx="329565" cy="228600"/>
                          </a:xfrm>
                          <a:custGeom>
                            <a:avLst/>
                            <a:gdLst/>
                            <a:ahLst/>
                            <a:cxnLst/>
                            <a:rect l="l" t="t" r="r" b="b"/>
                            <a:pathLst>
                              <a:path w="329565" h="228600">
                                <a:moveTo>
                                  <a:pt x="203822" y="0"/>
                                </a:moveTo>
                                <a:lnTo>
                                  <a:pt x="0" y="0"/>
                                </a:lnTo>
                                <a:lnTo>
                                  <a:pt x="128879" y="228600"/>
                                </a:lnTo>
                                <a:lnTo>
                                  <a:pt x="329539" y="228600"/>
                                </a:lnTo>
                                <a:lnTo>
                                  <a:pt x="203822" y="0"/>
                                </a:lnTo>
                                <a:close/>
                              </a:path>
                            </a:pathLst>
                          </a:custGeom>
                          <a:solidFill>
                            <a:srgbClr val="A7A9AC"/>
                          </a:solidFill>
                        </wps:spPr>
                        <wps:bodyPr wrap="square" lIns="0" tIns="0" rIns="0" bIns="0" rtlCol="0">
                          <a:prstTxWarp prst="textNoShape">
                            <a:avLst/>
                          </a:prstTxWarp>
                          <a:noAutofit/>
                        </wps:bodyPr>
                      </wps:wsp>
                    </wpg:wgp>
                  </a:graphicData>
                </a:graphic>
              </wp:anchor>
            </w:drawing>
          </mc:Choice>
          <mc:Fallback>
            <w:pict>
              <v:group w14:anchorId="6F3CC4EA" id="Group 161" o:spid="_x0000_s1026" style="position:absolute;margin-left:0;margin-top:0;width:595.25pt;height:18pt;z-index:15748608;mso-wrap-distance-left:0;mso-wrap-distance-right:0;mso-position-horizontal-relative:page;mso-position-vertical-relative:page" coordsize="75596,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">
                <v:shape id="Graphic 162" o:spid="_x0000_s1027" style="position:absolute;left:8482;width:67120;height:2286;visibility:visible;mso-wrap-style:square;v-text-anchor:top" coordsize="67119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" path="m6711391,l,,184137,228600r6527254,-5080l6711391,xe" fillcolor="#e6e7e8" stroked="f">
                  <v:path arrowok="t"/>
                </v:shape>
                <v:shape id="Graphic 163" o:spid="_x0000_s1028" style="position:absolute;width:6559;height:2286;visibility:visible;mso-wrap-style:square;v-text-anchor:top" coordsize="65595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" path="m530174,l,,,228600r655904,l530174,xe" fillcolor="#00a650" stroked="f">
                  <v:path arrowok="t"/>
                </v:shape>
                <v:shape id="Graphic 164" o:spid="_x0000_s1029" style="position:absolute;left:5543;width:3295;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" path="m203822,l,,128904,228600r200635,l203822,xe" fillcolor="#eb1c22" stroked="f">
                  <v:path arrowok="t"/>
                </v:shape>
                <v:shape id="Graphic 165" o:spid="_x0000_s1030" style="position:absolute;left:7835;width:3295;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" path="m203822,l,,128879,228600r200660,l203822,xe" fillcolor="#a7a9ac" stroked="f">
                  <v:path arrowok="t"/>
                </v:shape>
                <w10:wrap anchorx="page" anchory="page"/>
              </v:group>
            </w:pict>
          </mc:Fallback>
        </mc:AlternateContent>
      </w:r>
    </w:p>
    <w:p w14:paraId="0E149F1F" w14:textId="77777777" w:rsidR="00BB77C0" w:rsidRDefault="00370BAA">
      <w:pPr>
        <w:pStyle w:val="Heading5"/>
        <w:numPr>
          <w:ilvl w:val="1"/>
          <w:numId w:val="64"/>
        </w:numPr>
        <w:tabs>
          <w:tab w:val="left" w:pos="1013"/>
        </w:tabs>
        <w:spacing w:before="1"/>
        <w:ind w:left="1013" w:hanging="528"/>
      </w:pPr>
      <w:bookmarkStart w:id="152" w:name="4.8_FORM_EXP_-_4._1"/>
      <w:bookmarkEnd w:id="152"/>
      <w:r>
        <w:rPr>
          <w:u w:val="single"/>
        </w:rPr>
        <w:t>FORM</w:t>
      </w:r>
      <w:r>
        <w:rPr>
          <w:spacing w:val="5"/>
          <w:u w:val="single"/>
        </w:rPr>
        <w:t xml:space="preserve"> </w:t>
      </w:r>
      <w:r>
        <w:rPr>
          <w:u w:val="single"/>
        </w:rPr>
        <w:t>EXP</w:t>
      </w:r>
      <w:r>
        <w:rPr>
          <w:spacing w:val="-1"/>
          <w:u w:val="single"/>
        </w:rPr>
        <w:t xml:space="preserve"> </w:t>
      </w:r>
      <w:r>
        <w:rPr>
          <w:u w:val="single"/>
        </w:rPr>
        <w:t>-</w:t>
      </w:r>
      <w:r>
        <w:rPr>
          <w:spacing w:val="42"/>
          <w:u w:val="single"/>
        </w:rPr>
        <w:t xml:space="preserve"> </w:t>
      </w:r>
      <w:r>
        <w:rPr>
          <w:u w:val="single"/>
        </w:rPr>
        <w:t>4.</w:t>
      </w:r>
      <w:r>
        <w:rPr>
          <w:spacing w:val="-24"/>
          <w:u w:val="single"/>
        </w:rPr>
        <w:t xml:space="preserve"> </w:t>
      </w:r>
      <w:r>
        <w:rPr>
          <w:spacing w:val="-10"/>
          <w:u w:val="single"/>
        </w:rPr>
        <w:t>1</w:t>
      </w:r>
    </w:p>
    <w:p w14:paraId="48292A0C" w14:textId="77777777" w:rsidR="00BB77C0" w:rsidRDefault="00BB77C0">
      <w:pPr>
        <w:pStyle w:val="BodyText"/>
        <w:rPr>
          <w:b/>
          <w:sz w:val="24"/>
        </w:rPr>
      </w:pPr>
    </w:p>
    <w:p w14:paraId="6E3EFAA1" w14:textId="77777777" w:rsidR="00BB77C0" w:rsidRDefault="00370BAA">
      <w:pPr>
        <w:pStyle w:val="Heading6"/>
        <w:ind w:left="360" w:firstLine="0"/>
      </w:pPr>
      <w:bookmarkStart w:id="153" w:name="General_Construction_Experience"/>
      <w:bookmarkEnd w:id="153"/>
      <w:r>
        <w:t>General</w:t>
      </w:r>
      <w:r>
        <w:rPr>
          <w:spacing w:val="-10"/>
        </w:rPr>
        <w:t xml:space="preserve"> </w:t>
      </w:r>
      <w:r>
        <w:t>Construction</w:t>
      </w:r>
      <w:r>
        <w:rPr>
          <w:spacing w:val="-2"/>
        </w:rPr>
        <w:t xml:space="preserve"> Experience</w:t>
      </w:r>
    </w:p>
    <w:p w14:paraId="0121DE64" w14:textId="77777777" w:rsidR="00BB77C0" w:rsidRDefault="00370BAA">
      <w:pPr>
        <w:pStyle w:val="BodyText"/>
        <w:tabs>
          <w:tab w:val="left" w:pos="3661"/>
        </w:tabs>
        <w:spacing w:before="247"/>
        <w:ind w:left="360"/>
      </w:pPr>
      <w:r>
        <w:t xml:space="preserve">Tenderer’s Name: </w:t>
      </w:r>
      <w:r>
        <w:rPr>
          <w:u w:val="single"/>
        </w:rPr>
        <w:tab/>
      </w:r>
    </w:p>
    <w:p w14:paraId="0B5D4506" w14:textId="77777777" w:rsidR="00BB77C0" w:rsidRDefault="00370BAA">
      <w:pPr>
        <w:pStyle w:val="BodyText"/>
        <w:tabs>
          <w:tab w:val="left" w:pos="3200"/>
        </w:tabs>
        <w:spacing w:before="1"/>
        <w:ind w:left="360"/>
      </w:pPr>
      <w:r>
        <w:t xml:space="preserve">Date: </w:t>
      </w:r>
      <w:r>
        <w:rPr>
          <w:u w:val="single"/>
        </w:rPr>
        <w:tab/>
      </w:r>
    </w:p>
    <w:p w14:paraId="142DAE7B" w14:textId="77777777" w:rsidR="00BB77C0" w:rsidRDefault="00370BAA">
      <w:pPr>
        <w:pStyle w:val="BodyText"/>
        <w:tabs>
          <w:tab w:val="left" w:pos="4746"/>
        </w:tabs>
        <w:spacing w:before="2"/>
        <w:ind w:left="360" w:right="6795"/>
      </w:pPr>
      <w:r>
        <w:t>JV Member’s Name</w:t>
      </w:r>
      <w:r>
        <w:rPr>
          <w:u w:val="single"/>
        </w:rPr>
        <w:tab/>
      </w:r>
      <w:r>
        <w:t xml:space="preserve"> </w:t>
      </w:r>
      <w:r>
        <w:rPr>
          <w:spacing w:val="-4"/>
        </w:rPr>
        <w:t>ITT</w:t>
      </w:r>
      <w:r>
        <w:rPr>
          <w:spacing w:val="-6"/>
        </w:rPr>
        <w:t xml:space="preserve"> </w:t>
      </w:r>
      <w:r>
        <w:rPr>
          <w:spacing w:val="-4"/>
        </w:rPr>
        <w:t>No.</w:t>
      </w:r>
      <w:r>
        <w:rPr>
          <w:spacing w:val="-8"/>
        </w:rPr>
        <w:t xml:space="preserve"> </w:t>
      </w:r>
      <w:r>
        <w:rPr>
          <w:spacing w:val="-4"/>
        </w:rPr>
        <w:t>and</w:t>
      </w:r>
      <w:r>
        <w:rPr>
          <w:spacing w:val="-10"/>
        </w:rPr>
        <w:t xml:space="preserve"> </w:t>
      </w:r>
      <w:r>
        <w:rPr>
          <w:spacing w:val="-4"/>
        </w:rPr>
        <w:t xml:space="preserve">title: </w:t>
      </w:r>
      <w:r>
        <w:rPr>
          <w:u w:val="single"/>
        </w:rPr>
        <w:tab/>
      </w:r>
    </w:p>
    <w:p w14:paraId="378B659C" w14:textId="77777777" w:rsidR="00BB77C0" w:rsidRDefault="00BB77C0">
      <w:pPr>
        <w:pStyle w:val="BodyText"/>
      </w:pPr>
    </w:p>
    <w:p w14:paraId="79C5E759" w14:textId="77777777" w:rsidR="00BB77C0" w:rsidRDefault="00370BAA">
      <w:pPr>
        <w:pStyle w:val="BodyText"/>
        <w:tabs>
          <w:tab w:val="left" w:pos="2381"/>
          <w:tab w:val="left" w:pos="4062"/>
        </w:tabs>
        <w:ind w:left="360"/>
      </w:pPr>
      <w:r>
        <w:t xml:space="preserve">Page </w:t>
      </w:r>
      <w:r>
        <w:rPr>
          <w:u w:val="single"/>
        </w:rPr>
        <w:tab/>
      </w:r>
      <w:r>
        <w:t xml:space="preserve">of </w:t>
      </w:r>
      <w:r>
        <w:rPr>
          <w:u w:val="single"/>
        </w:rPr>
        <w:tab/>
      </w:r>
      <w:r>
        <w:rPr>
          <w:spacing w:val="-4"/>
        </w:rPr>
        <w:t>pages</w:t>
      </w:r>
    </w:p>
    <w:p w14:paraId="38494967" w14:textId="77777777" w:rsidR="00BB77C0" w:rsidRDefault="00BB77C0">
      <w:pPr>
        <w:pStyle w:val="BodyText"/>
        <w:spacing w:before="20"/>
        <w:rPr>
          <w:sz w:val="20"/>
        </w:rPr>
      </w:pPr>
    </w:p>
    <w:tbl>
      <w:tblPr>
        <w:tblW w:w="0" w:type="auto"/>
        <w:tblInd w:w="36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124"/>
        <w:gridCol w:w="1080"/>
        <w:gridCol w:w="5042"/>
        <w:gridCol w:w="2016"/>
      </w:tblGrid>
      <w:tr w:rsidR="00BB77C0" w14:paraId="6A87EEFD" w14:textId="77777777">
        <w:trPr>
          <w:trHeight w:val="1022"/>
        </w:trPr>
        <w:tc>
          <w:tcPr>
            <w:tcW w:w="1124" w:type="dxa"/>
          </w:tcPr>
          <w:p w14:paraId="6E91C8DC" w14:textId="77777777" w:rsidR="00BB77C0" w:rsidRDefault="00370BAA">
            <w:pPr>
              <w:pStyle w:val="TableParagraph"/>
              <w:spacing w:line="249" w:lineRule="exact"/>
              <w:ind w:left="7"/>
            </w:pPr>
            <w:r>
              <w:rPr>
                <w:spacing w:val="-2"/>
              </w:rPr>
              <w:t>Starting</w:t>
            </w:r>
          </w:p>
          <w:p w14:paraId="69D394F5" w14:textId="77777777" w:rsidR="00BB77C0" w:rsidRDefault="00370BAA">
            <w:pPr>
              <w:pStyle w:val="TableParagraph"/>
              <w:spacing w:before="251"/>
              <w:ind w:left="7"/>
            </w:pPr>
            <w:r>
              <w:rPr>
                <w:spacing w:val="-4"/>
              </w:rPr>
              <w:t>Year</w:t>
            </w:r>
          </w:p>
        </w:tc>
        <w:tc>
          <w:tcPr>
            <w:tcW w:w="1080" w:type="dxa"/>
          </w:tcPr>
          <w:p w14:paraId="750670B7" w14:textId="77777777" w:rsidR="00BB77C0" w:rsidRDefault="00370BAA">
            <w:pPr>
              <w:pStyle w:val="TableParagraph"/>
              <w:spacing w:line="242" w:lineRule="auto"/>
              <w:ind w:left="1" w:right="447"/>
            </w:pPr>
            <w:r>
              <w:rPr>
                <w:spacing w:val="-4"/>
              </w:rPr>
              <w:t>Ending Year</w:t>
            </w:r>
          </w:p>
        </w:tc>
        <w:tc>
          <w:tcPr>
            <w:tcW w:w="5042" w:type="dxa"/>
          </w:tcPr>
          <w:p w14:paraId="131F0409" w14:textId="77777777" w:rsidR="00BB77C0" w:rsidRDefault="00370BAA">
            <w:pPr>
              <w:pStyle w:val="TableParagraph"/>
              <w:spacing w:line="249" w:lineRule="exact"/>
              <w:ind w:left="2"/>
            </w:pPr>
            <w:r>
              <w:t>Contract</w:t>
            </w:r>
            <w:r>
              <w:rPr>
                <w:spacing w:val="-2"/>
              </w:rPr>
              <w:t xml:space="preserve"> Identification</w:t>
            </w:r>
          </w:p>
        </w:tc>
        <w:tc>
          <w:tcPr>
            <w:tcW w:w="2016" w:type="dxa"/>
          </w:tcPr>
          <w:p w14:paraId="27EA81F2" w14:textId="77777777" w:rsidR="00BB77C0" w:rsidRDefault="00370BAA">
            <w:pPr>
              <w:pStyle w:val="TableParagraph"/>
              <w:spacing w:line="242" w:lineRule="auto"/>
              <w:ind w:left="2" w:right="1233"/>
            </w:pPr>
            <w:r>
              <w:t xml:space="preserve">Role of </w:t>
            </w:r>
            <w:r>
              <w:rPr>
                <w:spacing w:val="-4"/>
              </w:rPr>
              <w:t>Tenderer</w:t>
            </w:r>
          </w:p>
        </w:tc>
      </w:tr>
      <w:tr w:rsidR="00BB77C0" w14:paraId="4E5C414F" w14:textId="77777777">
        <w:trPr>
          <w:trHeight w:val="1521"/>
        </w:trPr>
        <w:tc>
          <w:tcPr>
            <w:tcW w:w="1124" w:type="dxa"/>
          </w:tcPr>
          <w:p w14:paraId="7BE84416" w14:textId="77777777" w:rsidR="00BB77C0" w:rsidRDefault="00BB77C0">
            <w:pPr>
              <w:pStyle w:val="TableParagraph"/>
            </w:pPr>
          </w:p>
        </w:tc>
        <w:tc>
          <w:tcPr>
            <w:tcW w:w="1080" w:type="dxa"/>
          </w:tcPr>
          <w:p w14:paraId="1888FA94" w14:textId="77777777" w:rsidR="00BB77C0" w:rsidRDefault="00BB77C0">
            <w:pPr>
              <w:pStyle w:val="TableParagraph"/>
            </w:pPr>
          </w:p>
        </w:tc>
        <w:tc>
          <w:tcPr>
            <w:tcW w:w="5042" w:type="dxa"/>
            <w:tcBorders>
              <w:bottom w:val="single" w:sz="6" w:space="0" w:color="000000"/>
            </w:tcBorders>
          </w:tcPr>
          <w:p w14:paraId="5A01B989" w14:textId="77777777" w:rsidR="00BB77C0" w:rsidRDefault="00370BAA">
            <w:pPr>
              <w:pStyle w:val="TableParagraph"/>
              <w:tabs>
                <w:tab w:val="left" w:pos="3528"/>
              </w:tabs>
              <w:spacing w:before="1" w:line="251" w:lineRule="exact"/>
              <w:ind w:left="2"/>
              <w:jc w:val="both"/>
            </w:pPr>
            <w:r>
              <w:rPr>
                <w:spacing w:val="-11"/>
              </w:rPr>
              <w:t>Contract</w:t>
            </w:r>
            <w:r>
              <w:rPr>
                <w:spacing w:val="-12"/>
              </w:rPr>
              <w:t xml:space="preserve"> </w:t>
            </w:r>
            <w:r>
              <w:t xml:space="preserve">name: </w:t>
            </w:r>
            <w:r>
              <w:rPr>
                <w:u w:val="single"/>
              </w:rPr>
              <w:tab/>
            </w:r>
          </w:p>
          <w:p w14:paraId="0F379856" w14:textId="77777777" w:rsidR="00BB77C0" w:rsidRDefault="00370BAA">
            <w:pPr>
              <w:pStyle w:val="TableParagraph"/>
              <w:tabs>
                <w:tab w:val="left" w:pos="3946"/>
                <w:tab w:val="left" w:pos="4138"/>
              </w:tabs>
              <w:ind w:left="2" w:right="848"/>
              <w:jc w:val="both"/>
            </w:pPr>
            <w:r>
              <w:rPr>
                <w:spacing w:val="-2"/>
              </w:rPr>
              <w:t>Brief</w:t>
            </w:r>
            <w:r>
              <w:rPr>
                <w:spacing w:val="-12"/>
              </w:rPr>
              <w:t xml:space="preserve"> </w:t>
            </w:r>
            <w:r>
              <w:rPr>
                <w:spacing w:val="-2"/>
              </w:rPr>
              <w:t>Description</w:t>
            </w:r>
            <w:r>
              <w:rPr>
                <w:spacing w:val="-12"/>
              </w:rPr>
              <w:t xml:space="preserve"> </w:t>
            </w:r>
            <w:r>
              <w:rPr>
                <w:spacing w:val="-2"/>
              </w:rPr>
              <w:t>of</w:t>
            </w:r>
            <w:r>
              <w:rPr>
                <w:spacing w:val="-12"/>
              </w:rPr>
              <w:t xml:space="preserve"> </w:t>
            </w:r>
            <w:r>
              <w:rPr>
                <w:spacing w:val="-2"/>
              </w:rPr>
              <w:t>the</w:t>
            </w:r>
            <w:r>
              <w:rPr>
                <w:spacing w:val="-11"/>
              </w:rPr>
              <w:t xml:space="preserve"> </w:t>
            </w:r>
            <w:r>
              <w:rPr>
                <w:spacing w:val="-2"/>
              </w:rPr>
              <w:t>Works</w:t>
            </w:r>
            <w:r>
              <w:rPr>
                <w:spacing w:val="-11"/>
              </w:rPr>
              <w:t xml:space="preserve"> </w:t>
            </w:r>
            <w:r>
              <w:rPr>
                <w:spacing w:val="-2"/>
              </w:rPr>
              <w:t>performed</w:t>
            </w:r>
            <w:r>
              <w:rPr>
                <w:spacing w:val="-11"/>
              </w:rPr>
              <w:t xml:space="preserve"> </w:t>
            </w:r>
            <w:r>
              <w:rPr>
                <w:spacing w:val="-2"/>
              </w:rPr>
              <w:t>by</w:t>
            </w:r>
            <w:r>
              <w:rPr>
                <w:spacing w:val="-12"/>
              </w:rPr>
              <w:t xml:space="preserve"> </w:t>
            </w:r>
            <w:r>
              <w:rPr>
                <w:spacing w:val="-2"/>
              </w:rPr>
              <w:t xml:space="preserve">the </w:t>
            </w:r>
            <w:r>
              <w:t xml:space="preserve">Tenderer: </w:t>
            </w:r>
            <w:r>
              <w:rPr>
                <w:u w:val="single"/>
              </w:rPr>
              <w:tab/>
            </w:r>
            <w:r>
              <w:rPr>
                <w:u w:val="single"/>
              </w:rPr>
              <w:tab/>
            </w:r>
            <w:r>
              <w:t xml:space="preserve"> Amount of contract: </w:t>
            </w:r>
            <w:r>
              <w:rPr>
                <w:u w:val="single"/>
              </w:rPr>
              <w:tab/>
            </w:r>
          </w:p>
          <w:p w14:paraId="62DBCD5E" w14:textId="77777777" w:rsidR="00BB77C0" w:rsidRDefault="00370BAA">
            <w:pPr>
              <w:pStyle w:val="TableParagraph"/>
              <w:tabs>
                <w:tab w:val="left" w:pos="4599"/>
              </w:tabs>
              <w:spacing w:line="250" w:lineRule="atLeast"/>
              <w:ind w:left="2" w:right="435"/>
              <w:jc w:val="both"/>
            </w:pPr>
            <w:r>
              <w:t xml:space="preserve">Name of Procuring Entity: </w:t>
            </w:r>
            <w:r>
              <w:rPr>
                <w:u w:val="single"/>
              </w:rPr>
              <w:tab/>
            </w:r>
            <w:r>
              <w:t xml:space="preserve"> </w:t>
            </w:r>
            <w:r>
              <w:rPr>
                <w:spacing w:val="-2"/>
              </w:rPr>
              <w:t>Address:</w:t>
            </w:r>
          </w:p>
        </w:tc>
        <w:tc>
          <w:tcPr>
            <w:tcW w:w="2016" w:type="dxa"/>
          </w:tcPr>
          <w:p w14:paraId="25627CD8" w14:textId="77777777" w:rsidR="00BB77C0" w:rsidRDefault="00BB77C0">
            <w:pPr>
              <w:pStyle w:val="TableParagraph"/>
            </w:pPr>
          </w:p>
        </w:tc>
      </w:tr>
      <w:tr w:rsidR="00BB77C0" w14:paraId="0025BDA8" w14:textId="77777777">
        <w:trPr>
          <w:trHeight w:val="1521"/>
        </w:trPr>
        <w:tc>
          <w:tcPr>
            <w:tcW w:w="1124" w:type="dxa"/>
          </w:tcPr>
          <w:p w14:paraId="4442618B" w14:textId="77777777" w:rsidR="00BB77C0" w:rsidRDefault="00BB77C0">
            <w:pPr>
              <w:pStyle w:val="TableParagraph"/>
            </w:pPr>
          </w:p>
        </w:tc>
        <w:tc>
          <w:tcPr>
            <w:tcW w:w="1080" w:type="dxa"/>
          </w:tcPr>
          <w:p w14:paraId="41A4F646" w14:textId="77777777" w:rsidR="00BB77C0" w:rsidRDefault="00BB77C0">
            <w:pPr>
              <w:pStyle w:val="TableParagraph"/>
            </w:pPr>
          </w:p>
        </w:tc>
        <w:tc>
          <w:tcPr>
            <w:tcW w:w="5042" w:type="dxa"/>
            <w:tcBorders>
              <w:top w:val="single" w:sz="6" w:space="0" w:color="000000"/>
              <w:bottom w:val="double" w:sz="2" w:space="0" w:color="000000"/>
            </w:tcBorders>
          </w:tcPr>
          <w:p w14:paraId="7088C108" w14:textId="77777777" w:rsidR="00BB77C0" w:rsidRDefault="00370BAA">
            <w:pPr>
              <w:pStyle w:val="TableParagraph"/>
              <w:tabs>
                <w:tab w:val="left" w:pos="3946"/>
                <w:tab w:val="left" w:pos="4081"/>
                <w:tab w:val="left" w:pos="4138"/>
                <w:tab w:val="left" w:pos="4489"/>
              </w:tabs>
              <w:ind w:left="2" w:right="545"/>
            </w:pPr>
            <w:r>
              <w:t xml:space="preserve">Contract name: </w:t>
            </w:r>
            <w:r>
              <w:rPr>
                <w:u w:val="single"/>
              </w:rPr>
              <w:tab/>
            </w:r>
            <w:r>
              <w:rPr>
                <w:u w:val="single"/>
              </w:rPr>
              <w:tab/>
            </w:r>
            <w:r>
              <w:t xml:space="preserve"> Brief Description of the Works performed by the Tenderer: </w:t>
            </w:r>
            <w:r>
              <w:rPr>
                <w:u w:val="single"/>
              </w:rPr>
              <w:tab/>
            </w:r>
            <w:r>
              <w:rPr>
                <w:u w:val="single"/>
              </w:rPr>
              <w:tab/>
            </w:r>
            <w:r>
              <w:rPr>
                <w:u w:val="single"/>
              </w:rPr>
              <w:tab/>
            </w:r>
            <w:r>
              <w:t xml:space="preserve"> Amount of contract: </w:t>
            </w:r>
            <w:r>
              <w:rPr>
                <w:u w:val="single"/>
              </w:rPr>
              <w:tab/>
            </w:r>
            <w:r>
              <w:rPr>
                <w:spacing w:val="40"/>
              </w:rPr>
              <w:t xml:space="preserve"> </w:t>
            </w:r>
            <w:r>
              <w:t xml:space="preserve">Name of Procuring Entity: </w:t>
            </w:r>
            <w:r>
              <w:rPr>
                <w:u w:val="single"/>
              </w:rPr>
              <w:tab/>
            </w:r>
            <w:r>
              <w:rPr>
                <w:u w:val="single"/>
              </w:rPr>
              <w:tab/>
            </w:r>
            <w:r>
              <w:rPr>
                <w:u w:val="single"/>
              </w:rPr>
              <w:tab/>
            </w:r>
            <w:r>
              <w:rPr>
                <w:u w:val="single"/>
              </w:rPr>
              <w:tab/>
            </w:r>
          </w:p>
          <w:p w14:paraId="4962356F" w14:textId="77777777" w:rsidR="00BB77C0" w:rsidRDefault="00370BAA">
            <w:pPr>
              <w:pStyle w:val="TableParagraph"/>
              <w:spacing w:line="238" w:lineRule="exact"/>
              <w:ind w:left="2"/>
            </w:pPr>
            <w:r>
              <w:rPr>
                <w:spacing w:val="-2"/>
              </w:rPr>
              <w:t>Address:</w:t>
            </w:r>
          </w:p>
        </w:tc>
        <w:tc>
          <w:tcPr>
            <w:tcW w:w="2016" w:type="dxa"/>
          </w:tcPr>
          <w:p w14:paraId="57A8C1F5" w14:textId="77777777" w:rsidR="00BB77C0" w:rsidRDefault="00BB77C0">
            <w:pPr>
              <w:pStyle w:val="TableParagraph"/>
            </w:pPr>
          </w:p>
        </w:tc>
      </w:tr>
      <w:tr w:rsidR="00BB77C0" w14:paraId="294F09DD" w14:textId="77777777">
        <w:trPr>
          <w:trHeight w:val="1458"/>
        </w:trPr>
        <w:tc>
          <w:tcPr>
            <w:tcW w:w="1124" w:type="dxa"/>
          </w:tcPr>
          <w:p w14:paraId="42E98DDA" w14:textId="77777777" w:rsidR="00BB77C0" w:rsidRDefault="00BB77C0">
            <w:pPr>
              <w:pStyle w:val="TableParagraph"/>
            </w:pPr>
          </w:p>
        </w:tc>
        <w:tc>
          <w:tcPr>
            <w:tcW w:w="1080" w:type="dxa"/>
          </w:tcPr>
          <w:p w14:paraId="14F3CA67" w14:textId="77777777" w:rsidR="00BB77C0" w:rsidRDefault="00BB77C0">
            <w:pPr>
              <w:pStyle w:val="TableParagraph"/>
            </w:pPr>
          </w:p>
        </w:tc>
        <w:tc>
          <w:tcPr>
            <w:tcW w:w="5042" w:type="dxa"/>
            <w:tcBorders>
              <w:top w:val="double" w:sz="2" w:space="0" w:color="000000"/>
              <w:bottom w:val="single" w:sz="6" w:space="0" w:color="000000"/>
            </w:tcBorders>
          </w:tcPr>
          <w:p w14:paraId="67A889FD" w14:textId="77777777" w:rsidR="00BB77C0" w:rsidRDefault="00370BAA">
            <w:pPr>
              <w:pStyle w:val="TableParagraph"/>
              <w:tabs>
                <w:tab w:val="left" w:pos="3970"/>
              </w:tabs>
              <w:spacing w:line="199" w:lineRule="exact"/>
              <w:ind w:left="2"/>
            </w:pPr>
            <w:r>
              <w:rPr>
                <w:spacing w:val="-11"/>
              </w:rPr>
              <w:t>Contract</w:t>
            </w:r>
            <w:r>
              <w:rPr>
                <w:spacing w:val="-12"/>
              </w:rPr>
              <w:t xml:space="preserve"> </w:t>
            </w:r>
            <w:r>
              <w:t xml:space="preserve">name: </w:t>
            </w:r>
            <w:r>
              <w:rPr>
                <w:u w:val="single"/>
              </w:rPr>
              <w:tab/>
            </w:r>
          </w:p>
          <w:p w14:paraId="47C28E12" w14:textId="77777777" w:rsidR="00BB77C0" w:rsidRDefault="00370BAA">
            <w:pPr>
              <w:pStyle w:val="TableParagraph"/>
              <w:tabs>
                <w:tab w:val="left" w:pos="3807"/>
                <w:tab w:val="left" w:pos="3946"/>
                <w:tab w:val="left" w:pos="4489"/>
              </w:tabs>
              <w:spacing w:line="235" w:lineRule="auto"/>
              <w:ind w:left="2" w:right="545"/>
            </w:pPr>
            <w:r>
              <w:t xml:space="preserve">Brief Description of the Works performed by the Tenderer: </w:t>
            </w:r>
            <w:r>
              <w:rPr>
                <w:u w:val="single"/>
              </w:rPr>
              <w:tab/>
            </w:r>
            <w:r>
              <w:t xml:space="preserve"> Amount of contract: </w:t>
            </w:r>
            <w:r>
              <w:rPr>
                <w:u w:val="single"/>
              </w:rPr>
              <w:tab/>
            </w:r>
            <w:r>
              <w:rPr>
                <w:u w:val="single"/>
              </w:rPr>
              <w:tab/>
            </w:r>
            <w:r>
              <w:rPr>
                <w:spacing w:val="40"/>
              </w:rPr>
              <w:t xml:space="preserve"> </w:t>
            </w:r>
            <w:r>
              <w:t xml:space="preserve">Name of Procuring Entity: </w:t>
            </w:r>
            <w:r>
              <w:rPr>
                <w:u w:val="single"/>
              </w:rPr>
              <w:tab/>
            </w:r>
            <w:r>
              <w:rPr>
                <w:u w:val="single"/>
              </w:rPr>
              <w:tab/>
            </w:r>
            <w:r>
              <w:rPr>
                <w:u w:val="single"/>
              </w:rPr>
              <w:tab/>
            </w:r>
            <w:r>
              <w:t xml:space="preserve"> </w:t>
            </w:r>
            <w:r>
              <w:rPr>
                <w:spacing w:val="-2"/>
              </w:rPr>
              <w:t>Address:</w:t>
            </w:r>
          </w:p>
        </w:tc>
        <w:tc>
          <w:tcPr>
            <w:tcW w:w="2016" w:type="dxa"/>
          </w:tcPr>
          <w:p w14:paraId="0DD1163E" w14:textId="77777777" w:rsidR="00BB77C0" w:rsidRDefault="00BB77C0">
            <w:pPr>
              <w:pStyle w:val="TableParagraph"/>
            </w:pPr>
          </w:p>
        </w:tc>
      </w:tr>
    </w:tbl>
    <w:p w14:paraId="583A25BF" w14:textId="77777777" w:rsidR="00BB77C0" w:rsidRDefault="00BB77C0">
      <w:pPr>
        <w:pStyle w:val="TableParagraph"/>
        <w:sectPr w:rsidR="00BB77C0">
          <w:pgSz w:w="11920" w:h="16850"/>
          <w:pgMar w:top="0" w:right="0" w:bottom="0" w:left="360" w:header="720" w:footer="720" w:gutter="0"/>
          <w:cols w:space="720"/>
        </w:sectPr>
      </w:pPr>
    </w:p>
    <w:p w14:paraId="49C6EEA5" w14:textId="77777777" w:rsidR="00BB77C0" w:rsidRDefault="00370BAA">
      <w:pPr>
        <w:pStyle w:val="BodyText"/>
        <w:rPr>
          <w:sz w:val="24"/>
        </w:rPr>
      </w:pPr>
      <w:r>
        <w:rPr>
          <w:noProof/>
          <w:sz w:val="24"/>
        </w:rPr>
        <w:lastRenderedPageBreak/>
        <mc:AlternateContent>
          <mc:Choice Requires="wpg">
            <w:drawing>
              <wp:anchor distT="0" distB="0" distL="0" distR="0" simplePos="0" relativeHeight="15749120" behindDoc="0" locked="0" layoutInCell="1" allowOverlap="1" wp14:anchorId="4129F3B6" wp14:editId="0177659D">
                <wp:simplePos x="0" y="0"/>
                <wp:positionH relativeFrom="page">
                  <wp:posOffset>0</wp:posOffset>
                </wp:positionH>
                <wp:positionV relativeFrom="page">
                  <wp:posOffset>10234295</wp:posOffset>
                </wp:positionV>
                <wp:extent cx="7561580" cy="459105"/>
                <wp:effectExtent l="0" t="0" r="0" b="0"/>
                <wp:wrapNone/>
                <wp:docPr id="166" name="Gro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1580" cy="459105"/>
                          <a:chOff x="0" y="0"/>
                          <a:chExt cx="7561580" cy="459105"/>
                        </a:xfrm>
                      </wpg:grpSpPr>
                      <wps:wsp>
                        <wps:cNvPr id="167" name="Graphic 167"/>
                        <wps:cNvSpPr/>
                        <wps:spPr>
                          <a:xfrm>
                            <a:off x="6449059" y="5714"/>
                            <a:ext cx="1110615" cy="451484"/>
                          </a:xfrm>
                          <a:custGeom>
                            <a:avLst/>
                            <a:gdLst/>
                            <a:ahLst/>
                            <a:cxnLst/>
                            <a:rect l="l" t="t" r="r" b="b"/>
                            <a:pathLst>
                              <a:path w="1110615" h="451484">
                                <a:moveTo>
                                  <a:pt x="1110614" y="0"/>
                                </a:moveTo>
                                <a:lnTo>
                                  <a:pt x="0" y="0"/>
                                </a:lnTo>
                                <a:lnTo>
                                  <a:pt x="260349" y="451483"/>
                                </a:lnTo>
                                <a:lnTo>
                                  <a:pt x="1110614" y="451483"/>
                                </a:lnTo>
                                <a:lnTo>
                                  <a:pt x="1110614" y="0"/>
                                </a:lnTo>
                                <a:close/>
                              </a:path>
                            </a:pathLst>
                          </a:custGeom>
                          <a:solidFill>
                            <a:srgbClr val="FAD2C1"/>
                          </a:solidFill>
                        </wps:spPr>
                        <wps:bodyPr wrap="square" lIns="0" tIns="0" rIns="0" bIns="0" rtlCol="0">
                          <a:prstTxWarp prst="textNoShape">
                            <a:avLst/>
                          </a:prstTxWarp>
                          <a:noAutofit/>
                        </wps:bodyPr>
                      </wps:wsp>
                      <wps:wsp>
                        <wps:cNvPr id="168" name="Graphic 168"/>
                        <wps:cNvSpPr/>
                        <wps:spPr>
                          <a:xfrm>
                            <a:off x="6449059" y="5714"/>
                            <a:ext cx="1110615" cy="451484"/>
                          </a:xfrm>
                          <a:custGeom>
                            <a:avLst/>
                            <a:gdLst/>
                            <a:ahLst/>
                            <a:cxnLst/>
                            <a:rect l="l" t="t" r="r" b="b"/>
                            <a:pathLst>
                              <a:path w="1110615" h="451484">
                                <a:moveTo>
                                  <a:pt x="0" y="0"/>
                                </a:moveTo>
                                <a:lnTo>
                                  <a:pt x="1110614" y="0"/>
                                </a:lnTo>
                                <a:lnTo>
                                  <a:pt x="1110614" y="451483"/>
                                </a:lnTo>
                                <a:lnTo>
                                  <a:pt x="260349" y="451483"/>
                                </a:lnTo>
                                <a:lnTo>
                                  <a:pt x="0" y="0"/>
                                </a:lnTo>
                              </a:path>
                            </a:pathLst>
                          </a:custGeom>
                          <a:ln w="3051">
                            <a:solidFill>
                              <a:srgbClr val="FAD2C1"/>
                            </a:solidFill>
                            <a:prstDash val="solid"/>
                          </a:ln>
                        </wps:spPr>
                        <wps:bodyPr wrap="square" lIns="0" tIns="0" rIns="0" bIns="0" rtlCol="0">
                          <a:prstTxWarp prst="textNoShape">
                            <a:avLst/>
                          </a:prstTxWarp>
                          <a:noAutofit/>
                        </wps:bodyPr>
                      </wps:wsp>
                      <wps:wsp>
                        <wps:cNvPr id="169" name="Graphic 169"/>
                        <wps:cNvSpPr/>
                        <wps:spPr>
                          <a:xfrm>
                            <a:off x="0" y="6350"/>
                            <a:ext cx="7560309" cy="1270"/>
                          </a:xfrm>
                          <a:custGeom>
                            <a:avLst/>
                            <a:gdLst/>
                            <a:ahLst/>
                            <a:cxnLst/>
                            <a:rect l="l" t="t" r="r" b="b"/>
                            <a:pathLst>
                              <a:path w="7560309">
                                <a:moveTo>
                                  <a:pt x="0" y="0"/>
                                </a:moveTo>
                                <a:lnTo>
                                  <a:pt x="7560309" y="0"/>
                                </a:lnTo>
                              </a:path>
                            </a:pathLst>
                          </a:custGeom>
                          <a:ln w="12700">
                            <a:solidFill>
                              <a:srgbClr val="FAD2C1"/>
                            </a:solidFill>
                            <a:prstDash val="solid"/>
                          </a:ln>
                        </wps:spPr>
                        <wps:bodyPr wrap="square" lIns="0" tIns="0" rIns="0" bIns="0" rtlCol="0">
                          <a:prstTxWarp prst="textNoShape">
                            <a:avLst/>
                          </a:prstTxWarp>
                          <a:noAutofit/>
                        </wps:bodyPr>
                      </wps:wsp>
                      <wps:wsp>
                        <wps:cNvPr id="170" name="Textbox 170"/>
                        <wps:cNvSpPr txBox="1"/>
                        <wps:spPr>
                          <a:xfrm>
                            <a:off x="6882130" y="37491"/>
                            <a:ext cx="147320" cy="155575"/>
                          </a:xfrm>
                          <a:prstGeom prst="rect">
                            <a:avLst/>
                          </a:prstGeom>
                        </wps:spPr>
                        <wps:txbx>
                          <w:txbxContent>
                            <w:p w14:paraId="25672857" w14:textId="77777777" w:rsidR="00BB77C0" w:rsidRDefault="00370BAA">
                              <w:pPr>
                                <w:spacing w:line="244" w:lineRule="exact"/>
                              </w:pPr>
                              <w:r>
                                <w:rPr>
                                  <w:spacing w:val="-5"/>
                                </w:rPr>
                                <w:t>61</w:t>
                              </w:r>
                            </w:p>
                          </w:txbxContent>
                        </wps:txbx>
                        <wps:bodyPr wrap="square" lIns="0" tIns="0" rIns="0" bIns="0" rtlCol="0">
                          <a:noAutofit/>
                        </wps:bodyPr>
                      </wps:wsp>
                    </wpg:wgp>
                  </a:graphicData>
                </a:graphic>
              </wp:anchor>
            </w:drawing>
          </mc:Choice>
          <mc:Fallback>
            <w:pict>
              <v:group w14:anchorId="4129F3B6" id="Group 166" o:spid="_x0000_s1096" style="position:absolute;margin-left:0;margin-top:805.85pt;width:595.4pt;height:36.15pt;z-index:15749120;mso-wrap-distance-left:0;mso-wrap-distance-right:0;mso-position-horizontal-relative:page;mso-position-vertical-relative:page" coordsize="75615,4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">
                <v:shape id="Graphic 167" o:spid="_x0000_s1097" style="position:absolute;left:64490;top:57;width:11106;height:4514;visibility:visible;mso-wrap-style:square;v-text-anchor:top" coordsize="1110615,4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" path="m1110614,l,,260349,451483r850265,l1110614,xe" fillcolor="#fad2c1" stroked="f">
                  <v:path arrowok="t"/>
                </v:shape>
                <v:shape id="Graphic 168" o:spid="_x0000_s1098" style="position:absolute;left:64490;top:57;width:11106;height:4514;visibility:visible;mso-wrap-style:square;v-text-anchor:top" coordsize="1110615,4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" path="m,l1110614,r,451483l260349,451483,,e" filled="f" strokecolor="#fad2c1" strokeweight=".08475mm">
                  <v:path arrowok="t"/>
                </v:shape>
                <v:shape id="Graphic 169" o:spid="_x0000_s1099" style="position:absolute;top:63;width:75603;height:13;visibility:visible;mso-wrap-style:square;v-text-anchor:top" coordsize="756030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" path="m,l7560309,e" filled="f" strokecolor="#fad2c1" strokeweight="1pt">
                  <v:path arrowok="t"/>
                </v:shape>
                <v:shape id="Textbox 170" o:spid="_x0000_s1100" type="#_x0000_t202" style="position:absolute;left:68821;top:374;width:1473;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" filled="f" stroked="f">
                  <v:textbox inset="0,0,0,0">
                    <w:txbxContent>
                      <w:p w14:paraId="25672857" w14:textId="77777777" w:rsidR="00BB77C0" w:rsidRDefault="00370BAA">
                        <w:pPr>
                          <w:spacing w:line="244" w:lineRule="exact"/>
                        </w:pPr>
                        <w:r>
                          <w:rPr>
                            <w:spacing w:val="-5"/>
                          </w:rPr>
                          <w:t>61</w:t>
                        </w:r>
                      </w:p>
                    </w:txbxContent>
                  </v:textbox>
                </v:shape>
                <w10:wrap anchorx="page" anchory="page"/>
              </v:group>
            </w:pict>
          </mc:Fallback>
        </mc:AlternateContent>
      </w:r>
      <w:r>
        <w:rPr>
          <w:noProof/>
          <w:sz w:val="24"/>
        </w:rPr>
        <mc:AlternateContent>
          <mc:Choice Requires="wpg">
            <w:drawing>
              <wp:anchor distT="0" distB="0" distL="0" distR="0" simplePos="0" relativeHeight="15749632" behindDoc="0" locked="0" layoutInCell="1" allowOverlap="1" wp14:anchorId="5C81D901" wp14:editId="7C6ED234">
                <wp:simplePos x="0" y="0"/>
                <wp:positionH relativeFrom="page">
                  <wp:posOffset>0</wp:posOffset>
                </wp:positionH>
                <wp:positionV relativeFrom="page">
                  <wp:posOffset>0</wp:posOffset>
                </wp:positionV>
                <wp:extent cx="7559675" cy="228600"/>
                <wp:effectExtent l="0" t="0" r="0" b="0"/>
                <wp:wrapNone/>
                <wp:docPr id="171" name="Group 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675" cy="228600"/>
                          <a:chOff x="0" y="0"/>
                          <a:chExt cx="7559675" cy="228600"/>
                        </a:xfrm>
                      </wpg:grpSpPr>
                      <wps:wsp>
                        <wps:cNvPr id="172" name="Graphic 172"/>
                        <wps:cNvSpPr/>
                        <wps:spPr>
                          <a:xfrm>
                            <a:off x="848283" y="0"/>
                            <a:ext cx="6711950" cy="228600"/>
                          </a:xfrm>
                          <a:custGeom>
                            <a:avLst/>
                            <a:gdLst/>
                            <a:ahLst/>
                            <a:cxnLst/>
                            <a:rect l="l" t="t" r="r" b="b"/>
                            <a:pathLst>
                              <a:path w="6711950" h="228600">
                                <a:moveTo>
                                  <a:pt x="6711391" y="0"/>
                                </a:moveTo>
                                <a:lnTo>
                                  <a:pt x="0" y="0"/>
                                </a:lnTo>
                                <a:lnTo>
                                  <a:pt x="184137" y="228600"/>
                                </a:lnTo>
                                <a:lnTo>
                                  <a:pt x="6711391" y="223520"/>
                                </a:lnTo>
                                <a:lnTo>
                                  <a:pt x="6711391" y="0"/>
                                </a:lnTo>
                                <a:close/>
                              </a:path>
                            </a:pathLst>
                          </a:custGeom>
                          <a:solidFill>
                            <a:srgbClr val="E6E7E8"/>
                          </a:solidFill>
                        </wps:spPr>
                        <wps:bodyPr wrap="square" lIns="0" tIns="0" rIns="0" bIns="0" rtlCol="0">
                          <a:prstTxWarp prst="textNoShape">
                            <a:avLst/>
                          </a:prstTxWarp>
                          <a:noAutofit/>
                        </wps:bodyPr>
                      </wps:wsp>
                      <wps:wsp>
                        <wps:cNvPr id="173" name="Graphic 173"/>
                        <wps:cNvSpPr/>
                        <wps:spPr>
                          <a:xfrm>
                            <a:off x="0" y="0"/>
                            <a:ext cx="655955" cy="228600"/>
                          </a:xfrm>
                          <a:custGeom>
                            <a:avLst/>
                            <a:gdLst/>
                            <a:ahLst/>
                            <a:cxnLst/>
                            <a:rect l="l" t="t" r="r" b="b"/>
                            <a:pathLst>
                              <a:path w="655955" h="228600">
                                <a:moveTo>
                                  <a:pt x="530174" y="0"/>
                                </a:moveTo>
                                <a:lnTo>
                                  <a:pt x="0" y="0"/>
                                </a:lnTo>
                                <a:lnTo>
                                  <a:pt x="0" y="228600"/>
                                </a:lnTo>
                                <a:lnTo>
                                  <a:pt x="655904" y="228600"/>
                                </a:lnTo>
                                <a:lnTo>
                                  <a:pt x="530174" y="0"/>
                                </a:lnTo>
                                <a:close/>
                              </a:path>
                            </a:pathLst>
                          </a:custGeom>
                          <a:solidFill>
                            <a:srgbClr val="00A650"/>
                          </a:solidFill>
                        </wps:spPr>
                        <wps:bodyPr wrap="square" lIns="0" tIns="0" rIns="0" bIns="0" rtlCol="0">
                          <a:prstTxWarp prst="textNoShape">
                            <a:avLst/>
                          </a:prstTxWarp>
                          <a:noAutofit/>
                        </wps:bodyPr>
                      </wps:wsp>
                      <wps:wsp>
                        <wps:cNvPr id="174" name="Graphic 174"/>
                        <wps:cNvSpPr/>
                        <wps:spPr>
                          <a:xfrm>
                            <a:off x="554304" y="0"/>
                            <a:ext cx="329565" cy="228600"/>
                          </a:xfrm>
                          <a:custGeom>
                            <a:avLst/>
                            <a:gdLst/>
                            <a:ahLst/>
                            <a:cxnLst/>
                            <a:rect l="l" t="t" r="r" b="b"/>
                            <a:pathLst>
                              <a:path w="329565" h="228600">
                                <a:moveTo>
                                  <a:pt x="203822" y="0"/>
                                </a:moveTo>
                                <a:lnTo>
                                  <a:pt x="0" y="0"/>
                                </a:lnTo>
                                <a:lnTo>
                                  <a:pt x="128904" y="228600"/>
                                </a:lnTo>
                                <a:lnTo>
                                  <a:pt x="329539" y="228600"/>
                                </a:lnTo>
                                <a:lnTo>
                                  <a:pt x="203822" y="0"/>
                                </a:lnTo>
                                <a:close/>
                              </a:path>
                            </a:pathLst>
                          </a:custGeom>
                          <a:solidFill>
                            <a:srgbClr val="EB1C22"/>
                          </a:solidFill>
                        </wps:spPr>
                        <wps:bodyPr wrap="square" lIns="0" tIns="0" rIns="0" bIns="0" rtlCol="0">
                          <a:prstTxWarp prst="textNoShape">
                            <a:avLst/>
                          </a:prstTxWarp>
                          <a:noAutofit/>
                        </wps:bodyPr>
                      </wps:wsp>
                      <wps:wsp>
                        <wps:cNvPr id="175" name="Graphic 175"/>
                        <wps:cNvSpPr/>
                        <wps:spPr>
                          <a:xfrm>
                            <a:off x="783526" y="0"/>
                            <a:ext cx="329565" cy="228600"/>
                          </a:xfrm>
                          <a:custGeom>
                            <a:avLst/>
                            <a:gdLst/>
                            <a:ahLst/>
                            <a:cxnLst/>
                            <a:rect l="l" t="t" r="r" b="b"/>
                            <a:pathLst>
                              <a:path w="329565" h="228600">
                                <a:moveTo>
                                  <a:pt x="203822" y="0"/>
                                </a:moveTo>
                                <a:lnTo>
                                  <a:pt x="0" y="0"/>
                                </a:lnTo>
                                <a:lnTo>
                                  <a:pt x="128879" y="228600"/>
                                </a:lnTo>
                                <a:lnTo>
                                  <a:pt x="329539" y="228600"/>
                                </a:lnTo>
                                <a:lnTo>
                                  <a:pt x="203822" y="0"/>
                                </a:lnTo>
                                <a:close/>
                              </a:path>
                            </a:pathLst>
                          </a:custGeom>
                          <a:solidFill>
                            <a:srgbClr val="A7A9AC"/>
                          </a:solidFill>
                        </wps:spPr>
                        <wps:bodyPr wrap="square" lIns="0" tIns="0" rIns="0" bIns="0" rtlCol="0">
                          <a:prstTxWarp prst="textNoShape">
                            <a:avLst/>
                          </a:prstTxWarp>
                          <a:noAutofit/>
                        </wps:bodyPr>
                      </wps:wsp>
                    </wpg:wgp>
                  </a:graphicData>
                </a:graphic>
              </wp:anchor>
            </w:drawing>
          </mc:Choice>
          <mc:Fallback>
            <w:pict>
              <v:group w14:anchorId="7ECDF2B5" id="Group 171" o:spid="_x0000_s1026" style="position:absolute;margin-left:0;margin-top:0;width:595.25pt;height:18pt;z-index:15749632;mso-wrap-distance-left:0;mso-wrap-distance-right:0;mso-position-horizontal-relative:page;mso-position-vertical-relative:page" coordsize="75596,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">
                <v:shape id="Graphic 172" o:spid="_x0000_s1027" style="position:absolute;left:8482;width:67120;height:2286;visibility:visible;mso-wrap-style:square;v-text-anchor:top" coordsize="67119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" path="m6711391,l,,184137,228600r6527254,-5080l6711391,xe" fillcolor="#e6e7e8" stroked="f">
                  <v:path arrowok="t"/>
                </v:shape>
                <v:shape id="Graphic 173" o:spid="_x0000_s1028" style="position:absolute;width:6559;height:2286;visibility:visible;mso-wrap-style:square;v-text-anchor:top" coordsize="65595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" path="m530174,l,,,228600r655904,l530174,xe" fillcolor="#00a650" stroked="f">
                  <v:path arrowok="t"/>
                </v:shape>
                <v:shape id="Graphic 174" o:spid="_x0000_s1029" style="position:absolute;left:5543;width:3295;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" path="m203822,l,,128904,228600r200635,l203822,xe" fillcolor="#eb1c22" stroked="f">
                  <v:path arrowok="t"/>
                </v:shape>
                <v:shape id="Graphic 175" o:spid="_x0000_s1030" style="position:absolute;left:7835;width:3295;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" path="m203822,l,,128879,228600r200660,l203822,xe" fillcolor="#a7a9ac" stroked="f">
                  <v:path arrowok="t"/>
                </v:shape>
                <w10:wrap anchorx="page" anchory="page"/>
              </v:group>
            </w:pict>
          </mc:Fallback>
        </mc:AlternateContent>
      </w:r>
    </w:p>
    <w:p w14:paraId="6FBE1D1C" w14:textId="77777777" w:rsidR="00BB77C0" w:rsidRDefault="00BB77C0">
      <w:pPr>
        <w:pStyle w:val="BodyText"/>
        <w:spacing w:before="27"/>
        <w:rPr>
          <w:sz w:val="24"/>
        </w:rPr>
      </w:pPr>
    </w:p>
    <w:p w14:paraId="6B6FADF6" w14:textId="77777777" w:rsidR="00BB77C0" w:rsidRDefault="00370BAA">
      <w:pPr>
        <w:pStyle w:val="ListParagraph"/>
        <w:numPr>
          <w:ilvl w:val="1"/>
          <w:numId w:val="64"/>
        </w:numPr>
        <w:tabs>
          <w:tab w:val="left" w:pos="844"/>
        </w:tabs>
        <w:ind w:left="844" w:hanging="359"/>
        <w:rPr>
          <w:b/>
          <w:sz w:val="24"/>
        </w:rPr>
      </w:pPr>
      <w:r>
        <w:rPr>
          <w:b/>
          <w:sz w:val="24"/>
          <w:u w:val="single"/>
        </w:rPr>
        <w:t>FORM</w:t>
      </w:r>
      <w:r>
        <w:rPr>
          <w:b/>
          <w:spacing w:val="4"/>
          <w:sz w:val="24"/>
          <w:u w:val="single"/>
        </w:rPr>
        <w:t xml:space="preserve"> </w:t>
      </w:r>
      <w:r>
        <w:rPr>
          <w:b/>
          <w:sz w:val="24"/>
          <w:u w:val="single"/>
        </w:rPr>
        <w:t>EXP</w:t>
      </w:r>
      <w:r>
        <w:rPr>
          <w:b/>
          <w:spacing w:val="-2"/>
          <w:sz w:val="24"/>
          <w:u w:val="single"/>
        </w:rPr>
        <w:t xml:space="preserve"> </w:t>
      </w:r>
      <w:r>
        <w:rPr>
          <w:b/>
          <w:sz w:val="24"/>
          <w:u w:val="single"/>
        </w:rPr>
        <w:t>-</w:t>
      </w:r>
      <w:r>
        <w:rPr>
          <w:b/>
          <w:spacing w:val="35"/>
          <w:sz w:val="24"/>
          <w:u w:val="single"/>
        </w:rPr>
        <w:t xml:space="preserve"> </w:t>
      </w:r>
      <w:r>
        <w:rPr>
          <w:b/>
          <w:spacing w:val="-2"/>
          <w:sz w:val="24"/>
          <w:u w:val="single"/>
        </w:rPr>
        <w:t>4.2(a)</w:t>
      </w:r>
    </w:p>
    <w:p w14:paraId="36719AB2" w14:textId="77777777" w:rsidR="00BB77C0" w:rsidRDefault="00370BAA">
      <w:pPr>
        <w:spacing w:before="2"/>
        <w:ind w:left="360"/>
        <w:rPr>
          <w:b/>
        </w:rPr>
      </w:pPr>
      <w:r>
        <w:rPr>
          <w:b/>
          <w:spacing w:val="-2"/>
        </w:rPr>
        <w:t>Specific Construction</w:t>
      </w:r>
      <w:r>
        <w:rPr>
          <w:b/>
        </w:rPr>
        <w:t xml:space="preserve"> </w:t>
      </w:r>
      <w:r>
        <w:rPr>
          <w:b/>
          <w:spacing w:val="-2"/>
        </w:rPr>
        <w:t>and Contract</w:t>
      </w:r>
      <w:r>
        <w:rPr>
          <w:b/>
          <w:spacing w:val="6"/>
        </w:rPr>
        <w:t xml:space="preserve"> </w:t>
      </w:r>
      <w:r>
        <w:rPr>
          <w:b/>
          <w:spacing w:val="-2"/>
        </w:rPr>
        <w:t>Management</w:t>
      </w:r>
      <w:r>
        <w:rPr>
          <w:b/>
          <w:spacing w:val="8"/>
        </w:rPr>
        <w:t xml:space="preserve"> </w:t>
      </w:r>
      <w:r>
        <w:rPr>
          <w:b/>
          <w:spacing w:val="-2"/>
        </w:rPr>
        <w:t>Experience</w:t>
      </w:r>
    </w:p>
    <w:p w14:paraId="3F4880E5" w14:textId="77777777" w:rsidR="00BB77C0" w:rsidRDefault="00370BAA">
      <w:pPr>
        <w:pStyle w:val="BodyText"/>
        <w:tabs>
          <w:tab w:val="left" w:pos="3661"/>
        </w:tabs>
        <w:spacing w:before="251" w:line="251" w:lineRule="exact"/>
        <w:ind w:left="360"/>
      </w:pPr>
      <w:r>
        <w:t xml:space="preserve">Tenderer’s Name: </w:t>
      </w:r>
      <w:r>
        <w:rPr>
          <w:u w:val="single"/>
        </w:rPr>
        <w:tab/>
      </w:r>
    </w:p>
    <w:p w14:paraId="5B85B00D" w14:textId="77777777" w:rsidR="00BB77C0" w:rsidRDefault="00370BAA">
      <w:pPr>
        <w:pStyle w:val="BodyText"/>
        <w:tabs>
          <w:tab w:val="left" w:pos="3200"/>
        </w:tabs>
        <w:spacing w:line="251" w:lineRule="exact"/>
        <w:ind w:left="360"/>
      </w:pPr>
      <w:r>
        <w:t xml:space="preserve">Date: </w:t>
      </w:r>
      <w:r>
        <w:rPr>
          <w:u w:val="single"/>
        </w:rPr>
        <w:tab/>
      </w:r>
    </w:p>
    <w:p w14:paraId="32BFBAEA" w14:textId="77777777" w:rsidR="00BB77C0" w:rsidRDefault="00370BAA">
      <w:pPr>
        <w:pStyle w:val="BodyText"/>
        <w:tabs>
          <w:tab w:val="left" w:pos="4746"/>
        </w:tabs>
        <w:spacing w:before="2"/>
        <w:ind w:left="360" w:right="6795"/>
      </w:pPr>
      <w:r>
        <w:t>JV Member’s Name</w:t>
      </w:r>
      <w:r>
        <w:rPr>
          <w:u w:val="single"/>
        </w:rPr>
        <w:tab/>
      </w:r>
      <w:r>
        <w:t xml:space="preserve"> </w:t>
      </w:r>
      <w:r>
        <w:rPr>
          <w:spacing w:val="-4"/>
        </w:rPr>
        <w:t>ITT</w:t>
      </w:r>
      <w:r>
        <w:rPr>
          <w:spacing w:val="-6"/>
        </w:rPr>
        <w:t xml:space="preserve"> </w:t>
      </w:r>
      <w:r>
        <w:rPr>
          <w:spacing w:val="-4"/>
        </w:rPr>
        <w:t>No.</w:t>
      </w:r>
      <w:r>
        <w:rPr>
          <w:spacing w:val="-8"/>
        </w:rPr>
        <w:t xml:space="preserve"> </w:t>
      </w:r>
      <w:r>
        <w:rPr>
          <w:spacing w:val="-4"/>
        </w:rPr>
        <w:t>and</w:t>
      </w:r>
      <w:r>
        <w:rPr>
          <w:spacing w:val="-10"/>
        </w:rPr>
        <w:t xml:space="preserve"> </w:t>
      </w:r>
      <w:r>
        <w:rPr>
          <w:spacing w:val="-4"/>
        </w:rPr>
        <w:t xml:space="preserve">title: </w:t>
      </w:r>
      <w:r>
        <w:rPr>
          <w:u w:val="single"/>
        </w:rPr>
        <w:tab/>
      </w:r>
    </w:p>
    <w:p w14:paraId="007274D5" w14:textId="77777777" w:rsidR="00BB77C0" w:rsidRDefault="00BB77C0">
      <w:pPr>
        <w:pStyle w:val="BodyText"/>
        <w:spacing w:before="31"/>
        <w:rPr>
          <w:sz w:val="20"/>
        </w:rPr>
      </w:pPr>
    </w:p>
    <w:tbl>
      <w:tblPr>
        <w:tblW w:w="0" w:type="auto"/>
        <w:tblInd w:w="36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558"/>
        <w:gridCol w:w="1306"/>
        <w:gridCol w:w="86"/>
        <w:gridCol w:w="1531"/>
        <w:gridCol w:w="1944"/>
        <w:gridCol w:w="1027"/>
      </w:tblGrid>
      <w:tr w:rsidR="00BB77C0" w14:paraId="7BE8B99A" w14:textId="77777777">
        <w:trPr>
          <w:trHeight w:val="503"/>
        </w:trPr>
        <w:tc>
          <w:tcPr>
            <w:tcW w:w="3558" w:type="dxa"/>
          </w:tcPr>
          <w:p w14:paraId="41F8D058" w14:textId="77777777" w:rsidR="00BB77C0" w:rsidRDefault="00370BAA">
            <w:pPr>
              <w:pStyle w:val="TableParagraph"/>
              <w:spacing w:line="249" w:lineRule="exact"/>
              <w:ind w:left="7"/>
              <w:rPr>
                <w:b/>
              </w:rPr>
            </w:pPr>
            <w:r>
              <w:rPr>
                <w:b/>
              </w:rPr>
              <w:t>Similar</w:t>
            </w:r>
            <w:r>
              <w:rPr>
                <w:b/>
                <w:spacing w:val="20"/>
              </w:rPr>
              <w:t xml:space="preserve"> </w:t>
            </w:r>
            <w:r>
              <w:rPr>
                <w:b/>
              </w:rPr>
              <w:t>Contract</w:t>
            </w:r>
            <w:r>
              <w:rPr>
                <w:b/>
                <w:spacing w:val="21"/>
              </w:rPr>
              <w:t xml:space="preserve"> </w:t>
            </w:r>
            <w:r>
              <w:rPr>
                <w:b/>
                <w:spacing w:val="-5"/>
              </w:rPr>
              <w:t>No.</w:t>
            </w:r>
          </w:p>
        </w:tc>
        <w:tc>
          <w:tcPr>
            <w:tcW w:w="5894" w:type="dxa"/>
            <w:gridSpan w:val="5"/>
          </w:tcPr>
          <w:p w14:paraId="015D85F5" w14:textId="77777777" w:rsidR="00BB77C0" w:rsidRDefault="00370BAA">
            <w:pPr>
              <w:pStyle w:val="TableParagraph"/>
              <w:spacing w:line="249" w:lineRule="exact"/>
              <w:ind w:left="7"/>
              <w:rPr>
                <w:b/>
              </w:rPr>
            </w:pPr>
            <w:r>
              <w:rPr>
                <w:b/>
                <w:spacing w:val="-2"/>
              </w:rPr>
              <w:t>Information</w:t>
            </w:r>
          </w:p>
        </w:tc>
      </w:tr>
      <w:tr w:rsidR="00BB77C0" w14:paraId="0DDBB3E4" w14:textId="77777777">
        <w:trPr>
          <w:trHeight w:val="407"/>
        </w:trPr>
        <w:tc>
          <w:tcPr>
            <w:tcW w:w="3558" w:type="dxa"/>
          </w:tcPr>
          <w:p w14:paraId="2A255297" w14:textId="77777777" w:rsidR="00BB77C0" w:rsidRDefault="00370BAA">
            <w:pPr>
              <w:pStyle w:val="TableParagraph"/>
              <w:spacing w:line="249" w:lineRule="exact"/>
              <w:ind w:left="7"/>
            </w:pPr>
            <w:r>
              <w:rPr>
                <w:spacing w:val="-10"/>
              </w:rPr>
              <w:t>Contract</w:t>
            </w:r>
            <w:r>
              <w:t xml:space="preserve"> </w:t>
            </w:r>
            <w:r>
              <w:rPr>
                <w:spacing w:val="-2"/>
              </w:rPr>
              <w:t>Identification</w:t>
            </w:r>
          </w:p>
        </w:tc>
        <w:tc>
          <w:tcPr>
            <w:tcW w:w="5894" w:type="dxa"/>
            <w:gridSpan w:val="5"/>
          </w:tcPr>
          <w:p w14:paraId="74DE43CB" w14:textId="77777777" w:rsidR="00BB77C0" w:rsidRDefault="00BB77C0">
            <w:pPr>
              <w:pStyle w:val="TableParagraph"/>
            </w:pPr>
          </w:p>
        </w:tc>
      </w:tr>
      <w:tr w:rsidR="00BB77C0" w14:paraId="23B0BD60" w14:textId="77777777">
        <w:trPr>
          <w:trHeight w:val="402"/>
        </w:trPr>
        <w:tc>
          <w:tcPr>
            <w:tcW w:w="3558" w:type="dxa"/>
          </w:tcPr>
          <w:p w14:paraId="4090F018" w14:textId="77777777" w:rsidR="00BB77C0" w:rsidRDefault="00370BAA">
            <w:pPr>
              <w:pStyle w:val="TableParagraph"/>
              <w:spacing w:line="249" w:lineRule="exact"/>
              <w:ind w:left="7"/>
            </w:pPr>
            <w:r>
              <w:rPr>
                <w:spacing w:val="-10"/>
              </w:rPr>
              <w:t>Award</w:t>
            </w:r>
            <w:r>
              <w:rPr>
                <w:spacing w:val="-18"/>
              </w:rPr>
              <w:t xml:space="preserve"> </w:t>
            </w:r>
            <w:r>
              <w:rPr>
                <w:spacing w:val="-4"/>
              </w:rPr>
              <w:t>date</w:t>
            </w:r>
          </w:p>
        </w:tc>
        <w:tc>
          <w:tcPr>
            <w:tcW w:w="5894" w:type="dxa"/>
            <w:gridSpan w:val="5"/>
          </w:tcPr>
          <w:p w14:paraId="1357A063" w14:textId="77777777" w:rsidR="00BB77C0" w:rsidRDefault="00BB77C0">
            <w:pPr>
              <w:pStyle w:val="TableParagraph"/>
            </w:pPr>
          </w:p>
        </w:tc>
      </w:tr>
      <w:tr w:rsidR="00BB77C0" w14:paraId="6E6F28BE" w14:textId="77777777">
        <w:trPr>
          <w:trHeight w:val="403"/>
        </w:trPr>
        <w:tc>
          <w:tcPr>
            <w:tcW w:w="3558" w:type="dxa"/>
          </w:tcPr>
          <w:p w14:paraId="4E5DC352" w14:textId="77777777" w:rsidR="00BB77C0" w:rsidRDefault="00370BAA">
            <w:pPr>
              <w:pStyle w:val="TableParagraph"/>
              <w:spacing w:line="249" w:lineRule="exact"/>
              <w:ind w:left="7"/>
            </w:pPr>
            <w:r>
              <w:rPr>
                <w:spacing w:val="-6"/>
              </w:rPr>
              <w:t>Completion</w:t>
            </w:r>
            <w:r>
              <w:rPr>
                <w:spacing w:val="1"/>
              </w:rPr>
              <w:t xml:space="preserve"> </w:t>
            </w:r>
            <w:r>
              <w:rPr>
                <w:spacing w:val="-4"/>
              </w:rPr>
              <w:t>date</w:t>
            </w:r>
          </w:p>
        </w:tc>
        <w:tc>
          <w:tcPr>
            <w:tcW w:w="5894" w:type="dxa"/>
            <w:gridSpan w:val="5"/>
          </w:tcPr>
          <w:p w14:paraId="7E1B0A82" w14:textId="77777777" w:rsidR="00BB77C0" w:rsidRDefault="00BB77C0">
            <w:pPr>
              <w:pStyle w:val="TableParagraph"/>
            </w:pPr>
          </w:p>
        </w:tc>
      </w:tr>
      <w:tr w:rsidR="00BB77C0" w14:paraId="0A8217B2" w14:textId="77777777">
        <w:trPr>
          <w:trHeight w:val="844"/>
        </w:trPr>
        <w:tc>
          <w:tcPr>
            <w:tcW w:w="3558" w:type="dxa"/>
          </w:tcPr>
          <w:p w14:paraId="397AE341" w14:textId="77777777" w:rsidR="00BB77C0" w:rsidRDefault="00370BAA">
            <w:pPr>
              <w:pStyle w:val="TableParagraph"/>
              <w:spacing w:before="1"/>
              <w:ind w:left="7"/>
            </w:pPr>
            <w:r>
              <w:rPr>
                <w:spacing w:val="-4"/>
              </w:rPr>
              <w:t>Role</w:t>
            </w:r>
            <w:r>
              <w:rPr>
                <w:spacing w:val="-11"/>
              </w:rPr>
              <w:t xml:space="preserve"> </w:t>
            </w:r>
            <w:r>
              <w:rPr>
                <w:spacing w:val="-4"/>
              </w:rPr>
              <w:t>in</w:t>
            </w:r>
            <w:r>
              <w:rPr>
                <w:spacing w:val="-8"/>
              </w:rPr>
              <w:t xml:space="preserve"> </w:t>
            </w:r>
            <w:r>
              <w:rPr>
                <w:spacing w:val="-4"/>
              </w:rPr>
              <w:t>Contract</w:t>
            </w:r>
          </w:p>
        </w:tc>
        <w:tc>
          <w:tcPr>
            <w:tcW w:w="1392" w:type="dxa"/>
            <w:gridSpan w:val="2"/>
          </w:tcPr>
          <w:p w14:paraId="3A6D138C" w14:textId="77777777" w:rsidR="00BB77C0" w:rsidRDefault="00370BAA">
            <w:pPr>
              <w:pStyle w:val="TableParagraph"/>
              <w:spacing w:line="242" w:lineRule="auto"/>
              <w:ind w:left="7" w:right="235"/>
              <w:rPr>
                <w:rFonts w:ascii="Wingdings" w:hAnsi="Wingdings"/>
              </w:rPr>
            </w:pPr>
            <w:r>
              <w:rPr>
                <w:spacing w:val="-2"/>
              </w:rPr>
              <w:t xml:space="preserve">Prime </w:t>
            </w:r>
            <w:r>
              <w:rPr>
                <w:spacing w:val="-6"/>
              </w:rPr>
              <w:t>Contractor</w:t>
            </w:r>
            <w:r>
              <w:rPr>
                <w:spacing w:val="-9"/>
              </w:rPr>
              <w:t xml:space="preserve"> </w:t>
            </w:r>
            <w:r>
              <w:rPr>
                <w:rFonts w:ascii="Wingdings" w:hAnsi="Wingdings"/>
                <w:spacing w:val="-6"/>
              </w:rPr>
              <w:t></w:t>
            </w:r>
          </w:p>
        </w:tc>
        <w:tc>
          <w:tcPr>
            <w:tcW w:w="1531" w:type="dxa"/>
          </w:tcPr>
          <w:p w14:paraId="0593C106" w14:textId="77777777" w:rsidR="00BB77C0" w:rsidRDefault="00370BAA">
            <w:pPr>
              <w:pStyle w:val="TableParagraph"/>
              <w:spacing w:before="3" w:line="237" w:lineRule="auto"/>
              <w:ind w:left="7" w:right="585"/>
            </w:pPr>
            <w:r>
              <w:rPr>
                <w:spacing w:val="-6"/>
              </w:rPr>
              <w:t>Member</w:t>
            </w:r>
            <w:r>
              <w:rPr>
                <w:spacing w:val="-8"/>
              </w:rPr>
              <w:t xml:space="preserve"> </w:t>
            </w:r>
            <w:r>
              <w:rPr>
                <w:spacing w:val="-6"/>
              </w:rPr>
              <w:t>in JV</w:t>
            </w:r>
          </w:p>
          <w:p w14:paraId="1060AA85" w14:textId="77777777" w:rsidR="00BB77C0" w:rsidRDefault="00370BAA">
            <w:pPr>
              <w:pStyle w:val="TableParagraph"/>
              <w:numPr>
                <w:ilvl w:val="0"/>
                <w:numId w:val="52"/>
              </w:numPr>
              <w:tabs>
                <w:tab w:val="left" w:pos="186"/>
              </w:tabs>
              <w:spacing w:before="22"/>
              <w:ind w:left="186" w:hanging="179"/>
              <w:rPr>
                <w:rFonts w:ascii="Wingdings" w:hAnsi="Wingdings"/>
                <w:sz w:val="20"/>
              </w:rPr>
            </w:pPr>
            <w:r>
              <w:rPr>
                <w:rFonts w:ascii="Wingdings" w:hAnsi="Wingdings"/>
                <w:sz w:val="20"/>
              </w:rPr>
              <w:t>​</w:t>
            </w:r>
          </w:p>
        </w:tc>
        <w:tc>
          <w:tcPr>
            <w:tcW w:w="1944" w:type="dxa"/>
          </w:tcPr>
          <w:p w14:paraId="677A71A7" w14:textId="77777777" w:rsidR="00BB77C0" w:rsidRDefault="00370BAA">
            <w:pPr>
              <w:pStyle w:val="TableParagraph"/>
              <w:spacing w:line="242" w:lineRule="auto"/>
              <w:ind w:left="8" w:right="839"/>
            </w:pPr>
            <w:r>
              <w:rPr>
                <w:spacing w:val="-8"/>
              </w:rPr>
              <w:t xml:space="preserve">Management </w:t>
            </w:r>
            <w:r>
              <w:rPr>
                <w:spacing w:val="-2"/>
              </w:rPr>
              <w:t>Contractor</w:t>
            </w:r>
          </w:p>
          <w:p w14:paraId="5F66FC7E" w14:textId="77777777" w:rsidR="00BB77C0" w:rsidRDefault="00370BAA">
            <w:pPr>
              <w:pStyle w:val="TableParagraph"/>
              <w:numPr>
                <w:ilvl w:val="0"/>
                <w:numId w:val="51"/>
              </w:numPr>
              <w:tabs>
                <w:tab w:val="left" w:pos="187"/>
              </w:tabs>
              <w:spacing w:before="14"/>
              <w:ind w:left="187" w:hanging="179"/>
              <w:rPr>
                <w:rFonts w:ascii="Wingdings" w:hAnsi="Wingdings"/>
                <w:sz w:val="20"/>
              </w:rPr>
            </w:pPr>
            <w:r>
              <w:rPr>
                <w:rFonts w:ascii="Wingdings" w:hAnsi="Wingdings"/>
                <w:sz w:val="20"/>
              </w:rPr>
              <w:t>​</w:t>
            </w:r>
          </w:p>
        </w:tc>
        <w:tc>
          <w:tcPr>
            <w:tcW w:w="1027" w:type="dxa"/>
          </w:tcPr>
          <w:p w14:paraId="0CF14C09" w14:textId="77777777" w:rsidR="00BB77C0" w:rsidRDefault="00370BAA">
            <w:pPr>
              <w:pStyle w:val="TableParagraph"/>
              <w:spacing w:line="242" w:lineRule="auto"/>
              <w:ind w:left="9" w:right="173"/>
            </w:pPr>
            <w:r>
              <w:rPr>
                <w:spacing w:val="-4"/>
              </w:rPr>
              <w:t xml:space="preserve">Sub- </w:t>
            </w:r>
            <w:r>
              <w:rPr>
                <w:spacing w:val="-8"/>
              </w:rPr>
              <w:t>contractor</w:t>
            </w:r>
          </w:p>
          <w:p w14:paraId="1FFEBC14" w14:textId="77777777" w:rsidR="00BB77C0" w:rsidRDefault="00370BAA">
            <w:pPr>
              <w:pStyle w:val="TableParagraph"/>
              <w:numPr>
                <w:ilvl w:val="0"/>
                <w:numId w:val="50"/>
              </w:numPr>
              <w:tabs>
                <w:tab w:val="left" w:pos="188"/>
              </w:tabs>
              <w:spacing w:before="14"/>
              <w:ind w:left="188" w:hanging="179"/>
              <w:rPr>
                <w:rFonts w:ascii="Wingdings" w:hAnsi="Wingdings"/>
                <w:sz w:val="20"/>
              </w:rPr>
            </w:pPr>
            <w:r>
              <w:rPr>
                <w:rFonts w:ascii="Wingdings" w:hAnsi="Wingdings"/>
                <w:sz w:val="20"/>
              </w:rPr>
              <w:t>​</w:t>
            </w:r>
          </w:p>
        </w:tc>
      </w:tr>
      <w:tr w:rsidR="00BB77C0" w14:paraId="27EBDFB1" w14:textId="77777777">
        <w:trPr>
          <w:trHeight w:val="254"/>
        </w:trPr>
        <w:tc>
          <w:tcPr>
            <w:tcW w:w="3558" w:type="dxa"/>
          </w:tcPr>
          <w:p w14:paraId="3BD3C5A1" w14:textId="77777777" w:rsidR="00BB77C0" w:rsidRDefault="00370BAA">
            <w:pPr>
              <w:pStyle w:val="TableParagraph"/>
              <w:spacing w:line="234" w:lineRule="exact"/>
              <w:ind w:left="7"/>
            </w:pPr>
            <w:r>
              <w:rPr>
                <w:spacing w:val="-9"/>
              </w:rPr>
              <w:t xml:space="preserve">TotalContract </w:t>
            </w:r>
            <w:r>
              <w:rPr>
                <w:spacing w:val="-2"/>
              </w:rPr>
              <w:t>Amount</w:t>
            </w:r>
          </w:p>
        </w:tc>
        <w:tc>
          <w:tcPr>
            <w:tcW w:w="2923" w:type="dxa"/>
            <w:gridSpan w:val="3"/>
          </w:tcPr>
          <w:p w14:paraId="465193A5" w14:textId="77777777" w:rsidR="00BB77C0" w:rsidRDefault="00BB77C0">
            <w:pPr>
              <w:pStyle w:val="TableParagraph"/>
              <w:rPr>
                <w:sz w:val="18"/>
              </w:rPr>
            </w:pPr>
          </w:p>
        </w:tc>
        <w:tc>
          <w:tcPr>
            <w:tcW w:w="2971" w:type="dxa"/>
            <w:gridSpan w:val="2"/>
          </w:tcPr>
          <w:p w14:paraId="4299F8D5" w14:textId="77777777" w:rsidR="00BB77C0" w:rsidRDefault="00370BAA">
            <w:pPr>
              <w:pStyle w:val="TableParagraph"/>
              <w:spacing w:line="234" w:lineRule="exact"/>
              <w:ind w:left="8"/>
              <w:rPr>
                <w:b/>
              </w:rPr>
            </w:pPr>
            <w:r>
              <w:rPr>
                <w:b/>
                <w:spacing w:val="-6"/>
              </w:rPr>
              <w:t xml:space="preserve">Kenya </w:t>
            </w:r>
            <w:r>
              <w:rPr>
                <w:b/>
                <w:spacing w:val="-2"/>
              </w:rPr>
              <w:t>Shilling</w:t>
            </w:r>
          </w:p>
        </w:tc>
      </w:tr>
      <w:tr w:rsidR="00BB77C0" w14:paraId="215DE7E3" w14:textId="77777777">
        <w:trPr>
          <w:trHeight w:val="758"/>
        </w:trPr>
        <w:tc>
          <w:tcPr>
            <w:tcW w:w="3558" w:type="dxa"/>
          </w:tcPr>
          <w:p w14:paraId="1EF15AC0" w14:textId="77777777" w:rsidR="00BB77C0" w:rsidRDefault="00370BAA">
            <w:pPr>
              <w:pStyle w:val="TableParagraph"/>
              <w:spacing w:line="244" w:lineRule="exact"/>
              <w:ind w:left="7"/>
            </w:pPr>
            <w:r>
              <w:t>If member</w:t>
            </w:r>
            <w:r>
              <w:rPr>
                <w:spacing w:val="1"/>
              </w:rPr>
              <w:t xml:space="preserve"> </w:t>
            </w:r>
            <w:r>
              <w:t>in</w:t>
            </w:r>
            <w:r>
              <w:rPr>
                <w:spacing w:val="-6"/>
              </w:rPr>
              <w:t xml:space="preserve"> </w:t>
            </w:r>
            <w:r>
              <w:t>a JV</w:t>
            </w:r>
            <w:r>
              <w:rPr>
                <w:spacing w:val="-6"/>
              </w:rPr>
              <w:t xml:space="preserve"> </w:t>
            </w:r>
            <w:r>
              <w:t>or</w:t>
            </w:r>
            <w:r>
              <w:rPr>
                <w:spacing w:val="1"/>
              </w:rPr>
              <w:t xml:space="preserve"> </w:t>
            </w:r>
            <w:r>
              <w:t>sub-</w:t>
            </w:r>
            <w:r>
              <w:rPr>
                <w:spacing w:val="-2"/>
              </w:rPr>
              <w:t>contractor,</w:t>
            </w:r>
          </w:p>
          <w:p w14:paraId="2C333C3C" w14:textId="77777777" w:rsidR="00BB77C0" w:rsidRDefault="00370BAA">
            <w:pPr>
              <w:pStyle w:val="TableParagraph"/>
              <w:spacing w:before="6" w:line="244" w:lineRule="exact"/>
              <w:ind w:left="7"/>
            </w:pPr>
            <w:r>
              <w:t>specify</w:t>
            </w:r>
            <w:r>
              <w:rPr>
                <w:spacing w:val="-14"/>
              </w:rPr>
              <w:t xml:space="preserve"> </w:t>
            </w:r>
            <w:r>
              <w:t>participation</w:t>
            </w:r>
            <w:r>
              <w:rPr>
                <w:spacing w:val="-14"/>
              </w:rPr>
              <w:t xml:space="preserve"> </w:t>
            </w:r>
            <w:r>
              <w:t>in</w:t>
            </w:r>
            <w:r>
              <w:rPr>
                <w:spacing w:val="-14"/>
              </w:rPr>
              <w:t xml:space="preserve"> </w:t>
            </w:r>
            <w:r>
              <w:t>total</w:t>
            </w:r>
            <w:r>
              <w:rPr>
                <w:spacing w:val="-13"/>
              </w:rPr>
              <w:t xml:space="preserve"> </w:t>
            </w:r>
            <w:r>
              <w:t xml:space="preserve">Contract </w:t>
            </w:r>
            <w:r>
              <w:rPr>
                <w:spacing w:val="-2"/>
              </w:rPr>
              <w:t>amount</w:t>
            </w:r>
          </w:p>
        </w:tc>
        <w:tc>
          <w:tcPr>
            <w:tcW w:w="1306" w:type="dxa"/>
          </w:tcPr>
          <w:p w14:paraId="449AA463" w14:textId="77777777" w:rsidR="00BB77C0" w:rsidRDefault="00BB77C0">
            <w:pPr>
              <w:pStyle w:val="TableParagraph"/>
            </w:pPr>
          </w:p>
        </w:tc>
        <w:tc>
          <w:tcPr>
            <w:tcW w:w="1617" w:type="dxa"/>
            <w:gridSpan w:val="2"/>
          </w:tcPr>
          <w:p w14:paraId="7BA13497" w14:textId="77777777" w:rsidR="00BB77C0" w:rsidRDefault="00BB77C0">
            <w:pPr>
              <w:pStyle w:val="TableParagraph"/>
            </w:pPr>
          </w:p>
        </w:tc>
        <w:tc>
          <w:tcPr>
            <w:tcW w:w="2971" w:type="dxa"/>
            <w:gridSpan w:val="2"/>
          </w:tcPr>
          <w:p w14:paraId="726B81C2" w14:textId="77777777" w:rsidR="00BB77C0" w:rsidRDefault="00BB77C0">
            <w:pPr>
              <w:pStyle w:val="TableParagraph"/>
            </w:pPr>
          </w:p>
        </w:tc>
      </w:tr>
      <w:tr w:rsidR="00BB77C0" w14:paraId="2BF2AECE" w14:textId="77777777">
        <w:trPr>
          <w:trHeight w:val="249"/>
        </w:trPr>
        <w:tc>
          <w:tcPr>
            <w:tcW w:w="3558" w:type="dxa"/>
          </w:tcPr>
          <w:p w14:paraId="2A95C569" w14:textId="77777777" w:rsidR="00BB77C0" w:rsidRDefault="00370BAA">
            <w:pPr>
              <w:pStyle w:val="TableParagraph"/>
              <w:spacing w:line="229" w:lineRule="exact"/>
              <w:ind w:left="7"/>
            </w:pPr>
            <w:r>
              <w:t>Procuring</w:t>
            </w:r>
            <w:r>
              <w:rPr>
                <w:spacing w:val="-16"/>
              </w:rPr>
              <w:t xml:space="preserve"> </w:t>
            </w:r>
            <w:r>
              <w:t>Entity's</w:t>
            </w:r>
            <w:r>
              <w:rPr>
                <w:spacing w:val="-10"/>
              </w:rPr>
              <w:t xml:space="preserve"> </w:t>
            </w:r>
            <w:r>
              <w:rPr>
                <w:spacing w:val="-4"/>
              </w:rPr>
              <w:t>Name:</w:t>
            </w:r>
          </w:p>
        </w:tc>
        <w:tc>
          <w:tcPr>
            <w:tcW w:w="5894" w:type="dxa"/>
            <w:gridSpan w:val="5"/>
          </w:tcPr>
          <w:p w14:paraId="4EC30DBB" w14:textId="77777777" w:rsidR="00BB77C0" w:rsidRDefault="00BB77C0">
            <w:pPr>
              <w:pStyle w:val="TableParagraph"/>
              <w:rPr>
                <w:sz w:val="18"/>
              </w:rPr>
            </w:pPr>
          </w:p>
        </w:tc>
      </w:tr>
      <w:tr w:rsidR="00BB77C0" w14:paraId="455208FB" w14:textId="77777777">
        <w:trPr>
          <w:trHeight w:val="763"/>
        </w:trPr>
        <w:tc>
          <w:tcPr>
            <w:tcW w:w="3558" w:type="dxa"/>
          </w:tcPr>
          <w:p w14:paraId="1828CF95" w14:textId="77777777" w:rsidR="00BB77C0" w:rsidRDefault="00370BAA">
            <w:pPr>
              <w:pStyle w:val="TableParagraph"/>
              <w:spacing w:line="249" w:lineRule="exact"/>
              <w:ind w:left="7"/>
            </w:pPr>
            <w:r>
              <w:rPr>
                <w:spacing w:val="-2"/>
              </w:rPr>
              <w:t>Address:</w:t>
            </w:r>
          </w:p>
          <w:p w14:paraId="70B04A30" w14:textId="77777777" w:rsidR="00BB77C0" w:rsidRDefault="00370BAA">
            <w:pPr>
              <w:pStyle w:val="TableParagraph"/>
              <w:spacing w:before="11" w:line="228" w:lineRule="auto"/>
              <w:ind w:left="7" w:right="1569"/>
            </w:pPr>
            <w:r>
              <w:rPr>
                <w:spacing w:val="-2"/>
              </w:rPr>
              <w:t>Telephone/fax</w:t>
            </w:r>
            <w:r>
              <w:rPr>
                <w:spacing w:val="-12"/>
              </w:rPr>
              <w:t xml:space="preserve"> </w:t>
            </w:r>
            <w:r>
              <w:rPr>
                <w:spacing w:val="-2"/>
              </w:rPr>
              <w:t>number E-mail:</w:t>
            </w:r>
          </w:p>
        </w:tc>
        <w:tc>
          <w:tcPr>
            <w:tcW w:w="5894" w:type="dxa"/>
            <w:gridSpan w:val="5"/>
          </w:tcPr>
          <w:p w14:paraId="361B0315" w14:textId="77777777" w:rsidR="00BB77C0" w:rsidRDefault="00BB77C0">
            <w:pPr>
              <w:pStyle w:val="TableParagraph"/>
            </w:pPr>
          </w:p>
        </w:tc>
      </w:tr>
    </w:tbl>
    <w:p w14:paraId="772F628B" w14:textId="77777777" w:rsidR="00BB77C0" w:rsidRDefault="00BB77C0">
      <w:pPr>
        <w:pStyle w:val="BodyText"/>
      </w:pPr>
    </w:p>
    <w:p w14:paraId="6FE454C5" w14:textId="77777777" w:rsidR="00BB77C0" w:rsidRDefault="00BB77C0">
      <w:pPr>
        <w:pStyle w:val="BodyText"/>
        <w:spacing w:before="4"/>
      </w:pPr>
    </w:p>
    <w:p w14:paraId="25950786" w14:textId="77777777" w:rsidR="00BB77C0" w:rsidRDefault="00370BAA">
      <w:pPr>
        <w:pStyle w:val="ListParagraph"/>
        <w:numPr>
          <w:ilvl w:val="1"/>
          <w:numId w:val="64"/>
        </w:numPr>
        <w:tabs>
          <w:tab w:val="left" w:pos="1017"/>
        </w:tabs>
        <w:ind w:left="1017" w:hanging="532"/>
        <w:rPr>
          <w:b/>
          <w:sz w:val="24"/>
        </w:rPr>
      </w:pPr>
      <w:r>
        <w:rPr>
          <w:b/>
          <w:sz w:val="24"/>
          <w:u w:val="single"/>
        </w:rPr>
        <w:t>FORM</w:t>
      </w:r>
      <w:r>
        <w:rPr>
          <w:b/>
          <w:spacing w:val="4"/>
          <w:sz w:val="24"/>
          <w:u w:val="single"/>
        </w:rPr>
        <w:t xml:space="preserve"> </w:t>
      </w:r>
      <w:r>
        <w:rPr>
          <w:b/>
          <w:sz w:val="24"/>
          <w:u w:val="single"/>
        </w:rPr>
        <w:t>EXP</w:t>
      </w:r>
      <w:r>
        <w:rPr>
          <w:b/>
          <w:spacing w:val="-2"/>
          <w:sz w:val="24"/>
          <w:u w:val="single"/>
        </w:rPr>
        <w:t xml:space="preserve"> </w:t>
      </w:r>
      <w:r>
        <w:rPr>
          <w:b/>
          <w:sz w:val="24"/>
          <w:u w:val="single"/>
        </w:rPr>
        <w:t>-</w:t>
      </w:r>
      <w:r>
        <w:rPr>
          <w:b/>
          <w:spacing w:val="-3"/>
          <w:sz w:val="24"/>
          <w:u w:val="single"/>
        </w:rPr>
        <w:t xml:space="preserve"> </w:t>
      </w:r>
      <w:r>
        <w:rPr>
          <w:b/>
          <w:sz w:val="24"/>
          <w:u w:val="single"/>
        </w:rPr>
        <w:t>4.2</w:t>
      </w:r>
      <w:r>
        <w:rPr>
          <w:b/>
          <w:spacing w:val="-3"/>
          <w:sz w:val="24"/>
          <w:u w:val="single"/>
        </w:rPr>
        <w:t xml:space="preserve"> </w:t>
      </w:r>
      <w:r>
        <w:rPr>
          <w:b/>
          <w:sz w:val="24"/>
          <w:u w:val="single"/>
        </w:rPr>
        <w:t>(a)</w:t>
      </w:r>
      <w:r>
        <w:rPr>
          <w:b/>
          <w:spacing w:val="-2"/>
          <w:sz w:val="24"/>
          <w:u w:val="single"/>
        </w:rPr>
        <w:t xml:space="preserve"> (cont.)</w:t>
      </w:r>
    </w:p>
    <w:p w14:paraId="614E6031" w14:textId="77777777" w:rsidR="00BB77C0" w:rsidRDefault="00370BAA">
      <w:pPr>
        <w:spacing w:before="252"/>
        <w:ind w:left="360"/>
        <w:rPr>
          <w:b/>
        </w:rPr>
      </w:pPr>
      <w:r>
        <w:rPr>
          <w:b/>
          <w:spacing w:val="-2"/>
        </w:rPr>
        <w:t>Specific</w:t>
      </w:r>
      <w:r>
        <w:rPr>
          <w:b/>
          <w:spacing w:val="-3"/>
        </w:rPr>
        <w:t xml:space="preserve"> </w:t>
      </w:r>
      <w:r>
        <w:rPr>
          <w:b/>
          <w:spacing w:val="-2"/>
        </w:rPr>
        <w:t>Construction</w:t>
      </w:r>
      <w:r>
        <w:rPr>
          <w:b/>
        </w:rPr>
        <w:t xml:space="preserve"> </w:t>
      </w:r>
      <w:r>
        <w:rPr>
          <w:b/>
          <w:spacing w:val="-2"/>
        </w:rPr>
        <w:t>and</w:t>
      </w:r>
      <w:r>
        <w:rPr>
          <w:b/>
          <w:spacing w:val="-1"/>
        </w:rPr>
        <w:t xml:space="preserve"> </w:t>
      </w:r>
      <w:r>
        <w:rPr>
          <w:b/>
          <w:spacing w:val="-2"/>
        </w:rPr>
        <w:t>Contract</w:t>
      </w:r>
      <w:r>
        <w:rPr>
          <w:b/>
          <w:spacing w:val="6"/>
        </w:rPr>
        <w:t xml:space="preserve"> </w:t>
      </w:r>
      <w:r>
        <w:rPr>
          <w:b/>
          <w:spacing w:val="-2"/>
        </w:rPr>
        <w:t>Management</w:t>
      </w:r>
      <w:r>
        <w:rPr>
          <w:b/>
          <w:spacing w:val="7"/>
        </w:rPr>
        <w:t xml:space="preserve"> </w:t>
      </w:r>
      <w:r>
        <w:rPr>
          <w:b/>
          <w:spacing w:val="-2"/>
        </w:rPr>
        <w:t>Experience</w:t>
      </w:r>
      <w:r>
        <w:rPr>
          <w:b/>
          <w:spacing w:val="2"/>
        </w:rPr>
        <w:t xml:space="preserve"> </w:t>
      </w:r>
      <w:r>
        <w:rPr>
          <w:b/>
          <w:spacing w:val="-2"/>
        </w:rPr>
        <w:t>(cont.)</w:t>
      </w:r>
    </w:p>
    <w:p w14:paraId="16CD20B4" w14:textId="77777777" w:rsidR="00BB77C0" w:rsidRDefault="00BB77C0">
      <w:pPr>
        <w:pStyle w:val="BodyText"/>
        <w:spacing w:before="25"/>
        <w:rPr>
          <w:b/>
          <w:sz w:val="20"/>
        </w:rPr>
      </w:pPr>
    </w:p>
    <w:tbl>
      <w:tblPr>
        <w:tblW w:w="0" w:type="auto"/>
        <w:tblInd w:w="36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784"/>
        <w:gridCol w:w="5402"/>
      </w:tblGrid>
      <w:tr w:rsidR="00BB77C0" w14:paraId="4F0DAC8F" w14:textId="77777777">
        <w:trPr>
          <w:trHeight w:val="509"/>
        </w:trPr>
        <w:tc>
          <w:tcPr>
            <w:tcW w:w="3784" w:type="dxa"/>
          </w:tcPr>
          <w:p w14:paraId="566C5841" w14:textId="77777777" w:rsidR="00BB77C0" w:rsidRDefault="00370BAA">
            <w:pPr>
              <w:pStyle w:val="TableParagraph"/>
              <w:spacing w:line="249" w:lineRule="exact"/>
              <w:ind w:left="7"/>
              <w:rPr>
                <w:b/>
              </w:rPr>
            </w:pPr>
            <w:r>
              <w:rPr>
                <w:b/>
              </w:rPr>
              <w:t>Similar</w:t>
            </w:r>
            <w:r>
              <w:rPr>
                <w:b/>
                <w:spacing w:val="20"/>
              </w:rPr>
              <w:t xml:space="preserve"> </w:t>
            </w:r>
            <w:r>
              <w:rPr>
                <w:b/>
              </w:rPr>
              <w:t>Contract</w:t>
            </w:r>
            <w:r>
              <w:rPr>
                <w:b/>
                <w:spacing w:val="21"/>
              </w:rPr>
              <w:t xml:space="preserve"> </w:t>
            </w:r>
            <w:r>
              <w:rPr>
                <w:b/>
                <w:spacing w:val="-5"/>
              </w:rPr>
              <w:t>No.</w:t>
            </w:r>
          </w:p>
        </w:tc>
        <w:tc>
          <w:tcPr>
            <w:tcW w:w="5402" w:type="dxa"/>
          </w:tcPr>
          <w:p w14:paraId="15829EAA" w14:textId="77777777" w:rsidR="00BB77C0" w:rsidRDefault="00370BAA">
            <w:pPr>
              <w:pStyle w:val="TableParagraph"/>
              <w:spacing w:line="249" w:lineRule="exact"/>
              <w:ind w:left="2"/>
              <w:rPr>
                <w:b/>
              </w:rPr>
            </w:pPr>
            <w:r>
              <w:rPr>
                <w:b/>
                <w:spacing w:val="-2"/>
              </w:rPr>
              <w:t>Information</w:t>
            </w:r>
          </w:p>
        </w:tc>
      </w:tr>
      <w:tr w:rsidR="00BB77C0" w14:paraId="01ADE050" w14:textId="77777777">
        <w:trPr>
          <w:trHeight w:val="503"/>
        </w:trPr>
        <w:tc>
          <w:tcPr>
            <w:tcW w:w="3784" w:type="dxa"/>
          </w:tcPr>
          <w:p w14:paraId="5AA1CAC1" w14:textId="77777777" w:rsidR="00BB77C0" w:rsidRDefault="00370BAA">
            <w:pPr>
              <w:pStyle w:val="TableParagraph"/>
              <w:spacing w:before="3" w:line="240" w:lineRule="exact"/>
              <w:ind w:left="7"/>
            </w:pPr>
            <w:r>
              <w:t>Description</w:t>
            </w:r>
            <w:r>
              <w:rPr>
                <w:spacing w:val="-14"/>
              </w:rPr>
              <w:t xml:space="preserve"> </w:t>
            </w:r>
            <w:r>
              <w:t>of</w:t>
            </w:r>
            <w:r>
              <w:rPr>
                <w:spacing w:val="-14"/>
              </w:rPr>
              <w:t xml:space="preserve"> </w:t>
            </w:r>
            <w:r>
              <w:t>the</w:t>
            </w:r>
            <w:r>
              <w:rPr>
                <w:spacing w:val="-14"/>
              </w:rPr>
              <w:t xml:space="preserve"> </w:t>
            </w:r>
            <w:r>
              <w:t>similarity</w:t>
            </w:r>
            <w:r>
              <w:rPr>
                <w:spacing w:val="-13"/>
              </w:rPr>
              <w:t xml:space="preserve"> </w:t>
            </w:r>
            <w:r>
              <w:t>in</w:t>
            </w:r>
            <w:r>
              <w:rPr>
                <w:spacing w:val="-13"/>
              </w:rPr>
              <w:t xml:space="preserve"> </w:t>
            </w:r>
            <w:r>
              <w:t>accordance with Sub-Factor 4.2(a) of Section III:</w:t>
            </w:r>
          </w:p>
        </w:tc>
        <w:tc>
          <w:tcPr>
            <w:tcW w:w="5402" w:type="dxa"/>
          </w:tcPr>
          <w:p w14:paraId="0BEC4208" w14:textId="77777777" w:rsidR="00BB77C0" w:rsidRDefault="00BB77C0">
            <w:pPr>
              <w:pStyle w:val="TableParagraph"/>
            </w:pPr>
          </w:p>
        </w:tc>
      </w:tr>
      <w:tr w:rsidR="00BB77C0" w14:paraId="3B58F44E" w14:textId="77777777">
        <w:trPr>
          <w:trHeight w:val="254"/>
        </w:trPr>
        <w:tc>
          <w:tcPr>
            <w:tcW w:w="3784" w:type="dxa"/>
          </w:tcPr>
          <w:p w14:paraId="06830168" w14:textId="77777777" w:rsidR="00BB77C0" w:rsidRDefault="00370BAA">
            <w:pPr>
              <w:pStyle w:val="TableParagraph"/>
              <w:tabs>
                <w:tab w:val="left" w:pos="727"/>
              </w:tabs>
              <w:spacing w:line="234" w:lineRule="exact"/>
              <w:ind w:left="7"/>
            </w:pPr>
            <w:r>
              <w:rPr>
                <w:spacing w:val="-5"/>
              </w:rPr>
              <w:t>1.</w:t>
            </w:r>
            <w:r>
              <w:tab/>
            </w:r>
            <w:r>
              <w:rPr>
                <w:spacing w:val="-2"/>
              </w:rPr>
              <w:t>Amount</w:t>
            </w:r>
          </w:p>
        </w:tc>
        <w:tc>
          <w:tcPr>
            <w:tcW w:w="5402" w:type="dxa"/>
          </w:tcPr>
          <w:p w14:paraId="6AD9A9EE" w14:textId="77777777" w:rsidR="00BB77C0" w:rsidRDefault="00BB77C0">
            <w:pPr>
              <w:pStyle w:val="TableParagraph"/>
              <w:rPr>
                <w:sz w:val="18"/>
              </w:rPr>
            </w:pPr>
          </w:p>
        </w:tc>
      </w:tr>
      <w:tr w:rsidR="00BB77C0" w14:paraId="233FE1F6" w14:textId="77777777">
        <w:trPr>
          <w:trHeight w:val="503"/>
        </w:trPr>
        <w:tc>
          <w:tcPr>
            <w:tcW w:w="3784" w:type="dxa"/>
          </w:tcPr>
          <w:p w14:paraId="5EA131C5" w14:textId="77777777" w:rsidR="00BB77C0" w:rsidRDefault="00370BAA">
            <w:pPr>
              <w:pStyle w:val="TableParagraph"/>
              <w:tabs>
                <w:tab w:val="left" w:pos="727"/>
              </w:tabs>
              <w:spacing w:before="3" w:line="240" w:lineRule="exact"/>
              <w:ind w:left="7" w:right="322"/>
            </w:pPr>
            <w:r>
              <w:rPr>
                <w:spacing w:val="-6"/>
              </w:rPr>
              <w:t>2.</w:t>
            </w:r>
            <w:r>
              <w:tab/>
              <w:t>Physical</w:t>
            </w:r>
            <w:r>
              <w:rPr>
                <w:spacing w:val="-14"/>
              </w:rPr>
              <w:t xml:space="preserve"> </w:t>
            </w:r>
            <w:r>
              <w:t>size</w:t>
            </w:r>
            <w:r>
              <w:rPr>
                <w:spacing w:val="-14"/>
              </w:rPr>
              <w:t xml:space="preserve"> </w:t>
            </w:r>
            <w:r>
              <w:t>of</w:t>
            </w:r>
            <w:r>
              <w:rPr>
                <w:spacing w:val="-14"/>
              </w:rPr>
              <w:t xml:space="preserve"> </w:t>
            </w:r>
            <w:r>
              <w:t>required</w:t>
            </w:r>
            <w:r>
              <w:rPr>
                <w:spacing w:val="-13"/>
              </w:rPr>
              <w:t xml:space="preserve"> </w:t>
            </w:r>
            <w:r>
              <w:t xml:space="preserve">works </w:t>
            </w:r>
            <w:r>
              <w:rPr>
                <w:spacing w:val="-2"/>
              </w:rPr>
              <w:t>items</w:t>
            </w:r>
          </w:p>
        </w:tc>
        <w:tc>
          <w:tcPr>
            <w:tcW w:w="5402" w:type="dxa"/>
          </w:tcPr>
          <w:p w14:paraId="68FF3FCF" w14:textId="77777777" w:rsidR="00BB77C0" w:rsidRDefault="00BB77C0">
            <w:pPr>
              <w:pStyle w:val="TableParagraph"/>
            </w:pPr>
          </w:p>
        </w:tc>
      </w:tr>
      <w:tr w:rsidR="00BB77C0" w14:paraId="393F4C2D" w14:textId="77777777">
        <w:trPr>
          <w:trHeight w:val="249"/>
        </w:trPr>
        <w:tc>
          <w:tcPr>
            <w:tcW w:w="3784" w:type="dxa"/>
          </w:tcPr>
          <w:p w14:paraId="64CC5436" w14:textId="77777777" w:rsidR="00BB77C0" w:rsidRDefault="00370BAA">
            <w:pPr>
              <w:pStyle w:val="TableParagraph"/>
              <w:tabs>
                <w:tab w:val="left" w:pos="727"/>
              </w:tabs>
              <w:spacing w:line="229" w:lineRule="exact"/>
              <w:ind w:left="7"/>
            </w:pPr>
            <w:r>
              <w:rPr>
                <w:spacing w:val="-5"/>
              </w:rPr>
              <w:t>3.</w:t>
            </w:r>
            <w:r>
              <w:tab/>
            </w:r>
            <w:r>
              <w:rPr>
                <w:spacing w:val="-2"/>
              </w:rPr>
              <w:t>Complexity</w:t>
            </w:r>
          </w:p>
        </w:tc>
        <w:tc>
          <w:tcPr>
            <w:tcW w:w="5402" w:type="dxa"/>
          </w:tcPr>
          <w:p w14:paraId="0DC77E27" w14:textId="77777777" w:rsidR="00BB77C0" w:rsidRDefault="00BB77C0">
            <w:pPr>
              <w:pStyle w:val="TableParagraph"/>
              <w:rPr>
                <w:sz w:val="18"/>
              </w:rPr>
            </w:pPr>
          </w:p>
        </w:tc>
      </w:tr>
      <w:tr w:rsidR="00BB77C0" w14:paraId="026EDD06" w14:textId="77777777">
        <w:trPr>
          <w:trHeight w:val="254"/>
        </w:trPr>
        <w:tc>
          <w:tcPr>
            <w:tcW w:w="3784" w:type="dxa"/>
          </w:tcPr>
          <w:p w14:paraId="4C5A220E" w14:textId="77777777" w:rsidR="00BB77C0" w:rsidRDefault="00370BAA">
            <w:pPr>
              <w:pStyle w:val="TableParagraph"/>
              <w:tabs>
                <w:tab w:val="left" w:pos="727"/>
              </w:tabs>
              <w:spacing w:line="235" w:lineRule="exact"/>
              <w:ind w:left="7"/>
            </w:pPr>
            <w:r>
              <w:rPr>
                <w:spacing w:val="-5"/>
              </w:rPr>
              <w:t>4.</w:t>
            </w:r>
            <w:r>
              <w:tab/>
            </w:r>
            <w:r>
              <w:rPr>
                <w:spacing w:val="-2"/>
              </w:rPr>
              <w:t>Methods/Technology</w:t>
            </w:r>
          </w:p>
        </w:tc>
        <w:tc>
          <w:tcPr>
            <w:tcW w:w="5402" w:type="dxa"/>
          </w:tcPr>
          <w:p w14:paraId="38D94668" w14:textId="77777777" w:rsidR="00BB77C0" w:rsidRDefault="00BB77C0">
            <w:pPr>
              <w:pStyle w:val="TableParagraph"/>
              <w:rPr>
                <w:sz w:val="18"/>
              </w:rPr>
            </w:pPr>
          </w:p>
        </w:tc>
      </w:tr>
      <w:tr w:rsidR="00BB77C0" w14:paraId="03265D17" w14:textId="77777777">
        <w:trPr>
          <w:trHeight w:val="254"/>
        </w:trPr>
        <w:tc>
          <w:tcPr>
            <w:tcW w:w="3784" w:type="dxa"/>
          </w:tcPr>
          <w:p w14:paraId="7221EF77" w14:textId="77777777" w:rsidR="00BB77C0" w:rsidRDefault="00370BAA">
            <w:pPr>
              <w:pStyle w:val="TableParagraph"/>
              <w:tabs>
                <w:tab w:val="left" w:pos="727"/>
              </w:tabs>
              <w:spacing w:line="234" w:lineRule="exact"/>
              <w:ind w:left="7"/>
            </w:pPr>
            <w:r>
              <w:rPr>
                <w:spacing w:val="-5"/>
              </w:rPr>
              <w:t>5.</w:t>
            </w:r>
            <w:r>
              <w:tab/>
              <w:t>Construction</w:t>
            </w:r>
            <w:r>
              <w:rPr>
                <w:spacing w:val="-9"/>
              </w:rPr>
              <w:t xml:space="preserve"> </w:t>
            </w:r>
            <w:r>
              <w:t>rate</w:t>
            </w:r>
            <w:r>
              <w:rPr>
                <w:spacing w:val="-12"/>
              </w:rPr>
              <w:t xml:space="preserve"> </w:t>
            </w:r>
            <w:r>
              <w:t>for</w:t>
            </w:r>
            <w:r>
              <w:rPr>
                <w:spacing w:val="-2"/>
              </w:rPr>
              <w:t xml:space="preserve"> </w:t>
            </w:r>
            <w:r>
              <w:t>key</w:t>
            </w:r>
            <w:r>
              <w:rPr>
                <w:spacing w:val="-5"/>
              </w:rPr>
              <w:t xml:space="preserve"> </w:t>
            </w:r>
            <w:r>
              <w:rPr>
                <w:spacing w:val="-2"/>
              </w:rPr>
              <w:t>activities</w:t>
            </w:r>
          </w:p>
        </w:tc>
        <w:tc>
          <w:tcPr>
            <w:tcW w:w="5402" w:type="dxa"/>
          </w:tcPr>
          <w:p w14:paraId="1AECA298" w14:textId="77777777" w:rsidR="00BB77C0" w:rsidRDefault="00BB77C0">
            <w:pPr>
              <w:pStyle w:val="TableParagraph"/>
              <w:rPr>
                <w:sz w:val="18"/>
              </w:rPr>
            </w:pPr>
          </w:p>
        </w:tc>
      </w:tr>
      <w:tr w:rsidR="00BB77C0" w14:paraId="703120C9" w14:textId="77777777">
        <w:trPr>
          <w:trHeight w:val="254"/>
        </w:trPr>
        <w:tc>
          <w:tcPr>
            <w:tcW w:w="3784" w:type="dxa"/>
          </w:tcPr>
          <w:p w14:paraId="71CDF3D9" w14:textId="77777777" w:rsidR="00BB77C0" w:rsidRDefault="00370BAA">
            <w:pPr>
              <w:pStyle w:val="TableParagraph"/>
              <w:tabs>
                <w:tab w:val="left" w:pos="727"/>
              </w:tabs>
              <w:spacing w:line="234" w:lineRule="exact"/>
              <w:ind w:left="7"/>
            </w:pPr>
            <w:r>
              <w:rPr>
                <w:spacing w:val="-5"/>
              </w:rPr>
              <w:t>6.</w:t>
            </w:r>
            <w:r>
              <w:tab/>
              <w:t>Other</w:t>
            </w:r>
            <w:r>
              <w:rPr>
                <w:spacing w:val="-3"/>
              </w:rPr>
              <w:t xml:space="preserve"> </w:t>
            </w:r>
            <w:r>
              <w:rPr>
                <w:spacing w:val="-2"/>
              </w:rPr>
              <w:t>Characteristics</w:t>
            </w:r>
          </w:p>
        </w:tc>
        <w:tc>
          <w:tcPr>
            <w:tcW w:w="5402" w:type="dxa"/>
          </w:tcPr>
          <w:p w14:paraId="0510CA64" w14:textId="77777777" w:rsidR="00BB77C0" w:rsidRDefault="00BB77C0">
            <w:pPr>
              <w:pStyle w:val="TableParagraph"/>
              <w:rPr>
                <w:sz w:val="18"/>
              </w:rPr>
            </w:pPr>
          </w:p>
        </w:tc>
      </w:tr>
    </w:tbl>
    <w:p w14:paraId="27C3C3A5" w14:textId="77777777" w:rsidR="00BB77C0" w:rsidRDefault="00BB77C0">
      <w:pPr>
        <w:pStyle w:val="TableParagraph"/>
        <w:rPr>
          <w:sz w:val="18"/>
        </w:rPr>
        <w:sectPr w:rsidR="00BB77C0">
          <w:pgSz w:w="11920" w:h="16850"/>
          <w:pgMar w:top="0" w:right="0" w:bottom="0" w:left="360" w:header="720" w:footer="720" w:gutter="0"/>
          <w:cols w:space="720"/>
        </w:sectPr>
      </w:pPr>
    </w:p>
    <w:p w14:paraId="1C3557E7" w14:textId="77777777" w:rsidR="00BB77C0" w:rsidRDefault="00370BAA">
      <w:pPr>
        <w:pStyle w:val="BodyText"/>
        <w:spacing w:before="43"/>
        <w:rPr>
          <w:b/>
          <w:sz w:val="24"/>
        </w:rPr>
      </w:pPr>
      <w:r>
        <w:rPr>
          <w:b/>
          <w:noProof/>
          <w:sz w:val="24"/>
        </w:rPr>
        <w:lastRenderedPageBreak/>
        <mc:AlternateContent>
          <mc:Choice Requires="wpg">
            <w:drawing>
              <wp:anchor distT="0" distB="0" distL="0" distR="0" simplePos="0" relativeHeight="484020736" behindDoc="1" locked="0" layoutInCell="1" allowOverlap="1" wp14:anchorId="42830E33" wp14:editId="38C4975D">
                <wp:simplePos x="0" y="0"/>
                <wp:positionH relativeFrom="page">
                  <wp:posOffset>0</wp:posOffset>
                </wp:positionH>
                <wp:positionV relativeFrom="page">
                  <wp:posOffset>10234295</wp:posOffset>
                </wp:positionV>
                <wp:extent cx="7561580" cy="459105"/>
                <wp:effectExtent l="0" t="0" r="0" b="0"/>
                <wp:wrapNone/>
                <wp:docPr id="176"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1580" cy="459105"/>
                          <a:chOff x="0" y="0"/>
                          <a:chExt cx="7561580" cy="459105"/>
                        </a:xfrm>
                      </wpg:grpSpPr>
                      <wps:wsp>
                        <wps:cNvPr id="177" name="Graphic 177"/>
                        <wps:cNvSpPr/>
                        <wps:spPr>
                          <a:xfrm>
                            <a:off x="6449059" y="5714"/>
                            <a:ext cx="1110615" cy="451484"/>
                          </a:xfrm>
                          <a:custGeom>
                            <a:avLst/>
                            <a:gdLst/>
                            <a:ahLst/>
                            <a:cxnLst/>
                            <a:rect l="l" t="t" r="r" b="b"/>
                            <a:pathLst>
                              <a:path w="1110615" h="451484">
                                <a:moveTo>
                                  <a:pt x="1110614" y="0"/>
                                </a:moveTo>
                                <a:lnTo>
                                  <a:pt x="0" y="0"/>
                                </a:lnTo>
                                <a:lnTo>
                                  <a:pt x="260349" y="451483"/>
                                </a:lnTo>
                                <a:lnTo>
                                  <a:pt x="1110614" y="451483"/>
                                </a:lnTo>
                                <a:lnTo>
                                  <a:pt x="1110614" y="0"/>
                                </a:lnTo>
                                <a:close/>
                              </a:path>
                            </a:pathLst>
                          </a:custGeom>
                          <a:solidFill>
                            <a:srgbClr val="FAD2C1"/>
                          </a:solidFill>
                        </wps:spPr>
                        <wps:bodyPr wrap="square" lIns="0" tIns="0" rIns="0" bIns="0" rtlCol="0">
                          <a:prstTxWarp prst="textNoShape">
                            <a:avLst/>
                          </a:prstTxWarp>
                          <a:noAutofit/>
                        </wps:bodyPr>
                      </wps:wsp>
                      <wps:wsp>
                        <wps:cNvPr id="178" name="Graphic 178"/>
                        <wps:cNvSpPr/>
                        <wps:spPr>
                          <a:xfrm>
                            <a:off x="6449059" y="5714"/>
                            <a:ext cx="1110615" cy="451484"/>
                          </a:xfrm>
                          <a:custGeom>
                            <a:avLst/>
                            <a:gdLst/>
                            <a:ahLst/>
                            <a:cxnLst/>
                            <a:rect l="l" t="t" r="r" b="b"/>
                            <a:pathLst>
                              <a:path w="1110615" h="451484">
                                <a:moveTo>
                                  <a:pt x="0" y="0"/>
                                </a:moveTo>
                                <a:lnTo>
                                  <a:pt x="1110614" y="0"/>
                                </a:lnTo>
                                <a:lnTo>
                                  <a:pt x="1110614" y="451483"/>
                                </a:lnTo>
                                <a:lnTo>
                                  <a:pt x="260349" y="451483"/>
                                </a:lnTo>
                                <a:lnTo>
                                  <a:pt x="0" y="0"/>
                                </a:lnTo>
                              </a:path>
                            </a:pathLst>
                          </a:custGeom>
                          <a:ln w="3051">
                            <a:solidFill>
                              <a:srgbClr val="FAD2C1"/>
                            </a:solidFill>
                            <a:prstDash val="solid"/>
                          </a:ln>
                        </wps:spPr>
                        <wps:bodyPr wrap="square" lIns="0" tIns="0" rIns="0" bIns="0" rtlCol="0">
                          <a:prstTxWarp prst="textNoShape">
                            <a:avLst/>
                          </a:prstTxWarp>
                          <a:noAutofit/>
                        </wps:bodyPr>
                      </wps:wsp>
                      <wps:wsp>
                        <wps:cNvPr id="179" name="Graphic 179"/>
                        <wps:cNvSpPr/>
                        <wps:spPr>
                          <a:xfrm>
                            <a:off x="0" y="6350"/>
                            <a:ext cx="7560309" cy="1270"/>
                          </a:xfrm>
                          <a:custGeom>
                            <a:avLst/>
                            <a:gdLst/>
                            <a:ahLst/>
                            <a:cxnLst/>
                            <a:rect l="l" t="t" r="r" b="b"/>
                            <a:pathLst>
                              <a:path w="7560309">
                                <a:moveTo>
                                  <a:pt x="0" y="0"/>
                                </a:moveTo>
                                <a:lnTo>
                                  <a:pt x="7560309" y="0"/>
                                </a:lnTo>
                              </a:path>
                            </a:pathLst>
                          </a:custGeom>
                          <a:ln w="12700">
                            <a:solidFill>
                              <a:srgbClr val="FAD2C1"/>
                            </a:solidFill>
                            <a:prstDash val="solid"/>
                          </a:ln>
                        </wps:spPr>
                        <wps:bodyPr wrap="square" lIns="0" tIns="0" rIns="0" bIns="0" rtlCol="0">
                          <a:prstTxWarp prst="textNoShape">
                            <a:avLst/>
                          </a:prstTxWarp>
                          <a:noAutofit/>
                        </wps:bodyPr>
                      </wps:wsp>
                      <wps:wsp>
                        <wps:cNvPr id="180" name="Textbox 180"/>
                        <wps:cNvSpPr txBox="1"/>
                        <wps:spPr>
                          <a:xfrm>
                            <a:off x="6882130" y="37491"/>
                            <a:ext cx="147320" cy="155575"/>
                          </a:xfrm>
                          <a:prstGeom prst="rect">
                            <a:avLst/>
                          </a:prstGeom>
                        </wps:spPr>
                        <wps:txbx>
                          <w:txbxContent>
                            <w:p w14:paraId="2587D696" w14:textId="77777777" w:rsidR="00BB77C0" w:rsidRDefault="00370BAA">
                              <w:pPr>
                                <w:spacing w:line="244" w:lineRule="exact"/>
                              </w:pPr>
                              <w:r>
                                <w:rPr>
                                  <w:spacing w:val="-5"/>
                                </w:rPr>
                                <w:t>61</w:t>
                              </w:r>
                            </w:p>
                          </w:txbxContent>
                        </wps:txbx>
                        <wps:bodyPr wrap="square" lIns="0" tIns="0" rIns="0" bIns="0" rtlCol="0">
                          <a:noAutofit/>
                        </wps:bodyPr>
                      </wps:wsp>
                    </wpg:wgp>
                  </a:graphicData>
                </a:graphic>
              </wp:anchor>
            </w:drawing>
          </mc:Choice>
          <mc:Fallback>
            <w:pict>
              <v:group w14:anchorId="42830E33" id="Group 176" o:spid="_x0000_s1101" style="position:absolute;margin-left:0;margin-top:805.85pt;width:595.4pt;height:36.15pt;z-index:-19295744;mso-wrap-distance-left:0;mso-wrap-distance-right:0;mso-position-horizontal-relative:page;mso-position-vertical-relative:page" coordsize="75615,4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">
                <v:shape id="Graphic 177" o:spid="_x0000_s1102" style="position:absolute;left:64490;top:57;width:11106;height:4514;visibility:visible;mso-wrap-style:square;v-text-anchor:top" coordsize="1110615,4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" path="m1110614,l,,260349,451483r850265,l1110614,xe" fillcolor="#fad2c1" stroked="f">
                  <v:path arrowok="t"/>
                </v:shape>
                <v:shape id="Graphic 178" o:spid="_x0000_s1103" style="position:absolute;left:64490;top:57;width:11106;height:4514;visibility:visible;mso-wrap-style:square;v-text-anchor:top" coordsize="1110615,4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" path="m,l1110614,r,451483l260349,451483,,e" filled="f" strokecolor="#fad2c1" strokeweight=".08475mm">
                  <v:path arrowok="t"/>
                </v:shape>
                <v:shape id="Graphic 179" o:spid="_x0000_s1104" style="position:absolute;top:63;width:75603;height:13;visibility:visible;mso-wrap-style:square;v-text-anchor:top" coordsize="756030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" path="m,l7560309,e" filled="f" strokecolor="#fad2c1" strokeweight="1pt">
                  <v:path arrowok="t"/>
                </v:shape>
                <v:shape id="Textbox 180" o:spid="_x0000_s1105" type="#_x0000_t202" style="position:absolute;left:68821;top:374;width:1473;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" filled="f" stroked="f">
                  <v:textbox inset="0,0,0,0">
                    <w:txbxContent>
                      <w:p w14:paraId="2587D696" w14:textId="77777777" w:rsidR="00BB77C0" w:rsidRDefault="00370BAA">
                        <w:pPr>
                          <w:spacing w:line="244" w:lineRule="exact"/>
                        </w:pPr>
                        <w:r>
                          <w:rPr>
                            <w:spacing w:val="-5"/>
                          </w:rPr>
                          <w:t>61</w:t>
                        </w:r>
                      </w:p>
                    </w:txbxContent>
                  </v:textbox>
                </v:shape>
                <w10:wrap anchorx="page" anchory="page"/>
              </v:group>
            </w:pict>
          </mc:Fallback>
        </mc:AlternateContent>
      </w:r>
      <w:r>
        <w:rPr>
          <w:b/>
          <w:noProof/>
          <w:sz w:val="24"/>
        </w:rPr>
        <mc:AlternateContent>
          <mc:Choice Requires="wpg">
            <w:drawing>
              <wp:anchor distT="0" distB="0" distL="0" distR="0" simplePos="0" relativeHeight="15752192" behindDoc="0" locked="0" layoutInCell="1" allowOverlap="1" wp14:anchorId="68EFA6A5" wp14:editId="4CD8FC4E">
                <wp:simplePos x="0" y="0"/>
                <wp:positionH relativeFrom="page">
                  <wp:posOffset>0</wp:posOffset>
                </wp:positionH>
                <wp:positionV relativeFrom="page">
                  <wp:posOffset>0</wp:posOffset>
                </wp:positionV>
                <wp:extent cx="7559675" cy="228600"/>
                <wp:effectExtent l="0" t="0" r="0" b="0"/>
                <wp:wrapNone/>
                <wp:docPr id="181" name="Group 1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675" cy="228600"/>
                          <a:chOff x="0" y="0"/>
                          <a:chExt cx="7559675" cy="228600"/>
                        </a:xfrm>
                      </wpg:grpSpPr>
                      <wps:wsp>
                        <wps:cNvPr id="182" name="Graphic 182"/>
                        <wps:cNvSpPr/>
                        <wps:spPr>
                          <a:xfrm>
                            <a:off x="848283" y="0"/>
                            <a:ext cx="6711950" cy="228600"/>
                          </a:xfrm>
                          <a:custGeom>
                            <a:avLst/>
                            <a:gdLst/>
                            <a:ahLst/>
                            <a:cxnLst/>
                            <a:rect l="l" t="t" r="r" b="b"/>
                            <a:pathLst>
                              <a:path w="6711950" h="228600">
                                <a:moveTo>
                                  <a:pt x="6711391" y="0"/>
                                </a:moveTo>
                                <a:lnTo>
                                  <a:pt x="0" y="0"/>
                                </a:lnTo>
                                <a:lnTo>
                                  <a:pt x="184137" y="228600"/>
                                </a:lnTo>
                                <a:lnTo>
                                  <a:pt x="6711391" y="223520"/>
                                </a:lnTo>
                                <a:lnTo>
                                  <a:pt x="6711391" y="0"/>
                                </a:lnTo>
                                <a:close/>
                              </a:path>
                            </a:pathLst>
                          </a:custGeom>
                          <a:solidFill>
                            <a:srgbClr val="E6E7E8"/>
                          </a:solidFill>
                        </wps:spPr>
                        <wps:bodyPr wrap="square" lIns="0" tIns="0" rIns="0" bIns="0" rtlCol="0">
                          <a:prstTxWarp prst="textNoShape">
                            <a:avLst/>
                          </a:prstTxWarp>
                          <a:noAutofit/>
                        </wps:bodyPr>
                      </wps:wsp>
                      <wps:wsp>
                        <wps:cNvPr id="183" name="Graphic 183"/>
                        <wps:cNvSpPr/>
                        <wps:spPr>
                          <a:xfrm>
                            <a:off x="0" y="0"/>
                            <a:ext cx="655955" cy="228600"/>
                          </a:xfrm>
                          <a:custGeom>
                            <a:avLst/>
                            <a:gdLst/>
                            <a:ahLst/>
                            <a:cxnLst/>
                            <a:rect l="l" t="t" r="r" b="b"/>
                            <a:pathLst>
                              <a:path w="655955" h="228600">
                                <a:moveTo>
                                  <a:pt x="530174" y="0"/>
                                </a:moveTo>
                                <a:lnTo>
                                  <a:pt x="0" y="0"/>
                                </a:lnTo>
                                <a:lnTo>
                                  <a:pt x="0" y="228600"/>
                                </a:lnTo>
                                <a:lnTo>
                                  <a:pt x="655904" y="228600"/>
                                </a:lnTo>
                                <a:lnTo>
                                  <a:pt x="530174" y="0"/>
                                </a:lnTo>
                                <a:close/>
                              </a:path>
                            </a:pathLst>
                          </a:custGeom>
                          <a:solidFill>
                            <a:srgbClr val="00A650"/>
                          </a:solidFill>
                        </wps:spPr>
                        <wps:bodyPr wrap="square" lIns="0" tIns="0" rIns="0" bIns="0" rtlCol="0">
                          <a:prstTxWarp prst="textNoShape">
                            <a:avLst/>
                          </a:prstTxWarp>
                          <a:noAutofit/>
                        </wps:bodyPr>
                      </wps:wsp>
                      <wps:wsp>
                        <wps:cNvPr id="184" name="Graphic 184"/>
                        <wps:cNvSpPr/>
                        <wps:spPr>
                          <a:xfrm>
                            <a:off x="554304" y="0"/>
                            <a:ext cx="329565" cy="228600"/>
                          </a:xfrm>
                          <a:custGeom>
                            <a:avLst/>
                            <a:gdLst/>
                            <a:ahLst/>
                            <a:cxnLst/>
                            <a:rect l="l" t="t" r="r" b="b"/>
                            <a:pathLst>
                              <a:path w="329565" h="228600">
                                <a:moveTo>
                                  <a:pt x="203822" y="0"/>
                                </a:moveTo>
                                <a:lnTo>
                                  <a:pt x="0" y="0"/>
                                </a:lnTo>
                                <a:lnTo>
                                  <a:pt x="128904" y="228600"/>
                                </a:lnTo>
                                <a:lnTo>
                                  <a:pt x="329539" y="228600"/>
                                </a:lnTo>
                                <a:lnTo>
                                  <a:pt x="203822" y="0"/>
                                </a:lnTo>
                                <a:close/>
                              </a:path>
                            </a:pathLst>
                          </a:custGeom>
                          <a:solidFill>
                            <a:srgbClr val="EB1C22"/>
                          </a:solidFill>
                        </wps:spPr>
                        <wps:bodyPr wrap="square" lIns="0" tIns="0" rIns="0" bIns="0" rtlCol="0">
                          <a:prstTxWarp prst="textNoShape">
                            <a:avLst/>
                          </a:prstTxWarp>
                          <a:noAutofit/>
                        </wps:bodyPr>
                      </wps:wsp>
                      <wps:wsp>
                        <wps:cNvPr id="185" name="Graphic 185"/>
                        <wps:cNvSpPr/>
                        <wps:spPr>
                          <a:xfrm>
                            <a:off x="783526" y="0"/>
                            <a:ext cx="329565" cy="228600"/>
                          </a:xfrm>
                          <a:custGeom>
                            <a:avLst/>
                            <a:gdLst/>
                            <a:ahLst/>
                            <a:cxnLst/>
                            <a:rect l="l" t="t" r="r" b="b"/>
                            <a:pathLst>
                              <a:path w="329565" h="228600">
                                <a:moveTo>
                                  <a:pt x="203822" y="0"/>
                                </a:moveTo>
                                <a:lnTo>
                                  <a:pt x="0" y="0"/>
                                </a:lnTo>
                                <a:lnTo>
                                  <a:pt x="128879" y="228600"/>
                                </a:lnTo>
                                <a:lnTo>
                                  <a:pt x="329539" y="228600"/>
                                </a:lnTo>
                                <a:lnTo>
                                  <a:pt x="203822" y="0"/>
                                </a:lnTo>
                                <a:close/>
                              </a:path>
                            </a:pathLst>
                          </a:custGeom>
                          <a:solidFill>
                            <a:srgbClr val="A7A9AC"/>
                          </a:solidFill>
                        </wps:spPr>
                        <wps:bodyPr wrap="square" lIns="0" tIns="0" rIns="0" bIns="0" rtlCol="0">
                          <a:prstTxWarp prst="textNoShape">
                            <a:avLst/>
                          </a:prstTxWarp>
                          <a:noAutofit/>
                        </wps:bodyPr>
                      </wps:wsp>
                    </wpg:wgp>
                  </a:graphicData>
                </a:graphic>
              </wp:anchor>
            </w:drawing>
          </mc:Choice>
          <mc:Fallback>
            <w:pict>
              <v:group w14:anchorId="07834B12" id="Group 181" o:spid="_x0000_s1026" style="position:absolute;margin-left:0;margin-top:0;width:595.25pt;height:18pt;z-index:15752192;mso-wrap-distance-left:0;mso-wrap-distance-right:0;mso-position-horizontal-relative:page;mso-position-vertical-relative:page" coordsize="75596,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">
                <v:shape id="Graphic 182" o:spid="_x0000_s1027" style="position:absolute;left:8482;width:67120;height:2286;visibility:visible;mso-wrap-style:square;v-text-anchor:top" coordsize="67119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" path="m6711391,l,,184137,228600r6527254,-5080l6711391,xe" fillcolor="#e6e7e8" stroked="f">
                  <v:path arrowok="t"/>
                </v:shape>
                <v:shape id="Graphic 183" o:spid="_x0000_s1028" style="position:absolute;width:6559;height:2286;visibility:visible;mso-wrap-style:square;v-text-anchor:top" coordsize="65595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" path="m530174,l,,,228600r655904,l530174,xe" fillcolor="#00a650" stroked="f">
                  <v:path arrowok="t"/>
                </v:shape>
                <v:shape id="Graphic 184" o:spid="_x0000_s1029" style="position:absolute;left:5543;width:3295;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" path="m203822,l,,128904,228600r200635,l203822,xe" fillcolor="#eb1c22" stroked="f">
                  <v:path arrowok="t"/>
                </v:shape>
                <v:shape id="Graphic 185" o:spid="_x0000_s1030" style="position:absolute;left:7835;width:3295;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" path="m203822,l,,128879,228600r200660,l203822,xe" fillcolor="#a7a9ac" stroked="f">
                  <v:path arrowok="t"/>
                </v:shape>
                <w10:wrap anchorx="page" anchory="page"/>
              </v:group>
            </w:pict>
          </mc:Fallback>
        </mc:AlternateContent>
      </w:r>
    </w:p>
    <w:p w14:paraId="4579ECEB" w14:textId="77777777" w:rsidR="00BB77C0" w:rsidRDefault="00370BAA">
      <w:pPr>
        <w:pStyle w:val="ListParagraph"/>
        <w:numPr>
          <w:ilvl w:val="1"/>
          <w:numId w:val="64"/>
        </w:numPr>
        <w:tabs>
          <w:tab w:val="left" w:pos="1012"/>
        </w:tabs>
        <w:spacing w:before="1"/>
        <w:ind w:left="1012" w:hanging="527"/>
        <w:rPr>
          <w:b/>
          <w:sz w:val="24"/>
        </w:rPr>
      </w:pPr>
      <w:r>
        <w:rPr>
          <w:b/>
          <w:sz w:val="24"/>
          <w:u w:val="single"/>
        </w:rPr>
        <w:t>FORM</w:t>
      </w:r>
      <w:r>
        <w:rPr>
          <w:b/>
          <w:spacing w:val="4"/>
          <w:sz w:val="24"/>
          <w:u w:val="single"/>
        </w:rPr>
        <w:t xml:space="preserve"> </w:t>
      </w:r>
      <w:r>
        <w:rPr>
          <w:b/>
          <w:sz w:val="24"/>
          <w:u w:val="single"/>
        </w:rPr>
        <w:t>EXP</w:t>
      </w:r>
      <w:r>
        <w:rPr>
          <w:b/>
          <w:spacing w:val="-2"/>
          <w:sz w:val="24"/>
          <w:u w:val="single"/>
        </w:rPr>
        <w:t xml:space="preserve"> </w:t>
      </w:r>
      <w:r>
        <w:rPr>
          <w:b/>
          <w:sz w:val="24"/>
          <w:u w:val="single"/>
        </w:rPr>
        <w:t>-</w:t>
      </w:r>
      <w:r>
        <w:rPr>
          <w:b/>
          <w:spacing w:val="40"/>
          <w:sz w:val="24"/>
          <w:u w:val="single"/>
        </w:rPr>
        <w:t xml:space="preserve"> </w:t>
      </w:r>
      <w:r>
        <w:rPr>
          <w:b/>
          <w:spacing w:val="9"/>
          <w:sz w:val="24"/>
          <w:u w:val="single"/>
        </w:rPr>
        <w:t>4.2(b)</w:t>
      </w:r>
    </w:p>
    <w:p w14:paraId="7182CF75" w14:textId="77777777" w:rsidR="00BB77C0" w:rsidRDefault="00BB77C0">
      <w:pPr>
        <w:pStyle w:val="BodyText"/>
        <w:rPr>
          <w:b/>
          <w:sz w:val="24"/>
        </w:rPr>
      </w:pPr>
    </w:p>
    <w:p w14:paraId="425D9E69" w14:textId="77777777" w:rsidR="00BB77C0" w:rsidRDefault="00370BAA">
      <w:pPr>
        <w:pStyle w:val="Heading6"/>
        <w:ind w:left="360" w:firstLine="0"/>
      </w:pPr>
      <w:bookmarkStart w:id="154" w:name="Construction_Experience_in_Key_Activitie"/>
      <w:bookmarkEnd w:id="154"/>
      <w:r>
        <w:t>Construction</w:t>
      </w:r>
      <w:r>
        <w:rPr>
          <w:spacing w:val="-3"/>
        </w:rPr>
        <w:t xml:space="preserve"> </w:t>
      </w:r>
      <w:r>
        <w:t>Experience</w:t>
      </w:r>
      <w:r>
        <w:rPr>
          <w:spacing w:val="-5"/>
        </w:rPr>
        <w:t xml:space="preserve"> </w:t>
      </w:r>
      <w:r>
        <w:t>in</w:t>
      </w:r>
      <w:r>
        <w:rPr>
          <w:spacing w:val="-4"/>
        </w:rPr>
        <w:t xml:space="preserve"> </w:t>
      </w:r>
      <w:r>
        <w:t>Key</w:t>
      </w:r>
      <w:r>
        <w:rPr>
          <w:spacing w:val="-5"/>
        </w:rPr>
        <w:t xml:space="preserve"> </w:t>
      </w:r>
      <w:r>
        <w:rPr>
          <w:spacing w:val="-2"/>
        </w:rPr>
        <w:t>Activities</w:t>
      </w:r>
    </w:p>
    <w:p w14:paraId="1C92F2FF" w14:textId="77777777" w:rsidR="00BB77C0" w:rsidRDefault="00370BAA">
      <w:pPr>
        <w:pStyle w:val="BodyText"/>
        <w:tabs>
          <w:tab w:val="left" w:pos="3757"/>
        </w:tabs>
        <w:spacing w:before="252" w:after="4"/>
        <w:ind w:left="360" w:right="7799"/>
      </w:pPr>
      <w:r>
        <w:t xml:space="preserve">Tenderer's Name: </w:t>
      </w:r>
      <w:r>
        <w:rPr>
          <w:u w:val="single"/>
        </w:rPr>
        <w:tab/>
      </w:r>
      <w:r>
        <w:t xml:space="preserve"> </w:t>
      </w:r>
      <w:r>
        <w:rPr>
          <w:spacing w:val="-2"/>
        </w:rPr>
        <w:t>Date:</w:t>
      </w:r>
    </w:p>
    <w:p w14:paraId="4C80D3BD" w14:textId="77777777" w:rsidR="00BB77C0" w:rsidRDefault="00370BAA">
      <w:pPr>
        <w:pStyle w:val="BodyText"/>
        <w:spacing w:line="20" w:lineRule="exact"/>
        <w:ind w:left="895"/>
        <w:rPr>
          <w:sz w:val="2"/>
        </w:rPr>
      </w:pPr>
      <w:r>
        <w:rPr>
          <w:noProof/>
          <w:sz w:val="2"/>
        </w:rPr>
        <mc:AlternateContent>
          <mc:Choice Requires="wpg">
            <w:drawing>
              <wp:inline distT="0" distB="0" distL="0" distR="0" wp14:anchorId="3B54198C" wp14:editId="2464E834">
                <wp:extent cx="1352550" cy="6350"/>
                <wp:effectExtent l="9525" t="0" r="0" b="3175"/>
                <wp:docPr id="186" name="Group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2550" cy="6350"/>
                          <a:chOff x="0" y="0"/>
                          <a:chExt cx="1352550" cy="6350"/>
                        </a:xfrm>
                      </wpg:grpSpPr>
                      <wps:wsp>
                        <wps:cNvPr id="187" name="Graphic 187"/>
                        <wps:cNvSpPr/>
                        <wps:spPr>
                          <a:xfrm>
                            <a:off x="0" y="2874"/>
                            <a:ext cx="1352550" cy="1270"/>
                          </a:xfrm>
                          <a:custGeom>
                            <a:avLst/>
                            <a:gdLst/>
                            <a:ahLst/>
                            <a:cxnLst/>
                            <a:rect l="l" t="t" r="r" b="b"/>
                            <a:pathLst>
                              <a:path w="1352550">
                                <a:moveTo>
                                  <a:pt x="0" y="0"/>
                                </a:moveTo>
                                <a:lnTo>
                                  <a:pt x="1352042" y="0"/>
                                </a:lnTo>
                              </a:path>
                            </a:pathLst>
                          </a:custGeom>
                          <a:ln w="574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85F84B0" id="Group 186" o:spid="_x0000_s1026" style="width:106.5pt;height:.5pt;mso-position-horizontal-relative:char;mso-position-vertical-relative:line" coordsize="1352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">
                <v:shape id="Graphic 187" o:spid="_x0000_s1027" style="position:absolute;top:28;width:13525;height:13;visibility:visible;mso-wrap-style:square;v-text-anchor:top" coordsize="13525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" path="m,l1352042,e" filled="f" strokeweight=".15967mm">
                  <v:path arrowok="t"/>
                </v:shape>
                <w10:anchorlock/>
              </v:group>
            </w:pict>
          </mc:Fallback>
        </mc:AlternateContent>
      </w:r>
    </w:p>
    <w:p w14:paraId="0547CEDC" w14:textId="77777777" w:rsidR="00BB77C0" w:rsidRDefault="00370BAA">
      <w:pPr>
        <w:pStyle w:val="BodyText"/>
        <w:spacing w:line="229" w:lineRule="exact"/>
        <w:ind w:left="360"/>
      </w:pPr>
      <w:r>
        <w:rPr>
          <w:noProof/>
        </w:rPr>
        <mc:AlternateContent>
          <mc:Choice Requires="wps">
            <w:drawing>
              <wp:anchor distT="0" distB="0" distL="0" distR="0" simplePos="0" relativeHeight="487609856" behindDoc="1" locked="0" layoutInCell="1" allowOverlap="1" wp14:anchorId="4E2CCC49" wp14:editId="27A5EB9B">
                <wp:simplePos x="0" y="0"/>
                <wp:positionH relativeFrom="page">
                  <wp:posOffset>2146935</wp:posOffset>
                </wp:positionH>
                <wp:positionV relativeFrom="paragraph">
                  <wp:posOffset>167887</wp:posOffset>
                </wp:positionV>
                <wp:extent cx="1259205" cy="1270"/>
                <wp:effectExtent l="0" t="0" r="0" b="0"/>
                <wp:wrapTopAndBottom/>
                <wp:docPr id="188" name="Graphic 1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9205" cy="1270"/>
                        </a:xfrm>
                        <a:custGeom>
                          <a:avLst/>
                          <a:gdLst/>
                          <a:ahLst/>
                          <a:cxnLst/>
                          <a:rect l="l" t="t" r="r" b="b"/>
                          <a:pathLst>
                            <a:path w="1259205">
                              <a:moveTo>
                                <a:pt x="0" y="0"/>
                              </a:moveTo>
                              <a:lnTo>
                                <a:pt x="1258824" y="0"/>
                              </a:lnTo>
                            </a:path>
                          </a:pathLst>
                        </a:custGeom>
                        <a:ln w="574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5F608A1" id="Graphic 188" o:spid="_x0000_s1026" style="position:absolute;margin-left:169.05pt;margin-top:13.2pt;width:99.15pt;height:.1pt;z-index:-15706624;visibility:visible;mso-wrap-style:square;mso-wrap-distance-left:0;mso-wrap-distance-top:0;mso-wrap-distance-right:0;mso-wrap-distance-bottom:0;mso-position-horizontal:absolute;mso-position-horizontal-relative:page;mso-position-vertical:absolute;mso-position-vertical-relative:text;v-text-anchor:top" coordsize="12592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" path="m,l1258824,e" filled="f" strokeweight=".15967mm">
                <v:path arrowok="t"/>
                <w10:wrap type="topAndBottom" anchorx="page"/>
              </v:shape>
            </w:pict>
          </mc:Fallback>
        </mc:AlternateContent>
      </w:r>
      <w:r>
        <w:rPr>
          <w:spacing w:val="-2"/>
        </w:rPr>
        <w:t>Tenderer's</w:t>
      </w:r>
      <w:r>
        <w:rPr>
          <w:spacing w:val="-11"/>
        </w:rPr>
        <w:t xml:space="preserve"> </w:t>
      </w:r>
      <w:r>
        <w:rPr>
          <w:spacing w:val="-2"/>
        </w:rPr>
        <w:t>JV</w:t>
      </w:r>
      <w:r>
        <w:rPr>
          <w:spacing w:val="-13"/>
        </w:rPr>
        <w:t xml:space="preserve"> </w:t>
      </w:r>
      <w:r>
        <w:rPr>
          <w:spacing w:val="-2"/>
        </w:rPr>
        <w:t>Member</w:t>
      </w:r>
      <w:r>
        <w:rPr>
          <w:spacing w:val="-1"/>
        </w:rPr>
        <w:t xml:space="preserve"> </w:t>
      </w:r>
      <w:r>
        <w:rPr>
          <w:spacing w:val="-4"/>
        </w:rPr>
        <w:t>Name:</w:t>
      </w:r>
    </w:p>
    <w:p w14:paraId="2ED76F31" w14:textId="77777777" w:rsidR="00BB77C0" w:rsidRDefault="00370BAA">
      <w:pPr>
        <w:pStyle w:val="BodyText"/>
        <w:tabs>
          <w:tab w:val="left" w:pos="4328"/>
          <w:tab w:val="left" w:pos="5697"/>
        </w:tabs>
        <w:spacing w:line="237" w:lineRule="auto"/>
        <w:ind w:left="360" w:right="5858"/>
      </w:pPr>
      <w:r>
        <w:t>Sub-contractor's Name</w:t>
      </w:r>
      <w:hyperlink w:anchor="_bookmark62" w:history="1">
        <w:r>
          <w:rPr>
            <w:vertAlign w:val="superscript"/>
          </w:rPr>
          <w:t>2</w:t>
        </w:r>
      </w:hyperlink>
      <w:r>
        <w:t xml:space="preserve"> (as per ITT 34): </w:t>
      </w:r>
      <w:r>
        <w:rPr>
          <w:u w:val="single"/>
        </w:rPr>
        <w:tab/>
      </w:r>
      <w:r>
        <w:rPr>
          <w:u w:val="single"/>
        </w:rPr>
        <w:tab/>
      </w:r>
      <w:r>
        <w:t xml:space="preserve"> ITT No. and title: </w:t>
      </w:r>
      <w:r>
        <w:rPr>
          <w:u w:val="single"/>
        </w:rPr>
        <w:tab/>
      </w:r>
    </w:p>
    <w:p w14:paraId="19D17728" w14:textId="77777777" w:rsidR="00BB77C0" w:rsidRDefault="00370BAA">
      <w:pPr>
        <w:spacing w:before="260" w:line="237" w:lineRule="auto"/>
        <w:ind w:left="360"/>
        <w:rPr>
          <w:sz w:val="24"/>
        </w:rPr>
      </w:pPr>
      <w:r>
        <w:rPr>
          <w:spacing w:val="-2"/>
          <w:sz w:val="24"/>
        </w:rPr>
        <w:t>All</w:t>
      </w:r>
      <w:r>
        <w:rPr>
          <w:spacing w:val="-17"/>
          <w:sz w:val="24"/>
        </w:rPr>
        <w:t xml:space="preserve"> </w:t>
      </w:r>
      <w:r>
        <w:rPr>
          <w:spacing w:val="-2"/>
          <w:sz w:val="24"/>
        </w:rPr>
        <w:t>Sub-contractors</w:t>
      </w:r>
      <w:r>
        <w:rPr>
          <w:spacing w:val="-5"/>
          <w:sz w:val="24"/>
        </w:rPr>
        <w:t xml:space="preserve"> </w:t>
      </w:r>
      <w:r>
        <w:rPr>
          <w:spacing w:val="-2"/>
          <w:sz w:val="24"/>
        </w:rPr>
        <w:t>for</w:t>
      </w:r>
      <w:r>
        <w:rPr>
          <w:spacing w:val="-12"/>
          <w:sz w:val="24"/>
        </w:rPr>
        <w:t xml:space="preserve"> </w:t>
      </w:r>
      <w:r>
        <w:rPr>
          <w:spacing w:val="-2"/>
          <w:sz w:val="24"/>
        </w:rPr>
        <w:t>key</w:t>
      </w:r>
      <w:r>
        <w:rPr>
          <w:spacing w:val="-17"/>
          <w:sz w:val="24"/>
        </w:rPr>
        <w:t xml:space="preserve"> </w:t>
      </w:r>
      <w:r>
        <w:rPr>
          <w:spacing w:val="-2"/>
          <w:sz w:val="24"/>
        </w:rPr>
        <w:t>activities</w:t>
      </w:r>
      <w:r>
        <w:rPr>
          <w:spacing w:val="-5"/>
          <w:sz w:val="24"/>
        </w:rPr>
        <w:t xml:space="preserve"> </w:t>
      </w:r>
      <w:r>
        <w:rPr>
          <w:spacing w:val="-2"/>
          <w:sz w:val="24"/>
        </w:rPr>
        <w:t>must complete</w:t>
      </w:r>
      <w:r>
        <w:rPr>
          <w:spacing w:val="-17"/>
          <w:sz w:val="24"/>
        </w:rPr>
        <w:t xml:space="preserve"> </w:t>
      </w:r>
      <w:r>
        <w:rPr>
          <w:spacing w:val="-2"/>
          <w:sz w:val="24"/>
        </w:rPr>
        <w:t>the</w:t>
      </w:r>
      <w:r>
        <w:rPr>
          <w:spacing w:val="-5"/>
          <w:sz w:val="24"/>
        </w:rPr>
        <w:t xml:space="preserve"> </w:t>
      </w:r>
      <w:r>
        <w:rPr>
          <w:spacing w:val="-2"/>
          <w:sz w:val="24"/>
        </w:rPr>
        <w:t>information</w:t>
      </w:r>
      <w:r>
        <w:rPr>
          <w:spacing w:val="-7"/>
          <w:sz w:val="24"/>
        </w:rPr>
        <w:t xml:space="preserve"> </w:t>
      </w:r>
      <w:r>
        <w:rPr>
          <w:spacing w:val="-2"/>
          <w:sz w:val="24"/>
        </w:rPr>
        <w:t>in</w:t>
      </w:r>
      <w:r>
        <w:rPr>
          <w:spacing w:val="-13"/>
          <w:sz w:val="24"/>
        </w:rPr>
        <w:t xml:space="preserve"> </w:t>
      </w:r>
      <w:r>
        <w:rPr>
          <w:spacing w:val="-2"/>
          <w:sz w:val="24"/>
        </w:rPr>
        <w:t>this form</w:t>
      </w:r>
      <w:r>
        <w:rPr>
          <w:spacing w:val="-12"/>
          <w:sz w:val="24"/>
        </w:rPr>
        <w:t xml:space="preserve"> </w:t>
      </w:r>
      <w:r>
        <w:rPr>
          <w:spacing w:val="-2"/>
          <w:sz w:val="24"/>
        </w:rPr>
        <w:t>as</w:t>
      </w:r>
      <w:r>
        <w:rPr>
          <w:spacing w:val="-11"/>
          <w:sz w:val="24"/>
        </w:rPr>
        <w:t xml:space="preserve"> </w:t>
      </w:r>
      <w:r>
        <w:rPr>
          <w:spacing w:val="-2"/>
          <w:sz w:val="24"/>
        </w:rPr>
        <w:t>per</w:t>
      </w:r>
      <w:r>
        <w:rPr>
          <w:spacing w:val="-12"/>
          <w:sz w:val="24"/>
        </w:rPr>
        <w:t xml:space="preserve"> </w:t>
      </w:r>
      <w:r>
        <w:rPr>
          <w:spacing w:val="-2"/>
          <w:sz w:val="24"/>
        </w:rPr>
        <w:t>ITT</w:t>
      </w:r>
      <w:r>
        <w:rPr>
          <w:spacing w:val="-6"/>
          <w:sz w:val="24"/>
        </w:rPr>
        <w:t xml:space="preserve"> </w:t>
      </w:r>
      <w:r>
        <w:rPr>
          <w:spacing w:val="-2"/>
          <w:sz w:val="24"/>
        </w:rPr>
        <w:t>34</w:t>
      </w:r>
      <w:r>
        <w:rPr>
          <w:spacing w:val="-13"/>
          <w:sz w:val="24"/>
        </w:rPr>
        <w:t xml:space="preserve"> </w:t>
      </w:r>
      <w:r>
        <w:rPr>
          <w:spacing w:val="-2"/>
          <w:sz w:val="24"/>
        </w:rPr>
        <w:t>and</w:t>
      </w:r>
      <w:r>
        <w:rPr>
          <w:spacing w:val="-17"/>
          <w:sz w:val="24"/>
        </w:rPr>
        <w:t xml:space="preserve"> </w:t>
      </w:r>
      <w:r>
        <w:rPr>
          <w:spacing w:val="-2"/>
          <w:sz w:val="24"/>
        </w:rPr>
        <w:t>Section</w:t>
      </w:r>
      <w:r>
        <w:rPr>
          <w:spacing w:val="-16"/>
          <w:sz w:val="24"/>
        </w:rPr>
        <w:t xml:space="preserve"> </w:t>
      </w:r>
      <w:r>
        <w:rPr>
          <w:spacing w:val="-2"/>
          <w:sz w:val="24"/>
        </w:rPr>
        <w:t xml:space="preserve">III, </w:t>
      </w:r>
      <w:r>
        <w:rPr>
          <w:sz w:val="24"/>
        </w:rPr>
        <w:t>Evaluation and Qualification Criteria,</w:t>
      </w:r>
      <w:r>
        <w:rPr>
          <w:spacing w:val="-2"/>
          <w:sz w:val="24"/>
        </w:rPr>
        <w:t xml:space="preserve"> </w:t>
      </w:r>
      <w:r>
        <w:rPr>
          <w:sz w:val="24"/>
        </w:rPr>
        <w:t>Sub-Factor</w:t>
      </w:r>
      <w:r>
        <w:rPr>
          <w:spacing w:val="-3"/>
          <w:sz w:val="24"/>
        </w:rPr>
        <w:t xml:space="preserve"> </w:t>
      </w:r>
      <w:r>
        <w:rPr>
          <w:sz w:val="24"/>
        </w:rPr>
        <w:t>4.2.</w:t>
      </w:r>
    </w:p>
    <w:p w14:paraId="13D4F088" w14:textId="77777777" w:rsidR="00BB77C0" w:rsidRDefault="00BB77C0">
      <w:pPr>
        <w:pStyle w:val="BodyText"/>
        <w:spacing w:before="1"/>
        <w:rPr>
          <w:sz w:val="24"/>
        </w:rPr>
      </w:pPr>
    </w:p>
    <w:p w14:paraId="6B1C5151" w14:textId="77777777" w:rsidR="00BB77C0" w:rsidRDefault="00370BAA">
      <w:pPr>
        <w:pStyle w:val="ListParagraph"/>
        <w:numPr>
          <w:ilvl w:val="0"/>
          <w:numId w:val="49"/>
        </w:numPr>
        <w:tabs>
          <w:tab w:val="left" w:pos="1080"/>
        </w:tabs>
        <w:rPr>
          <w:sz w:val="24"/>
        </w:rPr>
      </w:pPr>
      <w:r>
        <w:rPr>
          <w:sz w:val="24"/>
        </w:rPr>
        <w:t>Key</w:t>
      </w:r>
      <w:r>
        <w:rPr>
          <w:spacing w:val="-15"/>
          <w:sz w:val="24"/>
        </w:rPr>
        <w:t xml:space="preserve"> </w:t>
      </w:r>
      <w:r>
        <w:rPr>
          <w:sz w:val="24"/>
        </w:rPr>
        <w:t>Activity</w:t>
      </w:r>
      <w:r>
        <w:rPr>
          <w:spacing w:val="-21"/>
          <w:sz w:val="24"/>
        </w:rPr>
        <w:t xml:space="preserve"> </w:t>
      </w:r>
      <w:r>
        <w:rPr>
          <w:sz w:val="24"/>
        </w:rPr>
        <w:t>No</w:t>
      </w:r>
      <w:r>
        <w:rPr>
          <w:spacing w:val="-12"/>
          <w:sz w:val="24"/>
        </w:rPr>
        <w:t xml:space="preserve"> </w:t>
      </w:r>
      <w:r>
        <w:rPr>
          <w:sz w:val="24"/>
        </w:rPr>
        <w:t>One:</w:t>
      </w:r>
      <w:r>
        <w:rPr>
          <w:spacing w:val="-14"/>
          <w:sz w:val="24"/>
        </w:rPr>
        <w:t xml:space="preserve"> </w:t>
      </w:r>
      <w:r>
        <w:rPr>
          <w:i/>
          <w:spacing w:val="-10"/>
          <w:sz w:val="24"/>
        </w:rPr>
        <w:t>_</w:t>
      </w:r>
    </w:p>
    <w:p w14:paraId="38688E4E" w14:textId="77777777" w:rsidR="00BB77C0" w:rsidRDefault="00BB77C0">
      <w:pPr>
        <w:pStyle w:val="BodyText"/>
        <w:spacing w:before="45"/>
        <w:rPr>
          <w:i/>
          <w:sz w:val="20"/>
        </w:rPr>
      </w:pPr>
    </w:p>
    <w:tbl>
      <w:tblPr>
        <w:tblW w:w="0" w:type="auto"/>
        <w:tblInd w:w="3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837"/>
        <w:gridCol w:w="1388"/>
        <w:gridCol w:w="418"/>
        <w:gridCol w:w="1023"/>
        <w:gridCol w:w="1350"/>
        <w:gridCol w:w="1273"/>
      </w:tblGrid>
      <w:tr w:rsidR="00BB77C0" w14:paraId="7BAB2075" w14:textId="77777777">
        <w:trPr>
          <w:trHeight w:val="253"/>
        </w:trPr>
        <w:tc>
          <w:tcPr>
            <w:tcW w:w="3837" w:type="dxa"/>
            <w:tcBorders>
              <w:left w:val="single" w:sz="2" w:space="0" w:color="000000"/>
              <w:bottom w:val="single" w:sz="2" w:space="0" w:color="000000"/>
              <w:right w:val="single" w:sz="2" w:space="0" w:color="000000"/>
            </w:tcBorders>
          </w:tcPr>
          <w:p w14:paraId="1E28262C" w14:textId="77777777" w:rsidR="00BB77C0" w:rsidRDefault="00BB77C0">
            <w:pPr>
              <w:pStyle w:val="TableParagraph"/>
              <w:rPr>
                <w:sz w:val="18"/>
              </w:rPr>
            </w:pPr>
          </w:p>
        </w:tc>
        <w:tc>
          <w:tcPr>
            <w:tcW w:w="5452" w:type="dxa"/>
            <w:gridSpan w:val="5"/>
            <w:tcBorders>
              <w:top w:val="single" w:sz="2" w:space="0" w:color="000000"/>
              <w:left w:val="single" w:sz="2" w:space="0" w:color="000000"/>
              <w:bottom w:val="single" w:sz="2" w:space="0" w:color="000000"/>
              <w:right w:val="single" w:sz="2" w:space="0" w:color="000000"/>
            </w:tcBorders>
          </w:tcPr>
          <w:p w14:paraId="054D25AD" w14:textId="77777777" w:rsidR="00BB77C0" w:rsidRDefault="00370BAA">
            <w:pPr>
              <w:pStyle w:val="TableParagraph"/>
              <w:spacing w:line="234" w:lineRule="exact"/>
              <w:ind w:left="2"/>
              <w:rPr>
                <w:b/>
              </w:rPr>
            </w:pPr>
            <w:r>
              <w:rPr>
                <w:b/>
                <w:spacing w:val="-2"/>
              </w:rPr>
              <w:t>Information</w:t>
            </w:r>
          </w:p>
        </w:tc>
      </w:tr>
      <w:tr w:rsidR="00BB77C0" w14:paraId="2BADB342" w14:textId="77777777">
        <w:trPr>
          <w:trHeight w:val="403"/>
        </w:trPr>
        <w:tc>
          <w:tcPr>
            <w:tcW w:w="3837" w:type="dxa"/>
            <w:tcBorders>
              <w:top w:val="single" w:sz="2" w:space="0" w:color="000000"/>
              <w:left w:val="single" w:sz="2" w:space="0" w:color="000000"/>
              <w:bottom w:val="single" w:sz="2" w:space="0" w:color="000000"/>
              <w:right w:val="single" w:sz="2" w:space="0" w:color="000000"/>
            </w:tcBorders>
          </w:tcPr>
          <w:p w14:paraId="6F0914B3" w14:textId="77777777" w:rsidR="00BB77C0" w:rsidRDefault="00370BAA">
            <w:pPr>
              <w:pStyle w:val="TableParagraph"/>
              <w:spacing w:line="249" w:lineRule="exact"/>
              <w:ind w:left="7"/>
            </w:pPr>
            <w:r>
              <w:rPr>
                <w:spacing w:val="-10"/>
              </w:rPr>
              <w:t>Contract</w:t>
            </w:r>
            <w:r>
              <w:t xml:space="preserve"> </w:t>
            </w:r>
            <w:r>
              <w:rPr>
                <w:spacing w:val="-2"/>
              </w:rPr>
              <w:t>Identification</w:t>
            </w:r>
          </w:p>
        </w:tc>
        <w:tc>
          <w:tcPr>
            <w:tcW w:w="5452" w:type="dxa"/>
            <w:gridSpan w:val="5"/>
            <w:tcBorders>
              <w:top w:val="single" w:sz="2" w:space="0" w:color="000000"/>
              <w:left w:val="single" w:sz="2" w:space="0" w:color="000000"/>
              <w:bottom w:val="single" w:sz="2" w:space="0" w:color="000000"/>
              <w:right w:val="single" w:sz="2" w:space="0" w:color="000000"/>
            </w:tcBorders>
          </w:tcPr>
          <w:p w14:paraId="4A6BFBF5" w14:textId="77777777" w:rsidR="00BB77C0" w:rsidRDefault="00BB77C0">
            <w:pPr>
              <w:pStyle w:val="TableParagraph"/>
            </w:pPr>
          </w:p>
        </w:tc>
      </w:tr>
      <w:tr w:rsidR="00BB77C0" w14:paraId="036618C2" w14:textId="77777777">
        <w:trPr>
          <w:trHeight w:val="402"/>
        </w:trPr>
        <w:tc>
          <w:tcPr>
            <w:tcW w:w="3837" w:type="dxa"/>
            <w:tcBorders>
              <w:top w:val="single" w:sz="2" w:space="0" w:color="000000"/>
              <w:left w:val="single" w:sz="2" w:space="0" w:color="000000"/>
              <w:bottom w:val="single" w:sz="2" w:space="0" w:color="000000"/>
              <w:right w:val="single" w:sz="2" w:space="0" w:color="000000"/>
            </w:tcBorders>
          </w:tcPr>
          <w:p w14:paraId="41C2A8DE" w14:textId="77777777" w:rsidR="00BB77C0" w:rsidRDefault="00370BAA">
            <w:pPr>
              <w:pStyle w:val="TableParagraph"/>
              <w:spacing w:before="1"/>
              <w:ind w:left="7"/>
            </w:pPr>
            <w:r>
              <w:rPr>
                <w:spacing w:val="-10"/>
              </w:rPr>
              <w:t>Award</w:t>
            </w:r>
            <w:r>
              <w:rPr>
                <w:spacing w:val="-18"/>
              </w:rPr>
              <w:t xml:space="preserve"> </w:t>
            </w:r>
            <w:r>
              <w:rPr>
                <w:spacing w:val="-4"/>
              </w:rPr>
              <w:t>date</w:t>
            </w:r>
          </w:p>
        </w:tc>
        <w:tc>
          <w:tcPr>
            <w:tcW w:w="5452" w:type="dxa"/>
            <w:gridSpan w:val="5"/>
            <w:tcBorders>
              <w:top w:val="single" w:sz="2" w:space="0" w:color="000000"/>
              <w:left w:val="single" w:sz="2" w:space="0" w:color="000000"/>
              <w:bottom w:val="single" w:sz="2" w:space="0" w:color="000000"/>
              <w:right w:val="single" w:sz="2" w:space="0" w:color="000000"/>
            </w:tcBorders>
          </w:tcPr>
          <w:p w14:paraId="63D527D6" w14:textId="77777777" w:rsidR="00BB77C0" w:rsidRDefault="00BB77C0">
            <w:pPr>
              <w:pStyle w:val="TableParagraph"/>
            </w:pPr>
          </w:p>
        </w:tc>
      </w:tr>
      <w:tr w:rsidR="00BB77C0" w14:paraId="21442A8B" w14:textId="77777777">
        <w:trPr>
          <w:trHeight w:val="407"/>
        </w:trPr>
        <w:tc>
          <w:tcPr>
            <w:tcW w:w="3837" w:type="dxa"/>
            <w:tcBorders>
              <w:top w:val="single" w:sz="2" w:space="0" w:color="000000"/>
              <w:left w:val="single" w:sz="2" w:space="0" w:color="000000"/>
              <w:bottom w:val="single" w:sz="2" w:space="0" w:color="000000"/>
              <w:right w:val="single" w:sz="2" w:space="0" w:color="000000"/>
            </w:tcBorders>
          </w:tcPr>
          <w:p w14:paraId="7ED0800C" w14:textId="77777777" w:rsidR="00BB77C0" w:rsidRDefault="00370BAA">
            <w:pPr>
              <w:pStyle w:val="TableParagraph"/>
              <w:spacing w:line="249" w:lineRule="exact"/>
              <w:ind w:left="7"/>
            </w:pPr>
            <w:r>
              <w:rPr>
                <w:spacing w:val="-4"/>
              </w:rPr>
              <w:t>Completion</w:t>
            </w:r>
            <w:r>
              <w:rPr>
                <w:spacing w:val="5"/>
              </w:rPr>
              <w:t xml:space="preserve"> </w:t>
            </w:r>
            <w:r>
              <w:rPr>
                <w:spacing w:val="-4"/>
              </w:rPr>
              <w:t>date</w:t>
            </w:r>
          </w:p>
        </w:tc>
        <w:tc>
          <w:tcPr>
            <w:tcW w:w="5452" w:type="dxa"/>
            <w:gridSpan w:val="5"/>
            <w:tcBorders>
              <w:top w:val="single" w:sz="2" w:space="0" w:color="000000"/>
              <w:left w:val="single" w:sz="2" w:space="0" w:color="000000"/>
              <w:bottom w:val="single" w:sz="2" w:space="0" w:color="000000"/>
              <w:right w:val="single" w:sz="2" w:space="0" w:color="000000"/>
            </w:tcBorders>
          </w:tcPr>
          <w:p w14:paraId="1FCD47B2" w14:textId="77777777" w:rsidR="00BB77C0" w:rsidRDefault="00BB77C0">
            <w:pPr>
              <w:pStyle w:val="TableParagraph"/>
            </w:pPr>
          </w:p>
        </w:tc>
      </w:tr>
      <w:tr w:rsidR="00BB77C0" w14:paraId="599DB0D4" w14:textId="77777777">
        <w:trPr>
          <w:trHeight w:val="864"/>
        </w:trPr>
        <w:tc>
          <w:tcPr>
            <w:tcW w:w="3837" w:type="dxa"/>
            <w:tcBorders>
              <w:top w:val="single" w:sz="2" w:space="0" w:color="000000"/>
              <w:left w:val="single" w:sz="2" w:space="0" w:color="000000"/>
              <w:bottom w:val="single" w:sz="2" w:space="0" w:color="000000"/>
              <w:right w:val="single" w:sz="2" w:space="0" w:color="000000"/>
            </w:tcBorders>
          </w:tcPr>
          <w:p w14:paraId="4F20D6C9" w14:textId="77777777" w:rsidR="00BB77C0" w:rsidRDefault="00370BAA">
            <w:pPr>
              <w:pStyle w:val="TableParagraph"/>
              <w:spacing w:line="250" w:lineRule="exact"/>
              <w:ind w:left="7"/>
            </w:pPr>
            <w:r>
              <w:rPr>
                <w:spacing w:val="-2"/>
              </w:rPr>
              <w:t>Role</w:t>
            </w:r>
            <w:r>
              <w:rPr>
                <w:spacing w:val="-10"/>
              </w:rPr>
              <w:t xml:space="preserve"> </w:t>
            </w:r>
            <w:r>
              <w:rPr>
                <w:spacing w:val="-2"/>
              </w:rPr>
              <w:t>in</w:t>
            </w:r>
            <w:r>
              <w:rPr>
                <w:spacing w:val="-7"/>
              </w:rPr>
              <w:t xml:space="preserve"> </w:t>
            </w:r>
            <w:r>
              <w:rPr>
                <w:spacing w:val="-2"/>
              </w:rPr>
              <w:t>Contract</w:t>
            </w:r>
          </w:p>
        </w:tc>
        <w:tc>
          <w:tcPr>
            <w:tcW w:w="1388" w:type="dxa"/>
            <w:tcBorders>
              <w:top w:val="single" w:sz="2" w:space="0" w:color="000000"/>
              <w:left w:val="single" w:sz="2" w:space="0" w:color="000000"/>
              <w:bottom w:val="single" w:sz="2" w:space="0" w:color="000000"/>
              <w:right w:val="single" w:sz="2" w:space="0" w:color="000000"/>
            </w:tcBorders>
          </w:tcPr>
          <w:p w14:paraId="39DCB104" w14:textId="77777777" w:rsidR="00BB77C0" w:rsidRDefault="00370BAA">
            <w:pPr>
              <w:pStyle w:val="TableParagraph"/>
              <w:spacing w:line="242" w:lineRule="auto"/>
              <w:ind w:left="2" w:right="24"/>
            </w:pPr>
            <w:r>
              <w:rPr>
                <w:spacing w:val="-2"/>
              </w:rPr>
              <w:t xml:space="preserve">Prime </w:t>
            </w:r>
            <w:r>
              <w:rPr>
                <w:spacing w:val="-8"/>
              </w:rPr>
              <w:t>Contractor</w:t>
            </w:r>
          </w:p>
          <w:p w14:paraId="627FB1AE" w14:textId="77777777" w:rsidR="00BB77C0" w:rsidRDefault="00370BAA">
            <w:pPr>
              <w:pStyle w:val="TableParagraph"/>
              <w:spacing w:line="240" w:lineRule="exact"/>
              <w:ind w:left="2"/>
              <w:rPr>
                <w:rFonts w:ascii="Wingdings" w:hAnsi="Wingdings"/>
              </w:rPr>
            </w:pPr>
            <w:r>
              <w:rPr>
                <w:rFonts w:ascii="Wingdings" w:hAnsi="Wingdings"/>
                <w:spacing w:val="-10"/>
              </w:rPr>
              <w:t></w:t>
            </w:r>
          </w:p>
        </w:tc>
        <w:tc>
          <w:tcPr>
            <w:tcW w:w="1441" w:type="dxa"/>
            <w:gridSpan w:val="2"/>
            <w:tcBorders>
              <w:top w:val="single" w:sz="2" w:space="0" w:color="000000"/>
              <w:left w:val="single" w:sz="2" w:space="0" w:color="000000"/>
              <w:bottom w:val="single" w:sz="2" w:space="0" w:color="000000"/>
              <w:right w:val="single" w:sz="2" w:space="0" w:color="000000"/>
            </w:tcBorders>
          </w:tcPr>
          <w:p w14:paraId="57D04823" w14:textId="77777777" w:rsidR="00BB77C0" w:rsidRDefault="00370BAA">
            <w:pPr>
              <w:pStyle w:val="TableParagraph"/>
              <w:spacing w:line="242" w:lineRule="auto"/>
              <w:ind w:left="1" w:right="499"/>
            </w:pPr>
            <w:r>
              <w:rPr>
                <w:spacing w:val="-6"/>
              </w:rPr>
              <w:t>Member</w:t>
            </w:r>
            <w:r>
              <w:rPr>
                <w:spacing w:val="-8"/>
              </w:rPr>
              <w:t xml:space="preserve"> </w:t>
            </w:r>
            <w:r>
              <w:rPr>
                <w:spacing w:val="-6"/>
              </w:rPr>
              <w:t>in JV</w:t>
            </w:r>
          </w:p>
          <w:p w14:paraId="6C6C3E14" w14:textId="77777777" w:rsidR="00BB77C0" w:rsidRDefault="00370BAA">
            <w:pPr>
              <w:pStyle w:val="TableParagraph"/>
              <w:spacing w:line="240" w:lineRule="exact"/>
              <w:ind w:left="1"/>
              <w:rPr>
                <w:rFonts w:ascii="Wingdings" w:hAnsi="Wingdings"/>
              </w:rPr>
            </w:pPr>
            <w:r>
              <w:rPr>
                <w:rFonts w:ascii="Wingdings" w:hAnsi="Wingdings"/>
                <w:spacing w:val="-10"/>
              </w:rPr>
              <w:t></w:t>
            </w:r>
          </w:p>
        </w:tc>
        <w:tc>
          <w:tcPr>
            <w:tcW w:w="1350" w:type="dxa"/>
            <w:tcBorders>
              <w:top w:val="single" w:sz="2" w:space="0" w:color="000000"/>
              <w:left w:val="single" w:sz="2" w:space="0" w:color="000000"/>
              <w:bottom w:val="single" w:sz="2" w:space="0" w:color="000000"/>
              <w:right w:val="single" w:sz="2" w:space="0" w:color="000000"/>
            </w:tcBorders>
          </w:tcPr>
          <w:p w14:paraId="0F967D87" w14:textId="77777777" w:rsidR="00BB77C0" w:rsidRDefault="00370BAA">
            <w:pPr>
              <w:pStyle w:val="TableParagraph"/>
              <w:spacing w:line="242" w:lineRule="auto"/>
              <w:ind w:left="1"/>
            </w:pPr>
            <w:r>
              <w:rPr>
                <w:spacing w:val="-8"/>
              </w:rPr>
              <w:t xml:space="preserve">Management </w:t>
            </w:r>
            <w:r>
              <w:rPr>
                <w:spacing w:val="-2"/>
              </w:rPr>
              <w:t>Contractor</w:t>
            </w:r>
          </w:p>
          <w:p w14:paraId="1B5A6C0D" w14:textId="77777777" w:rsidR="00BB77C0" w:rsidRDefault="00370BAA">
            <w:pPr>
              <w:pStyle w:val="TableParagraph"/>
              <w:spacing w:line="240" w:lineRule="exact"/>
              <w:ind w:left="1"/>
              <w:rPr>
                <w:rFonts w:ascii="Wingdings" w:hAnsi="Wingdings"/>
              </w:rPr>
            </w:pPr>
            <w:r>
              <w:rPr>
                <w:rFonts w:ascii="Wingdings" w:hAnsi="Wingdings"/>
                <w:spacing w:val="-10"/>
              </w:rPr>
              <w:t></w:t>
            </w:r>
          </w:p>
        </w:tc>
        <w:tc>
          <w:tcPr>
            <w:tcW w:w="1273" w:type="dxa"/>
            <w:tcBorders>
              <w:top w:val="single" w:sz="2" w:space="0" w:color="000000"/>
              <w:left w:val="single" w:sz="2" w:space="0" w:color="000000"/>
              <w:bottom w:val="single" w:sz="2" w:space="0" w:color="000000"/>
              <w:right w:val="single" w:sz="2" w:space="0" w:color="000000"/>
            </w:tcBorders>
          </w:tcPr>
          <w:p w14:paraId="76EFF78D" w14:textId="77777777" w:rsidR="00BB77C0" w:rsidRDefault="00370BAA">
            <w:pPr>
              <w:pStyle w:val="TableParagraph"/>
              <w:spacing w:line="249" w:lineRule="exact"/>
            </w:pPr>
            <w:r>
              <w:rPr>
                <w:spacing w:val="-8"/>
              </w:rPr>
              <w:t>Sub-</w:t>
            </w:r>
            <w:r>
              <w:rPr>
                <w:spacing w:val="-4"/>
              </w:rPr>
              <w:t>contractor</w:t>
            </w:r>
          </w:p>
          <w:p w14:paraId="6EF8CB57" w14:textId="77777777" w:rsidR="00BB77C0" w:rsidRDefault="00370BAA">
            <w:pPr>
              <w:pStyle w:val="TableParagraph"/>
              <w:spacing w:line="244" w:lineRule="exact"/>
              <w:rPr>
                <w:rFonts w:ascii="Wingdings" w:hAnsi="Wingdings"/>
              </w:rPr>
            </w:pPr>
            <w:r>
              <w:rPr>
                <w:rFonts w:ascii="Wingdings" w:hAnsi="Wingdings"/>
                <w:spacing w:val="-10"/>
              </w:rPr>
              <w:t></w:t>
            </w:r>
          </w:p>
        </w:tc>
      </w:tr>
      <w:tr w:rsidR="00BB77C0" w14:paraId="698FA2D1" w14:textId="77777777">
        <w:trPr>
          <w:trHeight w:val="316"/>
        </w:trPr>
        <w:tc>
          <w:tcPr>
            <w:tcW w:w="3837" w:type="dxa"/>
            <w:tcBorders>
              <w:top w:val="single" w:sz="2" w:space="0" w:color="000000"/>
              <w:left w:val="single" w:sz="2" w:space="0" w:color="000000"/>
              <w:bottom w:val="single" w:sz="2" w:space="0" w:color="000000"/>
              <w:right w:val="single" w:sz="2" w:space="0" w:color="000000"/>
            </w:tcBorders>
          </w:tcPr>
          <w:p w14:paraId="1195A855" w14:textId="77777777" w:rsidR="00BB77C0" w:rsidRDefault="00370BAA">
            <w:pPr>
              <w:pStyle w:val="TableParagraph"/>
              <w:spacing w:line="249" w:lineRule="exact"/>
              <w:ind w:left="7"/>
            </w:pPr>
            <w:r>
              <w:rPr>
                <w:spacing w:val="-9"/>
              </w:rPr>
              <w:t xml:space="preserve">TotalContract </w:t>
            </w:r>
            <w:r>
              <w:rPr>
                <w:spacing w:val="-2"/>
              </w:rPr>
              <w:t>Amount</w:t>
            </w:r>
          </w:p>
        </w:tc>
        <w:tc>
          <w:tcPr>
            <w:tcW w:w="2829" w:type="dxa"/>
            <w:gridSpan w:val="3"/>
            <w:tcBorders>
              <w:top w:val="single" w:sz="2" w:space="0" w:color="000000"/>
              <w:left w:val="single" w:sz="2" w:space="0" w:color="000000"/>
              <w:bottom w:val="single" w:sz="2" w:space="0" w:color="000000"/>
              <w:right w:val="single" w:sz="2" w:space="0" w:color="000000"/>
            </w:tcBorders>
          </w:tcPr>
          <w:p w14:paraId="35678D43" w14:textId="77777777" w:rsidR="00BB77C0" w:rsidRDefault="00BB77C0">
            <w:pPr>
              <w:pStyle w:val="TableParagraph"/>
            </w:pPr>
          </w:p>
        </w:tc>
        <w:tc>
          <w:tcPr>
            <w:tcW w:w="2623" w:type="dxa"/>
            <w:gridSpan w:val="2"/>
            <w:tcBorders>
              <w:top w:val="single" w:sz="2" w:space="0" w:color="000000"/>
              <w:left w:val="single" w:sz="2" w:space="0" w:color="000000"/>
              <w:bottom w:val="single" w:sz="2" w:space="0" w:color="000000"/>
              <w:right w:val="single" w:sz="2" w:space="0" w:color="000000"/>
            </w:tcBorders>
          </w:tcPr>
          <w:p w14:paraId="60A308A6" w14:textId="77777777" w:rsidR="00BB77C0" w:rsidRDefault="00370BAA">
            <w:pPr>
              <w:pStyle w:val="TableParagraph"/>
              <w:spacing w:line="249" w:lineRule="exact"/>
              <w:ind w:left="1"/>
              <w:rPr>
                <w:b/>
              </w:rPr>
            </w:pPr>
            <w:r>
              <w:rPr>
                <w:b/>
                <w:spacing w:val="-6"/>
              </w:rPr>
              <w:t xml:space="preserve">Kenya </w:t>
            </w:r>
            <w:r>
              <w:rPr>
                <w:b/>
                <w:spacing w:val="-2"/>
              </w:rPr>
              <w:t>Shilling</w:t>
            </w:r>
          </w:p>
        </w:tc>
      </w:tr>
      <w:tr w:rsidR="00BB77C0" w14:paraId="375009E0" w14:textId="77777777">
        <w:trPr>
          <w:trHeight w:val="1012"/>
        </w:trPr>
        <w:tc>
          <w:tcPr>
            <w:tcW w:w="3837" w:type="dxa"/>
            <w:tcBorders>
              <w:top w:val="single" w:sz="2" w:space="0" w:color="000000"/>
              <w:left w:val="single" w:sz="2" w:space="0" w:color="000000"/>
              <w:bottom w:val="single" w:sz="4" w:space="0" w:color="000000"/>
              <w:right w:val="single" w:sz="2" w:space="0" w:color="000000"/>
            </w:tcBorders>
          </w:tcPr>
          <w:p w14:paraId="466615F3" w14:textId="77777777" w:rsidR="00BB77C0" w:rsidRDefault="00370BAA">
            <w:pPr>
              <w:pStyle w:val="TableParagraph"/>
              <w:spacing w:line="242" w:lineRule="auto"/>
              <w:ind w:left="7" w:right="54"/>
            </w:pPr>
            <w:r>
              <w:t>Quantity (Volume, number or rate of production,</w:t>
            </w:r>
            <w:r>
              <w:rPr>
                <w:spacing w:val="-14"/>
              </w:rPr>
              <w:t xml:space="preserve"> </w:t>
            </w:r>
            <w:r>
              <w:t>as</w:t>
            </w:r>
            <w:r>
              <w:rPr>
                <w:spacing w:val="-14"/>
              </w:rPr>
              <w:t xml:space="preserve"> </w:t>
            </w:r>
            <w:r>
              <w:t>applicable)</w:t>
            </w:r>
            <w:r>
              <w:rPr>
                <w:spacing w:val="-14"/>
              </w:rPr>
              <w:t xml:space="preserve"> </w:t>
            </w:r>
            <w:r>
              <w:t>performed</w:t>
            </w:r>
            <w:r>
              <w:rPr>
                <w:spacing w:val="-13"/>
              </w:rPr>
              <w:t xml:space="preserve"> </w:t>
            </w:r>
            <w:r>
              <w:t>under the contract per year or part of the year</w:t>
            </w:r>
          </w:p>
        </w:tc>
        <w:tc>
          <w:tcPr>
            <w:tcW w:w="1806" w:type="dxa"/>
            <w:gridSpan w:val="2"/>
            <w:tcBorders>
              <w:top w:val="single" w:sz="2" w:space="0" w:color="000000"/>
              <w:left w:val="single" w:sz="2" w:space="0" w:color="000000"/>
              <w:bottom w:val="single" w:sz="2" w:space="0" w:color="000000"/>
              <w:right w:val="single" w:sz="2" w:space="0" w:color="000000"/>
            </w:tcBorders>
          </w:tcPr>
          <w:p w14:paraId="5564E5F1" w14:textId="77777777" w:rsidR="00BB77C0" w:rsidRDefault="00370BAA">
            <w:pPr>
              <w:pStyle w:val="TableParagraph"/>
              <w:spacing w:line="242" w:lineRule="auto"/>
              <w:ind w:left="2" w:right="108"/>
            </w:pPr>
            <w:r>
              <w:t>Total</w:t>
            </w:r>
            <w:r>
              <w:rPr>
                <w:spacing w:val="-12"/>
              </w:rPr>
              <w:t xml:space="preserve"> </w:t>
            </w:r>
            <w:r>
              <w:t>quantity</w:t>
            </w:r>
            <w:r>
              <w:rPr>
                <w:spacing w:val="-13"/>
              </w:rPr>
              <w:t xml:space="preserve"> </w:t>
            </w:r>
            <w:r>
              <w:t>in the contract</w:t>
            </w:r>
          </w:p>
          <w:p w14:paraId="1AD62026" w14:textId="77777777" w:rsidR="00BB77C0" w:rsidRDefault="00370BAA">
            <w:pPr>
              <w:pStyle w:val="TableParagraph"/>
              <w:spacing w:line="251" w:lineRule="exact"/>
              <w:ind w:left="2"/>
            </w:pPr>
            <w:r>
              <w:rPr>
                <w:spacing w:val="-5"/>
              </w:rPr>
              <w:t>(i)</w:t>
            </w:r>
          </w:p>
        </w:tc>
        <w:tc>
          <w:tcPr>
            <w:tcW w:w="2373" w:type="dxa"/>
            <w:gridSpan w:val="2"/>
            <w:tcBorders>
              <w:top w:val="single" w:sz="2" w:space="0" w:color="000000"/>
              <w:left w:val="single" w:sz="2" w:space="0" w:color="000000"/>
              <w:bottom w:val="single" w:sz="2" w:space="0" w:color="000000"/>
              <w:right w:val="single" w:sz="2" w:space="0" w:color="000000"/>
            </w:tcBorders>
          </w:tcPr>
          <w:p w14:paraId="239C243A" w14:textId="77777777" w:rsidR="00BB77C0" w:rsidRDefault="00370BAA">
            <w:pPr>
              <w:pStyle w:val="TableParagraph"/>
              <w:spacing w:line="242" w:lineRule="auto"/>
              <w:ind w:left="6" w:right="1271"/>
            </w:pPr>
            <w:r>
              <w:rPr>
                <w:spacing w:val="-2"/>
              </w:rPr>
              <w:t xml:space="preserve">Percentage </w:t>
            </w:r>
            <w:r>
              <w:rPr>
                <w:spacing w:val="-4"/>
              </w:rPr>
              <w:t>participation (ii)</w:t>
            </w:r>
          </w:p>
        </w:tc>
        <w:tc>
          <w:tcPr>
            <w:tcW w:w="1273" w:type="dxa"/>
            <w:tcBorders>
              <w:top w:val="single" w:sz="2" w:space="0" w:color="000000"/>
              <w:left w:val="single" w:sz="2" w:space="0" w:color="000000"/>
              <w:bottom w:val="single" w:sz="2" w:space="0" w:color="000000"/>
              <w:right w:val="single" w:sz="2" w:space="0" w:color="000000"/>
            </w:tcBorders>
          </w:tcPr>
          <w:p w14:paraId="3826976B" w14:textId="77777777" w:rsidR="00BB77C0" w:rsidRDefault="00370BAA">
            <w:pPr>
              <w:pStyle w:val="TableParagraph"/>
              <w:spacing w:line="242" w:lineRule="auto"/>
            </w:pPr>
            <w:r>
              <w:rPr>
                <w:spacing w:val="-2"/>
              </w:rPr>
              <w:t>Actual Quantity</w:t>
            </w:r>
          </w:p>
          <w:p w14:paraId="3B8BAF40" w14:textId="77777777" w:rsidR="00BB77C0" w:rsidRDefault="00370BAA">
            <w:pPr>
              <w:pStyle w:val="TableParagraph"/>
              <w:spacing w:line="247" w:lineRule="exact"/>
            </w:pPr>
            <w:r>
              <w:rPr>
                <w:spacing w:val="-2"/>
              </w:rPr>
              <w:t>Performed</w:t>
            </w:r>
          </w:p>
          <w:p w14:paraId="78CEF9BF" w14:textId="77777777" w:rsidR="00BB77C0" w:rsidRDefault="00370BAA">
            <w:pPr>
              <w:pStyle w:val="TableParagraph"/>
              <w:spacing w:line="239" w:lineRule="exact"/>
            </w:pPr>
            <w:r>
              <w:t>(i)</w:t>
            </w:r>
            <w:r>
              <w:rPr>
                <w:spacing w:val="3"/>
              </w:rPr>
              <w:t xml:space="preserve"> </w:t>
            </w:r>
            <w:r>
              <w:t>x</w:t>
            </w:r>
            <w:r>
              <w:rPr>
                <w:spacing w:val="9"/>
              </w:rPr>
              <w:t xml:space="preserve"> </w:t>
            </w:r>
            <w:r>
              <w:rPr>
                <w:spacing w:val="-4"/>
              </w:rPr>
              <w:t>(ii)</w:t>
            </w:r>
          </w:p>
        </w:tc>
      </w:tr>
      <w:tr w:rsidR="00BB77C0" w14:paraId="4620892D" w14:textId="77777777">
        <w:trPr>
          <w:trHeight w:val="426"/>
        </w:trPr>
        <w:tc>
          <w:tcPr>
            <w:tcW w:w="3837" w:type="dxa"/>
            <w:tcBorders>
              <w:top w:val="single" w:sz="4" w:space="0" w:color="000000"/>
              <w:left w:val="single" w:sz="2" w:space="0" w:color="000000"/>
              <w:bottom w:val="single" w:sz="4" w:space="0" w:color="000000"/>
              <w:right w:val="single" w:sz="2" w:space="0" w:color="000000"/>
            </w:tcBorders>
          </w:tcPr>
          <w:p w14:paraId="1497A906" w14:textId="77777777" w:rsidR="00BB77C0" w:rsidRDefault="00370BAA">
            <w:pPr>
              <w:pStyle w:val="TableParagraph"/>
              <w:spacing w:before="82"/>
              <w:ind w:left="7"/>
            </w:pPr>
            <w:r>
              <w:t>Year</w:t>
            </w:r>
            <w:r>
              <w:rPr>
                <w:spacing w:val="-1"/>
              </w:rPr>
              <w:t xml:space="preserve"> </w:t>
            </w:r>
            <w:r>
              <w:rPr>
                <w:spacing w:val="-10"/>
              </w:rPr>
              <w:t>1</w:t>
            </w:r>
          </w:p>
        </w:tc>
        <w:tc>
          <w:tcPr>
            <w:tcW w:w="1806" w:type="dxa"/>
            <w:gridSpan w:val="2"/>
            <w:tcBorders>
              <w:top w:val="single" w:sz="2" w:space="0" w:color="000000"/>
              <w:left w:val="single" w:sz="2" w:space="0" w:color="000000"/>
              <w:bottom w:val="single" w:sz="2" w:space="0" w:color="000000"/>
              <w:right w:val="single" w:sz="2" w:space="0" w:color="000000"/>
            </w:tcBorders>
          </w:tcPr>
          <w:p w14:paraId="193C0C12" w14:textId="77777777" w:rsidR="00BB77C0" w:rsidRDefault="00BB77C0">
            <w:pPr>
              <w:pStyle w:val="TableParagraph"/>
            </w:pPr>
          </w:p>
        </w:tc>
        <w:tc>
          <w:tcPr>
            <w:tcW w:w="2373" w:type="dxa"/>
            <w:gridSpan w:val="2"/>
            <w:tcBorders>
              <w:top w:val="single" w:sz="2" w:space="0" w:color="000000"/>
              <w:left w:val="single" w:sz="2" w:space="0" w:color="000000"/>
              <w:bottom w:val="single" w:sz="2" w:space="0" w:color="000000"/>
              <w:right w:val="single" w:sz="2" w:space="0" w:color="000000"/>
            </w:tcBorders>
          </w:tcPr>
          <w:p w14:paraId="2FA7CD8E" w14:textId="77777777" w:rsidR="00BB77C0" w:rsidRDefault="00BB77C0">
            <w:pPr>
              <w:pStyle w:val="TableParagraph"/>
            </w:pPr>
          </w:p>
        </w:tc>
        <w:tc>
          <w:tcPr>
            <w:tcW w:w="1273" w:type="dxa"/>
            <w:tcBorders>
              <w:top w:val="single" w:sz="2" w:space="0" w:color="000000"/>
              <w:left w:val="single" w:sz="2" w:space="0" w:color="000000"/>
              <w:bottom w:val="single" w:sz="2" w:space="0" w:color="000000"/>
              <w:right w:val="single" w:sz="2" w:space="0" w:color="000000"/>
            </w:tcBorders>
          </w:tcPr>
          <w:p w14:paraId="53859135" w14:textId="77777777" w:rsidR="00BB77C0" w:rsidRDefault="00BB77C0">
            <w:pPr>
              <w:pStyle w:val="TableParagraph"/>
            </w:pPr>
          </w:p>
        </w:tc>
      </w:tr>
      <w:tr w:rsidR="00BB77C0" w14:paraId="550059E4" w14:textId="77777777">
        <w:trPr>
          <w:trHeight w:val="431"/>
        </w:trPr>
        <w:tc>
          <w:tcPr>
            <w:tcW w:w="3837" w:type="dxa"/>
            <w:tcBorders>
              <w:top w:val="single" w:sz="4" w:space="0" w:color="000000"/>
              <w:left w:val="single" w:sz="2" w:space="0" w:color="000000"/>
              <w:bottom w:val="single" w:sz="4" w:space="0" w:color="000000"/>
              <w:right w:val="single" w:sz="2" w:space="0" w:color="000000"/>
            </w:tcBorders>
          </w:tcPr>
          <w:p w14:paraId="693B64E7" w14:textId="77777777" w:rsidR="00BB77C0" w:rsidRDefault="00370BAA">
            <w:pPr>
              <w:pStyle w:val="TableParagraph"/>
              <w:spacing w:before="82"/>
              <w:ind w:left="7"/>
            </w:pPr>
            <w:r>
              <w:t>Year</w:t>
            </w:r>
            <w:r>
              <w:rPr>
                <w:spacing w:val="-1"/>
              </w:rPr>
              <w:t xml:space="preserve"> </w:t>
            </w:r>
            <w:r>
              <w:rPr>
                <w:spacing w:val="-10"/>
              </w:rPr>
              <w:t>2</w:t>
            </w:r>
          </w:p>
        </w:tc>
        <w:tc>
          <w:tcPr>
            <w:tcW w:w="1806" w:type="dxa"/>
            <w:gridSpan w:val="2"/>
            <w:tcBorders>
              <w:top w:val="single" w:sz="2" w:space="0" w:color="000000"/>
              <w:left w:val="single" w:sz="2" w:space="0" w:color="000000"/>
              <w:bottom w:val="single" w:sz="2" w:space="0" w:color="000000"/>
              <w:right w:val="single" w:sz="2" w:space="0" w:color="000000"/>
            </w:tcBorders>
          </w:tcPr>
          <w:p w14:paraId="269ADECA" w14:textId="77777777" w:rsidR="00BB77C0" w:rsidRDefault="00BB77C0">
            <w:pPr>
              <w:pStyle w:val="TableParagraph"/>
            </w:pPr>
          </w:p>
        </w:tc>
        <w:tc>
          <w:tcPr>
            <w:tcW w:w="2373" w:type="dxa"/>
            <w:gridSpan w:val="2"/>
            <w:tcBorders>
              <w:top w:val="single" w:sz="2" w:space="0" w:color="000000"/>
              <w:left w:val="single" w:sz="2" w:space="0" w:color="000000"/>
              <w:bottom w:val="single" w:sz="2" w:space="0" w:color="000000"/>
              <w:right w:val="single" w:sz="2" w:space="0" w:color="000000"/>
            </w:tcBorders>
          </w:tcPr>
          <w:p w14:paraId="1E61C24D" w14:textId="77777777" w:rsidR="00BB77C0" w:rsidRDefault="00BB77C0">
            <w:pPr>
              <w:pStyle w:val="TableParagraph"/>
            </w:pPr>
          </w:p>
        </w:tc>
        <w:tc>
          <w:tcPr>
            <w:tcW w:w="1273" w:type="dxa"/>
            <w:tcBorders>
              <w:top w:val="single" w:sz="2" w:space="0" w:color="000000"/>
              <w:left w:val="single" w:sz="2" w:space="0" w:color="000000"/>
              <w:bottom w:val="single" w:sz="2" w:space="0" w:color="000000"/>
              <w:right w:val="single" w:sz="2" w:space="0" w:color="000000"/>
            </w:tcBorders>
          </w:tcPr>
          <w:p w14:paraId="2767D26D" w14:textId="77777777" w:rsidR="00BB77C0" w:rsidRDefault="00BB77C0">
            <w:pPr>
              <w:pStyle w:val="TableParagraph"/>
            </w:pPr>
          </w:p>
        </w:tc>
      </w:tr>
      <w:tr w:rsidR="00BB77C0" w14:paraId="51EE9A14" w14:textId="77777777">
        <w:trPr>
          <w:trHeight w:val="422"/>
        </w:trPr>
        <w:tc>
          <w:tcPr>
            <w:tcW w:w="3837" w:type="dxa"/>
            <w:tcBorders>
              <w:top w:val="single" w:sz="4" w:space="0" w:color="000000"/>
              <w:left w:val="single" w:sz="2" w:space="0" w:color="000000"/>
              <w:bottom w:val="single" w:sz="4" w:space="0" w:color="000000"/>
              <w:right w:val="single" w:sz="2" w:space="0" w:color="000000"/>
            </w:tcBorders>
          </w:tcPr>
          <w:p w14:paraId="098565CF" w14:textId="77777777" w:rsidR="00BB77C0" w:rsidRDefault="00370BAA">
            <w:pPr>
              <w:pStyle w:val="TableParagraph"/>
              <w:spacing w:before="82"/>
              <w:ind w:left="7"/>
            </w:pPr>
            <w:r>
              <w:t>Year</w:t>
            </w:r>
            <w:r>
              <w:rPr>
                <w:spacing w:val="-1"/>
              </w:rPr>
              <w:t xml:space="preserve"> </w:t>
            </w:r>
            <w:r>
              <w:rPr>
                <w:spacing w:val="-10"/>
              </w:rPr>
              <w:t>3</w:t>
            </w:r>
          </w:p>
        </w:tc>
        <w:tc>
          <w:tcPr>
            <w:tcW w:w="1806" w:type="dxa"/>
            <w:gridSpan w:val="2"/>
            <w:tcBorders>
              <w:top w:val="single" w:sz="2" w:space="0" w:color="000000"/>
              <w:left w:val="single" w:sz="2" w:space="0" w:color="000000"/>
              <w:bottom w:val="single" w:sz="2" w:space="0" w:color="000000"/>
              <w:right w:val="single" w:sz="2" w:space="0" w:color="000000"/>
            </w:tcBorders>
          </w:tcPr>
          <w:p w14:paraId="5D9F71D7" w14:textId="77777777" w:rsidR="00BB77C0" w:rsidRDefault="00BB77C0">
            <w:pPr>
              <w:pStyle w:val="TableParagraph"/>
            </w:pPr>
          </w:p>
        </w:tc>
        <w:tc>
          <w:tcPr>
            <w:tcW w:w="2373" w:type="dxa"/>
            <w:gridSpan w:val="2"/>
            <w:tcBorders>
              <w:top w:val="single" w:sz="2" w:space="0" w:color="000000"/>
              <w:left w:val="single" w:sz="2" w:space="0" w:color="000000"/>
              <w:bottom w:val="single" w:sz="2" w:space="0" w:color="000000"/>
              <w:right w:val="single" w:sz="2" w:space="0" w:color="000000"/>
            </w:tcBorders>
          </w:tcPr>
          <w:p w14:paraId="48DF356C" w14:textId="77777777" w:rsidR="00BB77C0" w:rsidRDefault="00BB77C0">
            <w:pPr>
              <w:pStyle w:val="TableParagraph"/>
            </w:pPr>
          </w:p>
        </w:tc>
        <w:tc>
          <w:tcPr>
            <w:tcW w:w="1273" w:type="dxa"/>
            <w:tcBorders>
              <w:top w:val="single" w:sz="2" w:space="0" w:color="000000"/>
              <w:left w:val="single" w:sz="2" w:space="0" w:color="000000"/>
              <w:bottom w:val="single" w:sz="2" w:space="0" w:color="000000"/>
              <w:right w:val="single" w:sz="2" w:space="0" w:color="000000"/>
            </w:tcBorders>
          </w:tcPr>
          <w:p w14:paraId="361154CA" w14:textId="77777777" w:rsidR="00BB77C0" w:rsidRDefault="00BB77C0">
            <w:pPr>
              <w:pStyle w:val="TableParagraph"/>
            </w:pPr>
          </w:p>
        </w:tc>
      </w:tr>
      <w:tr w:rsidR="00BB77C0" w14:paraId="60290A30" w14:textId="77777777">
        <w:trPr>
          <w:trHeight w:val="431"/>
        </w:trPr>
        <w:tc>
          <w:tcPr>
            <w:tcW w:w="3837" w:type="dxa"/>
            <w:tcBorders>
              <w:top w:val="single" w:sz="4" w:space="0" w:color="000000"/>
              <w:left w:val="single" w:sz="2" w:space="0" w:color="000000"/>
              <w:bottom w:val="single" w:sz="4" w:space="0" w:color="000000"/>
              <w:right w:val="single" w:sz="2" w:space="0" w:color="000000"/>
            </w:tcBorders>
          </w:tcPr>
          <w:p w14:paraId="4999E328" w14:textId="77777777" w:rsidR="00BB77C0" w:rsidRDefault="00370BAA">
            <w:pPr>
              <w:pStyle w:val="TableParagraph"/>
              <w:spacing w:before="82"/>
              <w:ind w:left="7"/>
            </w:pPr>
            <w:r>
              <w:t>Year</w:t>
            </w:r>
            <w:r>
              <w:rPr>
                <w:spacing w:val="-1"/>
              </w:rPr>
              <w:t xml:space="preserve"> </w:t>
            </w:r>
            <w:r>
              <w:rPr>
                <w:spacing w:val="-10"/>
              </w:rPr>
              <w:t>4</w:t>
            </w:r>
          </w:p>
        </w:tc>
        <w:tc>
          <w:tcPr>
            <w:tcW w:w="1806" w:type="dxa"/>
            <w:gridSpan w:val="2"/>
            <w:tcBorders>
              <w:top w:val="single" w:sz="2" w:space="0" w:color="000000"/>
              <w:left w:val="single" w:sz="2" w:space="0" w:color="000000"/>
              <w:bottom w:val="single" w:sz="4" w:space="0" w:color="000000"/>
              <w:right w:val="single" w:sz="2" w:space="0" w:color="000000"/>
            </w:tcBorders>
          </w:tcPr>
          <w:p w14:paraId="2FAC52F8" w14:textId="77777777" w:rsidR="00BB77C0" w:rsidRDefault="00BB77C0">
            <w:pPr>
              <w:pStyle w:val="TableParagraph"/>
            </w:pPr>
          </w:p>
        </w:tc>
        <w:tc>
          <w:tcPr>
            <w:tcW w:w="2373" w:type="dxa"/>
            <w:gridSpan w:val="2"/>
            <w:tcBorders>
              <w:top w:val="single" w:sz="2" w:space="0" w:color="000000"/>
              <w:left w:val="single" w:sz="2" w:space="0" w:color="000000"/>
              <w:bottom w:val="single" w:sz="4" w:space="0" w:color="000000"/>
              <w:right w:val="single" w:sz="2" w:space="0" w:color="000000"/>
            </w:tcBorders>
          </w:tcPr>
          <w:p w14:paraId="00F7BAFB" w14:textId="77777777" w:rsidR="00BB77C0" w:rsidRDefault="00BB77C0">
            <w:pPr>
              <w:pStyle w:val="TableParagraph"/>
            </w:pPr>
          </w:p>
        </w:tc>
        <w:tc>
          <w:tcPr>
            <w:tcW w:w="1273" w:type="dxa"/>
            <w:tcBorders>
              <w:top w:val="single" w:sz="2" w:space="0" w:color="000000"/>
              <w:left w:val="single" w:sz="2" w:space="0" w:color="000000"/>
              <w:bottom w:val="single" w:sz="4" w:space="0" w:color="000000"/>
              <w:right w:val="single" w:sz="2" w:space="0" w:color="000000"/>
            </w:tcBorders>
          </w:tcPr>
          <w:p w14:paraId="3ACCDC37" w14:textId="77777777" w:rsidR="00BB77C0" w:rsidRDefault="00BB77C0">
            <w:pPr>
              <w:pStyle w:val="TableParagraph"/>
            </w:pPr>
          </w:p>
        </w:tc>
      </w:tr>
      <w:tr w:rsidR="00BB77C0" w14:paraId="40784935" w14:textId="77777777">
        <w:trPr>
          <w:trHeight w:val="887"/>
        </w:trPr>
        <w:tc>
          <w:tcPr>
            <w:tcW w:w="3837" w:type="dxa"/>
            <w:tcBorders>
              <w:top w:val="single" w:sz="4" w:space="0" w:color="000000"/>
              <w:left w:val="single" w:sz="2" w:space="0" w:color="000000"/>
              <w:bottom w:val="single" w:sz="2" w:space="0" w:color="000000"/>
              <w:right w:val="single" w:sz="2" w:space="0" w:color="000000"/>
            </w:tcBorders>
          </w:tcPr>
          <w:p w14:paraId="2178C16F" w14:textId="77777777" w:rsidR="00BB77C0" w:rsidRDefault="00370BAA">
            <w:pPr>
              <w:pStyle w:val="TableParagraph"/>
              <w:spacing w:line="249" w:lineRule="exact"/>
              <w:ind w:left="7"/>
            </w:pPr>
            <w:r>
              <w:rPr>
                <w:spacing w:val="-6"/>
              </w:rPr>
              <w:t>Procuring</w:t>
            </w:r>
            <w:r>
              <w:rPr>
                <w:spacing w:val="-5"/>
              </w:rPr>
              <w:t xml:space="preserve"> </w:t>
            </w:r>
            <w:r>
              <w:rPr>
                <w:spacing w:val="-6"/>
              </w:rPr>
              <w:t>Entity’s</w:t>
            </w:r>
            <w:r>
              <w:rPr>
                <w:spacing w:val="4"/>
              </w:rPr>
              <w:t xml:space="preserve"> </w:t>
            </w:r>
            <w:r>
              <w:rPr>
                <w:spacing w:val="-6"/>
              </w:rPr>
              <w:t>Name:</w:t>
            </w:r>
          </w:p>
        </w:tc>
        <w:tc>
          <w:tcPr>
            <w:tcW w:w="5452" w:type="dxa"/>
            <w:gridSpan w:val="5"/>
            <w:tcBorders>
              <w:top w:val="single" w:sz="4" w:space="0" w:color="000000"/>
              <w:left w:val="single" w:sz="2" w:space="0" w:color="000000"/>
              <w:bottom w:val="single" w:sz="2" w:space="0" w:color="000000"/>
              <w:right w:val="single" w:sz="2" w:space="0" w:color="000000"/>
            </w:tcBorders>
          </w:tcPr>
          <w:p w14:paraId="30A18BAD" w14:textId="77777777" w:rsidR="00BB77C0" w:rsidRDefault="00BB77C0">
            <w:pPr>
              <w:pStyle w:val="TableParagraph"/>
            </w:pPr>
          </w:p>
        </w:tc>
      </w:tr>
      <w:tr w:rsidR="00BB77C0" w14:paraId="5A0AD191" w14:textId="77777777">
        <w:trPr>
          <w:trHeight w:val="801"/>
        </w:trPr>
        <w:tc>
          <w:tcPr>
            <w:tcW w:w="3837" w:type="dxa"/>
            <w:tcBorders>
              <w:top w:val="single" w:sz="2" w:space="0" w:color="000000"/>
              <w:left w:val="single" w:sz="2" w:space="0" w:color="000000"/>
              <w:bottom w:val="single" w:sz="2" w:space="0" w:color="000000"/>
              <w:right w:val="single" w:sz="2" w:space="0" w:color="000000"/>
            </w:tcBorders>
          </w:tcPr>
          <w:p w14:paraId="619D5C88" w14:textId="77777777" w:rsidR="00BB77C0" w:rsidRDefault="00370BAA">
            <w:pPr>
              <w:pStyle w:val="TableParagraph"/>
              <w:spacing w:line="242" w:lineRule="auto"/>
              <w:ind w:left="7" w:right="1915"/>
            </w:pPr>
            <w:r>
              <w:rPr>
                <w:spacing w:val="-2"/>
              </w:rPr>
              <w:t xml:space="preserve">Address: </w:t>
            </w:r>
            <w:r>
              <w:rPr>
                <w:spacing w:val="-6"/>
              </w:rPr>
              <w:t>Telephone/fax</w:t>
            </w:r>
            <w:r>
              <w:rPr>
                <w:spacing w:val="-11"/>
              </w:rPr>
              <w:t xml:space="preserve"> </w:t>
            </w:r>
            <w:r>
              <w:rPr>
                <w:spacing w:val="-6"/>
              </w:rPr>
              <w:t xml:space="preserve">number </w:t>
            </w:r>
            <w:r>
              <w:rPr>
                <w:spacing w:val="-2"/>
              </w:rPr>
              <w:t>E-mail:</w:t>
            </w:r>
          </w:p>
        </w:tc>
        <w:tc>
          <w:tcPr>
            <w:tcW w:w="5452" w:type="dxa"/>
            <w:gridSpan w:val="5"/>
            <w:tcBorders>
              <w:top w:val="single" w:sz="2" w:space="0" w:color="000000"/>
              <w:left w:val="single" w:sz="2" w:space="0" w:color="000000"/>
              <w:bottom w:val="single" w:sz="2" w:space="0" w:color="000000"/>
              <w:right w:val="single" w:sz="2" w:space="0" w:color="000000"/>
            </w:tcBorders>
          </w:tcPr>
          <w:p w14:paraId="6CF3A4EC" w14:textId="77777777" w:rsidR="00BB77C0" w:rsidRDefault="00BB77C0">
            <w:pPr>
              <w:pStyle w:val="TableParagraph"/>
            </w:pPr>
          </w:p>
        </w:tc>
      </w:tr>
    </w:tbl>
    <w:p w14:paraId="6C168DCD" w14:textId="77777777" w:rsidR="00BB77C0" w:rsidRDefault="00BB77C0">
      <w:pPr>
        <w:pStyle w:val="BodyText"/>
        <w:rPr>
          <w:i/>
          <w:sz w:val="20"/>
        </w:rPr>
      </w:pPr>
    </w:p>
    <w:p w14:paraId="384AE16B" w14:textId="77777777" w:rsidR="00BB77C0" w:rsidRDefault="00BB77C0">
      <w:pPr>
        <w:pStyle w:val="BodyText"/>
        <w:rPr>
          <w:i/>
          <w:sz w:val="20"/>
        </w:rPr>
      </w:pPr>
    </w:p>
    <w:p w14:paraId="2BB687BC" w14:textId="77777777" w:rsidR="00BB77C0" w:rsidRDefault="00BB77C0">
      <w:pPr>
        <w:pStyle w:val="BodyText"/>
        <w:rPr>
          <w:i/>
          <w:sz w:val="20"/>
        </w:rPr>
      </w:pPr>
    </w:p>
    <w:p w14:paraId="1482042D" w14:textId="77777777" w:rsidR="00BB77C0" w:rsidRDefault="00BB77C0">
      <w:pPr>
        <w:pStyle w:val="BodyText"/>
        <w:rPr>
          <w:i/>
          <w:sz w:val="20"/>
        </w:rPr>
      </w:pPr>
    </w:p>
    <w:p w14:paraId="5AE6F3C2" w14:textId="77777777" w:rsidR="00BB77C0" w:rsidRDefault="00BB77C0">
      <w:pPr>
        <w:pStyle w:val="BodyText"/>
        <w:rPr>
          <w:i/>
          <w:sz w:val="20"/>
        </w:rPr>
      </w:pPr>
    </w:p>
    <w:p w14:paraId="69224944" w14:textId="77777777" w:rsidR="00BB77C0" w:rsidRDefault="00BB77C0">
      <w:pPr>
        <w:pStyle w:val="BodyText"/>
        <w:rPr>
          <w:i/>
          <w:sz w:val="20"/>
        </w:rPr>
      </w:pPr>
    </w:p>
    <w:p w14:paraId="6361B634" w14:textId="77777777" w:rsidR="00BB77C0" w:rsidRDefault="00BB77C0">
      <w:pPr>
        <w:pStyle w:val="BodyText"/>
        <w:rPr>
          <w:i/>
          <w:sz w:val="20"/>
        </w:rPr>
      </w:pPr>
    </w:p>
    <w:p w14:paraId="3697D670" w14:textId="77777777" w:rsidR="00BB77C0" w:rsidRDefault="00BB77C0">
      <w:pPr>
        <w:pStyle w:val="BodyText"/>
        <w:rPr>
          <w:i/>
          <w:sz w:val="20"/>
        </w:rPr>
      </w:pPr>
    </w:p>
    <w:p w14:paraId="7A0A4F97" w14:textId="77777777" w:rsidR="00BB77C0" w:rsidRDefault="00BB77C0">
      <w:pPr>
        <w:pStyle w:val="BodyText"/>
        <w:rPr>
          <w:i/>
          <w:sz w:val="20"/>
        </w:rPr>
      </w:pPr>
    </w:p>
    <w:p w14:paraId="789C49F0" w14:textId="77777777" w:rsidR="00BB77C0" w:rsidRDefault="00BB77C0">
      <w:pPr>
        <w:pStyle w:val="BodyText"/>
        <w:rPr>
          <w:i/>
          <w:sz w:val="20"/>
        </w:rPr>
      </w:pPr>
    </w:p>
    <w:p w14:paraId="1ECD8695" w14:textId="77777777" w:rsidR="00BB77C0" w:rsidRDefault="00BB77C0">
      <w:pPr>
        <w:pStyle w:val="BodyText"/>
        <w:rPr>
          <w:i/>
          <w:sz w:val="20"/>
        </w:rPr>
      </w:pPr>
    </w:p>
    <w:p w14:paraId="4DB0C87C" w14:textId="77777777" w:rsidR="00BB77C0" w:rsidRDefault="00BB77C0">
      <w:pPr>
        <w:pStyle w:val="BodyText"/>
        <w:rPr>
          <w:i/>
          <w:sz w:val="20"/>
        </w:rPr>
      </w:pPr>
    </w:p>
    <w:p w14:paraId="12082C65" w14:textId="77777777" w:rsidR="00BB77C0" w:rsidRDefault="00BB77C0">
      <w:pPr>
        <w:pStyle w:val="BodyText"/>
        <w:rPr>
          <w:i/>
          <w:sz w:val="20"/>
        </w:rPr>
      </w:pPr>
    </w:p>
    <w:p w14:paraId="5E9BCF05" w14:textId="77777777" w:rsidR="00BB77C0" w:rsidRDefault="00BB77C0">
      <w:pPr>
        <w:pStyle w:val="BodyText"/>
        <w:rPr>
          <w:i/>
          <w:sz w:val="20"/>
        </w:rPr>
      </w:pPr>
    </w:p>
    <w:p w14:paraId="1A61D2BA" w14:textId="77777777" w:rsidR="00BB77C0" w:rsidRDefault="00BB77C0">
      <w:pPr>
        <w:pStyle w:val="BodyText"/>
        <w:rPr>
          <w:i/>
          <w:sz w:val="20"/>
        </w:rPr>
      </w:pPr>
    </w:p>
    <w:p w14:paraId="35DDF03B" w14:textId="77777777" w:rsidR="00BB77C0" w:rsidRDefault="00BB77C0">
      <w:pPr>
        <w:pStyle w:val="BodyText"/>
        <w:rPr>
          <w:i/>
          <w:sz w:val="20"/>
        </w:rPr>
      </w:pPr>
    </w:p>
    <w:p w14:paraId="1E55C5ED" w14:textId="77777777" w:rsidR="00BB77C0" w:rsidRDefault="00BB77C0">
      <w:pPr>
        <w:pStyle w:val="BodyText"/>
        <w:rPr>
          <w:i/>
          <w:sz w:val="20"/>
        </w:rPr>
      </w:pPr>
    </w:p>
    <w:p w14:paraId="5B96DB4E" w14:textId="77777777" w:rsidR="00BB77C0" w:rsidRDefault="00370BAA">
      <w:pPr>
        <w:pStyle w:val="BodyText"/>
        <w:spacing w:before="202"/>
        <w:rPr>
          <w:i/>
          <w:sz w:val="20"/>
        </w:rPr>
      </w:pPr>
      <w:r>
        <w:rPr>
          <w:i/>
          <w:noProof/>
          <w:sz w:val="20"/>
        </w:rPr>
        <mc:AlternateContent>
          <mc:Choice Requires="wps">
            <w:drawing>
              <wp:anchor distT="0" distB="0" distL="0" distR="0" simplePos="0" relativeHeight="487610368" behindDoc="1" locked="0" layoutInCell="1" allowOverlap="1" wp14:anchorId="234C600B" wp14:editId="440D4B74">
                <wp:simplePos x="0" y="0"/>
                <wp:positionH relativeFrom="page">
                  <wp:posOffset>457200</wp:posOffset>
                </wp:positionH>
                <wp:positionV relativeFrom="paragraph">
                  <wp:posOffset>290151</wp:posOffset>
                </wp:positionV>
                <wp:extent cx="1828800" cy="7620"/>
                <wp:effectExtent l="0" t="0" r="0" b="0"/>
                <wp:wrapTopAndBottom/>
                <wp:docPr id="189" name="Graphic 1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8CC266C" id="Graphic 189" o:spid="_x0000_s1026" style="position:absolute;margin-left:36pt;margin-top:22.85pt;width:2in;height:.6pt;z-index:-15706112;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" path="m1828800,l,,,7619r1828800,l1828800,xe" fillcolor="black" stroked="f">
                <v:path arrowok="t"/>
                <w10:wrap type="topAndBottom" anchorx="page"/>
              </v:shape>
            </w:pict>
          </mc:Fallback>
        </mc:AlternateContent>
      </w:r>
    </w:p>
    <w:p w14:paraId="456820BE" w14:textId="77777777" w:rsidR="00BB77C0" w:rsidRDefault="00370BAA">
      <w:pPr>
        <w:spacing w:before="90"/>
        <w:ind w:left="360"/>
        <w:rPr>
          <w:sz w:val="20"/>
        </w:rPr>
      </w:pPr>
      <w:bookmarkStart w:id="155" w:name="_bookmark62"/>
      <w:bookmarkEnd w:id="155"/>
      <w:r>
        <w:rPr>
          <w:sz w:val="20"/>
          <w:vertAlign w:val="superscript"/>
        </w:rPr>
        <w:t>2</w:t>
      </w:r>
      <w:r>
        <w:rPr>
          <w:spacing w:val="4"/>
          <w:sz w:val="20"/>
        </w:rPr>
        <w:t xml:space="preserve"> </w:t>
      </w:r>
      <w:r>
        <w:rPr>
          <w:sz w:val="20"/>
        </w:rPr>
        <w:t>If</w:t>
      </w:r>
      <w:r>
        <w:rPr>
          <w:spacing w:val="-7"/>
          <w:sz w:val="20"/>
        </w:rPr>
        <w:t xml:space="preserve"> </w:t>
      </w:r>
      <w:r>
        <w:rPr>
          <w:spacing w:val="-2"/>
          <w:sz w:val="20"/>
        </w:rPr>
        <w:t>applicable</w:t>
      </w:r>
    </w:p>
    <w:p w14:paraId="46BCF7F5" w14:textId="77777777" w:rsidR="00BB77C0" w:rsidRDefault="00BB77C0">
      <w:pPr>
        <w:rPr>
          <w:sz w:val="20"/>
        </w:rPr>
        <w:sectPr w:rsidR="00BB77C0">
          <w:pgSz w:w="11920" w:h="16850"/>
          <w:pgMar w:top="0" w:right="0" w:bottom="0" w:left="360" w:header="720" w:footer="720" w:gutter="0"/>
          <w:cols w:space="720"/>
        </w:sectPr>
      </w:pPr>
    </w:p>
    <w:p w14:paraId="5A815129" w14:textId="77777777" w:rsidR="00BB77C0" w:rsidRDefault="00370BAA">
      <w:pPr>
        <w:pStyle w:val="BodyText"/>
        <w:spacing w:before="64"/>
        <w:rPr>
          <w:sz w:val="20"/>
        </w:rPr>
      </w:pPr>
      <w:r>
        <w:rPr>
          <w:noProof/>
          <w:sz w:val="20"/>
        </w:rPr>
        <w:lastRenderedPageBreak/>
        <mc:AlternateContent>
          <mc:Choice Requires="wpg">
            <w:drawing>
              <wp:anchor distT="0" distB="0" distL="0" distR="0" simplePos="0" relativeHeight="15752704" behindDoc="0" locked="0" layoutInCell="1" allowOverlap="1" wp14:anchorId="4D148997" wp14:editId="27EF47A4">
                <wp:simplePos x="0" y="0"/>
                <wp:positionH relativeFrom="page">
                  <wp:posOffset>0</wp:posOffset>
                </wp:positionH>
                <wp:positionV relativeFrom="page">
                  <wp:posOffset>10234295</wp:posOffset>
                </wp:positionV>
                <wp:extent cx="7561580" cy="459105"/>
                <wp:effectExtent l="0" t="0" r="0" b="0"/>
                <wp:wrapNone/>
                <wp:docPr id="190" name="Group 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1580" cy="459105"/>
                          <a:chOff x="0" y="0"/>
                          <a:chExt cx="7561580" cy="459105"/>
                        </a:xfrm>
                      </wpg:grpSpPr>
                      <wps:wsp>
                        <wps:cNvPr id="191" name="Graphic 191"/>
                        <wps:cNvSpPr/>
                        <wps:spPr>
                          <a:xfrm>
                            <a:off x="6449059" y="5714"/>
                            <a:ext cx="1110615" cy="451484"/>
                          </a:xfrm>
                          <a:custGeom>
                            <a:avLst/>
                            <a:gdLst/>
                            <a:ahLst/>
                            <a:cxnLst/>
                            <a:rect l="l" t="t" r="r" b="b"/>
                            <a:pathLst>
                              <a:path w="1110615" h="451484">
                                <a:moveTo>
                                  <a:pt x="1110614" y="0"/>
                                </a:moveTo>
                                <a:lnTo>
                                  <a:pt x="0" y="0"/>
                                </a:lnTo>
                                <a:lnTo>
                                  <a:pt x="260349" y="451483"/>
                                </a:lnTo>
                                <a:lnTo>
                                  <a:pt x="1110614" y="451483"/>
                                </a:lnTo>
                                <a:lnTo>
                                  <a:pt x="1110614" y="0"/>
                                </a:lnTo>
                                <a:close/>
                              </a:path>
                            </a:pathLst>
                          </a:custGeom>
                          <a:solidFill>
                            <a:srgbClr val="FAD2C1"/>
                          </a:solidFill>
                        </wps:spPr>
                        <wps:bodyPr wrap="square" lIns="0" tIns="0" rIns="0" bIns="0" rtlCol="0">
                          <a:prstTxWarp prst="textNoShape">
                            <a:avLst/>
                          </a:prstTxWarp>
                          <a:noAutofit/>
                        </wps:bodyPr>
                      </wps:wsp>
                      <wps:wsp>
                        <wps:cNvPr id="192" name="Graphic 192"/>
                        <wps:cNvSpPr/>
                        <wps:spPr>
                          <a:xfrm>
                            <a:off x="6449059" y="5714"/>
                            <a:ext cx="1110615" cy="451484"/>
                          </a:xfrm>
                          <a:custGeom>
                            <a:avLst/>
                            <a:gdLst/>
                            <a:ahLst/>
                            <a:cxnLst/>
                            <a:rect l="l" t="t" r="r" b="b"/>
                            <a:pathLst>
                              <a:path w="1110615" h="451484">
                                <a:moveTo>
                                  <a:pt x="0" y="0"/>
                                </a:moveTo>
                                <a:lnTo>
                                  <a:pt x="1110614" y="0"/>
                                </a:lnTo>
                                <a:lnTo>
                                  <a:pt x="1110614" y="451483"/>
                                </a:lnTo>
                                <a:lnTo>
                                  <a:pt x="260349" y="451483"/>
                                </a:lnTo>
                                <a:lnTo>
                                  <a:pt x="0" y="0"/>
                                </a:lnTo>
                              </a:path>
                            </a:pathLst>
                          </a:custGeom>
                          <a:ln w="3051">
                            <a:solidFill>
                              <a:srgbClr val="FAD2C1"/>
                            </a:solidFill>
                            <a:prstDash val="solid"/>
                          </a:ln>
                        </wps:spPr>
                        <wps:bodyPr wrap="square" lIns="0" tIns="0" rIns="0" bIns="0" rtlCol="0">
                          <a:prstTxWarp prst="textNoShape">
                            <a:avLst/>
                          </a:prstTxWarp>
                          <a:noAutofit/>
                        </wps:bodyPr>
                      </wps:wsp>
                      <wps:wsp>
                        <wps:cNvPr id="193" name="Graphic 193"/>
                        <wps:cNvSpPr/>
                        <wps:spPr>
                          <a:xfrm>
                            <a:off x="0" y="6350"/>
                            <a:ext cx="7560309" cy="1270"/>
                          </a:xfrm>
                          <a:custGeom>
                            <a:avLst/>
                            <a:gdLst/>
                            <a:ahLst/>
                            <a:cxnLst/>
                            <a:rect l="l" t="t" r="r" b="b"/>
                            <a:pathLst>
                              <a:path w="7560309">
                                <a:moveTo>
                                  <a:pt x="0" y="0"/>
                                </a:moveTo>
                                <a:lnTo>
                                  <a:pt x="7560309" y="0"/>
                                </a:lnTo>
                              </a:path>
                            </a:pathLst>
                          </a:custGeom>
                          <a:ln w="12700">
                            <a:solidFill>
                              <a:srgbClr val="FAD2C1"/>
                            </a:solidFill>
                            <a:prstDash val="solid"/>
                          </a:ln>
                        </wps:spPr>
                        <wps:bodyPr wrap="square" lIns="0" tIns="0" rIns="0" bIns="0" rtlCol="0">
                          <a:prstTxWarp prst="textNoShape">
                            <a:avLst/>
                          </a:prstTxWarp>
                          <a:noAutofit/>
                        </wps:bodyPr>
                      </wps:wsp>
                      <wps:wsp>
                        <wps:cNvPr id="194" name="Textbox 194"/>
                        <wps:cNvSpPr txBox="1"/>
                        <wps:spPr>
                          <a:xfrm>
                            <a:off x="6882130" y="37491"/>
                            <a:ext cx="147320" cy="155575"/>
                          </a:xfrm>
                          <a:prstGeom prst="rect">
                            <a:avLst/>
                          </a:prstGeom>
                        </wps:spPr>
                        <wps:txbx>
                          <w:txbxContent>
                            <w:p w14:paraId="1BDBF44B" w14:textId="77777777" w:rsidR="00BB77C0" w:rsidRDefault="00370BAA">
                              <w:pPr>
                                <w:spacing w:line="244" w:lineRule="exact"/>
                              </w:pPr>
                              <w:r>
                                <w:rPr>
                                  <w:spacing w:val="-5"/>
                                </w:rPr>
                                <w:t>61</w:t>
                              </w:r>
                            </w:p>
                          </w:txbxContent>
                        </wps:txbx>
                        <wps:bodyPr wrap="square" lIns="0" tIns="0" rIns="0" bIns="0" rtlCol="0">
                          <a:noAutofit/>
                        </wps:bodyPr>
                      </wps:wsp>
                    </wpg:wgp>
                  </a:graphicData>
                </a:graphic>
              </wp:anchor>
            </w:drawing>
          </mc:Choice>
          <mc:Fallback>
            <w:pict>
              <v:group w14:anchorId="4D148997" id="Group 190" o:spid="_x0000_s1106" style="position:absolute;margin-left:0;margin-top:805.85pt;width:595.4pt;height:36.15pt;z-index:15752704;mso-wrap-distance-left:0;mso-wrap-distance-right:0;mso-position-horizontal-relative:page;mso-position-vertical-relative:page" coordsize="75615,4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">
                <v:shape id="Graphic 191" o:spid="_x0000_s1107" style="position:absolute;left:64490;top:57;width:11106;height:4514;visibility:visible;mso-wrap-style:square;v-text-anchor:top" coordsize="1110615,4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" path="m1110614,l,,260349,451483r850265,l1110614,xe" fillcolor="#fad2c1" stroked="f">
                  <v:path arrowok="t"/>
                </v:shape>
                <v:shape id="Graphic 192" o:spid="_x0000_s1108" style="position:absolute;left:64490;top:57;width:11106;height:4514;visibility:visible;mso-wrap-style:square;v-text-anchor:top" coordsize="1110615,4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" path="m,l1110614,r,451483l260349,451483,,e" filled="f" strokecolor="#fad2c1" strokeweight=".08475mm">
                  <v:path arrowok="t"/>
                </v:shape>
                <v:shape id="Graphic 193" o:spid="_x0000_s1109" style="position:absolute;top:63;width:75603;height:13;visibility:visible;mso-wrap-style:square;v-text-anchor:top" coordsize="756030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" path="m,l7560309,e" filled="f" strokecolor="#fad2c1" strokeweight="1pt">
                  <v:path arrowok="t"/>
                </v:shape>
                <v:shape id="Textbox 194" o:spid="_x0000_s1110" type="#_x0000_t202" style="position:absolute;left:68821;top:374;width:1473;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" filled="f" stroked="f">
                  <v:textbox inset="0,0,0,0">
                    <w:txbxContent>
                      <w:p w14:paraId="1BDBF44B" w14:textId="77777777" w:rsidR="00BB77C0" w:rsidRDefault="00370BAA">
                        <w:pPr>
                          <w:spacing w:line="244" w:lineRule="exact"/>
                        </w:pPr>
                        <w:r>
                          <w:rPr>
                            <w:spacing w:val="-5"/>
                          </w:rPr>
                          <w:t>61</w:t>
                        </w:r>
                      </w:p>
                    </w:txbxContent>
                  </v:textbox>
                </v:shape>
                <w10:wrap anchorx="page" anchory="page"/>
              </v:group>
            </w:pict>
          </mc:Fallback>
        </mc:AlternateContent>
      </w:r>
      <w:r>
        <w:rPr>
          <w:noProof/>
          <w:sz w:val="20"/>
        </w:rPr>
        <mc:AlternateContent>
          <mc:Choice Requires="wpg">
            <w:drawing>
              <wp:anchor distT="0" distB="0" distL="0" distR="0" simplePos="0" relativeHeight="484022272" behindDoc="1" locked="0" layoutInCell="1" allowOverlap="1" wp14:anchorId="219C13A1" wp14:editId="7BA9D20A">
                <wp:simplePos x="0" y="0"/>
                <wp:positionH relativeFrom="page">
                  <wp:posOffset>0</wp:posOffset>
                </wp:positionH>
                <wp:positionV relativeFrom="page">
                  <wp:posOffset>0</wp:posOffset>
                </wp:positionV>
                <wp:extent cx="7559675" cy="228600"/>
                <wp:effectExtent l="0" t="0" r="0" b="0"/>
                <wp:wrapNone/>
                <wp:docPr id="195" name="Group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675" cy="228600"/>
                          <a:chOff x="0" y="0"/>
                          <a:chExt cx="7559675" cy="228600"/>
                        </a:xfrm>
                      </wpg:grpSpPr>
                      <wps:wsp>
                        <wps:cNvPr id="196" name="Graphic 196"/>
                        <wps:cNvSpPr/>
                        <wps:spPr>
                          <a:xfrm>
                            <a:off x="848283" y="0"/>
                            <a:ext cx="6711950" cy="228600"/>
                          </a:xfrm>
                          <a:custGeom>
                            <a:avLst/>
                            <a:gdLst/>
                            <a:ahLst/>
                            <a:cxnLst/>
                            <a:rect l="l" t="t" r="r" b="b"/>
                            <a:pathLst>
                              <a:path w="6711950" h="228600">
                                <a:moveTo>
                                  <a:pt x="6711391" y="0"/>
                                </a:moveTo>
                                <a:lnTo>
                                  <a:pt x="0" y="0"/>
                                </a:lnTo>
                                <a:lnTo>
                                  <a:pt x="184137" y="228600"/>
                                </a:lnTo>
                                <a:lnTo>
                                  <a:pt x="6711391" y="223520"/>
                                </a:lnTo>
                                <a:lnTo>
                                  <a:pt x="6711391" y="0"/>
                                </a:lnTo>
                                <a:close/>
                              </a:path>
                            </a:pathLst>
                          </a:custGeom>
                          <a:solidFill>
                            <a:srgbClr val="E6E7E8"/>
                          </a:solidFill>
                        </wps:spPr>
                        <wps:bodyPr wrap="square" lIns="0" tIns="0" rIns="0" bIns="0" rtlCol="0">
                          <a:prstTxWarp prst="textNoShape">
                            <a:avLst/>
                          </a:prstTxWarp>
                          <a:noAutofit/>
                        </wps:bodyPr>
                      </wps:wsp>
                      <wps:wsp>
                        <wps:cNvPr id="197" name="Graphic 197"/>
                        <wps:cNvSpPr/>
                        <wps:spPr>
                          <a:xfrm>
                            <a:off x="0" y="0"/>
                            <a:ext cx="655955" cy="228600"/>
                          </a:xfrm>
                          <a:custGeom>
                            <a:avLst/>
                            <a:gdLst/>
                            <a:ahLst/>
                            <a:cxnLst/>
                            <a:rect l="l" t="t" r="r" b="b"/>
                            <a:pathLst>
                              <a:path w="655955" h="228600">
                                <a:moveTo>
                                  <a:pt x="530174" y="0"/>
                                </a:moveTo>
                                <a:lnTo>
                                  <a:pt x="0" y="0"/>
                                </a:lnTo>
                                <a:lnTo>
                                  <a:pt x="0" y="228600"/>
                                </a:lnTo>
                                <a:lnTo>
                                  <a:pt x="655904" y="228600"/>
                                </a:lnTo>
                                <a:lnTo>
                                  <a:pt x="530174" y="0"/>
                                </a:lnTo>
                                <a:close/>
                              </a:path>
                            </a:pathLst>
                          </a:custGeom>
                          <a:solidFill>
                            <a:srgbClr val="00A650"/>
                          </a:solidFill>
                        </wps:spPr>
                        <wps:bodyPr wrap="square" lIns="0" tIns="0" rIns="0" bIns="0" rtlCol="0">
                          <a:prstTxWarp prst="textNoShape">
                            <a:avLst/>
                          </a:prstTxWarp>
                          <a:noAutofit/>
                        </wps:bodyPr>
                      </wps:wsp>
                      <wps:wsp>
                        <wps:cNvPr id="198" name="Graphic 198"/>
                        <wps:cNvSpPr/>
                        <wps:spPr>
                          <a:xfrm>
                            <a:off x="554304" y="0"/>
                            <a:ext cx="329565" cy="228600"/>
                          </a:xfrm>
                          <a:custGeom>
                            <a:avLst/>
                            <a:gdLst/>
                            <a:ahLst/>
                            <a:cxnLst/>
                            <a:rect l="l" t="t" r="r" b="b"/>
                            <a:pathLst>
                              <a:path w="329565" h="228600">
                                <a:moveTo>
                                  <a:pt x="203822" y="0"/>
                                </a:moveTo>
                                <a:lnTo>
                                  <a:pt x="0" y="0"/>
                                </a:lnTo>
                                <a:lnTo>
                                  <a:pt x="128904" y="228600"/>
                                </a:lnTo>
                                <a:lnTo>
                                  <a:pt x="329539" y="228600"/>
                                </a:lnTo>
                                <a:lnTo>
                                  <a:pt x="203822" y="0"/>
                                </a:lnTo>
                                <a:close/>
                              </a:path>
                            </a:pathLst>
                          </a:custGeom>
                          <a:solidFill>
                            <a:srgbClr val="EB1C22"/>
                          </a:solidFill>
                        </wps:spPr>
                        <wps:bodyPr wrap="square" lIns="0" tIns="0" rIns="0" bIns="0" rtlCol="0">
                          <a:prstTxWarp prst="textNoShape">
                            <a:avLst/>
                          </a:prstTxWarp>
                          <a:noAutofit/>
                        </wps:bodyPr>
                      </wps:wsp>
                      <wps:wsp>
                        <wps:cNvPr id="199" name="Graphic 199"/>
                        <wps:cNvSpPr/>
                        <wps:spPr>
                          <a:xfrm>
                            <a:off x="783526" y="0"/>
                            <a:ext cx="329565" cy="228600"/>
                          </a:xfrm>
                          <a:custGeom>
                            <a:avLst/>
                            <a:gdLst/>
                            <a:ahLst/>
                            <a:cxnLst/>
                            <a:rect l="l" t="t" r="r" b="b"/>
                            <a:pathLst>
                              <a:path w="329565" h="228600">
                                <a:moveTo>
                                  <a:pt x="203822" y="0"/>
                                </a:moveTo>
                                <a:lnTo>
                                  <a:pt x="0" y="0"/>
                                </a:lnTo>
                                <a:lnTo>
                                  <a:pt x="128879" y="228600"/>
                                </a:lnTo>
                                <a:lnTo>
                                  <a:pt x="329539" y="228600"/>
                                </a:lnTo>
                                <a:lnTo>
                                  <a:pt x="203822" y="0"/>
                                </a:lnTo>
                                <a:close/>
                              </a:path>
                            </a:pathLst>
                          </a:custGeom>
                          <a:solidFill>
                            <a:srgbClr val="A7A9AC"/>
                          </a:solidFill>
                        </wps:spPr>
                        <wps:bodyPr wrap="square" lIns="0" tIns="0" rIns="0" bIns="0" rtlCol="0">
                          <a:prstTxWarp prst="textNoShape">
                            <a:avLst/>
                          </a:prstTxWarp>
                          <a:noAutofit/>
                        </wps:bodyPr>
                      </wps:wsp>
                    </wpg:wgp>
                  </a:graphicData>
                </a:graphic>
              </wp:anchor>
            </w:drawing>
          </mc:Choice>
          <mc:Fallback>
            <w:pict>
              <v:group w14:anchorId="5D16C8A9" id="Group 195" o:spid="_x0000_s1026" style="position:absolute;margin-left:0;margin-top:0;width:595.25pt;height:18pt;z-index:-19294208;mso-wrap-distance-left:0;mso-wrap-distance-right:0;mso-position-horizontal-relative:page;mso-position-vertical-relative:page" coordsize="75596,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">
                <v:shape id="Graphic 196" o:spid="_x0000_s1027" style="position:absolute;left:8482;width:67120;height:2286;visibility:visible;mso-wrap-style:square;v-text-anchor:top" coordsize="67119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" path="m6711391,l,,184137,228600r6527254,-5080l6711391,xe" fillcolor="#e6e7e8" stroked="f">
                  <v:path arrowok="t"/>
                </v:shape>
                <v:shape id="Graphic 197" o:spid="_x0000_s1028" style="position:absolute;width:6559;height:2286;visibility:visible;mso-wrap-style:square;v-text-anchor:top" coordsize="65595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" path="m530174,l,,,228600r655904,l530174,xe" fillcolor="#00a650" stroked="f">
                  <v:path arrowok="t"/>
                </v:shape>
                <v:shape id="Graphic 198" o:spid="_x0000_s1029" style="position:absolute;left:5543;width:3295;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" path="m203822,l,,128904,228600r200635,l203822,xe" fillcolor="#eb1c22" stroked="f">
                  <v:path arrowok="t"/>
                </v:shape>
                <v:shape id="Graphic 199" o:spid="_x0000_s1030" style="position:absolute;left:7835;width:3295;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" path="m203822,l,,128879,228600r200660,l203822,xe" fillcolor="#a7a9ac" stroked="f">
                  <v:path arrowok="t"/>
                </v:shape>
                <w10:wrap anchorx="page" anchory="page"/>
              </v:group>
            </w:pict>
          </mc:Fallback>
        </mc:AlternateContent>
      </w:r>
    </w:p>
    <w:tbl>
      <w:tblPr>
        <w:tblW w:w="0" w:type="auto"/>
        <w:tblInd w:w="3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875"/>
        <w:gridCol w:w="5402"/>
      </w:tblGrid>
      <w:tr w:rsidR="00BB77C0" w14:paraId="2B26B538" w14:textId="77777777">
        <w:trPr>
          <w:trHeight w:val="792"/>
        </w:trPr>
        <w:tc>
          <w:tcPr>
            <w:tcW w:w="3875" w:type="dxa"/>
          </w:tcPr>
          <w:p w14:paraId="2E1385F6" w14:textId="77777777" w:rsidR="00BB77C0" w:rsidRDefault="00BB77C0">
            <w:pPr>
              <w:pStyle w:val="TableParagraph"/>
            </w:pPr>
          </w:p>
        </w:tc>
        <w:tc>
          <w:tcPr>
            <w:tcW w:w="5402" w:type="dxa"/>
          </w:tcPr>
          <w:p w14:paraId="3E06EFB5" w14:textId="77777777" w:rsidR="00BB77C0" w:rsidRDefault="00370BAA">
            <w:pPr>
              <w:pStyle w:val="TableParagraph"/>
              <w:spacing w:line="244" w:lineRule="exact"/>
              <w:ind w:left="2"/>
              <w:rPr>
                <w:b/>
              </w:rPr>
            </w:pPr>
            <w:r>
              <w:rPr>
                <w:b/>
                <w:spacing w:val="-2"/>
              </w:rPr>
              <w:t>Information</w:t>
            </w:r>
          </w:p>
        </w:tc>
      </w:tr>
      <w:tr w:rsidR="00BB77C0" w14:paraId="3A0C3B4E" w14:textId="77777777">
        <w:trPr>
          <w:trHeight w:val="873"/>
        </w:trPr>
        <w:tc>
          <w:tcPr>
            <w:tcW w:w="3875" w:type="dxa"/>
          </w:tcPr>
          <w:p w14:paraId="0702DD3E" w14:textId="77777777" w:rsidR="00BB77C0" w:rsidRDefault="00370BAA">
            <w:pPr>
              <w:pStyle w:val="TableParagraph"/>
              <w:spacing w:line="242" w:lineRule="auto"/>
              <w:ind w:left="7" w:right="54"/>
            </w:pPr>
            <w:r>
              <w:t xml:space="preserve">Description of the key activities in </w:t>
            </w:r>
            <w:r>
              <w:rPr>
                <w:spacing w:val="-4"/>
              </w:rPr>
              <w:t>accordance</w:t>
            </w:r>
            <w:r>
              <w:rPr>
                <w:spacing w:val="-14"/>
              </w:rPr>
              <w:t xml:space="preserve"> </w:t>
            </w:r>
            <w:r>
              <w:rPr>
                <w:spacing w:val="-4"/>
              </w:rPr>
              <w:t>with</w:t>
            </w:r>
            <w:r>
              <w:rPr>
                <w:spacing w:val="-16"/>
              </w:rPr>
              <w:t xml:space="preserve"> </w:t>
            </w:r>
            <w:r>
              <w:rPr>
                <w:spacing w:val="-4"/>
              </w:rPr>
              <w:t>Sub-Factor</w:t>
            </w:r>
            <w:r>
              <w:rPr>
                <w:spacing w:val="-10"/>
              </w:rPr>
              <w:t xml:space="preserve"> </w:t>
            </w:r>
            <w:r>
              <w:rPr>
                <w:spacing w:val="-4"/>
              </w:rPr>
              <w:t>4.2(b)</w:t>
            </w:r>
            <w:r>
              <w:rPr>
                <w:spacing w:val="-14"/>
              </w:rPr>
              <w:t xml:space="preserve"> </w:t>
            </w:r>
            <w:r>
              <w:rPr>
                <w:spacing w:val="-4"/>
              </w:rPr>
              <w:t>of</w:t>
            </w:r>
            <w:r>
              <w:rPr>
                <w:spacing w:val="-14"/>
              </w:rPr>
              <w:t xml:space="preserve"> </w:t>
            </w:r>
            <w:r>
              <w:rPr>
                <w:spacing w:val="-4"/>
              </w:rPr>
              <w:t>Section III:</w:t>
            </w:r>
          </w:p>
        </w:tc>
        <w:tc>
          <w:tcPr>
            <w:tcW w:w="5402" w:type="dxa"/>
          </w:tcPr>
          <w:p w14:paraId="13EE5A55" w14:textId="77777777" w:rsidR="00BB77C0" w:rsidRDefault="00BB77C0">
            <w:pPr>
              <w:pStyle w:val="TableParagraph"/>
            </w:pPr>
          </w:p>
        </w:tc>
      </w:tr>
      <w:tr w:rsidR="00BB77C0" w14:paraId="528652E6" w14:textId="77777777">
        <w:trPr>
          <w:trHeight w:val="705"/>
        </w:trPr>
        <w:tc>
          <w:tcPr>
            <w:tcW w:w="3875" w:type="dxa"/>
          </w:tcPr>
          <w:p w14:paraId="024C03AB" w14:textId="77777777" w:rsidR="00BB77C0" w:rsidRDefault="00BB77C0">
            <w:pPr>
              <w:pStyle w:val="TableParagraph"/>
            </w:pPr>
          </w:p>
        </w:tc>
        <w:tc>
          <w:tcPr>
            <w:tcW w:w="5402" w:type="dxa"/>
          </w:tcPr>
          <w:p w14:paraId="393572EA" w14:textId="77777777" w:rsidR="00BB77C0" w:rsidRDefault="00BB77C0">
            <w:pPr>
              <w:pStyle w:val="TableParagraph"/>
            </w:pPr>
          </w:p>
        </w:tc>
      </w:tr>
      <w:tr w:rsidR="00BB77C0" w14:paraId="68A242FF" w14:textId="77777777">
        <w:trPr>
          <w:trHeight w:val="705"/>
        </w:trPr>
        <w:tc>
          <w:tcPr>
            <w:tcW w:w="3875" w:type="dxa"/>
          </w:tcPr>
          <w:p w14:paraId="062734E0" w14:textId="77777777" w:rsidR="00BB77C0" w:rsidRDefault="00BB77C0">
            <w:pPr>
              <w:pStyle w:val="TableParagraph"/>
            </w:pPr>
          </w:p>
        </w:tc>
        <w:tc>
          <w:tcPr>
            <w:tcW w:w="5402" w:type="dxa"/>
          </w:tcPr>
          <w:p w14:paraId="29241765" w14:textId="77777777" w:rsidR="00BB77C0" w:rsidRDefault="00BB77C0">
            <w:pPr>
              <w:pStyle w:val="TableParagraph"/>
            </w:pPr>
          </w:p>
        </w:tc>
      </w:tr>
      <w:tr w:rsidR="00BB77C0" w14:paraId="332559B3" w14:textId="77777777">
        <w:trPr>
          <w:trHeight w:val="700"/>
        </w:trPr>
        <w:tc>
          <w:tcPr>
            <w:tcW w:w="3875" w:type="dxa"/>
          </w:tcPr>
          <w:p w14:paraId="33F13184" w14:textId="77777777" w:rsidR="00BB77C0" w:rsidRDefault="00BB77C0">
            <w:pPr>
              <w:pStyle w:val="TableParagraph"/>
            </w:pPr>
          </w:p>
        </w:tc>
        <w:tc>
          <w:tcPr>
            <w:tcW w:w="5402" w:type="dxa"/>
          </w:tcPr>
          <w:p w14:paraId="4705589D" w14:textId="77777777" w:rsidR="00BB77C0" w:rsidRDefault="00BB77C0">
            <w:pPr>
              <w:pStyle w:val="TableParagraph"/>
            </w:pPr>
          </w:p>
        </w:tc>
      </w:tr>
      <w:tr w:rsidR="00BB77C0" w14:paraId="683E6A34" w14:textId="77777777">
        <w:trPr>
          <w:trHeight w:val="700"/>
        </w:trPr>
        <w:tc>
          <w:tcPr>
            <w:tcW w:w="3875" w:type="dxa"/>
          </w:tcPr>
          <w:p w14:paraId="3AEEF9A0" w14:textId="77777777" w:rsidR="00BB77C0" w:rsidRDefault="00BB77C0">
            <w:pPr>
              <w:pStyle w:val="TableParagraph"/>
            </w:pPr>
          </w:p>
        </w:tc>
        <w:tc>
          <w:tcPr>
            <w:tcW w:w="5402" w:type="dxa"/>
          </w:tcPr>
          <w:p w14:paraId="7CEB418B" w14:textId="77777777" w:rsidR="00BB77C0" w:rsidRDefault="00BB77C0">
            <w:pPr>
              <w:pStyle w:val="TableParagraph"/>
            </w:pPr>
          </w:p>
        </w:tc>
      </w:tr>
      <w:tr w:rsidR="00BB77C0" w14:paraId="673961B5" w14:textId="77777777">
        <w:trPr>
          <w:trHeight w:val="810"/>
        </w:trPr>
        <w:tc>
          <w:tcPr>
            <w:tcW w:w="3875" w:type="dxa"/>
          </w:tcPr>
          <w:p w14:paraId="3D7D3EB5" w14:textId="77777777" w:rsidR="00BB77C0" w:rsidRDefault="00BB77C0">
            <w:pPr>
              <w:pStyle w:val="TableParagraph"/>
            </w:pPr>
          </w:p>
        </w:tc>
        <w:tc>
          <w:tcPr>
            <w:tcW w:w="5402" w:type="dxa"/>
          </w:tcPr>
          <w:p w14:paraId="08DB7C3A" w14:textId="77777777" w:rsidR="00BB77C0" w:rsidRDefault="00BB77C0">
            <w:pPr>
              <w:pStyle w:val="TableParagraph"/>
            </w:pPr>
          </w:p>
        </w:tc>
      </w:tr>
    </w:tbl>
    <w:p w14:paraId="1F665624" w14:textId="77777777" w:rsidR="00BB77C0" w:rsidRDefault="00BB77C0">
      <w:pPr>
        <w:pStyle w:val="BodyText"/>
      </w:pPr>
    </w:p>
    <w:p w14:paraId="34036072" w14:textId="77777777" w:rsidR="00BB77C0" w:rsidRDefault="00BB77C0">
      <w:pPr>
        <w:pStyle w:val="BodyText"/>
        <w:spacing w:before="18"/>
      </w:pPr>
    </w:p>
    <w:p w14:paraId="0097C631" w14:textId="77777777" w:rsidR="00BB77C0" w:rsidRDefault="00370BAA">
      <w:pPr>
        <w:pStyle w:val="ListParagraph"/>
        <w:numPr>
          <w:ilvl w:val="0"/>
          <w:numId w:val="49"/>
        </w:numPr>
        <w:tabs>
          <w:tab w:val="left" w:pos="565"/>
        </w:tabs>
        <w:ind w:left="565" w:hanging="205"/>
      </w:pPr>
      <w:r>
        <w:rPr>
          <w:spacing w:val="-4"/>
        </w:rPr>
        <w:t>Activity</w:t>
      </w:r>
      <w:r>
        <w:rPr>
          <w:spacing w:val="-17"/>
        </w:rPr>
        <w:t xml:space="preserve"> </w:t>
      </w:r>
      <w:r>
        <w:rPr>
          <w:spacing w:val="-4"/>
        </w:rPr>
        <w:t>No.</w:t>
      </w:r>
      <w:r>
        <w:rPr>
          <w:spacing w:val="-8"/>
        </w:rPr>
        <w:t xml:space="preserve"> </w:t>
      </w:r>
      <w:r>
        <w:rPr>
          <w:spacing w:val="-5"/>
        </w:rPr>
        <w:t>Two</w:t>
      </w:r>
    </w:p>
    <w:p w14:paraId="599AF1EF" w14:textId="77777777" w:rsidR="00BB77C0" w:rsidRDefault="00370BAA">
      <w:pPr>
        <w:pStyle w:val="ListParagraph"/>
        <w:numPr>
          <w:ilvl w:val="0"/>
          <w:numId w:val="49"/>
        </w:numPr>
        <w:tabs>
          <w:tab w:val="left" w:pos="585"/>
        </w:tabs>
        <w:spacing w:before="2"/>
        <w:ind w:left="585" w:hanging="225"/>
        <w:rPr>
          <w:sz w:val="24"/>
        </w:rPr>
      </w:pPr>
      <w:r>
        <w:rPr>
          <w:spacing w:val="-2"/>
          <w:sz w:val="24"/>
        </w:rPr>
        <w:t>…………………</w:t>
      </w:r>
    </w:p>
    <w:p w14:paraId="28403724" w14:textId="77777777" w:rsidR="00BB77C0" w:rsidRDefault="00BB77C0">
      <w:pPr>
        <w:pStyle w:val="ListParagraph"/>
        <w:rPr>
          <w:sz w:val="24"/>
        </w:rPr>
        <w:sectPr w:rsidR="00BB77C0">
          <w:pgSz w:w="11920" w:h="16850"/>
          <w:pgMar w:top="0" w:right="0" w:bottom="0" w:left="360" w:header="720" w:footer="720" w:gutter="0"/>
          <w:cols w:space="720"/>
        </w:sectPr>
      </w:pPr>
    </w:p>
    <w:p w14:paraId="429032CD" w14:textId="77777777" w:rsidR="00BB77C0" w:rsidRDefault="00370BAA">
      <w:pPr>
        <w:pStyle w:val="BodyText"/>
      </w:pPr>
      <w:r>
        <w:rPr>
          <w:noProof/>
        </w:rPr>
        <w:lastRenderedPageBreak/>
        <mc:AlternateContent>
          <mc:Choice Requires="wpg">
            <w:drawing>
              <wp:anchor distT="0" distB="0" distL="0" distR="0" simplePos="0" relativeHeight="15753728" behindDoc="0" locked="0" layoutInCell="1" allowOverlap="1" wp14:anchorId="3CEBBF92" wp14:editId="3B211A48">
                <wp:simplePos x="0" y="0"/>
                <wp:positionH relativeFrom="page">
                  <wp:posOffset>0</wp:posOffset>
                </wp:positionH>
                <wp:positionV relativeFrom="page">
                  <wp:posOffset>10234295</wp:posOffset>
                </wp:positionV>
                <wp:extent cx="7561580" cy="459105"/>
                <wp:effectExtent l="0" t="0" r="0" b="0"/>
                <wp:wrapNone/>
                <wp:docPr id="200"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1580" cy="459105"/>
                          <a:chOff x="0" y="0"/>
                          <a:chExt cx="7561580" cy="459105"/>
                        </a:xfrm>
                      </wpg:grpSpPr>
                      <wps:wsp>
                        <wps:cNvPr id="201" name="Graphic 201"/>
                        <wps:cNvSpPr/>
                        <wps:spPr>
                          <a:xfrm>
                            <a:off x="6449059" y="5714"/>
                            <a:ext cx="1110615" cy="451484"/>
                          </a:xfrm>
                          <a:custGeom>
                            <a:avLst/>
                            <a:gdLst/>
                            <a:ahLst/>
                            <a:cxnLst/>
                            <a:rect l="l" t="t" r="r" b="b"/>
                            <a:pathLst>
                              <a:path w="1110615" h="451484">
                                <a:moveTo>
                                  <a:pt x="1110614" y="0"/>
                                </a:moveTo>
                                <a:lnTo>
                                  <a:pt x="0" y="0"/>
                                </a:lnTo>
                                <a:lnTo>
                                  <a:pt x="260349" y="451483"/>
                                </a:lnTo>
                                <a:lnTo>
                                  <a:pt x="1110614" y="451483"/>
                                </a:lnTo>
                                <a:lnTo>
                                  <a:pt x="1110614" y="0"/>
                                </a:lnTo>
                                <a:close/>
                              </a:path>
                            </a:pathLst>
                          </a:custGeom>
                          <a:solidFill>
                            <a:srgbClr val="FAD2C1"/>
                          </a:solidFill>
                        </wps:spPr>
                        <wps:bodyPr wrap="square" lIns="0" tIns="0" rIns="0" bIns="0" rtlCol="0">
                          <a:prstTxWarp prst="textNoShape">
                            <a:avLst/>
                          </a:prstTxWarp>
                          <a:noAutofit/>
                        </wps:bodyPr>
                      </wps:wsp>
                      <wps:wsp>
                        <wps:cNvPr id="202" name="Graphic 202"/>
                        <wps:cNvSpPr/>
                        <wps:spPr>
                          <a:xfrm>
                            <a:off x="6449059" y="5714"/>
                            <a:ext cx="1110615" cy="451484"/>
                          </a:xfrm>
                          <a:custGeom>
                            <a:avLst/>
                            <a:gdLst/>
                            <a:ahLst/>
                            <a:cxnLst/>
                            <a:rect l="l" t="t" r="r" b="b"/>
                            <a:pathLst>
                              <a:path w="1110615" h="451484">
                                <a:moveTo>
                                  <a:pt x="0" y="0"/>
                                </a:moveTo>
                                <a:lnTo>
                                  <a:pt x="1110614" y="0"/>
                                </a:lnTo>
                                <a:lnTo>
                                  <a:pt x="1110614" y="451483"/>
                                </a:lnTo>
                                <a:lnTo>
                                  <a:pt x="260349" y="451483"/>
                                </a:lnTo>
                                <a:lnTo>
                                  <a:pt x="0" y="0"/>
                                </a:lnTo>
                              </a:path>
                            </a:pathLst>
                          </a:custGeom>
                          <a:ln w="3051">
                            <a:solidFill>
                              <a:srgbClr val="FAD2C1"/>
                            </a:solidFill>
                            <a:prstDash val="solid"/>
                          </a:ln>
                        </wps:spPr>
                        <wps:bodyPr wrap="square" lIns="0" tIns="0" rIns="0" bIns="0" rtlCol="0">
                          <a:prstTxWarp prst="textNoShape">
                            <a:avLst/>
                          </a:prstTxWarp>
                          <a:noAutofit/>
                        </wps:bodyPr>
                      </wps:wsp>
                      <wps:wsp>
                        <wps:cNvPr id="203" name="Graphic 203"/>
                        <wps:cNvSpPr/>
                        <wps:spPr>
                          <a:xfrm>
                            <a:off x="0" y="6350"/>
                            <a:ext cx="7560309" cy="1270"/>
                          </a:xfrm>
                          <a:custGeom>
                            <a:avLst/>
                            <a:gdLst/>
                            <a:ahLst/>
                            <a:cxnLst/>
                            <a:rect l="l" t="t" r="r" b="b"/>
                            <a:pathLst>
                              <a:path w="7560309">
                                <a:moveTo>
                                  <a:pt x="0" y="0"/>
                                </a:moveTo>
                                <a:lnTo>
                                  <a:pt x="7560309" y="0"/>
                                </a:lnTo>
                              </a:path>
                            </a:pathLst>
                          </a:custGeom>
                          <a:ln w="12700">
                            <a:solidFill>
                              <a:srgbClr val="FAD2C1"/>
                            </a:solidFill>
                            <a:prstDash val="solid"/>
                          </a:ln>
                        </wps:spPr>
                        <wps:bodyPr wrap="square" lIns="0" tIns="0" rIns="0" bIns="0" rtlCol="0">
                          <a:prstTxWarp prst="textNoShape">
                            <a:avLst/>
                          </a:prstTxWarp>
                          <a:noAutofit/>
                        </wps:bodyPr>
                      </wps:wsp>
                      <wps:wsp>
                        <wps:cNvPr id="204" name="Textbox 204"/>
                        <wps:cNvSpPr txBox="1"/>
                        <wps:spPr>
                          <a:xfrm>
                            <a:off x="6882130" y="37491"/>
                            <a:ext cx="147320" cy="155575"/>
                          </a:xfrm>
                          <a:prstGeom prst="rect">
                            <a:avLst/>
                          </a:prstGeom>
                        </wps:spPr>
                        <wps:txbx>
                          <w:txbxContent>
                            <w:p w14:paraId="51D811C8" w14:textId="77777777" w:rsidR="00BB77C0" w:rsidRDefault="00370BAA">
                              <w:pPr>
                                <w:spacing w:line="244" w:lineRule="exact"/>
                              </w:pPr>
                              <w:r>
                                <w:rPr>
                                  <w:spacing w:val="-5"/>
                                </w:rPr>
                                <w:t>61</w:t>
                              </w:r>
                            </w:p>
                          </w:txbxContent>
                        </wps:txbx>
                        <wps:bodyPr wrap="square" lIns="0" tIns="0" rIns="0" bIns="0" rtlCol="0">
                          <a:noAutofit/>
                        </wps:bodyPr>
                      </wps:wsp>
                    </wpg:wgp>
                  </a:graphicData>
                </a:graphic>
              </wp:anchor>
            </w:drawing>
          </mc:Choice>
          <mc:Fallback>
            <w:pict>
              <v:group w14:anchorId="3CEBBF92" id="Group 200" o:spid="_x0000_s1111" style="position:absolute;margin-left:0;margin-top:805.85pt;width:595.4pt;height:36.15pt;z-index:15753728;mso-wrap-distance-left:0;mso-wrap-distance-right:0;mso-position-horizontal-relative:page;mso-position-vertical-relative:page" coordsize="75615,4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">
                <v:shape id="Graphic 201" o:spid="_x0000_s1112" style="position:absolute;left:64490;top:57;width:11106;height:4514;visibility:visible;mso-wrap-style:square;v-text-anchor:top" coordsize="1110615,4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" path="m1110614,l,,260349,451483r850265,l1110614,xe" fillcolor="#fad2c1" stroked="f">
                  <v:path arrowok="t"/>
                </v:shape>
                <v:shape id="Graphic 202" o:spid="_x0000_s1113" style="position:absolute;left:64490;top:57;width:11106;height:4514;visibility:visible;mso-wrap-style:square;v-text-anchor:top" coordsize="1110615,4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" path="m,l1110614,r,451483l260349,451483,,e" filled="f" strokecolor="#fad2c1" strokeweight=".08475mm">
                  <v:path arrowok="t"/>
                </v:shape>
                <v:shape id="Graphic 203" o:spid="_x0000_s1114" style="position:absolute;top:63;width:75603;height:13;visibility:visible;mso-wrap-style:square;v-text-anchor:top" coordsize="756030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" path="m,l7560309,e" filled="f" strokecolor="#fad2c1" strokeweight="1pt">
                  <v:path arrowok="t"/>
                </v:shape>
                <v:shape id="Textbox 204" o:spid="_x0000_s1115" type="#_x0000_t202" style="position:absolute;left:68821;top:374;width:1473;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" filled="f" stroked="f">
                  <v:textbox inset="0,0,0,0">
                    <w:txbxContent>
                      <w:p w14:paraId="51D811C8" w14:textId="77777777" w:rsidR="00BB77C0" w:rsidRDefault="00370BAA">
                        <w:pPr>
                          <w:spacing w:line="244" w:lineRule="exact"/>
                        </w:pPr>
                        <w:r>
                          <w:rPr>
                            <w:spacing w:val="-5"/>
                          </w:rPr>
                          <w:t>61</w:t>
                        </w:r>
                      </w:p>
                    </w:txbxContent>
                  </v:textbox>
                </v:shape>
                <w10:wrap anchorx="page" anchory="page"/>
              </v:group>
            </w:pict>
          </mc:Fallback>
        </mc:AlternateContent>
      </w:r>
      <w:r>
        <w:rPr>
          <w:noProof/>
        </w:rPr>
        <mc:AlternateContent>
          <mc:Choice Requires="wpg">
            <w:drawing>
              <wp:anchor distT="0" distB="0" distL="0" distR="0" simplePos="0" relativeHeight="15754240" behindDoc="0" locked="0" layoutInCell="1" allowOverlap="1" wp14:anchorId="7FFA189D" wp14:editId="388F44C8">
                <wp:simplePos x="0" y="0"/>
                <wp:positionH relativeFrom="page">
                  <wp:posOffset>0</wp:posOffset>
                </wp:positionH>
                <wp:positionV relativeFrom="page">
                  <wp:posOffset>0</wp:posOffset>
                </wp:positionV>
                <wp:extent cx="7559675" cy="228600"/>
                <wp:effectExtent l="0" t="0" r="0" b="0"/>
                <wp:wrapNone/>
                <wp:docPr id="205" name="Group 2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675" cy="228600"/>
                          <a:chOff x="0" y="0"/>
                          <a:chExt cx="7559675" cy="228600"/>
                        </a:xfrm>
                      </wpg:grpSpPr>
                      <wps:wsp>
                        <wps:cNvPr id="206" name="Graphic 206"/>
                        <wps:cNvSpPr/>
                        <wps:spPr>
                          <a:xfrm>
                            <a:off x="848283" y="0"/>
                            <a:ext cx="6711950" cy="228600"/>
                          </a:xfrm>
                          <a:custGeom>
                            <a:avLst/>
                            <a:gdLst/>
                            <a:ahLst/>
                            <a:cxnLst/>
                            <a:rect l="l" t="t" r="r" b="b"/>
                            <a:pathLst>
                              <a:path w="6711950" h="228600">
                                <a:moveTo>
                                  <a:pt x="6711391" y="0"/>
                                </a:moveTo>
                                <a:lnTo>
                                  <a:pt x="0" y="0"/>
                                </a:lnTo>
                                <a:lnTo>
                                  <a:pt x="184137" y="228600"/>
                                </a:lnTo>
                                <a:lnTo>
                                  <a:pt x="6711391" y="223520"/>
                                </a:lnTo>
                                <a:lnTo>
                                  <a:pt x="6711391" y="0"/>
                                </a:lnTo>
                                <a:close/>
                              </a:path>
                            </a:pathLst>
                          </a:custGeom>
                          <a:solidFill>
                            <a:srgbClr val="E6E7E8"/>
                          </a:solidFill>
                        </wps:spPr>
                        <wps:bodyPr wrap="square" lIns="0" tIns="0" rIns="0" bIns="0" rtlCol="0">
                          <a:prstTxWarp prst="textNoShape">
                            <a:avLst/>
                          </a:prstTxWarp>
                          <a:noAutofit/>
                        </wps:bodyPr>
                      </wps:wsp>
                      <wps:wsp>
                        <wps:cNvPr id="207" name="Graphic 207"/>
                        <wps:cNvSpPr/>
                        <wps:spPr>
                          <a:xfrm>
                            <a:off x="0" y="0"/>
                            <a:ext cx="655955" cy="228600"/>
                          </a:xfrm>
                          <a:custGeom>
                            <a:avLst/>
                            <a:gdLst/>
                            <a:ahLst/>
                            <a:cxnLst/>
                            <a:rect l="l" t="t" r="r" b="b"/>
                            <a:pathLst>
                              <a:path w="655955" h="228600">
                                <a:moveTo>
                                  <a:pt x="530174" y="0"/>
                                </a:moveTo>
                                <a:lnTo>
                                  <a:pt x="0" y="0"/>
                                </a:lnTo>
                                <a:lnTo>
                                  <a:pt x="0" y="228600"/>
                                </a:lnTo>
                                <a:lnTo>
                                  <a:pt x="655904" y="228600"/>
                                </a:lnTo>
                                <a:lnTo>
                                  <a:pt x="530174" y="0"/>
                                </a:lnTo>
                                <a:close/>
                              </a:path>
                            </a:pathLst>
                          </a:custGeom>
                          <a:solidFill>
                            <a:srgbClr val="00A650"/>
                          </a:solidFill>
                        </wps:spPr>
                        <wps:bodyPr wrap="square" lIns="0" tIns="0" rIns="0" bIns="0" rtlCol="0">
                          <a:prstTxWarp prst="textNoShape">
                            <a:avLst/>
                          </a:prstTxWarp>
                          <a:noAutofit/>
                        </wps:bodyPr>
                      </wps:wsp>
                      <wps:wsp>
                        <wps:cNvPr id="208" name="Graphic 208"/>
                        <wps:cNvSpPr/>
                        <wps:spPr>
                          <a:xfrm>
                            <a:off x="554304" y="0"/>
                            <a:ext cx="329565" cy="228600"/>
                          </a:xfrm>
                          <a:custGeom>
                            <a:avLst/>
                            <a:gdLst/>
                            <a:ahLst/>
                            <a:cxnLst/>
                            <a:rect l="l" t="t" r="r" b="b"/>
                            <a:pathLst>
                              <a:path w="329565" h="228600">
                                <a:moveTo>
                                  <a:pt x="203822" y="0"/>
                                </a:moveTo>
                                <a:lnTo>
                                  <a:pt x="0" y="0"/>
                                </a:lnTo>
                                <a:lnTo>
                                  <a:pt x="128904" y="228600"/>
                                </a:lnTo>
                                <a:lnTo>
                                  <a:pt x="329539" y="228600"/>
                                </a:lnTo>
                                <a:lnTo>
                                  <a:pt x="203822" y="0"/>
                                </a:lnTo>
                                <a:close/>
                              </a:path>
                            </a:pathLst>
                          </a:custGeom>
                          <a:solidFill>
                            <a:srgbClr val="EB1C22"/>
                          </a:solidFill>
                        </wps:spPr>
                        <wps:bodyPr wrap="square" lIns="0" tIns="0" rIns="0" bIns="0" rtlCol="0">
                          <a:prstTxWarp prst="textNoShape">
                            <a:avLst/>
                          </a:prstTxWarp>
                          <a:noAutofit/>
                        </wps:bodyPr>
                      </wps:wsp>
                      <wps:wsp>
                        <wps:cNvPr id="209" name="Graphic 209"/>
                        <wps:cNvSpPr/>
                        <wps:spPr>
                          <a:xfrm>
                            <a:off x="783526" y="0"/>
                            <a:ext cx="329565" cy="228600"/>
                          </a:xfrm>
                          <a:custGeom>
                            <a:avLst/>
                            <a:gdLst/>
                            <a:ahLst/>
                            <a:cxnLst/>
                            <a:rect l="l" t="t" r="r" b="b"/>
                            <a:pathLst>
                              <a:path w="329565" h="228600">
                                <a:moveTo>
                                  <a:pt x="203822" y="0"/>
                                </a:moveTo>
                                <a:lnTo>
                                  <a:pt x="0" y="0"/>
                                </a:lnTo>
                                <a:lnTo>
                                  <a:pt x="128879" y="228600"/>
                                </a:lnTo>
                                <a:lnTo>
                                  <a:pt x="329539" y="228600"/>
                                </a:lnTo>
                                <a:lnTo>
                                  <a:pt x="203822" y="0"/>
                                </a:lnTo>
                                <a:close/>
                              </a:path>
                            </a:pathLst>
                          </a:custGeom>
                          <a:solidFill>
                            <a:srgbClr val="A7A9AC"/>
                          </a:solidFill>
                        </wps:spPr>
                        <wps:bodyPr wrap="square" lIns="0" tIns="0" rIns="0" bIns="0" rtlCol="0">
                          <a:prstTxWarp prst="textNoShape">
                            <a:avLst/>
                          </a:prstTxWarp>
                          <a:noAutofit/>
                        </wps:bodyPr>
                      </wps:wsp>
                    </wpg:wgp>
                  </a:graphicData>
                </a:graphic>
              </wp:anchor>
            </w:drawing>
          </mc:Choice>
          <mc:Fallback>
            <w:pict>
              <v:group w14:anchorId="17E6096D" id="Group 205" o:spid="_x0000_s1026" style="position:absolute;margin-left:0;margin-top:0;width:595.25pt;height:18pt;z-index:15754240;mso-wrap-distance-left:0;mso-wrap-distance-right:0;mso-position-horizontal-relative:page;mso-position-vertical-relative:page" coordsize="75596,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">
                <v:shape id="Graphic 206" o:spid="_x0000_s1027" style="position:absolute;left:8482;width:67120;height:2286;visibility:visible;mso-wrap-style:square;v-text-anchor:top" coordsize="67119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" path="m6711391,l,,184137,228600r6527254,-5080l6711391,xe" fillcolor="#e6e7e8" stroked="f">
                  <v:path arrowok="t"/>
                </v:shape>
                <v:shape id="Graphic 207" o:spid="_x0000_s1028" style="position:absolute;width:6559;height:2286;visibility:visible;mso-wrap-style:square;v-text-anchor:top" coordsize="65595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" path="m530174,l,,,228600r655904,l530174,xe" fillcolor="#00a650" stroked="f">
                  <v:path arrowok="t"/>
                </v:shape>
                <v:shape id="Graphic 208" o:spid="_x0000_s1029" style="position:absolute;left:5543;width:3295;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" path="m203822,l,,128904,228600r200635,l203822,xe" fillcolor="#eb1c22" stroked="f">
                  <v:path arrowok="t"/>
                </v:shape>
                <v:shape id="Graphic 209" o:spid="_x0000_s1030" style="position:absolute;left:7835;width:3295;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" path="m203822,l,,128879,228600r200660,l203822,xe" fillcolor="#a7a9ac" stroked="f">
                  <v:path arrowok="t"/>
                </v:shape>
                <w10:wrap anchorx="page" anchory="page"/>
              </v:group>
            </w:pict>
          </mc:Fallback>
        </mc:AlternateContent>
      </w:r>
    </w:p>
    <w:p w14:paraId="30F9AA55" w14:textId="77777777" w:rsidR="00BB77C0" w:rsidRDefault="00BB77C0">
      <w:pPr>
        <w:pStyle w:val="BodyText"/>
        <w:spacing w:before="193"/>
      </w:pPr>
    </w:p>
    <w:p w14:paraId="750839C5" w14:textId="77777777" w:rsidR="00BB77C0" w:rsidRDefault="00370BAA">
      <w:pPr>
        <w:ind w:left="490"/>
        <w:rPr>
          <w:b/>
        </w:rPr>
      </w:pPr>
      <w:r>
        <w:rPr>
          <w:b/>
          <w:color w:val="211F1F"/>
          <w:u w:val="single" w:color="211F1F"/>
        </w:rPr>
        <w:t xml:space="preserve">OTHER </w:t>
      </w:r>
      <w:r>
        <w:rPr>
          <w:b/>
          <w:color w:val="211F1F"/>
          <w:spacing w:val="-4"/>
          <w:u w:val="single" w:color="211F1F"/>
        </w:rPr>
        <w:t>FORMS</w:t>
      </w:r>
    </w:p>
    <w:p w14:paraId="579D31ED" w14:textId="77777777" w:rsidR="00BB77C0" w:rsidRDefault="00370BAA">
      <w:pPr>
        <w:pStyle w:val="Heading7"/>
        <w:numPr>
          <w:ilvl w:val="0"/>
          <w:numId w:val="64"/>
        </w:numPr>
        <w:tabs>
          <w:tab w:val="left" w:pos="806"/>
        </w:tabs>
        <w:spacing w:before="179"/>
        <w:ind w:hanging="321"/>
        <w:rPr>
          <w:color w:val="211F1F"/>
        </w:rPr>
      </w:pPr>
      <w:bookmarkStart w:id="156" w:name="5._FORM_OF_TENDER"/>
      <w:bookmarkEnd w:id="156"/>
      <w:r>
        <w:rPr>
          <w:color w:val="211F1F"/>
        </w:rPr>
        <w:t>FORM</w:t>
      </w:r>
      <w:r>
        <w:rPr>
          <w:color w:val="211F1F"/>
          <w:spacing w:val="-8"/>
        </w:rPr>
        <w:t xml:space="preserve"> </w:t>
      </w:r>
      <w:r>
        <w:rPr>
          <w:color w:val="211F1F"/>
        </w:rPr>
        <w:t>OF</w:t>
      </w:r>
      <w:r>
        <w:rPr>
          <w:color w:val="211F1F"/>
          <w:spacing w:val="-6"/>
        </w:rPr>
        <w:t xml:space="preserve"> </w:t>
      </w:r>
      <w:r>
        <w:rPr>
          <w:color w:val="211F1F"/>
          <w:spacing w:val="-2"/>
        </w:rPr>
        <w:t>TENDER</w:t>
      </w:r>
    </w:p>
    <w:p w14:paraId="44913893" w14:textId="77777777" w:rsidR="00BB77C0" w:rsidRDefault="00370BAA">
      <w:pPr>
        <w:spacing w:before="1"/>
        <w:ind w:left="360"/>
      </w:pPr>
      <w:r>
        <w:rPr>
          <w:b/>
          <w:color w:val="211F1F"/>
        </w:rPr>
        <w:t>(Amended</w:t>
      </w:r>
      <w:r>
        <w:rPr>
          <w:b/>
          <w:color w:val="211F1F"/>
          <w:spacing w:val="-16"/>
        </w:rPr>
        <w:t xml:space="preserve"> </w:t>
      </w:r>
      <w:r>
        <w:rPr>
          <w:b/>
          <w:color w:val="211F1F"/>
        </w:rPr>
        <w:t>and</w:t>
      </w:r>
      <w:r>
        <w:rPr>
          <w:b/>
          <w:color w:val="211F1F"/>
          <w:spacing w:val="-11"/>
        </w:rPr>
        <w:t xml:space="preserve"> </w:t>
      </w:r>
      <w:r>
        <w:rPr>
          <w:b/>
          <w:color w:val="211F1F"/>
        </w:rPr>
        <w:t>issued</w:t>
      </w:r>
      <w:r>
        <w:rPr>
          <w:b/>
          <w:color w:val="211F1F"/>
          <w:spacing w:val="-10"/>
        </w:rPr>
        <w:t xml:space="preserve"> </w:t>
      </w:r>
      <w:r>
        <w:rPr>
          <w:b/>
          <w:color w:val="211F1F"/>
        </w:rPr>
        <w:t>pursuant</w:t>
      </w:r>
      <w:r>
        <w:rPr>
          <w:b/>
          <w:color w:val="211F1F"/>
          <w:spacing w:val="-8"/>
        </w:rPr>
        <w:t xml:space="preserve"> </w:t>
      </w:r>
      <w:r>
        <w:rPr>
          <w:b/>
          <w:color w:val="211F1F"/>
        </w:rPr>
        <w:t>to</w:t>
      </w:r>
      <w:r>
        <w:rPr>
          <w:b/>
          <w:color w:val="211F1F"/>
          <w:spacing w:val="-8"/>
        </w:rPr>
        <w:t xml:space="preserve"> </w:t>
      </w:r>
      <w:r>
        <w:rPr>
          <w:b/>
          <w:color w:val="211F1F"/>
        </w:rPr>
        <w:t>PPRA</w:t>
      </w:r>
      <w:r>
        <w:rPr>
          <w:b/>
          <w:color w:val="211F1F"/>
          <w:spacing w:val="-8"/>
        </w:rPr>
        <w:t xml:space="preserve"> </w:t>
      </w:r>
      <w:r>
        <w:rPr>
          <w:b/>
        </w:rPr>
        <w:t>CIRCULAR</w:t>
      </w:r>
      <w:r>
        <w:rPr>
          <w:b/>
          <w:spacing w:val="-8"/>
        </w:rPr>
        <w:t xml:space="preserve"> </w:t>
      </w:r>
      <w:r>
        <w:rPr>
          <w:b/>
        </w:rPr>
        <w:t>No.</w:t>
      </w:r>
      <w:r>
        <w:rPr>
          <w:b/>
          <w:spacing w:val="-9"/>
        </w:rPr>
        <w:t xml:space="preserve"> </w:t>
      </w:r>
      <w:r>
        <w:rPr>
          <w:b/>
          <w:spacing w:val="-2"/>
        </w:rPr>
        <w:t>02/2022</w:t>
      </w:r>
      <w:r>
        <w:rPr>
          <w:spacing w:val="-2"/>
        </w:rPr>
        <w:t>)</w:t>
      </w:r>
    </w:p>
    <w:p w14:paraId="12343353" w14:textId="77777777" w:rsidR="00BB77C0" w:rsidRDefault="00BB77C0">
      <w:pPr>
        <w:pStyle w:val="BodyText"/>
        <w:spacing w:before="3"/>
      </w:pPr>
    </w:p>
    <w:p w14:paraId="77A1BB69" w14:textId="77777777" w:rsidR="00BB77C0" w:rsidRDefault="00370BAA">
      <w:pPr>
        <w:pStyle w:val="Heading8"/>
        <w:ind w:left="360"/>
      </w:pPr>
      <w:bookmarkStart w:id="157" w:name="INSTRUCTIONS_TO_TENDERERS"/>
      <w:bookmarkEnd w:id="157"/>
      <w:r>
        <w:rPr>
          <w:color w:val="211F1F"/>
        </w:rPr>
        <w:t>INSTRUCTIONS</w:t>
      </w:r>
      <w:r>
        <w:rPr>
          <w:color w:val="211F1F"/>
          <w:spacing w:val="-14"/>
        </w:rPr>
        <w:t xml:space="preserve"> </w:t>
      </w:r>
      <w:r>
        <w:rPr>
          <w:color w:val="211F1F"/>
        </w:rPr>
        <w:t>TO</w:t>
      </w:r>
      <w:r>
        <w:rPr>
          <w:color w:val="211F1F"/>
          <w:spacing w:val="-13"/>
        </w:rPr>
        <w:t xml:space="preserve"> </w:t>
      </w:r>
      <w:r>
        <w:rPr>
          <w:color w:val="211F1F"/>
          <w:spacing w:val="-2"/>
        </w:rPr>
        <w:t>TENDERERS</w:t>
      </w:r>
    </w:p>
    <w:p w14:paraId="129F9732" w14:textId="77777777" w:rsidR="00BB77C0" w:rsidRDefault="00370BAA">
      <w:pPr>
        <w:pStyle w:val="ListParagraph"/>
        <w:numPr>
          <w:ilvl w:val="0"/>
          <w:numId w:val="48"/>
        </w:numPr>
        <w:tabs>
          <w:tab w:val="left" w:pos="360"/>
        </w:tabs>
        <w:spacing w:before="232"/>
        <w:ind w:hanging="360"/>
        <w:rPr>
          <w:i/>
        </w:rPr>
      </w:pPr>
      <w:r>
        <w:rPr>
          <w:i/>
          <w:color w:val="211F1F"/>
        </w:rPr>
        <w:t>All</w:t>
      </w:r>
      <w:r>
        <w:rPr>
          <w:i/>
          <w:color w:val="211F1F"/>
          <w:spacing w:val="48"/>
        </w:rPr>
        <w:t xml:space="preserve"> </w:t>
      </w:r>
      <w:r>
        <w:rPr>
          <w:i/>
          <w:color w:val="211F1F"/>
        </w:rPr>
        <w:t>italicized</w:t>
      </w:r>
      <w:r>
        <w:rPr>
          <w:i/>
          <w:color w:val="211F1F"/>
          <w:spacing w:val="49"/>
        </w:rPr>
        <w:t xml:space="preserve"> </w:t>
      </w:r>
      <w:r>
        <w:rPr>
          <w:i/>
          <w:color w:val="211F1F"/>
        </w:rPr>
        <w:t>text</w:t>
      </w:r>
      <w:r>
        <w:rPr>
          <w:i/>
          <w:color w:val="211F1F"/>
          <w:spacing w:val="53"/>
        </w:rPr>
        <w:t xml:space="preserve"> </w:t>
      </w:r>
      <w:r>
        <w:rPr>
          <w:i/>
          <w:color w:val="211F1F"/>
        </w:rPr>
        <w:t>is</w:t>
      </w:r>
      <w:r>
        <w:rPr>
          <w:i/>
          <w:color w:val="211F1F"/>
          <w:spacing w:val="48"/>
        </w:rPr>
        <w:t xml:space="preserve"> </w:t>
      </w:r>
      <w:r>
        <w:rPr>
          <w:i/>
          <w:color w:val="211F1F"/>
        </w:rPr>
        <w:t>to</w:t>
      </w:r>
      <w:r>
        <w:rPr>
          <w:i/>
          <w:color w:val="211F1F"/>
          <w:spacing w:val="52"/>
        </w:rPr>
        <w:t xml:space="preserve"> </w:t>
      </w:r>
      <w:r>
        <w:rPr>
          <w:i/>
          <w:color w:val="211F1F"/>
        </w:rPr>
        <w:t>help</w:t>
      </w:r>
      <w:r>
        <w:rPr>
          <w:i/>
          <w:color w:val="211F1F"/>
          <w:spacing w:val="48"/>
        </w:rPr>
        <w:t xml:space="preserve"> </w:t>
      </w:r>
      <w:r>
        <w:rPr>
          <w:i/>
          <w:color w:val="211F1F"/>
        </w:rPr>
        <w:t>the</w:t>
      </w:r>
      <w:r>
        <w:rPr>
          <w:i/>
          <w:color w:val="211F1F"/>
          <w:spacing w:val="-7"/>
        </w:rPr>
        <w:t xml:space="preserve"> </w:t>
      </w:r>
      <w:r>
        <w:rPr>
          <w:i/>
          <w:color w:val="211F1F"/>
        </w:rPr>
        <w:t>Tenderer</w:t>
      </w:r>
      <w:r>
        <w:rPr>
          <w:i/>
          <w:color w:val="211F1F"/>
          <w:spacing w:val="48"/>
        </w:rPr>
        <w:t xml:space="preserve"> </w:t>
      </w:r>
      <w:r>
        <w:rPr>
          <w:i/>
          <w:color w:val="211F1F"/>
        </w:rPr>
        <w:t>in</w:t>
      </w:r>
      <w:r>
        <w:rPr>
          <w:i/>
          <w:color w:val="211F1F"/>
          <w:spacing w:val="47"/>
        </w:rPr>
        <w:t xml:space="preserve"> </w:t>
      </w:r>
      <w:r>
        <w:rPr>
          <w:i/>
          <w:color w:val="211F1F"/>
        </w:rPr>
        <w:t>preparing</w:t>
      </w:r>
      <w:r>
        <w:rPr>
          <w:i/>
          <w:color w:val="211F1F"/>
          <w:spacing w:val="52"/>
        </w:rPr>
        <w:t xml:space="preserve"> </w:t>
      </w:r>
      <w:r>
        <w:rPr>
          <w:i/>
          <w:color w:val="211F1F"/>
        </w:rPr>
        <w:t>this</w:t>
      </w:r>
      <w:r>
        <w:rPr>
          <w:i/>
          <w:color w:val="211F1F"/>
          <w:spacing w:val="48"/>
        </w:rPr>
        <w:t xml:space="preserve"> </w:t>
      </w:r>
      <w:r>
        <w:rPr>
          <w:i/>
          <w:color w:val="211F1F"/>
          <w:spacing w:val="-2"/>
        </w:rPr>
        <w:t>form.</w:t>
      </w:r>
    </w:p>
    <w:p w14:paraId="0F7809F2" w14:textId="77777777" w:rsidR="00BB77C0" w:rsidRDefault="00370BAA">
      <w:pPr>
        <w:pStyle w:val="ListParagraph"/>
        <w:numPr>
          <w:ilvl w:val="0"/>
          <w:numId w:val="48"/>
        </w:numPr>
        <w:tabs>
          <w:tab w:val="left" w:pos="354"/>
          <w:tab w:val="left" w:pos="360"/>
        </w:tabs>
        <w:spacing w:before="238" w:line="232" w:lineRule="auto"/>
        <w:ind w:right="704"/>
        <w:rPr>
          <w:i/>
        </w:rPr>
      </w:pPr>
      <w:r>
        <w:rPr>
          <w:i/>
          <w:color w:val="211F1F"/>
        </w:rPr>
        <w:t>The</w:t>
      </w:r>
      <w:r>
        <w:rPr>
          <w:i/>
          <w:color w:val="211F1F"/>
          <w:spacing w:val="36"/>
        </w:rPr>
        <w:t xml:space="preserve"> </w:t>
      </w:r>
      <w:r>
        <w:rPr>
          <w:i/>
          <w:color w:val="211F1F"/>
        </w:rPr>
        <w:t>Tenderer</w:t>
      </w:r>
      <w:r>
        <w:rPr>
          <w:i/>
          <w:color w:val="211F1F"/>
          <w:spacing w:val="39"/>
        </w:rPr>
        <w:t xml:space="preserve"> </w:t>
      </w:r>
      <w:r>
        <w:rPr>
          <w:i/>
          <w:color w:val="211F1F"/>
        </w:rPr>
        <w:t>must</w:t>
      </w:r>
      <w:r>
        <w:rPr>
          <w:i/>
          <w:color w:val="211F1F"/>
          <w:spacing w:val="39"/>
        </w:rPr>
        <w:t xml:space="preserve"> </w:t>
      </w:r>
      <w:r>
        <w:rPr>
          <w:i/>
          <w:color w:val="211F1F"/>
        </w:rPr>
        <w:t>prepare</w:t>
      </w:r>
      <w:r>
        <w:rPr>
          <w:i/>
          <w:color w:val="211F1F"/>
          <w:spacing w:val="36"/>
        </w:rPr>
        <w:t xml:space="preserve"> </w:t>
      </w:r>
      <w:r>
        <w:rPr>
          <w:i/>
          <w:color w:val="211F1F"/>
        </w:rPr>
        <w:t>this</w:t>
      </w:r>
      <w:r>
        <w:rPr>
          <w:i/>
          <w:color w:val="211F1F"/>
          <w:spacing w:val="38"/>
        </w:rPr>
        <w:t xml:space="preserve"> </w:t>
      </w:r>
      <w:r>
        <w:rPr>
          <w:i/>
          <w:color w:val="211F1F"/>
        </w:rPr>
        <w:t>Form</w:t>
      </w:r>
      <w:r>
        <w:rPr>
          <w:i/>
          <w:color w:val="211F1F"/>
          <w:spacing w:val="38"/>
        </w:rPr>
        <w:t xml:space="preserve"> </w:t>
      </w:r>
      <w:r>
        <w:rPr>
          <w:i/>
          <w:color w:val="211F1F"/>
        </w:rPr>
        <w:t>of</w:t>
      </w:r>
      <w:r>
        <w:rPr>
          <w:i/>
          <w:color w:val="211F1F"/>
          <w:spacing w:val="39"/>
        </w:rPr>
        <w:t xml:space="preserve"> </w:t>
      </w:r>
      <w:r>
        <w:rPr>
          <w:i/>
          <w:color w:val="211F1F"/>
        </w:rPr>
        <w:t>Tender</w:t>
      </w:r>
      <w:r>
        <w:rPr>
          <w:i/>
          <w:color w:val="211F1F"/>
          <w:spacing w:val="38"/>
        </w:rPr>
        <w:t xml:space="preserve"> </w:t>
      </w:r>
      <w:r>
        <w:rPr>
          <w:i/>
          <w:color w:val="211F1F"/>
        </w:rPr>
        <w:t>on</w:t>
      </w:r>
      <w:r>
        <w:rPr>
          <w:i/>
          <w:color w:val="211F1F"/>
          <w:spacing w:val="33"/>
        </w:rPr>
        <w:t xml:space="preserve"> </w:t>
      </w:r>
      <w:r>
        <w:rPr>
          <w:i/>
          <w:color w:val="211F1F"/>
        </w:rPr>
        <w:t>stationery</w:t>
      </w:r>
      <w:r>
        <w:rPr>
          <w:i/>
          <w:color w:val="211F1F"/>
          <w:spacing w:val="37"/>
        </w:rPr>
        <w:t xml:space="preserve"> </w:t>
      </w:r>
      <w:r>
        <w:rPr>
          <w:i/>
          <w:color w:val="211F1F"/>
        </w:rPr>
        <w:t>with</w:t>
      </w:r>
      <w:r>
        <w:rPr>
          <w:i/>
          <w:color w:val="211F1F"/>
          <w:spacing w:val="38"/>
        </w:rPr>
        <w:t xml:space="preserve"> </w:t>
      </w:r>
      <w:r>
        <w:rPr>
          <w:i/>
          <w:color w:val="211F1F"/>
        </w:rPr>
        <w:t>its</w:t>
      </w:r>
      <w:r>
        <w:rPr>
          <w:i/>
          <w:color w:val="211F1F"/>
          <w:spacing w:val="38"/>
        </w:rPr>
        <w:t xml:space="preserve"> </w:t>
      </w:r>
      <w:r>
        <w:rPr>
          <w:i/>
          <w:color w:val="211F1F"/>
        </w:rPr>
        <w:t>letterhead</w:t>
      </w:r>
      <w:r>
        <w:rPr>
          <w:i/>
          <w:color w:val="211F1F"/>
          <w:spacing w:val="38"/>
        </w:rPr>
        <w:t xml:space="preserve"> </w:t>
      </w:r>
      <w:r>
        <w:rPr>
          <w:i/>
          <w:color w:val="211F1F"/>
        </w:rPr>
        <w:t>clearly</w:t>
      </w:r>
      <w:r>
        <w:rPr>
          <w:i/>
          <w:color w:val="211F1F"/>
          <w:spacing w:val="36"/>
        </w:rPr>
        <w:t xml:space="preserve"> </w:t>
      </w:r>
      <w:r>
        <w:rPr>
          <w:i/>
          <w:color w:val="211F1F"/>
        </w:rPr>
        <w:t>showing</w:t>
      </w:r>
      <w:r>
        <w:rPr>
          <w:i/>
          <w:color w:val="211F1F"/>
          <w:spacing w:val="38"/>
        </w:rPr>
        <w:t xml:space="preserve"> </w:t>
      </w:r>
      <w:r>
        <w:rPr>
          <w:i/>
          <w:color w:val="211F1F"/>
        </w:rPr>
        <w:t>the</w:t>
      </w:r>
      <w:r>
        <w:rPr>
          <w:i/>
          <w:color w:val="211F1F"/>
          <w:spacing w:val="36"/>
        </w:rPr>
        <w:t xml:space="preserve"> </w:t>
      </w:r>
      <w:r>
        <w:rPr>
          <w:i/>
          <w:color w:val="211F1F"/>
        </w:rPr>
        <w:t>Tenderer's complete</w:t>
      </w:r>
      <w:r>
        <w:rPr>
          <w:i/>
          <w:color w:val="211F1F"/>
          <w:spacing w:val="40"/>
        </w:rPr>
        <w:t xml:space="preserve"> </w:t>
      </w:r>
      <w:r>
        <w:rPr>
          <w:i/>
          <w:color w:val="211F1F"/>
        </w:rPr>
        <w:t>name</w:t>
      </w:r>
      <w:r>
        <w:rPr>
          <w:i/>
          <w:color w:val="211F1F"/>
          <w:spacing w:val="40"/>
        </w:rPr>
        <w:t xml:space="preserve"> </w:t>
      </w:r>
      <w:r>
        <w:rPr>
          <w:i/>
          <w:color w:val="211F1F"/>
        </w:rPr>
        <w:t>and</w:t>
      </w:r>
      <w:r>
        <w:rPr>
          <w:i/>
          <w:color w:val="211F1F"/>
          <w:spacing w:val="40"/>
        </w:rPr>
        <w:t xml:space="preserve"> </w:t>
      </w:r>
      <w:r>
        <w:rPr>
          <w:i/>
          <w:color w:val="211F1F"/>
        </w:rPr>
        <w:t>business</w:t>
      </w:r>
      <w:r>
        <w:rPr>
          <w:i/>
          <w:color w:val="211F1F"/>
          <w:spacing w:val="40"/>
        </w:rPr>
        <w:t xml:space="preserve"> </w:t>
      </w:r>
      <w:r>
        <w:rPr>
          <w:i/>
          <w:color w:val="211F1F"/>
        </w:rPr>
        <w:t>address. Tenderers are reminded that this is a mandatory requirement.</w:t>
      </w:r>
    </w:p>
    <w:p w14:paraId="0B2245E9" w14:textId="77777777" w:rsidR="00BB77C0" w:rsidRDefault="00370BAA">
      <w:pPr>
        <w:pStyle w:val="ListParagraph"/>
        <w:numPr>
          <w:ilvl w:val="0"/>
          <w:numId w:val="48"/>
        </w:numPr>
        <w:tabs>
          <w:tab w:val="left" w:pos="352"/>
          <w:tab w:val="left" w:pos="360"/>
        </w:tabs>
        <w:spacing w:before="243" w:line="228" w:lineRule="auto"/>
        <w:ind w:right="702"/>
        <w:rPr>
          <w:i/>
        </w:rPr>
      </w:pPr>
      <w:r>
        <w:rPr>
          <w:i/>
          <w:color w:val="211F1F"/>
        </w:rPr>
        <w:t>Tenderer</w:t>
      </w:r>
      <w:r>
        <w:rPr>
          <w:i/>
          <w:color w:val="211F1F"/>
          <w:spacing w:val="80"/>
        </w:rPr>
        <w:t xml:space="preserve"> </w:t>
      </w:r>
      <w:r>
        <w:rPr>
          <w:i/>
          <w:color w:val="211F1F"/>
        </w:rPr>
        <w:t>must</w:t>
      </w:r>
      <w:r>
        <w:rPr>
          <w:i/>
          <w:color w:val="211F1F"/>
          <w:spacing w:val="78"/>
        </w:rPr>
        <w:t xml:space="preserve"> </w:t>
      </w:r>
      <w:r>
        <w:rPr>
          <w:i/>
          <w:color w:val="211F1F"/>
        </w:rPr>
        <w:t>complete</w:t>
      </w:r>
      <w:r>
        <w:rPr>
          <w:i/>
          <w:color w:val="211F1F"/>
          <w:spacing w:val="75"/>
        </w:rPr>
        <w:t xml:space="preserve"> </w:t>
      </w:r>
      <w:r>
        <w:rPr>
          <w:i/>
          <w:color w:val="211F1F"/>
        </w:rPr>
        <w:t>and</w:t>
      </w:r>
      <w:r>
        <w:rPr>
          <w:i/>
          <w:color w:val="211F1F"/>
          <w:spacing w:val="76"/>
        </w:rPr>
        <w:t xml:space="preserve"> </w:t>
      </w:r>
      <w:r>
        <w:rPr>
          <w:i/>
          <w:color w:val="211F1F"/>
        </w:rPr>
        <w:t>sign</w:t>
      </w:r>
      <w:r>
        <w:rPr>
          <w:i/>
          <w:color w:val="211F1F"/>
          <w:spacing w:val="76"/>
        </w:rPr>
        <w:t xml:space="preserve"> </w:t>
      </w:r>
      <w:r>
        <w:rPr>
          <w:i/>
          <w:color w:val="211F1F"/>
        </w:rPr>
        <w:t>CERTIFICATE</w:t>
      </w:r>
      <w:r>
        <w:rPr>
          <w:i/>
          <w:color w:val="211F1F"/>
          <w:spacing w:val="77"/>
        </w:rPr>
        <w:t xml:space="preserve"> </w:t>
      </w:r>
      <w:r>
        <w:rPr>
          <w:i/>
          <w:color w:val="211F1F"/>
        </w:rPr>
        <w:t>OF</w:t>
      </w:r>
      <w:r>
        <w:rPr>
          <w:i/>
          <w:color w:val="211F1F"/>
          <w:spacing w:val="75"/>
        </w:rPr>
        <w:t xml:space="preserve"> </w:t>
      </w:r>
      <w:r>
        <w:rPr>
          <w:i/>
          <w:color w:val="211F1F"/>
        </w:rPr>
        <w:t>INDEPENDENT</w:t>
      </w:r>
      <w:r>
        <w:rPr>
          <w:i/>
          <w:color w:val="211F1F"/>
          <w:spacing w:val="79"/>
        </w:rPr>
        <w:t xml:space="preserve"> </w:t>
      </w:r>
      <w:r>
        <w:rPr>
          <w:i/>
          <w:color w:val="211F1F"/>
        </w:rPr>
        <w:t>TENDER</w:t>
      </w:r>
      <w:r>
        <w:rPr>
          <w:i/>
          <w:color w:val="211F1F"/>
          <w:spacing w:val="76"/>
        </w:rPr>
        <w:t xml:space="preserve"> </w:t>
      </w:r>
      <w:r>
        <w:rPr>
          <w:i/>
          <w:color w:val="211F1F"/>
        </w:rPr>
        <w:t>DETERMINATION</w:t>
      </w:r>
      <w:r>
        <w:rPr>
          <w:i/>
          <w:color w:val="211F1F"/>
          <w:spacing w:val="75"/>
        </w:rPr>
        <w:t xml:space="preserve"> </w:t>
      </w:r>
      <w:r>
        <w:rPr>
          <w:i/>
          <w:color w:val="211F1F"/>
        </w:rPr>
        <w:t>and</w:t>
      </w:r>
      <w:r>
        <w:rPr>
          <w:i/>
          <w:color w:val="211F1F"/>
          <w:spacing w:val="80"/>
        </w:rPr>
        <w:t xml:space="preserve"> </w:t>
      </w:r>
      <w:r>
        <w:rPr>
          <w:i/>
          <w:color w:val="211F1F"/>
        </w:rPr>
        <w:t>the SELF</w:t>
      </w:r>
      <w:r>
        <w:rPr>
          <w:i/>
          <w:color w:val="211F1F"/>
          <w:spacing w:val="40"/>
        </w:rPr>
        <w:t xml:space="preserve"> </w:t>
      </w:r>
      <w:r>
        <w:rPr>
          <w:i/>
          <w:color w:val="211F1F"/>
        </w:rPr>
        <w:t>DECLARATION</w:t>
      </w:r>
      <w:r>
        <w:rPr>
          <w:i/>
          <w:color w:val="211F1F"/>
          <w:spacing w:val="40"/>
        </w:rPr>
        <w:t xml:space="preserve"> </w:t>
      </w:r>
      <w:r>
        <w:rPr>
          <w:i/>
          <w:color w:val="211F1F"/>
        </w:rPr>
        <w:t>FORMS OF</w:t>
      </w:r>
      <w:r>
        <w:rPr>
          <w:i/>
          <w:color w:val="211F1F"/>
          <w:spacing w:val="40"/>
        </w:rPr>
        <w:t xml:space="preserve"> </w:t>
      </w:r>
      <w:r>
        <w:rPr>
          <w:i/>
          <w:color w:val="211F1F"/>
        </w:rPr>
        <w:t>THE</w:t>
      </w:r>
      <w:r>
        <w:rPr>
          <w:i/>
          <w:color w:val="211F1F"/>
          <w:spacing w:val="40"/>
        </w:rPr>
        <w:t xml:space="preserve"> </w:t>
      </w:r>
      <w:r>
        <w:rPr>
          <w:i/>
          <w:color w:val="211F1F"/>
        </w:rPr>
        <w:t>TENDERER</w:t>
      </w:r>
      <w:r>
        <w:rPr>
          <w:i/>
          <w:color w:val="211F1F"/>
          <w:spacing w:val="40"/>
        </w:rPr>
        <w:t xml:space="preserve"> </w:t>
      </w:r>
      <w:r>
        <w:rPr>
          <w:i/>
          <w:color w:val="211F1F"/>
        </w:rPr>
        <w:t>as listed under (s) below.</w:t>
      </w:r>
    </w:p>
    <w:p w14:paraId="3CE0A993" w14:textId="77777777" w:rsidR="005C3190" w:rsidRDefault="00370BAA">
      <w:pPr>
        <w:tabs>
          <w:tab w:val="left" w:pos="2300"/>
          <w:tab w:val="left" w:pos="4043"/>
          <w:tab w:val="left" w:pos="8446"/>
        </w:tabs>
        <w:spacing w:before="239" w:line="465" w:lineRule="auto"/>
        <w:ind w:left="360" w:right="649" w:hanging="361"/>
        <w:jc w:val="both"/>
        <w:rPr>
          <w:i/>
          <w:color w:val="211F1F"/>
          <w:spacing w:val="80"/>
        </w:rPr>
      </w:pPr>
      <w:r>
        <w:rPr>
          <w:b/>
          <w:color w:val="211F1F"/>
        </w:rPr>
        <w:t>Date</w:t>
      </w:r>
      <w:r>
        <w:rPr>
          <w:b/>
          <w:color w:val="211F1F"/>
          <w:spacing w:val="40"/>
        </w:rPr>
        <w:t xml:space="preserve"> </w:t>
      </w:r>
      <w:r>
        <w:rPr>
          <w:b/>
          <w:color w:val="211F1F"/>
        </w:rPr>
        <w:t>of</w:t>
      </w:r>
      <w:r>
        <w:rPr>
          <w:b/>
          <w:color w:val="211F1F"/>
          <w:spacing w:val="40"/>
        </w:rPr>
        <w:t xml:space="preserve"> </w:t>
      </w:r>
      <w:r>
        <w:rPr>
          <w:b/>
          <w:color w:val="211F1F"/>
        </w:rPr>
        <w:t>this</w:t>
      </w:r>
      <w:r>
        <w:rPr>
          <w:b/>
          <w:color w:val="211F1F"/>
          <w:spacing w:val="40"/>
        </w:rPr>
        <w:t xml:space="preserve"> </w:t>
      </w:r>
      <w:r>
        <w:rPr>
          <w:b/>
          <w:color w:val="211F1F"/>
        </w:rPr>
        <w:t>Tender</w:t>
      </w:r>
      <w:r>
        <w:rPr>
          <w:b/>
          <w:color w:val="211F1F"/>
          <w:spacing w:val="40"/>
        </w:rPr>
        <w:t xml:space="preserve"> </w:t>
      </w:r>
      <w:r>
        <w:rPr>
          <w:b/>
          <w:color w:val="211F1F"/>
        </w:rPr>
        <w:t>submission</w:t>
      </w:r>
      <w:r>
        <w:rPr>
          <w:color w:val="211F1F"/>
        </w:rPr>
        <w:t>:.............</w:t>
      </w:r>
      <w:r>
        <w:rPr>
          <w:i/>
          <w:color w:val="211F1F"/>
        </w:rPr>
        <w:t>[insert</w:t>
      </w:r>
      <w:r>
        <w:rPr>
          <w:i/>
          <w:color w:val="211F1F"/>
          <w:spacing w:val="40"/>
        </w:rPr>
        <w:t xml:space="preserve"> </w:t>
      </w:r>
      <w:r>
        <w:rPr>
          <w:i/>
          <w:color w:val="211F1F"/>
        </w:rPr>
        <w:t>date</w:t>
      </w:r>
      <w:r>
        <w:rPr>
          <w:i/>
          <w:color w:val="211F1F"/>
          <w:spacing w:val="40"/>
        </w:rPr>
        <w:t xml:space="preserve"> </w:t>
      </w:r>
      <w:r>
        <w:rPr>
          <w:i/>
          <w:color w:val="211F1F"/>
        </w:rPr>
        <w:t>(as</w:t>
      </w:r>
      <w:r>
        <w:rPr>
          <w:i/>
          <w:color w:val="211F1F"/>
          <w:spacing w:val="40"/>
        </w:rPr>
        <w:t xml:space="preserve"> </w:t>
      </w:r>
      <w:r>
        <w:rPr>
          <w:i/>
          <w:color w:val="211F1F"/>
        </w:rPr>
        <w:t>day,</w:t>
      </w:r>
      <w:r>
        <w:rPr>
          <w:i/>
          <w:color w:val="211F1F"/>
          <w:spacing w:val="80"/>
        </w:rPr>
        <w:t xml:space="preserve"> </w:t>
      </w:r>
      <w:r>
        <w:rPr>
          <w:i/>
          <w:color w:val="211F1F"/>
        </w:rPr>
        <w:t>month</w:t>
      </w:r>
      <w:r>
        <w:rPr>
          <w:i/>
          <w:color w:val="211F1F"/>
          <w:spacing w:val="40"/>
        </w:rPr>
        <w:t xml:space="preserve"> </w:t>
      </w:r>
      <w:r>
        <w:rPr>
          <w:i/>
          <w:color w:val="211F1F"/>
        </w:rPr>
        <w:t>and</w:t>
      </w:r>
      <w:r>
        <w:rPr>
          <w:i/>
          <w:color w:val="211F1F"/>
          <w:spacing w:val="40"/>
        </w:rPr>
        <w:t xml:space="preserve"> </w:t>
      </w:r>
      <w:r>
        <w:rPr>
          <w:i/>
          <w:color w:val="211F1F"/>
        </w:rPr>
        <w:t>year)</w:t>
      </w:r>
      <w:r>
        <w:rPr>
          <w:i/>
          <w:color w:val="211F1F"/>
          <w:spacing w:val="80"/>
        </w:rPr>
        <w:t xml:space="preserve"> </w:t>
      </w:r>
      <w:r>
        <w:rPr>
          <w:i/>
          <w:color w:val="211F1F"/>
        </w:rPr>
        <w:t>of</w:t>
      </w:r>
      <w:r>
        <w:rPr>
          <w:i/>
          <w:color w:val="211F1F"/>
          <w:spacing w:val="40"/>
        </w:rPr>
        <w:t xml:space="preserve"> </w:t>
      </w:r>
      <w:r>
        <w:rPr>
          <w:i/>
          <w:color w:val="211F1F"/>
        </w:rPr>
        <w:t>Tender</w:t>
      </w:r>
      <w:r>
        <w:rPr>
          <w:i/>
          <w:color w:val="211F1F"/>
          <w:spacing w:val="40"/>
        </w:rPr>
        <w:t xml:space="preserve"> </w:t>
      </w:r>
      <w:r>
        <w:rPr>
          <w:i/>
          <w:color w:val="211F1F"/>
        </w:rPr>
        <w:t>submission]</w:t>
      </w:r>
      <w:r>
        <w:rPr>
          <w:i/>
          <w:color w:val="211F1F"/>
          <w:spacing w:val="80"/>
        </w:rPr>
        <w:t xml:space="preserve"> </w:t>
      </w:r>
    </w:p>
    <w:p w14:paraId="11D65382" w14:textId="77777777" w:rsidR="005C3190" w:rsidRDefault="00370BAA">
      <w:pPr>
        <w:tabs>
          <w:tab w:val="left" w:pos="2300"/>
          <w:tab w:val="left" w:pos="4043"/>
          <w:tab w:val="left" w:pos="8446"/>
        </w:tabs>
        <w:spacing w:before="239" w:line="465" w:lineRule="auto"/>
        <w:ind w:left="360" w:right="649" w:hanging="361"/>
        <w:jc w:val="both"/>
        <w:rPr>
          <w:i/>
          <w:color w:val="211F1F"/>
        </w:rPr>
      </w:pPr>
      <w:r>
        <w:rPr>
          <w:b/>
          <w:color w:val="211F1F"/>
        </w:rPr>
        <w:t xml:space="preserve">Tender </w:t>
      </w:r>
      <w:r>
        <w:rPr>
          <w:b/>
          <w:color w:val="211F1F"/>
          <w:spacing w:val="-4"/>
        </w:rPr>
        <w:t>Name</w:t>
      </w:r>
      <w:r>
        <w:rPr>
          <w:b/>
          <w:color w:val="211F1F"/>
        </w:rPr>
        <w:tab/>
      </w:r>
      <w:r>
        <w:rPr>
          <w:b/>
          <w:color w:val="211F1F"/>
          <w:spacing w:val="-4"/>
        </w:rPr>
        <w:t>and</w:t>
      </w:r>
      <w:r>
        <w:rPr>
          <w:b/>
          <w:color w:val="211F1F"/>
        </w:rPr>
        <w:tab/>
      </w:r>
      <w:r>
        <w:rPr>
          <w:b/>
          <w:color w:val="211F1F"/>
          <w:spacing w:val="-2"/>
        </w:rPr>
        <w:t>Identification</w:t>
      </w:r>
      <w:r>
        <w:rPr>
          <w:color w:val="211F1F"/>
          <w:spacing w:val="-2"/>
        </w:rPr>
        <w:t>:....................</w:t>
      </w:r>
      <w:r>
        <w:rPr>
          <w:i/>
          <w:color w:val="211F1F"/>
          <w:spacing w:val="-2"/>
        </w:rPr>
        <w:t>[insert</w:t>
      </w:r>
      <w:r>
        <w:rPr>
          <w:i/>
          <w:color w:val="211F1F"/>
        </w:rPr>
        <w:tab/>
        <w:t xml:space="preserve">identification] </w:t>
      </w:r>
    </w:p>
    <w:p w14:paraId="664E534D" w14:textId="77777777" w:rsidR="00BB77C0" w:rsidRDefault="00370BAA">
      <w:pPr>
        <w:tabs>
          <w:tab w:val="left" w:pos="2300"/>
          <w:tab w:val="left" w:pos="4043"/>
          <w:tab w:val="left" w:pos="8446"/>
        </w:tabs>
        <w:spacing w:before="239" w:line="465" w:lineRule="auto"/>
        <w:ind w:left="360" w:right="649" w:hanging="361"/>
        <w:jc w:val="both"/>
        <w:rPr>
          <w:i/>
        </w:rPr>
      </w:pPr>
      <w:r>
        <w:rPr>
          <w:b/>
          <w:color w:val="211F1F"/>
        </w:rPr>
        <w:t>Alternative No.</w:t>
      </w:r>
      <w:r>
        <w:rPr>
          <w:color w:val="211F1F"/>
        </w:rPr>
        <w:t>:.............................................</w:t>
      </w:r>
      <w:r>
        <w:rPr>
          <w:i/>
          <w:color w:val="211F1F"/>
        </w:rPr>
        <w:t>[insert</w:t>
      </w:r>
      <w:r>
        <w:rPr>
          <w:i/>
          <w:color w:val="211F1F"/>
          <w:spacing w:val="40"/>
        </w:rPr>
        <w:t xml:space="preserve"> </w:t>
      </w:r>
      <w:r>
        <w:rPr>
          <w:i/>
          <w:color w:val="211F1F"/>
        </w:rPr>
        <w:t>identification</w:t>
      </w:r>
      <w:r>
        <w:rPr>
          <w:i/>
          <w:color w:val="211F1F"/>
          <w:spacing w:val="40"/>
        </w:rPr>
        <w:t xml:space="preserve"> </w:t>
      </w:r>
      <w:r>
        <w:rPr>
          <w:i/>
          <w:color w:val="211F1F"/>
        </w:rPr>
        <w:t>No</w:t>
      </w:r>
      <w:r>
        <w:rPr>
          <w:i/>
          <w:color w:val="211F1F"/>
          <w:spacing w:val="40"/>
        </w:rPr>
        <w:t xml:space="preserve"> </w:t>
      </w:r>
      <w:r>
        <w:rPr>
          <w:i/>
          <w:color w:val="211F1F"/>
        </w:rPr>
        <w:t>if</w:t>
      </w:r>
      <w:r>
        <w:rPr>
          <w:i/>
          <w:color w:val="211F1F"/>
          <w:spacing w:val="40"/>
        </w:rPr>
        <w:t xml:space="preserve"> </w:t>
      </w:r>
      <w:r>
        <w:rPr>
          <w:i/>
          <w:color w:val="211F1F"/>
        </w:rPr>
        <w:t>this</w:t>
      </w:r>
      <w:r>
        <w:rPr>
          <w:i/>
          <w:color w:val="211F1F"/>
          <w:spacing w:val="40"/>
        </w:rPr>
        <w:t xml:space="preserve"> </w:t>
      </w:r>
      <w:r>
        <w:rPr>
          <w:i/>
          <w:color w:val="211F1F"/>
        </w:rPr>
        <w:t>is</w:t>
      </w:r>
      <w:r>
        <w:rPr>
          <w:i/>
          <w:color w:val="211F1F"/>
          <w:spacing w:val="40"/>
        </w:rPr>
        <w:t xml:space="preserve"> </w:t>
      </w:r>
      <w:r>
        <w:rPr>
          <w:i/>
          <w:color w:val="211F1F"/>
        </w:rPr>
        <w:t>a</w:t>
      </w:r>
      <w:r>
        <w:rPr>
          <w:i/>
          <w:color w:val="211F1F"/>
          <w:spacing w:val="40"/>
        </w:rPr>
        <w:t xml:space="preserve"> </w:t>
      </w:r>
      <w:r>
        <w:rPr>
          <w:i/>
          <w:color w:val="211F1F"/>
        </w:rPr>
        <w:t>Tender</w:t>
      </w:r>
      <w:r>
        <w:rPr>
          <w:i/>
          <w:color w:val="211F1F"/>
          <w:spacing w:val="40"/>
        </w:rPr>
        <w:t xml:space="preserve"> </w:t>
      </w:r>
      <w:r>
        <w:rPr>
          <w:i/>
          <w:color w:val="211F1F"/>
        </w:rPr>
        <w:t>for</w:t>
      </w:r>
      <w:r>
        <w:rPr>
          <w:i/>
          <w:color w:val="211F1F"/>
          <w:spacing w:val="40"/>
        </w:rPr>
        <w:t xml:space="preserve"> </w:t>
      </w:r>
      <w:r>
        <w:rPr>
          <w:i/>
          <w:color w:val="211F1F"/>
        </w:rPr>
        <w:t>an</w:t>
      </w:r>
      <w:r>
        <w:rPr>
          <w:i/>
          <w:color w:val="211F1F"/>
          <w:spacing w:val="40"/>
        </w:rPr>
        <w:t xml:space="preserve"> </w:t>
      </w:r>
      <w:r>
        <w:rPr>
          <w:i/>
          <w:color w:val="211F1F"/>
        </w:rPr>
        <w:t>alternative]</w:t>
      </w:r>
    </w:p>
    <w:p w14:paraId="65DEB033" w14:textId="77777777" w:rsidR="00BB77C0" w:rsidRDefault="00370BAA">
      <w:pPr>
        <w:tabs>
          <w:tab w:val="left" w:leader="dot" w:pos="2396"/>
        </w:tabs>
        <w:spacing w:line="245" w:lineRule="exact"/>
        <w:rPr>
          <w:i/>
        </w:rPr>
      </w:pPr>
      <w:r>
        <w:rPr>
          <w:color w:val="211F1F"/>
          <w:spacing w:val="-5"/>
        </w:rPr>
        <w:t>To</w:t>
      </w:r>
      <w:r>
        <w:rPr>
          <w:color w:val="211F1F"/>
        </w:rPr>
        <w:tab/>
      </w:r>
      <w:r>
        <w:rPr>
          <w:i/>
          <w:color w:val="211F1F"/>
        </w:rPr>
        <w:t>[Insert</w:t>
      </w:r>
      <w:r>
        <w:rPr>
          <w:i/>
          <w:color w:val="211F1F"/>
          <w:spacing w:val="-15"/>
        </w:rPr>
        <w:t xml:space="preserve"> </w:t>
      </w:r>
      <w:r>
        <w:rPr>
          <w:i/>
          <w:color w:val="211F1F"/>
        </w:rPr>
        <w:t>complete</w:t>
      </w:r>
      <w:r>
        <w:rPr>
          <w:i/>
          <w:color w:val="211F1F"/>
          <w:spacing w:val="-7"/>
        </w:rPr>
        <w:t xml:space="preserve"> </w:t>
      </w:r>
      <w:r>
        <w:rPr>
          <w:i/>
          <w:color w:val="211F1F"/>
        </w:rPr>
        <w:t>name</w:t>
      </w:r>
      <w:r>
        <w:rPr>
          <w:i/>
          <w:color w:val="211F1F"/>
          <w:spacing w:val="-8"/>
        </w:rPr>
        <w:t xml:space="preserve"> </w:t>
      </w:r>
      <w:r>
        <w:rPr>
          <w:i/>
          <w:color w:val="211F1F"/>
        </w:rPr>
        <w:t>of</w:t>
      </w:r>
      <w:r>
        <w:rPr>
          <w:i/>
          <w:color w:val="211F1F"/>
          <w:spacing w:val="-5"/>
        </w:rPr>
        <w:t xml:space="preserve"> </w:t>
      </w:r>
      <w:r>
        <w:rPr>
          <w:i/>
          <w:color w:val="211F1F"/>
        </w:rPr>
        <w:t>Procuring</w:t>
      </w:r>
      <w:r>
        <w:rPr>
          <w:i/>
          <w:color w:val="211F1F"/>
          <w:spacing w:val="-9"/>
        </w:rPr>
        <w:t xml:space="preserve"> </w:t>
      </w:r>
      <w:r>
        <w:rPr>
          <w:i/>
          <w:color w:val="211F1F"/>
          <w:spacing w:val="-2"/>
        </w:rPr>
        <w:t>Entity]</w:t>
      </w:r>
    </w:p>
    <w:p w14:paraId="2B1A7EB4" w14:textId="77777777" w:rsidR="00BB77C0" w:rsidRDefault="00370BAA">
      <w:pPr>
        <w:pStyle w:val="BodyText"/>
        <w:spacing w:before="170"/>
        <w:ind w:left="1061"/>
      </w:pPr>
      <w:r>
        <w:rPr>
          <w:color w:val="211F1F"/>
          <w:spacing w:val="-4"/>
        </w:rPr>
        <w:t>Dear</w:t>
      </w:r>
      <w:r>
        <w:rPr>
          <w:color w:val="211F1F"/>
          <w:spacing w:val="-13"/>
        </w:rPr>
        <w:t xml:space="preserve"> </w:t>
      </w:r>
      <w:r>
        <w:rPr>
          <w:color w:val="211F1F"/>
          <w:spacing w:val="-2"/>
        </w:rPr>
        <w:t>Sirs,</w:t>
      </w:r>
    </w:p>
    <w:p w14:paraId="327B81A1" w14:textId="77777777" w:rsidR="00BB77C0" w:rsidRDefault="00370BAA">
      <w:pPr>
        <w:pStyle w:val="ListParagraph"/>
        <w:numPr>
          <w:ilvl w:val="1"/>
          <w:numId w:val="48"/>
        </w:numPr>
        <w:tabs>
          <w:tab w:val="left" w:pos="1061"/>
          <w:tab w:val="left" w:pos="8427"/>
          <w:tab w:val="left" w:pos="10122"/>
        </w:tabs>
        <w:spacing w:before="240" w:line="230" w:lineRule="auto"/>
        <w:ind w:right="728"/>
        <w:rPr>
          <w:i/>
          <w:color w:val="211F1F"/>
        </w:rPr>
      </w:pPr>
      <w:r>
        <w:rPr>
          <w:color w:val="211F1F"/>
        </w:rPr>
        <w:t>In</w:t>
      </w:r>
      <w:r>
        <w:rPr>
          <w:color w:val="211F1F"/>
          <w:spacing w:val="-17"/>
        </w:rPr>
        <w:t xml:space="preserve"> </w:t>
      </w:r>
      <w:r>
        <w:rPr>
          <w:color w:val="211F1F"/>
        </w:rPr>
        <w:t>accordance</w:t>
      </w:r>
      <w:r>
        <w:rPr>
          <w:color w:val="211F1F"/>
          <w:spacing w:val="-14"/>
        </w:rPr>
        <w:t xml:space="preserve"> </w:t>
      </w:r>
      <w:r>
        <w:rPr>
          <w:color w:val="211F1F"/>
        </w:rPr>
        <w:t>with</w:t>
      </w:r>
      <w:r>
        <w:rPr>
          <w:color w:val="211F1F"/>
          <w:spacing w:val="-16"/>
        </w:rPr>
        <w:t xml:space="preserve"> </w:t>
      </w:r>
      <w:r>
        <w:rPr>
          <w:color w:val="211F1F"/>
        </w:rPr>
        <w:t>the</w:t>
      </w:r>
      <w:r>
        <w:rPr>
          <w:color w:val="211F1F"/>
          <w:spacing w:val="-19"/>
        </w:rPr>
        <w:t xml:space="preserve"> </w:t>
      </w:r>
      <w:r>
        <w:rPr>
          <w:color w:val="211F1F"/>
        </w:rPr>
        <w:t>Conditions</w:t>
      </w:r>
      <w:r>
        <w:rPr>
          <w:color w:val="211F1F"/>
          <w:spacing w:val="-14"/>
        </w:rPr>
        <w:t xml:space="preserve"> </w:t>
      </w:r>
      <w:r>
        <w:rPr>
          <w:color w:val="211F1F"/>
        </w:rPr>
        <w:t>of</w:t>
      </w:r>
      <w:r>
        <w:rPr>
          <w:color w:val="211F1F"/>
          <w:spacing w:val="-14"/>
        </w:rPr>
        <w:t xml:space="preserve"> </w:t>
      </w:r>
      <w:r>
        <w:rPr>
          <w:color w:val="211F1F"/>
        </w:rPr>
        <w:t>Contract,</w:t>
      </w:r>
      <w:r>
        <w:rPr>
          <w:color w:val="211F1F"/>
          <w:spacing w:val="-14"/>
        </w:rPr>
        <w:t xml:space="preserve"> </w:t>
      </w:r>
      <w:r>
        <w:rPr>
          <w:color w:val="211F1F"/>
        </w:rPr>
        <w:t>Specifications,</w:t>
      </w:r>
      <w:r>
        <w:rPr>
          <w:color w:val="211F1F"/>
          <w:spacing w:val="-14"/>
        </w:rPr>
        <w:t xml:space="preserve"> </w:t>
      </w:r>
      <w:r>
        <w:rPr>
          <w:color w:val="211F1F"/>
        </w:rPr>
        <w:t>Drawings</w:t>
      </w:r>
      <w:r>
        <w:rPr>
          <w:color w:val="211F1F"/>
          <w:spacing w:val="-13"/>
        </w:rPr>
        <w:t xml:space="preserve"> </w:t>
      </w:r>
      <w:r>
        <w:rPr>
          <w:color w:val="211F1F"/>
        </w:rPr>
        <w:t>and</w:t>
      </w:r>
      <w:r>
        <w:rPr>
          <w:color w:val="211F1F"/>
          <w:spacing w:val="-16"/>
        </w:rPr>
        <w:t xml:space="preserve"> </w:t>
      </w:r>
      <w:r>
        <w:rPr>
          <w:color w:val="211F1F"/>
        </w:rPr>
        <w:t>Bills</w:t>
      </w:r>
      <w:r>
        <w:rPr>
          <w:color w:val="211F1F"/>
          <w:spacing w:val="-14"/>
        </w:rPr>
        <w:t xml:space="preserve"> </w:t>
      </w:r>
      <w:r>
        <w:rPr>
          <w:color w:val="211F1F"/>
        </w:rPr>
        <w:t>of</w:t>
      </w:r>
      <w:r>
        <w:rPr>
          <w:color w:val="211F1F"/>
          <w:spacing w:val="-14"/>
        </w:rPr>
        <w:t xml:space="preserve"> </w:t>
      </w:r>
      <w:r>
        <w:rPr>
          <w:color w:val="211F1F"/>
        </w:rPr>
        <w:t>Quantities</w:t>
      </w:r>
      <w:r>
        <w:rPr>
          <w:color w:val="211F1F"/>
          <w:spacing w:val="-14"/>
        </w:rPr>
        <w:t xml:space="preserve"> </w:t>
      </w:r>
      <w:r>
        <w:rPr>
          <w:color w:val="211F1F"/>
        </w:rPr>
        <w:t>for</w:t>
      </w:r>
      <w:r>
        <w:rPr>
          <w:color w:val="211F1F"/>
          <w:spacing w:val="-14"/>
        </w:rPr>
        <w:t xml:space="preserve"> </w:t>
      </w:r>
      <w:r>
        <w:rPr>
          <w:color w:val="211F1F"/>
        </w:rPr>
        <w:t>the</w:t>
      </w:r>
      <w:r>
        <w:rPr>
          <w:color w:val="211F1F"/>
          <w:spacing w:val="-14"/>
        </w:rPr>
        <w:t xml:space="preserve"> </w:t>
      </w:r>
      <w:r>
        <w:rPr>
          <w:color w:val="211F1F"/>
        </w:rPr>
        <w:t>execution of</w:t>
      </w:r>
      <w:r>
        <w:rPr>
          <w:color w:val="211F1F"/>
          <w:spacing w:val="-21"/>
        </w:rPr>
        <w:t xml:space="preserve"> </w:t>
      </w:r>
      <w:r>
        <w:rPr>
          <w:color w:val="211F1F"/>
        </w:rPr>
        <w:t>theabove</w:t>
      </w:r>
      <w:r>
        <w:rPr>
          <w:color w:val="211F1F"/>
          <w:spacing w:val="-22"/>
        </w:rPr>
        <w:t xml:space="preserve"> </w:t>
      </w:r>
      <w:r>
        <w:rPr>
          <w:color w:val="211F1F"/>
        </w:rPr>
        <w:t>named</w:t>
      </w:r>
      <w:r>
        <w:rPr>
          <w:color w:val="211F1F"/>
          <w:spacing w:val="-30"/>
        </w:rPr>
        <w:t xml:space="preserve"> </w:t>
      </w:r>
      <w:r>
        <w:rPr>
          <w:color w:val="211F1F"/>
        </w:rPr>
        <w:t>Works,</w:t>
      </w:r>
      <w:r>
        <w:rPr>
          <w:color w:val="211F1F"/>
          <w:spacing w:val="-17"/>
        </w:rPr>
        <w:t xml:space="preserve"> </w:t>
      </w:r>
      <w:r>
        <w:rPr>
          <w:color w:val="211F1F"/>
        </w:rPr>
        <w:t>we,</w:t>
      </w:r>
      <w:r>
        <w:rPr>
          <w:color w:val="211F1F"/>
          <w:spacing w:val="-17"/>
        </w:rPr>
        <w:t xml:space="preserve"> </w:t>
      </w:r>
      <w:r>
        <w:rPr>
          <w:color w:val="211F1F"/>
        </w:rPr>
        <w:t>the</w:t>
      </w:r>
      <w:r>
        <w:rPr>
          <w:color w:val="211F1F"/>
          <w:spacing w:val="-26"/>
        </w:rPr>
        <w:t xml:space="preserve"> </w:t>
      </w:r>
      <w:r>
        <w:rPr>
          <w:color w:val="211F1F"/>
        </w:rPr>
        <w:t>undersigned</w:t>
      </w:r>
      <w:r>
        <w:rPr>
          <w:color w:val="211F1F"/>
          <w:spacing w:val="-19"/>
        </w:rPr>
        <w:t xml:space="preserve"> </w:t>
      </w:r>
      <w:r>
        <w:rPr>
          <w:color w:val="211F1F"/>
        </w:rPr>
        <w:t>offer</w:t>
      </w:r>
      <w:r>
        <w:rPr>
          <w:color w:val="211F1F"/>
          <w:spacing w:val="-15"/>
        </w:rPr>
        <w:t xml:space="preserve"> </w:t>
      </w:r>
      <w:r>
        <w:rPr>
          <w:color w:val="211F1F"/>
        </w:rPr>
        <w:t>toconstruct</w:t>
      </w:r>
      <w:r>
        <w:rPr>
          <w:color w:val="211F1F"/>
          <w:spacing w:val="-18"/>
        </w:rPr>
        <w:t xml:space="preserve"> </w:t>
      </w:r>
      <w:r>
        <w:rPr>
          <w:color w:val="211F1F"/>
        </w:rPr>
        <w:t>and</w:t>
      </w:r>
      <w:r>
        <w:rPr>
          <w:color w:val="211F1F"/>
          <w:spacing w:val="-24"/>
        </w:rPr>
        <w:t xml:space="preserve"> </w:t>
      </w:r>
      <w:r>
        <w:rPr>
          <w:color w:val="211F1F"/>
        </w:rPr>
        <w:t>complete</w:t>
      </w:r>
      <w:r>
        <w:rPr>
          <w:color w:val="211F1F"/>
          <w:spacing w:val="-26"/>
        </w:rPr>
        <w:t xml:space="preserve"> </w:t>
      </w:r>
      <w:r>
        <w:rPr>
          <w:color w:val="211F1F"/>
        </w:rPr>
        <w:t>the</w:t>
      </w:r>
      <w:r>
        <w:rPr>
          <w:color w:val="211F1F"/>
          <w:spacing w:val="-32"/>
        </w:rPr>
        <w:t xml:space="preserve"> </w:t>
      </w:r>
      <w:r>
        <w:rPr>
          <w:color w:val="211F1F"/>
        </w:rPr>
        <w:t>Works</w:t>
      </w:r>
      <w:r>
        <w:rPr>
          <w:color w:val="211F1F"/>
          <w:spacing w:val="-23"/>
        </w:rPr>
        <w:t xml:space="preserve"> </w:t>
      </w:r>
      <w:r>
        <w:rPr>
          <w:color w:val="211F1F"/>
        </w:rPr>
        <w:t>and</w:t>
      </w:r>
      <w:r>
        <w:rPr>
          <w:color w:val="211F1F"/>
          <w:spacing w:val="-24"/>
        </w:rPr>
        <w:t xml:space="preserve"> </w:t>
      </w:r>
      <w:r>
        <w:rPr>
          <w:color w:val="211F1F"/>
        </w:rPr>
        <w:t>remedy</w:t>
      </w:r>
      <w:r>
        <w:rPr>
          <w:color w:val="211F1F"/>
          <w:spacing w:val="-14"/>
        </w:rPr>
        <w:t xml:space="preserve"> </w:t>
      </w:r>
      <w:r>
        <w:rPr>
          <w:color w:val="211F1F"/>
        </w:rPr>
        <w:t>any</w:t>
      </w:r>
      <w:r>
        <w:rPr>
          <w:color w:val="211F1F"/>
          <w:spacing w:val="7"/>
        </w:rPr>
        <w:t xml:space="preserve"> </w:t>
      </w:r>
      <w:r>
        <w:rPr>
          <w:color w:val="211F1F"/>
        </w:rPr>
        <w:t>defects therein for the sum of Kenya Shillings [</w:t>
      </w:r>
      <w:r>
        <w:rPr>
          <w:i/>
          <w:color w:val="211F1F"/>
        </w:rPr>
        <w:t>[Amount in figures]</w:t>
      </w:r>
      <w:r>
        <w:rPr>
          <w:i/>
          <w:color w:val="211F1F"/>
          <w:u w:val="single" w:color="201E1F"/>
        </w:rPr>
        <w:tab/>
      </w:r>
      <w:r>
        <w:rPr>
          <w:i/>
          <w:color w:val="211F1F"/>
          <w:u w:val="single" w:color="201E1F"/>
        </w:rPr>
        <w:tab/>
      </w:r>
      <w:r>
        <w:rPr>
          <w:color w:val="211F1F"/>
          <w:spacing w:val="-2"/>
        </w:rPr>
        <w:t xml:space="preserve">Kenya </w:t>
      </w:r>
      <w:r>
        <w:rPr>
          <w:color w:val="211F1F"/>
        </w:rPr>
        <w:t xml:space="preserve">Shillings </w:t>
      </w:r>
      <w:r>
        <w:rPr>
          <w:i/>
          <w:color w:val="211F1F"/>
        </w:rPr>
        <w:t>[amount in words]</w:t>
      </w:r>
      <w:r>
        <w:rPr>
          <w:i/>
          <w:color w:val="211F1F"/>
          <w:u w:val="single" w:color="201E1F"/>
        </w:rPr>
        <w:tab/>
      </w:r>
      <w:r>
        <w:rPr>
          <w:i/>
          <w:color w:val="211F1F"/>
          <w:spacing w:val="-10"/>
        </w:rPr>
        <w:t>.</w:t>
      </w:r>
    </w:p>
    <w:p w14:paraId="4728C6D8" w14:textId="77777777" w:rsidR="00BB77C0" w:rsidRDefault="00370BAA">
      <w:pPr>
        <w:tabs>
          <w:tab w:val="left" w:pos="5877"/>
          <w:tab w:val="left" w:pos="8470"/>
        </w:tabs>
        <w:spacing w:before="237" w:line="237" w:lineRule="auto"/>
        <w:ind w:left="1061" w:right="1523" w:hanging="5"/>
      </w:pPr>
      <w:r>
        <w:rPr>
          <w:color w:val="211F1F"/>
        </w:rPr>
        <w:t>The</w:t>
      </w:r>
      <w:r>
        <w:rPr>
          <w:color w:val="211F1F"/>
          <w:spacing w:val="-12"/>
        </w:rPr>
        <w:t xml:space="preserve"> </w:t>
      </w:r>
      <w:r>
        <w:rPr>
          <w:color w:val="211F1F"/>
        </w:rPr>
        <w:t>above</w:t>
      </w:r>
      <w:r>
        <w:rPr>
          <w:color w:val="211F1F"/>
          <w:spacing w:val="-12"/>
        </w:rPr>
        <w:t xml:space="preserve"> </w:t>
      </w:r>
      <w:r>
        <w:rPr>
          <w:color w:val="211F1F"/>
        </w:rPr>
        <w:t>amount</w:t>
      </w:r>
      <w:r>
        <w:rPr>
          <w:color w:val="211F1F"/>
          <w:spacing w:val="-5"/>
        </w:rPr>
        <w:t xml:space="preserve"> </w:t>
      </w:r>
      <w:r>
        <w:rPr>
          <w:color w:val="211F1F"/>
        </w:rPr>
        <w:t>includes</w:t>
      </w:r>
      <w:r>
        <w:rPr>
          <w:color w:val="211F1F"/>
          <w:spacing w:val="-6"/>
        </w:rPr>
        <w:t xml:space="preserve"> </w:t>
      </w:r>
      <w:r>
        <w:rPr>
          <w:color w:val="211F1F"/>
        </w:rPr>
        <w:t>foreign</w:t>
      </w:r>
      <w:r>
        <w:rPr>
          <w:color w:val="211F1F"/>
          <w:spacing w:val="-9"/>
        </w:rPr>
        <w:t xml:space="preserve"> </w:t>
      </w:r>
      <w:r>
        <w:rPr>
          <w:color w:val="211F1F"/>
        </w:rPr>
        <w:t>currency</w:t>
      </w:r>
      <w:r>
        <w:rPr>
          <w:color w:val="211F1F"/>
          <w:spacing w:val="-9"/>
        </w:rPr>
        <w:t xml:space="preserve"> </w:t>
      </w:r>
      <w:r>
        <w:rPr>
          <w:color w:val="211F1F"/>
        </w:rPr>
        <w:t>amount</w:t>
      </w:r>
      <w:r>
        <w:rPr>
          <w:color w:val="211F1F"/>
          <w:spacing w:val="-5"/>
        </w:rPr>
        <w:t xml:space="preserve"> </w:t>
      </w:r>
      <w:r>
        <w:rPr>
          <w:color w:val="211F1F"/>
        </w:rPr>
        <w:t>(s)</w:t>
      </w:r>
      <w:r>
        <w:rPr>
          <w:color w:val="211F1F"/>
          <w:spacing w:val="-3"/>
        </w:rPr>
        <w:t xml:space="preserve"> </w:t>
      </w:r>
      <w:r>
        <w:rPr>
          <w:color w:val="211F1F"/>
        </w:rPr>
        <w:t>of</w:t>
      </w:r>
      <w:r>
        <w:rPr>
          <w:color w:val="211F1F"/>
          <w:spacing w:val="-8"/>
        </w:rPr>
        <w:t xml:space="preserve"> </w:t>
      </w:r>
      <w:r>
        <w:rPr>
          <w:color w:val="211F1F"/>
        </w:rPr>
        <w:t>[</w:t>
      </w:r>
      <w:r>
        <w:rPr>
          <w:i/>
          <w:color w:val="211F1F"/>
        </w:rPr>
        <w:t>state</w:t>
      </w:r>
      <w:r>
        <w:rPr>
          <w:i/>
          <w:color w:val="211F1F"/>
          <w:spacing w:val="-8"/>
        </w:rPr>
        <w:t xml:space="preserve"> </w:t>
      </w:r>
      <w:r>
        <w:rPr>
          <w:i/>
          <w:color w:val="211F1F"/>
        </w:rPr>
        <w:t>figure</w:t>
      </w:r>
      <w:r>
        <w:rPr>
          <w:i/>
          <w:color w:val="211F1F"/>
          <w:spacing w:val="-8"/>
        </w:rPr>
        <w:t xml:space="preserve"> </w:t>
      </w:r>
      <w:r>
        <w:rPr>
          <w:i/>
          <w:color w:val="211F1F"/>
        </w:rPr>
        <w:t>or</w:t>
      </w:r>
      <w:r>
        <w:rPr>
          <w:i/>
          <w:color w:val="211F1F"/>
          <w:spacing w:val="-9"/>
        </w:rPr>
        <w:t xml:space="preserve"> </w:t>
      </w:r>
      <w:r>
        <w:rPr>
          <w:i/>
          <w:color w:val="211F1F"/>
        </w:rPr>
        <w:t>a</w:t>
      </w:r>
      <w:r>
        <w:rPr>
          <w:i/>
          <w:color w:val="211F1F"/>
          <w:spacing w:val="-7"/>
        </w:rPr>
        <w:t xml:space="preserve"> </w:t>
      </w:r>
      <w:r>
        <w:rPr>
          <w:i/>
          <w:color w:val="211F1F"/>
        </w:rPr>
        <w:t>percentage</w:t>
      </w:r>
      <w:r>
        <w:rPr>
          <w:i/>
          <w:color w:val="211F1F"/>
          <w:spacing w:val="-8"/>
        </w:rPr>
        <w:t xml:space="preserve"> </w:t>
      </w:r>
      <w:r>
        <w:rPr>
          <w:i/>
          <w:color w:val="211F1F"/>
        </w:rPr>
        <w:t>and</w:t>
      </w:r>
      <w:r>
        <w:rPr>
          <w:i/>
          <w:color w:val="211F1F"/>
          <w:spacing w:val="-7"/>
        </w:rPr>
        <w:t xml:space="preserve"> </w:t>
      </w:r>
      <w:r>
        <w:rPr>
          <w:i/>
          <w:color w:val="211F1F"/>
        </w:rPr>
        <w:t>currency</w:t>
      </w:r>
      <w:r>
        <w:rPr>
          <w:color w:val="211F1F"/>
        </w:rPr>
        <w:t xml:space="preserve">] </w:t>
      </w:r>
      <w:r>
        <w:rPr>
          <w:color w:val="211F1F"/>
          <w:spacing w:val="-2"/>
        </w:rPr>
        <w:t>[figures]</w:t>
      </w:r>
      <w:r>
        <w:rPr>
          <w:color w:val="211F1F"/>
          <w:u w:val="single" w:color="201E1F"/>
        </w:rPr>
        <w:tab/>
      </w:r>
      <w:r>
        <w:rPr>
          <w:color w:val="211F1F"/>
          <w:spacing w:val="-2"/>
        </w:rPr>
        <w:t>[words]</w:t>
      </w:r>
      <w:r>
        <w:rPr>
          <w:color w:val="211F1F"/>
          <w:u w:val="single" w:color="201E1F"/>
        </w:rPr>
        <w:tab/>
      </w:r>
      <w:r>
        <w:rPr>
          <w:color w:val="211F1F"/>
          <w:spacing w:val="-10"/>
        </w:rPr>
        <w:t>.</w:t>
      </w:r>
    </w:p>
    <w:p w14:paraId="02611FA5" w14:textId="77777777" w:rsidR="00BB77C0" w:rsidRDefault="00370BAA">
      <w:pPr>
        <w:pStyle w:val="BodyText"/>
        <w:spacing w:before="237" w:line="228" w:lineRule="auto"/>
        <w:ind w:left="1061" w:right="587" w:hanging="5"/>
      </w:pPr>
      <w:r>
        <w:rPr>
          <w:color w:val="211F1F"/>
        </w:rPr>
        <w:t>The</w:t>
      </w:r>
      <w:r>
        <w:rPr>
          <w:color w:val="211F1F"/>
          <w:spacing w:val="-14"/>
        </w:rPr>
        <w:t xml:space="preserve"> </w:t>
      </w:r>
      <w:r>
        <w:rPr>
          <w:color w:val="211F1F"/>
        </w:rPr>
        <w:t>percentage</w:t>
      </w:r>
      <w:r>
        <w:rPr>
          <w:color w:val="211F1F"/>
          <w:spacing w:val="-14"/>
        </w:rPr>
        <w:t xml:space="preserve"> </w:t>
      </w:r>
      <w:r>
        <w:rPr>
          <w:color w:val="211F1F"/>
        </w:rPr>
        <w:t>or</w:t>
      </w:r>
      <w:r>
        <w:rPr>
          <w:color w:val="211F1F"/>
          <w:spacing w:val="-13"/>
        </w:rPr>
        <w:t xml:space="preserve"> </w:t>
      </w:r>
      <w:r>
        <w:rPr>
          <w:color w:val="211F1F"/>
        </w:rPr>
        <w:t>amount</w:t>
      </w:r>
      <w:r>
        <w:rPr>
          <w:color w:val="211F1F"/>
          <w:spacing w:val="-9"/>
        </w:rPr>
        <w:t xml:space="preserve"> </w:t>
      </w:r>
      <w:r>
        <w:rPr>
          <w:color w:val="211F1F"/>
        </w:rPr>
        <w:t>quoted</w:t>
      </w:r>
      <w:r>
        <w:rPr>
          <w:color w:val="211F1F"/>
          <w:spacing w:val="-14"/>
        </w:rPr>
        <w:t xml:space="preserve"> </w:t>
      </w:r>
      <w:r>
        <w:rPr>
          <w:color w:val="211F1F"/>
        </w:rPr>
        <w:t>above</w:t>
      </w:r>
      <w:r>
        <w:rPr>
          <w:color w:val="211F1F"/>
          <w:spacing w:val="-12"/>
        </w:rPr>
        <w:t xml:space="preserve"> </w:t>
      </w:r>
      <w:r>
        <w:rPr>
          <w:color w:val="211F1F"/>
        </w:rPr>
        <w:t>does</w:t>
      </w:r>
      <w:r>
        <w:rPr>
          <w:color w:val="211F1F"/>
          <w:spacing w:val="-10"/>
        </w:rPr>
        <w:t xml:space="preserve"> </w:t>
      </w:r>
      <w:r>
        <w:rPr>
          <w:color w:val="211F1F"/>
        </w:rPr>
        <w:t>not</w:t>
      </w:r>
      <w:r>
        <w:rPr>
          <w:color w:val="211F1F"/>
          <w:spacing w:val="-9"/>
        </w:rPr>
        <w:t xml:space="preserve"> </w:t>
      </w:r>
      <w:r>
        <w:rPr>
          <w:color w:val="211F1F"/>
        </w:rPr>
        <w:t>include</w:t>
      </w:r>
      <w:r>
        <w:rPr>
          <w:color w:val="211F1F"/>
          <w:spacing w:val="-14"/>
        </w:rPr>
        <w:t xml:space="preserve"> </w:t>
      </w:r>
      <w:r>
        <w:rPr>
          <w:color w:val="211F1F"/>
        </w:rPr>
        <w:t>provisional</w:t>
      </w:r>
      <w:r>
        <w:rPr>
          <w:color w:val="211F1F"/>
          <w:spacing w:val="-13"/>
        </w:rPr>
        <w:t xml:space="preserve"> </w:t>
      </w:r>
      <w:r>
        <w:rPr>
          <w:color w:val="211F1F"/>
        </w:rPr>
        <w:t>sums,</w:t>
      </w:r>
      <w:r>
        <w:rPr>
          <w:color w:val="211F1F"/>
          <w:spacing w:val="-7"/>
        </w:rPr>
        <w:t xml:space="preserve"> </w:t>
      </w:r>
      <w:r>
        <w:rPr>
          <w:color w:val="211F1F"/>
        </w:rPr>
        <w:t>and</w:t>
      </w:r>
      <w:r>
        <w:rPr>
          <w:color w:val="211F1F"/>
          <w:spacing w:val="-14"/>
        </w:rPr>
        <w:t xml:space="preserve"> </w:t>
      </w:r>
      <w:r>
        <w:rPr>
          <w:color w:val="211F1F"/>
        </w:rPr>
        <w:t>only</w:t>
      </w:r>
      <w:r>
        <w:rPr>
          <w:color w:val="211F1F"/>
          <w:spacing w:val="-14"/>
        </w:rPr>
        <w:t xml:space="preserve"> </w:t>
      </w:r>
      <w:r>
        <w:rPr>
          <w:color w:val="211F1F"/>
        </w:rPr>
        <w:t>allows</w:t>
      </w:r>
      <w:r>
        <w:rPr>
          <w:color w:val="211F1F"/>
          <w:spacing w:val="-5"/>
        </w:rPr>
        <w:t xml:space="preserve"> </w:t>
      </w:r>
      <w:r>
        <w:rPr>
          <w:color w:val="211F1F"/>
        </w:rPr>
        <w:t>not</w:t>
      </w:r>
      <w:r>
        <w:rPr>
          <w:color w:val="211F1F"/>
          <w:spacing w:val="-6"/>
        </w:rPr>
        <w:t xml:space="preserve"> </w:t>
      </w:r>
      <w:r>
        <w:rPr>
          <w:color w:val="211F1F"/>
        </w:rPr>
        <w:t>more</w:t>
      </w:r>
      <w:r>
        <w:rPr>
          <w:color w:val="211F1F"/>
          <w:spacing w:val="-14"/>
        </w:rPr>
        <w:t xml:space="preserve"> </w:t>
      </w:r>
      <w:r>
        <w:rPr>
          <w:color w:val="211F1F"/>
        </w:rPr>
        <w:t>than</w:t>
      </w:r>
      <w:r>
        <w:rPr>
          <w:color w:val="211F1F"/>
          <w:spacing w:val="-14"/>
        </w:rPr>
        <w:t xml:space="preserve"> </w:t>
      </w:r>
      <w:r>
        <w:rPr>
          <w:color w:val="211F1F"/>
        </w:rPr>
        <w:t>two foreign</w:t>
      </w:r>
      <w:r>
        <w:rPr>
          <w:color w:val="211F1F"/>
          <w:spacing w:val="-26"/>
        </w:rPr>
        <w:t xml:space="preserve"> </w:t>
      </w:r>
      <w:r>
        <w:rPr>
          <w:color w:val="211F1F"/>
        </w:rPr>
        <w:t>currencies.</w:t>
      </w:r>
    </w:p>
    <w:p w14:paraId="6307A1E1" w14:textId="77777777" w:rsidR="00BB77C0" w:rsidRDefault="00370BAA">
      <w:pPr>
        <w:pStyle w:val="ListParagraph"/>
        <w:numPr>
          <w:ilvl w:val="1"/>
          <w:numId w:val="48"/>
        </w:numPr>
        <w:tabs>
          <w:tab w:val="left" w:pos="1059"/>
          <w:tab w:val="left" w:pos="1061"/>
        </w:tabs>
        <w:spacing w:before="240" w:line="232" w:lineRule="auto"/>
        <w:ind w:right="702"/>
        <w:jc w:val="both"/>
        <w:rPr>
          <w:color w:val="211F1F"/>
        </w:rPr>
      </w:pPr>
      <w:r>
        <w:rPr>
          <w:color w:val="211F1F"/>
          <w:spacing w:val="-4"/>
        </w:rPr>
        <w:t>We</w:t>
      </w:r>
      <w:r>
        <w:rPr>
          <w:color w:val="211F1F"/>
          <w:spacing w:val="-10"/>
        </w:rPr>
        <w:t xml:space="preserve"> </w:t>
      </w:r>
      <w:r>
        <w:rPr>
          <w:color w:val="211F1F"/>
          <w:spacing w:val="-4"/>
        </w:rPr>
        <w:t>undertake,</w:t>
      </w:r>
      <w:r>
        <w:rPr>
          <w:color w:val="211F1F"/>
          <w:spacing w:val="-10"/>
        </w:rPr>
        <w:t xml:space="preserve"> </w:t>
      </w:r>
      <w:r>
        <w:rPr>
          <w:color w:val="211F1F"/>
          <w:spacing w:val="-4"/>
        </w:rPr>
        <w:t>if</w:t>
      </w:r>
      <w:r>
        <w:rPr>
          <w:color w:val="211F1F"/>
          <w:spacing w:val="-10"/>
        </w:rPr>
        <w:t xml:space="preserve"> </w:t>
      </w:r>
      <w:r>
        <w:rPr>
          <w:color w:val="211F1F"/>
          <w:spacing w:val="-4"/>
        </w:rPr>
        <w:t>our</w:t>
      </w:r>
      <w:r>
        <w:rPr>
          <w:color w:val="211F1F"/>
          <w:spacing w:val="-9"/>
        </w:rPr>
        <w:t xml:space="preserve"> </w:t>
      </w:r>
      <w:r>
        <w:rPr>
          <w:color w:val="211F1F"/>
          <w:spacing w:val="-4"/>
        </w:rPr>
        <w:t>tender is</w:t>
      </w:r>
      <w:r>
        <w:rPr>
          <w:color w:val="211F1F"/>
          <w:spacing w:val="-10"/>
        </w:rPr>
        <w:t xml:space="preserve"> </w:t>
      </w:r>
      <w:r>
        <w:rPr>
          <w:color w:val="211F1F"/>
          <w:spacing w:val="-4"/>
        </w:rPr>
        <w:t>accepted,</w:t>
      </w:r>
      <w:r>
        <w:rPr>
          <w:color w:val="211F1F"/>
          <w:spacing w:val="-6"/>
        </w:rPr>
        <w:t xml:space="preserve"> </w:t>
      </w:r>
      <w:r>
        <w:rPr>
          <w:color w:val="211F1F"/>
          <w:spacing w:val="-4"/>
        </w:rPr>
        <w:t>to</w:t>
      </w:r>
      <w:r>
        <w:rPr>
          <w:color w:val="211F1F"/>
          <w:spacing w:val="-10"/>
        </w:rPr>
        <w:t xml:space="preserve"> </w:t>
      </w:r>
      <w:r>
        <w:rPr>
          <w:color w:val="211F1F"/>
          <w:spacing w:val="-4"/>
        </w:rPr>
        <w:t>commencethe</w:t>
      </w:r>
      <w:r>
        <w:rPr>
          <w:color w:val="211F1F"/>
          <w:spacing w:val="-6"/>
        </w:rPr>
        <w:t xml:space="preserve"> </w:t>
      </w:r>
      <w:r>
        <w:rPr>
          <w:color w:val="211F1F"/>
          <w:spacing w:val="-4"/>
        </w:rPr>
        <w:t>Works</w:t>
      </w:r>
      <w:r>
        <w:rPr>
          <w:color w:val="211F1F"/>
          <w:spacing w:val="-10"/>
        </w:rPr>
        <w:t xml:space="preserve"> </w:t>
      </w:r>
      <w:r>
        <w:rPr>
          <w:color w:val="211F1F"/>
          <w:spacing w:val="-4"/>
        </w:rPr>
        <w:t>as</w:t>
      </w:r>
      <w:r>
        <w:rPr>
          <w:color w:val="211F1F"/>
          <w:spacing w:val="-9"/>
        </w:rPr>
        <w:t xml:space="preserve"> </w:t>
      </w:r>
      <w:r>
        <w:rPr>
          <w:color w:val="211F1F"/>
          <w:spacing w:val="-4"/>
        </w:rPr>
        <w:t>soon</w:t>
      </w:r>
      <w:r>
        <w:rPr>
          <w:color w:val="211F1F"/>
          <w:spacing w:val="-10"/>
        </w:rPr>
        <w:t xml:space="preserve"> </w:t>
      </w:r>
      <w:r>
        <w:rPr>
          <w:color w:val="211F1F"/>
          <w:spacing w:val="-4"/>
        </w:rPr>
        <w:t>as is</w:t>
      </w:r>
      <w:r>
        <w:rPr>
          <w:color w:val="211F1F"/>
          <w:spacing w:val="-9"/>
        </w:rPr>
        <w:t xml:space="preserve"> </w:t>
      </w:r>
      <w:r>
        <w:rPr>
          <w:color w:val="211F1F"/>
          <w:spacing w:val="-4"/>
        </w:rPr>
        <w:t>reasonably</w:t>
      </w:r>
      <w:r>
        <w:rPr>
          <w:color w:val="211F1F"/>
          <w:spacing w:val="-10"/>
        </w:rPr>
        <w:t xml:space="preserve"> </w:t>
      </w:r>
      <w:r>
        <w:rPr>
          <w:color w:val="211F1F"/>
          <w:spacing w:val="-4"/>
        </w:rPr>
        <w:t>possible</w:t>
      </w:r>
      <w:r>
        <w:rPr>
          <w:color w:val="211F1F"/>
          <w:spacing w:val="-10"/>
        </w:rPr>
        <w:t xml:space="preserve"> </w:t>
      </w:r>
      <w:r>
        <w:rPr>
          <w:color w:val="211F1F"/>
          <w:spacing w:val="-4"/>
        </w:rPr>
        <w:t>after</w:t>
      </w:r>
      <w:r>
        <w:rPr>
          <w:color w:val="211F1F"/>
          <w:spacing w:val="-6"/>
        </w:rPr>
        <w:t xml:space="preserve"> </w:t>
      </w:r>
      <w:r>
        <w:rPr>
          <w:color w:val="211F1F"/>
          <w:spacing w:val="-4"/>
        </w:rPr>
        <w:t>the</w:t>
      </w:r>
      <w:r>
        <w:rPr>
          <w:color w:val="211F1F"/>
          <w:spacing w:val="-10"/>
        </w:rPr>
        <w:t xml:space="preserve"> </w:t>
      </w:r>
      <w:r>
        <w:rPr>
          <w:color w:val="211F1F"/>
          <w:spacing w:val="-4"/>
        </w:rPr>
        <w:t>receipt</w:t>
      </w:r>
      <w:r>
        <w:rPr>
          <w:color w:val="211F1F"/>
          <w:spacing w:val="37"/>
        </w:rPr>
        <w:t xml:space="preserve"> </w:t>
      </w:r>
      <w:r>
        <w:rPr>
          <w:color w:val="211F1F"/>
          <w:spacing w:val="-4"/>
        </w:rPr>
        <w:t xml:space="preserve">of </w:t>
      </w:r>
      <w:r>
        <w:rPr>
          <w:color w:val="211F1F"/>
        </w:rPr>
        <w:t>the</w:t>
      </w:r>
      <w:r>
        <w:rPr>
          <w:color w:val="211F1F"/>
          <w:spacing w:val="-1"/>
        </w:rPr>
        <w:t xml:space="preserve"> </w:t>
      </w:r>
      <w:r>
        <w:rPr>
          <w:color w:val="211F1F"/>
        </w:rPr>
        <w:t>Project Manager's notice</w:t>
      </w:r>
      <w:r>
        <w:rPr>
          <w:color w:val="211F1F"/>
          <w:spacing w:val="-1"/>
        </w:rPr>
        <w:t xml:space="preserve"> </w:t>
      </w:r>
      <w:r>
        <w:rPr>
          <w:color w:val="211F1F"/>
        </w:rPr>
        <w:t>to commence, and to complete</w:t>
      </w:r>
      <w:r>
        <w:rPr>
          <w:color w:val="211F1F"/>
          <w:spacing w:val="-1"/>
        </w:rPr>
        <w:t xml:space="preserve"> </w:t>
      </w:r>
      <w:r>
        <w:rPr>
          <w:color w:val="211F1F"/>
        </w:rPr>
        <w:t>the whole</w:t>
      </w:r>
      <w:r>
        <w:rPr>
          <w:color w:val="211F1F"/>
          <w:spacing w:val="-1"/>
        </w:rPr>
        <w:t xml:space="preserve"> </w:t>
      </w:r>
      <w:r>
        <w:rPr>
          <w:color w:val="211F1F"/>
        </w:rPr>
        <w:t>of the Works comprised in the</w:t>
      </w:r>
      <w:r>
        <w:rPr>
          <w:color w:val="211F1F"/>
          <w:spacing w:val="-1"/>
        </w:rPr>
        <w:t xml:space="preserve"> </w:t>
      </w:r>
      <w:r>
        <w:rPr>
          <w:color w:val="211F1F"/>
        </w:rPr>
        <w:t>Contract within the time stated in the Special Conditions of Contract.</w:t>
      </w:r>
    </w:p>
    <w:p w14:paraId="36DA23A3" w14:textId="77777777" w:rsidR="00BB77C0" w:rsidRDefault="00370BAA">
      <w:pPr>
        <w:pStyle w:val="ListParagraph"/>
        <w:numPr>
          <w:ilvl w:val="1"/>
          <w:numId w:val="48"/>
        </w:numPr>
        <w:tabs>
          <w:tab w:val="left" w:pos="1059"/>
          <w:tab w:val="left" w:pos="1061"/>
          <w:tab w:val="left" w:pos="6501"/>
        </w:tabs>
        <w:spacing w:before="243" w:line="228" w:lineRule="auto"/>
        <w:ind w:right="714"/>
        <w:jc w:val="both"/>
        <w:rPr>
          <w:color w:val="211F1F"/>
        </w:rPr>
      </w:pPr>
      <w:r>
        <w:rPr>
          <w:color w:val="211F1F"/>
        </w:rPr>
        <w:t>We agree to adhere by this tender until</w:t>
      </w:r>
      <w:r>
        <w:rPr>
          <w:i/>
          <w:color w:val="211F1F"/>
          <w:u w:val="single" w:color="201E1F"/>
        </w:rPr>
        <w:tab/>
      </w:r>
      <w:r>
        <w:rPr>
          <w:i/>
          <w:color w:val="211F1F"/>
        </w:rPr>
        <w:t>[Insert date],</w:t>
      </w:r>
      <w:r>
        <w:rPr>
          <w:i/>
          <w:color w:val="211F1F"/>
          <w:spacing w:val="-3"/>
        </w:rPr>
        <w:t xml:space="preserve"> </w:t>
      </w:r>
      <w:r>
        <w:rPr>
          <w:color w:val="211F1F"/>
        </w:rPr>
        <w:t>and</w:t>
      </w:r>
      <w:r>
        <w:rPr>
          <w:color w:val="211F1F"/>
          <w:spacing w:val="-6"/>
        </w:rPr>
        <w:t xml:space="preserve"> </w:t>
      </w:r>
      <w:r>
        <w:rPr>
          <w:color w:val="211F1F"/>
        </w:rPr>
        <w:t>it</w:t>
      </w:r>
      <w:r>
        <w:rPr>
          <w:color w:val="211F1F"/>
          <w:spacing w:val="-1"/>
        </w:rPr>
        <w:t xml:space="preserve"> </w:t>
      </w:r>
      <w:r>
        <w:rPr>
          <w:color w:val="211F1F"/>
        </w:rPr>
        <w:t>shall</w:t>
      </w:r>
      <w:r>
        <w:rPr>
          <w:color w:val="211F1F"/>
          <w:spacing w:val="-5"/>
        </w:rPr>
        <w:t xml:space="preserve"> </w:t>
      </w:r>
      <w:r>
        <w:rPr>
          <w:color w:val="211F1F"/>
        </w:rPr>
        <w:t>remain</w:t>
      </w:r>
      <w:r>
        <w:rPr>
          <w:color w:val="211F1F"/>
          <w:spacing w:val="-6"/>
        </w:rPr>
        <w:t xml:space="preserve"> </w:t>
      </w:r>
      <w:r>
        <w:rPr>
          <w:color w:val="211F1F"/>
        </w:rPr>
        <w:t>binding</w:t>
      </w:r>
      <w:r>
        <w:rPr>
          <w:color w:val="211F1F"/>
          <w:spacing w:val="-6"/>
        </w:rPr>
        <w:t xml:space="preserve"> </w:t>
      </w:r>
      <w:r>
        <w:rPr>
          <w:color w:val="211F1F"/>
        </w:rPr>
        <w:t>upon</w:t>
      </w:r>
      <w:r>
        <w:rPr>
          <w:color w:val="211F1F"/>
          <w:spacing w:val="-7"/>
        </w:rPr>
        <w:t xml:space="preserve"> </w:t>
      </w:r>
      <w:r>
        <w:rPr>
          <w:color w:val="211F1F"/>
        </w:rPr>
        <w:t>us and may be accepted at any time before that date.</w:t>
      </w:r>
    </w:p>
    <w:p w14:paraId="6995E819" w14:textId="77777777" w:rsidR="00BB77C0" w:rsidRDefault="00370BAA">
      <w:pPr>
        <w:pStyle w:val="ListParagraph"/>
        <w:numPr>
          <w:ilvl w:val="1"/>
          <w:numId w:val="48"/>
        </w:numPr>
        <w:tabs>
          <w:tab w:val="left" w:pos="1054"/>
          <w:tab w:val="left" w:pos="1061"/>
        </w:tabs>
        <w:spacing w:before="247" w:line="230" w:lineRule="auto"/>
        <w:ind w:right="710"/>
        <w:jc w:val="both"/>
        <w:rPr>
          <w:color w:val="211F1F"/>
        </w:rPr>
      </w:pPr>
      <w:r>
        <w:rPr>
          <w:color w:val="211F1F"/>
        </w:rPr>
        <w:t>Unless</w:t>
      </w:r>
      <w:r>
        <w:rPr>
          <w:color w:val="211F1F"/>
          <w:spacing w:val="-13"/>
        </w:rPr>
        <w:t xml:space="preserve"> </w:t>
      </w:r>
      <w:r>
        <w:rPr>
          <w:color w:val="211F1F"/>
        </w:rPr>
        <w:t>and</w:t>
      </w:r>
      <w:r>
        <w:rPr>
          <w:color w:val="211F1F"/>
          <w:spacing w:val="-8"/>
        </w:rPr>
        <w:t xml:space="preserve"> </w:t>
      </w:r>
      <w:r>
        <w:rPr>
          <w:color w:val="211F1F"/>
        </w:rPr>
        <w:t>until</w:t>
      </w:r>
      <w:r>
        <w:rPr>
          <w:color w:val="211F1F"/>
          <w:spacing w:val="-7"/>
        </w:rPr>
        <w:t xml:space="preserve"> </w:t>
      </w:r>
      <w:r>
        <w:rPr>
          <w:color w:val="211F1F"/>
        </w:rPr>
        <w:t>a</w:t>
      </w:r>
      <w:r>
        <w:rPr>
          <w:color w:val="211F1F"/>
          <w:spacing w:val="-5"/>
        </w:rPr>
        <w:t xml:space="preserve"> </w:t>
      </w:r>
      <w:r>
        <w:rPr>
          <w:color w:val="211F1F"/>
        </w:rPr>
        <w:t>formal</w:t>
      </w:r>
      <w:r>
        <w:rPr>
          <w:color w:val="211F1F"/>
          <w:spacing w:val="-14"/>
        </w:rPr>
        <w:t xml:space="preserve"> </w:t>
      </w:r>
      <w:r>
        <w:rPr>
          <w:color w:val="211F1F"/>
        </w:rPr>
        <w:t>Agreement</w:t>
      </w:r>
      <w:r>
        <w:rPr>
          <w:color w:val="211F1F"/>
          <w:spacing w:val="-2"/>
        </w:rPr>
        <w:t xml:space="preserve"> </w:t>
      </w:r>
      <w:r>
        <w:rPr>
          <w:color w:val="211F1F"/>
        </w:rPr>
        <w:t>is</w:t>
      </w:r>
      <w:r>
        <w:rPr>
          <w:color w:val="211F1F"/>
          <w:spacing w:val="-3"/>
        </w:rPr>
        <w:t xml:space="preserve"> </w:t>
      </w:r>
      <w:r>
        <w:rPr>
          <w:color w:val="211F1F"/>
        </w:rPr>
        <w:t>prepared</w:t>
      </w:r>
      <w:r>
        <w:rPr>
          <w:color w:val="211F1F"/>
          <w:spacing w:val="-8"/>
        </w:rPr>
        <w:t xml:space="preserve"> </w:t>
      </w:r>
      <w:r>
        <w:rPr>
          <w:color w:val="211F1F"/>
        </w:rPr>
        <w:t>and</w:t>
      </w:r>
      <w:r>
        <w:rPr>
          <w:color w:val="211F1F"/>
          <w:spacing w:val="-8"/>
        </w:rPr>
        <w:t xml:space="preserve"> </w:t>
      </w:r>
      <w:r>
        <w:rPr>
          <w:color w:val="211F1F"/>
        </w:rPr>
        <w:t>executed</w:t>
      </w:r>
      <w:r>
        <w:rPr>
          <w:color w:val="211F1F"/>
          <w:spacing w:val="-8"/>
        </w:rPr>
        <w:t xml:space="preserve"> </w:t>
      </w:r>
      <w:r>
        <w:rPr>
          <w:color w:val="211F1F"/>
        </w:rPr>
        <w:t>this</w:t>
      </w:r>
      <w:r>
        <w:rPr>
          <w:color w:val="211F1F"/>
          <w:spacing w:val="-3"/>
        </w:rPr>
        <w:t xml:space="preserve"> </w:t>
      </w:r>
      <w:r>
        <w:rPr>
          <w:color w:val="211F1F"/>
        </w:rPr>
        <w:t>tender</w:t>
      </w:r>
      <w:r>
        <w:rPr>
          <w:color w:val="211F1F"/>
          <w:spacing w:val="-1"/>
        </w:rPr>
        <w:t xml:space="preserve"> </w:t>
      </w:r>
      <w:r>
        <w:rPr>
          <w:color w:val="211F1F"/>
        </w:rPr>
        <w:t>together</w:t>
      </w:r>
      <w:r>
        <w:rPr>
          <w:color w:val="211F1F"/>
          <w:spacing w:val="-1"/>
        </w:rPr>
        <w:t xml:space="preserve"> </w:t>
      </w:r>
      <w:r>
        <w:rPr>
          <w:color w:val="211F1F"/>
        </w:rPr>
        <w:t>with</w:t>
      </w:r>
      <w:r>
        <w:rPr>
          <w:color w:val="211F1F"/>
          <w:spacing w:val="-8"/>
        </w:rPr>
        <w:t xml:space="preserve"> </w:t>
      </w:r>
      <w:r>
        <w:rPr>
          <w:color w:val="211F1F"/>
        </w:rPr>
        <w:t>your</w:t>
      </w:r>
      <w:r>
        <w:rPr>
          <w:color w:val="211F1F"/>
          <w:spacing w:val="-2"/>
        </w:rPr>
        <w:t xml:space="preserve"> </w:t>
      </w:r>
      <w:r>
        <w:rPr>
          <w:color w:val="211F1F"/>
        </w:rPr>
        <w:t>written</w:t>
      </w:r>
      <w:r>
        <w:rPr>
          <w:color w:val="211F1F"/>
          <w:spacing w:val="-8"/>
        </w:rPr>
        <w:t xml:space="preserve"> </w:t>
      </w:r>
      <w:r>
        <w:rPr>
          <w:color w:val="211F1F"/>
        </w:rPr>
        <w:t>acceptance thereof, shall</w:t>
      </w:r>
      <w:r>
        <w:rPr>
          <w:color w:val="211F1F"/>
          <w:spacing w:val="-1"/>
        </w:rPr>
        <w:t xml:space="preserve"> </w:t>
      </w:r>
      <w:r>
        <w:rPr>
          <w:color w:val="211F1F"/>
        </w:rPr>
        <w:t>constitute</w:t>
      </w:r>
      <w:r>
        <w:rPr>
          <w:color w:val="211F1F"/>
          <w:spacing w:val="-2"/>
        </w:rPr>
        <w:t xml:space="preserve"> </w:t>
      </w:r>
      <w:r>
        <w:rPr>
          <w:color w:val="211F1F"/>
        </w:rPr>
        <w:t>a binding</w:t>
      </w:r>
      <w:r>
        <w:rPr>
          <w:color w:val="211F1F"/>
          <w:spacing w:val="-2"/>
        </w:rPr>
        <w:t xml:space="preserve"> </w:t>
      </w:r>
      <w:r>
        <w:rPr>
          <w:color w:val="211F1F"/>
        </w:rPr>
        <w:t>Contract between</w:t>
      </w:r>
      <w:r>
        <w:rPr>
          <w:color w:val="211F1F"/>
          <w:spacing w:val="-2"/>
        </w:rPr>
        <w:t xml:space="preserve"> </w:t>
      </w:r>
      <w:r>
        <w:rPr>
          <w:color w:val="211F1F"/>
        </w:rPr>
        <w:t>us.</w:t>
      </w:r>
      <w:r>
        <w:rPr>
          <w:color w:val="211F1F"/>
          <w:spacing w:val="-3"/>
        </w:rPr>
        <w:t xml:space="preserve"> </w:t>
      </w:r>
      <w:r>
        <w:rPr>
          <w:color w:val="211F1F"/>
        </w:rPr>
        <w:t>We</w:t>
      </w:r>
      <w:r>
        <w:rPr>
          <w:color w:val="211F1F"/>
          <w:spacing w:val="-13"/>
        </w:rPr>
        <w:t xml:space="preserve"> </w:t>
      </w:r>
      <w:r>
        <w:rPr>
          <w:color w:val="211F1F"/>
        </w:rPr>
        <w:t>further understand</w:t>
      </w:r>
      <w:r>
        <w:rPr>
          <w:color w:val="211F1F"/>
          <w:spacing w:val="-1"/>
        </w:rPr>
        <w:t xml:space="preserve"> </w:t>
      </w:r>
      <w:r>
        <w:rPr>
          <w:color w:val="211F1F"/>
        </w:rPr>
        <w:t>that you are</w:t>
      </w:r>
      <w:r>
        <w:rPr>
          <w:color w:val="211F1F"/>
          <w:spacing w:val="-3"/>
        </w:rPr>
        <w:t xml:space="preserve"> </w:t>
      </w:r>
      <w:r>
        <w:rPr>
          <w:color w:val="211F1F"/>
        </w:rPr>
        <w:t>not bound</w:t>
      </w:r>
      <w:r>
        <w:rPr>
          <w:color w:val="211F1F"/>
          <w:spacing w:val="-1"/>
        </w:rPr>
        <w:t xml:space="preserve"> </w:t>
      </w:r>
      <w:r>
        <w:rPr>
          <w:color w:val="211F1F"/>
        </w:rPr>
        <w:t>to</w:t>
      </w:r>
      <w:r>
        <w:rPr>
          <w:color w:val="211F1F"/>
          <w:spacing w:val="-7"/>
        </w:rPr>
        <w:t xml:space="preserve"> </w:t>
      </w:r>
      <w:r>
        <w:rPr>
          <w:color w:val="211F1F"/>
        </w:rPr>
        <w:t>accept the lowest or any tender you may receive.</w:t>
      </w:r>
    </w:p>
    <w:p w14:paraId="36F5F6A7" w14:textId="77777777" w:rsidR="00BB77C0" w:rsidRDefault="00370BAA">
      <w:pPr>
        <w:pStyle w:val="ListParagraph"/>
        <w:numPr>
          <w:ilvl w:val="1"/>
          <w:numId w:val="48"/>
        </w:numPr>
        <w:tabs>
          <w:tab w:val="left" w:pos="1055"/>
        </w:tabs>
        <w:spacing w:before="238"/>
        <w:ind w:left="1055" w:hanging="565"/>
        <w:jc w:val="both"/>
        <w:rPr>
          <w:color w:val="211F1F"/>
        </w:rPr>
      </w:pPr>
      <w:r>
        <w:rPr>
          <w:color w:val="211F1F"/>
          <w:spacing w:val="-4"/>
        </w:rPr>
        <w:t>We,</w:t>
      </w:r>
      <w:r>
        <w:rPr>
          <w:color w:val="211F1F"/>
          <w:spacing w:val="-17"/>
        </w:rPr>
        <w:t xml:space="preserve"> </w:t>
      </w:r>
      <w:r>
        <w:rPr>
          <w:color w:val="211F1F"/>
          <w:spacing w:val="-4"/>
        </w:rPr>
        <w:t>the</w:t>
      </w:r>
      <w:r>
        <w:rPr>
          <w:color w:val="211F1F"/>
          <w:spacing w:val="-11"/>
        </w:rPr>
        <w:t xml:space="preserve"> </w:t>
      </w:r>
      <w:r>
        <w:rPr>
          <w:color w:val="211F1F"/>
          <w:spacing w:val="-4"/>
        </w:rPr>
        <w:t>undersigned,</w:t>
      </w:r>
      <w:r>
        <w:rPr>
          <w:color w:val="211F1F"/>
          <w:spacing w:val="2"/>
        </w:rPr>
        <w:t xml:space="preserve"> </w:t>
      </w:r>
      <w:r>
        <w:rPr>
          <w:color w:val="211F1F"/>
          <w:spacing w:val="-4"/>
        </w:rPr>
        <w:t>further</w:t>
      </w:r>
      <w:r>
        <w:rPr>
          <w:color w:val="211F1F"/>
          <w:spacing w:val="-3"/>
        </w:rPr>
        <w:t xml:space="preserve"> </w:t>
      </w:r>
      <w:r>
        <w:rPr>
          <w:color w:val="211F1F"/>
          <w:spacing w:val="-4"/>
        </w:rPr>
        <w:t>declare</w:t>
      </w:r>
      <w:r>
        <w:rPr>
          <w:color w:val="211F1F"/>
          <w:spacing w:val="-9"/>
        </w:rPr>
        <w:t xml:space="preserve"> </w:t>
      </w:r>
      <w:r>
        <w:rPr>
          <w:color w:val="211F1F"/>
          <w:spacing w:val="-4"/>
        </w:rPr>
        <w:t>that:</w:t>
      </w:r>
    </w:p>
    <w:p w14:paraId="150429E8" w14:textId="77777777" w:rsidR="00BB77C0" w:rsidRDefault="00370BAA">
      <w:pPr>
        <w:pStyle w:val="ListParagraph"/>
        <w:numPr>
          <w:ilvl w:val="2"/>
          <w:numId w:val="48"/>
        </w:numPr>
        <w:tabs>
          <w:tab w:val="left" w:pos="1564"/>
          <w:tab w:val="left" w:pos="1575"/>
        </w:tabs>
        <w:spacing w:before="26" w:line="228" w:lineRule="auto"/>
        <w:ind w:right="716" w:hanging="519"/>
        <w:jc w:val="both"/>
        <w:rPr>
          <w:color w:val="211F1F"/>
        </w:rPr>
      </w:pPr>
      <w:r>
        <w:rPr>
          <w:i/>
          <w:color w:val="211F1F"/>
          <w:u w:val="single" w:color="211F1F"/>
        </w:rPr>
        <w:t>No</w:t>
      </w:r>
      <w:r>
        <w:rPr>
          <w:i/>
          <w:color w:val="211F1F"/>
          <w:spacing w:val="-11"/>
          <w:u w:val="single" w:color="211F1F"/>
        </w:rPr>
        <w:t xml:space="preserve"> </w:t>
      </w:r>
      <w:r>
        <w:rPr>
          <w:i/>
          <w:color w:val="211F1F"/>
          <w:u w:val="single" w:color="211F1F"/>
        </w:rPr>
        <w:t>reservations</w:t>
      </w:r>
      <w:r>
        <w:rPr>
          <w:i/>
          <w:color w:val="211F1F"/>
        </w:rPr>
        <w:t>:</w:t>
      </w:r>
      <w:r>
        <w:rPr>
          <w:i/>
          <w:color w:val="211F1F"/>
          <w:spacing w:val="-4"/>
        </w:rPr>
        <w:t xml:space="preserve"> </w:t>
      </w:r>
      <w:r>
        <w:rPr>
          <w:color w:val="211F1F"/>
        </w:rPr>
        <w:t>We</w:t>
      </w:r>
      <w:r>
        <w:rPr>
          <w:color w:val="211F1F"/>
          <w:spacing w:val="-14"/>
        </w:rPr>
        <w:t xml:space="preserve"> </w:t>
      </w:r>
      <w:r>
        <w:rPr>
          <w:color w:val="211F1F"/>
        </w:rPr>
        <w:t>have</w:t>
      </w:r>
      <w:r>
        <w:rPr>
          <w:color w:val="211F1F"/>
          <w:spacing w:val="-3"/>
        </w:rPr>
        <w:t xml:space="preserve"> </w:t>
      </w:r>
      <w:r>
        <w:rPr>
          <w:color w:val="211F1F"/>
        </w:rPr>
        <w:t>examined</w:t>
      </w:r>
      <w:r>
        <w:rPr>
          <w:color w:val="211F1F"/>
          <w:spacing w:val="-7"/>
        </w:rPr>
        <w:t xml:space="preserve"> </w:t>
      </w:r>
      <w:r>
        <w:rPr>
          <w:color w:val="211F1F"/>
        </w:rPr>
        <w:t>and</w:t>
      </w:r>
      <w:r>
        <w:rPr>
          <w:color w:val="211F1F"/>
          <w:spacing w:val="-7"/>
        </w:rPr>
        <w:t xml:space="preserve"> </w:t>
      </w:r>
      <w:r>
        <w:rPr>
          <w:color w:val="211F1F"/>
        </w:rPr>
        <w:t>have</w:t>
      </w:r>
      <w:r>
        <w:rPr>
          <w:color w:val="211F1F"/>
          <w:spacing w:val="-5"/>
        </w:rPr>
        <w:t xml:space="preserve"> </w:t>
      </w:r>
      <w:r>
        <w:rPr>
          <w:color w:val="211F1F"/>
        </w:rPr>
        <w:t>no</w:t>
      </w:r>
      <w:r>
        <w:rPr>
          <w:color w:val="211F1F"/>
          <w:spacing w:val="-7"/>
        </w:rPr>
        <w:t xml:space="preserve"> </w:t>
      </w:r>
      <w:r>
        <w:rPr>
          <w:color w:val="211F1F"/>
        </w:rPr>
        <w:t>reservations</w:t>
      </w:r>
      <w:r>
        <w:rPr>
          <w:color w:val="211F1F"/>
          <w:spacing w:val="-1"/>
        </w:rPr>
        <w:t xml:space="preserve"> </w:t>
      </w:r>
      <w:r>
        <w:rPr>
          <w:color w:val="211F1F"/>
        </w:rPr>
        <w:t>to</w:t>
      </w:r>
      <w:r>
        <w:rPr>
          <w:color w:val="211F1F"/>
          <w:spacing w:val="-7"/>
        </w:rPr>
        <w:t xml:space="preserve"> </w:t>
      </w:r>
      <w:r>
        <w:rPr>
          <w:color w:val="211F1F"/>
        </w:rPr>
        <w:t>the</w:t>
      </w:r>
      <w:r>
        <w:rPr>
          <w:color w:val="211F1F"/>
          <w:spacing w:val="-8"/>
        </w:rPr>
        <w:t xml:space="preserve"> </w:t>
      </w:r>
      <w:r>
        <w:rPr>
          <w:color w:val="211F1F"/>
        </w:rPr>
        <w:t>tender document, including</w:t>
      </w:r>
      <w:r>
        <w:rPr>
          <w:color w:val="211F1F"/>
          <w:spacing w:val="-10"/>
        </w:rPr>
        <w:t xml:space="preserve"> </w:t>
      </w:r>
      <w:r>
        <w:rPr>
          <w:color w:val="211F1F"/>
        </w:rPr>
        <w:t>Addenda issued in accordance with ITT 28;</w:t>
      </w:r>
    </w:p>
    <w:p w14:paraId="5BC85676" w14:textId="77777777" w:rsidR="00BB77C0" w:rsidRDefault="00370BAA">
      <w:pPr>
        <w:pStyle w:val="ListParagraph"/>
        <w:numPr>
          <w:ilvl w:val="2"/>
          <w:numId w:val="48"/>
        </w:numPr>
        <w:tabs>
          <w:tab w:val="left" w:pos="1563"/>
          <w:tab w:val="left" w:pos="1575"/>
        </w:tabs>
        <w:spacing w:before="29" w:line="228" w:lineRule="auto"/>
        <w:ind w:right="705" w:hanging="519"/>
        <w:jc w:val="both"/>
        <w:rPr>
          <w:color w:val="211F1F"/>
        </w:rPr>
      </w:pPr>
      <w:r>
        <w:rPr>
          <w:i/>
          <w:color w:val="211F1F"/>
          <w:u w:val="single" w:color="211F1F"/>
        </w:rPr>
        <w:t>Eligibility:</w:t>
      </w:r>
      <w:r>
        <w:rPr>
          <w:i/>
          <w:color w:val="211F1F"/>
          <w:spacing w:val="-6"/>
        </w:rPr>
        <w:t xml:space="preserve"> </w:t>
      </w:r>
      <w:r>
        <w:rPr>
          <w:color w:val="211F1F"/>
        </w:rPr>
        <w:t>We</w:t>
      </w:r>
      <w:r>
        <w:rPr>
          <w:color w:val="211F1F"/>
          <w:spacing w:val="-12"/>
        </w:rPr>
        <w:t xml:space="preserve"> </w:t>
      </w:r>
      <w:r>
        <w:rPr>
          <w:color w:val="211F1F"/>
        </w:rPr>
        <w:t>meet</w:t>
      </w:r>
      <w:r>
        <w:rPr>
          <w:color w:val="211F1F"/>
          <w:spacing w:val="-1"/>
        </w:rPr>
        <w:t xml:space="preserve"> </w:t>
      </w:r>
      <w:r>
        <w:rPr>
          <w:color w:val="211F1F"/>
        </w:rPr>
        <w:t>the</w:t>
      </w:r>
      <w:r>
        <w:rPr>
          <w:color w:val="211F1F"/>
          <w:spacing w:val="-3"/>
        </w:rPr>
        <w:t xml:space="preserve"> </w:t>
      </w:r>
      <w:r>
        <w:rPr>
          <w:color w:val="211F1F"/>
        </w:rPr>
        <w:t>eligibility</w:t>
      </w:r>
      <w:r>
        <w:rPr>
          <w:color w:val="211F1F"/>
          <w:spacing w:val="-4"/>
        </w:rPr>
        <w:t xml:space="preserve"> </w:t>
      </w:r>
      <w:r>
        <w:rPr>
          <w:color w:val="211F1F"/>
        </w:rPr>
        <w:t>requirements and</w:t>
      </w:r>
      <w:r>
        <w:rPr>
          <w:color w:val="211F1F"/>
          <w:spacing w:val="-5"/>
        </w:rPr>
        <w:t xml:space="preserve"> </w:t>
      </w:r>
      <w:r>
        <w:rPr>
          <w:color w:val="211F1F"/>
        </w:rPr>
        <w:t>have</w:t>
      </w:r>
      <w:r>
        <w:rPr>
          <w:color w:val="211F1F"/>
          <w:spacing w:val="-3"/>
        </w:rPr>
        <w:t xml:space="preserve"> </w:t>
      </w:r>
      <w:r>
        <w:rPr>
          <w:color w:val="211F1F"/>
        </w:rPr>
        <w:t>no</w:t>
      </w:r>
      <w:r>
        <w:rPr>
          <w:color w:val="211F1F"/>
          <w:spacing w:val="-6"/>
        </w:rPr>
        <w:t xml:space="preserve"> </w:t>
      </w:r>
      <w:r>
        <w:rPr>
          <w:color w:val="211F1F"/>
        </w:rPr>
        <w:t>conflict of interest in</w:t>
      </w:r>
      <w:r>
        <w:rPr>
          <w:color w:val="211F1F"/>
          <w:spacing w:val="-6"/>
        </w:rPr>
        <w:t xml:space="preserve"> </w:t>
      </w:r>
      <w:r>
        <w:rPr>
          <w:color w:val="211F1F"/>
        </w:rPr>
        <w:t>accordance</w:t>
      </w:r>
      <w:r>
        <w:rPr>
          <w:color w:val="211F1F"/>
          <w:spacing w:val="-6"/>
        </w:rPr>
        <w:t xml:space="preserve"> </w:t>
      </w:r>
      <w:r>
        <w:rPr>
          <w:color w:val="211F1F"/>
        </w:rPr>
        <w:t>with</w:t>
      </w:r>
      <w:r>
        <w:rPr>
          <w:color w:val="211F1F"/>
          <w:spacing w:val="-5"/>
        </w:rPr>
        <w:t xml:space="preserve"> </w:t>
      </w:r>
      <w:r>
        <w:rPr>
          <w:color w:val="211F1F"/>
        </w:rPr>
        <w:t>ITT</w:t>
      </w:r>
      <w:r>
        <w:rPr>
          <w:color w:val="211F1F"/>
          <w:spacing w:val="-2"/>
        </w:rPr>
        <w:t xml:space="preserve"> </w:t>
      </w:r>
      <w:r>
        <w:rPr>
          <w:color w:val="211F1F"/>
        </w:rPr>
        <w:t>3 and</w:t>
      </w:r>
      <w:r>
        <w:rPr>
          <w:color w:val="211F1F"/>
          <w:spacing w:val="-26"/>
        </w:rPr>
        <w:t xml:space="preserve"> </w:t>
      </w:r>
      <w:r>
        <w:rPr>
          <w:color w:val="211F1F"/>
        </w:rPr>
        <w:t>4;</w:t>
      </w:r>
    </w:p>
    <w:p w14:paraId="2FA9DB03" w14:textId="77777777" w:rsidR="00BB77C0" w:rsidRDefault="00370BAA">
      <w:pPr>
        <w:pStyle w:val="ListParagraph"/>
        <w:numPr>
          <w:ilvl w:val="2"/>
          <w:numId w:val="48"/>
        </w:numPr>
        <w:tabs>
          <w:tab w:val="left" w:pos="1563"/>
          <w:tab w:val="left" w:pos="1575"/>
        </w:tabs>
        <w:spacing w:before="26" w:line="230" w:lineRule="auto"/>
        <w:ind w:right="709" w:hanging="519"/>
        <w:jc w:val="both"/>
        <w:rPr>
          <w:color w:val="211F1F"/>
        </w:rPr>
      </w:pPr>
      <w:r>
        <w:rPr>
          <w:i/>
          <w:color w:val="211F1F"/>
          <w:u w:val="single" w:color="211F1F"/>
        </w:rPr>
        <w:t>Tender-Securing</w:t>
      </w:r>
      <w:r>
        <w:rPr>
          <w:i/>
          <w:color w:val="211F1F"/>
          <w:spacing w:val="-14"/>
          <w:u w:val="single" w:color="211F1F"/>
        </w:rPr>
        <w:t xml:space="preserve"> </w:t>
      </w:r>
      <w:r>
        <w:rPr>
          <w:i/>
          <w:color w:val="211F1F"/>
          <w:u w:val="single" w:color="211F1F"/>
        </w:rPr>
        <w:t>Declaration</w:t>
      </w:r>
      <w:r>
        <w:rPr>
          <w:i/>
          <w:color w:val="211F1F"/>
        </w:rPr>
        <w:t>:</w:t>
      </w:r>
      <w:r>
        <w:rPr>
          <w:i/>
          <w:color w:val="211F1F"/>
          <w:spacing w:val="-14"/>
        </w:rPr>
        <w:t xml:space="preserve"> </w:t>
      </w:r>
      <w:r>
        <w:rPr>
          <w:color w:val="211F1F"/>
        </w:rPr>
        <w:t>We</w:t>
      </w:r>
      <w:r>
        <w:rPr>
          <w:color w:val="211F1F"/>
          <w:spacing w:val="-14"/>
        </w:rPr>
        <w:t xml:space="preserve"> </w:t>
      </w:r>
      <w:r>
        <w:rPr>
          <w:color w:val="211F1F"/>
        </w:rPr>
        <w:t>have</w:t>
      </w:r>
      <w:r>
        <w:rPr>
          <w:color w:val="211F1F"/>
          <w:spacing w:val="-13"/>
        </w:rPr>
        <w:t xml:space="preserve"> </w:t>
      </w:r>
      <w:r>
        <w:rPr>
          <w:color w:val="211F1F"/>
        </w:rPr>
        <w:t>not</w:t>
      </w:r>
      <w:r>
        <w:rPr>
          <w:color w:val="211F1F"/>
          <w:spacing w:val="-14"/>
        </w:rPr>
        <w:t xml:space="preserve"> </w:t>
      </w:r>
      <w:r>
        <w:rPr>
          <w:color w:val="211F1F"/>
        </w:rPr>
        <w:t>been</w:t>
      </w:r>
      <w:r>
        <w:rPr>
          <w:color w:val="211F1F"/>
          <w:spacing w:val="-14"/>
        </w:rPr>
        <w:t xml:space="preserve"> </w:t>
      </w:r>
      <w:r>
        <w:rPr>
          <w:color w:val="211F1F"/>
        </w:rPr>
        <w:t>suspended</w:t>
      </w:r>
      <w:r>
        <w:rPr>
          <w:color w:val="211F1F"/>
          <w:spacing w:val="-14"/>
        </w:rPr>
        <w:t xml:space="preserve"> </w:t>
      </w:r>
      <w:r>
        <w:rPr>
          <w:color w:val="211F1F"/>
        </w:rPr>
        <w:t>nor</w:t>
      </w:r>
      <w:r>
        <w:rPr>
          <w:color w:val="211F1F"/>
          <w:spacing w:val="-13"/>
        </w:rPr>
        <w:t xml:space="preserve"> </w:t>
      </w:r>
      <w:r>
        <w:rPr>
          <w:color w:val="211F1F"/>
        </w:rPr>
        <w:t>declared</w:t>
      </w:r>
      <w:r>
        <w:rPr>
          <w:color w:val="211F1F"/>
          <w:spacing w:val="-14"/>
        </w:rPr>
        <w:t xml:space="preserve"> </w:t>
      </w:r>
      <w:r>
        <w:rPr>
          <w:color w:val="211F1F"/>
        </w:rPr>
        <w:t>ineligible</w:t>
      </w:r>
      <w:r>
        <w:rPr>
          <w:color w:val="211F1F"/>
          <w:spacing w:val="-14"/>
        </w:rPr>
        <w:t xml:space="preserve"> </w:t>
      </w:r>
      <w:r>
        <w:rPr>
          <w:color w:val="211F1F"/>
        </w:rPr>
        <w:t>by</w:t>
      </w:r>
      <w:r>
        <w:rPr>
          <w:color w:val="211F1F"/>
          <w:spacing w:val="-14"/>
        </w:rPr>
        <w:t xml:space="preserve"> </w:t>
      </w:r>
      <w:r>
        <w:rPr>
          <w:color w:val="211F1F"/>
        </w:rPr>
        <w:t>the</w:t>
      </w:r>
      <w:r>
        <w:rPr>
          <w:color w:val="211F1F"/>
          <w:spacing w:val="-13"/>
        </w:rPr>
        <w:t xml:space="preserve"> </w:t>
      </w:r>
      <w:r>
        <w:rPr>
          <w:color w:val="211F1F"/>
        </w:rPr>
        <w:t>Procuring</w:t>
      </w:r>
      <w:r>
        <w:rPr>
          <w:color w:val="211F1F"/>
          <w:spacing w:val="-14"/>
        </w:rPr>
        <w:t xml:space="preserve"> </w:t>
      </w:r>
      <w:r>
        <w:rPr>
          <w:color w:val="211F1F"/>
        </w:rPr>
        <w:t>Entity based on execution of a Tender-Securing or Proposal-Securing Declaration in the Procuring Entity's Country in accordance with ITT 19.8;</w:t>
      </w:r>
    </w:p>
    <w:p w14:paraId="2243DC61" w14:textId="77777777" w:rsidR="00BB77C0" w:rsidRDefault="00370BAA">
      <w:pPr>
        <w:pStyle w:val="ListParagraph"/>
        <w:numPr>
          <w:ilvl w:val="2"/>
          <w:numId w:val="48"/>
        </w:numPr>
        <w:tabs>
          <w:tab w:val="left" w:pos="1563"/>
          <w:tab w:val="left" w:pos="1575"/>
        </w:tabs>
        <w:spacing w:before="25" w:line="230" w:lineRule="auto"/>
        <w:ind w:right="705" w:hanging="519"/>
        <w:jc w:val="both"/>
        <w:rPr>
          <w:i/>
          <w:color w:val="211F1F"/>
        </w:rPr>
      </w:pPr>
      <w:r>
        <w:rPr>
          <w:i/>
          <w:color w:val="211F1F"/>
          <w:u w:val="single" w:color="211F1F"/>
        </w:rPr>
        <w:t>Conformity</w:t>
      </w:r>
      <w:r>
        <w:rPr>
          <w:i/>
          <w:color w:val="211F1F"/>
        </w:rPr>
        <w:t xml:space="preserve">: </w:t>
      </w:r>
      <w:r>
        <w:rPr>
          <w:color w:val="211F1F"/>
        </w:rPr>
        <w:t>We</w:t>
      </w:r>
      <w:r>
        <w:rPr>
          <w:color w:val="211F1F"/>
          <w:spacing w:val="-5"/>
        </w:rPr>
        <w:t xml:space="preserve"> </w:t>
      </w:r>
      <w:r>
        <w:rPr>
          <w:color w:val="211F1F"/>
        </w:rPr>
        <w:t>offer to execute in conformity with the tendering documents and in accordance with the implementation</w:t>
      </w:r>
      <w:r>
        <w:rPr>
          <w:color w:val="211F1F"/>
          <w:spacing w:val="-14"/>
        </w:rPr>
        <w:t xml:space="preserve"> </w:t>
      </w:r>
      <w:r>
        <w:rPr>
          <w:color w:val="211F1F"/>
        </w:rPr>
        <w:t>and</w:t>
      </w:r>
      <w:r>
        <w:rPr>
          <w:color w:val="211F1F"/>
          <w:spacing w:val="-14"/>
        </w:rPr>
        <w:t xml:space="preserve"> </w:t>
      </w:r>
      <w:r>
        <w:rPr>
          <w:color w:val="211F1F"/>
        </w:rPr>
        <w:t>completion</w:t>
      </w:r>
      <w:r>
        <w:rPr>
          <w:color w:val="211F1F"/>
          <w:spacing w:val="-14"/>
        </w:rPr>
        <w:t xml:space="preserve"> </w:t>
      </w:r>
      <w:r>
        <w:rPr>
          <w:color w:val="211F1F"/>
        </w:rPr>
        <w:t>specified</w:t>
      </w:r>
      <w:r>
        <w:rPr>
          <w:color w:val="211F1F"/>
          <w:spacing w:val="-13"/>
        </w:rPr>
        <w:t xml:space="preserve"> </w:t>
      </w:r>
      <w:r>
        <w:rPr>
          <w:color w:val="211F1F"/>
        </w:rPr>
        <w:t>in</w:t>
      </w:r>
      <w:r>
        <w:rPr>
          <w:color w:val="211F1F"/>
          <w:spacing w:val="-14"/>
        </w:rPr>
        <w:t xml:space="preserve"> </w:t>
      </w:r>
      <w:r>
        <w:rPr>
          <w:color w:val="211F1F"/>
        </w:rPr>
        <w:t>the</w:t>
      </w:r>
      <w:r>
        <w:rPr>
          <w:color w:val="211F1F"/>
          <w:spacing w:val="-14"/>
        </w:rPr>
        <w:t xml:space="preserve"> </w:t>
      </w:r>
      <w:r>
        <w:rPr>
          <w:color w:val="211F1F"/>
        </w:rPr>
        <w:t>construction</w:t>
      </w:r>
      <w:r>
        <w:rPr>
          <w:color w:val="211F1F"/>
          <w:spacing w:val="-14"/>
        </w:rPr>
        <w:t xml:space="preserve"> </w:t>
      </w:r>
      <w:r>
        <w:rPr>
          <w:color w:val="211F1F"/>
        </w:rPr>
        <w:t>schedule,</w:t>
      </w:r>
      <w:r>
        <w:rPr>
          <w:color w:val="211F1F"/>
          <w:spacing w:val="-13"/>
        </w:rPr>
        <w:t xml:space="preserve"> </w:t>
      </w:r>
      <w:r>
        <w:rPr>
          <w:color w:val="211F1F"/>
        </w:rPr>
        <w:t>the</w:t>
      </w:r>
      <w:r>
        <w:rPr>
          <w:color w:val="211F1F"/>
          <w:spacing w:val="-14"/>
        </w:rPr>
        <w:t xml:space="preserve"> </w:t>
      </w:r>
      <w:r>
        <w:rPr>
          <w:color w:val="211F1F"/>
        </w:rPr>
        <w:t>following</w:t>
      </w:r>
      <w:r>
        <w:rPr>
          <w:color w:val="211F1F"/>
          <w:spacing w:val="-14"/>
        </w:rPr>
        <w:t xml:space="preserve"> </w:t>
      </w:r>
      <w:r>
        <w:rPr>
          <w:color w:val="211F1F"/>
        </w:rPr>
        <w:t>Works:</w:t>
      </w:r>
      <w:r>
        <w:rPr>
          <w:color w:val="211F1F"/>
          <w:spacing w:val="-14"/>
        </w:rPr>
        <w:t xml:space="preserve"> </w:t>
      </w:r>
      <w:r>
        <w:rPr>
          <w:i/>
          <w:color w:val="211F1F"/>
        </w:rPr>
        <w:t>[insert</w:t>
      </w:r>
      <w:r>
        <w:rPr>
          <w:i/>
          <w:color w:val="211F1F"/>
          <w:spacing w:val="-13"/>
        </w:rPr>
        <w:t xml:space="preserve"> </w:t>
      </w:r>
      <w:r>
        <w:rPr>
          <w:i/>
          <w:color w:val="211F1F"/>
        </w:rPr>
        <w:t>a</w:t>
      </w:r>
      <w:r>
        <w:rPr>
          <w:i/>
          <w:color w:val="211F1F"/>
          <w:spacing w:val="-14"/>
        </w:rPr>
        <w:t xml:space="preserve"> </w:t>
      </w:r>
      <w:r>
        <w:rPr>
          <w:i/>
          <w:color w:val="211F1F"/>
        </w:rPr>
        <w:t>brief description of the Works];</w:t>
      </w:r>
    </w:p>
    <w:p w14:paraId="206A4A5C" w14:textId="77777777" w:rsidR="00BB77C0" w:rsidRDefault="00BB77C0">
      <w:pPr>
        <w:pStyle w:val="ListParagraph"/>
        <w:spacing w:line="230" w:lineRule="auto"/>
        <w:jc w:val="both"/>
        <w:rPr>
          <w:i/>
        </w:rPr>
        <w:sectPr w:rsidR="00BB77C0">
          <w:pgSz w:w="11920" w:h="16850"/>
          <w:pgMar w:top="0" w:right="0" w:bottom="0" w:left="360" w:header="720" w:footer="720" w:gutter="0"/>
          <w:cols w:space="720"/>
        </w:sectPr>
      </w:pPr>
    </w:p>
    <w:p w14:paraId="28B36C16" w14:textId="77777777" w:rsidR="00BB77C0" w:rsidRDefault="00370BAA">
      <w:pPr>
        <w:pStyle w:val="BodyText"/>
        <w:rPr>
          <w:i/>
        </w:rPr>
      </w:pPr>
      <w:r>
        <w:rPr>
          <w:i/>
          <w:noProof/>
        </w:rPr>
        <w:lastRenderedPageBreak/>
        <mc:AlternateContent>
          <mc:Choice Requires="wpg">
            <w:drawing>
              <wp:anchor distT="0" distB="0" distL="0" distR="0" simplePos="0" relativeHeight="15754752" behindDoc="0" locked="0" layoutInCell="1" allowOverlap="1" wp14:anchorId="6B4E8F56" wp14:editId="3FDDB88C">
                <wp:simplePos x="0" y="0"/>
                <wp:positionH relativeFrom="page">
                  <wp:posOffset>0</wp:posOffset>
                </wp:positionH>
                <wp:positionV relativeFrom="page">
                  <wp:posOffset>10234295</wp:posOffset>
                </wp:positionV>
                <wp:extent cx="7561580" cy="459105"/>
                <wp:effectExtent l="0" t="0" r="0" b="0"/>
                <wp:wrapNone/>
                <wp:docPr id="210"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1580" cy="459105"/>
                          <a:chOff x="0" y="0"/>
                          <a:chExt cx="7561580" cy="459105"/>
                        </a:xfrm>
                      </wpg:grpSpPr>
                      <wps:wsp>
                        <wps:cNvPr id="211" name="Graphic 211"/>
                        <wps:cNvSpPr/>
                        <wps:spPr>
                          <a:xfrm>
                            <a:off x="6449059" y="5714"/>
                            <a:ext cx="1110615" cy="451484"/>
                          </a:xfrm>
                          <a:custGeom>
                            <a:avLst/>
                            <a:gdLst/>
                            <a:ahLst/>
                            <a:cxnLst/>
                            <a:rect l="l" t="t" r="r" b="b"/>
                            <a:pathLst>
                              <a:path w="1110615" h="451484">
                                <a:moveTo>
                                  <a:pt x="1110614" y="0"/>
                                </a:moveTo>
                                <a:lnTo>
                                  <a:pt x="0" y="0"/>
                                </a:lnTo>
                                <a:lnTo>
                                  <a:pt x="260349" y="451483"/>
                                </a:lnTo>
                                <a:lnTo>
                                  <a:pt x="1110614" y="451483"/>
                                </a:lnTo>
                                <a:lnTo>
                                  <a:pt x="1110614" y="0"/>
                                </a:lnTo>
                                <a:close/>
                              </a:path>
                            </a:pathLst>
                          </a:custGeom>
                          <a:solidFill>
                            <a:srgbClr val="FAD2C1"/>
                          </a:solidFill>
                        </wps:spPr>
                        <wps:bodyPr wrap="square" lIns="0" tIns="0" rIns="0" bIns="0" rtlCol="0">
                          <a:prstTxWarp prst="textNoShape">
                            <a:avLst/>
                          </a:prstTxWarp>
                          <a:noAutofit/>
                        </wps:bodyPr>
                      </wps:wsp>
                      <wps:wsp>
                        <wps:cNvPr id="212" name="Graphic 212"/>
                        <wps:cNvSpPr/>
                        <wps:spPr>
                          <a:xfrm>
                            <a:off x="6449059" y="5714"/>
                            <a:ext cx="1110615" cy="451484"/>
                          </a:xfrm>
                          <a:custGeom>
                            <a:avLst/>
                            <a:gdLst/>
                            <a:ahLst/>
                            <a:cxnLst/>
                            <a:rect l="l" t="t" r="r" b="b"/>
                            <a:pathLst>
                              <a:path w="1110615" h="451484">
                                <a:moveTo>
                                  <a:pt x="0" y="0"/>
                                </a:moveTo>
                                <a:lnTo>
                                  <a:pt x="1110614" y="0"/>
                                </a:lnTo>
                                <a:lnTo>
                                  <a:pt x="1110614" y="451483"/>
                                </a:lnTo>
                                <a:lnTo>
                                  <a:pt x="260349" y="451483"/>
                                </a:lnTo>
                                <a:lnTo>
                                  <a:pt x="0" y="0"/>
                                </a:lnTo>
                              </a:path>
                            </a:pathLst>
                          </a:custGeom>
                          <a:ln w="3051">
                            <a:solidFill>
                              <a:srgbClr val="FAD2C1"/>
                            </a:solidFill>
                            <a:prstDash val="solid"/>
                          </a:ln>
                        </wps:spPr>
                        <wps:bodyPr wrap="square" lIns="0" tIns="0" rIns="0" bIns="0" rtlCol="0">
                          <a:prstTxWarp prst="textNoShape">
                            <a:avLst/>
                          </a:prstTxWarp>
                          <a:noAutofit/>
                        </wps:bodyPr>
                      </wps:wsp>
                      <wps:wsp>
                        <wps:cNvPr id="213" name="Graphic 213"/>
                        <wps:cNvSpPr/>
                        <wps:spPr>
                          <a:xfrm>
                            <a:off x="0" y="6350"/>
                            <a:ext cx="7560309" cy="1270"/>
                          </a:xfrm>
                          <a:custGeom>
                            <a:avLst/>
                            <a:gdLst/>
                            <a:ahLst/>
                            <a:cxnLst/>
                            <a:rect l="l" t="t" r="r" b="b"/>
                            <a:pathLst>
                              <a:path w="7560309">
                                <a:moveTo>
                                  <a:pt x="0" y="0"/>
                                </a:moveTo>
                                <a:lnTo>
                                  <a:pt x="7560309" y="0"/>
                                </a:lnTo>
                              </a:path>
                            </a:pathLst>
                          </a:custGeom>
                          <a:ln w="12700">
                            <a:solidFill>
                              <a:srgbClr val="FAD2C1"/>
                            </a:solidFill>
                            <a:prstDash val="solid"/>
                          </a:ln>
                        </wps:spPr>
                        <wps:bodyPr wrap="square" lIns="0" tIns="0" rIns="0" bIns="0" rtlCol="0">
                          <a:prstTxWarp prst="textNoShape">
                            <a:avLst/>
                          </a:prstTxWarp>
                          <a:noAutofit/>
                        </wps:bodyPr>
                      </wps:wsp>
                      <wps:wsp>
                        <wps:cNvPr id="214" name="Textbox 214"/>
                        <wps:cNvSpPr txBox="1"/>
                        <wps:spPr>
                          <a:xfrm>
                            <a:off x="6882130" y="37491"/>
                            <a:ext cx="147320" cy="155575"/>
                          </a:xfrm>
                          <a:prstGeom prst="rect">
                            <a:avLst/>
                          </a:prstGeom>
                        </wps:spPr>
                        <wps:txbx>
                          <w:txbxContent>
                            <w:p w14:paraId="4A0128D6" w14:textId="77777777" w:rsidR="00BB77C0" w:rsidRDefault="00370BAA">
                              <w:pPr>
                                <w:spacing w:line="244" w:lineRule="exact"/>
                              </w:pPr>
                              <w:r>
                                <w:rPr>
                                  <w:spacing w:val="-5"/>
                                </w:rPr>
                                <w:t>61</w:t>
                              </w:r>
                            </w:p>
                          </w:txbxContent>
                        </wps:txbx>
                        <wps:bodyPr wrap="square" lIns="0" tIns="0" rIns="0" bIns="0" rtlCol="0">
                          <a:noAutofit/>
                        </wps:bodyPr>
                      </wps:wsp>
                    </wpg:wgp>
                  </a:graphicData>
                </a:graphic>
              </wp:anchor>
            </w:drawing>
          </mc:Choice>
          <mc:Fallback>
            <w:pict>
              <v:group w14:anchorId="6B4E8F56" id="Group 210" o:spid="_x0000_s1116" style="position:absolute;margin-left:0;margin-top:805.85pt;width:595.4pt;height:36.15pt;z-index:15754752;mso-wrap-distance-left:0;mso-wrap-distance-right:0;mso-position-horizontal-relative:page;mso-position-vertical-relative:page" coordsize="75615,4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">
                <v:shape id="Graphic 211" o:spid="_x0000_s1117" style="position:absolute;left:64490;top:57;width:11106;height:4514;visibility:visible;mso-wrap-style:square;v-text-anchor:top" coordsize="1110615,4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" path="m1110614,l,,260349,451483r850265,l1110614,xe" fillcolor="#fad2c1" stroked="f">
                  <v:path arrowok="t"/>
                </v:shape>
                <v:shape id="Graphic 212" o:spid="_x0000_s1118" style="position:absolute;left:64490;top:57;width:11106;height:4514;visibility:visible;mso-wrap-style:square;v-text-anchor:top" coordsize="1110615,4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" path="m,l1110614,r,451483l260349,451483,,e" filled="f" strokecolor="#fad2c1" strokeweight=".08475mm">
                  <v:path arrowok="t"/>
                </v:shape>
                <v:shape id="Graphic 213" o:spid="_x0000_s1119" style="position:absolute;top:63;width:75603;height:13;visibility:visible;mso-wrap-style:square;v-text-anchor:top" coordsize="756030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" path="m,l7560309,e" filled="f" strokecolor="#fad2c1" strokeweight="1pt">
                  <v:path arrowok="t"/>
                </v:shape>
                <v:shape id="Textbox 214" o:spid="_x0000_s1120" type="#_x0000_t202" style="position:absolute;left:68821;top:374;width:1473;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" filled="f" stroked="f">
                  <v:textbox inset="0,0,0,0">
                    <w:txbxContent>
                      <w:p w14:paraId="4A0128D6" w14:textId="77777777" w:rsidR="00BB77C0" w:rsidRDefault="00370BAA">
                        <w:pPr>
                          <w:spacing w:line="244" w:lineRule="exact"/>
                        </w:pPr>
                        <w:r>
                          <w:rPr>
                            <w:spacing w:val="-5"/>
                          </w:rPr>
                          <w:t>61</w:t>
                        </w:r>
                      </w:p>
                    </w:txbxContent>
                  </v:textbox>
                </v:shape>
                <w10:wrap anchorx="page" anchory="page"/>
              </v:group>
            </w:pict>
          </mc:Fallback>
        </mc:AlternateContent>
      </w:r>
      <w:r>
        <w:rPr>
          <w:i/>
          <w:noProof/>
        </w:rPr>
        <mc:AlternateContent>
          <mc:Choice Requires="wpg">
            <w:drawing>
              <wp:anchor distT="0" distB="0" distL="0" distR="0" simplePos="0" relativeHeight="15755264" behindDoc="0" locked="0" layoutInCell="1" allowOverlap="1" wp14:anchorId="37FDB8B0" wp14:editId="1BA30C02">
                <wp:simplePos x="0" y="0"/>
                <wp:positionH relativeFrom="page">
                  <wp:posOffset>0</wp:posOffset>
                </wp:positionH>
                <wp:positionV relativeFrom="page">
                  <wp:posOffset>0</wp:posOffset>
                </wp:positionV>
                <wp:extent cx="7559675" cy="228600"/>
                <wp:effectExtent l="0" t="0" r="0" b="0"/>
                <wp:wrapNone/>
                <wp:docPr id="215" name="Group 2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675" cy="228600"/>
                          <a:chOff x="0" y="0"/>
                          <a:chExt cx="7559675" cy="228600"/>
                        </a:xfrm>
                      </wpg:grpSpPr>
                      <wps:wsp>
                        <wps:cNvPr id="216" name="Graphic 216"/>
                        <wps:cNvSpPr/>
                        <wps:spPr>
                          <a:xfrm>
                            <a:off x="848283" y="0"/>
                            <a:ext cx="6711950" cy="228600"/>
                          </a:xfrm>
                          <a:custGeom>
                            <a:avLst/>
                            <a:gdLst/>
                            <a:ahLst/>
                            <a:cxnLst/>
                            <a:rect l="l" t="t" r="r" b="b"/>
                            <a:pathLst>
                              <a:path w="6711950" h="228600">
                                <a:moveTo>
                                  <a:pt x="6711391" y="0"/>
                                </a:moveTo>
                                <a:lnTo>
                                  <a:pt x="0" y="0"/>
                                </a:lnTo>
                                <a:lnTo>
                                  <a:pt x="184137" y="228600"/>
                                </a:lnTo>
                                <a:lnTo>
                                  <a:pt x="6711391" y="223520"/>
                                </a:lnTo>
                                <a:lnTo>
                                  <a:pt x="6711391" y="0"/>
                                </a:lnTo>
                                <a:close/>
                              </a:path>
                            </a:pathLst>
                          </a:custGeom>
                          <a:solidFill>
                            <a:srgbClr val="E6E7E8"/>
                          </a:solidFill>
                        </wps:spPr>
                        <wps:bodyPr wrap="square" lIns="0" tIns="0" rIns="0" bIns="0" rtlCol="0">
                          <a:prstTxWarp prst="textNoShape">
                            <a:avLst/>
                          </a:prstTxWarp>
                          <a:noAutofit/>
                        </wps:bodyPr>
                      </wps:wsp>
                      <wps:wsp>
                        <wps:cNvPr id="217" name="Graphic 217"/>
                        <wps:cNvSpPr/>
                        <wps:spPr>
                          <a:xfrm>
                            <a:off x="0" y="0"/>
                            <a:ext cx="655955" cy="228600"/>
                          </a:xfrm>
                          <a:custGeom>
                            <a:avLst/>
                            <a:gdLst/>
                            <a:ahLst/>
                            <a:cxnLst/>
                            <a:rect l="l" t="t" r="r" b="b"/>
                            <a:pathLst>
                              <a:path w="655955" h="228600">
                                <a:moveTo>
                                  <a:pt x="530174" y="0"/>
                                </a:moveTo>
                                <a:lnTo>
                                  <a:pt x="0" y="0"/>
                                </a:lnTo>
                                <a:lnTo>
                                  <a:pt x="0" y="228600"/>
                                </a:lnTo>
                                <a:lnTo>
                                  <a:pt x="655904" y="228600"/>
                                </a:lnTo>
                                <a:lnTo>
                                  <a:pt x="530174" y="0"/>
                                </a:lnTo>
                                <a:close/>
                              </a:path>
                            </a:pathLst>
                          </a:custGeom>
                          <a:solidFill>
                            <a:srgbClr val="00A650"/>
                          </a:solidFill>
                        </wps:spPr>
                        <wps:bodyPr wrap="square" lIns="0" tIns="0" rIns="0" bIns="0" rtlCol="0">
                          <a:prstTxWarp prst="textNoShape">
                            <a:avLst/>
                          </a:prstTxWarp>
                          <a:noAutofit/>
                        </wps:bodyPr>
                      </wps:wsp>
                      <wps:wsp>
                        <wps:cNvPr id="218" name="Graphic 218"/>
                        <wps:cNvSpPr/>
                        <wps:spPr>
                          <a:xfrm>
                            <a:off x="554304" y="0"/>
                            <a:ext cx="329565" cy="228600"/>
                          </a:xfrm>
                          <a:custGeom>
                            <a:avLst/>
                            <a:gdLst/>
                            <a:ahLst/>
                            <a:cxnLst/>
                            <a:rect l="l" t="t" r="r" b="b"/>
                            <a:pathLst>
                              <a:path w="329565" h="228600">
                                <a:moveTo>
                                  <a:pt x="203822" y="0"/>
                                </a:moveTo>
                                <a:lnTo>
                                  <a:pt x="0" y="0"/>
                                </a:lnTo>
                                <a:lnTo>
                                  <a:pt x="128904" y="228600"/>
                                </a:lnTo>
                                <a:lnTo>
                                  <a:pt x="329539" y="228600"/>
                                </a:lnTo>
                                <a:lnTo>
                                  <a:pt x="203822" y="0"/>
                                </a:lnTo>
                                <a:close/>
                              </a:path>
                            </a:pathLst>
                          </a:custGeom>
                          <a:solidFill>
                            <a:srgbClr val="EB1C22"/>
                          </a:solidFill>
                        </wps:spPr>
                        <wps:bodyPr wrap="square" lIns="0" tIns="0" rIns="0" bIns="0" rtlCol="0">
                          <a:prstTxWarp prst="textNoShape">
                            <a:avLst/>
                          </a:prstTxWarp>
                          <a:noAutofit/>
                        </wps:bodyPr>
                      </wps:wsp>
                      <wps:wsp>
                        <wps:cNvPr id="219" name="Graphic 219"/>
                        <wps:cNvSpPr/>
                        <wps:spPr>
                          <a:xfrm>
                            <a:off x="783526" y="0"/>
                            <a:ext cx="329565" cy="228600"/>
                          </a:xfrm>
                          <a:custGeom>
                            <a:avLst/>
                            <a:gdLst/>
                            <a:ahLst/>
                            <a:cxnLst/>
                            <a:rect l="l" t="t" r="r" b="b"/>
                            <a:pathLst>
                              <a:path w="329565" h="228600">
                                <a:moveTo>
                                  <a:pt x="203822" y="0"/>
                                </a:moveTo>
                                <a:lnTo>
                                  <a:pt x="0" y="0"/>
                                </a:lnTo>
                                <a:lnTo>
                                  <a:pt x="128879" y="228600"/>
                                </a:lnTo>
                                <a:lnTo>
                                  <a:pt x="329539" y="228600"/>
                                </a:lnTo>
                                <a:lnTo>
                                  <a:pt x="203822" y="0"/>
                                </a:lnTo>
                                <a:close/>
                              </a:path>
                            </a:pathLst>
                          </a:custGeom>
                          <a:solidFill>
                            <a:srgbClr val="A7A9AC"/>
                          </a:solidFill>
                        </wps:spPr>
                        <wps:bodyPr wrap="square" lIns="0" tIns="0" rIns="0" bIns="0" rtlCol="0">
                          <a:prstTxWarp prst="textNoShape">
                            <a:avLst/>
                          </a:prstTxWarp>
                          <a:noAutofit/>
                        </wps:bodyPr>
                      </wps:wsp>
                    </wpg:wgp>
                  </a:graphicData>
                </a:graphic>
              </wp:anchor>
            </w:drawing>
          </mc:Choice>
          <mc:Fallback>
            <w:pict>
              <v:group w14:anchorId="28683647" id="Group 215" o:spid="_x0000_s1026" style="position:absolute;margin-left:0;margin-top:0;width:595.25pt;height:18pt;z-index:15755264;mso-wrap-distance-left:0;mso-wrap-distance-right:0;mso-position-horizontal-relative:page;mso-position-vertical-relative:page" coordsize="75596,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">
                <v:shape id="Graphic 216" o:spid="_x0000_s1027" style="position:absolute;left:8482;width:67120;height:2286;visibility:visible;mso-wrap-style:square;v-text-anchor:top" coordsize="67119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" path="m6711391,l,,184137,228600r6527254,-5080l6711391,xe" fillcolor="#e6e7e8" stroked="f">
                  <v:path arrowok="t"/>
                </v:shape>
                <v:shape id="Graphic 217" o:spid="_x0000_s1028" style="position:absolute;width:6559;height:2286;visibility:visible;mso-wrap-style:square;v-text-anchor:top" coordsize="65595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" path="m530174,l,,,228600r655904,l530174,xe" fillcolor="#00a650" stroked="f">
                  <v:path arrowok="t"/>
                </v:shape>
                <v:shape id="Graphic 218" o:spid="_x0000_s1029" style="position:absolute;left:5543;width:3295;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" path="m203822,l,,128904,228600r200635,l203822,xe" fillcolor="#eb1c22" stroked="f">
                  <v:path arrowok="t"/>
                </v:shape>
                <v:shape id="Graphic 219" o:spid="_x0000_s1030" style="position:absolute;left:7835;width:3295;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" path="m203822,l,,128879,228600r200660,l203822,xe" fillcolor="#a7a9ac" stroked="f">
                  <v:path arrowok="t"/>
                </v:shape>
                <w10:wrap anchorx="page" anchory="page"/>
              </v:group>
            </w:pict>
          </mc:Fallback>
        </mc:AlternateContent>
      </w:r>
    </w:p>
    <w:p w14:paraId="06465878" w14:textId="77777777" w:rsidR="00BB77C0" w:rsidRDefault="00BB77C0">
      <w:pPr>
        <w:pStyle w:val="BodyText"/>
        <w:rPr>
          <w:i/>
        </w:rPr>
      </w:pPr>
    </w:p>
    <w:p w14:paraId="53BCAA37" w14:textId="77777777" w:rsidR="00BB77C0" w:rsidRDefault="00BB77C0">
      <w:pPr>
        <w:pStyle w:val="BodyText"/>
        <w:spacing w:before="42"/>
        <w:rPr>
          <w:i/>
        </w:rPr>
      </w:pPr>
    </w:p>
    <w:p w14:paraId="07DAE9C8" w14:textId="77777777" w:rsidR="00BB77C0" w:rsidRDefault="00370BAA">
      <w:pPr>
        <w:pStyle w:val="ListParagraph"/>
        <w:numPr>
          <w:ilvl w:val="2"/>
          <w:numId w:val="48"/>
        </w:numPr>
        <w:tabs>
          <w:tab w:val="left" w:pos="1621"/>
          <w:tab w:val="left" w:pos="1623"/>
        </w:tabs>
        <w:spacing w:line="232" w:lineRule="auto"/>
        <w:ind w:left="1623" w:right="709" w:hanging="567"/>
        <w:jc w:val="both"/>
        <w:rPr>
          <w:i/>
          <w:color w:val="211F1F"/>
        </w:rPr>
      </w:pPr>
      <w:r>
        <w:rPr>
          <w:i/>
          <w:color w:val="211F1F"/>
          <w:spacing w:val="-4"/>
          <w:u w:val="single" w:color="211F1F"/>
        </w:rPr>
        <w:t>Tender</w:t>
      </w:r>
      <w:r>
        <w:rPr>
          <w:i/>
          <w:color w:val="211F1F"/>
          <w:spacing w:val="-10"/>
          <w:u w:val="single" w:color="211F1F"/>
        </w:rPr>
        <w:t xml:space="preserve"> </w:t>
      </w:r>
      <w:r>
        <w:rPr>
          <w:i/>
          <w:color w:val="211F1F"/>
          <w:spacing w:val="-4"/>
          <w:u w:val="single" w:color="211F1F"/>
        </w:rPr>
        <w:t>Price:</w:t>
      </w:r>
      <w:r>
        <w:rPr>
          <w:i/>
          <w:color w:val="211F1F"/>
          <w:spacing w:val="23"/>
        </w:rPr>
        <w:t xml:space="preserve"> </w:t>
      </w:r>
      <w:r>
        <w:rPr>
          <w:color w:val="211F1F"/>
          <w:spacing w:val="-4"/>
        </w:rPr>
        <w:t>The</w:t>
      </w:r>
      <w:r>
        <w:rPr>
          <w:color w:val="211F1F"/>
          <w:spacing w:val="-10"/>
        </w:rPr>
        <w:t xml:space="preserve"> </w:t>
      </w:r>
      <w:r>
        <w:rPr>
          <w:color w:val="211F1F"/>
          <w:spacing w:val="-4"/>
        </w:rPr>
        <w:t>total</w:t>
      </w:r>
      <w:r>
        <w:rPr>
          <w:color w:val="211F1F"/>
          <w:spacing w:val="-9"/>
        </w:rPr>
        <w:t xml:space="preserve"> </w:t>
      </w:r>
      <w:r>
        <w:rPr>
          <w:color w:val="211F1F"/>
          <w:spacing w:val="-4"/>
        </w:rPr>
        <w:t>price</w:t>
      </w:r>
      <w:r>
        <w:rPr>
          <w:color w:val="211F1F"/>
          <w:spacing w:val="-7"/>
        </w:rPr>
        <w:t xml:space="preserve"> </w:t>
      </w:r>
      <w:r>
        <w:rPr>
          <w:color w:val="211F1F"/>
          <w:spacing w:val="-4"/>
        </w:rPr>
        <w:t>of</w:t>
      </w:r>
      <w:r>
        <w:rPr>
          <w:color w:val="211F1F"/>
          <w:spacing w:val="-7"/>
        </w:rPr>
        <w:t xml:space="preserve"> </w:t>
      </w:r>
      <w:r>
        <w:rPr>
          <w:color w:val="211F1F"/>
          <w:spacing w:val="-4"/>
        </w:rPr>
        <w:t>our</w:t>
      </w:r>
      <w:r>
        <w:rPr>
          <w:color w:val="211F1F"/>
          <w:spacing w:val="-7"/>
        </w:rPr>
        <w:t xml:space="preserve"> </w:t>
      </w:r>
      <w:r>
        <w:rPr>
          <w:color w:val="211F1F"/>
          <w:spacing w:val="-4"/>
        </w:rPr>
        <w:t>Tender, excludingany</w:t>
      </w:r>
      <w:r>
        <w:rPr>
          <w:color w:val="211F1F"/>
          <w:spacing w:val="-5"/>
        </w:rPr>
        <w:t xml:space="preserve"> </w:t>
      </w:r>
      <w:r>
        <w:rPr>
          <w:color w:val="211F1F"/>
          <w:spacing w:val="-4"/>
        </w:rPr>
        <w:t>discounts offered</w:t>
      </w:r>
      <w:r>
        <w:rPr>
          <w:color w:val="211F1F"/>
          <w:spacing w:val="-10"/>
        </w:rPr>
        <w:t xml:space="preserve"> </w:t>
      </w:r>
      <w:r>
        <w:rPr>
          <w:color w:val="211F1F"/>
          <w:spacing w:val="-4"/>
        </w:rPr>
        <w:t>in</w:t>
      </w:r>
      <w:r>
        <w:rPr>
          <w:color w:val="211F1F"/>
          <w:spacing w:val="-10"/>
        </w:rPr>
        <w:t xml:space="preserve"> </w:t>
      </w:r>
      <w:r>
        <w:rPr>
          <w:color w:val="211F1F"/>
          <w:spacing w:val="-4"/>
        </w:rPr>
        <w:t>item</w:t>
      </w:r>
      <w:r>
        <w:rPr>
          <w:color w:val="211F1F"/>
          <w:spacing w:val="-10"/>
        </w:rPr>
        <w:t xml:space="preserve"> </w:t>
      </w:r>
      <w:r>
        <w:rPr>
          <w:color w:val="211F1F"/>
          <w:spacing w:val="-4"/>
        </w:rPr>
        <w:t>1</w:t>
      </w:r>
      <w:r>
        <w:rPr>
          <w:color w:val="211F1F"/>
          <w:spacing w:val="-9"/>
        </w:rPr>
        <w:t xml:space="preserve"> </w:t>
      </w:r>
      <w:r>
        <w:rPr>
          <w:color w:val="211F1F"/>
          <w:spacing w:val="-4"/>
        </w:rPr>
        <w:t>above</w:t>
      </w:r>
      <w:r>
        <w:rPr>
          <w:color w:val="211F1F"/>
          <w:spacing w:val="-10"/>
        </w:rPr>
        <w:t xml:space="preserve"> </w:t>
      </w:r>
      <w:r>
        <w:rPr>
          <w:color w:val="211F1F"/>
          <w:spacing w:val="-4"/>
        </w:rPr>
        <w:t>is:</w:t>
      </w:r>
      <w:r>
        <w:rPr>
          <w:color w:val="211F1F"/>
          <w:spacing w:val="-10"/>
        </w:rPr>
        <w:t xml:space="preserve"> </w:t>
      </w:r>
      <w:r>
        <w:rPr>
          <w:i/>
          <w:color w:val="211F1F"/>
          <w:spacing w:val="-4"/>
        </w:rPr>
        <w:t>[Insert</w:t>
      </w:r>
      <w:r>
        <w:rPr>
          <w:i/>
          <w:color w:val="211F1F"/>
          <w:spacing w:val="-9"/>
        </w:rPr>
        <w:t xml:space="preserve"> </w:t>
      </w:r>
      <w:r>
        <w:rPr>
          <w:i/>
          <w:color w:val="211F1F"/>
          <w:spacing w:val="-4"/>
        </w:rPr>
        <w:t>one</w:t>
      </w:r>
      <w:r>
        <w:rPr>
          <w:i/>
          <w:color w:val="211F1F"/>
          <w:spacing w:val="22"/>
        </w:rPr>
        <w:t xml:space="preserve"> </w:t>
      </w:r>
      <w:r>
        <w:rPr>
          <w:i/>
          <w:color w:val="211F1F"/>
          <w:spacing w:val="-4"/>
        </w:rPr>
        <w:t xml:space="preserve">of </w:t>
      </w:r>
      <w:r>
        <w:rPr>
          <w:i/>
          <w:color w:val="211F1F"/>
        </w:rPr>
        <w:t>the options below as appropriate]</w:t>
      </w:r>
    </w:p>
    <w:p w14:paraId="74476369" w14:textId="77777777" w:rsidR="00BB77C0" w:rsidRDefault="00370BAA">
      <w:pPr>
        <w:spacing w:before="244" w:line="232" w:lineRule="auto"/>
        <w:ind w:left="1623" w:right="587" w:hanging="567"/>
      </w:pPr>
      <w:r>
        <w:rPr>
          <w:color w:val="211F1F"/>
        </w:rPr>
        <w:t>vi</w:t>
      </w:r>
      <w:r>
        <w:rPr>
          <w:color w:val="211F1F"/>
          <w:spacing w:val="-14"/>
        </w:rPr>
        <w:t xml:space="preserve"> </w:t>
      </w:r>
      <w:r>
        <w:rPr>
          <w:color w:val="211F1F"/>
          <w:u w:val="single" w:color="211F1F"/>
        </w:rPr>
        <w:t>Option</w:t>
      </w:r>
      <w:r>
        <w:rPr>
          <w:color w:val="211F1F"/>
          <w:spacing w:val="-16"/>
          <w:u w:val="single" w:color="211F1F"/>
        </w:rPr>
        <w:t xml:space="preserve"> </w:t>
      </w:r>
      <w:r>
        <w:rPr>
          <w:color w:val="211F1F"/>
          <w:u w:val="single" w:color="211F1F"/>
        </w:rPr>
        <w:t>1</w:t>
      </w:r>
      <w:r>
        <w:rPr>
          <w:color w:val="211F1F"/>
        </w:rPr>
        <w:t>,</w:t>
      </w:r>
      <w:r>
        <w:rPr>
          <w:color w:val="211F1F"/>
          <w:spacing w:val="-14"/>
        </w:rPr>
        <w:t xml:space="preserve"> </w:t>
      </w:r>
      <w:r>
        <w:rPr>
          <w:color w:val="211F1F"/>
        </w:rPr>
        <w:t>in</w:t>
      </w:r>
      <w:r>
        <w:rPr>
          <w:color w:val="211F1F"/>
          <w:spacing w:val="-14"/>
        </w:rPr>
        <w:t xml:space="preserve"> </w:t>
      </w:r>
      <w:r>
        <w:rPr>
          <w:color w:val="211F1F"/>
        </w:rPr>
        <w:t>case</w:t>
      </w:r>
      <w:r>
        <w:rPr>
          <w:color w:val="211F1F"/>
          <w:spacing w:val="-13"/>
        </w:rPr>
        <w:t xml:space="preserve"> </w:t>
      </w:r>
      <w:r>
        <w:rPr>
          <w:color w:val="211F1F"/>
        </w:rPr>
        <w:t>of</w:t>
      </w:r>
      <w:r>
        <w:rPr>
          <w:color w:val="211F1F"/>
          <w:spacing w:val="-14"/>
        </w:rPr>
        <w:t xml:space="preserve"> </w:t>
      </w:r>
      <w:r>
        <w:rPr>
          <w:color w:val="211F1F"/>
        </w:rPr>
        <w:t>one</w:t>
      </w:r>
      <w:r>
        <w:rPr>
          <w:color w:val="211F1F"/>
          <w:spacing w:val="-14"/>
        </w:rPr>
        <w:t xml:space="preserve"> </w:t>
      </w:r>
      <w:r>
        <w:rPr>
          <w:color w:val="211F1F"/>
        </w:rPr>
        <w:t>lot:</w:t>
      </w:r>
      <w:r>
        <w:rPr>
          <w:color w:val="211F1F"/>
          <w:spacing w:val="-15"/>
        </w:rPr>
        <w:t xml:space="preserve"> </w:t>
      </w:r>
      <w:r>
        <w:rPr>
          <w:color w:val="211F1F"/>
        </w:rPr>
        <w:t>Total</w:t>
      </w:r>
      <w:r>
        <w:rPr>
          <w:color w:val="211F1F"/>
          <w:spacing w:val="-14"/>
        </w:rPr>
        <w:t xml:space="preserve"> </w:t>
      </w:r>
      <w:r>
        <w:rPr>
          <w:color w:val="211F1F"/>
        </w:rPr>
        <w:t>price</w:t>
      </w:r>
      <w:r>
        <w:rPr>
          <w:color w:val="211F1F"/>
          <w:spacing w:val="-14"/>
        </w:rPr>
        <w:t xml:space="preserve"> </w:t>
      </w:r>
      <w:r>
        <w:rPr>
          <w:color w:val="211F1F"/>
        </w:rPr>
        <w:t>is:</w:t>
      </w:r>
      <w:r>
        <w:rPr>
          <w:color w:val="211F1F"/>
          <w:spacing w:val="-14"/>
        </w:rPr>
        <w:t xml:space="preserve"> </w:t>
      </w:r>
      <w:r>
        <w:rPr>
          <w:color w:val="211F1F"/>
        </w:rPr>
        <w:t>[</w:t>
      </w:r>
      <w:r>
        <w:rPr>
          <w:i/>
          <w:color w:val="211F1F"/>
        </w:rPr>
        <w:t>insert</w:t>
      </w:r>
      <w:r>
        <w:rPr>
          <w:i/>
          <w:color w:val="211F1F"/>
          <w:spacing w:val="-13"/>
        </w:rPr>
        <w:t xml:space="preserve"> </w:t>
      </w:r>
      <w:r>
        <w:rPr>
          <w:i/>
          <w:color w:val="211F1F"/>
        </w:rPr>
        <w:t>the</w:t>
      </w:r>
      <w:r>
        <w:rPr>
          <w:i/>
          <w:color w:val="211F1F"/>
          <w:spacing w:val="-14"/>
        </w:rPr>
        <w:t xml:space="preserve"> </w:t>
      </w:r>
      <w:r>
        <w:rPr>
          <w:i/>
          <w:color w:val="211F1F"/>
        </w:rPr>
        <w:t>total</w:t>
      </w:r>
      <w:r>
        <w:rPr>
          <w:i/>
          <w:color w:val="211F1F"/>
          <w:spacing w:val="-14"/>
        </w:rPr>
        <w:t xml:space="preserve"> </w:t>
      </w:r>
      <w:r>
        <w:rPr>
          <w:i/>
          <w:color w:val="211F1F"/>
        </w:rPr>
        <w:t>price</w:t>
      </w:r>
      <w:r>
        <w:rPr>
          <w:i/>
          <w:color w:val="211F1F"/>
          <w:spacing w:val="-14"/>
        </w:rPr>
        <w:t xml:space="preserve"> </w:t>
      </w:r>
      <w:r>
        <w:rPr>
          <w:i/>
          <w:color w:val="211F1F"/>
        </w:rPr>
        <w:t>of</w:t>
      </w:r>
      <w:r>
        <w:rPr>
          <w:i/>
          <w:color w:val="211F1F"/>
          <w:spacing w:val="-14"/>
        </w:rPr>
        <w:t xml:space="preserve"> </w:t>
      </w:r>
      <w:r>
        <w:rPr>
          <w:i/>
          <w:color w:val="211F1F"/>
        </w:rPr>
        <w:t>the</w:t>
      </w:r>
      <w:r>
        <w:rPr>
          <w:i/>
          <w:color w:val="211F1F"/>
          <w:spacing w:val="-14"/>
        </w:rPr>
        <w:t xml:space="preserve"> </w:t>
      </w:r>
      <w:r>
        <w:rPr>
          <w:i/>
          <w:color w:val="211F1F"/>
        </w:rPr>
        <w:t>Tender</w:t>
      </w:r>
      <w:r>
        <w:rPr>
          <w:i/>
          <w:color w:val="211F1F"/>
          <w:spacing w:val="-14"/>
        </w:rPr>
        <w:t xml:space="preserve"> </w:t>
      </w:r>
      <w:r>
        <w:rPr>
          <w:i/>
          <w:color w:val="211F1F"/>
        </w:rPr>
        <w:t>in</w:t>
      </w:r>
      <w:r>
        <w:rPr>
          <w:i/>
          <w:color w:val="211F1F"/>
          <w:spacing w:val="-13"/>
        </w:rPr>
        <w:t xml:space="preserve"> </w:t>
      </w:r>
      <w:r>
        <w:rPr>
          <w:i/>
          <w:color w:val="211F1F"/>
        </w:rPr>
        <w:t>words</w:t>
      </w:r>
      <w:r>
        <w:rPr>
          <w:i/>
          <w:color w:val="211F1F"/>
          <w:spacing w:val="-10"/>
        </w:rPr>
        <w:t xml:space="preserve"> </w:t>
      </w:r>
      <w:r>
        <w:rPr>
          <w:i/>
          <w:color w:val="211F1F"/>
        </w:rPr>
        <w:t>and</w:t>
      </w:r>
      <w:r>
        <w:rPr>
          <w:i/>
          <w:color w:val="211F1F"/>
          <w:spacing w:val="-17"/>
        </w:rPr>
        <w:t xml:space="preserve"> </w:t>
      </w:r>
      <w:r>
        <w:rPr>
          <w:i/>
          <w:color w:val="211F1F"/>
        </w:rPr>
        <w:t>figures,</w:t>
      </w:r>
      <w:r>
        <w:rPr>
          <w:i/>
          <w:color w:val="211F1F"/>
          <w:spacing w:val="-11"/>
        </w:rPr>
        <w:t xml:space="preserve"> </w:t>
      </w:r>
      <w:r>
        <w:rPr>
          <w:i/>
          <w:color w:val="211F1F"/>
        </w:rPr>
        <w:t>indicating the various amounts and the respective currencies</w:t>
      </w:r>
      <w:r>
        <w:rPr>
          <w:color w:val="211F1F"/>
        </w:rPr>
        <w:t>]; Or</w:t>
      </w:r>
    </w:p>
    <w:p w14:paraId="71BDB777" w14:textId="77777777" w:rsidR="00BB77C0" w:rsidRDefault="00370BAA">
      <w:pPr>
        <w:pStyle w:val="BodyText"/>
        <w:spacing w:before="227"/>
        <w:ind w:left="1604"/>
      </w:pPr>
      <w:r>
        <w:rPr>
          <w:color w:val="211F1F"/>
          <w:u w:val="single" w:color="211F1F"/>
        </w:rPr>
        <w:t>Option</w:t>
      </w:r>
      <w:r>
        <w:rPr>
          <w:color w:val="211F1F"/>
          <w:spacing w:val="-12"/>
          <w:u w:val="single" w:color="211F1F"/>
        </w:rPr>
        <w:t xml:space="preserve"> </w:t>
      </w:r>
      <w:r>
        <w:rPr>
          <w:color w:val="211F1F"/>
          <w:u w:val="single" w:color="211F1F"/>
        </w:rPr>
        <w:t>2</w:t>
      </w:r>
      <w:r>
        <w:rPr>
          <w:color w:val="211F1F"/>
        </w:rPr>
        <w:t>, in</w:t>
      </w:r>
      <w:r>
        <w:rPr>
          <w:color w:val="211F1F"/>
          <w:spacing w:val="-11"/>
        </w:rPr>
        <w:t xml:space="preserve"> </w:t>
      </w:r>
      <w:r>
        <w:rPr>
          <w:color w:val="211F1F"/>
        </w:rPr>
        <w:t>case</w:t>
      </w:r>
      <w:r>
        <w:rPr>
          <w:color w:val="211F1F"/>
          <w:spacing w:val="-8"/>
        </w:rPr>
        <w:t xml:space="preserve"> </w:t>
      </w:r>
      <w:r>
        <w:rPr>
          <w:color w:val="211F1F"/>
        </w:rPr>
        <w:t>of multiple</w:t>
      </w:r>
      <w:r>
        <w:rPr>
          <w:color w:val="211F1F"/>
          <w:spacing w:val="-3"/>
        </w:rPr>
        <w:t xml:space="preserve"> </w:t>
      </w:r>
      <w:r>
        <w:rPr>
          <w:color w:val="211F1F"/>
          <w:spacing w:val="-4"/>
        </w:rPr>
        <w:t>lots:</w:t>
      </w:r>
    </w:p>
    <w:p w14:paraId="1634480B" w14:textId="77777777" w:rsidR="00BB77C0" w:rsidRDefault="00370BAA">
      <w:pPr>
        <w:pStyle w:val="ListParagraph"/>
        <w:numPr>
          <w:ilvl w:val="0"/>
          <w:numId w:val="1"/>
        </w:numPr>
        <w:tabs>
          <w:tab w:val="left" w:pos="1928"/>
          <w:tab w:val="left" w:pos="1983"/>
        </w:tabs>
        <w:spacing w:before="76" w:line="232" w:lineRule="auto"/>
        <w:ind w:right="968" w:hanging="380"/>
      </w:pPr>
      <w:r>
        <w:rPr>
          <w:color w:val="211F1F"/>
          <w:u w:val="single" w:color="211F1F"/>
        </w:rPr>
        <w:t>Total</w:t>
      </w:r>
      <w:r>
        <w:rPr>
          <w:color w:val="211F1F"/>
          <w:spacing w:val="-15"/>
          <w:u w:val="single" w:color="211F1F"/>
        </w:rPr>
        <w:t xml:space="preserve"> </w:t>
      </w:r>
      <w:r>
        <w:rPr>
          <w:color w:val="211F1F"/>
          <w:u w:val="single" w:color="211F1F"/>
        </w:rPr>
        <w:t>price</w:t>
      </w:r>
      <w:r>
        <w:rPr>
          <w:color w:val="211F1F"/>
          <w:spacing w:val="-14"/>
          <w:u w:val="single" w:color="211F1F"/>
        </w:rPr>
        <w:t xml:space="preserve"> </w:t>
      </w:r>
      <w:r>
        <w:rPr>
          <w:color w:val="211F1F"/>
          <w:u w:val="single" w:color="211F1F"/>
        </w:rPr>
        <w:t>of</w:t>
      </w:r>
      <w:r>
        <w:rPr>
          <w:color w:val="211F1F"/>
          <w:spacing w:val="-7"/>
          <w:u w:val="single" w:color="211F1F"/>
        </w:rPr>
        <w:t xml:space="preserve"> </w:t>
      </w:r>
      <w:r>
        <w:rPr>
          <w:color w:val="211F1F"/>
          <w:u w:val="single" w:color="211F1F"/>
        </w:rPr>
        <w:t>each</w:t>
      </w:r>
      <w:r>
        <w:rPr>
          <w:color w:val="211F1F"/>
          <w:spacing w:val="-10"/>
          <w:u w:val="single" w:color="211F1F"/>
        </w:rPr>
        <w:t xml:space="preserve"> </w:t>
      </w:r>
      <w:r>
        <w:rPr>
          <w:color w:val="211F1F"/>
          <w:u w:val="single" w:color="211F1F"/>
        </w:rPr>
        <w:t>lot</w:t>
      </w:r>
      <w:r>
        <w:rPr>
          <w:color w:val="211F1F"/>
          <w:spacing w:val="-5"/>
        </w:rPr>
        <w:t xml:space="preserve"> </w:t>
      </w:r>
      <w:r>
        <w:rPr>
          <w:color w:val="211F1F"/>
        </w:rPr>
        <w:t>[</w:t>
      </w:r>
      <w:r>
        <w:rPr>
          <w:i/>
          <w:color w:val="211F1F"/>
        </w:rPr>
        <w:t>insert</w:t>
      </w:r>
      <w:r>
        <w:rPr>
          <w:i/>
          <w:color w:val="211F1F"/>
          <w:spacing w:val="-5"/>
        </w:rPr>
        <w:t xml:space="preserve"> </w:t>
      </w:r>
      <w:r>
        <w:rPr>
          <w:i/>
          <w:color w:val="211F1F"/>
        </w:rPr>
        <w:t>the</w:t>
      </w:r>
      <w:r>
        <w:rPr>
          <w:i/>
          <w:color w:val="211F1F"/>
          <w:spacing w:val="-8"/>
        </w:rPr>
        <w:t xml:space="preserve"> </w:t>
      </w:r>
      <w:r>
        <w:rPr>
          <w:i/>
          <w:color w:val="211F1F"/>
        </w:rPr>
        <w:t>total</w:t>
      </w:r>
      <w:r>
        <w:rPr>
          <w:i/>
          <w:color w:val="211F1F"/>
          <w:spacing w:val="-5"/>
        </w:rPr>
        <w:t xml:space="preserve"> </w:t>
      </w:r>
      <w:r>
        <w:rPr>
          <w:i/>
          <w:color w:val="211F1F"/>
        </w:rPr>
        <w:t>price</w:t>
      </w:r>
      <w:r>
        <w:rPr>
          <w:i/>
          <w:color w:val="211F1F"/>
          <w:spacing w:val="-8"/>
        </w:rPr>
        <w:t xml:space="preserve"> </w:t>
      </w:r>
      <w:r>
        <w:rPr>
          <w:i/>
          <w:color w:val="211F1F"/>
        </w:rPr>
        <w:t>of</w:t>
      </w:r>
      <w:r>
        <w:rPr>
          <w:i/>
          <w:color w:val="211F1F"/>
          <w:spacing w:val="-6"/>
        </w:rPr>
        <w:t xml:space="preserve"> </w:t>
      </w:r>
      <w:r>
        <w:rPr>
          <w:i/>
          <w:color w:val="211F1F"/>
        </w:rPr>
        <w:t>each</w:t>
      </w:r>
      <w:r>
        <w:rPr>
          <w:i/>
          <w:color w:val="211F1F"/>
          <w:spacing w:val="-10"/>
        </w:rPr>
        <w:t xml:space="preserve"> </w:t>
      </w:r>
      <w:r>
        <w:rPr>
          <w:i/>
          <w:color w:val="211F1F"/>
        </w:rPr>
        <w:t>lot</w:t>
      </w:r>
      <w:r>
        <w:rPr>
          <w:i/>
          <w:color w:val="211F1F"/>
          <w:spacing w:val="-9"/>
        </w:rPr>
        <w:t xml:space="preserve"> </w:t>
      </w:r>
      <w:r>
        <w:rPr>
          <w:i/>
          <w:color w:val="211F1F"/>
        </w:rPr>
        <w:t>in</w:t>
      </w:r>
      <w:r>
        <w:rPr>
          <w:i/>
          <w:color w:val="211F1F"/>
          <w:spacing w:val="-6"/>
        </w:rPr>
        <w:t xml:space="preserve"> </w:t>
      </w:r>
      <w:r>
        <w:rPr>
          <w:i/>
          <w:color w:val="211F1F"/>
        </w:rPr>
        <w:t>words</w:t>
      </w:r>
      <w:r>
        <w:rPr>
          <w:i/>
          <w:color w:val="211F1F"/>
          <w:spacing w:val="-5"/>
        </w:rPr>
        <w:t xml:space="preserve"> </w:t>
      </w:r>
      <w:r>
        <w:rPr>
          <w:i/>
          <w:color w:val="211F1F"/>
        </w:rPr>
        <w:t>and</w:t>
      </w:r>
      <w:r>
        <w:rPr>
          <w:i/>
          <w:color w:val="211F1F"/>
          <w:spacing w:val="-6"/>
        </w:rPr>
        <w:t xml:space="preserve"> </w:t>
      </w:r>
      <w:r>
        <w:rPr>
          <w:i/>
          <w:color w:val="211F1F"/>
        </w:rPr>
        <w:t>figures,</w:t>
      </w:r>
      <w:r>
        <w:rPr>
          <w:i/>
          <w:color w:val="211F1F"/>
          <w:spacing w:val="-7"/>
        </w:rPr>
        <w:t xml:space="preserve"> </w:t>
      </w:r>
      <w:r>
        <w:rPr>
          <w:i/>
          <w:color w:val="211F1F"/>
        </w:rPr>
        <w:t>indicating</w:t>
      </w:r>
      <w:r>
        <w:rPr>
          <w:i/>
          <w:color w:val="211F1F"/>
          <w:spacing w:val="-6"/>
        </w:rPr>
        <w:t xml:space="preserve"> </w:t>
      </w:r>
      <w:r>
        <w:rPr>
          <w:i/>
          <w:color w:val="211F1F"/>
        </w:rPr>
        <w:t>the</w:t>
      </w:r>
      <w:r>
        <w:rPr>
          <w:i/>
          <w:color w:val="211F1F"/>
          <w:spacing w:val="-7"/>
        </w:rPr>
        <w:t xml:space="preserve"> </w:t>
      </w:r>
      <w:r>
        <w:rPr>
          <w:i/>
          <w:color w:val="211F1F"/>
        </w:rPr>
        <w:t>various amounts</w:t>
      </w:r>
      <w:r>
        <w:rPr>
          <w:i/>
          <w:color w:val="211F1F"/>
          <w:spacing w:val="-1"/>
        </w:rPr>
        <w:t xml:space="preserve"> </w:t>
      </w:r>
      <w:r>
        <w:rPr>
          <w:i/>
          <w:color w:val="211F1F"/>
        </w:rPr>
        <w:t>andtherespective</w:t>
      </w:r>
      <w:r>
        <w:rPr>
          <w:i/>
          <w:color w:val="211F1F"/>
          <w:spacing w:val="-4"/>
        </w:rPr>
        <w:t xml:space="preserve"> </w:t>
      </w:r>
      <w:r>
        <w:rPr>
          <w:i/>
          <w:color w:val="211F1F"/>
        </w:rPr>
        <w:t>currencies</w:t>
      </w:r>
      <w:r>
        <w:rPr>
          <w:color w:val="211F1F"/>
        </w:rPr>
        <w:t>]; and</w:t>
      </w:r>
    </w:p>
    <w:p w14:paraId="6EBC928E" w14:textId="77777777" w:rsidR="00BB77C0" w:rsidRDefault="00370BAA">
      <w:pPr>
        <w:pStyle w:val="ListParagraph"/>
        <w:numPr>
          <w:ilvl w:val="0"/>
          <w:numId w:val="1"/>
        </w:numPr>
        <w:tabs>
          <w:tab w:val="left" w:pos="1928"/>
          <w:tab w:val="left" w:pos="1983"/>
        </w:tabs>
        <w:spacing w:before="70" w:line="228" w:lineRule="auto"/>
        <w:ind w:right="906" w:hanging="380"/>
      </w:pPr>
      <w:r>
        <w:rPr>
          <w:color w:val="211F1F"/>
          <w:u w:val="single" w:color="211F1F"/>
        </w:rPr>
        <w:t>Total</w:t>
      </w:r>
      <w:r>
        <w:rPr>
          <w:color w:val="211F1F"/>
          <w:spacing w:val="-15"/>
          <w:u w:val="single" w:color="211F1F"/>
        </w:rPr>
        <w:t xml:space="preserve"> </w:t>
      </w:r>
      <w:r>
        <w:rPr>
          <w:color w:val="211F1F"/>
          <w:u w:val="single" w:color="211F1F"/>
        </w:rPr>
        <w:t>price</w:t>
      </w:r>
      <w:r>
        <w:rPr>
          <w:color w:val="211F1F"/>
          <w:spacing w:val="-18"/>
          <w:u w:val="single" w:color="211F1F"/>
        </w:rPr>
        <w:t xml:space="preserve"> </w:t>
      </w:r>
      <w:r>
        <w:rPr>
          <w:color w:val="211F1F"/>
          <w:u w:val="single" w:color="211F1F"/>
        </w:rPr>
        <w:t>of</w:t>
      </w:r>
      <w:r>
        <w:rPr>
          <w:color w:val="211F1F"/>
          <w:spacing w:val="-14"/>
          <w:u w:val="single" w:color="211F1F"/>
        </w:rPr>
        <w:t xml:space="preserve"> </w:t>
      </w:r>
      <w:r>
        <w:rPr>
          <w:color w:val="211F1F"/>
          <w:u w:val="single" w:color="211F1F"/>
        </w:rPr>
        <w:t>all</w:t>
      </w:r>
      <w:r>
        <w:rPr>
          <w:color w:val="211F1F"/>
          <w:spacing w:val="-14"/>
          <w:u w:val="single" w:color="211F1F"/>
        </w:rPr>
        <w:t xml:space="preserve"> </w:t>
      </w:r>
      <w:r>
        <w:rPr>
          <w:color w:val="211F1F"/>
          <w:u w:val="single" w:color="211F1F"/>
        </w:rPr>
        <w:t>lots</w:t>
      </w:r>
      <w:r>
        <w:rPr>
          <w:color w:val="211F1F"/>
          <w:spacing w:val="-14"/>
        </w:rPr>
        <w:t xml:space="preserve"> </w:t>
      </w:r>
      <w:r>
        <w:rPr>
          <w:color w:val="211F1F"/>
        </w:rPr>
        <w:t>(sum</w:t>
      </w:r>
      <w:r>
        <w:rPr>
          <w:color w:val="211F1F"/>
          <w:spacing w:val="-15"/>
        </w:rPr>
        <w:t xml:space="preserve"> </w:t>
      </w:r>
      <w:r>
        <w:rPr>
          <w:color w:val="211F1F"/>
        </w:rPr>
        <w:t>of</w:t>
      </w:r>
      <w:r>
        <w:rPr>
          <w:color w:val="211F1F"/>
          <w:spacing w:val="-14"/>
        </w:rPr>
        <w:t xml:space="preserve"> </w:t>
      </w:r>
      <w:r>
        <w:rPr>
          <w:color w:val="211F1F"/>
        </w:rPr>
        <w:t>all</w:t>
      </w:r>
      <w:r>
        <w:rPr>
          <w:color w:val="211F1F"/>
          <w:spacing w:val="-14"/>
        </w:rPr>
        <w:t xml:space="preserve"> </w:t>
      </w:r>
      <w:r>
        <w:rPr>
          <w:color w:val="211F1F"/>
        </w:rPr>
        <w:t>lots)</w:t>
      </w:r>
      <w:r>
        <w:rPr>
          <w:color w:val="211F1F"/>
          <w:spacing w:val="-13"/>
        </w:rPr>
        <w:t xml:space="preserve"> </w:t>
      </w:r>
      <w:r>
        <w:rPr>
          <w:color w:val="211F1F"/>
        </w:rPr>
        <w:t>[</w:t>
      </w:r>
      <w:r>
        <w:rPr>
          <w:i/>
          <w:color w:val="211F1F"/>
        </w:rPr>
        <w:t>insert</w:t>
      </w:r>
      <w:r>
        <w:rPr>
          <w:i/>
          <w:color w:val="211F1F"/>
          <w:spacing w:val="-14"/>
        </w:rPr>
        <w:t xml:space="preserve"> </w:t>
      </w:r>
      <w:r>
        <w:rPr>
          <w:i/>
          <w:color w:val="211F1F"/>
        </w:rPr>
        <w:t>the</w:t>
      </w:r>
      <w:r>
        <w:rPr>
          <w:i/>
          <w:color w:val="211F1F"/>
          <w:spacing w:val="-14"/>
        </w:rPr>
        <w:t xml:space="preserve"> </w:t>
      </w:r>
      <w:r>
        <w:rPr>
          <w:i/>
          <w:color w:val="211F1F"/>
        </w:rPr>
        <w:t>total</w:t>
      </w:r>
      <w:r>
        <w:rPr>
          <w:i/>
          <w:color w:val="211F1F"/>
          <w:spacing w:val="-14"/>
        </w:rPr>
        <w:t xml:space="preserve"> </w:t>
      </w:r>
      <w:r>
        <w:rPr>
          <w:i/>
          <w:color w:val="211F1F"/>
        </w:rPr>
        <w:t>price</w:t>
      </w:r>
      <w:r>
        <w:rPr>
          <w:i/>
          <w:color w:val="211F1F"/>
          <w:spacing w:val="-14"/>
        </w:rPr>
        <w:t xml:space="preserve"> </w:t>
      </w:r>
      <w:r>
        <w:rPr>
          <w:i/>
          <w:color w:val="211F1F"/>
        </w:rPr>
        <w:t>of</w:t>
      </w:r>
      <w:r>
        <w:rPr>
          <w:i/>
          <w:color w:val="211F1F"/>
          <w:spacing w:val="-14"/>
        </w:rPr>
        <w:t xml:space="preserve"> </w:t>
      </w:r>
      <w:r>
        <w:rPr>
          <w:i/>
          <w:color w:val="211F1F"/>
        </w:rPr>
        <w:t>all</w:t>
      </w:r>
      <w:r>
        <w:rPr>
          <w:i/>
          <w:color w:val="211F1F"/>
          <w:spacing w:val="-13"/>
        </w:rPr>
        <w:t xml:space="preserve"> </w:t>
      </w:r>
      <w:r>
        <w:rPr>
          <w:i/>
          <w:color w:val="211F1F"/>
        </w:rPr>
        <w:t>lots</w:t>
      </w:r>
      <w:r>
        <w:rPr>
          <w:i/>
          <w:color w:val="211F1F"/>
          <w:spacing w:val="-16"/>
        </w:rPr>
        <w:t xml:space="preserve"> </w:t>
      </w:r>
      <w:r>
        <w:rPr>
          <w:i/>
          <w:color w:val="211F1F"/>
        </w:rPr>
        <w:t>in</w:t>
      </w:r>
      <w:r>
        <w:rPr>
          <w:i/>
          <w:color w:val="211F1F"/>
          <w:spacing w:val="-14"/>
        </w:rPr>
        <w:t xml:space="preserve"> </w:t>
      </w:r>
      <w:r>
        <w:rPr>
          <w:i/>
          <w:color w:val="211F1F"/>
        </w:rPr>
        <w:t>words</w:t>
      </w:r>
      <w:r>
        <w:rPr>
          <w:i/>
          <w:color w:val="211F1F"/>
          <w:spacing w:val="-14"/>
        </w:rPr>
        <w:t xml:space="preserve"> </w:t>
      </w:r>
      <w:r>
        <w:rPr>
          <w:i/>
          <w:color w:val="211F1F"/>
        </w:rPr>
        <w:t>and</w:t>
      </w:r>
      <w:r>
        <w:rPr>
          <w:i/>
          <w:color w:val="211F1F"/>
          <w:spacing w:val="-14"/>
        </w:rPr>
        <w:t xml:space="preserve"> </w:t>
      </w:r>
      <w:r>
        <w:rPr>
          <w:i/>
          <w:color w:val="211F1F"/>
        </w:rPr>
        <w:t>figures,</w:t>
      </w:r>
      <w:r>
        <w:rPr>
          <w:i/>
          <w:color w:val="211F1F"/>
          <w:spacing w:val="-14"/>
        </w:rPr>
        <w:t xml:space="preserve"> </w:t>
      </w:r>
      <w:r>
        <w:rPr>
          <w:i/>
          <w:color w:val="211F1F"/>
        </w:rPr>
        <w:t>indicating the various amounts and the respective currencies</w:t>
      </w:r>
      <w:r>
        <w:rPr>
          <w:color w:val="211F1F"/>
        </w:rPr>
        <w:t>];</w:t>
      </w:r>
    </w:p>
    <w:p w14:paraId="534F3324" w14:textId="77777777" w:rsidR="00BB77C0" w:rsidRDefault="00370BAA">
      <w:pPr>
        <w:pStyle w:val="ListParagraph"/>
        <w:numPr>
          <w:ilvl w:val="0"/>
          <w:numId w:val="47"/>
        </w:numPr>
        <w:tabs>
          <w:tab w:val="left" w:pos="1602"/>
        </w:tabs>
        <w:spacing w:before="239"/>
        <w:ind w:left="1602" w:hanging="546"/>
        <w:jc w:val="both"/>
        <w:rPr>
          <w:color w:val="211F1F"/>
        </w:rPr>
      </w:pPr>
      <w:r>
        <w:rPr>
          <w:i/>
          <w:color w:val="211F1F"/>
          <w:spacing w:val="-4"/>
          <w:u w:val="single" w:color="211F1F"/>
        </w:rPr>
        <w:t>Discounts:</w:t>
      </w:r>
      <w:r>
        <w:rPr>
          <w:i/>
          <w:color w:val="211F1F"/>
          <w:spacing w:val="-14"/>
        </w:rPr>
        <w:t xml:space="preserve"> </w:t>
      </w:r>
      <w:r>
        <w:rPr>
          <w:color w:val="211F1F"/>
          <w:spacing w:val="-4"/>
        </w:rPr>
        <w:t>The</w:t>
      </w:r>
      <w:r>
        <w:rPr>
          <w:color w:val="211F1F"/>
          <w:spacing w:val="-7"/>
        </w:rPr>
        <w:t xml:space="preserve"> </w:t>
      </w:r>
      <w:r>
        <w:rPr>
          <w:color w:val="211F1F"/>
          <w:spacing w:val="-4"/>
        </w:rPr>
        <w:t>discounts</w:t>
      </w:r>
      <w:r>
        <w:rPr>
          <w:color w:val="211F1F"/>
          <w:spacing w:val="-5"/>
        </w:rPr>
        <w:t xml:space="preserve"> </w:t>
      </w:r>
      <w:r>
        <w:rPr>
          <w:color w:val="211F1F"/>
          <w:spacing w:val="-4"/>
        </w:rPr>
        <w:t>offered</w:t>
      </w:r>
      <w:r>
        <w:rPr>
          <w:color w:val="211F1F"/>
          <w:spacing w:val="-6"/>
        </w:rPr>
        <w:t xml:space="preserve"> </w:t>
      </w:r>
      <w:r>
        <w:rPr>
          <w:color w:val="211F1F"/>
          <w:spacing w:val="-4"/>
        </w:rPr>
        <w:t>and</w:t>
      </w:r>
      <w:r>
        <w:rPr>
          <w:color w:val="211F1F"/>
          <w:spacing w:val="-12"/>
        </w:rPr>
        <w:t xml:space="preserve"> </w:t>
      </w:r>
      <w:r>
        <w:rPr>
          <w:color w:val="211F1F"/>
          <w:spacing w:val="-4"/>
        </w:rPr>
        <w:t>the</w:t>
      </w:r>
      <w:r>
        <w:rPr>
          <w:color w:val="211F1F"/>
          <w:spacing w:val="-7"/>
        </w:rPr>
        <w:t xml:space="preserve"> </w:t>
      </w:r>
      <w:r>
        <w:rPr>
          <w:color w:val="211F1F"/>
          <w:spacing w:val="-4"/>
        </w:rPr>
        <w:t>methodology</w:t>
      </w:r>
      <w:r>
        <w:rPr>
          <w:color w:val="211F1F"/>
          <w:spacing w:val="-5"/>
        </w:rPr>
        <w:t xml:space="preserve"> </w:t>
      </w:r>
      <w:r>
        <w:rPr>
          <w:color w:val="211F1F"/>
          <w:spacing w:val="-4"/>
        </w:rPr>
        <w:t>for</w:t>
      </w:r>
      <w:r>
        <w:rPr>
          <w:color w:val="211F1F"/>
          <w:spacing w:val="-2"/>
        </w:rPr>
        <w:t xml:space="preserve"> </w:t>
      </w:r>
      <w:r>
        <w:rPr>
          <w:color w:val="211F1F"/>
          <w:spacing w:val="-4"/>
        </w:rPr>
        <w:t>their</w:t>
      </w:r>
      <w:r>
        <w:rPr>
          <w:color w:val="211F1F"/>
          <w:spacing w:val="-2"/>
        </w:rPr>
        <w:t xml:space="preserve"> </w:t>
      </w:r>
      <w:r>
        <w:rPr>
          <w:color w:val="211F1F"/>
          <w:spacing w:val="-4"/>
        </w:rPr>
        <w:t>application are:</w:t>
      </w:r>
    </w:p>
    <w:p w14:paraId="2069D91A" w14:textId="77777777" w:rsidR="00BB77C0" w:rsidRDefault="00370BAA">
      <w:pPr>
        <w:pStyle w:val="ListParagraph"/>
        <w:numPr>
          <w:ilvl w:val="0"/>
          <w:numId w:val="47"/>
        </w:numPr>
        <w:tabs>
          <w:tab w:val="left" w:pos="1601"/>
        </w:tabs>
        <w:spacing w:before="112"/>
        <w:ind w:left="1601" w:hanging="545"/>
        <w:jc w:val="both"/>
        <w:rPr>
          <w:color w:val="211F1F"/>
        </w:rPr>
      </w:pPr>
      <w:r>
        <w:rPr>
          <w:color w:val="211F1F"/>
          <w:spacing w:val="-2"/>
        </w:rPr>
        <w:t>Thediscounts</w:t>
      </w:r>
      <w:r>
        <w:rPr>
          <w:color w:val="211F1F"/>
          <w:spacing w:val="-5"/>
        </w:rPr>
        <w:t xml:space="preserve"> </w:t>
      </w:r>
      <w:r>
        <w:rPr>
          <w:color w:val="211F1F"/>
          <w:spacing w:val="-2"/>
        </w:rPr>
        <w:t>offered</w:t>
      </w:r>
      <w:r>
        <w:rPr>
          <w:color w:val="211F1F"/>
          <w:spacing w:val="-13"/>
        </w:rPr>
        <w:t xml:space="preserve"> </w:t>
      </w:r>
      <w:r>
        <w:rPr>
          <w:color w:val="211F1F"/>
          <w:spacing w:val="-2"/>
        </w:rPr>
        <w:t>are:</w:t>
      </w:r>
      <w:r>
        <w:rPr>
          <w:color w:val="211F1F"/>
          <w:spacing w:val="-11"/>
        </w:rPr>
        <w:t xml:space="preserve"> </w:t>
      </w:r>
      <w:r>
        <w:rPr>
          <w:color w:val="211F1F"/>
          <w:spacing w:val="-2"/>
        </w:rPr>
        <w:t>[</w:t>
      </w:r>
      <w:r>
        <w:rPr>
          <w:i/>
          <w:color w:val="211F1F"/>
          <w:spacing w:val="-2"/>
        </w:rPr>
        <w:t>Specify</w:t>
      </w:r>
      <w:r>
        <w:rPr>
          <w:i/>
          <w:color w:val="211F1F"/>
          <w:spacing w:val="-9"/>
        </w:rPr>
        <w:t xml:space="preserve"> </w:t>
      </w:r>
      <w:r>
        <w:rPr>
          <w:i/>
          <w:color w:val="211F1F"/>
          <w:spacing w:val="-2"/>
        </w:rPr>
        <w:t>in</w:t>
      </w:r>
      <w:r>
        <w:rPr>
          <w:i/>
          <w:color w:val="211F1F"/>
          <w:spacing w:val="-7"/>
        </w:rPr>
        <w:t xml:space="preserve"> </w:t>
      </w:r>
      <w:r>
        <w:rPr>
          <w:i/>
          <w:color w:val="211F1F"/>
          <w:spacing w:val="-2"/>
        </w:rPr>
        <w:t>detail</w:t>
      </w:r>
      <w:r>
        <w:rPr>
          <w:i/>
          <w:color w:val="211F1F"/>
          <w:spacing w:val="-11"/>
        </w:rPr>
        <w:t xml:space="preserve"> </w:t>
      </w:r>
      <w:r>
        <w:rPr>
          <w:i/>
          <w:color w:val="211F1F"/>
          <w:spacing w:val="-2"/>
        </w:rPr>
        <w:t>eachdiscount</w:t>
      </w:r>
      <w:r>
        <w:rPr>
          <w:i/>
          <w:color w:val="211F1F"/>
          <w:spacing w:val="-11"/>
        </w:rPr>
        <w:t xml:space="preserve"> </w:t>
      </w:r>
      <w:r>
        <w:rPr>
          <w:i/>
          <w:color w:val="211F1F"/>
          <w:spacing w:val="-2"/>
        </w:rPr>
        <w:t>offered.</w:t>
      </w:r>
      <w:r>
        <w:rPr>
          <w:color w:val="211F1F"/>
          <w:spacing w:val="-2"/>
        </w:rPr>
        <w:t>]</w:t>
      </w:r>
    </w:p>
    <w:p w14:paraId="17BA78F0" w14:textId="77777777" w:rsidR="00BB77C0" w:rsidRDefault="00370BAA">
      <w:pPr>
        <w:pStyle w:val="ListParagraph"/>
        <w:numPr>
          <w:ilvl w:val="0"/>
          <w:numId w:val="47"/>
        </w:numPr>
        <w:tabs>
          <w:tab w:val="left" w:pos="1604"/>
        </w:tabs>
        <w:spacing w:before="123" w:line="232" w:lineRule="auto"/>
        <w:ind w:right="800"/>
        <w:jc w:val="both"/>
        <w:rPr>
          <w:color w:val="211F1F"/>
        </w:rPr>
      </w:pPr>
      <w:r>
        <w:rPr>
          <w:color w:val="211F1F"/>
        </w:rPr>
        <w:t>The</w:t>
      </w:r>
      <w:r>
        <w:rPr>
          <w:color w:val="211F1F"/>
          <w:spacing w:val="-14"/>
        </w:rPr>
        <w:t xml:space="preserve"> </w:t>
      </w:r>
      <w:r>
        <w:rPr>
          <w:color w:val="211F1F"/>
        </w:rPr>
        <w:t>exact</w:t>
      </w:r>
      <w:r>
        <w:rPr>
          <w:color w:val="211F1F"/>
          <w:spacing w:val="-14"/>
        </w:rPr>
        <w:t xml:space="preserve"> </w:t>
      </w:r>
      <w:r>
        <w:rPr>
          <w:color w:val="211F1F"/>
        </w:rPr>
        <w:t>method</w:t>
      </w:r>
      <w:r>
        <w:rPr>
          <w:color w:val="211F1F"/>
          <w:spacing w:val="-14"/>
        </w:rPr>
        <w:t xml:space="preserve"> </w:t>
      </w:r>
      <w:r>
        <w:rPr>
          <w:color w:val="211F1F"/>
        </w:rPr>
        <w:t>of</w:t>
      </w:r>
      <w:r>
        <w:rPr>
          <w:color w:val="211F1F"/>
          <w:spacing w:val="-13"/>
        </w:rPr>
        <w:t xml:space="preserve"> </w:t>
      </w:r>
      <w:r>
        <w:rPr>
          <w:color w:val="211F1F"/>
        </w:rPr>
        <w:t>calculations</w:t>
      </w:r>
      <w:r>
        <w:rPr>
          <w:color w:val="211F1F"/>
          <w:spacing w:val="-14"/>
        </w:rPr>
        <w:t xml:space="preserve"> </w:t>
      </w:r>
      <w:r>
        <w:rPr>
          <w:color w:val="211F1F"/>
        </w:rPr>
        <w:t>to</w:t>
      </w:r>
      <w:r>
        <w:rPr>
          <w:color w:val="211F1F"/>
          <w:spacing w:val="-14"/>
        </w:rPr>
        <w:t xml:space="preserve"> </w:t>
      </w:r>
      <w:r>
        <w:rPr>
          <w:color w:val="211F1F"/>
        </w:rPr>
        <w:t>determine</w:t>
      </w:r>
      <w:r>
        <w:rPr>
          <w:color w:val="211F1F"/>
          <w:spacing w:val="-14"/>
        </w:rPr>
        <w:t xml:space="preserve"> </w:t>
      </w:r>
      <w:r>
        <w:rPr>
          <w:color w:val="211F1F"/>
        </w:rPr>
        <w:t>the</w:t>
      </w:r>
      <w:r>
        <w:rPr>
          <w:color w:val="211F1F"/>
          <w:spacing w:val="-13"/>
        </w:rPr>
        <w:t xml:space="preserve"> </w:t>
      </w:r>
      <w:r>
        <w:rPr>
          <w:color w:val="211F1F"/>
        </w:rPr>
        <w:t>net</w:t>
      </w:r>
      <w:r>
        <w:rPr>
          <w:color w:val="211F1F"/>
          <w:spacing w:val="-14"/>
        </w:rPr>
        <w:t xml:space="preserve"> </w:t>
      </w:r>
      <w:r>
        <w:rPr>
          <w:color w:val="211F1F"/>
        </w:rPr>
        <w:t>price</w:t>
      </w:r>
      <w:r>
        <w:rPr>
          <w:color w:val="211F1F"/>
          <w:spacing w:val="-14"/>
        </w:rPr>
        <w:t xml:space="preserve"> </w:t>
      </w:r>
      <w:r>
        <w:rPr>
          <w:color w:val="211F1F"/>
        </w:rPr>
        <w:t>after</w:t>
      </w:r>
      <w:r>
        <w:rPr>
          <w:color w:val="211F1F"/>
          <w:spacing w:val="-8"/>
        </w:rPr>
        <w:t xml:space="preserve"> </w:t>
      </w:r>
      <w:r>
        <w:rPr>
          <w:color w:val="211F1F"/>
        </w:rPr>
        <w:t>application</w:t>
      </w:r>
      <w:r>
        <w:rPr>
          <w:color w:val="211F1F"/>
          <w:spacing w:val="-14"/>
        </w:rPr>
        <w:t xml:space="preserve"> </w:t>
      </w:r>
      <w:r>
        <w:rPr>
          <w:color w:val="211F1F"/>
        </w:rPr>
        <w:t>of</w:t>
      </w:r>
      <w:r>
        <w:rPr>
          <w:color w:val="211F1F"/>
          <w:spacing w:val="-13"/>
        </w:rPr>
        <w:t xml:space="preserve"> </w:t>
      </w:r>
      <w:r>
        <w:rPr>
          <w:color w:val="211F1F"/>
        </w:rPr>
        <w:t>discounts</w:t>
      </w:r>
      <w:r>
        <w:rPr>
          <w:color w:val="211F1F"/>
          <w:spacing w:val="-11"/>
        </w:rPr>
        <w:t xml:space="preserve"> </w:t>
      </w:r>
      <w:r>
        <w:rPr>
          <w:color w:val="211F1F"/>
        </w:rPr>
        <w:t>is</w:t>
      </w:r>
      <w:r>
        <w:rPr>
          <w:color w:val="211F1F"/>
          <w:spacing w:val="-12"/>
        </w:rPr>
        <w:t xml:space="preserve"> </w:t>
      </w:r>
      <w:r>
        <w:rPr>
          <w:color w:val="211F1F"/>
        </w:rPr>
        <w:t>shown</w:t>
      </w:r>
      <w:r>
        <w:rPr>
          <w:color w:val="211F1F"/>
          <w:spacing w:val="-14"/>
        </w:rPr>
        <w:t xml:space="preserve"> </w:t>
      </w:r>
      <w:r>
        <w:rPr>
          <w:color w:val="211F1F"/>
        </w:rPr>
        <w:t>below: [</w:t>
      </w:r>
      <w:r>
        <w:rPr>
          <w:i/>
          <w:color w:val="211F1F"/>
        </w:rPr>
        <w:t>Specify</w:t>
      </w:r>
      <w:r>
        <w:rPr>
          <w:i/>
          <w:color w:val="211F1F"/>
          <w:spacing w:val="-17"/>
        </w:rPr>
        <w:t xml:space="preserve"> </w:t>
      </w:r>
      <w:r>
        <w:rPr>
          <w:i/>
          <w:color w:val="211F1F"/>
        </w:rPr>
        <w:t>in</w:t>
      </w:r>
      <w:r>
        <w:rPr>
          <w:i/>
          <w:color w:val="211F1F"/>
          <w:spacing w:val="-9"/>
        </w:rPr>
        <w:t xml:space="preserve"> </w:t>
      </w:r>
      <w:r>
        <w:rPr>
          <w:i/>
          <w:color w:val="211F1F"/>
        </w:rPr>
        <w:t>detail</w:t>
      </w:r>
      <w:r>
        <w:rPr>
          <w:i/>
          <w:color w:val="211F1F"/>
          <w:spacing w:val="-12"/>
        </w:rPr>
        <w:t xml:space="preserve"> </w:t>
      </w:r>
      <w:r>
        <w:rPr>
          <w:i/>
          <w:color w:val="211F1F"/>
        </w:rPr>
        <w:t>the</w:t>
      </w:r>
      <w:r>
        <w:rPr>
          <w:i/>
          <w:color w:val="211F1F"/>
          <w:spacing w:val="-17"/>
        </w:rPr>
        <w:t xml:space="preserve"> </w:t>
      </w:r>
      <w:r>
        <w:rPr>
          <w:i/>
          <w:color w:val="211F1F"/>
        </w:rPr>
        <w:t>methodthat</w:t>
      </w:r>
      <w:r>
        <w:rPr>
          <w:i/>
          <w:color w:val="211F1F"/>
          <w:spacing w:val="-13"/>
        </w:rPr>
        <w:t xml:space="preserve"> </w:t>
      </w:r>
      <w:r>
        <w:rPr>
          <w:i/>
          <w:color w:val="211F1F"/>
        </w:rPr>
        <w:t>shall</w:t>
      </w:r>
      <w:r>
        <w:rPr>
          <w:i/>
          <w:color w:val="211F1F"/>
          <w:spacing w:val="-13"/>
        </w:rPr>
        <w:t xml:space="preserve"> </w:t>
      </w:r>
      <w:r>
        <w:rPr>
          <w:i/>
          <w:color w:val="211F1F"/>
        </w:rPr>
        <w:t>be</w:t>
      </w:r>
      <w:r>
        <w:rPr>
          <w:i/>
          <w:color w:val="211F1F"/>
          <w:spacing w:val="-11"/>
        </w:rPr>
        <w:t xml:space="preserve"> </w:t>
      </w:r>
      <w:r>
        <w:rPr>
          <w:i/>
          <w:color w:val="211F1F"/>
        </w:rPr>
        <w:t>used</w:t>
      </w:r>
      <w:r>
        <w:rPr>
          <w:i/>
          <w:color w:val="211F1F"/>
          <w:spacing w:val="-15"/>
        </w:rPr>
        <w:t xml:space="preserve"> </w:t>
      </w:r>
      <w:r>
        <w:rPr>
          <w:i/>
          <w:color w:val="211F1F"/>
        </w:rPr>
        <w:t>to</w:t>
      </w:r>
      <w:r>
        <w:rPr>
          <w:i/>
          <w:color w:val="211F1F"/>
          <w:spacing w:val="-15"/>
        </w:rPr>
        <w:t xml:space="preserve"> </w:t>
      </w:r>
      <w:r>
        <w:rPr>
          <w:i/>
          <w:color w:val="211F1F"/>
        </w:rPr>
        <w:t>apply</w:t>
      </w:r>
      <w:r>
        <w:rPr>
          <w:i/>
          <w:color w:val="211F1F"/>
          <w:spacing w:val="-16"/>
        </w:rPr>
        <w:t xml:space="preserve"> </w:t>
      </w:r>
      <w:r>
        <w:rPr>
          <w:i/>
          <w:color w:val="211F1F"/>
        </w:rPr>
        <w:t>the</w:t>
      </w:r>
      <w:r>
        <w:rPr>
          <w:i/>
          <w:color w:val="211F1F"/>
          <w:spacing w:val="-11"/>
        </w:rPr>
        <w:t xml:space="preserve"> </w:t>
      </w:r>
      <w:r>
        <w:rPr>
          <w:i/>
          <w:color w:val="211F1F"/>
        </w:rPr>
        <w:t>discounts</w:t>
      </w:r>
      <w:r>
        <w:rPr>
          <w:color w:val="211F1F"/>
        </w:rPr>
        <w:t>];</w:t>
      </w:r>
    </w:p>
    <w:p w14:paraId="67BE5565" w14:textId="77777777" w:rsidR="00BB77C0" w:rsidRDefault="00370BAA">
      <w:pPr>
        <w:pStyle w:val="ListParagraph"/>
        <w:numPr>
          <w:ilvl w:val="0"/>
          <w:numId w:val="47"/>
        </w:numPr>
        <w:tabs>
          <w:tab w:val="left" w:pos="1597"/>
          <w:tab w:val="left" w:pos="1604"/>
        </w:tabs>
        <w:spacing w:before="116" w:line="230" w:lineRule="auto"/>
        <w:ind w:right="712" w:hanging="553"/>
        <w:jc w:val="both"/>
        <w:rPr>
          <w:color w:val="211F1F"/>
        </w:rPr>
      </w:pPr>
      <w:r>
        <w:rPr>
          <w:i/>
          <w:color w:val="211F1F"/>
          <w:u w:val="single" w:color="211F1F"/>
        </w:rPr>
        <w:t>Tender Validity Period</w:t>
      </w:r>
      <w:r>
        <w:rPr>
          <w:i/>
          <w:color w:val="211F1F"/>
        </w:rPr>
        <w:t xml:space="preserve">: </w:t>
      </w:r>
      <w:r>
        <w:rPr>
          <w:color w:val="211F1F"/>
        </w:rPr>
        <w:t>Our Tender shall be valid for the period specified in TDS 18.1 (as amended, if applicable)</w:t>
      </w:r>
      <w:r>
        <w:rPr>
          <w:color w:val="211F1F"/>
          <w:spacing w:val="-2"/>
        </w:rPr>
        <w:t xml:space="preserve"> </w:t>
      </w:r>
      <w:r>
        <w:rPr>
          <w:color w:val="211F1F"/>
        </w:rPr>
        <w:t>from</w:t>
      </w:r>
      <w:r>
        <w:rPr>
          <w:color w:val="211F1F"/>
          <w:spacing w:val="-8"/>
        </w:rPr>
        <w:t xml:space="preserve"> </w:t>
      </w:r>
      <w:r>
        <w:rPr>
          <w:color w:val="211F1F"/>
        </w:rPr>
        <w:t>the</w:t>
      </w:r>
      <w:r>
        <w:rPr>
          <w:color w:val="211F1F"/>
          <w:spacing w:val="-7"/>
        </w:rPr>
        <w:t xml:space="preserve"> </w:t>
      </w:r>
      <w:r>
        <w:rPr>
          <w:color w:val="211F1F"/>
        </w:rPr>
        <w:t>date</w:t>
      </w:r>
      <w:r>
        <w:rPr>
          <w:color w:val="211F1F"/>
          <w:spacing w:val="-6"/>
        </w:rPr>
        <w:t xml:space="preserve"> </w:t>
      </w:r>
      <w:r>
        <w:rPr>
          <w:color w:val="211F1F"/>
        </w:rPr>
        <w:t>fixed</w:t>
      </w:r>
      <w:r>
        <w:rPr>
          <w:color w:val="211F1F"/>
          <w:spacing w:val="-5"/>
        </w:rPr>
        <w:t xml:space="preserve"> </w:t>
      </w:r>
      <w:r>
        <w:rPr>
          <w:color w:val="211F1F"/>
        </w:rPr>
        <w:t>for the</w:t>
      </w:r>
      <w:r>
        <w:rPr>
          <w:color w:val="211F1F"/>
          <w:spacing w:val="-11"/>
        </w:rPr>
        <w:t xml:space="preserve"> </w:t>
      </w:r>
      <w:r>
        <w:rPr>
          <w:color w:val="211F1F"/>
        </w:rPr>
        <w:t>Tender submission</w:t>
      </w:r>
      <w:r>
        <w:rPr>
          <w:color w:val="211F1F"/>
          <w:spacing w:val="-4"/>
        </w:rPr>
        <w:t xml:space="preserve"> </w:t>
      </w:r>
      <w:r>
        <w:rPr>
          <w:color w:val="211F1F"/>
        </w:rPr>
        <w:t>deadline</w:t>
      </w:r>
      <w:r>
        <w:rPr>
          <w:color w:val="211F1F"/>
          <w:spacing w:val="-5"/>
        </w:rPr>
        <w:t xml:space="preserve"> </w:t>
      </w:r>
      <w:r>
        <w:rPr>
          <w:color w:val="211F1F"/>
        </w:rPr>
        <w:t>specified</w:t>
      </w:r>
      <w:r>
        <w:rPr>
          <w:color w:val="211F1F"/>
          <w:spacing w:val="-4"/>
        </w:rPr>
        <w:t xml:space="preserve"> </w:t>
      </w:r>
      <w:r>
        <w:rPr>
          <w:color w:val="211F1F"/>
        </w:rPr>
        <w:t>in</w:t>
      </w:r>
      <w:r>
        <w:rPr>
          <w:color w:val="211F1F"/>
          <w:spacing w:val="-9"/>
        </w:rPr>
        <w:t xml:space="preserve"> </w:t>
      </w:r>
      <w:r>
        <w:rPr>
          <w:color w:val="211F1F"/>
        </w:rPr>
        <w:t>TDS</w:t>
      </w:r>
      <w:r>
        <w:rPr>
          <w:color w:val="211F1F"/>
          <w:spacing w:val="-2"/>
        </w:rPr>
        <w:t xml:space="preserve"> </w:t>
      </w:r>
      <w:r>
        <w:rPr>
          <w:color w:val="211F1F"/>
        </w:rPr>
        <w:t>22.1</w:t>
      </w:r>
      <w:r>
        <w:rPr>
          <w:color w:val="211F1F"/>
          <w:spacing w:val="-4"/>
        </w:rPr>
        <w:t xml:space="preserve"> </w:t>
      </w:r>
      <w:r>
        <w:rPr>
          <w:color w:val="211F1F"/>
        </w:rPr>
        <w:t>(as</w:t>
      </w:r>
      <w:r>
        <w:rPr>
          <w:color w:val="211F1F"/>
          <w:spacing w:val="-4"/>
        </w:rPr>
        <w:t xml:space="preserve"> </w:t>
      </w:r>
      <w:r>
        <w:rPr>
          <w:color w:val="211F1F"/>
        </w:rPr>
        <w:t>amended, if applicable),</w:t>
      </w:r>
      <w:r>
        <w:rPr>
          <w:color w:val="211F1F"/>
          <w:spacing w:val="-1"/>
        </w:rPr>
        <w:t xml:space="preserve"> </w:t>
      </w:r>
      <w:r>
        <w:rPr>
          <w:color w:val="211F1F"/>
        </w:rPr>
        <w:t>and it shall</w:t>
      </w:r>
      <w:r>
        <w:rPr>
          <w:color w:val="211F1F"/>
          <w:spacing w:val="-3"/>
        </w:rPr>
        <w:t xml:space="preserve"> </w:t>
      </w:r>
      <w:r>
        <w:rPr>
          <w:color w:val="211F1F"/>
        </w:rPr>
        <w:t>remain</w:t>
      </w:r>
      <w:r>
        <w:rPr>
          <w:color w:val="211F1F"/>
          <w:spacing w:val="-7"/>
        </w:rPr>
        <w:t xml:space="preserve"> </w:t>
      </w:r>
      <w:r>
        <w:rPr>
          <w:color w:val="211F1F"/>
        </w:rPr>
        <w:t>binding</w:t>
      </w:r>
      <w:r>
        <w:rPr>
          <w:color w:val="211F1F"/>
          <w:spacing w:val="-3"/>
        </w:rPr>
        <w:t xml:space="preserve"> </w:t>
      </w:r>
      <w:r>
        <w:rPr>
          <w:color w:val="211F1F"/>
        </w:rPr>
        <w:t>upon</w:t>
      </w:r>
      <w:r>
        <w:rPr>
          <w:color w:val="211F1F"/>
          <w:spacing w:val="-3"/>
        </w:rPr>
        <w:t xml:space="preserve"> </w:t>
      </w:r>
      <w:r>
        <w:rPr>
          <w:color w:val="211F1F"/>
        </w:rPr>
        <w:t>us and may</w:t>
      </w:r>
      <w:r>
        <w:rPr>
          <w:color w:val="211F1F"/>
          <w:spacing w:val="-8"/>
        </w:rPr>
        <w:t xml:space="preserve"> </w:t>
      </w:r>
      <w:r>
        <w:rPr>
          <w:color w:val="211F1F"/>
        </w:rPr>
        <w:t>be</w:t>
      </w:r>
      <w:r>
        <w:rPr>
          <w:color w:val="211F1F"/>
          <w:spacing w:val="-6"/>
        </w:rPr>
        <w:t xml:space="preserve"> </w:t>
      </w:r>
      <w:r>
        <w:rPr>
          <w:color w:val="211F1F"/>
        </w:rPr>
        <w:t>accepted</w:t>
      </w:r>
      <w:r>
        <w:rPr>
          <w:color w:val="211F1F"/>
          <w:spacing w:val="-2"/>
        </w:rPr>
        <w:t xml:space="preserve"> </w:t>
      </w:r>
      <w:r>
        <w:rPr>
          <w:color w:val="211F1F"/>
        </w:rPr>
        <w:t>at any</w:t>
      </w:r>
      <w:r>
        <w:rPr>
          <w:color w:val="211F1F"/>
          <w:spacing w:val="-8"/>
        </w:rPr>
        <w:t xml:space="preserve"> </w:t>
      </w:r>
      <w:r>
        <w:rPr>
          <w:color w:val="211F1F"/>
        </w:rPr>
        <w:t>time</w:t>
      </w:r>
      <w:r>
        <w:rPr>
          <w:color w:val="211F1F"/>
          <w:spacing w:val="-1"/>
        </w:rPr>
        <w:t xml:space="preserve"> </w:t>
      </w:r>
      <w:r>
        <w:rPr>
          <w:color w:val="211F1F"/>
        </w:rPr>
        <w:t>before</w:t>
      </w:r>
      <w:r>
        <w:rPr>
          <w:color w:val="211F1F"/>
          <w:spacing w:val="-5"/>
        </w:rPr>
        <w:t xml:space="preserve"> </w:t>
      </w:r>
      <w:r>
        <w:rPr>
          <w:color w:val="211F1F"/>
        </w:rPr>
        <w:t>the</w:t>
      </w:r>
      <w:r>
        <w:rPr>
          <w:color w:val="211F1F"/>
          <w:spacing w:val="-2"/>
        </w:rPr>
        <w:t xml:space="preserve"> </w:t>
      </w:r>
      <w:r>
        <w:rPr>
          <w:color w:val="211F1F"/>
        </w:rPr>
        <w:t>expiration</w:t>
      </w:r>
      <w:r>
        <w:rPr>
          <w:color w:val="211F1F"/>
          <w:spacing w:val="-2"/>
        </w:rPr>
        <w:t xml:space="preserve"> </w:t>
      </w:r>
      <w:r>
        <w:rPr>
          <w:color w:val="211F1F"/>
        </w:rPr>
        <w:t>of that</w:t>
      </w:r>
      <w:r>
        <w:rPr>
          <w:color w:val="211F1F"/>
          <w:spacing w:val="-20"/>
        </w:rPr>
        <w:t xml:space="preserve"> </w:t>
      </w:r>
      <w:r>
        <w:rPr>
          <w:color w:val="211F1F"/>
        </w:rPr>
        <w:t>period;</w:t>
      </w:r>
    </w:p>
    <w:p w14:paraId="0BDEE51A" w14:textId="77777777" w:rsidR="00BB77C0" w:rsidRDefault="00370BAA">
      <w:pPr>
        <w:pStyle w:val="ListParagraph"/>
        <w:numPr>
          <w:ilvl w:val="0"/>
          <w:numId w:val="47"/>
        </w:numPr>
        <w:tabs>
          <w:tab w:val="left" w:pos="1604"/>
        </w:tabs>
        <w:spacing w:before="125" w:line="228" w:lineRule="auto"/>
        <w:ind w:right="712"/>
        <w:jc w:val="both"/>
        <w:rPr>
          <w:color w:val="211F1F"/>
        </w:rPr>
      </w:pPr>
      <w:r>
        <w:rPr>
          <w:i/>
          <w:color w:val="211F1F"/>
          <w:u w:val="single" w:color="211F1F"/>
        </w:rPr>
        <w:t>Performance Security:</w:t>
      </w:r>
      <w:r>
        <w:rPr>
          <w:i/>
          <w:color w:val="211F1F"/>
        </w:rPr>
        <w:t xml:space="preserve"> </w:t>
      </w:r>
      <w:r>
        <w:rPr>
          <w:color w:val="211F1F"/>
        </w:rPr>
        <w:t>If our Tender is accepted, we commit to obtain a Performance Security in accordance with the Tendering document;</w:t>
      </w:r>
    </w:p>
    <w:p w14:paraId="0107CF05" w14:textId="77777777" w:rsidR="00BB77C0" w:rsidRDefault="00370BAA">
      <w:pPr>
        <w:pStyle w:val="ListParagraph"/>
        <w:numPr>
          <w:ilvl w:val="0"/>
          <w:numId w:val="47"/>
        </w:numPr>
        <w:tabs>
          <w:tab w:val="left" w:pos="1597"/>
          <w:tab w:val="left" w:pos="1604"/>
        </w:tabs>
        <w:spacing w:before="122" w:line="230" w:lineRule="auto"/>
        <w:ind w:right="709"/>
        <w:jc w:val="both"/>
        <w:rPr>
          <w:color w:val="211F1F"/>
        </w:rPr>
      </w:pPr>
      <w:r>
        <w:rPr>
          <w:i/>
          <w:color w:val="211F1F"/>
          <w:spacing w:val="-2"/>
          <w:u w:val="single" w:color="211F1F"/>
        </w:rPr>
        <w:t>One</w:t>
      </w:r>
      <w:r>
        <w:rPr>
          <w:i/>
          <w:color w:val="211F1F"/>
          <w:spacing w:val="-12"/>
          <w:u w:val="single" w:color="211F1F"/>
        </w:rPr>
        <w:t xml:space="preserve"> </w:t>
      </w:r>
      <w:r>
        <w:rPr>
          <w:i/>
          <w:color w:val="211F1F"/>
          <w:spacing w:val="-2"/>
          <w:u w:val="single" w:color="211F1F"/>
        </w:rPr>
        <w:t>Tender</w:t>
      </w:r>
      <w:r>
        <w:rPr>
          <w:i/>
          <w:color w:val="211F1F"/>
          <w:spacing w:val="-9"/>
          <w:u w:val="single" w:color="211F1F"/>
        </w:rPr>
        <w:t xml:space="preserve"> </w:t>
      </w:r>
      <w:r>
        <w:rPr>
          <w:i/>
          <w:color w:val="211F1F"/>
          <w:spacing w:val="-2"/>
          <w:u w:val="single" w:color="211F1F"/>
        </w:rPr>
        <w:t>Per</w:t>
      </w:r>
      <w:r>
        <w:rPr>
          <w:i/>
          <w:color w:val="211F1F"/>
          <w:spacing w:val="-6"/>
          <w:u w:val="single" w:color="211F1F"/>
        </w:rPr>
        <w:t xml:space="preserve"> </w:t>
      </w:r>
      <w:r>
        <w:rPr>
          <w:i/>
          <w:color w:val="211F1F"/>
          <w:spacing w:val="-2"/>
          <w:u w:val="single" w:color="211F1F"/>
        </w:rPr>
        <w:t>Tender</w:t>
      </w:r>
      <w:r>
        <w:rPr>
          <w:i/>
          <w:color w:val="211F1F"/>
          <w:spacing w:val="-2"/>
        </w:rPr>
        <w:t>:</w:t>
      </w:r>
      <w:r>
        <w:rPr>
          <w:i/>
          <w:color w:val="211F1F"/>
          <w:spacing w:val="-12"/>
        </w:rPr>
        <w:t xml:space="preserve"> </w:t>
      </w:r>
      <w:r>
        <w:rPr>
          <w:color w:val="211F1F"/>
          <w:spacing w:val="-2"/>
        </w:rPr>
        <w:t>We</w:t>
      </w:r>
      <w:r>
        <w:rPr>
          <w:color w:val="211F1F"/>
          <w:spacing w:val="-12"/>
        </w:rPr>
        <w:t xml:space="preserve"> </w:t>
      </w:r>
      <w:r>
        <w:rPr>
          <w:color w:val="211F1F"/>
          <w:spacing w:val="-2"/>
        </w:rPr>
        <w:t>are</w:t>
      </w:r>
      <w:r>
        <w:rPr>
          <w:color w:val="211F1F"/>
          <w:spacing w:val="-7"/>
        </w:rPr>
        <w:t xml:space="preserve"> </w:t>
      </w:r>
      <w:r>
        <w:rPr>
          <w:color w:val="211F1F"/>
          <w:spacing w:val="-2"/>
        </w:rPr>
        <w:t>not</w:t>
      </w:r>
      <w:r>
        <w:rPr>
          <w:color w:val="211F1F"/>
          <w:spacing w:val="-5"/>
        </w:rPr>
        <w:t xml:space="preserve"> </w:t>
      </w:r>
      <w:r>
        <w:rPr>
          <w:color w:val="211F1F"/>
          <w:spacing w:val="-2"/>
        </w:rPr>
        <w:t>submitting</w:t>
      </w:r>
      <w:r>
        <w:rPr>
          <w:color w:val="211F1F"/>
          <w:spacing w:val="-6"/>
        </w:rPr>
        <w:t xml:space="preserve"> </w:t>
      </w:r>
      <w:r>
        <w:rPr>
          <w:color w:val="211F1F"/>
          <w:spacing w:val="-2"/>
        </w:rPr>
        <w:t>any other Tender(s)</w:t>
      </w:r>
      <w:r>
        <w:rPr>
          <w:color w:val="211F1F"/>
          <w:spacing w:val="-6"/>
        </w:rPr>
        <w:t xml:space="preserve"> </w:t>
      </w:r>
      <w:r>
        <w:rPr>
          <w:color w:val="211F1F"/>
          <w:spacing w:val="-2"/>
        </w:rPr>
        <w:t>as</w:t>
      </w:r>
      <w:r>
        <w:rPr>
          <w:color w:val="211F1F"/>
          <w:spacing w:val="-6"/>
        </w:rPr>
        <w:t xml:space="preserve"> </w:t>
      </w:r>
      <w:r>
        <w:rPr>
          <w:color w:val="211F1F"/>
          <w:spacing w:val="-2"/>
        </w:rPr>
        <w:t>an</w:t>
      </w:r>
      <w:r>
        <w:rPr>
          <w:color w:val="211F1F"/>
          <w:spacing w:val="-6"/>
        </w:rPr>
        <w:t xml:space="preserve"> </w:t>
      </w:r>
      <w:r>
        <w:rPr>
          <w:color w:val="211F1F"/>
          <w:spacing w:val="-2"/>
        </w:rPr>
        <w:t>individual</w:t>
      </w:r>
      <w:r>
        <w:rPr>
          <w:color w:val="211F1F"/>
          <w:spacing w:val="-12"/>
        </w:rPr>
        <w:t xml:space="preserve"> </w:t>
      </w:r>
      <w:r>
        <w:rPr>
          <w:color w:val="211F1F"/>
          <w:spacing w:val="-2"/>
        </w:rPr>
        <w:t>Tender,</w:t>
      </w:r>
      <w:r>
        <w:rPr>
          <w:color w:val="211F1F"/>
          <w:spacing w:val="-8"/>
        </w:rPr>
        <w:t xml:space="preserve"> </w:t>
      </w:r>
      <w:r>
        <w:rPr>
          <w:color w:val="211F1F"/>
          <w:spacing w:val="-2"/>
        </w:rPr>
        <w:t>and we</w:t>
      </w:r>
      <w:r>
        <w:rPr>
          <w:color w:val="211F1F"/>
          <w:spacing w:val="-9"/>
        </w:rPr>
        <w:t xml:space="preserve"> </w:t>
      </w:r>
      <w:r>
        <w:rPr>
          <w:color w:val="211F1F"/>
          <w:spacing w:val="-2"/>
        </w:rPr>
        <w:t>are</w:t>
      </w:r>
      <w:r>
        <w:rPr>
          <w:color w:val="211F1F"/>
          <w:spacing w:val="-4"/>
        </w:rPr>
        <w:t xml:space="preserve"> </w:t>
      </w:r>
      <w:r>
        <w:rPr>
          <w:color w:val="211F1F"/>
          <w:spacing w:val="-2"/>
        </w:rPr>
        <w:t xml:space="preserve">not </w:t>
      </w:r>
      <w:r>
        <w:rPr>
          <w:color w:val="211F1F"/>
        </w:rPr>
        <w:t>participating in any other Tender(s) as a Joint Venture member or as a subcontractor, and meet the requirements</w:t>
      </w:r>
      <w:r>
        <w:rPr>
          <w:color w:val="211F1F"/>
          <w:spacing w:val="-2"/>
        </w:rPr>
        <w:t xml:space="preserve"> </w:t>
      </w:r>
      <w:r>
        <w:rPr>
          <w:color w:val="211F1F"/>
        </w:rPr>
        <w:t>of ITT</w:t>
      </w:r>
      <w:r>
        <w:rPr>
          <w:color w:val="211F1F"/>
          <w:spacing w:val="-4"/>
        </w:rPr>
        <w:t xml:space="preserve"> </w:t>
      </w:r>
      <w:r>
        <w:rPr>
          <w:color w:val="211F1F"/>
        </w:rPr>
        <w:t>3.4, other than</w:t>
      </w:r>
      <w:r>
        <w:rPr>
          <w:color w:val="211F1F"/>
          <w:spacing w:val="-9"/>
        </w:rPr>
        <w:t xml:space="preserve"> </w:t>
      </w:r>
      <w:r>
        <w:rPr>
          <w:color w:val="211F1F"/>
        </w:rPr>
        <w:t>alternative</w:t>
      </w:r>
      <w:r>
        <w:rPr>
          <w:color w:val="211F1F"/>
          <w:spacing w:val="-16"/>
        </w:rPr>
        <w:t xml:space="preserve"> </w:t>
      </w:r>
      <w:r>
        <w:rPr>
          <w:color w:val="211F1F"/>
        </w:rPr>
        <w:t>Tenders</w:t>
      </w:r>
      <w:r>
        <w:rPr>
          <w:color w:val="211F1F"/>
          <w:spacing w:val="-8"/>
        </w:rPr>
        <w:t xml:space="preserve"> </w:t>
      </w:r>
      <w:r>
        <w:rPr>
          <w:color w:val="211F1F"/>
        </w:rPr>
        <w:t>submitted</w:t>
      </w:r>
      <w:r>
        <w:rPr>
          <w:color w:val="211F1F"/>
          <w:spacing w:val="-9"/>
        </w:rPr>
        <w:t xml:space="preserve"> </w:t>
      </w:r>
      <w:r>
        <w:rPr>
          <w:color w:val="211F1F"/>
        </w:rPr>
        <w:t>in</w:t>
      </w:r>
      <w:r>
        <w:rPr>
          <w:color w:val="211F1F"/>
          <w:spacing w:val="-8"/>
        </w:rPr>
        <w:t xml:space="preserve"> </w:t>
      </w:r>
      <w:r>
        <w:rPr>
          <w:color w:val="211F1F"/>
        </w:rPr>
        <w:t>accordance</w:t>
      </w:r>
      <w:r>
        <w:rPr>
          <w:color w:val="211F1F"/>
          <w:spacing w:val="-4"/>
        </w:rPr>
        <w:t xml:space="preserve"> </w:t>
      </w:r>
      <w:r>
        <w:rPr>
          <w:color w:val="211F1F"/>
        </w:rPr>
        <w:t>with</w:t>
      </w:r>
      <w:r>
        <w:rPr>
          <w:color w:val="211F1F"/>
          <w:spacing w:val="-14"/>
        </w:rPr>
        <w:t xml:space="preserve"> </w:t>
      </w:r>
      <w:r>
        <w:rPr>
          <w:color w:val="211F1F"/>
        </w:rPr>
        <w:t>ITT</w:t>
      </w:r>
      <w:r>
        <w:rPr>
          <w:color w:val="211F1F"/>
          <w:spacing w:val="-9"/>
        </w:rPr>
        <w:t xml:space="preserve"> </w:t>
      </w:r>
      <w:r>
        <w:rPr>
          <w:color w:val="211F1F"/>
        </w:rPr>
        <w:t>13.3;</w:t>
      </w:r>
    </w:p>
    <w:p w14:paraId="239DAB9D" w14:textId="77777777" w:rsidR="00BB77C0" w:rsidRDefault="00370BAA">
      <w:pPr>
        <w:pStyle w:val="ListParagraph"/>
        <w:numPr>
          <w:ilvl w:val="0"/>
          <w:numId w:val="47"/>
        </w:numPr>
        <w:tabs>
          <w:tab w:val="left" w:pos="1596"/>
          <w:tab w:val="left" w:pos="1604"/>
        </w:tabs>
        <w:spacing w:before="122" w:line="230" w:lineRule="auto"/>
        <w:ind w:right="708" w:hanging="553"/>
        <w:jc w:val="both"/>
        <w:rPr>
          <w:color w:val="211F1F"/>
        </w:rPr>
      </w:pPr>
      <w:r>
        <w:rPr>
          <w:i/>
          <w:color w:val="211F1F"/>
          <w:u w:val="single" w:color="211F1F"/>
        </w:rPr>
        <w:t>Suspension and Debarment</w:t>
      </w:r>
      <w:r>
        <w:rPr>
          <w:i/>
          <w:color w:val="211F1F"/>
        </w:rPr>
        <w:t xml:space="preserve">: </w:t>
      </w:r>
      <w:r>
        <w:rPr>
          <w:color w:val="211F1F"/>
        </w:rPr>
        <w:t>We, along with any of our subcontractors, suppliers, Project Manager, manufacturers, or service</w:t>
      </w:r>
      <w:r>
        <w:rPr>
          <w:color w:val="211F1F"/>
          <w:spacing w:val="-2"/>
        </w:rPr>
        <w:t xml:space="preserve"> </w:t>
      </w:r>
      <w:r>
        <w:rPr>
          <w:color w:val="211F1F"/>
        </w:rPr>
        <w:t>providers for any part of the contract, are not subject to, and not controlled by any entity or individual that is subject to, a temporary suspension or a debarment imposed by the</w:t>
      </w:r>
      <w:r>
        <w:rPr>
          <w:color w:val="211F1F"/>
          <w:spacing w:val="-2"/>
        </w:rPr>
        <w:t xml:space="preserve"> </w:t>
      </w:r>
      <w:r>
        <w:rPr>
          <w:color w:val="211F1F"/>
        </w:rPr>
        <w:t>Public Procurement Regulatory</w:t>
      </w:r>
      <w:r>
        <w:rPr>
          <w:color w:val="211F1F"/>
          <w:spacing w:val="-8"/>
        </w:rPr>
        <w:t xml:space="preserve"> </w:t>
      </w:r>
      <w:r>
        <w:rPr>
          <w:color w:val="211F1F"/>
        </w:rPr>
        <w:t>Authority or any</w:t>
      </w:r>
      <w:r>
        <w:rPr>
          <w:color w:val="211F1F"/>
          <w:spacing w:val="-1"/>
        </w:rPr>
        <w:t xml:space="preserve"> </w:t>
      </w:r>
      <w:r>
        <w:rPr>
          <w:color w:val="211F1F"/>
        </w:rPr>
        <w:t>other entity of the</w:t>
      </w:r>
      <w:r>
        <w:rPr>
          <w:color w:val="211F1F"/>
          <w:spacing w:val="-3"/>
        </w:rPr>
        <w:t xml:space="preserve"> </w:t>
      </w:r>
      <w:r>
        <w:rPr>
          <w:color w:val="211F1F"/>
        </w:rPr>
        <w:t xml:space="preserve">Government of Kenya, or any international </w:t>
      </w:r>
      <w:r>
        <w:rPr>
          <w:color w:val="211F1F"/>
          <w:spacing w:val="-2"/>
        </w:rPr>
        <w:t>organization.</w:t>
      </w:r>
    </w:p>
    <w:p w14:paraId="72CD73BC" w14:textId="77777777" w:rsidR="00BB77C0" w:rsidRDefault="00370BAA">
      <w:pPr>
        <w:pStyle w:val="ListParagraph"/>
        <w:numPr>
          <w:ilvl w:val="0"/>
          <w:numId w:val="47"/>
        </w:numPr>
        <w:tabs>
          <w:tab w:val="left" w:pos="1602"/>
          <w:tab w:val="left" w:pos="1604"/>
        </w:tabs>
        <w:spacing w:before="118" w:line="232" w:lineRule="auto"/>
        <w:ind w:right="704"/>
        <w:jc w:val="both"/>
        <w:rPr>
          <w:color w:val="211F1F"/>
        </w:rPr>
      </w:pPr>
      <w:r>
        <w:rPr>
          <w:i/>
          <w:color w:val="211F1F"/>
          <w:u w:val="single" w:color="211F1F"/>
        </w:rPr>
        <w:t>State-owned enterprise or institution:</w:t>
      </w:r>
      <w:r>
        <w:rPr>
          <w:i/>
          <w:color w:val="211F1F"/>
        </w:rPr>
        <w:t xml:space="preserve"> </w:t>
      </w:r>
      <w:r>
        <w:rPr>
          <w:color w:val="211F1F"/>
        </w:rPr>
        <w:t>[</w:t>
      </w:r>
      <w:r>
        <w:rPr>
          <w:i/>
          <w:color w:val="211F1F"/>
        </w:rPr>
        <w:t>select the appropriate option and delete the other</w:t>
      </w:r>
      <w:r>
        <w:rPr>
          <w:color w:val="211F1F"/>
        </w:rPr>
        <w:t>] [</w:t>
      </w:r>
      <w:r>
        <w:rPr>
          <w:i/>
          <w:color w:val="211F1F"/>
        </w:rPr>
        <w:t>We</w:t>
      </w:r>
      <w:r>
        <w:rPr>
          <w:i/>
          <w:color w:val="211F1F"/>
          <w:spacing w:val="-6"/>
        </w:rPr>
        <w:t xml:space="preserve"> </w:t>
      </w:r>
      <w:r>
        <w:rPr>
          <w:i/>
          <w:color w:val="211F1F"/>
        </w:rPr>
        <w:t>are not a state-owned enterprise or institution</w:t>
      </w:r>
      <w:r>
        <w:rPr>
          <w:color w:val="211F1F"/>
        </w:rPr>
        <w:t>] / [</w:t>
      </w:r>
      <w:r>
        <w:rPr>
          <w:i/>
          <w:color w:val="211F1F"/>
        </w:rPr>
        <w:t>We are a state-owned enterprise or institution but meet the requirements of ITT 3.8</w:t>
      </w:r>
      <w:r>
        <w:rPr>
          <w:color w:val="211F1F"/>
        </w:rPr>
        <w:t>];</w:t>
      </w:r>
    </w:p>
    <w:p w14:paraId="4EDDE680" w14:textId="77777777" w:rsidR="00BB77C0" w:rsidRDefault="00370BAA">
      <w:pPr>
        <w:pStyle w:val="ListParagraph"/>
        <w:numPr>
          <w:ilvl w:val="0"/>
          <w:numId w:val="47"/>
        </w:numPr>
        <w:tabs>
          <w:tab w:val="left" w:pos="1601"/>
          <w:tab w:val="left" w:pos="1604"/>
        </w:tabs>
        <w:spacing w:before="121" w:line="230" w:lineRule="auto"/>
        <w:ind w:right="704" w:hanging="553"/>
        <w:jc w:val="both"/>
        <w:rPr>
          <w:i/>
          <w:color w:val="211F1F"/>
        </w:rPr>
      </w:pPr>
      <w:r>
        <w:rPr>
          <w:i/>
          <w:color w:val="211F1F"/>
          <w:u w:val="single" w:color="211F1F"/>
        </w:rPr>
        <w:t>Commissions, gratuities, fees</w:t>
      </w:r>
      <w:r>
        <w:rPr>
          <w:i/>
          <w:color w:val="211F1F"/>
        </w:rPr>
        <w:t xml:space="preserve">: </w:t>
      </w:r>
      <w:r>
        <w:rPr>
          <w:color w:val="211F1F"/>
        </w:rPr>
        <w:t>We</w:t>
      </w:r>
      <w:r>
        <w:rPr>
          <w:color w:val="211F1F"/>
          <w:spacing w:val="-2"/>
        </w:rPr>
        <w:t xml:space="preserve"> </w:t>
      </w:r>
      <w:r>
        <w:rPr>
          <w:color w:val="211F1F"/>
        </w:rPr>
        <w:t>have paid, or will pay the following commissions, gratuities, or fees with</w:t>
      </w:r>
      <w:r>
        <w:rPr>
          <w:color w:val="211F1F"/>
          <w:spacing w:val="-14"/>
        </w:rPr>
        <w:t xml:space="preserve"> </w:t>
      </w:r>
      <w:r>
        <w:rPr>
          <w:color w:val="211F1F"/>
        </w:rPr>
        <w:t>respect</w:t>
      </w:r>
      <w:r>
        <w:rPr>
          <w:color w:val="211F1F"/>
          <w:spacing w:val="-14"/>
        </w:rPr>
        <w:t xml:space="preserve"> </w:t>
      </w:r>
      <w:r>
        <w:rPr>
          <w:color w:val="211F1F"/>
        </w:rPr>
        <w:t>to</w:t>
      </w:r>
      <w:r>
        <w:rPr>
          <w:color w:val="211F1F"/>
          <w:spacing w:val="-14"/>
        </w:rPr>
        <w:t xml:space="preserve"> </w:t>
      </w:r>
      <w:r>
        <w:rPr>
          <w:color w:val="211F1F"/>
        </w:rPr>
        <w:t>the</w:t>
      </w:r>
      <w:r>
        <w:rPr>
          <w:color w:val="211F1F"/>
          <w:spacing w:val="-13"/>
        </w:rPr>
        <w:t xml:space="preserve"> </w:t>
      </w:r>
      <w:r>
        <w:rPr>
          <w:color w:val="211F1F"/>
        </w:rPr>
        <w:t>tender</w:t>
      </w:r>
      <w:r>
        <w:rPr>
          <w:color w:val="211F1F"/>
          <w:spacing w:val="-14"/>
        </w:rPr>
        <w:t xml:space="preserve"> </w:t>
      </w:r>
      <w:r>
        <w:rPr>
          <w:color w:val="211F1F"/>
        </w:rPr>
        <w:t>process</w:t>
      </w:r>
      <w:r>
        <w:rPr>
          <w:color w:val="211F1F"/>
          <w:spacing w:val="-14"/>
        </w:rPr>
        <w:t xml:space="preserve"> </w:t>
      </w:r>
      <w:r>
        <w:rPr>
          <w:color w:val="211F1F"/>
        </w:rPr>
        <w:t>or</w:t>
      </w:r>
      <w:r>
        <w:rPr>
          <w:color w:val="211F1F"/>
          <w:spacing w:val="-14"/>
        </w:rPr>
        <w:t xml:space="preserve"> </w:t>
      </w:r>
      <w:r>
        <w:rPr>
          <w:color w:val="211F1F"/>
        </w:rPr>
        <w:t>execution</w:t>
      </w:r>
      <w:r>
        <w:rPr>
          <w:color w:val="211F1F"/>
          <w:spacing w:val="-13"/>
        </w:rPr>
        <w:t xml:space="preserve"> </w:t>
      </w:r>
      <w:r>
        <w:rPr>
          <w:color w:val="211F1F"/>
        </w:rPr>
        <w:t>of</w:t>
      </w:r>
      <w:r>
        <w:rPr>
          <w:color w:val="211F1F"/>
          <w:spacing w:val="-14"/>
        </w:rPr>
        <w:t xml:space="preserve"> </w:t>
      </w:r>
      <w:r>
        <w:rPr>
          <w:color w:val="211F1F"/>
        </w:rPr>
        <w:t>the</w:t>
      </w:r>
      <w:r>
        <w:rPr>
          <w:color w:val="211F1F"/>
          <w:spacing w:val="-14"/>
        </w:rPr>
        <w:t xml:space="preserve"> </w:t>
      </w:r>
      <w:r>
        <w:rPr>
          <w:color w:val="211F1F"/>
        </w:rPr>
        <w:t>Contract:</w:t>
      </w:r>
      <w:r>
        <w:rPr>
          <w:color w:val="211F1F"/>
          <w:spacing w:val="-14"/>
        </w:rPr>
        <w:t xml:space="preserve"> </w:t>
      </w:r>
      <w:r>
        <w:rPr>
          <w:i/>
          <w:color w:val="211F1F"/>
        </w:rPr>
        <w:t>[insert</w:t>
      </w:r>
      <w:r>
        <w:rPr>
          <w:i/>
          <w:color w:val="211F1F"/>
          <w:spacing w:val="-13"/>
        </w:rPr>
        <w:t xml:space="preserve"> </w:t>
      </w:r>
      <w:r>
        <w:rPr>
          <w:i/>
          <w:color w:val="211F1F"/>
        </w:rPr>
        <w:t>complete</w:t>
      </w:r>
      <w:r>
        <w:rPr>
          <w:i/>
          <w:color w:val="211F1F"/>
          <w:spacing w:val="-14"/>
        </w:rPr>
        <w:t xml:space="preserve"> </w:t>
      </w:r>
      <w:r>
        <w:rPr>
          <w:i/>
          <w:color w:val="211F1F"/>
        </w:rPr>
        <w:t>name</w:t>
      </w:r>
      <w:r>
        <w:rPr>
          <w:i/>
          <w:color w:val="211F1F"/>
          <w:spacing w:val="-14"/>
        </w:rPr>
        <w:t xml:space="preserve"> </w:t>
      </w:r>
      <w:r>
        <w:rPr>
          <w:i/>
          <w:color w:val="211F1F"/>
        </w:rPr>
        <w:t>of</w:t>
      </w:r>
      <w:r>
        <w:rPr>
          <w:i/>
          <w:color w:val="211F1F"/>
          <w:spacing w:val="-14"/>
        </w:rPr>
        <w:t xml:space="preserve"> </w:t>
      </w:r>
      <w:r>
        <w:rPr>
          <w:i/>
          <w:color w:val="211F1F"/>
        </w:rPr>
        <w:t>each</w:t>
      </w:r>
      <w:r>
        <w:rPr>
          <w:i/>
          <w:color w:val="211F1F"/>
          <w:spacing w:val="-13"/>
        </w:rPr>
        <w:t xml:space="preserve"> </w:t>
      </w:r>
      <w:r>
        <w:rPr>
          <w:i/>
          <w:color w:val="211F1F"/>
        </w:rPr>
        <w:t>Recipient,</w:t>
      </w:r>
      <w:r>
        <w:rPr>
          <w:i/>
          <w:color w:val="211F1F"/>
          <w:spacing w:val="-14"/>
        </w:rPr>
        <w:t xml:space="preserve"> </w:t>
      </w:r>
      <w:r>
        <w:rPr>
          <w:i/>
          <w:color w:val="211F1F"/>
        </w:rPr>
        <w:t>its full address,</w:t>
      </w:r>
      <w:r>
        <w:rPr>
          <w:i/>
          <w:color w:val="211F1F"/>
          <w:spacing w:val="-1"/>
        </w:rPr>
        <w:t xml:space="preserve"> </w:t>
      </w:r>
      <w:r>
        <w:rPr>
          <w:i/>
          <w:color w:val="211F1F"/>
        </w:rPr>
        <w:t>the</w:t>
      </w:r>
      <w:r>
        <w:rPr>
          <w:i/>
          <w:color w:val="211F1F"/>
          <w:spacing w:val="-2"/>
        </w:rPr>
        <w:t xml:space="preserve"> </w:t>
      </w:r>
      <w:r>
        <w:rPr>
          <w:i/>
          <w:color w:val="211F1F"/>
        </w:rPr>
        <w:t>reason</w:t>
      </w:r>
      <w:r>
        <w:rPr>
          <w:i/>
          <w:color w:val="211F1F"/>
          <w:spacing w:val="-4"/>
        </w:rPr>
        <w:t xml:space="preserve"> </w:t>
      </w:r>
      <w:r>
        <w:rPr>
          <w:i/>
          <w:color w:val="211F1F"/>
        </w:rPr>
        <w:t>for which each commission</w:t>
      </w:r>
      <w:r>
        <w:rPr>
          <w:i/>
          <w:color w:val="211F1F"/>
          <w:spacing w:val="-4"/>
        </w:rPr>
        <w:t xml:space="preserve"> </w:t>
      </w:r>
      <w:r>
        <w:rPr>
          <w:i/>
          <w:color w:val="211F1F"/>
        </w:rPr>
        <w:t>or</w:t>
      </w:r>
      <w:r>
        <w:rPr>
          <w:i/>
          <w:color w:val="211F1F"/>
          <w:spacing w:val="-9"/>
        </w:rPr>
        <w:t xml:space="preserve"> </w:t>
      </w:r>
      <w:r>
        <w:rPr>
          <w:i/>
          <w:color w:val="211F1F"/>
        </w:rPr>
        <w:t>gratuity</w:t>
      </w:r>
      <w:r>
        <w:rPr>
          <w:i/>
          <w:color w:val="211F1F"/>
          <w:spacing w:val="-1"/>
        </w:rPr>
        <w:t xml:space="preserve"> </w:t>
      </w:r>
      <w:r>
        <w:rPr>
          <w:i/>
          <w:color w:val="211F1F"/>
        </w:rPr>
        <w:t>was paid</w:t>
      </w:r>
      <w:r>
        <w:rPr>
          <w:i/>
          <w:color w:val="211F1F"/>
          <w:spacing w:val="-5"/>
        </w:rPr>
        <w:t xml:space="preserve"> </w:t>
      </w:r>
      <w:r>
        <w:rPr>
          <w:i/>
          <w:color w:val="211F1F"/>
        </w:rPr>
        <w:t>and</w:t>
      </w:r>
      <w:r>
        <w:rPr>
          <w:i/>
          <w:color w:val="211F1F"/>
          <w:spacing w:val="-5"/>
        </w:rPr>
        <w:t xml:space="preserve"> </w:t>
      </w:r>
      <w:r>
        <w:rPr>
          <w:i/>
          <w:color w:val="211F1F"/>
        </w:rPr>
        <w:t>the</w:t>
      </w:r>
      <w:r>
        <w:rPr>
          <w:i/>
          <w:color w:val="211F1F"/>
          <w:spacing w:val="-1"/>
        </w:rPr>
        <w:t xml:space="preserve"> </w:t>
      </w:r>
      <w:r>
        <w:rPr>
          <w:i/>
          <w:color w:val="211F1F"/>
        </w:rPr>
        <w:t>amount and currency</w:t>
      </w:r>
      <w:r>
        <w:rPr>
          <w:i/>
          <w:color w:val="211F1F"/>
          <w:spacing w:val="-2"/>
        </w:rPr>
        <w:t xml:space="preserve"> </w:t>
      </w:r>
      <w:r>
        <w:rPr>
          <w:i/>
          <w:color w:val="211F1F"/>
        </w:rPr>
        <w:t>of eachsuch commission or gratuity].</w:t>
      </w:r>
    </w:p>
    <w:p w14:paraId="31E08DA6" w14:textId="77777777" w:rsidR="00BB77C0" w:rsidRDefault="00BB77C0">
      <w:pPr>
        <w:pStyle w:val="BodyText"/>
        <w:spacing w:before="9" w:after="1"/>
        <w:rPr>
          <w:i/>
          <w:sz w:val="17"/>
        </w:rPr>
      </w:pPr>
    </w:p>
    <w:tbl>
      <w:tblPr>
        <w:tblW w:w="0" w:type="auto"/>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7"/>
        <w:gridCol w:w="2521"/>
        <w:gridCol w:w="2070"/>
        <w:gridCol w:w="1960"/>
      </w:tblGrid>
      <w:tr w:rsidR="00BB77C0" w14:paraId="707AB666" w14:textId="77777777">
        <w:trPr>
          <w:trHeight w:val="230"/>
        </w:trPr>
        <w:tc>
          <w:tcPr>
            <w:tcW w:w="2367" w:type="dxa"/>
          </w:tcPr>
          <w:p w14:paraId="0EA6E848" w14:textId="77777777" w:rsidR="00BB77C0" w:rsidRDefault="00370BAA">
            <w:pPr>
              <w:pStyle w:val="TableParagraph"/>
              <w:spacing w:line="210" w:lineRule="exact"/>
              <w:ind w:left="677"/>
              <w:rPr>
                <w:b/>
                <w:sz w:val="20"/>
              </w:rPr>
            </w:pPr>
            <w:r>
              <w:rPr>
                <w:b/>
                <w:sz w:val="20"/>
              </w:rPr>
              <w:t>Name</w:t>
            </w:r>
            <w:r>
              <w:rPr>
                <w:b/>
                <w:spacing w:val="-3"/>
                <w:sz w:val="20"/>
              </w:rPr>
              <w:t xml:space="preserve"> </w:t>
            </w:r>
            <w:r>
              <w:rPr>
                <w:b/>
                <w:sz w:val="20"/>
              </w:rPr>
              <w:t>of</w:t>
            </w:r>
            <w:r>
              <w:rPr>
                <w:b/>
                <w:spacing w:val="-7"/>
                <w:sz w:val="20"/>
              </w:rPr>
              <w:t xml:space="preserve"> </w:t>
            </w:r>
            <w:r>
              <w:rPr>
                <w:b/>
                <w:spacing w:val="-2"/>
                <w:sz w:val="20"/>
              </w:rPr>
              <w:t>Recipient</w:t>
            </w:r>
          </w:p>
        </w:tc>
        <w:tc>
          <w:tcPr>
            <w:tcW w:w="2521" w:type="dxa"/>
          </w:tcPr>
          <w:p w14:paraId="3429D6DE" w14:textId="77777777" w:rsidR="00BB77C0" w:rsidRDefault="00370BAA">
            <w:pPr>
              <w:pStyle w:val="TableParagraph"/>
              <w:spacing w:line="210" w:lineRule="exact"/>
              <w:ind w:left="677"/>
              <w:rPr>
                <w:b/>
                <w:sz w:val="20"/>
              </w:rPr>
            </w:pPr>
            <w:r>
              <w:rPr>
                <w:b/>
                <w:spacing w:val="-2"/>
                <w:sz w:val="20"/>
              </w:rPr>
              <w:t>Address</w:t>
            </w:r>
          </w:p>
        </w:tc>
        <w:tc>
          <w:tcPr>
            <w:tcW w:w="2070" w:type="dxa"/>
          </w:tcPr>
          <w:p w14:paraId="4424CBC7" w14:textId="77777777" w:rsidR="00BB77C0" w:rsidRDefault="00370BAA">
            <w:pPr>
              <w:pStyle w:val="TableParagraph"/>
              <w:spacing w:line="210" w:lineRule="exact"/>
              <w:ind w:left="677"/>
              <w:rPr>
                <w:b/>
                <w:sz w:val="20"/>
              </w:rPr>
            </w:pPr>
            <w:r>
              <w:rPr>
                <w:b/>
                <w:spacing w:val="-2"/>
                <w:sz w:val="20"/>
              </w:rPr>
              <w:t>Reason</w:t>
            </w:r>
          </w:p>
        </w:tc>
        <w:tc>
          <w:tcPr>
            <w:tcW w:w="1960" w:type="dxa"/>
          </w:tcPr>
          <w:p w14:paraId="52AA75EC" w14:textId="77777777" w:rsidR="00BB77C0" w:rsidRDefault="00370BAA">
            <w:pPr>
              <w:pStyle w:val="TableParagraph"/>
              <w:spacing w:line="210" w:lineRule="exact"/>
              <w:ind w:left="677"/>
              <w:rPr>
                <w:b/>
                <w:sz w:val="20"/>
              </w:rPr>
            </w:pPr>
            <w:r>
              <w:rPr>
                <w:b/>
                <w:spacing w:val="-2"/>
                <w:sz w:val="20"/>
              </w:rPr>
              <w:t>Amount</w:t>
            </w:r>
          </w:p>
        </w:tc>
      </w:tr>
      <w:tr w:rsidR="00BB77C0" w14:paraId="35258503" w14:textId="77777777">
        <w:trPr>
          <w:trHeight w:val="253"/>
        </w:trPr>
        <w:tc>
          <w:tcPr>
            <w:tcW w:w="2367" w:type="dxa"/>
          </w:tcPr>
          <w:p w14:paraId="2EB454D3" w14:textId="77777777" w:rsidR="00BB77C0" w:rsidRDefault="00BB77C0">
            <w:pPr>
              <w:pStyle w:val="TableParagraph"/>
              <w:rPr>
                <w:sz w:val="18"/>
              </w:rPr>
            </w:pPr>
          </w:p>
        </w:tc>
        <w:tc>
          <w:tcPr>
            <w:tcW w:w="2521" w:type="dxa"/>
          </w:tcPr>
          <w:p w14:paraId="57270089" w14:textId="77777777" w:rsidR="00BB77C0" w:rsidRDefault="00BB77C0">
            <w:pPr>
              <w:pStyle w:val="TableParagraph"/>
              <w:rPr>
                <w:sz w:val="18"/>
              </w:rPr>
            </w:pPr>
          </w:p>
        </w:tc>
        <w:tc>
          <w:tcPr>
            <w:tcW w:w="2070" w:type="dxa"/>
          </w:tcPr>
          <w:p w14:paraId="0E4C7877" w14:textId="77777777" w:rsidR="00BB77C0" w:rsidRDefault="00BB77C0">
            <w:pPr>
              <w:pStyle w:val="TableParagraph"/>
              <w:rPr>
                <w:sz w:val="18"/>
              </w:rPr>
            </w:pPr>
          </w:p>
        </w:tc>
        <w:tc>
          <w:tcPr>
            <w:tcW w:w="1960" w:type="dxa"/>
          </w:tcPr>
          <w:p w14:paraId="26B627E7" w14:textId="77777777" w:rsidR="00BB77C0" w:rsidRDefault="00BB77C0">
            <w:pPr>
              <w:pStyle w:val="TableParagraph"/>
              <w:rPr>
                <w:sz w:val="18"/>
              </w:rPr>
            </w:pPr>
          </w:p>
        </w:tc>
      </w:tr>
      <w:tr w:rsidR="00BB77C0" w14:paraId="500058C0" w14:textId="77777777">
        <w:trPr>
          <w:trHeight w:val="253"/>
        </w:trPr>
        <w:tc>
          <w:tcPr>
            <w:tcW w:w="2367" w:type="dxa"/>
          </w:tcPr>
          <w:p w14:paraId="7B6C917D" w14:textId="77777777" w:rsidR="00BB77C0" w:rsidRDefault="00BB77C0">
            <w:pPr>
              <w:pStyle w:val="TableParagraph"/>
              <w:rPr>
                <w:sz w:val="18"/>
              </w:rPr>
            </w:pPr>
          </w:p>
        </w:tc>
        <w:tc>
          <w:tcPr>
            <w:tcW w:w="2521" w:type="dxa"/>
          </w:tcPr>
          <w:p w14:paraId="0F165A9B" w14:textId="77777777" w:rsidR="00BB77C0" w:rsidRDefault="00BB77C0">
            <w:pPr>
              <w:pStyle w:val="TableParagraph"/>
              <w:rPr>
                <w:sz w:val="18"/>
              </w:rPr>
            </w:pPr>
          </w:p>
        </w:tc>
        <w:tc>
          <w:tcPr>
            <w:tcW w:w="2070" w:type="dxa"/>
          </w:tcPr>
          <w:p w14:paraId="679E98E4" w14:textId="77777777" w:rsidR="00BB77C0" w:rsidRDefault="00BB77C0">
            <w:pPr>
              <w:pStyle w:val="TableParagraph"/>
              <w:rPr>
                <w:sz w:val="18"/>
              </w:rPr>
            </w:pPr>
          </w:p>
        </w:tc>
        <w:tc>
          <w:tcPr>
            <w:tcW w:w="1960" w:type="dxa"/>
          </w:tcPr>
          <w:p w14:paraId="4A5C3F97" w14:textId="77777777" w:rsidR="00BB77C0" w:rsidRDefault="00BB77C0">
            <w:pPr>
              <w:pStyle w:val="TableParagraph"/>
              <w:rPr>
                <w:sz w:val="18"/>
              </w:rPr>
            </w:pPr>
          </w:p>
        </w:tc>
      </w:tr>
      <w:tr w:rsidR="00BB77C0" w14:paraId="69202AF7" w14:textId="77777777">
        <w:trPr>
          <w:trHeight w:val="254"/>
        </w:trPr>
        <w:tc>
          <w:tcPr>
            <w:tcW w:w="2367" w:type="dxa"/>
          </w:tcPr>
          <w:p w14:paraId="38598FDF" w14:textId="77777777" w:rsidR="00BB77C0" w:rsidRDefault="00BB77C0">
            <w:pPr>
              <w:pStyle w:val="TableParagraph"/>
              <w:rPr>
                <w:sz w:val="18"/>
              </w:rPr>
            </w:pPr>
          </w:p>
        </w:tc>
        <w:tc>
          <w:tcPr>
            <w:tcW w:w="2521" w:type="dxa"/>
          </w:tcPr>
          <w:p w14:paraId="5EF13AD9" w14:textId="77777777" w:rsidR="00BB77C0" w:rsidRDefault="00BB77C0">
            <w:pPr>
              <w:pStyle w:val="TableParagraph"/>
              <w:rPr>
                <w:sz w:val="18"/>
              </w:rPr>
            </w:pPr>
          </w:p>
        </w:tc>
        <w:tc>
          <w:tcPr>
            <w:tcW w:w="2070" w:type="dxa"/>
          </w:tcPr>
          <w:p w14:paraId="676B72B1" w14:textId="77777777" w:rsidR="00BB77C0" w:rsidRDefault="00BB77C0">
            <w:pPr>
              <w:pStyle w:val="TableParagraph"/>
              <w:rPr>
                <w:sz w:val="18"/>
              </w:rPr>
            </w:pPr>
          </w:p>
        </w:tc>
        <w:tc>
          <w:tcPr>
            <w:tcW w:w="1960" w:type="dxa"/>
          </w:tcPr>
          <w:p w14:paraId="201BE4AB" w14:textId="77777777" w:rsidR="00BB77C0" w:rsidRDefault="00BB77C0">
            <w:pPr>
              <w:pStyle w:val="TableParagraph"/>
              <w:rPr>
                <w:sz w:val="18"/>
              </w:rPr>
            </w:pPr>
          </w:p>
        </w:tc>
      </w:tr>
    </w:tbl>
    <w:p w14:paraId="121D4470" w14:textId="77777777" w:rsidR="00BB77C0" w:rsidRDefault="00BB77C0">
      <w:pPr>
        <w:pStyle w:val="BodyText"/>
        <w:spacing w:before="81"/>
        <w:rPr>
          <w:i/>
        </w:rPr>
      </w:pPr>
    </w:p>
    <w:p w14:paraId="07D73616" w14:textId="77777777" w:rsidR="00BB77C0" w:rsidRDefault="00370BAA">
      <w:pPr>
        <w:ind w:left="1061"/>
        <w:rPr>
          <w:i/>
        </w:rPr>
      </w:pPr>
      <w:r>
        <w:rPr>
          <w:i/>
          <w:color w:val="211F1F"/>
        </w:rPr>
        <w:t>(If</w:t>
      </w:r>
      <w:r>
        <w:rPr>
          <w:i/>
          <w:color w:val="211F1F"/>
          <w:spacing w:val="-5"/>
        </w:rPr>
        <w:t xml:space="preserve"> </w:t>
      </w:r>
      <w:r>
        <w:rPr>
          <w:i/>
          <w:color w:val="211F1F"/>
        </w:rPr>
        <w:t>none</w:t>
      </w:r>
      <w:r>
        <w:rPr>
          <w:i/>
          <w:color w:val="211F1F"/>
          <w:spacing w:val="-6"/>
        </w:rPr>
        <w:t xml:space="preserve"> </w:t>
      </w:r>
      <w:r>
        <w:rPr>
          <w:i/>
          <w:color w:val="211F1F"/>
        </w:rPr>
        <w:t>has</w:t>
      </w:r>
      <w:r>
        <w:rPr>
          <w:i/>
          <w:color w:val="211F1F"/>
          <w:spacing w:val="-4"/>
        </w:rPr>
        <w:t xml:space="preserve"> </w:t>
      </w:r>
      <w:r>
        <w:rPr>
          <w:i/>
          <w:color w:val="211F1F"/>
        </w:rPr>
        <w:t>been paid</w:t>
      </w:r>
      <w:r>
        <w:rPr>
          <w:i/>
          <w:color w:val="211F1F"/>
          <w:spacing w:val="-5"/>
        </w:rPr>
        <w:t xml:space="preserve"> </w:t>
      </w:r>
      <w:r>
        <w:rPr>
          <w:i/>
          <w:color w:val="211F1F"/>
        </w:rPr>
        <w:t>or</w:t>
      </w:r>
      <w:r>
        <w:rPr>
          <w:i/>
          <w:color w:val="211F1F"/>
          <w:spacing w:val="-4"/>
        </w:rPr>
        <w:t xml:space="preserve"> </w:t>
      </w:r>
      <w:r>
        <w:rPr>
          <w:i/>
          <w:color w:val="211F1F"/>
        </w:rPr>
        <w:t>is</w:t>
      </w:r>
      <w:r>
        <w:rPr>
          <w:i/>
          <w:color w:val="211F1F"/>
          <w:spacing w:val="-4"/>
        </w:rPr>
        <w:t xml:space="preserve"> </w:t>
      </w:r>
      <w:r>
        <w:rPr>
          <w:i/>
          <w:color w:val="211F1F"/>
        </w:rPr>
        <w:t>to</w:t>
      </w:r>
      <w:r>
        <w:rPr>
          <w:i/>
          <w:color w:val="211F1F"/>
          <w:spacing w:val="-5"/>
        </w:rPr>
        <w:t xml:space="preserve"> </w:t>
      </w:r>
      <w:r>
        <w:rPr>
          <w:i/>
          <w:color w:val="211F1F"/>
        </w:rPr>
        <w:t>be</w:t>
      </w:r>
      <w:r>
        <w:rPr>
          <w:i/>
          <w:color w:val="211F1F"/>
          <w:spacing w:val="-6"/>
        </w:rPr>
        <w:t xml:space="preserve"> </w:t>
      </w:r>
      <w:r>
        <w:rPr>
          <w:i/>
          <w:color w:val="211F1F"/>
        </w:rPr>
        <w:t>paid,</w:t>
      </w:r>
      <w:r>
        <w:rPr>
          <w:i/>
          <w:color w:val="211F1F"/>
          <w:spacing w:val="-2"/>
        </w:rPr>
        <w:t xml:space="preserve"> </w:t>
      </w:r>
      <w:r>
        <w:rPr>
          <w:i/>
          <w:color w:val="211F1F"/>
        </w:rPr>
        <w:t>indicate</w:t>
      </w:r>
      <w:r>
        <w:rPr>
          <w:i/>
          <w:color w:val="211F1F"/>
          <w:spacing w:val="-6"/>
        </w:rPr>
        <w:t xml:space="preserve"> </w:t>
      </w:r>
      <w:r>
        <w:rPr>
          <w:i/>
          <w:color w:val="211F1F"/>
          <w:spacing w:val="-2"/>
        </w:rPr>
        <w:t>“none.”)</w:t>
      </w:r>
    </w:p>
    <w:p w14:paraId="6642A2B6" w14:textId="77777777" w:rsidR="00BB77C0" w:rsidRDefault="00BB77C0">
      <w:pPr>
        <w:pStyle w:val="BodyText"/>
        <w:spacing w:before="179"/>
        <w:rPr>
          <w:i/>
        </w:rPr>
      </w:pPr>
    </w:p>
    <w:p w14:paraId="25690D37" w14:textId="77777777" w:rsidR="00BB77C0" w:rsidRDefault="00370BAA">
      <w:pPr>
        <w:pStyle w:val="ListParagraph"/>
        <w:numPr>
          <w:ilvl w:val="0"/>
          <w:numId w:val="47"/>
        </w:numPr>
        <w:tabs>
          <w:tab w:val="left" w:pos="1611"/>
          <w:tab w:val="left" w:pos="1623"/>
        </w:tabs>
        <w:spacing w:line="230" w:lineRule="auto"/>
        <w:ind w:left="1623" w:right="708" w:hanging="563"/>
        <w:jc w:val="both"/>
        <w:rPr>
          <w:color w:val="211F1F"/>
        </w:rPr>
      </w:pPr>
      <w:r>
        <w:rPr>
          <w:color w:val="211F1F"/>
          <w:spacing w:val="-2"/>
          <w:u w:val="single" w:color="211F1F"/>
        </w:rPr>
        <w:t>Binding</w:t>
      </w:r>
      <w:r>
        <w:rPr>
          <w:color w:val="211F1F"/>
          <w:spacing w:val="-12"/>
          <w:u w:val="single" w:color="211F1F"/>
        </w:rPr>
        <w:t xml:space="preserve"> </w:t>
      </w:r>
      <w:r>
        <w:rPr>
          <w:color w:val="211F1F"/>
          <w:spacing w:val="-2"/>
          <w:u w:val="single" w:color="211F1F"/>
        </w:rPr>
        <w:t>Contract</w:t>
      </w:r>
      <w:r>
        <w:rPr>
          <w:color w:val="211F1F"/>
          <w:spacing w:val="-2"/>
        </w:rPr>
        <w:t>:</w:t>
      </w:r>
      <w:r>
        <w:rPr>
          <w:color w:val="211F1F"/>
          <w:spacing w:val="-12"/>
        </w:rPr>
        <w:t xml:space="preserve"> </w:t>
      </w:r>
      <w:r>
        <w:rPr>
          <w:color w:val="211F1F"/>
          <w:spacing w:val="-2"/>
        </w:rPr>
        <w:t>We</w:t>
      </w:r>
      <w:r>
        <w:rPr>
          <w:color w:val="211F1F"/>
          <w:spacing w:val="-12"/>
        </w:rPr>
        <w:t xml:space="preserve"> </w:t>
      </w:r>
      <w:r>
        <w:rPr>
          <w:color w:val="211F1F"/>
          <w:spacing w:val="-2"/>
        </w:rPr>
        <w:t>understand</w:t>
      </w:r>
      <w:r>
        <w:rPr>
          <w:color w:val="211F1F"/>
          <w:spacing w:val="-11"/>
        </w:rPr>
        <w:t xml:space="preserve"> </w:t>
      </w:r>
      <w:r>
        <w:rPr>
          <w:color w:val="211F1F"/>
          <w:spacing w:val="-2"/>
        </w:rPr>
        <w:t>that</w:t>
      </w:r>
      <w:r>
        <w:rPr>
          <w:color w:val="211F1F"/>
          <w:spacing w:val="-12"/>
        </w:rPr>
        <w:t xml:space="preserve"> </w:t>
      </w:r>
      <w:r>
        <w:rPr>
          <w:color w:val="211F1F"/>
          <w:spacing w:val="-2"/>
        </w:rPr>
        <w:t>this</w:t>
      </w:r>
      <w:r>
        <w:rPr>
          <w:color w:val="211F1F"/>
          <w:spacing w:val="-12"/>
        </w:rPr>
        <w:t xml:space="preserve"> </w:t>
      </w:r>
      <w:r>
        <w:rPr>
          <w:color w:val="211F1F"/>
          <w:spacing w:val="-2"/>
        </w:rPr>
        <w:t>Tender,</w:t>
      </w:r>
      <w:r>
        <w:rPr>
          <w:color w:val="211F1F"/>
          <w:spacing w:val="-12"/>
        </w:rPr>
        <w:t xml:space="preserve"> </w:t>
      </w:r>
      <w:r>
        <w:rPr>
          <w:color w:val="211F1F"/>
          <w:spacing w:val="-2"/>
        </w:rPr>
        <w:t>together</w:t>
      </w:r>
      <w:r>
        <w:rPr>
          <w:color w:val="211F1F"/>
          <w:spacing w:val="-11"/>
        </w:rPr>
        <w:t xml:space="preserve"> </w:t>
      </w:r>
      <w:r>
        <w:rPr>
          <w:color w:val="211F1F"/>
          <w:spacing w:val="-2"/>
        </w:rPr>
        <w:t>with</w:t>
      </w:r>
      <w:r>
        <w:rPr>
          <w:color w:val="211F1F"/>
          <w:spacing w:val="-12"/>
        </w:rPr>
        <w:t xml:space="preserve"> </w:t>
      </w:r>
      <w:r>
        <w:rPr>
          <w:color w:val="211F1F"/>
          <w:spacing w:val="-2"/>
        </w:rPr>
        <w:t>your</w:t>
      </w:r>
      <w:r>
        <w:rPr>
          <w:color w:val="211F1F"/>
          <w:spacing w:val="-12"/>
        </w:rPr>
        <w:t xml:space="preserve"> </w:t>
      </w:r>
      <w:r>
        <w:rPr>
          <w:color w:val="211F1F"/>
          <w:spacing w:val="-2"/>
        </w:rPr>
        <w:t>written</w:t>
      </w:r>
      <w:r>
        <w:rPr>
          <w:color w:val="211F1F"/>
          <w:spacing w:val="-12"/>
        </w:rPr>
        <w:t xml:space="preserve"> </w:t>
      </w:r>
      <w:r>
        <w:rPr>
          <w:color w:val="211F1F"/>
          <w:spacing w:val="-2"/>
        </w:rPr>
        <w:t>acceptance</w:t>
      </w:r>
      <w:r>
        <w:rPr>
          <w:color w:val="211F1F"/>
          <w:spacing w:val="-11"/>
        </w:rPr>
        <w:t xml:space="preserve"> </w:t>
      </w:r>
      <w:r>
        <w:rPr>
          <w:color w:val="211F1F"/>
          <w:spacing w:val="-2"/>
        </w:rPr>
        <w:t>thereof</w:t>
      </w:r>
      <w:r>
        <w:rPr>
          <w:color w:val="211F1F"/>
          <w:spacing w:val="-11"/>
        </w:rPr>
        <w:t xml:space="preserve"> </w:t>
      </w:r>
      <w:r>
        <w:rPr>
          <w:color w:val="211F1F"/>
          <w:spacing w:val="-2"/>
        </w:rPr>
        <w:t>included</w:t>
      </w:r>
      <w:r>
        <w:rPr>
          <w:color w:val="211F1F"/>
          <w:spacing w:val="-10"/>
        </w:rPr>
        <w:t xml:space="preserve"> </w:t>
      </w:r>
      <w:r>
        <w:rPr>
          <w:color w:val="211F1F"/>
          <w:spacing w:val="-2"/>
        </w:rPr>
        <w:t xml:space="preserve">in </w:t>
      </w:r>
      <w:r>
        <w:rPr>
          <w:color w:val="211F1F"/>
        </w:rPr>
        <w:t>your Letter of Acceptance, shall constitute a binding contract between us, until a formal contract is prepared and executed;</w:t>
      </w:r>
    </w:p>
    <w:p w14:paraId="4A2CBC70" w14:textId="77777777" w:rsidR="00BB77C0" w:rsidRDefault="00370BAA">
      <w:pPr>
        <w:pStyle w:val="ListParagraph"/>
        <w:numPr>
          <w:ilvl w:val="0"/>
          <w:numId w:val="47"/>
        </w:numPr>
        <w:tabs>
          <w:tab w:val="left" w:pos="1611"/>
          <w:tab w:val="left" w:pos="1623"/>
        </w:tabs>
        <w:spacing w:before="239" w:line="232" w:lineRule="auto"/>
        <w:ind w:left="1623" w:right="702" w:hanging="563"/>
        <w:jc w:val="both"/>
        <w:rPr>
          <w:color w:val="211F1F"/>
        </w:rPr>
      </w:pPr>
      <w:r>
        <w:rPr>
          <w:color w:val="211F1F"/>
          <w:spacing w:val="-2"/>
          <w:u w:val="single" w:color="211F1F"/>
        </w:rPr>
        <w:t>Not</w:t>
      </w:r>
      <w:r>
        <w:rPr>
          <w:color w:val="211F1F"/>
          <w:spacing w:val="-11"/>
          <w:u w:val="single" w:color="211F1F"/>
        </w:rPr>
        <w:t xml:space="preserve"> </w:t>
      </w:r>
      <w:r>
        <w:rPr>
          <w:color w:val="211F1F"/>
          <w:spacing w:val="-2"/>
          <w:u w:val="single" w:color="211F1F"/>
        </w:rPr>
        <w:t>Bound</w:t>
      </w:r>
      <w:r>
        <w:rPr>
          <w:color w:val="211F1F"/>
          <w:spacing w:val="-12"/>
          <w:u w:val="single" w:color="211F1F"/>
        </w:rPr>
        <w:t xml:space="preserve"> </w:t>
      </w:r>
      <w:r>
        <w:rPr>
          <w:color w:val="211F1F"/>
          <w:spacing w:val="-2"/>
          <w:u w:val="single" w:color="211F1F"/>
        </w:rPr>
        <w:t>to</w:t>
      </w:r>
      <w:r>
        <w:rPr>
          <w:color w:val="211F1F"/>
          <w:spacing w:val="-12"/>
          <w:u w:val="single" w:color="211F1F"/>
        </w:rPr>
        <w:t xml:space="preserve"> </w:t>
      </w:r>
      <w:r>
        <w:rPr>
          <w:color w:val="211F1F"/>
          <w:spacing w:val="-2"/>
          <w:u w:val="single" w:color="211F1F"/>
        </w:rPr>
        <w:t>Accept</w:t>
      </w:r>
      <w:r>
        <w:rPr>
          <w:color w:val="211F1F"/>
          <w:spacing w:val="-2"/>
        </w:rPr>
        <w:t>:</w:t>
      </w:r>
      <w:r>
        <w:rPr>
          <w:color w:val="211F1F"/>
          <w:spacing w:val="-10"/>
        </w:rPr>
        <w:t xml:space="preserve"> </w:t>
      </w:r>
      <w:r>
        <w:rPr>
          <w:color w:val="211F1F"/>
          <w:spacing w:val="-2"/>
        </w:rPr>
        <w:t>We</w:t>
      </w:r>
      <w:r>
        <w:rPr>
          <w:color w:val="211F1F"/>
          <w:spacing w:val="-12"/>
        </w:rPr>
        <w:t xml:space="preserve"> </w:t>
      </w:r>
      <w:r>
        <w:rPr>
          <w:color w:val="211F1F"/>
          <w:spacing w:val="-2"/>
        </w:rPr>
        <w:t>understand</w:t>
      </w:r>
      <w:r>
        <w:rPr>
          <w:color w:val="211F1F"/>
          <w:spacing w:val="-7"/>
        </w:rPr>
        <w:t xml:space="preserve"> </w:t>
      </w:r>
      <w:r>
        <w:rPr>
          <w:color w:val="211F1F"/>
          <w:spacing w:val="-2"/>
        </w:rPr>
        <w:t>that you</w:t>
      </w:r>
      <w:r>
        <w:rPr>
          <w:color w:val="211F1F"/>
          <w:spacing w:val="-12"/>
        </w:rPr>
        <w:t xml:space="preserve"> </w:t>
      </w:r>
      <w:r>
        <w:rPr>
          <w:color w:val="211F1F"/>
          <w:spacing w:val="-2"/>
        </w:rPr>
        <w:t>are</w:t>
      </w:r>
      <w:r>
        <w:rPr>
          <w:color w:val="211F1F"/>
          <w:spacing w:val="-9"/>
        </w:rPr>
        <w:t xml:space="preserve"> </w:t>
      </w:r>
      <w:r>
        <w:rPr>
          <w:color w:val="211F1F"/>
          <w:spacing w:val="-2"/>
        </w:rPr>
        <w:t>not bound</w:t>
      </w:r>
      <w:r>
        <w:rPr>
          <w:color w:val="211F1F"/>
          <w:spacing w:val="-3"/>
        </w:rPr>
        <w:t xml:space="preserve"> </w:t>
      </w:r>
      <w:r>
        <w:rPr>
          <w:color w:val="211F1F"/>
          <w:spacing w:val="-2"/>
        </w:rPr>
        <w:t>to</w:t>
      </w:r>
      <w:r>
        <w:rPr>
          <w:color w:val="211F1F"/>
          <w:spacing w:val="-12"/>
        </w:rPr>
        <w:t xml:space="preserve"> </w:t>
      </w:r>
      <w:r>
        <w:rPr>
          <w:color w:val="211F1F"/>
          <w:spacing w:val="-2"/>
        </w:rPr>
        <w:t>accept</w:t>
      </w:r>
      <w:r>
        <w:rPr>
          <w:color w:val="211F1F"/>
          <w:spacing w:val="-6"/>
        </w:rPr>
        <w:t xml:space="preserve"> </w:t>
      </w:r>
      <w:r>
        <w:rPr>
          <w:color w:val="211F1F"/>
          <w:spacing w:val="-2"/>
        </w:rPr>
        <w:t>the</w:t>
      </w:r>
      <w:r>
        <w:rPr>
          <w:color w:val="211F1F"/>
          <w:spacing w:val="-4"/>
        </w:rPr>
        <w:t xml:space="preserve"> </w:t>
      </w:r>
      <w:r>
        <w:rPr>
          <w:color w:val="211F1F"/>
          <w:spacing w:val="-2"/>
        </w:rPr>
        <w:t>lowest</w:t>
      </w:r>
      <w:r>
        <w:rPr>
          <w:color w:val="211F1F"/>
        </w:rPr>
        <w:t xml:space="preserve"> </w:t>
      </w:r>
      <w:r>
        <w:rPr>
          <w:color w:val="211F1F"/>
          <w:spacing w:val="-2"/>
        </w:rPr>
        <w:t>evaluated</w:t>
      </w:r>
      <w:r>
        <w:rPr>
          <w:color w:val="211F1F"/>
          <w:spacing w:val="-7"/>
        </w:rPr>
        <w:t xml:space="preserve"> </w:t>
      </w:r>
      <w:r>
        <w:rPr>
          <w:color w:val="211F1F"/>
          <w:spacing w:val="-2"/>
        </w:rPr>
        <w:t>cost</w:t>
      </w:r>
      <w:r>
        <w:rPr>
          <w:color w:val="211F1F"/>
          <w:spacing w:val="-12"/>
        </w:rPr>
        <w:t xml:space="preserve"> </w:t>
      </w:r>
      <w:r>
        <w:rPr>
          <w:color w:val="211F1F"/>
          <w:spacing w:val="-2"/>
        </w:rPr>
        <w:t>Tender,</w:t>
      </w:r>
      <w:r>
        <w:rPr>
          <w:color w:val="211F1F"/>
          <w:spacing w:val="-9"/>
        </w:rPr>
        <w:t xml:space="preserve"> </w:t>
      </w:r>
      <w:r>
        <w:rPr>
          <w:color w:val="211F1F"/>
          <w:spacing w:val="-2"/>
        </w:rPr>
        <w:t xml:space="preserve">the </w:t>
      </w:r>
      <w:r>
        <w:rPr>
          <w:color w:val="211F1F"/>
        </w:rPr>
        <w:t>Most</w:t>
      </w:r>
      <w:r>
        <w:rPr>
          <w:color w:val="211F1F"/>
          <w:spacing w:val="-19"/>
        </w:rPr>
        <w:t xml:space="preserve"> </w:t>
      </w:r>
      <w:r>
        <w:rPr>
          <w:color w:val="211F1F"/>
        </w:rPr>
        <w:t>Advantageous</w:t>
      </w:r>
      <w:r>
        <w:rPr>
          <w:color w:val="211F1F"/>
          <w:spacing w:val="-2"/>
        </w:rPr>
        <w:t xml:space="preserve"> </w:t>
      </w:r>
      <w:r>
        <w:rPr>
          <w:color w:val="211F1F"/>
        </w:rPr>
        <w:t>Tender or any</w:t>
      </w:r>
      <w:r>
        <w:rPr>
          <w:color w:val="211F1F"/>
          <w:spacing w:val="-3"/>
        </w:rPr>
        <w:t xml:space="preserve"> </w:t>
      </w:r>
      <w:r>
        <w:rPr>
          <w:color w:val="211F1F"/>
        </w:rPr>
        <w:t>other Tender that</w:t>
      </w:r>
      <w:r>
        <w:rPr>
          <w:color w:val="211F1F"/>
          <w:spacing w:val="-2"/>
        </w:rPr>
        <w:t xml:space="preserve"> </w:t>
      </w:r>
      <w:r>
        <w:rPr>
          <w:color w:val="211F1F"/>
        </w:rPr>
        <w:t>you may</w:t>
      </w:r>
      <w:r>
        <w:rPr>
          <w:color w:val="211F1F"/>
          <w:spacing w:val="-9"/>
        </w:rPr>
        <w:t xml:space="preserve"> </w:t>
      </w:r>
      <w:r>
        <w:rPr>
          <w:color w:val="211F1F"/>
        </w:rPr>
        <w:t>receive;</w:t>
      </w:r>
    </w:p>
    <w:p w14:paraId="3145FD24" w14:textId="77777777" w:rsidR="00BB77C0" w:rsidRDefault="00370BAA">
      <w:pPr>
        <w:pStyle w:val="ListParagraph"/>
        <w:numPr>
          <w:ilvl w:val="0"/>
          <w:numId w:val="47"/>
        </w:numPr>
        <w:tabs>
          <w:tab w:val="left" w:pos="1612"/>
          <w:tab w:val="left" w:pos="1623"/>
        </w:tabs>
        <w:spacing w:before="239" w:line="232" w:lineRule="auto"/>
        <w:ind w:left="1623" w:right="712" w:hanging="567"/>
        <w:jc w:val="both"/>
        <w:rPr>
          <w:color w:val="211F1F"/>
        </w:rPr>
      </w:pPr>
      <w:r>
        <w:rPr>
          <w:color w:val="211F1F"/>
          <w:u w:val="single" w:color="211F1F"/>
        </w:rPr>
        <w:t>Fraud</w:t>
      </w:r>
      <w:r>
        <w:rPr>
          <w:color w:val="211F1F"/>
          <w:spacing w:val="-14"/>
          <w:u w:val="single" w:color="211F1F"/>
        </w:rPr>
        <w:t xml:space="preserve"> </w:t>
      </w:r>
      <w:r>
        <w:rPr>
          <w:color w:val="211F1F"/>
          <w:u w:val="single" w:color="211F1F"/>
        </w:rPr>
        <w:t>and</w:t>
      </w:r>
      <w:r>
        <w:rPr>
          <w:color w:val="211F1F"/>
          <w:spacing w:val="-10"/>
          <w:u w:val="single" w:color="211F1F"/>
        </w:rPr>
        <w:t xml:space="preserve"> </w:t>
      </w:r>
      <w:r>
        <w:rPr>
          <w:color w:val="211F1F"/>
          <w:u w:val="single" w:color="211F1F"/>
        </w:rPr>
        <w:t>Corruption:</w:t>
      </w:r>
      <w:r>
        <w:rPr>
          <w:color w:val="211F1F"/>
          <w:spacing w:val="-12"/>
        </w:rPr>
        <w:t xml:space="preserve"> </w:t>
      </w:r>
      <w:r>
        <w:rPr>
          <w:color w:val="211F1F"/>
        </w:rPr>
        <w:t>We</w:t>
      </w:r>
      <w:r>
        <w:rPr>
          <w:color w:val="211F1F"/>
          <w:spacing w:val="-14"/>
        </w:rPr>
        <w:t xml:space="preserve"> </w:t>
      </w:r>
      <w:r>
        <w:rPr>
          <w:color w:val="211F1F"/>
        </w:rPr>
        <w:t>hereby</w:t>
      </w:r>
      <w:r>
        <w:rPr>
          <w:color w:val="211F1F"/>
          <w:spacing w:val="-9"/>
        </w:rPr>
        <w:t xml:space="preserve"> </w:t>
      </w:r>
      <w:r>
        <w:rPr>
          <w:color w:val="211F1F"/>
        </w:rPr>
        <w:t>certify</w:t>
      </w:r>
      <w:r>
        <w:rPr>
          <w:color w:val="211F1F"/>
          <w:spacing w:val="-9"/>
        </w:rPr>
        <w:t xml:space="preserve"> </w:t>
      </w:r>
      <w:r>
        <w:rPr>
          <w:color w:val="211F1F"/>
        </w:rPr>
        <w:t>that</w:t>
      </w:r>
      <w:r>
        <w:rPr>
          <w:color w:val="211F1F"/>
          <w:spacing w:val="-3"/>
        </w:rPr>
        <w:t xml:space="preserve"> </w:t>
      </w:r>
      <w:r>
        <w:rPr>
          <w:color w:val="211F1F"/>
        </w:rPr>
        <w:t>we</w:t>
      </w:r>
      <w:r>
        <w:rPr>
          <w:color w:val="211F1F"/>
          <w:spacing w:val="-12"/>
        </w:rPr>
        <w:t xml:space="preserve"> </w:t>
      </w:r>
      <w:r>
        <w:rPr>
          <w:color w:val="211F1F"/>
        </w:rPr>
        <w:t>have</w:t>
      </w:r>
      <w:r>
        <w:rPr>
          <w:color w:val="211F1F"/>
          <w:spacing w:val="-11"/>
        </w:rPr>
        <w:t xml:space="preserve"> </w:t>
      </w:r>
      <w:r>
        <w:rPr>
          <w:color w:val="211F1F"/>
        </w:rPr>
        <w:t>taken</w:t>
      </w:r>
      <w:r>
        <w:rPr>
          <w:color w:val="211F1F"/>
          <w:spacing w:val="-9"/>
        </w:rPr>
        <w:t xml:space="preserve"> </w:t>
      </w:r>
      <w:r>
        <w:rPr>
          <w:color w:val="211F1F"/>
        </w:rPr>
        <w:t>steps</w:t>
      </w:r>
      <w:r>
        <w:rPr>
          <w:color w:val="211F1F"/>
          <w:spacing w:val="-4"/>
        </w:rPr>
        <w:t xml:space="preserve"> </w:t>
      </w:r>
      <w:r>
        <w:rPr>
          <w:color w:val="211F1F"/>
        </w:rPr>
        <w:t>to</w:t>
      </w:r>
      <w:r>
        <w:rPr>
          <w:color w:val="211F1F"/>
          <w:spacing w:val="-9"/>
        </w:rPr>
        <w:t xml:space="preserve"> </w:t>
      </w:r>
      <w:r>
        <w:rPr>
          <w:color w:val="211F1F"/>
        </w:rPr>
        <w:t>ensure</w:t>
      </w:r>
      <w:r>
        <w:rPr>
          <w:color w:val="211F1F"/>
          <w:spacing w:val="-11"/>
        </w:rPr>
        <w:t xml:space="preserve"> </w:t>
      </w:r>
      <w:r>
        <w:rPr>
          <w:color w:val="211F1F"/>
        </w:rPr>
        <w:t>that</w:t>
      </w:r>
      <w:r>
        <w:rPr>
          <w:color w:val="211F1F"/>
          <w:spacing w:val="-3"/>
        </w:rPr>
        <w:t xml:space="preserve"> </w:t>
      </w:r>
      <w:r>
        <w:rPr>
          <w:color w:val="211F1F"/>
        </w:rPr>
        <w:t>no</w:t>
      </w:r>
      <w:r>
        <w:rPr>
          <w:color w:val="211F1F"/>
          <w:spacing w:val="-9"/>
        </w:rPr>
        <w:t xml:space="preserve"> </w:t>
      </w:r>
      <w:r>
        <w:rPr>
          <w:color w:val="211F1F"/>
        </w:rPr>
        <w:t>person</w:t>
      </w:r>
      <w:r>
        <w:rPr>
          <w:color w:val="211F1F"/>
          <w:spacing w:val="-9"/>
        </w:rPr>
        <w:t xml:space="preserve"> </w:t>
      </w:r>
      <w:r>
        <w:rPr>
          <w:color w:val="211F1F"/>
        </w:rPr>
        <w:t>acting</w:t>
      </w:r>
      <w:r>
        <w:rPr>
          <w:color w:val="211F1F"/>
          <w:spacing w:val="-9"/>
        </w:rPr>
        <w:t xml:space="preserve"> </w:t>
      </w:r>
      <w:r>
        <w:rPr>
          <w:color w:val="211F1F"/>
        </w:rPr>
        <w:t>for</w:t>
      </w:r>
      <w:r>
        <w:rPr>
          <w:color w:val="211F1F"/>
          <w:spacing w:val="-1"/>
        </w:rPr>
        <w:t xml:space="preserve"> </w:t>
      </w:r>
      <w:r>
        <w:rPr>
          <w:color w:val="211F1F"/>
        </w:rPr>
        <w:t>us</w:t>
      </w:r>
      <w:r>
        <w:rPr>
          <w:color w:val="211F1F"/>
          <w:spacing w:val="-9"/>
        </w:rPr>
        <w:t xml:space="preserve"> </w:t>
      </w:r>
      <w:r>
        <w:rPr>
          <w:color w:val="211F1F"/>
        </w:rPr>
        <w:t>or on our behalf engages in any</w:t>
      </w:r>
      <w:r>
        <w:rPr>
          <w:color w:val="211F1F"/>
          <w:spacing w:val="-4"/>
        </w:rPr>
        <w:t xml:space="preserve"> </w:t>
      </w:r>
      <w:r>
        <w:rPr>
          <w:color w:val="211F1F"/>
        </w:rPr>
        <w:t>type of Fraud and Corruption;</w:t>
      </w:r>
    </w:p>
    <w:p w14:paraId="650D097F" w14:textId="77777777" w:rsidR="00BB77C0" w:rsidRDefault="00BB77C0">
      <w:pPr>
        <w:pStyle w:val="ListParagraph"/>
        <w:spacing w:line="232" w:lineRule="auto"/>
        <w:jc w:val="both"/>
        <w:sectPr w:rsidR="00BB77C0">
          <w:pgSz w:w="11920" w:h="16850"/>
          <w:pgMar w:top="0" w:right="0" w:bottom="0" w:left="360" w:header="720" w:footer="720" w:gutter="0"/>
          <w:cols w:space="720"/>
        </w:sectPr>
      </w:pPr>
    </w:p>
    <w:p w14:paraId="4032288D" w14:textId="77777777" w:rsidR="00BB77C0" w:rsidRDefault="00370BAA">
      <w:pPr>
        <w:pStyle w:val="BodyText"/>
      </w:pPr>
      <w:r>
        <w:rPr>
          <w:noProof/>
        </w:rPr>
        <w:lastRenderedPageBreak/>
        <mc:AlternateContent>
          <mc:Choice Requires="wpg">
            <w:drawing>
              <wp:anchor distT="0" distB="0" distL="0" distR="0" simplePos="0" relativeHeight="15755776" behindDoc="0" locked="0" layoutInCell="1" allowOverlap="1" wp14:anchorId="59107AEC" wp14:editId="68489389">
                <wp:simplePos x="0" y="0"/>
                <wp:positionH relativeFrom="page">
                  <wp:posOffset>0</wp:posOffset>
                </wp:positionH>
                <wp:positionV relativeFrom="page">
                  <wp:posOffset>10234295</wp:posOffset>
                </wp:positionV>
                <wp:extent cx="7561580" cy="459105"/>
                <wp:effectExtent l="0" t="0" r="0" b="0"/>
                <wp:wrapNone/>
                <wp:docPr id="220" name="Group 2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1580" cy="459105"/>
                          <a:chOff x="0" y="0"/>
                          <a:chExt cx="7561580" cy="459105"/>
                        </a:xfrm>
                      </wpg:grpSpPr>
                      <wps:wsp>
                        <wps:cNvPr id="221" name="Graphic 221"/>
                        <wps:cNvSpPr/>
                        <wps:spPr>
                          <a:xfrm>
                            <a:off x="6449059" y="5714"/>
                            <a:ext cx="1110615" cy="451484"/>
                          </a:xfrm>
                          <a:custGeom>
                            <a:avLst/>
                            <a:gdLst/>
                            <a:ahLst/>
                            <a:cxnLst/>
                            <a:rect l="l" t="t" r="r" b="b"/>
                            <a:pathLst>
                              <a:path w="1110615" h="451484">
                                <a:moveTo>
                                  <a:pt x="1110614" y="0"/>
                                </a:moveTo>
                                <a:lnTo>
                                  <a:pt x="0" y="0"/>
                                </a:lnTo>
                                <a:lnTo>
                                  <a:pt x="260349" y="451483"/>
                                </a:lnTo>
                                <a:lnTo>
                                  <a:pt x="1110614" y="451483"/>
                                </a:lnTo>
                                <a:lnTo>
                                  <a:pt x="1110614" y="0"/>
                                </a:lnTo>
                                <a:close/>
                              </a:path>
                            </a:pathLst>
                          </a:custGeom>
                          <a:solidFill>
                            <a:srgbClr val="FAD2C1"/>
                          </a:solidFill>
                        </wps:spPr>
                        <wps:bodyPr wrap="square" lIns="0" tIns="0" rIns="0" bIns="0" rtlCol="0">
                          <a:prstTxWarp prst="textNoShape">
                            <a:avLst/>
                          </a:prstTxWarp>
                          <a:noAutofit/>
                        </wps:bodyPr>
                      </wps:wsp>
                      <wps:wsp>
                        <wps:cNvPr id="222" name="Graphic 222"/>
                        <wps:cNvSpPr/>
                        <wps:spPr>
                          <a:xfrm>
                            <a:off x="6449059" y="5714"/>
                            <a:ext cx="1110615" cy="451484"/>
                          </a:xfrm>
                          <a:custGeom>
                            <a:avLst/>
                            <a:gdLst/>
                            <a:ahLst/>
                            <a:cxnLst/>
                            <a:rect l="l" t="t" r="r" b="b"/>
                            <a:pathLst>
                              <a:path w="1110615" h="451484">
                                <a:moveTo>
                                  <a:pt x="0" y="0"/>
                                </a:moveTo>
                                <a:lnTo>
                                  <a:pt x="1110614" y="0"/>
                                </a:lnTo>
                                <a:lnTo>
                                  <a:pt x="1110614" y="451483"/>
                                </a:lnTo>
                                <a:lnTo>
                                  <a:pt x="260349" y="451483"/>
                                </a:lnTo>
                                <a:lnTo>
                                  <a:pt x="0" y="0"/>
                                </a:lnTo>
                              </a:path>
                            </a:pathLst>
                          </a:custGeom>
                          <a:ln w="3051">
                            <a:solidFill>
                              <a:srgbClr val="FAD2C1"/>
                            </a:solidFill>
                            <a:prstDash val="solid"/>
                          </a:ln>
                        </wps:spPr>
                        <wps:bodyPr wrap="square" lIns="0" tIns="0" rIns="0" bIns="0" rtlCol="0">
                          <a:prstTxWarp prst="textNoShape">
                            <a:avLst/>
                          </a:prstTxWarp>
                          <a:noAutofit/>
                        </wps:bodyPr>
                      </wps:wsp>
                      <wps:wsp>
                        <wps:cNvPr id="223" name="Graphic 223"/>
                        <wps:cNvSpPr/>
                        <wps:spPr>
                          <a:xfrm>
                            <a:off x="0" y="6350"/>
                            <a:ext cx="7560309" cy="1270"/>
                          </a:xfrm>
                          <a:custGeom>
                            <a:avLst/>
                            <a:gdLst/>
                            <a:ahLst/>
                            <a:cxnLst/>
                            <a:rect l="l" t="t" r="r" b="b"/>
                            <a:pathLst>
                              <a:path w="7560309">
                                <a:moveTo>
                                  <a:pt x="0" y="0"/>
                                </a:moveTo>
                                <a:lnTo>
                                  <a:pt x="7560309" y="0"/>
                                </a:lnTo>
                              </a:path>
                            </a:pathLst>
                          </a:custGeom>
                          <a:ln w="12700">
                            <a:solidFill>
                              <a:srgbClr val="FAD2C1"/>
                            </a:solidFill>
                            <a:prstDash val="solid"/>
                          </a:ln>
                        </wps:spPr>
                        <wps:bodyPr wrap="square" lIns="0" tIns="0" rIns="0" bIns="0" rtlCol="0">
                          <a:prstTxWarp prst="textNoShape">
                            <a:avLst/>
                          </a:prstTxWarp>
                          <a:noAutofit/>
                        </wps:bodyPr>
                      </wps:wsp>
                      <wps:wsp>
                        <wps:cNvPr id="224" name="Textbox 224"/>
                        <wps:cNvSpPr txBox="1"/>
                        <wps:spPr>
                          <a:xfrm>
                            <a:off x="6882130" y="37491"/>
                            <a:ext cx="147320" cy="155575"/>
                          </a:xfrm>
                          <a:prstGeom prst="rect">
                            <a:avLst/>
                          </a:prstGeom>
                        </wps:spPr>
                        <wps:txbx>
                          <w:txbxContent>
                            <w:p w14:paraId="72A74E38" w14:textId="77777777" w:rsidR="00BB77C0" w:rsidRDefault="00370BAA">
                              <w:pPr>
                                <w:spacing w:line="244" w:lineRule="exact"/>
                              </w:pPr>
                              <w:r>
                                <w:rPr>
                                  <w:spacing w:val="-5"/>
                                </w:rPr>
                                <w:t>61</w:t>
                              </w:r>
                            </w:p>
                          </w:txbxContent>
                        </wps:txbx>
                        <wps:bodyPr wrap="square" lIns="0" tIns="0" rIns="0" bIns="0" rtlCol="0">
                          <a:noAutofit/>
                        </wps:bodyPr>
                      </wps:wsp>
                    </wpg:wgp>
                  </a:graphicData>
                </a:graphic>
              </wp:anchor>
            </w:drawing>
          </mc:Choice>
          <mc:Fallback>
            <w:pict>
              <v:group w14:anchorId="59107AEC" id="Group 220" o:spid="_x0000_s1121" style="position:absolute;margin-left:0;margin-top:805.85pt;width:595.4pt;height:36.15pt;z-index:15755776;mso-wrap-distance-left:0;mso-wrap-distance-right:0;mso-position-horizontal-relative:page;mso-position-vertical-relative:page" coordsize="75615,4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">
                <v:shape id="Graphic 221" o:spid="_x0000_s1122" style="position:absolute;left:64490;top:57;width:11106;height:4514;visibility:visible;mso-wrap-style:square;v-text-anchor:top" coordsize="1110615,4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" path="m1110614,l,,260349,451483r850265,l1110614,xe" fillcolor="#fad2c1" stroked="f">
                  <v:path arrowok="t"/>
                </v:shape>
                <v:shape id="Graphic 222" o:spid="_x0000_s1123" style="position:absolute;left:64490;top:57;width:11106;height:4514;visibility:visible;mso-wrap-style:square;v-text-anchor:top" coordsize="1110615,4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" path="m,l1110614,r,451483l260349,451483,,e" filled="f" strokecolor="#fad2c1" strokeweight=".08475mm">
                  <v:path arrowok="t"/>
                </v:shape>
                <v:shape id="Graphic 223" o:spid="_x0000_s1124" style="position:absolute;top:63;width:75603;height:13;visibility:visible;mso-wrap-style:square;v-text-anchor:top" coordsize="756030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" path="m,l7560309,e" filled="f" strokecolor="#fad2c1" strokeweight="1pt">
                  <v:path arrowok="t"/>
                </v:shape>
                <v:shape id="Textbox 224" o:spid="_x0000_s1125" type="#_x0000_t202" style="position:absolute;left:68821;top:374;width:1473;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" filled="f" stroked="f">
                  <v:textbox inset="0,0,0,0">
                    <w:txbxContent>
                      <w:p w14:paraId="72A74E38" w14:textId="77777777" w:rsidR="00BB77C0" w:rsidRDefault="00370BAA">
                        <w:pPr>
                          <w:spacing w:line="244" w:lineRule="exact"/>
                        </w:pPr>
                        <w:r>
                          <w:rPr>
                            <w:spacing w:val="-5"/>
                          </w:rPr>
                          <w:t>61</w:t>
                        </w:r>
                      </w:p>
                    </w:txbxContent>
                  </v:textbox>
                </v:shape>
                <w10:wrap anchorx="page" anchory="page"/>
              </v:group>
            </w:pict>
          </mc:Fallback>
        </mc:AlternateContent>
      </w:r>
      <w:r>
        <w:rPr>
          <w:noProof/>
        </w:rPr>
        <mc:AlternateContent>
          <mc:Choice Requires="wpg">
            <w:drawing>
              <wp:anchor distT="0" distB="0" distL="0" distR="0" simplePos="0" relativeHeight="15756288" behindDoc="0" locked="0" layoutInCell="1" allowOverlap="1" wp14:anchorId="4350ECE0" wp14:editId="129C1BC1">
                <wp:simplePos x="0" y="0"/>
                <wp:positionH relativeFrom="page">
                  <wp:posOffset>0</wp:posOffset>
                </wp:positionH>
                <wp:positionV relativeFrom="page">
                  <wp:posOffset>0</wp:posOffset>
                </wp:positionV>
                <wp:extent cx="7559675" cy="228600"/>
                <wp:effectExtent l="0" t="0" r="0" b="0"/>
                <wp:wrapNone/>
                <wp:docPr id="225" name="Group 2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675" cy="228600"/>
                          <a:chOff x="0" y="0"/>
                          <a:chExt cx="7559675" cy="228600"/>
                        </a:xfrm>
                      </wpg:grpSpPr>
                      <wps:wsp>
                        <wps:cNvPr id="226" name="Graphic 226"/>
                        <wps:cNvSpPr/>
                        <wps:spPr>
                          <a:xfrm>
                            <a:off x="848283" y="0"/>
                            <a:ext cx="6711950" cy="228600"/>
                          </a:xfrm>
                          <a:custGeom>
                            <a:avLst/>
                            <a:gdLst/>
                            <a:ahLst/>
                            <a:cxnLst/>
                            <a:rect l="l" t="t" r="r" b="b"/>
                            <a:pathLst>
                              <a:path w="6711950" h="228600">
                                <a:moveTo>
                                  <a:pt x="6711391" y="0"/>
                                </a:moveTo>
                                <a:lnTo>
                                  <a:pt x="0" y="0"/>
                                </a:lnTo>
                                <a:lnTo>
                                  <a:pt x="184137" y="228600"/>
                                </a:lnTo>
                                <a:lnTo>
                                  <a:pt x="6711391" y="223520"/>
                                </a:lnTo>
                                <a:lnTo>
                                  <a:pt x="6711391" y="0"/>
                                </a:lnTo>
                                <a:close/>
                              </a:path>
                            </a:pathLst>
                          </a:custGeom>
                          <a:solidFill>
                            <a:srgbClr val="E6E7E8"/>
                          </a:solidFill>
                        </wps:spPr>
                        <wps:bodyPr wrap="square" lIns="0" tIns="0" rIns="0" bIns="0" rtlCol="0">
                          <a:prstTxWarp prst="textNoShape">
                            <a:avLst/>
                          </a:prstTxWarp>
                          <a:noAutofit/>
                        </wps:bodyPr>
                      </wps:wsp>
                      <wps:wsp>
                        <wps:cNvPr id="227" name="Graphic 227"/>
                        <wps:cNvSpPr/>
                        <wps:spPr>
                          <a:xfrm>
                            <a:off x="0" y="0"/>
                            <a:ext cx="655955" cy="228600"/>
                          </a:xfrm>
                          <a:custGeom>
                            <a:avLst/>
                            <a:gdLst/>
                            <a:ahLst/>
                            <a:cxnLst/>
                            <a:rect l="l" t="t" r="r" b="b"/>
                            <a:pathLst>
                              <a:path w="655955" h="228600">
                                <a:moveTo>
                                  <a:pt x="530174" y="0"/>
                                </a:moveTo>
                                <a:lnTo>
                                  <a:pt x="0" y="0"/>
                                </a:lnTo>
                                <a:lnTo>
                                  <a:pt x="0" y="228600"/>
                                </a:lnTo>
                                <a:lnTo>
                                  <a:pt x="655904" y="228600"/>
                                </a:lnTo>
                                <a:lnTo>
                                  <a:pt x="530174" y="0"/>
                                </a:lnTo>
                                <a:close/>
                              </a:path>
                            </a:pathLst>
                          </a:custGeom>
                          <a:solidFill>
                            <a:srgbClr val="00A650"/>
                          </a:solidFill>
                        </wps:spPr>
                        <wps:bodyPr wrap="square" lIns="0" tIns="0" rIns="0" bIns="0" rtlCol="0">
                          <a:prstTxWarp prst="textNoShape">
                            <a:avLst/>
                          </a:prstTxWarp>
                          <a:noAutofit/>
                        </wps:bodyPr>
                      </wps:wsp>
                      <wps:wsp>
                        <wps:cNvPr id="228" name="Graphic 228"/>
                        <wps:cNvSpPr/>
                        <wps:spPr>
                          <a:xfrm>
                            <a:off x="554304" y="0"/>
                            <a:ext cx="329565" cy="228600"/>
                          </a:xfrm>
                          <a:custGeom>
                            <a:avLst/>
                            <a:gdLst/>
                            <a:ahLst/>
                            <a:cxnLst/>
                            <a:rect l="l" t="t" r="r" b="b"/>
                            <a:pathLst>
                              <a:path w="329565" h="228600">
                                <a:moveTo>
                                  <a:pt x="203822" y="0"/>
                                </a:moveTo>
                                <a:lnTo>
                                  <a:pt x="0" y="0"/>
                                </a:lnTo>
                                <a:lnTo>
                                  <a:pt x="128904" y="228600"/>
                                </a:lnTo>
                                <a:lnTo>
                                  <a:pt x="329539" y="228600"/>
                                </a:lnTo>
                                <a:lnTo>
                                  <a:pt x="203822" y="0"/>
                                </a:lnTo>
                                <a:close/>
                              </a:path>
                            </a:pathLst>
                          </a:custGeom>
                          <a:solidFill>
                            <a:srgbClr val="EB1C22"/>
                          </a:solidFill>
                        </wps:spPr>
                        <wps:bodyPr wrap="square" lIns="0" tIns="0" rIns="0" bIns="0" rtlCol="0">
                          <a:prstTxWarp prst="textNoShape">
                            <a:avLst/>
                          </a:prstTxWarp>
                          <a:noAutofit/>
                        </wps:bodyPr>
                      </wps:wsp>
                      <wps:wsp>
                        <wps:cNvPr id="229" name="Graphic 229"/>
                        <wps:cNvSpPr/>
                        <wps:spPr>
                          <a:xfrm>
                            <a:off x="783526" y="0"/>
                            <a:ext cx="329565" cy="228600"/>
                          </a:xfrm>
                          <a:custGeom>
                            <a:avLst/>
                            <a:gdLst/>
                            <a:ahLst/>
                            <a:cxnLst/>
                            <a:rect l="l" t="t" r="r" b="b"/>
                            <a:pathLst>
                              <a:path w="329565" h="228600">
                                <a:moveTo>
                                  <a:pt x="203822" y="0"/>
                                </a:moveTo>
                                <a:lnTo>
                                  <a:pt x="0" y="0"/>
                                </a:lnTo>
                                <a:lnTo>
                                  <a:pt x="128879" y="228600"/>
                                </a:lnTo>
                                <a:lnTo>
                                  <a:pt x="329539" y="228600"/>
                                </a:lnTo>
                                <a:lnTo>
                                  <a:pt x="203822" y="0"/>
                                </a:lnTo>
                                <a:close/>
                              </a:path>
                            </a:pathLst>
                          </a:custGeom>
                          <a:solidFill>
                            <a:srgbClr val="A7A9AC"/>
                          </a:solidFill>
                        </wps:spPr>
                        <wps:bodyPr wrap="square" lIns="0" tIns="0" rIns="0" bIns="0" rtlCol="0">
                          <a:prstTxWarp prst="textNoShape">
                            <a:avLst/>
                          </a:prstTxWarp>
                          <a:noAutofit/>
                        </wps:bodyPr>
                      </wps:wsp>
                    </wpg:wgp>
                  </a:graphicData>
                </a:graphic>
              </wp:anchor>
            </w:drawing>
          </mc:Choice>
          <mc:Fallback>
            <w:pict>
              <v:group w14:anchorId="481AC5C5" id="Group 225" o:spid="_x0000_s1026" style="position:absolute;margin-left:0;margin-top:0;width:595.25pt;height:18pt;z-index:15756288;mso-wrap-distance-left:0;mso-wrap-distance-right:0;mso-position-horizontal-relative:page;mso-position-vertical-relative:page" coordsize="75596,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">
                <v:shape id="Graphic 226" o:spid="_x0000_s1027" style="position:absolute;left:8482;width:67120;height:2286;visibility:visible;mso-wrap-style:square;v-text-anchor:top" coordsize="67119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" path="m6711391,l,,184137,228600r6527254,-5080l6711391,xe" fillcolor="#e6e7e8" stroked="f">
                  <v:path arrowok="t"/>
                </v:shape>
                <v:shape id="Graphic 227" o:spid="_x0000_s1028" style="position:absolute;width:6559;height:2286;visibility:visible;mso-wrap-style:square;v-text-anchor:top" coordsize="65595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" path="m530174,l,,,228600r655904,l530174,xe" fillcolor="#00a650" stroked="f">
                  <v:path arrowok="t"/>
                </v:shape>
                <v:shape id="Graphic 228" o:spid="_x0000_s1029" style="position:absolute;left:5543;width:3295;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" path="m203822,l,,128904,228600r200635,l203822,xe" fillcolor="#eb1c22" stroked="f">
                  <v:path arrowok="t"/>
                </v:shape>
                <v:shape id="Graphic 229" o:spid="_x0000_s1030" style="position:absolute;left:7835;width:3295;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" path="m203822,l,,128879,228600r200660,l203822,xe" fillcolor="#a7a9ac" stroked="f">
                  <v:path arrowok="t"/>
                </v:shape>
                <w10:wrap anchorx="page" anchory="page"/>
              </v:group>
            </w:pict>
          </mc:Fallback>
        </mc:AlternateContent>
      </w:r>
    </w:p>
    <w:p w14:paraId="5F4A73C6" w14:textId="77777777" w:rsidR="00BB77C0" w:rsidRDefault="00BB77C0">
      <w:pPr>
        <w:pStyle w:val="BodyText"/>
      </w:pPr>
    </w:p>
    <w:p w14:paraId="464868DE" w14:textId="77777777" w:rsidR="00BB77C0" w:rsidRDefault="00BB77C0">
      <w:pPr>
        <w:pStyle w:val="BodyText"/>
        <w:spacing w:before="53"/>
      </w:pPr>
    </w:p>
    <w:p w14:paraId="62EBE2BD" w14:textId="77777777" w:rsidR="00BB77C0" w:rsidRDefault="00370BAA">
      <w:pPr>
        <w:pStyle w:val="ListParagraph"/>
        <w:numPr>
          <w:ilvl w:val="0"/>
          <w:numId w:val="47"/>
        </w:numPr>
        <w:tabs>
          <w:tab w:val="left" w:pos="1606"/>
          <w:tab w:val="left" w:pos="1613"/>
        </w:tabs>
        <w:spacing w:before="1" w:line="230" w:lineRule="auto"/>
        <w:ind w:left="1613" w:right="709" w:hanging="563"/>
        <w:jc w:val="both"/>
        <w:rPr>
          <w:color w:val="211F1F"/>
        </w:rPr>
      </w:pPr>
      <w:r>
        <w:rPr>
          <w:color w:val="211F1F"/>
          <w:u w:val="single" w:color="211F1F"/>
        </w:rPr>
        <w:t>Collusive</w:t>
      </w:r>
      <w:r>
        <w:rPr>
          <w:color w:val="211F1F"/>
          <w:spacing w:val="-14"/>
          <w:u w:val="single" w:color="211F1F"/>
        </w:rPr>
        <w:t xml:space="preserve"> </w:t>
      </w:r>
      <w:r>
        <w:rPr>
          <w:color w:val="211F1F"/>
          <w:u w:val="single" w:color="211F1F"/>
        </w:rPr>
        <w:t>practices</w:t>
      </w:r>
      <w:r>
        <w:rPr>
          <w:color w:val="211F1F"/>
        </w:rPr>
        <w:t>:</w:t>
      </w:r>
      <w:r>
        <w:rPr>
          <w:color w:val="211F1F"/>
          <w:spacing w:val="-14"/>
        </w:rPr>
        <w:t xml:space="preserve"> </w:t>
      </w:r>
      <w:r>
        <w:rPr>
          <w:color w:val="211F1F"/>
        </w:rPr>
        <w:t>We</w:t>
      </w:r>
      <w:r>
        <w:rPr>
          <w:color w:val="211F1F"/>
          <w:spacing w:val="-14"/>
        </w:rPr>
        <w:t xml:space="preserve"> </w:t>
      </w:r>
      <w:r>
        <w:rPr>
          <w:color w:val="211F1F"/>
        </w:rPr>
        <w:t>hereby</w:t>
      </w:r>
      <w:r>
        <w:rPr>
          <w:color w:val="211F1F"/>
          <w:spacing w:val="-13"/>
        </w:rPr>
        <w:t xml:space="preserve"> </w:t>
      </w:r>
      <w:r>
        <w:rPr>
          <w:color w:val="211F1F"/>
        </w:rPr>
        <w:t>certify</w:t>
      </w:r>
      <w:r>
        <w:rPr>
          <w:color w:val="211F1F"/>
          <w:spacing w:val="-14"/>
        </w:rPr>
        <w:t xml:space="preserve"> </w:t>
      </w:r>
      <w:r>
        <w:rPr>
          <w:color w:val="211F1F"/>
        </w:rPr>
        <w:t>and</w:t>
      </w:r>
      <w:r>
        <w:rPr>
          <w:color w:val="211F1F"/>
          <w:spacing w:val="-14"/>
        </w:rPr>
        <w:t xml:space="preserve"> </w:t>
      </w:r>
      <w:r>
        <w:rPr>
          <w:color w:val="211F1F"/>
        </w:rPr>
        <w:t>confirm</w:t>
      </w:r>
      <w:r>
        <w:rPr>
          <w:color w:val="211F1F"/>
          <w:spacing w:val="-14"/>
        </w:rPr>
        <w:t xml:space="preserve"> </w:t>
      </w:r>
      <w:r>
        <w:rPr>
          <w:color w:val="211F1F"/>
        </w:rPr>
        <w:t>that</w:t>
      </w:r>
      <w:r>
        <w:rPr>
          <w:color w:val="211F1F"/>
          <w:spacing w:val="-13"/>
        </w:rPr>
        <w:t xml:space="preserve"> </w:t>
      </w:r>
      <w:r>
        <w:rPr>
          <w:color w:val="211F1F"/>
        </w:rPr>
        <w:t>the</w:t>
      </w:r>
      <w:r>
        <w:rPr>
          <w:color w:val="211F1F"/>
          <w:spacing w:val="-14"/>
        </w:rPr>
        <w:t xml:space="preserve"> </w:t>
      </w:r>
      <w:r>
        <w:rPr>
          <w:color w:val="211F1F"/>
        </w:rPr>
        <w:t>tender</w:t>
      </w:r>
      <w:r>
        <w:rPr>
          <w:color w:val="211F1F"/>
          <w:spacing w:val="-14"/>
        </w:rPr>
        <w:t xml:space="preserve"> </w:t>
      </w:r>
      <w:r>
        <w:rPr>
          <w:color w:val="211F1F"/>
        </w:rPr>
        <w:t>is</w:t>
      </w:r>
      <w:r>
        <w:rPr>
          <w:color w:val="211F1F"/>
          <w:spacing w:val="-14"/>
        </w:rPr>
        <w:t xml:space="preserve"> </w:t>
      </w:r>
      <w:r>
        <w:rPr>
          <w:color w:val="211F1F"/>
        </w:rPr>
        <w:t>genuine,</w:t>
      </w:r>
      <w:r>
        <w:rPr>
          <w:color w:val="211F1F"/>
          <w:spacing w:val="-13"/>
        </w:rPr>
        <w:t xml:space="preserve"> </w:t>
      </w:r>
      <w:r>
        <w:rPr>
          <w:color w:val="211F1F"/>
        </w:rPr>
        <w:t>non-collusive</w:t>
      </w:r>
      <w:r>
        <w:rPr>
          <w:color w:val="211F1F"/>
          <w:spacing w:val="-14"/>
        </w:rPr>
        <w:t xml:space="preserve"> </w:t>
      </w:r>
      <w:r>
        <w:rPr>
          <w:color w:val="211F1F"/>
        </w:rPr>
        <w:t>and</w:t>
      </w:r>
      <w:r>
        <w:rPr>
          <w:color w:val="211F1F"/>
          <w:spacing w:val="-14"/>
        </w:rPr>
        <w:t xml:space="preserve"> </w:t>
      </w:r>
      <w:r>
        <w:rPr>
          <w:color w:val="211F1F"/>
        </w:rPr>
        <w:t>made</w:t>
      </w:r>
      <w:r>
        <w:rPr>
          <w:color w:val="211F1F"/>
          <w:spacing w:val="-14"/>
        </w:rPr>
        <w:t xml:space="preserve"> </w:t>
      </w:r>
      <w:r>
        <w:rPr>
          <w:color w:val="211F1F"/>
        </w:rPr>
        <w:t>with the intention of accepting the contract if awarded. To this effect we have signed the “Certificate of Independent Tender Determination” attached below.</w:t>
      </w:r>
    </w:p>
    <w:p w14:paraId="0E66618D" w14:textId="77777777" w:rsidR="00BB77C0" w:rsidRDefault="00370BAA">
      <w:pPr>
        <w:pStyle w:val="ListParagraph"/>
        <w:numPr>
          <w:ilvl w:val="0"/>
          <w:numId w:val="47"/>
        </w:numPr>
        <w:tabs>
          <w:tab w:val="left" w:pos="1606"/>
          <w:tab w:val="left" w:pos="1613"/>
          <w:tab w:val="left" w:pos="5815"/>
        </w:tabs>
        <w:spacing w:before="245" w:line="230" w:lineRule="auto"/>
        <w:ind w:left="1613" w:right="707" w:hanging="563"/>
        <w:jc w:val="both"/>
        <w:rPr>
          <w:color w:val="211F1F"/>
        </w:rPr>
      </w:pPr>
      <w:r>
        <w:rPr>
          <w:color w:val="211F1F"/>
        </w:rPr>
        <w:t>We</w:t>
      </w:r>
      <w:r>
        <w:rPr>
          <w:color w:val="211F1F"/>
          <w:spacing w:val="-12"/>
        </w:rPr>
        <w:t xml:space="preserve"> </w:t>
      </w:r>
      <w:r>
        <w:rPr>
          <w:color w:val="211F1F"/>
        </w:rPr>
        <w:t>undertake</w:t>
      </w:r>
      <w:r>
        <w:rPr>
          <w:color w:val="211F1F"/>
          <w:spacing w:val="-3"/>
        </w:rPr>
        <w:t xml:space="preserve"> </w:t>
      </w:r>
      <w:r>
        <w:rPr>
          <w:color w:val="211F1F"/>
        </w:rPr>
        <w:t>to</w:t>
      </w:r>
      <w:r>
        <w:rPr>
          <w:color w:val="211F1F"/>
          <w:spacing w:val="-6"/>
        </w:rPr>
        <w:t xml:space="preserve"> </w:t>
      </w:r>
      <w:r>
        <w:rPr>
          <w:color w:val="211F1F"/>
        </w:rPr>
        <w:t>adhere</w:t>
      </w:r>
      <w:r>
        <w:rPr>
          <w:color w:val="211F1F"/>
          <w:spacing w:val="-4"/>
        </w:rPr>
        <w:t xml:space="preserve"> </w:t>
      </w:r>
      <w:r>
        <w:rPr>
          <w:color w:val="211F1F"/>
        </w:rPr>
        <w:t>by</w:t>
      </w:r>
      <w:r>
        <w:rPr>
          <w:color w:val="211F1F"/>
          <w:spacing w:val="-1"/>
        </w:rPr>
        <w:t xml:space="preserve"> </w:t>
      </w:r>
      <w:r>
        <w:rPr>
          <w:color w:val="211F1F"/>
        </w:rPr>
        <w:t>the</w:t>
      </w:r>
      <w:r>
        <w:rPr>
          <w:color w:val="211F1F"/>
          <w:spacing w:val="-4"/>
        </w:rPr>
        <w:t xml:space="preserve"> </w:t>
      </w:r>
      <w:r>
        <w:rPr>
          <w:color w:val="211F1F"/>
        </w:rPr>
        <w:t>Code</w:t>
      </w:r>
      <w:r>
        <w:rPr>
          <w:color w:val="211F1F"/>
          <w:spacing w:val="-4"/>
        </w:rPr>
        <w:t xml:space="preserve"> </w:t>
      </w:r>
      <w:r>
        <w:rPr>
          <w:color w:val="211F1F"/>
        </w:rPr>
        <w:t>of Ethics for Persons Participating</w:t>
      </w:r>
      <w:r>
        <w:rPr>
          <w:color w:val="211F1F"/>
          <w:spacing w:val="-4"/>
        </w:rPr>
        <w:t xml:space="preserve"> </w:t>
      </w:r>
      <w:r>
        <w:rPr>
          <w:color w:val="211F1F"/>
        </w:rPr>
        <w:t>in</w:t>
      </w:r>
      <w:r>
        <w:rPr>
          <w:color w:val="211F1F"/>
          <w:spacing w:val="-2"/>
        </w:rPr>
        <w:t xml:space="preserve"> </w:t>
      </w:r>
      <w:r>
        <w:rPr>
          <w:color w:val="211F1F"/>
        </w:rPr>
        <w:t>Public Procurement and</w:t>
      </w:r>
      <w:r>
        <w:rPr>
          <w:color w:val="211F1F"/>
          <w:spacing w:val="-9"/>
        </w:rPr>
        <w:t xml:space="preserve"> </w:t>
      </w:r>
      <w:r>
        <w:rPr>
          <w:color w:val="211F1F"/>
        </w:rPr>
        <w:t>Asset Disposal, copyavailable from</w:t>
      </w:r>
      <w:r>
        <w:rPr>
          <w:color w:val="211F1F"/>
          <w:u w:val="single" w:color="201E1F"/>
        </w:rPr>
        <w:tab/>
      </w:r>
      <w:r>
        <w:rPr>
          <w:color w:val="211F1F"/>
        </w:rPr>
        <w:t>(</w:t>
      </w:r>
      <w:r>
        <w:rPr>
          <w:i/>
          <w:color w:val="211F1F"/>
        </w:rPr>
        <w:t>specify website</w:t>
      </w:r>
      <w:r>
        <w:rPr>
          <w:color w:val="211F1F"/>
        </w:rPr>
        <w:t>) during</w:t>
      </w:r>
      <w:r>
        <w:rPr>
          <w:color w:val="211F1F"/>
          <w:spacing w:val="-6"/>
        </w:rPr>
        <w:t xml:space="preserve"> </w:t>
      </w:r>
      <w:r>
        <w:rPr>
          <w:color w:val="211F1F"/>
        </w:rPr>
        <w:t>the</w:t>
      </w:r>
      <w:r>
        <w:rPr>
          <w:color w:val="211F1F"/>
          <w:spacing w:val="-8"/>
        </w:rPr>
        <w:t xml:space="preserve"> </w:t>
      </w:r>
      <w:r>
        <w:rPr>
          <w:color w:val="211F1F"/>
        </w:rPr>
        <w:t>procurement process and</w:t>
      </w:r>
      <w:r>
        <w:rPr>
          <w:color w:val="211F1F"/>
          <w:spacing w:val="-7"/>
        </w:rPr>
        <w:t xml:space="preserve"> </w:t>
      </w:r>
      <w:r>
        <w:rPr>
          <w:color w:val="211F1F"/>
        </w:rPr>
        <w:t>the execution of any resulting contract.</w:t>
      </w:r>
    </w:p>
    <w:p w14:paraId="08B91F7D" w14:textId="77777777" w:rsidR="00BB77C0" w:rsidRDefault="00370BAA">
      <w:pPr>
        <w:pStyle w:val="ListParagraph"/>
        <w:numPr>
          <w:ilvl w:val="0"/>
          <w:numId w:val="47"/>
        </w:numPr>
        <w:tabs>
          <w:tab w:val="left" w:pos="1602"/>
          <w:tab w:val="left" w:pos="1604"/>
        </w:tabs>
        <w:spacing w:before="239"/>
        <w:ind w:right="-29"/>
        <w:jc w:val="both"/>
        <w:rPr>
          <w:color w:val="211F1F"/>
        </w:rPr>
      </w:pPr>
      <w:r>
        <w:rPr>
          <w:b/>
        </w:rPr>
        <w:t xml:space="preserve">Beneficial Ownership Information: </w:t>
      </w:r>
      <w:r>
        <w:t>We commit to provide to the procuring entity the Beneficial Ownership Information</w:t>
      </w:r>
      <w:r>
        <w:rPr>
          <w:spacing w:val="-14"/>
        </w:rPr>
        <w:t xml:space="preserve"> </w:t>
      </w:r>
      <w:r>
        <w:t>in</w:t>
      </w:r>
      <w:r>
        <w:rPr>
          <w:spacing w:val="-14"/>
        </w:rPr>
        <w:t xml:space="preserve"> </w:t>
      </w:r>
      <w:r>
        <w:t>conformity</w:t>
      </w:r>
      <w:r>
        <w:rPr>
          <w:spacing w:val="-14"/>
        </w:rPr>
        <w:t xml:space="preserve"> </w:t>
      </w:r>
      <w:r>
        <w:t>with</w:t>
      </w:r>
      <w:r>
        <w:rPr>
          <w:spacing w:val="-13"/>
        </w:rPr>
        <w:t xml:space="preserve"> </w:t>
      </w:r>
      <w:r>
        <w:t>the</w:t>
      </w:r>
      <w:r>
        <w:rPr>
          <w:spacing w:val="-14"/>
        </w:rPr>
        <w:t xml:space="preserve"> </w:t>
      </w:r>
      <w:r>
        <w:t>Beneficial</w:t>
      </w:r>
      <w:r>
        <w:rPr>
          <w:spacing w:val="-12"/>
        </w:rPr>
        <w:t xml:space="preserve"> </w:t>
      </w:r>
      <w:r>
        <w:t>Ownership</w:t>
      </w:r>
      <w:r>
        <w:rPr>
          <w:spacing w:val="-9"/>
        </w:rPr>
        <w:t xml:space="preserve"> </w:t>
      </w:r>
      <w:r>
        <w:t>Disclosure</w:t>
      </w:r>
      <w:r>
        <w:rPr>
          <w:spacing w:val="-14"/>
        </w:rPr>
        <w:t xml:space="preserve"> </w:t>
      </w:r>
      <w:r>
        <w:t>Form</w:t>
      </w:r>
      <w:r>
        <w:rPr>
          <w:spacing w:val="-14"/>
        </w:rPr>
        <w:t xml:space="preserve"> </w:t>
      </w:r>
      <w:r>
        <w:t>upon</w:t>
      </w:r>
      <w:r>
        <w:rPr>
          <w:spacing w:val="-14"/>
        </w:rPr>
        <w:t xml:space="preserve"> </w:t>
      </w:r>
      <w:r>
        <w:t>receipt</w:t>
      </w:r>
      <w:r>
        <w:rPr>
          <w:spacing w:val="-8"/>
        </w:rPr>
        <w:t xml:space="preserve"> </w:t>
      </w:r>
      <w:r>
        <w:t>of</w:t>
      </w:r>
      <w:r>
        <w:rPr>
          <w:spacing w:val="-11"/>
        </w:rPr>
        <w:t xml:space="preserve"> </w:t>
      </w:r>
      <w:r>
        <w:t>notification</w:t>
      </w:r>
      <w:r>
        <w:rPr>
          <w:spacing w:val="-13"/>
        </w:rPr>
        <w:t xml:space="preserve"> </w:t>
      </w:r>
      <w:r>
        <w:t>of</w:t>
      </w:r>
      <w:r>
        <w:rPr>
          <w:spacing w:val="-11"/>
        </w:rPr>
        <w:t xml:space="preserve"> </w:t>
      </w:r>
      <w:r>
        <w:t>intention to enter into a contract in the event we are the successful tenderer in this subject procurement proceeding.</w:t>
      </w:r>
    </w:p>
    <w:p w14:paraId="40F9B9E7" w14:textId="77777777" w:rsidR="00BB77C0" w:rsidRDefault="00370BAA">
      <w:pPr>
        <w:pStyle w:val="ListParagraph"/>
        <w:numPr>
          <w:ilvl w:val="0"/>
          <w:numId w:val="47"/>
        </w:numPr>
        <w:tabs>
          <w:tab w:val="left" w:pos="1603"/>
        </w:tabs>
        <w:spacing w:before="234" w:line="251" w:lineRule="exact"/>
        <w:ind w:left="1603" w:hanging="547"/>
        <w:rPr>
          <w:color w:val="211F1F"/>
        </w:rPr>
      </w:pPr>
      <w:r>
        <w:rPr>
          <w:color w:val="211F1F"/>
        </w:rPr>
        <w:t>We,</w:t>
      </w:r>
      <w:r>
        <w:rPr>
          <w:color w:val="211F1F"/>
          <w:spacing w:val="48"/>
        </w:rPr>
        <w:t xml:space="preserve"> </w:t>
      </w:r>
      <w:r>
        <w:rPr>
          <w:color w:val="211F1F"/>
        </w:rPr>
        <w:t>the</w:t>
      </w:r>
      <w:r>
        <w:rPr>
          <w:color w:val="211F1F"/>
          <w:spacing w:val="43"/>
        </w:rPr>
        <w:t xml:space="preserve"> </w:t>
      </w:r>
      <w:r>
        <w:rPr>
          <w:color w:val="211F1F"/>
        </w:rPr>
        <w:t>Tenderer,</w:t>
      </w:r>
      <w:r>
        <w:rPr>
          <w:color w:val="211F1F"/>
          <w:spacing w:val="53"/>
        </w:rPr>
        <w:t xml:space="preserve"> </w:t>
      </w:r>
      <w:r>
        <w:rPr>
          <w:color w:val="211F1F"/>
        </w:rPr>
        <w:t>have</w:t>
      </w:r>
      <w:r>
        <w:rPr>
          <w:color w:val="211F1F"/>
          <w:spacing w:val="68"/>
          <w:w w:val="150"/>
        </w:rPr>
        <w:t xml:space="preserve"> </w:t>
      </w:r>
      <w:r>
        <w:rPr>
          <w:color w:val="211F1F"/>
        </w:rPr>
        <w:t>duly</w:t>
      </w:r>
      <w:r>
        <w:rPr>
          <w:color w:val="211F1F"/>
          <w:spacing w:val="-5"/>
        </w:rPr>
        <w:t xml:space="preserve"> </w:t>
      </w:r>
      <w:r>
        <w:rPr>
          <w:color w:val="211F1F"/>
        </w:rPr>
        <w:t>completed,</w:t>
      </w:r>
      <w:r>
        <w:rPr>
          <w:color w:val="211F1F"/>
          <w:spacing w:val="-1"/>
        </w:rPr>
        <w:t xml:space="preserve"> </w:t>
      </w:r>
      <w:r>
        <w:rPr>
          <w:color w:val="211F1F"/>
        </w:rPr>
        <w:t>signed</w:t>
      </w:r>
      <w:r>
        <w:rPr>
          <w:color w:val="211F1F"/>
          <w:spacing w:val="-5"/>
        </w:rPr>
        <w:t xml:space="preserve"> </w:t>
      </w:r>
      <w:r>
        <w:rPr>
          <w:color w:val="211F1F"/>
        </w:rPr>
        <w:t>and</w:t>
      </w:r>
      <w:r>
        <w:rPr>
          <w:color w:val="211F1F"/>
          <w:spacing w:val="-5"/>
        </w:rPr>
        <w:t xml:space="preserve"> </w:t>
      </w:r>
      <w:r>
        <w:rPr>
          <w:color w:val="211F1F"/>
        </w:rPr>
        <w:t>stamped</w:t>
      </w:r>
      <w:r>
        <w:rPr>
          <w:color w:val="211F1F"/>
          <w:spacing w:val="46"/>
        </w:rPr>
        <w:t xml:space="preserve"> </w:t>
      </w:r>
      <w:r>
        <w:rPr>
          <w:color w:val="211F1F"/>
        </w:rPr>
        <w:t>the</w:t>
      </w:r>
      <w:r>
        <w:rPr>
          <w:color w:val="211F1F"/>
          <w:spacing w:val="45"/>
        </w:rPr>
        <w:t xml:space="preserve"> </w:t>
      </w:r>
      <w:r>
        <w:rPr>
          <w:color w:val="211F1F"/>
        </w:rPr>
        <w:t>following</w:t>
      </w:r>
      <w:r>
        <w:rPr>
          <w:color w:val="211F1F"/>
          <w:spacing w:val="46"/>
        </w:rPr>
        <w:t xml:space="preserve"> </w:t>
      </w:r>
      <w:r>
        <w:rPr>
          <w:color w:val="211F1F"/>
        </w:rPr>
        <w:t>Forms</w:t>
      </w:r>
      <w:r>
        <w:rPr>
          <w:color w:val="211F1F"/>
          <w:spacing w:val="51"/>
        </w:rPr>
        <w:t xml:space="preserve"> </w:t>
      </w:r>
      <w:r>
        <w:rPr>
          <w:color w:val="211F1F"/>
        </w:rPr>
        <w:t>as</w:t>
      </w:r>
      <w:r>
        <w:rPr>
          <w:color w:val="211F1F"/>
          <w:spacing w:val="47"/>
        </w:rPr>
        <w:t xml:space="preserve"> </w:t>
      </w:r>
      <w:r>
        <w:rPr>
          <w:color w:val="211F1F"/>
        </w:rPr>
        <w:t>part</w:t>
      </w:r>
      <w:r>
        <w:rPr>
          <w:color w:val="211F1F"/>
          <w:spacing w:val="52"/>
        </w:rPr>
        <w:t xml:space="preserve"> </w:t>
      </w:r>
      <w:r>
        <w:rPr>
          <w:color w:val="211F1F"/>
        </w:rPr>
        <w:t>of</w:t>
      </w:r>
      <w:r>
        <w:rPr>
          <w:color w:val="211F1F"/>
          <w:spacing w:val="48"/>
        </w:rPr>
        <w:t xml:space="preserve"> </w:t>
      </w:r>
      <w:r>
        <w:rPr>
          <w:color w:val="211F1F"/>
        </w:rPr>
        <w:t>our</w:t>
      </w:r>
      <w:r>
        <w:rPr>
          <w:color w:val="211F1F"/>
          <w:spacing w:val="48"/>
        </w:rPr>
        <w:t xml:space="preserve"> </w:t>
      </w:r>
      <w:r>
        <w:rPr>
          <w:color w:val="211F1F"/>
          <w:spacing w:val="-2"/>
        </w:rPr>
        <w:t>Tender:</w:t>
      </w:r>
    </w:p>
    <w:p w14:paraId="475DB54C" w14:textId="77777777" w:rsidR="00BB77C0" w:rsidRDefault="00370BAA">
      <w:pPr>
        <w:pStyle w:val="ListParagraph"/>
        <w:numPr>
          <w:ilvl w:val="1"/>
          <w:numId w:val="47"/>
        </w:numPr>
        <w:tabs>
          <w:tab w:val="left" w:pos="2189"/>
          <w:tab w:val="left" w:pos="2199"/>
        </w:tabs>
        <w:spacing w:before="5" w:line="232" w:lineRule="auto"/>
        <w:ind w:right="945" w:hanging="591"/>
        <w:rPr>
          <w:color w:val="1D2028"/>
        </w:rPr>
      </w:pPr>
      <w:r>
        <w:rPr>
          <w:color w:val="1D2028"/>
          <w:spacing w:val="-2"/>
        </w:rPr>
        <w:t>T</w:t>
      </w:r>
      <w:r>
        <w:rPr>
          <w:color w:val="211F1F"/>
          <w:spacing w:val="-2"/>
        </w:rPr>
        <w:t>enderer's</w:t>
      </w:r>
      <w:r>
        <w:rPr>
          <w:color w:val="211F1F"/>
          <w:spacing w:val="-12"/>
        </w:rPr>
        <w:t xml:space="preserve"> </w:t>
      </w:r>
      <w:r>
        <w:rPr>
          <w:color w:val="211F1F"/>
          <w:spacing w:val="-2"/>
        </w:rPr>
        <w:t>Eligibility;</w:t>
      </w:r>
      <w:r>
        <w:rPr>
          <w:color w:val="211F1F"/>
          <w:spacing w:val="-12"/>
        </w:rPr>
        <w:t xml:space="preserve"> </w:t>
      </w:r>
      <w:r>
        <w:rPr>
          <w:color w:val="211F1F"/>
          <w:spacing w:val="-2"/>
        </w:rPr>
        <w:t>Confidential</w:t>
      </w:r>
      <w:r>
        <w:rPr>
          <w:color w:val="211F1F"/>
          <w:spacing w:val="-12"/>
        </w:rPr>
        <w:t xml:space="preserve"> </w:t>
      </w:r>
      <w:r>
        <w:rPr>
          <w:color w:val="211F1F"/>
          <w:spacing w:val="-2"/>
        </w:rPr>
        <w:t>Business</w:t>
      </w:r>
      <w:r>
        <w:rPr>
          <w:color w:val="211F1F"/>
          <w:spacing w:val="-11"/>
        </w:rPr>
        <w:t xml:space="preserve"> </w:t>
      </w:r>
      <w:r>
        <w:rPr>
          <w:color w:val="211F1F"/>
          <w:spacing w:val="-2"/>
        </w:rPr>
        <w:t>Questionnaire</w:t>
      </w:r>
      <w:r>
        <w:rPr>
          <w:color w:val="211F1F"/>
          <w:spacing w:val="-13"/>
        </w:rPr>
        <w:t xml:space="preserve"> </w:t>
      </w:r>
      <w:r>
        <w:rPr>
          <w:color w:val="211F1F"/>
          <w:spacing w:val="-2"/>
        </w:rPr>
        <w:t>–</w:t>
      </w:r>
      <w:r>
        <w:rPr>
          <w:color w:val="211F1F"/>
          <w:spacing w:val="-12"/>
        </w:rPr>
        <w:t xml:space="preserve"> </w:t>
      </w:r>
      <w:r>
        <w:rPr>
          <w:color w:val="211F1F"/>
          <w:spacing w:val="-2"/>
        </w:rPr>
        <w:t>to</w:t>
      </w:r>
      <w:r>
        <w:rPr>
          <w:color w:val="211F1F"/>
          <w:spacing w:val="-12"/>
        </w:rPr>
        <w:t xml:space="preserve"> </w:t>
      </w:r>
      <w:r>
        <w:rPr>
          <w:color w:val="211F1F"/>
          <w:spacing w:val="-2"/>
        </w:rPr>
        <w:t>establish</w:t>
      </w:r>
      <w:r>
        <w:rPr>
          <w:color w:val="211F1F"/>
          <w:spacing w:val="-12"/>
        </w:rPr>
        <w:t xml:space="preserve"> </w:t>
      </w:r>
      <w:r>
        <w:rPr>
          <w:color w:val="211F1F"/>
          <w:spacing w:val="-2"/>
        </w:rPr>
        <w:t>we</w:t>
      </w:r>
      <w:r>
        <w:rPr>
          <w:color w:val="211F1F"/>
          <w:spacing w:val="-14"/>
        </w:rPr>
        <w:t xml:space="preserve"> </w:t>
      </w:r>
      <w:r>
        <w:rPr>
          <w:color w:val="211F1F"/>
          <w:spacing w:val="-2"/>
        </w:rPr>
        <w:t>are</w:t>
      </w:r>
      <w:r>
        <w:rPr>
          <w:color w:val="211F1F"/>
          <w:spacing w:val="-14"/>
        </w:rPr>
        <w:t xml:space="preserve"> </w:t>
      </w:r>
      <w:r>
        <w:rPr>
          <w:color w:val="211F1F"/>
          <w:spacing w:val="-2"/>
        </w:rPr>
        <w:t>not</w:t>
      </w:r>
      <w:r>
        <w:rPr>
          <w:color w:val="211F1F"/>
          <w:spacing w:val="-8"/>
        </w:rPr>
        <w:t xml:space="preserve"> </w:t>
      </w:r>
      <w:r>
        <w:rPr>
          <w:color w:val="211F1F"/>
          <w:spacing w:val="-2"/>
        </w:rPr>
        <w:t>in</w:t>
      </w:r>
      <w:r>
        <w:rPr>
          <w:color w:val="211F1F"/>
          <w:spacing w:val="-17"/>
        </w:rPr>
        <w:t xml:space="preserve"> </w:t>
      </w:r>
      <w:r>
        <w:rPr>
          <w:color w:val="211F1F"/>
          <w:spacing w:val="-2"/>
        </w:rPr>
        <w:t>any</w:t>
      </w:r>
      <w:r>
        <w:rPr>
          <w:color w:val="211F1F"/>
          <w:spacing w:val="-12"/>
        </w:rPr>
        <w:t xml:space="preserve"> </w:t>
      </w:r>
      <w:r>
        <w:rPr>
          <w:color w:val="211F1F"/>
          <w:spacing w:val="-2"/>
        </w:rPr>
        <w:t xml:space="preserve">conflict </w:t>
      </w:r>
      <w:r>
        <w:rPr>
          <w:color w:val="211F1F"/>
        </w:rPr>
        <w:t>to</w:t>
      </w:r>
      <w:r>
        <w:rPr>
          <w:color w:val="211F1F"/>
          <w:spacing w:val="-27"/>
        </w:rPr>
        <w:t xml:space="preserve"> </w:t>
      </w:r>
      <w:r>
        <w:rPr>
          <w:color w:val="211F1F"/>
        </w:rPr>
        <w:t>interest.</w:t>
      </w:r>
    </w:p>
    <w:p w14:paraId="71011167" w14:textId="77777777" w:rsidR="00BB77C0" w:rsidRDefault="00370BAA">
      <w:pPr>
        <w:pStyle w:val="ListParagraph"/>
        <w:numPr>
          <w:ilvl w:val="1"/>
          <w:numId w:val="47"/>
        </w:numPr>
        <w:tabs>
          <w:tab w:val="left" w:pos="2189"/>
          <w:tab w:val="left" w:pos="2199"/>
        </w:tabs>
        <w:spacing w:line="228" w:lineRule="auto"/>
        <w:ind w:right="935" w:hanging="591"/>
        <w:rPr>
          <w:color w:val="211F1F"/>
        </w:rPr>
      </w:pPr>
      <w:r>
        <w:rPr>
          <w:color w:val="211F1F"/>
          <w:spacing w:val="-2"/>
        </w:rPr>
        <w:t>Certificate</w:t>
      </w:r>
      <w:r>
        <w:rPr>
          <w:color w:val="211F1F"/>
          <w:spacing w:val="-13"/>
        </w:rPr>
        <w:t xml:space="preserve"> </w:t>
      </w:r>
      <w:r>
        <w:rPr>
          <w:color w:val="211F1F"/>
          <w:spacing w:val="-2"/>
        </w:rPr>
        <w:t>of</w:t>
      </w:r>
      <w:r>
        <w:rPr>
          <w:color w:val="211F1F"/>
          <w:spacing w:val="-12"/>
        </w:rPr>
        <w:t xml:space="preserve"> </w:t>
      </w:r>
      <w:r>
        <w:rPr>
          <w:color w:val="211F1F"/>
          <w:spacing w:val="-2"/>
        </w:rPr>
        <w:t>Independent</w:t>
      </w:r>
      <w:r>
        <w:rPr>
          <w:color w:val="211F1F"/>
          <w:spacing w:val="-15"/>
        </w:rPr>
        <w:t xml:space="preserve"> </w:t>
      </w:r>
      <w:r>
        <w:rPr>
          <w:color w:val="211F1F"/>
          <w:spacing w:val="-2"/>
        </w:rPr>
        <w:t>Tender</w:t>
      </w:r>
      <w:r>
        <w:rPr>
          <w:color w:val="211F1F"/>
          <w:spacing w:val="-12"/>
        </w:rPr>
        <w:t xml:space="preserve"> </w:t>
      </w:r>
      <w:r>
        <w:rPr>
          <w:color w:val="211F1F"/>
          <w:spacing w:val="-2"/>
        </w:rPr>
        <w:t>Determination</w:t>
      </w:r>
      <w:r>
        <w:rPr>
          <w:color w:val="211F1F"/>
          <w:spacing w:val="-12"/>
        </w:rPr>
        <w:t xml:space="preserve"> </w:t>
      </w:r>
      <w:r>
        <w:rPr>
          <w:color w:val="211F1F"/>
          <w:spacing w:val="-2"/>
        </w:rPr>
        <w:t>–</w:t>
      </w:r>
      <w:r>
        <w:rPr>
          <w:color w:val="211F1F"/>
          <w:spacing w:val="-11"/>
        </w:rPr>
        <w:t xml:space="preserve"> </w:t>
      </w:r>
      <w:r>
        <w:rPr>
          <w:color w:val="211F1F"/>
          <w:spacing w:val="-2"/>
        </w:rPr>
        <w:t>to</w:t>
      </w:r>
      <w:r>
        <w:rPr>
          <w:color w:val="211F1F"/>
          <w:spacing w:val="-17"/>
        </w:rPr>
        <w:t xml:space="preserve"> </w:t>
      </w:r>
      <w:r>
        <w:rPr>
          <w:color w:val="211F1F"/>
          <w:spacing w:val="-2"/>
        </w:rPr>
        <w:t>declare</w:t>
      </w:r>
      <w:r>
        <w:rPr>
          <w:color w:val="211F1F"/>
          <w:spacing w:val="-13"/>
        </w:rPr>
        <w:t xml:space="preserve"> </w:t>
      </w:r>
      <w:r>
        <w:rPr>
          <w:color w:val="211F1F"/>
          <w:spacing w:val="-2"/>
        </w:rPr>
        <w:t>that</w:t>
      </w:r>
      <w:r>
        <w:rPr>
          <w:color w:val="211F1F"/>
          <w:spacing w:val="-8"/>
        </w:rPr>
        <w:t xml:space="preserve"> </w:t>
      </w:r>
      <w:r>
        <w:rPr>
          <w:color w:val="211F1F"/>
          <w:spacing w:val="-2"/>
        </w:rPr>
        <w:t>we</w:t>
      </w:r>
      <w:r>
        <w:rPr>
          <w:color w:val="211F1F"/>
          <w:spacing w:val="-14"/>
        </w:rPr>
        <w:t xml:space="preserve"> </w:t>
      </w:r>
      <w:r>
        <w:rPr>
          <w:color w:val="211F1F"/>
          <w:spacing w:val="-2"/>
        </w:rPr>
        <w:t>completed</w:t>
      </w:r>
      <w:r>
        <w:rPr>
          <w:color w:val="211F1F"/>
          <w:spacing w:val="-12"/>
        </w:rPr>
        <w:t xml:space="preserve"> </w:t>
      </w:r>
      <w:r>
        <w:rPr>
          <w:color w:val="211F1F"/>
          <w:spacing w:val="-2"/>
        </w:rPr>
        <w:t>the</w:t>
      </w:r>
      <w:r>
        <w:rPr>
          <w:color w:val="211F1F"/>
          <w:spacing w:val="-14"/>
        </w:rPr>
        <w:t xml:space="preserve"> </w:t>
      </w:r>
      <w:r>
        <w:rPr>
          <w:color w:val="211F1F"/>
          <w:spacing w:val="-2"/>
        </w:rPr>
        <w:t xml:space="preserve">tender without </w:t>
      </w:r>
      <w:r>
        <w:rPr>
          <w:color w:val="211F1F"/>
        </w:rPr>
        <w:t>colluding with other tenderers.</w:t>
      </w:r>
    </w:p>
    <w:p w14:paraId="510592BB" w14:textId="77777777" w:rsidR="00BB77C0" w:rsidRDefault="00370BAA">
      <w:pPr>
        <w:pStyle w:val="ListParagraph"/>
        <w:numPr>
          <w:ilvl w:val="1"/>
          <w:numId w:val="47"/>
        </w:numPr>
        <w:tabs>
          <w:tab w:val="left" w:pos="2189"/>
          <w:tab w:val="left" w:pos="2199"/>
        </w:tabs>
        <w:spacing w:line="232" w:lineRule="auto"/>
        <w:ind w:right="896" w:hanging="591"/>
        <w:rPr>
          <w:color w:val="211F1F"/>
        </w:rPr>
      </w:pPr>
      <w:r>
        <w:rPr>
          <w:color w:val="211F1F"/>
        </w:rPr>
        <w:t>Self-Declaration</w:t>
      </w:r>
      <w:r>
        <w:rPr>
          <w:color w:val="211F1F"/>
          <w:spacing w:val="-16"/>
        </w:rPr>
        <w:t xml:space="preserve"> </w:t>
      </w:r>
      <w:r>
        <w:rPr>
          <w:color w:val="211F1F"/>
        </w:rPr>
        <w:t>of</w:t>
      </w:r>
      <w:r>
        <w:rPr>
          <w:color w:val="211F1F"/>
          <w:spacing w:val="-14"/>
        </w:rPr>
        <w:t xml:space="preserve"> </w:t>
      </w:r>
      <w:r>
        <w:rPr>
          <w:color w:val="211F1F"/>
        </w:rPr>
        <w:t>the</w:t>
      </w:r>
      <w:r>
        <w:rPr>
          <w:color w:val="211F1F"/>
          <w:spacing w:val="-19"/>
        </w:rPr>
        <w:t xml:space="preserve"> </w:t>
      </w:r>
      <w:r>
        <w:rPr>
          <w:color w:val="211F1F"/>
        </w:rPr>
        <w:t>Tenderer</w:t>
      </w:r>
      <w:r>
        <w:rPr>
          <w:color w:val="211F1F"/>
          <w:spacing w:val="-14"/>
        </w:rPr>
        <w:t xml:space="preserve"> </w:t>
      </w:r>
      <w:r>
        <w:rPr>
          <w:color w:val="211F1F"/>
        </w:rPr>
        <w:t>–</w:t>
      </w:r>
      <w:r>
        <w:rPr>
          <w:color w:val="211F1F"/>
          <w:spacing w:val="-14"/>
        </w:rPr>
        <w:t xml:space="preserve"> </w:t>
      </w:r>
      <w:r>
        <w:rPr>
          <w:color w:val="211F1F"/>
        </w:rPr>
        <w:t>to</w:t>
      </w:r>
      <w:r>
        <w:rPr>
          <w:color w:val="211F1F"/>
          <w:spacing w:val="-13"/>
        </w:rPr>
        <w:t xml:space="preserve"> </w:t>
      </w:r>
      <w:r>
        <w:rPr>
          <w:color w:val="211F1F"/>
        </w:rPr>
        <w:t>declare</w:t>
      </w:r>
      <w:r>
        <w:rPr>
          <w:color w:val="211F1F"/>
          <w:spacing w:val="-19"/>
        </w:rPr>
        <w:t xml:space="preserve"> </w:t>
      </w:r>
      <w:r>
        <w:rPr>
          <w:color w:val="211F1F"/>
        </w:rPr>
        <w:t>that</w:t>
      </w:r>
      <w:r>
        <w:rPr>
          <w:color w:val="211F1F"/>
          <w:spacing w:val="-14"/>
        </w:rPr>
        <w:t xml:space="preserve"> </w:t>
      </w:r>
      <w:r>
        <w:rPr>
          <w:color w:val="211F1F"/>
        </w:rPr>
        <w:t>we</w:t>
      </w:r>
      <w:r>
        <w:rPr>
          <w:color w:val="211F1F"/>
          <w:spacing w:val="-14"/>
        </w:rPr>
        <w:t xml:space="preserve"> </w:t>
      </w:r>
      <w:r>
        <w:rPr>
          <w:color w:val="211F1F"/>
        </w:rPr>
        <w:t>will,</w:t>
      </w:r>
      <w:r>
        <w:rPr>
          <w:color w:val="211F1F"/>
          <w:spacing w:val="-12"/>
        </w:rPr>
        <w:t xml:space="preserve"> </w:t>
      </w:r>
      <w:r>
        <w:rPr>
          <w:color w:val="211F1F"/>
        </w:rPr>
        <w:t>if</w:t>
      </w:r>
      <w:r>
        <w:rPr>
          <w:color w:val="211F1F"/>
          <w:spacing w:val="-14"/>
        </w:rPr>
        <w:t xml:space="preserve"> </w:t>
      </w:r>
      <w:r>
        <w:rPr>
          <w:color w:val="211F1F"/>
        </w:rPr>
        <w:t>awarded</w:t>
      </w:r>
      <w:r>
        <w:rPr>
          <w:color w:val="211F1F"/>
          <w:spacing w:val="-16"/>
        </w:rPr>
        <w:t xml:space="preserve"> </w:t>
      </w:r>
      <w:r>
        <w:rPr>
          <w:color w:val="211F1F"/>
        </w:rPr>
        <w:t>a</w:t>
      </w:r>
      <w:r>
        <w:rPr>
          <w:color w:val="211F1F"/>
          <w:spacing w:val="-8"/>
        </w:rPr>
        <w:t xml:space="preserve"> </w:t>
      </w:r>
      <w:r>
        <w:rPr>
          <w:color w:val="211F1F"/>
        </w:rPr>
        <w:t>contract,</w:t>
      </w:r>
      <w:r>
        <w:rPr>
          <w:color w:val="211F1F"/>
          <w:spacing w:val="-12"/>
        </w:rPr>
        <w:t xml:space="preserve"> </w:t>
      </w:r>
      <w:r>
        <w:rPr>
          <w:color w:val="211F1F"/>
        </w:rPr>
        <w:t>not</w:t>
      </w:r>
      <w:r>
        <w:rPr>
          <w:color w:val="211F1F"/>
          <w:spacing w:val="-9"/>
        </w:rPr>
        <w:t xml:space="preserve"> </w:t>
      </w:r>
      <w:r>
        <w:rPr>
          <w:color w:val="211F1F"/>
        </w:rPr>
        <w:t>engage</w:t>
      </w:r>
      <w:r>
        <w:rPr>
          <w:color w:val="211F1F"/>
          <w:spacing w:val="-14"/>
        </w:rPr>
        <w:t xml:space="preserve"> </w:t>
      </w:r>
      <w:r>
        <w:rPr>
          <w:color w:val="211F1F"/>
        </w:rPr>
        <w:t>in</w:t>
      </w:r>
      <w:r>
        <w:rPr>
          <w:color w:val="211F1F"/>
          <w:spacing w:val="-14"/>
        </w:rPr>
        <w:t xml:space="preserve"> </w:t>
      </w:r>
      <w:r>
        <w:rPr>
          <w:color w:val="211F1F"/>
        </w:rPr>
        <w:t>any form of fraud and corruption.</w:t>
      </w:r>
    </w:p>
    <w:p w14:paraId="5DDAE294" w14:textId="77777777" w:rsidR="00BB77C0" w:rsidRDefault="00370BAA">
      <w:pPr>
        <w:pStyle w:val="ListParagraph"/>
        <w:numPr>
          <w:ilvl w:val="1"/>
          <w:numId w:val="47"/>
        </w:numPr>
        <w:tabs>
          <w:tab w:val="left" w:pos="2189"/>
          <w:tab w:val="left" w:pos="2199"/>
        </w:tabs>
        <w:spacing w:line="232" w:lineRule="auto"/>
        <w:ind w:right="888" w:hanging="591"/>
        <w:rPr>
          <w:color w:val="211F1F"/>
        </w:rPr>
      </w:pPr>
      <w:r>
        <w:rPr>
          <w:color w:val="211F1F"/>
          <w:spacing w:val="-2"/>
        </w:rPr>
        <w:t>Declaration</w:t>
      </w:r>
      <w:r>
        <w:rPr>
          <w:color w:val="211F1F"/>
          <w:spacing w:val="-12"/>
        </w:rPr>
        <w:t xml:space="preserve"> </w:t>
      </w:r>
      <w:r>
        <w:rPr>
          <w:color w:val="211F1F"/>
          <w:spacing w:val="-2"/>
        </w:rPr>
        <w:t>and</w:t>
      </w:r>
      <w:r>
        <w:rPr>
          <w:color w:val="211F1F"/>
          <w:spacing w:val="-14"/>
        </w:rPr>
        <w:t xml:space="preserve"> </w:t>
      </w:r>
      <w:r>
        <w:rPr>
          <w:color w:val="211F1F"/>
          <w:spacing w:val="-2"/>
        </w:rPr>
        <w:t>commitment</w:t>
      </w:r>
      <w:r>
        <w:rPr>
          <w:color w:val="211F1F"/>
          <w:spacing w:val="-5"/>
        </w:rPr>
        <w:t xml:space="preserve"> </w:t>
      </w:r>
      <w:r>
        <w:rPr>
          <w:color w:val="211F1F"/>
          <w:spacing w:val="-2"/>
        </w:rPr>
        <w:t>to</w:t>
      </w:r>
      <w:r>
        <w:rPr>
          <w:color w:val="211F1F"/>
          <w:spacing w:val="-14"/>
        </w:rPr>
        <w:t xml:space="preserve"> </w:t>
      </w:r>
      <w:r>
        <w:rPr>
          <w:color w:val="211F1F"/>
          <w:spacing w:val="-2"/>
        </w:rPr>
        <w:t>the</w:t>
      </w:r>
      <w:r>
        <w:rPr>
          <w:color w:val="211F1F"/>
          <w:spacing w:val="-15"/>
        </w:rPr>
        <w:t xml:space="preserve"> </w:t>
      </w:r>
      <w:r>
        <w:rPr>
          <w:color w:val="211F1F"/>
          <w:spacing w:val="-2"/>
        </w:rPr>
        <w:t>Code</w:t>
      </w:r>
      <w:r>
        <w:rPr>
          <w:color w:val="211F1F"/>
          <w:spacing w:val="-10"/>
        </w:rPr>
        <w:t xml:space="preserve"> </w:t>
      </w:r>
      <w:r>
        <w:rPr>
          <w:color w:val="211F1F"/>
          <w:spacing w:val="-2"/>
        </w:rPr>
        <w:t>of</w:t>
      </w:r>
      <w:r>
        <w:rPr>
          <w:color w:val="211F1F"/>
          <w:spacing w:val="-10"/>
        </w:rPr>
        <w:t xml:space="preserve"> </w:t>
      </w:r>
      <w:r>
        <w:rPr>
          <w:color w:val="211F1F"/>
          <w:spacing w:val="-2"/>
        </w:rPr>
        <w:t>Ethics</w:t>
      </w:r>
      <w:r>
        <w:rPr>
          <w:color w:val="211F1F"/>
          <w:spacing w:val="-6"/>
        </w:rPr>
        <w:t xml:space="preserve"> </w:t>
      </w:r>
      <w:r>
        <w:rPr>
          <w:color w:val="211F1F"/>
          <w:spacing w:val="-2"/>
        </w:rPr>
        <w:t>for</w:t>
      </w:r>
      <w:r>
        <w:rPr>
          <w:color w:val="211F1F"/>
          <w:spacing w:val="-3"/>
        </w:rPr>
        <w:t xml:space="preserve"> </w:t>
      </w:r>
      <w:r>
        <w:rPr>
          <w:color w:val="211F1F"/>
          <w:spacing w:val="-2"/>
        </w:rPr>
        <w:t>Persons</w:t>
      </w:r>
      <w:r>
        <w:rPr>
          <w:color w:val="211F1F"/>
          <w:spacing w:val="-6"/>
        </w:rPr>
        <w:t xml:space="preserve"> </w:t>
      </w:r>
      <w:r>
        <w:rPr>
          <w:color w:val="211F1F"/>
          <w:spacing w:val="-2"/>
        </w:rPr>
        <w:t>Participating</w:t>
      </w:r>
      <w:r>
        <w:rPr>
          <w:color w:val="211F1F"/>
          <w:spacing w:val="-11"/>
        </w:rPr>
        <w:t xml:space="preserve"> </w:t>
      </w:r>
      <w:r>
        <w:rPr>
          <w:color w:val="211F1F"/>
          <w:spacing w:val="-2"/>
        </w:rPr>
        <w:t>in</w:t>
      </w:r>
      <w:r>
        <w:rPr>
          <w:color w:val="211F1F"/>
          <w:spacing w:val="-14"/>
        </w:rPr>
        <w:t xml:space="preserve"> </w:t>
      </w:r>
      <w:r>
        <w:rPr>
          <w:color w:val="211F1F"/>
          <w:spacing w:val="-2"/>
        </w:rPr>
        <w:t>Public</w:t>
      </w:r>
      <w:r>
        <w:rPr>
          <w:color w:val="211F1F"/>
          <w:spacing w:val="-10"/>
        </w:rPr>
        <w:t xml:space="preserve"> </w:t>
      </w:r>
      <w:r>
        <w:rPr>
          <w:color w:val="211F1F"/>
          <w:spacing w:val="-2"/>
        </w:rPr>
        <w:t xml:space="preserve">Procurement </w:t>
      </w:r>
      <w:r>
        <w:rPr>
          <w:color w:val="211F1F"/>
        </w:rPr>
        <w:t>and</w:t>
      </w:r>
      <w:r>
        <w:rPr>
          <w:color w:val="211F1F"/>
          <w:spacing w:val="-22"/>
        </w:rPr>
        <w:t xml:space="preserve"> </w:t>
      </w:r>
      <w:r>
        <w:rPr>
          <w:color w:val="211F1F"/>
        </w:rPr>
        <w:t>Asset Disposal</w:t>
      </w:r>
    </w:p>
    <w:p w14:paraId="31332F05" w14:textId="77777777" w:rsidR="00BB77C0" w:rsidRDefault="00370BAA">
      <w:pPr>
        <w:pStyle w:val="BodyText"/>
        <w:spacing w:before="236" w:line="232" w:lineRule="auto"/>
        <w:ind w:left="1051" w:right="587"/>
      </w:pPr>
      <w:r>
        <w:rPr>
          <w:color w:val="211F1F"/>
        </w:rPr>
        <w:t>Further, we</w:t>
      </w:r>
      <w:r>
        <w:rPr>
          <w:color w:val="211F1F"/>
          <w:spacing w:val="-11"/>
        </w:rPr>
        <w:t xml:space="preserve"> </w:t>
      </w:r>
      <w:r>
        <w:rPr>
          <w:color w:val="211F1F"/>
        </w:rPr>
        <w:t>confirm</w:t>
      </w:r>
      <w:r>
        <w:rPr>
          <w:color w:val="211F1F"/>
          <w:spacing w:val="-11"/>
        </w:rPr>
        <w:t xml:space="preserve"> </w:t>
      </w:r>
      <w:r>
        <w:rPr>
          <w:color w:val="211F1F"/>
        </w:rPr>
        <w:t>that we</w:t>
      </w:r>
      <w:r>
        <w:rPr>
          <w:color w:val="211F1F"/>
          <w:spacing w:val="-11"/>
        </w:rPr>
        <w:t xml:space="preserve"> </w:t>
      </w:r>
      <w:r>
        <w:rPr>
          <w:color w:val="211F1F"/>
        </w:rPr>
        <w:t>have</w:t>
      </w:r>
      <w:r>
        <w:rPr>
          <w:color w:val="211F1F"/>
          <w:spacing w:val="-10"/>
        </w:rPr>
        <w:t xml:space="preserve"> </w:t>
      </w:r>
      <w:r>
        <w:rPr>
          <w:color w:val="211F1F"/>
        </w:rPr>
        <w:t>read</w:t>
      </w:r>
      <w:r>
        <w:rPr>
          <w:color w:val="211F1F"/>
          <w:spacing w:val="-8"/>
        </w:rPr>
        <w:t xml:space="preserve"> </w:t>
      </w:r>
      <w:r>
        <w:rPr>
          <w:color w:val="211F1F"/>
        </w:rPr>
        <w:t>and</w:t>
      </w:r>
      <w:r>
        <w:rPr>
          <w:color w:val="211F1F"/>
          <w:spacing w:val="-8"/>
        </w:rPr>
        <w:t xml:space="preserve"> </w:t>
      </w:r>
      <w:r>
        <w:rPr>
          <w:color w:val="211F1F"/>
        </w:rPr>
        <w:t>understood</w:t>
      </w:r>
      <w:r>
        <w:rPr>
          <w:color w:val="211F1F"/>
          <w:spacing w:val="-7"/>
        </w:rPr>
        <w:t xml:space="preserve"> </w:t>
      </w:r>
      <w:r>
        <w:rPr>
          <w:color w:val="211F1F"/>
        </w:rPr>
        <w:t>the</w:t>
      </w:r>
      <w:r>
        <w:rPr>
          <w:color w:val="211F1F"/>
          <w:spacing w:val="-10"/>
        </w:rPr>
        <w:t xml:space="preserve"> </w:t>
      </w:r>
      <w:r>
        <w:rPr>
          <w:color w:val="211F1F"/>
        </w:rPr>
        <w:t>full</w:t>
      </w:r>
      <w:r>
        <w:rPr>
          <w:color w:val="211F1F"/>
          <w:spacing w:val="-7"/>
        </w:rPr>
        <w:t xml:space="preserve"> </w:t>
      </w:r>
      <w:r>
        <w:rPr>
          <w:color w:val="211F1F"/>
        </w:rPr>
        <w:t>content and</w:t>
      </w:r>
      <w:r>
        <w:rPr>
          <w:color w:val="211F1F"/>
          <w:spacing w:val="-8"/>
        </w:rPr>
        <w:t xml:space="preserve"> </w:t>
      </w:r>
      <w:r>
        <w:rPr>
          <w:color w:val="211F1F"/>
        </w:rPr>
        <w:t>scope</w:t>
      </w:r>
      <w:r>
        <w:rPr>
          <w:color w:val="211F1F"/>
          <w:spacing w:val="-5"/>
        </w:rPr>
        <w:t xml:space="preserve"> </w:t>
      </w:r>
      <w:r>
        <w:rPr>
          <w:color w:val="211F1F"/>
        </w:rPr>
        <w:t>of</w:t>
      </w:r>
      <w:r>
        <w:rPr>
          <w:color w:val="211F1F"/>
          <w:spacing w:val="-5"/>
        </w:rPr>
        <w:t xml:space="preserve"> </w:t>
      </w:r>
      <w:r>
        <w:rPr>
          <w:color w:val="211F1F"/>
        </w:rPr>
        <w:t>fraud</w:t>
      </w:r>
      <w:r>
        <w:rPr>
          <w:color w:val="211F1F"/>
          <w:spacing w:val="-8"/>
        </w:rPr>
        <w:t xml:space="preserve"> </w:t>
      </w:r>
      <w:r>
        <w:rPr>
          <w:color w:val="211F1F"/>
        </w:rPr>
        <w:t>and</w:t>
      </w:r>
      <w:r>
        <w:rPr>
          <w:color w:val="211F1F"/>
          <w:spacing w:val="-8"/>
        </w:rPr>
        <w:t xml:space="preserve"> </w:t>
      </w:r>
      <w:r>
        <w:rPr>
          <w:color w:val="211F1F"/>
        </w:rPr>
        <w:t>corruption</w:t>
      </w:r>
      <w:r>
        <w:rPr>
          <w:color w:val="211F1F"/>
          <w:spacing w:val="-7"/>
        </w:rPr>
        <w:t xml:space="preserve"> </w:t>
      </w:r>
      <w:r>
        <w:rPr>
          <w:color w:val="211F1F"/>
        </w:rPr>
        <w:t>as informed</w:t>
      </w:r>
      <w:r>
        <w:rPr>
          <w:color w:val="211F1F"/>
          <w:spacing w:val="-1"/>
        </w:rPr>
        <w:t xml:space="preserve"> </w:t>
      </w:r>
      <w:r>
        <w:rPr>
          <w:color w:val="211F1F"/>
        </w:rPr>
        <w:t xml:space="preserve">in </w:t>
      </w:r>
      <w:r>
        <w:rPr>
          <w:b/>
          <w:color w:val="211F1F"/>
        </w:rPr>
        <w:t>“Appendix 1- Fraud and Corruption</w:t>
      </w:r>
      <w:r>
        <w:rPr>
          <w:color w:val="211F1F"/>
        </w:rPr>
        <w:t>” attached to the Form of Tender.</w:t>
      </w:r>
    </w:p>
    <w:p w14:paraId="139F91D6" w14:textId="77777777" w:rsidR="00BB77C0" w:rsidRDefault="00370BAA">
      <w:pPr>
        <w:spacing w:before="228"/>
        <w:ind w:left="1051"/>
      </w:pPr>
      <w:r>
        <w:rPr>
          <w:b/>
          <w:color w:val="211F1F"/>
        </w:rPr>
        <w:t>Name</w:t>
      </w:r>
      <w:r>
        <w:rPr>
          <w:b/>
          <w:color w:val="211F1F"/>
          <w:spacing w:val="-10"/>
        </w:rPr>
        <w:t xml:space="preserve"> </w:t>
      </w:r>
      <w:r>
        <w:rPr>
          <w:b/>
          <w:color w:val="211F1F"/>
        </w:rPr>
        <w:t>of</w:t>
      </w:r>
      <w:r>
        <w:rPr>
          <w:b/>
          <w:color w:val="211F1F"/>
          <w:spacing w:val="-11"/>
        </w:rPr>
        <w:t xml:space="preserve"> </w:t>
      </w:r>
      <w:r>
        <w:rPr>
          <w:b/>
          <w:color w:val="211F1F"/>
        </w:rPr>
        <w:t>the</w:t>
      </w:r>
      <w:r>
        <w:rPr>
          <w:b/>
          <w:color w:val="211F1F"/>
          <w:spacing w:val="-7"/>
        </w:rPr>
        <w:t xml:space="preserve"> </w:t>
      </w:r>
      <w:r>
        <w:rPr>
          <w:b/>
          <w:color w:val="211F1F"/>
        </w:rPr>
        <w:t>Tenderer:</w:t>
      </w:r>
      <w:r>
        <w:rPr>
          <w:b/>
          <w:color w:val="211F1F"/>
          <w:spacing w:val="-2"/>
        </w:rPr>
        <w:t xml:space="preserve"> </w:t>
      </w:r>
      <w:r>
        <w:rPr>
          <w:color w:val="211F1F"/>
        </w:rPr>
        <w:t>*[</w:t>
      </w:r>
      <w:r>
        <w:rPr>
          <w:i/>
          <w:color w:val="211F1F"/>
        </w:rPr>
        <w:t>insert</w:t>
      </w:r>
      <w:r>
        <w:rPr>
          <w:i/>
          <w:color w:val="211F1F"/>
          <w:spacing w:val="-3"/>
        </w:rPr>
        <w:t xml:space="preserve"> </w:t>
      </w:r>
      <w:r>
        <w:rPr>
          <w:i/>
          <w:color w:val="211F1F"/>
        </w:rPr>
        <w:t>complete</w:t>
      </w:r>
      <w:r>
        <w:rPr>
          <w:i/>
          <w:color w:val="211F1F"/>
          <w:spacing w:val="-7"/>
        </w:rPr>
        <w:t xml:space="preserve"> </w:t>
      </w:r>
      <w:r>
        <w:rPr>
          <w:i/>
          <w:color w:val="211F1F"/>
        </w:rPr>
        <w:t>name</w:t>
      </w:r>
      <w:r>
        <w:rPr>
          <w:i/>
          <w:color w:val="211F1F"/>
          <w:spacing w:val="-7"/>
        </w:rPr>
        <w:t xml:space="preserve"> </w:t>
      </w:r>
      <w:r>
        <w:rPr>
          <w:i/>
          <w:color w:val="211F1F"/>
        </w:rPr>
        <w:t>of</w:t>
      </w:r>
      <w:r>
        <w:rPr>
          <w:i/>
          <w:color w:val="211F1F"/>
          <w:spacing w:val="-6"/>
        </w:rPr>
        <w:t xml:space="preserve"> </w:t>
      </w:r>
      <w:r>
        <w:rPr>
          <w:i/>
          <w:color w:val="211F1F"/>
        </w:rPr>
        <w:t>person</w:t>
      </w:r>
      <w:r>
        <w:rPr>
          <w:i/>
          <w:color w:val="211F1F"/>
          <w:spacing w:val="-5"/>
        </w:rPr>
        <w:t xml:space="preserve"> </w:t>
      </w:r>
      <w:r>
        <w:rPr>
          <w:i/>
          <w:color w:val="211F1F"/>
        </w:rPr>
        <w:t>signing</w:t>
      </w:r>
      <w:r>
        <w:rPr>
          <w:i/>
          <w:color w:val="211F1F"/>
          <w:spacing w:val="-10"/>
        </w:rPr>
        <w:t xml:space="preserve"> </w:t>
      </w:r>
      <w:r>
        <w:rPr>
          <w:i/>
          <w:color w:val="211F1F"/>
        </w:rPr>
        <w:t>the</w:t>
      </w:r>
      <w:r>
        <w:rPr>
          <w:i/>
          <w:color w:val="211F1F"/>
          <w:spacing w:val="-11"/>
        </w:rPr>
        <w:t xml:space="preserve"> </w:t>
      </w:r>
      <w:r>
        <w:rPr>
          <w:i/>
          <w:color w:val="211F1F"/>
          <w:spacing w:val="-2"/>
        </w:rPr>
        <w:t>Tender</w:t>
      </w:r>
      <w:r>
        <w:rPr>
          <w:color w:val="211F1F"/>
          <w:spacing w:val="-2"/>
        </w:rPr>
        <w:t>]</w:t>
      </w:r>
    </w:p>
    <w:p w14:paraId="6BAA6900" w14:textId="77777777" w:rsidR="00BB77C0" w:rsidRDefault="00370BAA">
      <w:pPr>
        <w:spacing w:before="243" w:line="232" w:lineRule="auto"/>
        <w:ind w:left="1051" w:right="901"/>
      </w:pPr>
      <w:r>
        <w:rPr>
          <w:b/>
          <w:color w:val="211F1F"/>
          <w:spacing w:val="-2"/>
        </w:rPr>
        <w:t>Name</w:t>
      </w:r>
      <w:r>
        <w:rPr>
          <w:b/>
          <w:color w:val="211F1F"/>
          <w:spacing w:val="-5"/>
        </w:rPr>
        <w:t xml:space="preserve"> </w:t>
      </w:r>
      <w:r>
        <w:rPr>
          <w:b/>
          <w:color w:val="211F1F"/>
          <w:spacing w:val="-2"/>
        </w:rPr>
        <w:t>of</w:t>
      </w:r>
      <w:r>
        <w:rPr>
          <w:b/>
          <w:color w:val="211F1F"/>
          <w:spacing w:val="-10"/>
        </w:rPr>
        <w:t xml:space="preserve"> </w:t>
      </w:r>
      <w:r>
        <w:rPr>
          <w:b/>
          <w:color w:val="211F1F"/>
          <w:spacing w:val="-2"/>
        </w:rPr>
        <w:t>the</w:t>
      </w:r>
      <w:r>
        <w:rPr>
          <w:b/>
          <w:color w:val="211F1F"/>
          <w:spacing w:val="-6"/>
        </w:rPr>
        <w:t xml:space="preserve"> </w:t>
      </w:r>
      <w:r>
        <w:rPr>
          <w:b/>
          <w:color w:val="211F1F"/>
          <w:spacing w:val="-2"/>
        </w:rPr>
        <w:t>person</w:t>
      </w:r>
      <w:r>
        <w:rPr>
          <w:b/>
          <w:color w:val="211F1F"/>
          <w:spacing w:val="-10"/>
        </w:rPr>
        <w:t xml:space="preserve"> </w:t>
      </w:r>
      <w:r>
        <w:rPr>
          <w:b/>
          <w:color w:val="211F1F"/>
          <w:spacing w:val="-2"/>
        </w:rPr>
        <w:t>duly</w:t>
      </w:r>
      <w:r>
        <w:rPr>
          <w:b/>
          <w:color w:val="211F1F"/>
          <w:spacing w:val="-4"/>
        </w:rPr>
        <w:t xml:space="preserve"> </w:t>
      </w:r>
      <w:r>
        <w:rPr>
          <w:b/>
          <w:color w:val="211F1F"/>
          <w:spacing w:val="-2"/>
        </w:rPr>
        <w:t>authorized</w:t>
      </w:r>
      <w:r>
        <w:rPr>
          <w:b/>
          <w:color w:val="211F1F"/>
          <w:spacing w:val="-6"/>
        </w:rPr>
        <w:t xml:space="preserve"> </w:t>
      </w:r>
      <w:r>
        <w:rPr>
          <w:b/>
          <w:color w:val="211F1F"/>
          <w:spacing w:val="-2"/>
        </w:rPr>
        <w:t>to</w:t>
      </w:r>
      <w:r>
        <w:rPr>
          <w:b/>
          <w:color w:val="211F1F"/>
          <w:spacing w:val="-8"/>
        </w:rPr>
        <w:t xml:space="preserve"> </w:t>
      </w:r>
      <w:r>
        <w:rPr>
          <w:b/>
          <w:color w:val="211F1F"/>
          <w:spacing w:val="-2"/>
        </w:rPr>
        <w:t>sign</w:t>
      </w:r>
      <w:r>
        <w:rPr>
          <w:b/>
          <w:color w:val="211F1F"/>
          <w:spacing w:val="-11"/>
        </w:rPr>
        <w:t xml:space="preserve"> </w:t>
      </w:r>
      <w:r>
        <w:rPr>
          <w:b/>
          <w:color w:val="211F1F"/>
          <w:spacing w:val="-2"/>
        </w:rPr>
        <w:t>the</w:t>
      </w:r>
      <w:r>
        <w:rPr>
          <w:b/>
          <w:color w:val="211F1F"/>
          <w:spacing w:val="-11"/>
        </w:rPr>
        <w:t xml:space="preserve"> </w:t>
      </w:r>
      <w:r>
        <w:rPr>
          <w:b/>
          <w:color w:val="211F1F"/>
          <w:spacing w:val="-2"/>
        </w:rPr>
        <w:t>Tender</w:t>
      </w:r>
      <w:r>
        <w:rPr>
          <w:b/>
          <w:color w:val="211F1F"/>
          <w:spacing w:val="-14"/>
        </w:rPr>
        <w:t xml:space="preserve"> </w:t>
      </w:r>
      <w:r>
        <w:rPr>
          <w:b/>
          <w:color w:val="211F1F"/>
          <w:spacing w:val="-2"/>
        </w:rPr>
        <w:t>on</w:t>
      </w:r>
      <w:r>
        <w:rPr>
          <w:b/>
          <w:color w:val="211F1F"/>
          <w:spacing w:val="-11"/>
        </w:rPr>
        <w:t xml:space="preserve"> </w:t>
      </w:r>
      <w:r>
        <w:rPr>
          <w:b/>
          <w:color w:val="211F1F"/>
          <w:spacing w:val="-2"/>
        </w:rPr>
        <w:t>behalf</w:t>
      </w:r>
      <w:r>
        <w:rPr>
          <w:b/>
          <w:color w:val="211F1F"/>
          <w:spacing w:val="-10"/>
        </w:rPr>
        <w:t xml:space="preserve"> </w:t>
      </w:r>
      <w:r>
        <w:rPr>
          <w:b/>
          <w:color w:val="211F1F"/>
          <w:spacing w:val="-2"/>
        </w:rPr>
        <w:t>of</w:t>
      </w:r>
      <w:r>
        <w:rPr>
          <w:b/>
          <w:color w:val="211F1F"/>
          <w:spacing w:val="-10"/>
        </w:rPr>
        <w:t xml:space="preserve"> </w:t>
      </w:r>
      <w:r>
        <w:rPr>
          <w:b/>
          <w:color w:val="211F1F"/>
          <w:spacing w:val="-2"/>
        </w:rPr>
        <w:t>the</w:t>
      </w:r>
      <w:r>
        <w:rPr>
          <w:b/>
          <w:color w:val="211F1F"/>
          <w:spacing w:val="-10"/>
        </w:rPr>
        <w:t xml:space="preserve"> </w:t>
      </w:r>
      <w:r>
        <w:rPr>
          <w:b/>
          <w:color w:val="211F1F"/>
          <w:spacing w:val="-2"/>
        </w:rPr>
        <w:t>Tenderer:</w:t>
      </w:r>
      <w:r>
        <w:rPr>
          <w:b/>
          <w:color w:val="211F1F"/>
          <w:spacing w:val="-10"/>
        </w:rPr>
        <w:t xml:space="preserve"> </w:t>
      </w:r>
      <w:r>
        <w:rPr>
          <w:color w:val="211F1F"/>
          <w:spacing w:val="-2"/>
        </w:rPr>
        <w:t>**[</w:t>
      </w:r>
      <w:r>
        <w:rPr>
          <w:i/>
          <w:color w:val="211F1F"/>
          <w:spacing w:val="-2"/>
        </w:rPr>
        <w:t>insert</w:t>
      </w:r>
      <w:r>
        <w:rPr>
          <w:i/>
          <w:color w:val="211F1F"/>
          <w:spacing w:val="-7"/>
        </w:rPr>
        <w:t xml:space="preserve"> </w:t>
      </w:r>
      <w:r>
        <w:rPr>
          <w:i/>
          <w:color w:val="211F1F"/>
          <w:spacing w:val="-2"/>
        </w:rPr>
        <w:t>complete</w:t>
      </w:r>
      <w:r>
        <w:rPr>
          <w:i/>
          <w:color w:val="211F1F"/>
          <w:spacing w:val="-9"/>
        </w:rPr>
        <w:t xml:space="preserve"> </w:t>
      </w:r>
      <w:r>
        <w:rPr>
          <w:i/>
          <w:color w:val="211F1F"/>
          <w:spacing w:val="-2"/>
        </w:rPr>
        <w:t xml:space="preserve">name </w:t>
      </w:r>
      <w:r>
        <w:rPr>
          <w:i/>
          <w:color w:val="211F1F"/>
        </w:rPr>
        <w:t>of person duly authorized to sign the Tender</w:t>
      </w:r>
      <w:r>
        <w:rPr>
          <w:color w:val="211F1F"/>
        </w:rPr>
        <w:t>]</w:t>
      </w:r>
    </w:p>
    <w:p w14:paraId="038B0FED" w14:textId="77777777" w:rsidR="00BB77C0" w:rsidRDefault="00370BAA">
      <w:pPr>
        <w:spacing w:before="238"/>
        <w:ind w:left="1051"/>
      </w:pPr>
      <w:r>
        <w:rPr>
          <w:b/>
          <w:color w:val="211F1F"/>
          <w:spacing w:val="-2"/>
        </w:rPr>
        <w:t>Title</w:t>
      </w:r>
      <w:r>
        <w:rPr>
          <w:b/>
          <w:color w:val="211F1F"/>
          <w:spacing w:val="-20"/>
        </w:rPr>
        <w:t xml:space="preserve"> </w:t>
      </w:r>
      <w:r>
        <w:rPr>
          <w:b/>
          <w:color w:val="211F1F"/>
          <w:spacing w:val="-2"/>
        </w:rPr>
        <w:t>of</w:t>
      </w:r>
      <w:r>
        <w:rPr>
          <w:b/>
          <w:color w:val="211F1F"/>
          <w:spacing w:val="-22"/>
        </w:rPr>
        <w:t xml:space="preserve"> </w:t>
      </w:r>
      <w:r>
        <w:rPr>
          <w:b/>
          <w:color w:val="211F1F"/>
          <w:spacing w:val="-2"/>
        </w:rPr>
        <w:t>the</w:t>
      </w:r>
      <w:r>
        <w:rPr>
          <w:b/>
          <w:color w:val="211F1F"/>
          <w:spacing w:val="-18"/>
        </w:rPr>
        <w:t xml:space="preserve"> </w:t>
      </w:r>
      <w:r>
        <w:rPr>
          <w:b/>
          <w:color w:val="211F1F"/>
          <w:spacing w:val="-2"/>
        </w:rPr>
        <w:t>person</w:t>
      </w:r>
      <w:r>
        <w:rPr>
          <w:b/>
          <w:color w:val="211F1F"/>
          <w:spacing w:val="-19"/>
        </w:rPr>
        <w:t xml:space="preserve"> </w:t>
      </w:r>
      <w:r>
        <w:rPr>
          <w:b/>
          <w:color w:val="211F1F"/>
          <w:spacing w:val="-2"/>
        </w:rPr>
        <w:t>signing</w:t>
      </w:r>
      <w:r>
        <w:rPr>
          <w:b/>
          <w:color w:val="211F1F"/>
          <w:spacing w:val="-16"/>
        </w:rPr>
        <w:t xml:space="preserve"> </w:t>
      </w:r>
      <w:r>
        <w:rPr>
          <w:b/>
          <w:color w:val="211F1F"/>
          <w:spacing w:val="-2"/>
        </w:rPr>
        <w:t>the</w:t>
      </w:r>
      <w:r>
        <w:rPr>
          <w:b/>
          <w:color w:val="211F1F"/>
          <w:spacing w:val="-18"/>
        </w:rPr>
        <w:t xml:space="preserve"> </w:t>
      </w:r>
      <w:r>
        <w:rPr>
          <w:b/>
          <w:color w:val="211F1F"/>
          <w:spacing w:val="-2"/>
        </w:rPr>
        <w:t>Tender</w:t>
      </w:r>
      <w:r>
        <w:rPr>
          <w:color w:val="211F1F"/>
          <w:spacing w:val="-2"/>
        </w:rPr>
        <w:t>:</w:t>
      </w:r>
      <w:r>
        <w:rPr>
          <w:color w:val="211F1F"/>
          <w:spacing w:val="-25"/>
        </w:rPr>
        <w:t xml:space="preserve"> </w:t>
      </w:r>
      <w:r>
        <w:rPr>
          <w:color w:val="211F1F"/>
          <w:spacing w:val="-2"/>
        </w:rPr>
        <w:t>[</w:t>
      </w:r>
      <w:r>
        <w:rPr>
          <w:i/>
          <w:color w:val="211F1F"/>
          <w:spacing w:val="-2"/>
        </w:rPr>
        <w:t>insert</w:t>
      </w:r>
      <w:r>
        <w:rPr>
          <w:i/>
          <w:color w:val="211F1F"/>
          <w:spacing w:val="-15"/>
        </w:rPr>
        <w:t xml:space="preserve"> </w:t>
      </w:r>
      <w:r>
        <w:rPr>
          <w:i/>
          <w:color w:val="211F1F"/>
          <w:spacing w:val="-2"/>
        </w:rPr>
        <w:t>completetitle</w:t>
      </w:r>
      <w:r>
        <w:rPr>
          <w:i/>
          <w:color w:val="211F1F"/>
          <w:spacing w:val="-23"/>
        </w:rPr>
        <w:t xml:space="preserve"> </w:t>
      </w:r>
      <w:r>
        <w:rPr>
          <w:i/>
          <w:color w:val="211F1F"/>
          <w:spacing w:val="-2"/>
        </w:rPr>
        <w:t>of</w:t>
      </w:r>
      <w:r>
        <w:rPr>
          <w:i/>
          <w:color w:val="211F1F"/>
          <w:spacing w:val="-15"/>
        </w:rPr>
        <w:t xml:space="preserve"> </w:t>
      </w:r>
      <w:r>
        <w:rPr>
          <w:i/>
          <w:color w:val="211F1F"/>
          <w:spacing w:val="-2"/>
        </w:rPr>
        <w:t>the</w:t>
      </w:r>
      <w:r>
        <w:rPr>
          <w:i/>
          <w:color w:val="211F1F"/>
          <w:spacing w:val="-23"/>
        </w:rPr>
        <w:t xml:space="preserve"> </w:t>
      </w:r>
      <w:r>
        <w:rPr>
          <w:i/>
          <w:color w:val="211F1F"/>
          <w:spacing w:val="-2"/>
        </w:rPr>
        <w:t>person</w:t>
      </w:r>
      <w:r>
        <w:rPr>
          <w:i/>
          <w:color w:val="211F1F"/>
          <w:spacing w:val="-21"/>
        </w:rPr>
        <w:t xml:space="preserve"> </w:t>
      </w:r>
      <w:r>
        <w:rPr>
          <w:i/>
          <w:color w:val="211F1F"/>
          <w:spacing w:val="-2"/>
        </w:rPr>
        <w:t>signing</w:t>
      </w:r>
      <w:r>
        <w:rPr>
          <w:i/>
          <w:color w:val="211F1F"/>
          <w:spacing w:val="-21"/>
        </w:rPr>
        <w:t xml:space="preserve"> </w:t>
      </w:r>
      <w:r>
        <w:rPr>
          <w:i/>
          <w:color w:val="211F1F"/>
          <w:spacing w:val="-2"/>
        </w:rPr>
        <w:t>the</w:t>
      </w:r>
      <w:r>
        <w:rPr>
          <w:i/>
          <w:color w:val="211F1F"/>
          <w:spacing w:val="-23"/>
        </w:rPr>
        <w:t xml:space="preserve"> </w:t>
      </w:r>
      <w:r>
        <w:rPr>
          <w:i/>
          <w:color w:val="211F1F"/>
          <w:spacing w:val="-2"/>
        </w:rPr>
        <w:t>Tender</w:t>
      </w:r>
      <w:r>
        <w:rPr>
          <w:color w:val="211F1F"/>
          <w:spacing w:val="-2"/>
        </w:rPr>
        <w:t>]</w:t>
      </w:r>
    </w:p>
    <w:p w14:paraId="08EEB25F" w14:textId="77777777" w:rsidR="00BB77C0" w:rsidRDefault="00370BAA">
      <w:pPr>
        <w:spacing w:before="232" w:line="465" w:lineRule="auto"/>
        <w:ind w:left="1051" w:right="901"/>
      </w:pPr>
      <w:r>
        <w:rPr>
          <w:b/>
          <w:color w:val="211F1F"/>
        </w:rPr>
        <w:t>Signature</w:t>
      </w:r>
      <w:r>
        <w:rPr>
          <w:b/>
          <w:color w:val="211F1F"/>
          <w:spacing w:val="-23"/>
        </w:rPr>
        <w:t xml:space="preserve"> </w:t>
      </w:r>
      <w:r>
        <w:rPr>
          <w:b/>
          <w:color w:val="211F1F"/>
        </w:rPr>
        <w:t>of</w:t>
      </w:r>
      <w:r>
        <w:rPr>
          <w:b/>
          <w:color w:val="211F1F"/>
          <w:spacing w:val="-14"/>
        </w:rPr>
        <w:t xml:space="preserve"> </w:t>
      </w:r>
      <w:r>
        <w:rPr>
          <w:b/>
          <w:color w:val="211F1F"/>
        </w:rPr>
        <w:t>the</w:t>
      </w:r>
      <w:r>
        <w:rPr>
          <w:b/>
          <w:color w:val="211F1F"/>
          <w:spacing w:val="-3"/>
        </w:rPr>
        <w:t xml:space="preserve"> </w:t>
      </w:r>
      <w:r>
        <w:rPr>
          <w:b/>
          <w:color w:val="211F1F"/>
        </w:rPr>
        <w:t>person</w:t>
      </w:r>
      <w:r>
        <w:rPr>
          <w:b/>
          <w:color w:val="211F1F"/>
          <w:spacing w:val="-8"/>
        </w:rPr>
        <w:t xml:space="preserve"> </w:t>
      </w:r>
      <w:r>
        <w:rPr>
          <w:b/>
          <w:color w:val="211F1F"/>
        </w:rPr>
        <w:t>named</w:t>
      </w:r>
      <w:r>
        <w:rPr>
          <w:b/>
          <w:color w:val="211F1F"/>
          <w:spacing w:val="-3"/>
        </w:rPr>
        <w:t xml:space="preserve"> </w:t>
      </w:r>
      <w:r>
        <w:rPr>
          <w:b/>
          <w:color w:val="211F1F"/>
        </w:rPr>
        <w:t>above</w:t>
      </w:r>
      <w:r>
        <w:rPr>
          <w:color w:val="211F1F"/>
        </w:rPr>
        <w:t>:</w:t>
      </w:r>
      <w:r>
        <w:rPr>
          <w:color w:val="211F1F"/>
          <w:spacing w:val="-5"/>
        </w:rPr>
        <w:t xml:space="preserve"> </w:t>
      </w:r>
      <w:r>
        <w:rPr>
          <w:color w:val="211F1F"/>
        </w:rPr>
        <w:t>[</w:t>
      </w:r>
      <w:r>
        <w:rPr>
          <w:i/>
          <w:color w:val="211F1F"/>
        </w:rPr>
        <w:t>insert</w:t>
      </w:r>
      <w:r>
        <w:rPr>
          <w:i/>
          <w:color w:val="211F1F"/>
          <w:spacing w:val="-4"/>
        </w:rPr>
        <w:t xml:space="preserve"> </w:t>
      </w:r>
      <w:r>
        <w:rPr>
          <w:i/>
          <w:color w:val="211F1F"/>
        </w:rPr>
        <w:t>signature</w:t>
      </w:r>
      <w:r>
        <w:rPr>
          <w:i/>
          <w:color w:val="211F1F"/>
          <w:spacing w:val="-2"/>
        </w:rPr>
        <w:t xml:space="preserve"> </w:t>
      </w:r>
      <w:r>
        <w:rPr>
          <w:i/>
          <w:color w:val="211F1F"/>
        </w:rPr>
        <w:t>of</w:t>
      </w:r>
      <w:r>
        <w:rPr>
          <w:i/>
          <w:color w:val="211F1F"/>
          <w:spacing w:val="-4"/>
        </w:rPr>
        <w:t xml:space="preserve"> </w:t>
      </w:r>
      <w:r>
        <w:rPr>
          <w:i/>
          <w:color w:val="211F1F"/>
        </w:rPr>
        <w:t>person</w:t>
      </w:r>
      <w:r>
        <w:rPr>
          <w:i/>
          <w:color w:val="211F1F"/>
          <w:spacing w:val="-6"/>
        </w:rPr>
        <w:t xml:space="preserve"> </w:t>
      </w:r>
      <w:r>
        <w:rPr>
          <w:i/>
          <w:color w:val="211F1F"/>
        </w:rPr>
        <w:t>whose</w:t>
      </w:r>
      <w:r>
        <w:rPr>
          <w:i/>
          <w:color w:val="211F1F"/>
          <w:spacing w:val="-2"/>
        </w:rPr>
        <w:t xml:space="preserve"> </w:t>
      </w:r>
      <w:r>
        <w:rPr>
          <w:i/>
          <w:color w:val="211F1F"/>
        </w:rPr>
        <w:t>name</w:t>
      </w:r>
      <w:r>
        <w:rPr>
          <w:i/>
          <w:color w:val="211F1F"/>
          <w:spacing w:val="-8"/>
        </w:rPr>
        <w:t xml:space="preserve"> </w:t>
      </w:r>
      <w:r>
        <w:rPr>
          <w:i/>
          <w:color w:val="211F1F"/>
        </w:rPr>
        <w:t>and</w:t>
      </w:r>
      <w:r>
        <w:rPr>
          <w:i/>
          <w:color w:val="211F1F"/>
          <w:spacing w:val="-6"/>
        </w:rPr>
        <w:t xml:space="preserve"> </w:t>
      </w:r>
      <w:r>
        <w:rPr>
          <w:i/>
          <w:color w:val="211F1F"/>
        </w:rPr>
        <w:t>capacity</w:t>
      </w:r>
      <w:r>
        <w:rPr>
          <w:i/>
          <w:color w:val="211F1F"/>
          <w:spacing w:val="-7"/>
        </w:rPr>
        <w:t xml:space="preserve"> </w:t>
      </w:r>
      <w:r>
        <w:rPr>
          <w:i/>
          <w:color w:val="211F1F"/>
        </w:rPr>
        <w:t>are</w:t>
      </w:r>
      <w:r>
        <w:rPr>
          <w:i/>
          <w:color w:val="211F1F"/>
          <w:spacing w:val="-12"/>
        </w:rPr>
        <w:t xml:space="preserve"> </w:t>
      </w:r>
      <w:r>
        <w:rPr>
          <w:i/>
          <w:color w:val="211F1F"/>
        </w:rPr>
        <w:t>shown above</w:t>
      </w:r>
      <w:r>
        <w:rPr>
          <w:color w:val="211F1F"/>
        </w:rPr>
        <w:t xml:space="preserve">] </w:t>
      </w:r>
      <w:r>
        <w:rPr>
          <w:b/>
          <w:color w:val="211F1F"/>
        </w:rPr>
        <w:t>Date signed</w:t>
      </w:r>
      <w:r>
        <w:rPr>
          <w:b/>
          <w:color w:val="211F1F"/>
          <w:spacing w:val="-4"/>
        </w:rPr>
        <w:t xml:space="preserve"> </w:t>
      </w:r>
      <w:r>
        <w:rPr>
          <w:color w:val="211F1F"/>
        </w:rPr>
        <w:t>[</w:t>
      </w:r>
      <w:r>
        <w:rPr>
          <w:i/>
          <w:color w:val="211F1F"/>
        </w:rPr>
        <w:t>insert date</w:t>
      </w:r>
      <w:r>
        <w:rPr>
          <w:i/>
          <w:color w:val="211F1F"/>
          <w:spacing w:val="-9"/>
        </w:rPr>
        <w:t xml:space="preserve"> </w:t>
      </w:r>
      <w:r>
        <w:rPr>
          <w:i/>
          <w:color w:val="211F1F"/>
        </w:rPr>
        <w:t>of signing</w:t>
      </w:r>
      <w:r>
        <w:rPr>
          <w:color w:val="211F1F"/>
        </w:rPr>
        <w:t>]</w:t>
      </w:r>
      <w:r>
        <w:rPr>
          <w:color w:val="211F1F"/>
          <w:spacing w:val="-4"/>
        </w:rPr>
        <w:t xml:space="preserve"> </w:t>
      </w:r>
      <w:r>
        <w:rPr>
          <w:color w:val="211F1F"/>
        </w:rPr>
        <w:t>day</w:t>
      </w:r>
      <w:r>
        <w:rPr>
          <w:color w:val="211F1F"/>
          <w:spacing w:val="-7"/>
        </w:rPr>
        <w:t xml:space="preserve"> </w:t>
      </w:r>
      <w:r>
        <w:rPr>
          <w:color w:val="211F1F"/>
        </w:rPr>
        <w:t>of</w:t>
      </w:r>
      <w:r>
        <w:rPr>
          <w:color w:val="211F1F"/>
          <w:spacing w:val="-4"/>
        </w:rPr>
        <w:t xml:space="preserve"> </w:t>
      </w:r>
      <w:r>
        <w:rPr>
          <w:color w:val="211F1F"/>
        </w:rPr>
        <w:t>[</w:t>
      </w:r>
      <w:r>
        <w:rPr>
          <w:i/>
          <w:color w:val="211F1F"/>
        </w:rPr>
        <w:t>insert month</w:t>
      </w:r>
      <w:r>
        <w:rPr>
          <w:color w:val="211F1F"/>
        </w:rPr>
        <w:t>],</w:t>
      </w:r>
      <w:r>
        <w:rPr>
          <w:color w:val="211F1F"/>
          <w:spacing w:val="-5"/>
        </w:rPr>
        <w:t xml:space="preserve"> </w:t>
      </w:r>
      <w:r>
        <w:rPr>
          <w:color w:val="211F1F"/>
        </w:rPr>
        <w:t>[</w:t>
      </w:r>
      <w:r>
        <w:rPr>
          <w:i/>
          <w:color w:val="211F1F"/>
        </w:rPr>
        <w:t>insert year</w:t>
      </w:r>
      <w:r>
        <w:rPr>
          <w:color w:val="211F1F"/>
        </w:rPr>
        <w:t>]</w:t>
      </w:r>
    </w:p>
    <w:p w14:paraId="483D8DA0" w14:textId="77777777" w:rsidR="00BB77C0" w:rsidRDefault="00370BAA">
      <w:pPr>
        <w:pStyle w:val="BodyText"/>
        <w:tabs>
          <w:tab w:val="left" w:pos="5661"/>
          <w:tab w:val="left" w:pos="8758"/>
          <w:tab w:val="left" w:pos="9649"/>
        </w:tabs>
        <w:spacing w:line="246" w:lineRule="exact"/>
        <w:ind w:left="1051"/>
      </w:pPr>
      <w:r>
        <w:rPr>
          <w:color w:val="211F1F"/>
          <w:spacing w:val="-2"/>
        </w:rPr>
        <w:t>Date</w:t>
      </w:r>
      <w:r>
        <w:rPr>
          <w:color w:val="211F1F"/>
          <w:spacing w:val="-19"/>
        </w:rPr>
        <w:t xml:space="preserve"> </w:t>
      </w:r>
      <w:r>
        <w:rPr>
          <w:color w:val="211F1F"/>
          <w:spacing w:val="-2"/>
        </w:rPr>
        <w:t>signed</w:t>
      </w:r>
      <w:r>
        <w:rPr>
          <w:color w:val="211F1F"/>
          <w:u w:val="single" w:color="201E1F"/>
        </w:rPr>
        <w:tab/>
      </w:r>
      <w:r>
        <w:rPr>
          <w:color w:val="211F1F"/>
          <w:spacing w:val="-2"/>
        </w:rPr>
        <w:t>day</w:t>
      </w:r>
      <w:r>
        <w:rPr>
          <w:color w:val="211F1F"/>
          <w:spacing w:val="-25"/>
        </w:rPr>
        <w:t xml:space="preserve"> </w:t>
      </w:r>
      <w:r>
        <w:rPr>
          <w:color w:val="211F1F"/>
          <w:spacing w:val="-5"/>
        </w:rPr>
        <w:t>of</w:t>
      </w:r>
      <w:r>
        <w:rPr>
          <w:color w:val="211F1F"/>
          <w:u w:val="single" w:color="201E1F"/>
        </w:rPr>
        <w:tab/>
      </w:r>
      <w:r>
        <w:rPr>
          <w:color w:val="211F1F"/>
        </w:rPr>
        <w:t>,</w:t>
      </w:r>
      <w:r>
        <w:rPr>
          <w:color w:val="211F1F"/>
          <w:spacing w:val="-24"/>
        </w:rPr>
        <w:t xml:space="preserve"> </w:t>
      </w:r>
      <w:r>
        <w:rPr>
          <w:color w:val="211F1F"/>
          <w:u w:val="single" w:color="201E1F"/>
        </w:rPr>
        <w:tab/>
      </w:r>
    </w:p>
    <w:p w14:paraId="7C6F05EB" w14:textId="77777777" w:rsidR="00BB77C0" w:rsidRDefault="00370BAA">
      <w:pPr>
        <w:pStyle w:val="Heading8"/>
        <w:spacing w:before="227" w:line="249" w:lineRule="exact"/>
      </w:pPr>
      <w:bookmarkStart w:id="158" w:name="Notes"/>
      <w:bookmarkEnd w:id="158"/>
      <w:r>
        <w:rPr>
          <w:color w:val="211F1F"/>
          <w:spacing w:val="-2"/>
        </w:rPr>
        <w:t>Notes</w:t>
      </w:r>
    </w:p>
    <w:p w14:paraId="4A42FD8F" w14:textId="77777777" w:rsidR="00BB77C0" w:rsidRDefault="00370BAA">
      <w:pPr>
        <w:spacing w:line="245" w:lineRule="exact"/>
        <w:ind w:left="1051"/>
        <w:rPr>
          <w:i/>
        </w:rPr>
      </w:pPr>
      <w:r>
        <w:rPr>
          <w:i/>
          <w:color w:val="211F1F"/>
        </w:rPr>
        <w:t>*</w:t>
      </w:r>
      <w:r>
        <w:rPr>
          <w:i/>
          <w:color w:val="211F1F"/>
          <w:spacing w:val="-3"/>
        </w:rPr>
        <w:t xml:space="preserve"> </w:t>
      </w:r>
      <w:r>
        <w:rPr>
          <w:i/>
          <w:color w:val="211F1F"/>
        </w:rPr>
        <w:t>In</w:t>
      </w:r>
      <w:r>
        <w:rPr>
          <w:i/>
          <w:color w:val="211F1F"/>
          <w:spacing w:val="-5"/>
        </w:rPr>
        <w:t xml:space="preserve"> </w:t>
      </w:r>
      <w:r>
        <w:rPr>
          <w:i/>
          <w:color w:val="211F1F"/>
        </w:rPr>
        <w:t>the</w:t>
      </w:r>
      <w:r>
        <w:rPr>
          <w:i/>
          <w:color w:val="211F1F"/>
          <w:spacing w:val="-6"/>
        </w:rPr>
        <w:t xml:space="preserve"> </w:t>
      </w:r>
      <w:r>
        <w:rPr>
          <w:i/>
          <w:color w:val="211F1F"/>
        </w:rPr>
        <w:t>case</w:t>
      </w:r>
      <w:r>
        <w:rPr>
          <w:i/>
          <w:color w:val="211F1F"/>
          <w:spacing w:val="-2"/>
        </w:rPr>
        <w:t xml:space="preserve"> </w:t>
      </w:r>
      <w:r>
        <w:rPr>
          <w:i/>
          <w:color w:val="211F1F"/>
        </w:rPr>
        <w:t>of</w:t>
      </w:r>
      <w:r>
        <w:rPr>
          <w:i/>
          <w:color w:val="211F1F"/>
          <w:spacing w:val="-5"/>
        </w:rPr>
        <w:t xml:space="preserve"> </w:t>
      </w:r>
      <w:r>
        <w:rPr>
          <w:i/>
          <w:color w:val="211F1F"/>
        </w:rPr>
        <w:t>the</w:t>
      </w:r>
      <w:r>
        <w:rPr>
          <w:i/>
          <w:color w:val="211F1F"/>
          <w:spacing w:val="-11"/>
        </w:rPr>
        <w:t xml:space="preserve"> </w:t>
      </w:r>
      <w:r>
        <w:rPr>
          <w:i/>
          <w:color w:val="211F1F"/>
        </w:rPr>
        <w:t>Tender</w:t>
      </w:r>
      <w:r>
        <w:rPr>
          <w:i/>
          <w:color w:val="211F1F"/>
          <w:spacing w:val="-4"/>
        </w:rPr>
        <w:t xml:space="preserve"> </w:t>
      </w:r>
      <w:r>
        <w:rPr>
          <w:i/>
          <w:color w:val="211F1F"/>
        </w:rPr>
        <w:t>submitted by</w:t>
      </w:r>
      <w:r>
        <w:rPr>
          <w:i/>
          <w:color w:val="211F1F"/>
          <w:spacing w:val="-11"/>
        </w:rPr>
        <w:t xml:space="preserve"> </w:t>
      </w:r>
      <w:r>
        <w:rPr>
          <w:i/>
          <w:color w:val="211F1F"/>
        </w:rPr>
        <w:t>joint</w:t>
      </w:r>
      <w:r>
        <w:rPr>
          <w:i/>
          <w:color w:val="211F1F"/>
          <w:spacing w:val="-4"/>
        </w:rPr>
        <w:t xml:space="preserve"> </w:t>
      </w:r>
      <w:r>
        <w:rPr>
          <w:i/>
          <w:color w:val="211F1F"/>
        </w:rPr>
        <w:t>venture</w:t>
      </w:r>
      <w:r>
        <w:rPr>
          <w:i/>
          <w:color w:val="211F1F"/>
          <w:spacing w:val="-6"/>
        </w:rPr>
        <w:t xml:space="preserve"> </w:t>
      </w:r>
      <w:r>
        <w:rPr>
          <w:i/>
          <w:color w:val="211F1F"/>
        </w:rPr>
        <w:t>specify</w:t>
      </w:r>
      <w:r>
        <w:rPr>
          <w:i/>
          <w:color w:val="211F1F"/>
          <w:spacing w:val="-7"/>
        </w:rPr>
        <w:t xml:space="preserve"> </w:t>
      </w:r>
      <w:r>
        <w:rPr>
          <w:i/>
          <w:color w:val="211F1F"/>
        </w:rPr>
        <w:t>the</w:t>
      </w:r>
      <w:r>
        <w:rPr>
          <w:i/>
          <w:color w:val="211F1F"/>
          <w:spacing w:val="-2"/>
        </w:rPr>
        <w:t xml:space="preserve"> </w:t>
      </w:r>
      <w:r>
        <w:rPr>
          <w:i/>
          <w:color w:val="211F1F"/>
        </w:rPr>
        <w:t>name</w:t>
      </w:r>
      <w:r>
        <w:rPr>
          <w:i/>
          <w:color w:val="211F1F"/>
          <w:spacing w:val="-8"/>
        </w:rPr>
        <w:t xml:space="preserve"> </w:t>
      </w:r>
      <w:r>
        <w:rPr>
          <w:i/>
          <w:color w:val="211F1F"/>
        </w:rPr>
        <w:t>of</w:t>
      </w:r>
      <w:r>
        <w:rPr>
          <w:i/>
          <w:color w:val="211F1F"/>
          <w:spacing w:val="-3"/>
        </w:rPr>
        <w:t xml:space="preserve"> </w:t>
      </w:r>
      <w:r>
        <w:rPr>
          <w:i/>
          <w:color w:val="211F1F"/>
        </w:rPr>
        <w:t>the</w:t>
      </w:r>
      <w:r>
        <w:rPr>
          <w:i/>
          <w:color w:val="211F1F"/>
          <w:spacing w:val="-8"/>
        </w:rPr>
        <w:t xml:space="preserve"> </w:t>
      </w:r>
      <w:r>
        <w:rPr>
          <w:i/>
          <w:color w:val="211F1F"/>
        </w:rPr>
        <w:t>Joint</w:t>
      </w:r>
      <w:r>
        <w:rPr>
          <w:i/>
          <w:color w:val="211F1F"/>
          <w:spacing w:val="-3"/>
        </w:rPr>
        <w:t xml:space="preserve"> </w:t>
      </w:r>
      <w:r>
        <w:rPr>
          <w:i/>
          <w:color w:val="211F1F"/>
        </w:rPr>
        <w:t>Venture</w:t>
      </w:r>
      <w:r>
        <w:rPr>
          <w:i/>
          <w:color w:val="211F1F"/>
          <w:spacing w:val="-2"/>
        </w:rPr>
        <w:t xml:space="preserve"> </w:t>
      </w:r>
      <w:r>
        <w:rPr>
          <w:i/>
          <w:color w:val="211F1F"/>
        </w:rPr>
        <w:t>as</w:t>
      </w:r>
      <w:r>
        <w:rPr>
          <w:i/>
          <w:color w:val="211F1F"/>
          <w:spacing w:val="-9"/>
        </w:rPr>
        <w:t xml:space="preserve"> </w:t>
      </w:r>
      <w:r>
        <w:rPr>
          <w:i/>
          <w:color w:val="211F1F"/>
          <w:spacing w:val="-2"/>
        </w:rPr>
        <w:t>Tenderer</w:t>
      </w:r>
    </w:p>
    <w:p w14:paraId="07063417" w14:textId="77777777" w:rsidR="00BB77C0" w:rsidRDefault="00370BAA">
      <w:pPr>
        <w:spacing w:before="2" w:line="232" w:lineRule="auto"/>
        <w:ind w:left="1051" w:right="587"/>
        <w:rPr>
          <w:i/>
        </w:rPr>
      </w:pPr>
      <w:r>
        <w:rPr>
          <w:i/>
          <w:color w:val="211F1F"/>
        </w:rPr>
        <w:t>** Person signing</w:t>
      </w:r>
      <w:r>
        <w:rPr>
          <w:i/>
          <w:color w:val="211F1F"/>
          <w:spacing w:val="-4"/>
        </w:rPr>
        <w:t xml:space="preserve"> </w:t>
      </w:r>
      <w:r>
        <w:rPr>
          <w:i/>
          <w:color w:val="211F1F"/>
        </w:rPr>
        <w:t>the</w:t>
      </w:r>
      <w:r>
        <w:rPr>
          <w:i/>
          <w:color w:val="211F1F"/>
          <w:spacing w:val="-7"/>
        </w:rPr>
        <w:t xml:space="preserve"> </w:t>
      </w:r>
      <w:r>
        <w:rPr>
          <w:i/>
          <w:color w:val="211F1F"/>
        </w:rPr>
        <w:t>Tender</w:t>
      </w:r>
      <w:r>
        <w:rPr>
          <w:i/>
          <w:color w:val="211F1F"/>
          <w:spacing w:val="-4"/>
        </w:rPr>
        <w:t xml:space="preserve"> </w:t>
      </w:r>
      <w:r>
        <w:rPr>
          <w:i/>
          <w:color w:val="211F1F"/>
        </w:rPr>
        <w:t>shall</w:t>
      </w:r>
      <w:r>
        <w:rPr>
          <w:i/>
          <w:color w:val="211F1F"/>
          <w:spacing w:val="-3"/>
        </w:rPr>
        <w:t xml:space="preserve"> </w:t>
      </w:r>
      <w:r>
        <w:rPr>
          <w:i/>
          <w:color w:val="211F1F"/>
        </w:rPr>
        <w:t>have</w:t>
      </w:r>
      <w:r>
        <w:rPr>
          <w:i/>
          <w:color w:val="211F1F"/>
          <w:spacing w:val="-7"/>
        </w:rPr>
        <w:t xml:space="preserve"> </w:t>
      </w:r>
      <w:r>
        <w:rPr>
          <w:i/>
          <w:color w:val="211F1F"/>
        </w:rPr>
        <w:t>the</w:t>
      </w:r>
      <w:r>
        <w:rPr>
          <w:i/>
          <w:color w:val="211F1F"/>
          <w:spacing w:val="-2"/>
        </w:rPr>
        <w:t xml:space="preserve"> </w:t>
      </w:r>
      <w:r>
        <w:rPr>
          <w:i/>
          <w:color w:val="211F1F"/>
        </w:rPr>
        <w:t>power</w:t>
      </w:r>
      <w:r>
        <w:rPr>
          <w:i/>
          <w:color w:val="211F1F"/>
          <w:spacing w:val="-4"/>
        </w:rPr>
        <w:t xml:space="preserve"> </w:t>
      </w:r>
      <w:r>
        <w:rPr>
          <w:i/>
          <w:color w:val="211F1F"/>
        </w:rPr>
        <w:t>of</w:t>
      </w:r>
      <w:r>
        <w:rPr>
          <w:i/>
          <w:color w:val="211F1F"/>
          <w:spacing w:val="-4"/>
        </w:rPr>
        <w:t xml:space="preserve"> </w:t>
      </w:r>
      <w:r>
        <w:rPr>
          <w:i/>
          <w:color w:val="211F1F"/>
        </w:rPr>
        <w:t>attorney</w:t>
      </w:r>
      <w:r>
        <w:rPr>
          <w:i/>
          <w:color w:val="211F1F"/>
          <w:spacing w:val="-6"/>
        </w:rPr>
        <w:t xml:space="preserve"> </w:t>
      </w:r>
      <w:r>
        <w:rPr>
          <w:i/>
          <w:color w:val="211F1F"/>
        </w:rPr>
        <w:t>given by</w:t>
      </w:r>
      <w:r>
        <w:rPr>
          <w:i/>
          <w:color w:val="211F1F"/>
          <w:spacing w:val="-7"/>
        </w:rPr>
        <w:t xml:space="preserve"> </w:t>
      </w:r>
      <w:r>
        <w:rPr>
          <w:i/>
          <w:color w:val="211F1F"/>
        </w:rPr>
        <w:t>the</w:t>
      </w:r>
      <w:r>
        <w:rPr>
          <w:i/>
          <w:color w:val="211F1F"/>
          <w:spacing w:val="-6"/>
        </w:rPr>
        <w:t xml:space="preserve"> </w:t>
      </w:r>
      <w:r>
        <w:rPr>
          <w:i/>
          <w:color w:val="211F1F"/>
        </w:rPr>
        <w:t>Tenderer</w:t>
      </w:r>
      <w:r>
        <w:rPr>
          <w:i/>
          <w:color w:val="211F1F"/>
          <w:spacing w:val="-4"/>
        </w:rPr>
        <w:t xml:space="preserve"> </w:t>
      </w:r>
      <w:r>
        <w:rPr>
          <w:i/>
          <w:color w:val="211F1F"/>
        </w:rPr>
        <w:t>to</w:t>
      </w:r>
      <w:r>
        <w:rPr>
          <w:i/>
          <w:color w:val="211F1F"/>
          <w:spacing w:val="-4"/>
        </w:rPr>
        <w:t xml:space="preserve"> </w:t>
      </w:r>
      <w:r>
        <w:rPr>
          <w:i/>
          <w:color w:val="211F1F"/>
        </w:rPr>
        <w:t>be</w:t>
      </w:r>
      <w:r>
        <w:rPr>
          <w:i/>
          <w:color w:val="211F1F"/>
          <w:spacing w:val="-7"/>
        </w:rPr>
        <w:t xml:space="preserve"> </w:t>
      </w:r>
      <w:r>
        <w:rPr>
          <w:i/>
          <w:color w:val="211F1F"/>
        </w:rPr>
        <w:t xml:space="preserve">attached with the </w:t>
      </w:r>
      <w:r>
        <w:rPr>
          <w:i/>
          <w:color w:val="211F1F"/>
          <w:spacing w:val="-2"/>
        </w:rPr>
        <w:t>Tender.</w:t>
      </w:r>
    </w:p>
    <w:p w14:paraId="1409015E" w14:textId="77777777" w:rsidR="00BB77C0" w:rsidRDefault="00BB77C0">
      <w:pPr>
        <w:spacing w:line="232" w:lineRule="auto"/>
        <w:rPr>
          <w:i/>
        </w:rPr>
        <w:sectPr w:rsidR="00BB77C0">
          <w:pgSz w:w="11920" w:h="16850"/>
          <w:pgMar w:top="0" w:right="0" w:bottom="0" w:left="360" w:header="720" w:footer="720" w:gutter="0"/>
          <w:cols w:space="720"/>
        </w:sectPr>
      </w:pPr>
    </w:p>
    <w:p w14:paraId="388630AA" w14:textId="77777777" w:rsidR="00BB77C0" w:rsidRDefault="00370BAA">
      <w:pPr>
        <w:pStyle w:val="BodyText"/>
        <w:rPr>
          <w:i/>
          <w:sz w:val="24"/>
        </w:rPr>
      </w:pPr>
      <w:r>
        <w:rPr>
          <w:i/>
          <w:noProof/>
          <w:sz w:val="24"/>
        </w:rPr>
        <w:lastRenderedPageBreak/>
        <mc:AlternateContent>
          <mc:Choice Requires="wpg">
            <w:drawing>
              <wp:anchor distT="0" distB="0" distL="0" distR="0" simplePos="0" relativeHeight="15756800" behindDoc="0" locked="0" layoutInCell="1" allowOverlap="1" wp14:anchorId="09E16E71" wp14:editId="2856A8CA">
                <wp:simplePos x="0" y="0"/>
                <wp:positionH relativeFrom="page">
                  <wp:posOffset>0</wp:posOffset>
                </wp:positionH>
                <wp:positionV relativeFrom="page">
                  <wp:posOffset>10234295</wp:posOffset>
                </wp:positionV>
                <wp:extent cx="7561580" cy="459105"/>
                <wp:effectExtent l="0" t="0" r="0" b="0"/>
                <wp:wrapNone/>
                <wp:docPr id="230" name="Group 2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1580" cy="459105"/>
                          <a:chOff x="0" y="0"/>
                          <a:chExt cx="7561580" cy="459105"/>
                        </a:xfrm>
                      </wpg:grpSpPr>
                      <wps:wsp>
                        <wps:cNvPr id="231" name="Graphic 231"/>
                        <wps:cNvSpPr/>
                        <wps:spPr>
                          <a:xfrm>
                            <a:off x="6449059" y="5714"/>
                            <a:ext cx="1110615" cy="451484"/>
                          </a:xfrm>
                          <a:custGeom>
                            <a:avLst/>
                            <a:gdLst/>
                            <a:ahLst/>
                            <a:cxnLst/>
                            <a:rect l="l" t="t" r="r" b="b"/>
                            <a:pathLst>
                              <a:path w="1110615" h="451484">
                                <a:moveTo>
                                  <a:pt x="1110614" y="0"/>
                                </a:moveTo>
                                <a:lnTo>
                                  <a:pt x="0" y="0"/>
                                </a:lnTo>
                                <a:lnTo>
                                  <a:pt x="260349" y="451483"/>
                                </a:lnTo>
                                <a:lnTo>
                                  <a:pt x="1110614" y="451483"/>
                                </a:lnTo>
                                <a:lnTo>
                                  <a:pt x="1110614" y="0"/>
                                </a:lnTo>
                                <a:close/>
                              </a:path>
                            </a:pathLst>
                          </a:custGeom>
                          <a:solidFill>
                            <a:srgbClr val="FAD2C1"/>
                          </a:solidFill>
                        </wps:spPr>
                        <wps:bodyPr wrap="square" lIns="0" tIns="0" rIns="0" bIns="0" rtlCol="0">
                          <a:prstTxWarp prst="textNoShape">
                            <a:avLst/>
                          </a:prstTxWarp>
                          <a:noAutofit/>
                        </wps:bodyPr>
                      </wps:wsp>
                      <wps:wsp>
                        <wps:cNvPr id="232" name="Graphic 232"/>
                        <wps:cNvSpPr/>
                        <wps:spPr>
                          <a:xfrm>
                            <a:off x="6449059" y="5714"/>
                            <a:ext cx="1110615" cy="451484"/>
                          </a:xfrm>
                          <a:custGeom>
                            <a:avLst/>
                            <a:gdLst/>
                            <a:ahLst/>
                            <a:cxnLst/>
                            <a:rect l="l" t="t" r="r" b="b"/>
                            <a:pathLst>
                              <a:path w="1110615" h="451484">
                                <a:moveTo>
                                  <a:pt x="0" y="0"/>
                                </a:moveTo>
                                <a:lnTo>
                                  <a:pt x="1110614" y="0"/>
                                </a:lnTo>
                                <a:lnTo>
                                  <a:pt x="1110614" y="451483"/>
                                </a:lnTo>
                                <a:lnTo>
                                  <a:pt x="260349" y="451483"/>
                                </a:lnTo>
                                <a:lnTo>
                                  <a:pt x="0" y="0"/>
                                </a:lnTo>
                              </a:path>
                            </a:pathLst>
                          </a:custGeom>
                          <a:ln w="3051">
                            <a:solidFill>
                              <a:srgbClr val="FAD2C1"/>
                            </a:solidFill>
                            <a:prstDash val="solid"/>
                          </a:ln>
                        </wps:spPr>
                        <wps:bodyPr wrap="square" lIns="0" tIns="0" rIns="0" bIns="0" rtlCol="0">
                          <a:prstTxWarp prst="textNoShape">
                            <a:avLst/>
                          </a:prstTxWarp>
                          <a:noAutofit/>
                        </wps:bodyPr>
                      </wps:wsp>
                      <wps:wsp>
                        <wps:cNvPr id="233" name="Graphic 233"/>
                        <wps:cNvSpPr/>
                        <wps:spPr>
                          <a:xfrm>
                            <a:off x="0" y="6350"/>
                            <a:ext cx="7560309" cy="1270"/>
                          </a:xfrm>
                          <a:custGeom>
                            <a:avLst/>
                            <a:gdLst/>
                            <a:ahLst/>
                            <a:cxnLst/>
                            <a:rect l="l" t="t" r="r" b="b"/>
                            <a:pathLst>
                              <a:path w="7560309">
                                <a:moveTo>
                                  <a:pt x="0" y="0"/>
                                </a:moveTo>
                                <a:lnTo>
                                  <a:pt x="7560309" y="0"/>
                                </a:lnTo>
                              </a:path>
                            </a:pathLst>
                          </a:custGeom>
                          <a:ln w="12700">
                            <a:solidFill>
                              <a:srgbClr val="FAD2C1"/>
                            </a:solidFill>
                            <a:prstDash val="solid"/>
                          </a:ln>
                        </wps:spPr>
                        <wps:bodyPr wrap="square" lIns="0" tIns="0" rIns="0" bIns="0" rtlCol="0">
                          <a:prstTxWarp prst="textNoShape">
                            <a:avLst/>
                          </a:prstTxWarp>
                          <a:noAutofit/>
                        </wps:bodyPr>
                      </wps:wsp>
                      <wps:wsp>
                        <wps:cNvPr id="234" name="Textbox 234"/>
                        <wps:cNvSpPr txBox="1"/>
                        <wps:spPr>
                          <a:xfrm>
                            <a:off x="6882130" y="37491"/>
                            <a:ext cx="147320" cy="155575"/>
                          </a:xfrm>
                          <a:prstGeom prst="rect">
                            <a:avLst/>
                          </a:prstGeom>
                        </wps:spPr>
                        <wps:txbx>
                          <w:txbxContent>
                            <w:p w14:paraId="5BAB736E" w14:textId="77777777" w:rsidR="00BB77C0" w:rsidRDefault="00370BAA">
                              <w:pPr>
                                <w:spacing w:line="244" w:lineRule="exact"/>
                              </w:pPr>
                              <w:r>
                                <w:rPr>
                                  <w:spacing w:val="-5"/>
                                </w:rPr>
                                <w:t>61</w:t>
                              </w:r>
                            </w:p>
                          </w:txbxContent>
                        </wps:txbx>
                        <wps:bodyPr wrap="square" lIns="0" tIns="0" rIns="0" bIns="0" rtlCol="0">
                          <a:noAutofit/>
                        </wps:bodyPr>
                      </wps:wsp>
                    </wpg:wgp>
                  </a:graphicData>
                </a:graphic>
              </wp:anchor>
            </w:drawing>
          </mc:Choice>
          <mc:Fallback>
            <w:pict>
              <v:group w14:anchorId="09E16E71" id="Group 230" o:spid="_x0000_s1126" style="position:absolute;margin-left:0;margin-top:805.85pt;width:595.4pt;height:36.15pt;z-index:15756800;mso-wrap-distance-left:0;mso-wrap-distance-right:0;mso-position-horizontal-relative:page;mso-position-vertical-relative:page" coordsize="75615,4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">
                <v:shape id="Graphic 231" o:spid="_x0000_s1127" style="position:absolute;left:64490;top:57;width:11106;height:4514;visibility:visible;mso-wrap-style:square;v-text-anchor:top" coordsize="1110615,4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" path="m1110614,l,,260349,451483r850265,l1110614,xe" fillcolor="#fad2c1" stroked="f">
                  <v:path arrowok="t"/>
                </v:shape>
                <v:shape id="Graphic 232" o:spid="_x0000_s1128" style="position:absolute;left:64490;top:57;width:11106;height:4514;visibility:visible;mso-wrap-style:square;v-text-anchor:top" coordsize="1110615,4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" path="m,l1110614,r,451483l260349,451483,,e" filled="f" strokecolor="#fad2c1" strokeweight=".08475mm">
                  <v:path arrowok="t"/>
                </v:shape>
                <v:shape id="Graphic 233" o:spid="_x0000_s1129" style="position:absolute;top:63;width:75603;height:13;visibility:visible;mso-wrap-style:square;v-text-anchor:top" coordsize="756030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" path="m,l7560309,e" filled="f" strokecolor="#fad2c1" strokeweight="1pt">
                  <v:path arrowok="t"/>
                </v:shape>
                <v:shape id="Textbox 234" o:spid="_x0000_s1130" type="#_x0000_t202" style="position:absolute;left:68821;top:374;width:1473;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" filled="f" stroked="f">
                  <v:textbox inset="0,0,0,0">
                    <w:txbxContent>
                      <w:p w14:paraId="5BAB736E" w14:textId="77777777" w:rsidR="00BB77C0" w:rsidRDefault="00370BAA">
                        <w:pPr>
                          <w:spacing w:line="244" w:lineRule="exact"/>
                        </w:pPr>
                        <w:r>
                          <w:rPr>
                            <w:spacing w:val="-5"/>
                          </w:rPr>
                          <w:t>61</w:t>
                        </w:r>
                      </w:p>
                    </w:txbxContent>
                  </v:textbox>
                </v:shape>
                <w10:wrap anchorx="page" anchory="page"/>
              </v:group>
            </w:pict>
          </mc:Fallback>
        </mc:AlternateContent>
      </w:r>
      <w:r>
        <w:rPr>
          <w:i/>
          <w:noProof/>
          <w:sz w:val="24"/>
        </w:rPr>
        <mc:AlternateContent>
          <mc:Choice Requires="wpg">
            <w:drawing>
              <wp:anchor distT="0" distB="0" distL="0" distR="0" simplePos="0" relativeHeight="15757312" behindDoc="0" locked="0" layoutInCell="1" allowOverlap="1" wp14:anchorId="1F9608A7" wp14:editId="59D6BC24">
                <wp:simplePos x="0" y="0"/>
                <wp:positionH relativeFrom="page">
                  <wp:posOffset>0</wp:posOffset>
                </wp:positionH>
                <wp:positionV relativeFrom="page">
                  <wp:posOffset>0</wp:posOffset>
                </wp:positionV>
                <wp:extent cx="7559675" cy="228600"/>
                <wp:effectExtent l="0" t="0" r="0" b="0"/>
                <wp:wrapNone/>
                <wp:docPr id="235" name="Group 2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675" cy="228600"/>
                          <a:chOff x="0" y="0"/>
                          <a:chExt cx="7559675" cy="228600"/>
                        </a:xfrm>
                      </wpg:grpSpPr>
                      <wps:wsp>
                        <wps:cNvPr id="236" name="Graphic 236"/>
                        <wps:cNvSpPr/>
                        <wps:spPr>
                          <a:xfrm>
                            <a:off x="848283" y="0"/>
                            <a:ext cx="6711950" cy="228600"/>
                          </a:xfrm>
                          <a:custGeom>
                            <a:avLst/>
                            <a:gdLst/>
                            <a:ahLst/>
                            <a:cxnLst/>
                            <a:rect l="l" t="t" r="r" b="b"/>
                            <a:pathLst>
                              <a:path w="6711950" h="228600">
                                <a:moveTo>
                                  <a:pt x="6711391" y="0"/>
                                </a:moveTo>
                                <a:lnTo>
                                  <a:pt x="0" y="0"/>
                                </a:lnTo>
                                <a:lnTo>
                                  <a:pt x="184137" y="228600"/>
                                </a:lnTo>
                                <a:lnTo>
                                  <a:pt x="6711391" y="223520"/>
                                </a:lnTo>
                                <a:lnTo>
                                  <a:pt x="6711391" y="0"/>
                                </a:lnTo>
                                <a:close/>
                              </a:path>
                            </a:pathLst>
                          </a:custGeom>
                          <a:solidFill>
                            <a:srgbClr val="E6E7E8"/>
                          </a:solidFill>
                        </wps:spPr>
                        <wps:bodyPr wrap="square" lIns="0" tIns="0" rIns="0" bIns="0" rtlCol="0">
                          <a:prstTxWarp prst="textNoShape">
                            <a:avLst/>
                          </a:prstTxWarp>
                          <a:noAutofit/>
                        </wps:bodyPr>
                      </wps:wsp>
                      <wps:wsp>
                        <wps:cNvPr id="237" name="Graphic 237"/>
                        <wps:cNvSpPr/>
                        <wps:spPr>
                          <a:xfrm>
                            <a:off x="0" y="0"/>
                            <a:ext cx="655955" cy="228600"/>
                          </a:xfrm>
                          <a:custGeom>
                            <a:avLst/>
                            <a:gdLst/>
                            <a:ahLst/>
                            <a:cxnLst/>
                            <a:rect l="l" t="t" r="r" b="b"/>
                            <a:pathLst>
                              <a:path w="655955" h="228600">
                                <a:moveTo>
                                  <a:pt x="530174" y="0"/>
                                </a:moveTo>
                                <a:lnTo>
                                  <a:pt x="0" y="0"/>
                                </a:lnTo>
                                <a:lnTo>
                                  <a:pt x="0" y="228600"/>
                                </a:lnTo>
                                <a:lnTo>
                                  <a:pt x="655904" y="228600"/>
                                </a:lnTo>
                                <a:lnTo>
                                  <a:pt x="530174" y="0"/>
                                </a:lnTo>
                                <a:close/>
                              </a:path>
                            </a:pathLst>
                          </a:custGeom>
                          <a:solidFill>
                            <a:srgbClr val="00A650"/>
                          </a:solidFill>
                        </wps:spPr>
                        <wps:bodyPr wrap="square" lIns="0" tIns="0" rIns="0" bIns="0" rtlCol="0">
                          <a:prstTxWarp prst="textNoShape">
                            <a:avLst/>
                          </a:prstTxWarp>
                          <a:noAutofit/>
                        </wps:bodyPr>
                      </wps:wsp>
                      <wps:wsp>
                        <wps:cNvPr id="238" name="Graphic 238"/>
                        <wps:cNvSpPr/>
                        <wps:spPr>
                          <a:xfrm>
                            <a:off x="554304" y="0"/>
                            <a:ext cx="329565" cy="228600"/>
                          </a:xfrm>
                          <a:custGeom>
                            <a:avLst/>
                            <a:gdLst/>
                            <a:ahLst/>
                            <a:cxnLst/>
                            <a:rect l="l" t="t" r="r" b="b"/>
                            <a:pathLst>
                              <a:path w="329565" h="228600">
                                <a:moveTo>
                                  <a:pt x="203822" y="0"/>
                                </a:moveTo>
                                <a:lnTo>
                                  <a:pt x="0" y="0"/>
                                </a:lnTo>
                                <a:lnTo>
                                  <a:pt x="128904" y="228600"/>
                                </a:lnTo>
                                <a:lnTo>
                                  <a:pt x="329539" y="228600"/>
                                </a:lnTo>
                                <a:lnTo>
                                  <a:pt x="203822" y="0"/>
                                </a:lnTo>
                                <a:close/>
                              </a:path>
                            </a:pathLst>
                          </a:custGeom>
                          <a:solidFill>
                            <a:srgbClr val="EB1C22"/>
                          </a:solidFill>
                        </wps:spPr>
                        <wps:bodyPr wrap="square" lIns="0" tIns="0" rIns="0" bIns="0" rtlCol="0">
                          <a:prstTxWarp prst="textNoShape">
                            <a:avLst/>
                          </a:prstTxWarp>
                          <a:noAutofit/>
                        </wps:bodyPr>
                      </wps:wsp>
                      <wps:wsp>
                        <wps:cNvPr id="239" name="Graphic 239"/>
                        <wps:cNvSpPr/>
                        <wps:spPr>
                          <a:xfrm>
                            <a:off x="783526" y="0"/>
                            <a:ext cx="329565" cy="228600"/>
                          </a:xfrm>
                          <a:custGeom>
                            <a:avLst/>
                            <a:gdLst/>
                            <a:ahLst/>
                            <a:cxnLst/>
                            <a:rect l="l" t="t" r="r" b="b"/>
                            <a:pathLst>
                              <a:path w="329565" h="228600">
                                <a:moveTo>
                                  <a:pt x="203822" y="0"/>
                                </a:moveTo>
                                <a:lnTo>
                                  <a:pt x="0" y="0"/>
                                </a:lnTo>
                                <a:lnTo>
                                  <a:pt x="128879" y="228600"/>
                                </a:lnTo>
                                <a:lnTo>
                                  <a:pt x="329539" y="228600"/>
                                </a:lnTo>
                                <a:lnTo>
                                  <a:pt x="203822" y="0"/>
                                </a:lnTo>
                                <a:close/>
                              </a:path>
                            </a:pathLst>
                          </a:custGeom>
                          <a:solidFill>
                            <a:srgbClr val="A7A9AC"/>
                          </a:solidFill>
                        </wps:spPr>
                        <wps:bodyPr wrap="square" lIns="0" tIns="0" rIns="0" bIns="0" rtlCol="0">
                          <a:prstTxWarp prst="textNoShape">
                            <a:avLst/>
                          </a:prstTxWarp>
                          <a:noAutofit/>
                        </wps:bodyPr>
                      </wps:wsp>
                    </wpg:wgp>
                  </a:graphicData>
                </a:graphic>
              </wp:anchor>
            </w:drawing>
          </mc:Choice>
          <mc:Fallback>
            <w:pict>
              <v:group w14:anchorId="4061CA77" id="Group 235" o:spid="_x0000_s1026" style="position:absolute;margin-left:0;margin-top:0;width:595.25pt;height:18pt;z-index:15757312;mso-wrap-distance-left:0;mso-wrap-distance-right:0;mso-position-horizontal-relative:page;mso-position-vertical-relative:page" coordsize="75596,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">
                <v:shape id="Graphic 236" o:spid="_x0000_s1027" style="position:absolute;left:8482;width:67120;height:2286;visibility:visible;mso-wrap-style:square;v-text-anchor:top" coordsize="67119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" path="m6711391,l,,184137,228600r6527254,-5080l6711391,xe" fillcolor="#e6e7e8" stroked="f">
                  <v:path arrowok="t"/>
                </v:shape>
                <v:shape id="Graphic 237" o:spid="_x0000_s1028" style="position:absolute;width:6559;height:2286;visibility:visible;mso-wrap-style:square;v-text-anchor:top" coordsize="65595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" path="m530174,l,,,228600r655904,l530174,xe" fillcolor="#00a650" stroked="f">
                  <v:path arrowok="t"/>
                </v:shape>
                <v:shape id="Graphic 238" o:spid="_x0000_s1029" style="position:absolute;left:5543;width:3295;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" path="m203822,l,,128904,228600r200635,l203822,xe" fillcolor="#eb1c22" stroked="f">
                  <v:path arrowok="t"/>
                </v:shape>
                <v:shape id="Graphic 239" o:spid="_x0000_s1030" style="position:absolute;left:7835;width:3295;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" path="m203822,l,,128879,228600r200660,l203822,xe" fillcolor="#a7a9ac" stroked="f">
                  <v:path arrowok="t"/>
                </v:shape>
                <w10:wrap anchorx="page" anchory="page"/>
              </v:group>
            </w:pict>
          </mc:Fallback>
        </mc:AlternateContent>
      </w:r>
    </w:p>
    <w:p w14:paraId="0F05C878" w14:textId="77777777" w:rsidR="00BB77C0" w:rsidRDefault="00BB77C0">
      <w:pPr>
        <w:pStyle w:val="BodyText"/>
        <w:spacing w:before="243"/>
        <w:rPr>
          <w:i/>
          <w:sz w:val="24"/>
        </w:rPr>
      </w:pPr>
    </w:p>
    <w:p w14:paraId="6BE86DD8" w14:textId="77777777" w:rsidR="00BB77C0" w:rsidRDefault="00370BAA">
      <w:pPr>
        <w:pStyle w:val="Heading5"/>
        <w:numPr>
          <w:ilvl w:val="0"/>
          <w:numId w:val="46"/>
        </w:numPr>
        <w:tabs>
          <w:tab w:val="left" w:pos="1056"/>
        </w:tabs>
        <w:ind w:hanging="566"/>
      </w:pPr>
      <w:bookmarkStart w:id="159" w:name="A._TENDERER’S_ELIGIBILITY-_CONFIDENTIALB"/>
      <w:bookmarkEnd w:id="159"/>
      <w:r>
        <w:rPr>
          <w:color w:val="211F1F"/>
          <w:spacing w:val="-2"/>
          <w:u w:val="single" w:color="211F1F"/>
        </w:rPr>
        <w:t>TENDERER’S</w:t>
      </w:r>
      <w:r>
        <w:rPr>
          <w:color w:val="211F1F"/>
          <w:spacing w:val="26"/>
          <w:u w:val="single" w:color="211F1F"/>
        </w:rPr>
        <w:t xml:space="preserve"> </w:t>
      </w:r>
      <w:r>
        <w:rPr>
          <w:color w:val="211F1F"/>
          <w:spacing w:val="-2"/>
          <w:u w:val="single" w:color="211F1F"/>
        </w:rPr>
        <w:t>ELIGIBILITY-</w:t>
      </w:r>
      <w:r>
        <w:rPr>
          <w:color w:val="211F1F"/>
          <w:spacing w:val="-5"/>
          <w:u w:val="single" w:color="211F1F"/>
        </w:rPr>
        <w:t xml:space="preserve"> </w:t>
      </w:r>
      <w:r>
        <w:rPr>
          <w:color w:val="211F1F"/>
          <w:spacing w:val="-2"/>
          <w:u w:val="single" w:color="211F1F"/>
        </w:rPr>
        <w:t>CONFIDENTIALBUSINESS</w:t>
      </w:r>
      <w:r>
        <w:rPr>
          <w:color w:val="211F1F"/>
          <w:spacing w:val="-5"/>
          <w:u w:val="single" w:color="211F1F"/>
        </w:rPr>
        <w:t xml:space="preserve"> </w:t>
      </w:r>
      <w:r>
        <w:rPr>
          <w:color w:val="211F1F"/>
          <w:spacing w:val="-2"/>
          <w:u w:val="single" w:color="211F1F"/>
        </w:rPr>
        <w:t>QUESTIONNAIRE</w:t>
      </w:r>
    </w:p>
    <w:p w14:paraId="4ECAF7E5" w14:textId="77777777" w:rsidR="00BB77C0" w:rsidRDefault="00370BAA">
      <w:pPr>
        <w:pStyle w:val="Heading7"/>
        <w:spacing w:before="237"/>
        <w:ind w:left="494"/>
      </w:pPr>
      <w:bookmarkStart w:id="160" w:name="Instruction_to_Tenderer"/>
      <w:bookmarkEnd w:id="160"/>
      <w:r>
        <w:rPr>
          <w:color w:val="211F1F"/>
        </w:rPr>
        <w:t>Instruction</w:t>
      </w:r>
      <w:r>
        <w:rPr>
          <w:color w:val="211F1F"/>
          <w:spacing w:val="-13"/>
        </w:rPr>
        <w:t xml:space="preserve"> </w:t>
      </w:r>
      <w:r>
        <w:rPr>
          <w:color w:val="211F1F"/>
        </w:rPr>
        <w:t>to</w:t>
      </w:r>
      <w:r>
        <w:rPr>
          <w:color w:val="211F1F"/>
          <w:spacing w:val="-1"/>
        </w:rPr>
        <w:t xml:space="preserve"> </w:t>
      </w:r>
      <w:r>
        <w:rPr>
          <w:color w:val="211F1F"/>
          <w:spacing w:val="-2"/>
        </w:rPr>
        <w:t>Tenderer</w:t>
      </w:r>
    </w:p>
    <w:p w14:paraId="5B94F2EB" w14:textId="77777777" w:rsidR="00BB77C0" w:rsidRDefault="00370BAA">
      <w:pPr>
        <w:spacing w:before="238" w:line="228" w:lineRule="auto"/>
        <w:ind w:left="490" w:right="901"/>
      </w:pPr>
      <w:r>
        <w:rPr>
          <w:color w:val="211F1F"/>
          <w:spacing w:val="-2"/>
        </w:rPr>
        <w:t>Tender</w:t>
      </w:r>
      <w:r>
        <w:rPr>
          <w:color w:val="211F1F"/>
          <w:spacing w:val="-13"/>
        </w:rPr>
        <w:t xml:space="preserve"> </w:t>
      </w:r>
      <w:r>
        <w:rPr>
          <w:color w:val="211F1F"/>
          <w:spacing w:val="-2"/>
        </w:rPr>
        <w:t>is</w:t>
      </w:r>
      <w:r>
        <w:rPr>
          <w:color w:val="211F1F"/>
          <w:spacing w:val="-12"/>
        </w:rPr>
        <w:t xml:space="preserve"> </w:t>
      </w:r>
      <w:r>
        <w:rPr>
          <w:color w:val="211F1F"/>
          <w:spacing w:val="-2"/>
        </w:rPr>
        <w:t>instructed</w:t>
      </w:r>
      <w:r>
        <w:rPr>
          <w:color w:val="211F1F"/>
          <w:spacing w:val="-16"/>
        </w:rPr>
        <w:t xml:space="preserve"> </w:t>
      </w:r>
      <w:r>
        <w:rPr>
          <w:color w:val="211F1F"/>
          <w:spacing w:val="-2"/>
        </w:rPr>
        <w:t>to</w:t>
      </w:r>
      <w:r>
        <w:rPr>
          <w:color w:val="211F1F"/>
          <w:spacing w:val="-17"/>
        </w:rPr>
        <w:t xml:space="preserve"> </w:t>
      </w:r>
      <w:r>
        <w:rPr>
          <w:color w:val="211F1F"/>
          <w:spacing w:val="-2"/>
        </w:rPr>
        <w:t>complete</w:t>
      </w:r>
      <w:r>
        <w:rPr>
          <w:color w:val="211F1F"/>
          <w:spacing w:val="-18"/>
        </w:rPr>
        <w:t xml:space="preserve"> </w:t>
      </w:r>
      <w:r>
        <w:rPr>
          <w:color w:val="211F1F"/>
          <w:spacing w:val="-2"/>
        </w:rPr>
        <w:t>the</w:t>
      </w:r>
      <w:r>
        <w:rPr>
          <w:color w:val="211F1F"/>
          <w:spacing w:val="-19"/>
        </w:rPr>
        <w:t xml:space="preserve"> </w:t>
      </w:r>
      <w:r>
        <w:rPr>
          <w:color w:val="211F1F"/>
          <w:spacing w:val="-2"/>
        </w:rPr>
        <w:t>particulars</w:t>
      </w:r>
      <w:r>
        <w:rPr>
          <w:color w:val="211F1F"/>
          <w:spacing w:val="-21"/>
        </w:rPr>
        <w:t xml:space="preserve"> </w:t>
      </w:r>
      <w:r>
        <w:rPr>
          <w:color w:val="211F1F"/>
          <w:spacing w:val="-2"/>
        </w:rPr>
        <w:t>required</w:t>
      </w:r>
      <w:r>
        <w:rPr>
          <w:color w:val="211F1F"/>
          <w:spacing w:val="-16"/>
        </w:rPr>
        <w:t xml:space="preserve"> </w:t>
      </w:r>
      <w:r>
        <w:rPr>
          <w:color w:val="211F1F"/>
          <w:spacing w:val="-2"/>
        </w:rPr>
        <w:t>in</w:t>
      </w:r>
      <w:r>
        <w:rPr>
          <w:color w:val="211F1F"/>
          <w:spacing w:val="-17"/>
        </w:rPr>
        <w:t xml:space="preserve"> </w:t>
      </w:r>
      <w:r>
        <w:rPr>
          <w:color w:val="211F1F"/>
          <w:spacing w:val="-2"/>
        </w:rPr>
        <w:t>this</w:t>
      </w:r>
      <w:r>
        <w:rPr>
          <w:color w:val="211F1F"/>
          <w:spacing w:val="-16"/>
        </w:rPr>
        <w:t xml:space="preserve"> </w:t>
      </w:r>
      <w:r>
        <w:rPr>
          <w:color w:val="211F1F"/>
          <w:spacing w:val="-2"/>
        </w:rPr>
        <w:t>Form,</w:t>
      </w:r>
      <w:r>
        <w:rPr>
          <w:color w:val="211F1F"/>
          <w:spacing w:val="-14"/>
        </w:rPr>
        <w:t xml:space="preserve"> </w:t>
      </w:r>
      <w:r>
        <w:rPr>
          <w:i/>
          <w:color w:val="211F1F"/>
          <w:spacing w:val="-2"/>
        </w:rPr>
        <w:t>one</w:t>
      </w:r>
      <w:r>
        <w:rPr>
          <w:i/>
          <w:color w:val="211F1F"/>
          <w:spacing w:val="-24"/>
        </w:rPr>
        <w:t xml:space="preserve"> </w:t>
      </w:r>
      <w:r>
        <w:rPr>
          <w:i/>
          <w:color w:val="211F1F"/>
          <w:spacing w:val="-2"/>
        </w:rPr>
        <w:t>form</w:t>
      </w:r>
      <w:r>
        <w:rPr>
          <w:i/>
          <w:color w:val="211F1F"/>
          <w:spacing w:val="-17"/>
        </w:rPr>
        <w:t xml:space="preserve"> </w:t>
      </w:r>
      <w:r>
        <w:rPr>
          <w:i/>
          <w:color w:val="211F1F"/>
          <w:spacing w:val="-2"/>
        </w:rPr>
        <w:t>for</w:t>
      </w:r>
      <w:r>
        <w:rPr>
          <w:i/>
          <w:color w:val="211F1F"/>
          <w:spacing w:val="-16"/>
        </w:rPr>
        <w:t xml:space="preserve"> </w:t>
      </w:r>
      <w:r>
        <w:rPr>
          <w:i/>
          <w:color w:val="211F1F"/>
          <w:spacing w:val="-2"/>
        </w:rPr>
        <w:t>each</w:t>
      </w:r>
      <w:r>
        <w:rPr>
          <w:i/>
          <w:color w:val="211F1F"/>
          <w:spacing w:val="-17"/>
        </w:rPr>
        <w:t xml:space="preserve"> </w:t>
      </w:r>
      <w:r>
        <w:rPr>
          <w:i/>
          <w:color w:val="211F1F"/>
          <w:spacing w:val="-2"/>
        </w:rPr>
        <w:t>entity</w:t>
      </w:r>
      <w:r>
        <w:rPr>
          <w:i/>
          <w:color w:val="211F1F"/>
          <w:spacing w:val="-19"/>
        </w:rPr>
        <w:t xml:space="preserve"> </w:t>
      </w:r>
      <w:r>
        <w:rPr>
          <w:i/>
          <w:color w:val="211F1F"/>
          <w:spacing w:val="-2"/>
        </w:rPr>
        <w:t>if</w:t>
      </w:r>
      <w:r>
        <w:rPr>
          <w:i/>
          <w:color w:val="211F1F"/>
          <w:spacing w:val="-21"/>
        </w:rPr>
        <w:t xml:space="preserve"> </w:t>
      </w:r>
      <w:r>
        <w:rPr>
          <w:i/>
          <w:color w:val="211F1F"/>
          <w:spacing w:val="-2"/>
        </w:rPr>
        <w:t>Tender</w:t>
      </w:r>
      <w:r>
        <w:rPr>
          <w:i/>
          <w:color w:val="211F1F"/>
          <w:spacing w:val="-26"/>
        </w:rPr>
        <w:t xml:space="preserve"> </w:t>
      </w:r>
      <w:r>
        <w:rPr>
          <w:i/>
          <w:color w:val="211F1F"/>
          <w:spacing w:val="-2"/>
        </w:rPr>
        <w:t>is</w:t>
      </w:r>
      <w:r>
        <w:rPr>
          <w:i/>
          <w:color w:val="211F1F"/>
          <w:spacing w:val="-12"/>
        </w:rPr>
        <w:t xml:space="preserve"> </w:t>
      </w:r>
      <w:r>
        <w:rPr>
          <w:i/>
          <w:color w:val="211F1F"/>
          <w:spacing w:val="-2"/>
        </w:rPr>
        <w:t>a</w:t>
      </w:r>
      <w:r>
        <w:rPr>
          <w:i/>
          <w:color w:val="211F1F"/>
          <w:spacing w:val="-17"/>
        </w:rPr>
        <w:t xml:space="preserve"> </w:t>
      </w:r>
      <w:r>
        <w:rPr>
          <w:i/>
          <w:color w:val="211F1F"/>
          <w:spacing w:val="-2"/>
        </w:rPr>
        <w:t>JV.</w:t>
      </w:r>
      <w:r>
        <w:rPr>
          <w:i/>
          <w:color w:val="211F1F"/>
          <w:spacing w:val="-33"/>
        </w:rPr>
        <w:t xml:space="preserve"> </w:t>
      </w:r>
      <w:r>
        <w:rPr>
          <w:color w:val="211F1F"/>
          <w:spacing w:val="-2"/>
        </w:rPr>
        <w:t xml:space="preserve">Tenderer </w:t>
      </w:r>
      <w:r>
        <w:rPr>
          <w:color w:val="211F1F"/>
        </w:rPr>
        <w:t>is</w:t>
      </w:r>
      <w:r>
        <w:rPr>
          <w:color w:val="211F1F"/>
          <w:spacing w:val="-3"/>
        </w:rPr>
        <w:t xml:space="preserve"> </w:t>
      </w:r>
      <w:r>
        <w:rPr>
          <w:color w:val="211F1F"/>
        </w:rPr>
        <w:t>further</w:t>
      </w:r>
      <w:r>
        <w:rPr>
          <w:color w:val="211F1F"/>
          <w:spacing w:val="-4"/>
        </w:rPr>
        <w:t xml:space="preserve"> </w:t>
      </w:r>
      <w:r>
        <w:rPr>
          <w:color w:val="211F1F"/>
        </w:rPr>
        <w:t>reminded</w:t>
      </w:r>
      <w:r>
        <w:rPr>
          <w:color w:val="211F1F"/>
          <w:spacing w:val="-14"/>
        </w:rPr>
        <w:t xml:space="preserve"> </w:t>
      </w:r>
      <w:r>
        <w:rPr>
          <w:color w:val="211F1F"/>
        </w:rPr>
        <w:t>that</w:t>
      </w:r>
      <w:r>
        <w:rPr>
          <w:color w:val="211F1F"/>
          <w:spacing w:val="-1"/>
        </w:rPr>
        <w:t xml:space="preserve"> </w:t>
      </w:r>
      <w:r>
        <w:rPr>
          <w:color w:val="211F1F"/>
        </w:rPr>
        <w:t>it</w:t>
      </w:r>
      <w:r>
        <w:rPr>
          <w:color w:val="211F1F"/>
          <w:spacing w:val="-1"/>
        </w:rPr>
        <w:t xml:space="preserve"> </w:t>
      </w:r>
      <w:r>
        <w:rPr>
          <w:color w:val="211F1F"/>
        </w:rPr>
        <w:t>is</w:t>
      </w:r>
      <w:r>
        <w:rPr>
          <w:color w:val="211F1F"/>
          <w:spacing w:val="-3"/>
        </w:rPr>
        <w:t xml:space="preserve"> </w:t>
      </w:r>
      <w:r>
        <w:rPr>
          <w:color w:val="211F1F"/>
        </w:rPr>
        <w:t>an</w:t>
      </w:r>
      <w:r>
        <w:rPr>
          <w:color w:val="211F1F"/>
          <w:spacing w:val="-3"/>
        </w:rPr>
        <w:t xml:space="preserve"> </w:t>
      </w:r>
      <w:r>
        <w:rPr>
          <w:color w:val="211F1F"/>
        </w:rPr>
        <w:t>offence</w:t>
      </w:r>
      <w:r>
        <w:rPr>
          <w:color w:val="211F1F"/>
          <w:spacing w:val="-10"/>
        </w:rPr>
        <w:t xml:space="preserve"> </w:t>
      </w:r>
      <w:r>
        <w:rPr>
          <w:color w:val="211F1F"/>
        </w:rPr>
        <w:t>to</w:t>
      </w:r>
      <w:r>
        <w:rPr>
          <w:color w:val="211F1F"/>
          <w:spacing w:val="-3"/>
        </w:rPr>
        <w:t xml:space="preserve"> </w:t>
      </w:r>
      <w:r>
        <w:rPr>
          <w:color w:val="211F1F"/>
        </w:rPr>
        <w:t>give</w:t>
      </w:r>
      <w:r>
        <w:rPr>
          <w:color w:val="211F1F"/>
          <w:spacing w:val="-11"/>
        </w:rPr>
        <w:t xml:space="preserve"> </w:t>
      </w:r>
      <w:r>
        <w:rPr>
          <w:color w:val="211F1F"/>
        </w:rPr>
        <w:t>false</w:t>
      </w:r>
      <w:r>
        <w:rPr>
          <w:color w:val="211F1F"/>
          <w:spacing w:val="-11"/>
        </w:rPr>
        <w:t xml:space="preserve"> </w:t>
      </w:r>
      <w:r>
        <w:rPr>
          <w:color w:val="211F1F"/>
        </w:rPr>
        <w:t>information</w:t>
      </w:r>
      <w:r>
        <w:rPr>
          <w:color w:val="211F1F"/>
          <w:spacing w:val="-6"/>
        </w:rPr>
        <w:t xml:space="preserve"> </w:t>
      </w:r>
      <w:r>
        <w:rPr>
          <w:color w:val="211F1F"/>
        </w:rPr>
        <w:t>on</w:t>
      </w:r>
      <w:r>
        <w:rPr>
          <w:color w:val="211F1F"/>
          <w:spacing w:val="-9"/>
        </w:rPr>
        <w:t xml:space="preserve"> </w:t>
      </w:r>
      <w:r>
        <w:rPr>
          <w:color w:val="211F1F"/>
        </w:rPr>
        <w:t>this</w:t>
      </w:r>
      <w:r>
        <w:rPr>
          <w:color w:val="211F1F"/>
          <w:spacing w:val="-3"/>
        </w:rPr>
        <w:t xml:space="preserve"> </w:t>
      </w:r>
      <w:r>
        <w:rPr>
          <w:color w:val="211F1F"/>
        </w:rPr>
        <w:t>Form.</w:t>
      </w:r>
    </w:p>
    <w:p w14:paraId="7C37FC55" w14:textId="77777777" w:rsidR="00BB77C0" w:rsidRDefault="00370BAA">
      <w:pPr>
        <w:pStyle w:val="Heading7"/>
        <w:numPr>
          <w:ilvl w:val="1"/>
          <w:numId w:val="46"/>
        </w:numPr>
        <w:tabs>
          <w:tab w:val="left" w:pos="1046"/>
        </w:tabs>
        <w:spacing w:before="244"/>
        <w:ind w:hanging="556"/>
      </w:pPr>
      <w:bookmarkStart w:id="161" w:name="(a)_Tenderer's_details"/>
      <w:bookmarkEnd w:id="161"/>
      <w:r>
        <w:rPr>
          <w:color w:val="211F1F"/>
          <w:spacing w:val="-7"/>
        </w:rPr>
        <w:t>Tenderer's</w:t>
      </w:r>
      <w:r>
        <w:rPr>
          <w:color w:val="211F1F"/>
          <w:spacing w:val="5"/>
        </w:rPr>
        <w:t xml:space="preserve"> </w:t>
      </w:r>
      <w:r>
        <w:rPr>
          <w:color w:val="211F1F"/>
          <w:spacing w:val="-2"/>
        </w:rPr>
        <w:t>details</w:t>
      </w:r>
    </w:p>
    <w:p w14:paraId="0AD8365A" w14:textId="77777777" w:rsidR="00BB77C0" w:rsidRDefault="00BB77C0">
      <w:pPr>
        <w:pStyle w:val="BodyText"/>
        <w:spacing w:before="15"/>
        <w:rPr>
          <w:b/>
          <w:sz w:val="20"/>
        </w:rPr>
      </w:pPr>
    </w:p>
    <w:tbl>
      <w:tblPr>
        <w:tblW w:w="0" w:type="auto"/>
        <w:tblInd w:w="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7"/>
        <w:gridCol w:w="4490"/>
        <w:gridCol w:w="4677"/>
      </w:tblGrid>
      <w:tr w:rsidR="00BB77C0" w14:paraId="2FA969CC" w14:textId="77777777">
        <w:trPr>
          <w:trHeight w:val="249"/>
        </w:trPr>
        <w:tc>
          <w:tcPr>
            <w:tcW w:w="437" w:type="dxa"/>
          </w:tcPr>
          <w:p w14:paraId="23A9DCB6" w14:textId="77777777" w:rsidR="00BB77C0" w:rsidRDefault="00BB77C0">
            <w:pPr>
              <w:pStyle w:val="TableParagraph"/>
              <w:rPr>
                <w:sz w:val="18"/>
              </w:rPr>
            </w:pPr>
          </w:p>
        </w:tc>
        <w:tc>
          <w:tcPr>
            <w:tcW w:w="4490" w:type="dxa"/>
          </w:tcPr>
          <w:p w14:paraId="4684E691" w14:textId="77777777" w:rsidR="00BB77C0" w:rsidRDefault="00370BAA">
            <w:pPr>
              <w:pStyle w:val="TableParagraph"/>
              <w:spacing w:line="229" w:lineRule="exact"/>
              <w:ind w:left="110"/>
              <w:rPr>
                <w:b/>
              </w:rPr>
            </w:pPr>
            <w:r>
              <w:rPr>
                <w:b/>
                <w:spacing w:val="-4"/>
              </w:rPr>
              <w:t>ITEM</w:t>
            </w:r>
          </w:p>
        </w:tc>
        <w:tc>
          <w:tcPr>
            <w:tcW w:w="4677" w:type="dxa"/>
          </w:tcPr>
          <w:p w14:paraId="738E2835" w14:textId="77777777" w:rsidR="00BB77C0" w:rsidRDefault="00370BAA">
            <w:pPr>
              <w:pStyle w:val="TableParagraph"/>
              <w:spacing w:line="229" w:lineRule="exact"/>
              <w:ind w:left="109"/>
              <w:rPr>
                <w:b/>
              </w:rPr>
            </w:pPr>
            <w:r>
              <w:rPr>
                <w:b/>
                <w:spacing w:val="-2"/>
              </w:rPr>
              <w:t>DESCRIPTION</w:t>
            </w:r>
          </w:p>
        </w:tc>
      </w:tr>
      <w:tr w:rsidR="00BB77C0" w14:paraId="37F75681" w14:textId="77777777">
        <w:trPr>
          <w:trHeight w:val="364"/>
        </w:trPr>
        <w:tc>
          <w:tcPr>
            <w:tcW w:w="437" w:type="dxa"/>
          </w:tcPr>
          <w:p w14:paraId="114C8A5C" w14:textId="77777777" w:rsidR="00BB77C0" w:rsidRDefault="00370BAA">
            <w:pPr>
              <w:pStyle w:val="TableParagraph"/>
              <w:spacing w:line="249" w:lineRule="exact"/>
              <w:ind w:left="4" w:right="98"/>
              <w:jc w:val="center"/>
            </w:pPr>
            <w:r>
              <w:rPr>
                <w:spacing w:val="-10"/>
              </w:rPr>
              <w:t>1</w:t>
            </w:r>
          </w:p>
        </w:tc>
        <w:tc>
          <w:tcPr>
            <w:tcW w:w="4490" w:type="dxa"/>
          </w:tcPr>
          <w:p w14:paraId="40649755" w14:textId="77777777" w:rsidR="00BB77C0" w:rsidRDefault="00370BAA">
            <w:pPr>
              <w:pStyle w:val="TableParagraph"/>
              <w:spacing w:line="249" w:lineRule="exact"/>
              <w:ind w:left="110"/>
            </w:pPr>
            <w:r>
              <w:t>Name</w:t>
            </w:r>
            <w:r>
              <w:rPr>
                <w:spacing w:val="-7"/>
              </w:rPr>
              <w:t xml:space="preserve"> </w:t>
            </w:r>
            <w:r>
              <w:t>of</w:t>
            </w:r>
            <w:r>
              <w:rPr>
                <w:spacing w:val="-1"/>
              </w:rPr>
              <w:t xml:space="preserve"> </w:t>
            </w:r>
            <w:r>
              <w:t>the</w:t>
            </w:r>
            <w:r>
              <w:rPr>
                <w:spacing w:val="-11"/>
              </w:rPr>
              <w:t xml:space="preserve"> </w:t>
            </w:r>
            <w:r>
              <w:t>Procuring</w:t>
            </w:r>
            <w:r>
              <w:rPr>
                <w:spacing w:val="-8"/>
              </w:rPr>
              <w:t xml:space="preserve"> </w:t>
            </w:r>
            <w:r>
              <w:rPr>
                <w:spacing w:val="-2"/>
              </w:rPr>
              <w:t>Entity</w:t>
            </w:r>
          </w:p>
        </w:tc>
        <w:tc>
          <w:tcPr>
            <w:tcW w:w="4677" w:type="dxa"/>
          </w:tcPr>
          <w:p w14:paraId="6E0E5C49" w14:textId="77777777" w:rsidR="00BB77C0" w:rsidRDefault="00BB77C0">
            <w:pPr>
              <w:pStyle w:val="TableParagraph"/>
            </w:pPr>
          </w:p>
        </w:tc>
      </w:tr>
      <w:tr w:rsidR="00BB77C0" w14:paraId="7D0F9D2E" w14:textId="77777777">
        <w:trPr>
          <w:trHeight w:val="364"/>
        </w:trPr>
        <w:tc>
          <w:tcPr>
            <w:tcW w:w="437" w:type="dxa"/>
          </w:tcPr>
          <w:p w14:paraId="26BE619D" w14:textId="77777777" w:rsidR="00BB77C0" w:rsidRDefault="00370BAA">
            <w:pPr>
              <w:pStyle w:val="TableParagraph"/>
              <w:spacing w:before="1"/>
              <w:ind w:left="4" w:right="98"/>
              <w:jc w:val="center"/>
            </w:pPr>
            <w:r>
              <w:rPr>
                <w:spacing w:val="-10"/>
              </w:rPr>
              <w:t>2</w:t>
            </w:r>
          </w:p>
        </w:tc>
        <w:tc>
          <w:tcPr>
            <w:tcW w:w="4490" w:type="dxa"/>
          </w:tcPr>
          <w:p w14:paraId="70B39A33" w14:textId="77777777" w:rsidR="00BB77C0" w:rsidRDefault="00370BAA">
            <w:pPr>
              <w:pStyle w:val="TableParagraph"/>
              <w:spacing w:before="1"/>
              <w:ind w:left="110"/>
            </w:pPr>
            <w:r>
              <w:t>Reference</w:t>
            </w:r>
            <w:r>
              <w:rPr>
                <w:spacing w:val="-13"/>
              </w:rPr>
              <w:t xml:space="preserve"> </w:t>
            </w:r>
            <w:r>
              <w:t>Number</w:t>
            </w:r>
            <w:r>
              <w:rPr>
                <w:spacing w:val="1"/>
              </w:rPr>
              <w:t xml:space="preserve"> </w:t>
            </w:r>
            <w:r>
              <w:t>of</w:t>
            </w:r>
            <w:r>
              <w:rPr>
                <w:spacing w:val="-8"/>
              </w:rPr>
              <w:t xml:space="preserve"> </w:t>
            </w:r>
            <w:r>
              <w:t>the</w:t>
            </w:r>
            <w:r>
              <w:rPr>
                <w:spacing w:val="-9"/>
              </w:rPr>
              <w:t xml:space="preserve"> </w:t>
            </w:r>
            <w:r>
              <w:rPr>
                <w:spacing w:val="-2"/>
              </w:rPr>
              <w:t>Tender</w:t>
            </w:r>
          </w:p>
        </w:tc>
        <w:tc>
          <w:tcPr>
            <w:tcW w:w="4677" w:type="dxa"/>
          </w:tcPr>
          <w:p w14:paraId="352F9263" w14:textId="77777777" w:rsidR="00BB77C0" w:rsidRDefault="00BB77C0">
            <w:pPr>
              <w:pStyle w:val="TableParagraph"/>
            </w:pPr>
          </w:p>
        </w:tc>
      </w:tr>
      <w:tr w:rsidR="00BB77C0" w14:paraId="1AAB82EC" w14:textId="77777777">
        <w:trPr>
          <w:trHeight w:val="364"/>
        </w:trPr>
        <w:tc>
          <w:tcPr>
            <w:tcW w:w="437" w:type="dxa"/>
          </w:tcPr>
          <w:p w14:paraId="5B0DD6E9" w14:textId="77777777" w:rsidR="00BB77C0" w:rsidRDefault="00370BAA">
            <w:pPr>
              <w:pStyle w:val="TableParagraph"/>
              <w:spacing w:line="249" w:lineRule="exact"/>
              <w:ind w:left="4" w:right="98"/>
              <w:jc w:val="center"/>
            </w:pPr>
            <w:r>
              <w:rPr>
                <w:spacing w:val="-10"/>
              </w:rPr>
              <w:t>3</w:t>
            </w:r>
          </w:p>
        </w:tc>
        <w:tc>
          <w:tcPr>
            <w:tcW w:w="4490" w:type="dxa"/>
          </w:tcPr>
          <w:p w14:paraId="3CFA8362" w14:textId="77777777" w:rsidR="00BB77C0" w:rsidRDefault="00370BAA">
            <w:pPr>
              <w:pStyle w:val="TableParagraph"/>
              <w:spacing w:line="249" w:lineRule="exact"/>
              <w:ind w:left="110"/>
            </w:pPr>
            <w:r>
              <w:t>Date</w:t>
            </w:r>
            <w:r>
              <w:rPr>
                <w:spacing w:val="-13"/>
              </w:rPr>
              <w:t xml:space="preserve"> </w:t>
            </w:r>
            <w:r>
              <w:t>and</w:t>
            </w:r>
            <w:r>
              <w:rPr>
                <w:spacing w:val="-6"/>
              </w:rPr>
              <w:t xml:space="preserve"> </w:t>
            </w:r>
            <w:r>
              <w:t>Time</w:t>
            </w:r>
            <w:r>
              <w:rPr>
                <w:spacing w:val="-8"/>
              </w:rPr>
              <w:t xml:space="preserve"> </w:t>
            </w:r>
            <w:r>
              <w:t>of</w:t>
            </w:r>
            <w:r>
              <w:rPr>
                <w:spacing w:val="-3"/>
              </w:rPr>
              <w:t xml:space="preserve"> </w:t>
            </w:r>
            <w:r>
              <w:t>Tender</w:t>
            </w:r>
            <w:r>
              <w:rPr>
                <w:spacing w:val="2"/>
              </w:rPr>
              <w:t xml:space="preserve"> </w:t>
            </w:r>
            <w:r>
              <w:rPr>
                <w:spacing w:val="-2"/>
              </w:rPr>
              <w:t>Opening</w:t>
            </w:r>
          </w:p>
        </w:tc>
        <w:tc>
          <w:tcPr>
            <w:tcW w:w="4677" w:type="dxa"/>
          </w:tcPr>
          <w:p w14:paraId="718F1F2A" w14:textId="77777777" w:rsidR="00BB77C0" w:rsidRDefault="00BB77C0">
            <w:pPr>
              <w:pStyle w:val="TableParagraph"/>
            </w:pPr>
          </w:p>
        </w:tc>
      </w:tr>
      <w:tr w:rsidR="00BB77C0" w14:paraId="0CFFD86A" w14:textId="77777777">
        <w:trPr>
          <w:trHeight w:val="253"/>
        </w:trPr>
        <w:tc>
          <w:tcPr>
            <w:tcW w:w="437" w:type="dxa"/>
          </w:tcPr>
          <w:p w14:paraId="40CA6A88" w14:textId="77777777" w:rsidR="00BB77C0" w:rsidRDefault="00370BAA">
            <w:pPr>
              <w:pStyle w:val="TableParagraph"/>
              <w:spacing w:line="234" w:lineRule="exact"/>
              <w:ind w:left="4" w:right="98"/>
              <w:jc w:val="center"/>
            </w:pPr>
            <w:r>
              <w:rPr>
                <w:spacing w:val="-10"/>
              </w:rPr>
              <w:t>4</w:t>
            </w:r>
          </w:p>
        </w:tc>
        <w:tc>
          <w:tcPr>
            <w:tcW w:w="4490" w:type="dxa"/>
          </w:tcPr>
          <w:p w14:paraId="3065B23B" w14:textId="77777777" w:rsidR="00BB77C0" w:rsidRDefault="00370BAA">
            <w:pPr>
              <w:pStyle w:val="TableParagraph"/>
              <w:spacing w:line="234" w:lineRule="exact"/>
              <w:ind w:left="110"/>
            </w:pPr>
            <w:r>
              <w:t>Name</w:t>
            </w:r>
            <w:r>
              <w:rPr>
                <w:spacing w:val="-6"/>
              </w:rPr>
              <w:t xml:space="preserve"> </w:t>
            </w:r>
            <w:r>
              <w:t>of the</w:t>
            </w:r>
            <w:r>
              <w:rPr>
                <w:spacing w:val="-10"/>
              </w:rPr>
              <w:t xml:space="preserve"> </w:t>
            </w:r>
            <w:r>
              <w:rPr>
                <w:spacing w:val="-2"/>
              </w:rPr>
              <w:t>Tenderer</w:t>
            </w:r>
          </w:p>
        </w:tc>
        <w:tc>
          <w:tcPr>
            <w:tcW w:w="4677" w:type="dxa"/>
          </w:tcPr>
          <w:p w14:paraId="48735E92" w14:textId="77777777" w:rsidR="00BB77C0" w:rsidRDefault="00BB77C0">
            <w:pPr>
              <w:pStyle w:val="TableParagraph"/>
              <w:rPr>
                <w:sz w:val="18"/>
              </w:rPr>
            </w:pPr>
          </w:p>
        </w:tc>
      </w:tr>
      <w:tr w:rsidR="00BB77C0" w14:paraId="6674D37D" w14:textId="77777777">
        <w:trPr>
          <w:trHeight w:val="1771"/>
        </w:trPr>
        <w:tc>
          <w:tcPr>
            <w:tcW w:w="437" w:type="dxa"/>
          </w:tcPr>
          <w:p w14:paraId="4E1E1806" w14:textId="77777777" w:rsidR="00BB77C0" w:rsidRDefault="00370BAA">
            <w:pPr>
              <w:pStyle w:val="TableParagraph"/>
              <w:spacing w:line="249" w:lineRule="exact"/>
              <w:ind w:left="4" w:right="98"/>
              <w:jc w:val="center"/>
            </w:pPr>
            <w:r>
              <w:rPr>
                <w:spacing w:val="-10"/>
              </w:rPr>
              <w:t>5</w:t>
            </w:r>
          </w:p>
        </w:tc>
        <w:tc>
          <w:tcPr>
            <w:tcW w:w="4490" w:type="dxa"/>
          </w:tcPr>
          <w:p w14:paraId="738C7CE3" w14:textId="77777777" w:rsidR="00BB77C0" w:rsidRDefault="00370BAA">
            <w:pPr>
              <w:pStyle w:val="TableParagraph"/>
              <w:spacing w:line="242" w:lineRule="auto"/>
              <w:ind w:left="110" w:right="150"/>
            </w:pPr>
            <w:r>
              <w:t>Full</w:t>
            </w:r>
            <w:r>
              <w:rPr>
                <w:spacing w:val="-13"/>
              </w:rPr>
              <w:t xml:space="preserve"> </w:t>
            </w:r>
            <w:r>
              <w:t>Address</w:t>
            </w:r>
            <w:r>
              <w:rPr>
                <w:spacing w:val="-11"/>
              </w:rPr>
              <w:t xml:space="preserve"> </w:t>
            </w:r>
            <w:r>
              <w:t>and</w:t>
            </w:r>
            <w:r>
              <w:rPr>
                <w:spacing w:val="-14"/>
              </w:rPr>
              <w:t xml:space="preserve"> </w:t>
            </w:r>
            <w:r>
              <w:t>Contact</w:t>
            </w:r>
            <w:r>
              <w:rPr>
                <w:spacing w:val="-11"/>
              </w:rPr>
              <w:t xml:space="preserve"> </w:t>
            </w:r>
            <w:r>
              <w:t>Details</w:t>
            </w:r>
            <w:r>
              <w:rPr>
                <w:spacing w:val="-11"/>
              </w:rPr>
              <w:t xml:space="preserve"> </w:t>
            </w:r>
            <w:r>
              <w:t>of</w:t>
            </w:r>
            <w:r>
              <w:rPr>
                <w:spacing w:val="-14"/>
              </w:rPr>
              <w:t xml:space="preserve"> </w:t>
            </w:r>
            <w:r>
              <w:t xml:space="preserve">the </w:t>
            </w:r>
            <w:r>
              <w:rPr>
                <w:spacing w:val="-2"/>
              </w:rPr>
              <w:t>Tenderer.</w:t>
            </w:r>
          </w:p>
        </w:tc>
        <w:tc>
          <w:tcPr>
            <w:tcW w:w="4677" w:type="dxa"/>
          </w:tcPr>
          <w:p w14:paraId="6FA00114" w14:textId="77777777" w:rsidR="00BB77C0" w:rsidRDefault="00370BAA">
            <w:pPr>
              <w:pStyle w:val="TableParagraph"/>
              <w:numPr>
                <w:ilvl w:val="0"/>
                <w:numId w:val="45"/>
              </w:numPr>
              <w:tabs>
                <w:tab w:val="left" w:pos="459"/>
              </w:tabs>
              <w:spacing w:line="249" w:lineRule="exact"/>
              <w:ind w:left="459" w:hanging="359"/>
            </w:pPr>
            <w:r>
              <w:rPr>
                <w:spacing w:val="-2"/>
              </w:rPr>
              <w:t>Country</w:t>
            </w:r>
          </w:p>
          <w:p w14:paraId="68565CC4" w14:textId="77777777" w:rsidR="00BB77C0" w:rsidRDefault="00370BAA">
            <w:pPr>
              <w:pStyle w:val="TableParagraph"/>
              <w:numPr>
                <w:ilvl w:val="0"/>
                <w:numId w:val="45"/>
              </w:numPr>
              <w:tabs>
                <w:tab w:val="left" w:pos="459"/>
              </w:tabs>
              <w:spacing w:before="1"/>
              <w:ind w:left="459" w:hanging="359"/>
            </w:pPr>
            <w:r>
              <w:rPr>
                <w:spacing w:val="-4"/>
              </w:rPr>
              <w:t>City</w:t>
            </w:r>
          </w:p>
          <w:p w14:paraId="5431B8D3" w14:textId="77777777" w:rsidR="00BB77C0" w:rsidRDefault="00370BAA">
            <w:pPr>
              <w:pStyle w:val="TableParagraph"/>
              <w:numPr>
                <w:ilvl w:val="0"/>
                <w:numId w:val="45"/>
              </w:numPr>
              <w:tabs>
                <w:tab w:val="left" w:pos="454"/>
              </w:tabs>
              <w:spacing w:before="2" w:line="251" w:lineRule="exact"/>
              <w:ind w:left="454" w:hanging="354"/>
            </w:pPr>
            <w:r>
              <w:rPr>
                <w:spacing w:val="-2"/>
              </w:rPr>
              <w:t>Location</w:t>
            </w:r>
          </w:p>
          <w:p w14:paraId="128C4687" w14:textId="77777777" w:rsidR="00BB77C0" w:rsidRDefault="00370BAA">
            <w:pPr>
              <w:pStyle w:val="TableParagraph"/>
              <w:numPr>
                <w:ilvl w:val="0"/>
                <w:numId w:val="45"/>
              </w:numPr>
              <w:tabs>
                <w:tab w:val="left" w:pos="454"/>
              </w:tabs>
              <w:spacing w:line="251" w:lineRule="exact"/>
              <w:ind w:left="454" w:hanging="354"/>
            </w:pPr>
            <w:r>
              <w:rPr>
                <w:spacing w:val="-2"/>
              </w:rPr>
              <w:t>Building</w:t>
            </w:r>
          </w:p>
          <w:p w14:paraId="2A7A74A6" w14:textId="77777777" w:rsidR="00BB77C0" w:rsidRDefault="00370BAA">
            <w:pPr>
              <w:pStyle w:val="TableParagraph"/>
              <w:numPr>
                <w:ilvl w:val="0"/>
                <w:numId w:val="45"/>
              </w:numPr>
              <w:tabs>
                <w:tab w:val="left" w:pos="454"/>
              </w:tabs>
              <w:spacing w:before="2"/>
              <w:ind w:left="454" w:hanging="354"/>
            </w:pPr>
            <w:r>
              <w:rPr>
                <w:spacing w:val="-2"/>
              </w:rPr>
              <w:t>Floor</w:t>
            </w:r>
          </w:p>
          <w:p w14:paraId="36D9C259" w14:textId="77777777" w:rsidR="00BB77C0" w:rsidRDefault="00370BAA">
            <w:pPr>
              <w:pStyle w:val="TableParagraph"/>
              <w:numPr>
                <w:ilvl w:val="0"/>
                <w:numId w:val="45"/>
              </w:numPr>
              <w:tabs>
                <w:tab w:val="left" w:pos="454"/>
              </w:tabs>
              <w:spacing w:before="1" w:line="246" w:lineRule="exact"/>
              <w:ind w:left="454" w:hanging="354"/>
            </w:pPr>
            <w:r>
              <w:t>Postal</w:t>
            </w:r>
            <w:r>
              <w:rPr>
                <w:spacing w:val="-6"/>
              </w:rPr>
              <w:t xml:space="preserve"> </w:t>
            </w:r>
            <w:r>
              <w:rPr>
                <w:spacing w:val="-2"/>
              </w:rPr>
              <w:t>Address</w:t>
            </w:r>
          </w:p>
          <w:p w14:paraId="5B019318" w14:textId="77777777" w:rsidR="00BB77C0" w:rsidRDefault="00370BAA">
            <w:pPr>
              <w:pStyle w:val="TableParagraph"/>
              <w:numPr>
                <w:ilvl w:val="0"/>
                <w:numId w:val="45"/>
              </w:numPr>
              <w:tabs>
                <w:tab w:val="left" w:pos="459"/>
              </w:tabs>
              <w:spacing w:line="241" w:lineRule="exact"/>
              <w:ind w:left="459" w:hanging="359"/>
            </w:pPr>
            <w:r>
              <w:t>Name</w:t>
            </w:r>
            <w:r>
              <w:rPr>
                <w:spacing w:val="-13"/>
              </w:rPr>
              <w:t xml:space="preserve"> </w:t>
            </w:r>
            <w:r>
              <w:t>and</w:t>
            </w:r>
            <w:r>
              <w:rPr>
                <w:spacing w:val="-1"/>
              </w:rPr>
              <w:t xml:space="preserve"> </w:t>
            </w:r>
            <w:r>
              <w:t>email</w:t>
            </w:r>
            <w:r>
              <w:rPr>
                <w:spacing w:val="-5"/>
              </w:rPr>
              <w:t xml:space="preserve"> </w:t>
            </w:r>
            <w:r>
              <w:t>of</w:t>
            </w:r>
            <w:r>
              <w:rPr>
                <w:spacing w:val="-4"/>
              </w:rPr>
              <w:t xml:space="preserve"> </w:t>
            </w:r>
            <w:r>
              <w:t>contact</w:t>
            </w:r>
            <w:r>
              <w:rPr>
                <w:spacing w:val="-3"/>
              </w:rPr>
              <w:t xml:space="preserve"> </w:t>
            </w:r>
            <w:r>
              <w:rPr>
                <w:spacing w:val="-2"/>
              </w:rPr>
              <w:t>person.</w:t>
            </w:r>
          </w:p>
        </w:tc>
      </w:tr>
      <w:tr w:rsidR="00BB77C0" w14:paraId="11BE508F" w14:textId="77777777">
        <w:trPr>
          <w:trHeight w:val="508"/>
        </w:trPr>
        <w:tc>
          <w:tcPr>
            <w:tcW w:w="437" w:type="dxa"/>
          </w:tcPr>
          <w:p w14:paraId="2AE23F19" w14:textId="77777777" w:rsidR="00BB77C0" w:rsidRDefault="00370BAA">
            <w:pPr>
              <w:pStyle w:val="TableParagraph"/>
              <w:spacing w:line="249" w:lineRule="exact"/>
              <w:ind w:left="4" w:right="98"/>
              <w:jc w:val="center"/>
            </w:pPr>
            <w:r>
              <w:rPr>
                <w:spacing w:val="-10"/>
              </w:rPr>
              <w:t>6</w:t>
            </w:r>
          </w:p>
        </w:tc>
        <w:tc>
          <w:tcPr>
            <w:tcW w:w="4490" w:type="dxa"/>
          </w:tcPr>
          <w:p w14:paraId="449B7002" w14:textId="77777777" w:rsidR="00BB77C0" w:rsidRDefault="00370BAA">
            <w:pPr>
              <w:pStyle w:val="TableParagraph"/>
              <w:spacing w:before="6" w:line="228" w:lineRule="auto"/>
              <w:ind w:left="110"/>
            </w:pPr>
            <w:r>
              <w:t>Current</w:t>
            </w:r>
            <w:r>
              <w:rPr>
                <w:spacing w:val="-14"/>
              </w:rPr>
              <w:t xml:space="preserve"> </w:t>
            </w:r>
            <w:r>
              <w:t>Trade</w:t>
            </w:r>
            <w:r>
              <w:rPr>
                <w:spacing w:val="-14"/>
              </w:rPr>
              <w:t xml:space="preserve"> </w:t>
            </w:r>
            <w:r>
              <w:t>License</w:t>
            </w:r>
            <w:r>
              <w:rPr>
                <w:spacing w:val="-14"/>
              </w:rPr>
              <w:t xml:space="preserve"> </w:t>
            </w:r>
            <w:r>
              <w:t>Registration</w:t>
            </w:r>
            <w:r>
              <w:rPr>
                <w:spacing w:val="-13"/>
              </w:rPr>
              <w:t xml:space="preserve"> </w:t>
            </w:r>
            <w:r>
              <w:t>Number</w:t>
            </w:r>
            <w:r>
              <w:rPr>
                <w:spacing w:val="-14"/>
              </w:rPr>
              <w:t xml:space="preserve"> </w:t>
            </w:r>
            <w:r>
              <w:t>and Expiring date</w:t>
            </w:r>
          </w:p>
        </w:tc>
        <w:tc>
          <w:tcPr>
            <w:tcW w:w="4677" w:type="dxa"/>
          </w:tcPr>
          <w:p w14:paraId="1A24D2F9" w14:textId="77777777" w:rsidR="00BB77C0" w:rsidRDefault="00BB77C0">
            <w:pPr>
              <w:pStyle w:val="TableParagraph"/>
            </w:pPr>
          </w:p>
        </w:tc>
      </w:tr>
      <w:tr w:rsidR="00BB77C0" w14:paraId="1932C4FF" w14:textId="77777777">
        <w:trPr>
          <w:trHeight w:val="758"/>
        </w:trPr>
        <w:tc>
          <w:tcPr>
            <w:tcW w:w="437" w:type="dxa"/>
          </w:tcPr>
          <w:p w14:paraId="4D2536F8" w14:textId="77777777" w:rsidR="00BB77C0" w:rsidRDefault="00370BAA">
            <w:pPr>
              <w:pStyle w:val="TableParagraph"/>
              <w:spacing w:line="249" w:lineRule="exact"/>
              <w:ind w:left="4" w:right="98"/>
              <w:jc w:val="center"/>
            </w:pPr>
            <w:r>
              <w:rPr>
                <w:spacing w:val="-10"/>
              </w:rPr>
              <w:t>7</w:t>
            </w:r>
          </w:p>
        </w:tc>
        <w:tc>
          <w:tcPr>
            <w:tcW w:w="4490" w:type="dxa"/>
          </w:tcPr>
          <w:p w14:paraId="27BAAAB4" w14:textId="77777777" w:rsidR="00BB77C0" w:rsidRDefault="00370BAA">
            <w:pPr>
              <w:pStyle w:val="TableParagraph"/>
              <w:spacing w:line="244" w:lineRule="exact"/>
              <w:ind w:left="110"/>
              <w:rPr>
                <w:i/>
              </w:rPr>
            </w:pPr>
            <w:r>
              <w:t>Name,</w:t>
            </w:r>
            <w:r>
              <w:rPr>
                <w:spacing w:val="-6"/>
              </w:rPr>
              <w:t xml:space="preserve"> </w:t>
            </w:r>
            <w:r>
              <w:t>country</w:t>
            </w:r>
            <w:r>
              <w:rPr>
                <w:spacing w:val="-11"/>
              </w:rPr>
              <w:t xml:space="preserve"> </w:t>
            </w:r>
            <w:r>
              <w:t>and</w:t>
            </w:r>
            <w:r>
              <w:rPr>
                <w:spacing w:val="-12"/>
              </w:rPr>
              <w:t xml:space="preserve"> </w:t>
            </w:r>
            <w:r>
              <w:t>full</w:t>
            </w:r>
            <w:r>
              <w:rPr>
                <w:spacing w:val="-10"/>
              </w:rPr>
              <w:t xml:space="preserve"> </w:t>
            </w:r>
            <w:r>
              <w:t>address</w:t>
            </w:r>
            <w:r>
              <w:rPr>
                <w:spacing w:val="-6"/>
              </w:rPr>
              <w:t xml:space="preserve"> </w:t>
            </w:r>
            <w:r>
              <w:t>(</w:t>
            </w:r>
            <w:r>
              <w:rPr>
                <w:i/>
              </w:rPr>
              <w:t>postal</w:t>
            </w:r>
            <w:r>
              <w:rPr>
                <w:i/>
                <w:spacing w:val="-6"/>
              </w:rPr>
              <w:t xml:space="preserve"> </w:t>
            </w:r>
            <w:r>
              <w:rPr>
                <w:i/>
                <w:spacing w:val="-5"/>
              </w:rPr>
              <w:t>and</w:t>
            </w:r>
          </w:p>
          <w:p w14:paraId="3F33705E" w14:textId="77777777" w:rsidR="00BB77C0" w:rsidRDefault="00370BAA">
            <w:pPr>
              <w:pStyle w:val="TableParagraph"/>
              <w:spacing w:before="2" w:line="246" w:lineRule="exact"/>
              <w:ind w:left="110" w:right="150"/>
            </w:pPr>
            <w:r>
              <w:rPr>
                <w:i/>
              </w:rPr>
              <w:t>physical</w:t>
            </w:r>
            <w:r>
              <w:rPr>
                <w:i/>
                <w:spacing w:val="-8"/>
              </w:rPr>
              <w:t xml:space="preserve"> </w:t>
            </w:r>
            <w:r>
              <w:rPr>
                <w:i/>
              </w:rPr>
              <w:t>addresses,</w:t>
            </w:r>
            <w:r>
              <w:rPr>
                <w:i/>
                <w:spacing w:val="-7"/>
              </w:rPr>
              <w:t xml:space="preserve"> </w:t>
            </w:r>
            <w:r>
              <w:rPr>
                <w:i/>
              </w:rPr>
              <w:t>email,</w:t>
            </w:r>
            <w:r>
              <w:rPr>
                <w:i/>
                <w:spacing w:val="-11"/>
              </w:rPr>
              <w:t xml:space="preserve"> </w:t>
            </w:r>
            <w:r>
              <w:rPr>
                <w:i/>
              </w:rPr>
              <w:t>and</w:t>
            </w:r>
            <w:r>
              <w:rPr>
                <w:i/>
                <w:spacing w:val="-13"/>
              </w:rPr>
              <w:t xml:space="preserve"> </w:t>
            </w:r>
            <w:r>
              <w:rPr>
                <w:i/>
              </w:rPr>
              <w:t>telephone number</w:t>
            </w:r>
            <w:r>
              <w:t>) of Registering Body/Agency</w:t>
            </w:r>
          </w:p>
        </w:tc>
        <w:tc>
          <w:tcPr>
            <w:tcW w:w="4677" w:type="dxa"/>
          </w:tcPr>
          <w:p w14:paraId="336A89BC" w14:textId="77777777" w:rsidR="00BB77C0" w:rsidRDefault="00BB77C0">
            <w:pPr>
              <w:pStyle w:val="TableParagraph"/>
            </w:pPr>
          </w:p>
        </w:tc>
      </w:tr>
      <w:tr w:rsidR="00BB77C0" w14:paraId="40E23F04" w14:textId="77777777">
        <w:trPr>
          <w:trHeight w:val="249"/>
        </w:trPr>
        <w:tc>
          <w:tcPr>
            <w:tcW w:w="437" w:type="dxa"/>
          </w:tcPr>
          <w:p w14:paraId="4BBC19FE" w14:textId="77777777" w:rsidR="00BB77C0" w:rsidRDefault="00370BAA">
            <w:pPr>
              <w:pStyle w:val="TableParagraph"/>
              <w:spacing w:line="229" w:lineRule="exact"/>
              <w:ind w:left="4" w:right="98"/>
              <w:jc w:val="center"/>
            </w:pPr>
            <w:r>
              <w:rPr>
                <w:spacing w:val="-10"/>
              </w:rPr>
              <w:t>8</w:t>
            </w:r>
          </w:p>
        </w:tc>
        <w:tc>
          <w:tcPr>
            <w:tcW w:w="4490" w:type="dxa"/>
          </w:tcPr>
          <w:p w14:paraId="0A3DF753" w14:textId="77777777" w:rsidR="00BB77C0" w:rsidRDefault="00370BAA">
            <w:pPr>
              <w:pStyle w:val="TableParagraph"/>
              <w:spacing w:line="229" w:lineRule="exact"/>
              <w:ind w:left="110"/>
            </w:pPr>
            <w:r>
              <w:t>Description</w:t>
            </w:r>
            <w:r>
              <w:rPr>
                <w:spacing w:val="-10"/>
              </w:rPr>
              <w:t xml:space="preserve"> </w:t>
            </w:r>
            <w:r>
              <w:t>of</w:t>
            </w:r>
            <w:r>
              <w:rPr>
                <w:spacing w:val="-2"/>
              </w:rPr>
              <w:t xml:space="preserve"> </w:t>
            </w:r>
            <w:r>
              <w:t>Nature</w:t>
            </w:r>
            <w:r>
              <w:rPr>
                <w:spacing w:val="-8"/>
              </w:rPr>
              <w:t xml:space="preserve"> </w:t>
            </w:r>
            <w:r>
              <w:t>of</w:t>
            </w:r>
            <w:r>
              <w:rPr>
                <w:spacing w:val="-2"/>
              </w:rPr>
              <w:t xml:space="preserve"> Business</w:t>
            </w:r>
          </w:p>
        </w:tc>
        <w:tc>
          <w:tcPr>
            <w:tcW w:w="4677" w:type="dxa"/>
          </w:tcPr>
          <w:p w14:paraId="0645DAA9" w14:textId="77777777" w:rsidR="00BB77C0" w:rsidRDefault="00BB77C0">
            <w:pPr>
              <w:pStyle w:val="TableParagraph"/>
              <w:rPr>
                <w:sz w:val="18"/>
              </w:rPr>
            </w:pPr>
          </w:p>
        </w:tc>
      </w:tr>
      <w:tr w:rsidR="00BB77C0" w14:paraId="30CB7204" w14:textId="77777777">
        <w:trPr>
          <w:trHeight w:val="508"/>
        </w:trPr>
        <w:tc>
          <w:tcPr>
            <w:tcW w:w="437" w:type="dxa"/>
          </w:tcPr>
          <w:p w14:paraId="42984A14" w14:textId="77777777" w:rsidR="00BB77C0" w:rsidRDefault="00370BAA">
            <w:pPr>
              <w:pStyle w:val="TableParagraph"/>
              <w:spacing w:before="1"/>
              <w:ind w:left="4" w:right="98"/>
              <w:jc w:val="center"/>
            </w:pPr>
            <w:r>
              <w:rPr>
                <w:spacing w:val="-10"/>
              </w:rPr>
              <w:t>9</w:t>
            </w:r>
          </w:p>
        </w:tc>
        <w:tc>
          <w:tcPr>
            <w:tcW w:w="4490" w:type="dxa"/>
          </w:tcPr>
          <w:p w14:paraId="675EC1FF" w14:textId="77777777" w:rsidR="00BB77C0" w:rsidRDefault="00370BAA">
            <w:pPr>
              <w:pStyle w:val="TableParagraph"/>
              <w:spacing w:line="254" w:lineRule="exact"/>
              <w:ind w:left="110"/>
            </w:pPr>
            <w:r>
              <w:t>Maximum</w:t>
            </w:r>
            <w:r>
              <w:rPr>
                <w:spacing w:val="-9"/>
              </w:rPr>
              <w:t xml:space="preserve"> </w:t>
            </w:r>
            <w:r>
              <w:t>value</w:t>
            </w:r>
            <w:r>
              <w:rPr>
                <w:spacing w:val="-11"/>
              </w:rPr>
              <w:t xml:space="preserve"> </w:t>
            </w:r>
            <w:r>
              <w:t>of</w:t>
            </w:r>
            <w:r>
              <w:rPr>
                <w:spacing w:val="-11"/>
              </w:rPr>
              <w:t xml:space="preserve"> </w:t>
            </w:r>
            <w:r>
              <w:t>business</w:t>
            </w:r>
            <w:r>
              <w:rPr>
                <w:spacing w:val="-4"/>
              </w:rPr>
              <w:t xml:space="preserve"> </w:t>
            </w:r>
            <w:r>
              <w:t>which</w:t>
            </w:r>
            <w:r>
              <w:rPr>
                <w:spacing w:val="-13"/>
              </w:rPr>
              <w:t xml:space="preserve"> </w:t>
            </w:r>
            <w:r>
              <w:t>the</w:t>
            </w:r>
            <w:r>
              <w:rPr>
                <w:spacing w:val="-14"/>
              </w:rPr>
              <w:t xml:space="preserve"> </w:t>
            </w:r>
            <w:r>
              <w:t xml:space="preserve">Tenderer </w:t>
            </w:r>
            <w:r>
              <w:rPr>
                <w:spacing w:val="-2"/>
              </w:rPr>
              <w:t>handles.</w:t>
            </w:r>
          </w:p>
        </w:tc>
        <w:tc>
          <w:tcPr>
            <w:tcW w:w="4677" w:type="dxa"/>
          </w:tcPr>
          <w:p w14:paraId="39454095" w14:textId="77777777" w:rsidR="00BB77C0" w:rsidRDefault="00BB77C0">
            <w:pPr>
              <w:pStyle w:val="TableParagraph"/>
            </w:pPr>
          </w:p>
        </w:tc>
      </w:tr>
      <w:tr w:rsidR="00BB77C0" w14:paraId="6A9AC049" w14:textId="77777777">
        <w:trPr>
          <w:trHeight w:val="1416"/>
        </w:trPr>
        <w:tc>
          <w:tcPr>
            <w:tcW w:w="437" w:type="dxa"/>
          </w:tcPr>
          <w:p w14:paraId="07E1CDC9" w14:textId="77777777" w:rsidR="00BB77C0" w:rsidRDefault="00370BAA">
            <w:pPr>
              <w:pStyle w:val="TableParagraph"/>
              <w:spacing w:line="249" w:lineRule="exact"/>
              <w:ind w:left="4"/>
              <w:jc w:val="center"/>
            </w:pPr>
            <w:r>
              <w:rPr>
                <w:spacing w:val="-5"/>
              </w:rPr>
              <w:t>10</w:t>
            </w:r>
          </w:p>
        </w:tc>
        <w:tc>
          <w:tcPr>
            <w:tcW w:w="4490" w:type="dxa"/>
          </w:tcPr>
          <w:p w14:paraId="7CA052AF" w14:textId="77777777" w:rsidR="00BB77C0" w:rsidRDefault="00370BAA">
            <w:pPr>
              <w:pStyle w:val="TableParagraph"/>
              <w:spacing w:line="276" w:lineRule="auto"/>
              <w:ind w:left="110" w:right="150"/>
            </w:pPr>
            <w:r>
              <w:t>State if Tenders Company is listed in stock exchange,</w:t>
            </w:r>
            <w:r>
              <w:rPr>
                <w:spacing w:val="-1"/>
              </w:rPr>
              <w:t xml:space="preserve"> </w:t>
            </w:r>
            <w:r>
              <w:t>give</w:t>
            </w:r>
            <w:r>
              <w:rPr>
                <w:spacing w:val="-10"/>
              </w:rPr>
              <w:t xml:space="preserve"> </w:t>
            </w:r>
            <w:r>
              <w:t>name</w:t>
            </w:r>
            <w:r>
              <w:rPr>
                <w:spacing w:val="-10"/>
              </w:rPr>
              <w:t xml:space="preserve"> </w:t>
            </w:r>
            <w:r>
              <w:t>and</w:t>
            </w:r>
            <w:r>
              <w:rPr>
                <w:spacing w:val="-9"/>
              </w:rPr>
              <w:t xml:space="preserve"> </w:t>
            </w:r>
            <w:r>
              <w:t>full</w:t>
            </w:r>
            <w:r>
              <w:rPr>
                <w:spacing w:val="-11"/>
              </w:rPr>
              <w:t xml:space="preserve"> </w:t>
            </w:r>
            <w:r>
              <w:t>address</w:t>
            </w:r>
            <w:r>
              <w:rPr>
                <w:spacing w:val="-7"/>
              </w:rPr>
              <w:t xml:space="preserve"> </w:t>
            </w:r>
            <w:r>
              <w:t>(</w:t>
            </w:r>
            <w:r>
              <w:rPr>
                <w:i/>
              </w:rPr>
              <w:t>postal and</w:t>
            </w:r>
            <w:r>
              <w:rPr>
                <w:i/>
                <w:spacing w:val="-14"/>
              </w:rPr>
              <w:t xml:space="preserve"> </w:t>
            </w:r>
            <w:r>
              <w:rPr>
                <w:i/>
              </w:rPr>
              <w:t>physical</w:t>
            </w:r>
            <w:r>
              <w:rPr>
                <w:i/>
                <w:spacing w:val="-14"/>
              </w:rPr>
              <w:t xml:space="preserve"> </w:t>
            </w:r>
            <w:r>
              <w:rPr>
                <w:i/>
              </w:rPr>
              <w:t>addresses,</w:t>
            </w:r>
            <w:r>
              <w:rPr>
                <w:i/>
                <w:spacing w:val="-14"/>
              </w:rPr>
              <w:t xml:space="preserve"> </w:t>
            </w:r>
            <w:r>
              <w:rPr>
                <w:i/>
              </w:rPr>
              <w:t>email,</w:t>
            </w:r>
            <w:r>
              <w:rPr>
                <w:i/>
                <w:spacing w:val="-13"/>
              </w:rPr>
              <w:t xml:space="preserve"> </w:t>
            </w:r>
            <w:r>
              <w:rPr>
                <w:i/>
              </w:rPr>
              <w:t>and</w:t>
            </w:r>
            <w:r>
              <w:rPr>
                <w:i/>
                <w:spacing w:val="-14"/>
              </w:rPr>
              <w:t xml:space="preserve"> </w:t>
            </w:r>
            <w:r>
              <w:rPr>
                <w:i/>
              </w:rPr>
              <w:t>telephone number</w:t>
            </w:r>
            <w:r>
              <w:t>) of</w:t>
            </w:r>
          </w:p>
          <w:p w14:paraId="2D910C65" w14:textId="77777777" w:rsidR="00BB77C0" w:rsidRDefault="00370BAA">
            <w:pPr>
              <w:pStyle w:val="TableParagraph"/>
              <w:spacing w:line="236" w:lineRule="exact"/>
              <w:ind w:left="110"/>
            </w:pPr>
            <w:r>
              <w:t>state</w:t>
            </w:r>
            <w:r>
              <w:rPr>
                <w:spacing w:val="-9"/>
              </w:rPr>
              <w:t xml:space="preserve"> </w:t>
            </w:r>
            <w:r>
              <w:t>which</w:t>
            </w:r>
            <w:r>
              <w:rPr>
                <w:spacing w:val="-3"/>
              </w:rPr>
              <w:t xml:space="preserve"> </w:t>
            </w:r>
            <w:r>
              <w:t>stock</w:t>
            </w:r>
            <w:r>
              <w:rPr>
                <w:spacing w:val="-3"/>
              </w:rPr>
              <w:t xml:space="preserve"> </w:t>
            </w:r>
            <w:r>
              <w:rPr>
                <w:spacing w:val="-2"/>
              </w:rPr>
              <w:t>exchange</w:t>
            </w:r>
          </w:p>
        </w:tc>
        <w:tc>
          <w:tcPr>
            <w:tcW w:w="4677" w:type="dxa"/>
          </w:tcPr>
          <w:p w14:paraId="30954C3E" w14:textId="77777777" w:rsidR="00BB77C0" w:rsidRDefault="00BB77C0">
            <w:pPr>
              <w:pStyle w:val="TableParagraph"/>
            </w:pPr>
          </w:p>
        </w:tc>
      </w:tr>
    </w:tbl>
    <w:p w14:paraId="4DCFA196" w14:textId="77777777" w:rsidR="00BB77C0" w:rsidRDefault="00BB77C0">
      <w:pPr>
        <w:pStyle w:val="TableParagraph"/>
        <w:sectPr w:rsidR="00BB77C0">
          <w:pgSz w:w="11920" w:h="16850"/>
          <w:pgMar w:top="0" w:right="0" w:bottom="0" w:left="360" w:header="720" w:footer="720" w:gutter="0"/>
          <w:cols w:space="720"/>
        </w:sectPr>
      </w:pPr>
    </w:p>
    <w:p w14:paraId="3176D501" w14:textId="77777777" w:rsidR="00BB77C0" w:rsidRDefault="00370BAA">
      <w:pPr>
        <w:pStyle w:val="BodyText"/>
        <w:rPr>
          <w:b/>
        </w:rPr>
      </w:pPr>
      <w:r>
        <w:rPr>
          <w:b/>
          <w:noProof/>
        </w:rPr>
        <w:lastRenderedPageBreak/>
        <mc:AlternateContent>
          <mc:Choice Requires="wpg">
            <w:drawing>
              <wp:anchor distT="0" distB="0" distL="0" distR="0" simplePos="0" relativeHeight="15758848" behindDoc="0" locked="0" layoutInCell="1" allowOverlap="1" wp14:anchorId="1DFCAA3D" wp14:editId="011BB4FD">
                <wp:simplePos x="0" y="0"/>
                <wp:positionH relativeFrom="page">
                  <wp:posOffset>0</wp:posOffset>
                </wp:positionH>
                <wp:positionV relativeFrom="page">
                  <wp:posOffset>10234295</wp:posOffset>
                </wp:positionV>
                <wp:extent cx="7561580" cy="459105"/>
                <wp:effectExtent l="0" t="0" r="0" b="0"/>
                <wp:wrapNone/>
                <wp:docPr id="240" name="Group 2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1580" cy="459105"/>
                          <a:chOff x="0" y="0"/>
                          <a:chExt cx="7561580" cy="459105"/>
                        </a:xfrm>
                      </wpg:grpSpPr>
                      <wps:wsp>
                        <wps:cNvPr id="241" name="Graphic 241"/>
                        <wps:cNvSpPr/>
                        <wps:spPr>
                          <a:xfrm>
                            <a:off x="6449059" y="5714"/>
                            <a:ext cx="1110615" cy="451484"/>
                          </a:xfrm>
                          <a:custGeom>
                            <a:avLst/>
                            <a:gdLst/>
                            <a:ahLst/>
                            <a:cxnLst/>
                            <a:rect l="l" t="t" r="r" b="b"/>
                            <a:pathLst>
                              <a:path w="1110615" h="451484">
                                <a:moveTo>
                                  <a:pt x="1110614" y="0"/>
                                </a:moveTo>
                                <a:lnTo>
                                  <a:pt x="0" y="0"/>
                                </a:lnTo>
                                <a:lnTo>
                                  <a:pt x="260349" y="451483"/>
                                </a:lnTo>
                                <a:lnTo>
                                  <a:pt x="1110614" y="451483"/>
                                </a:lnTo>
                                <a:lnTo>
                                  <a:pt x="1110614" y="0"/>
                                </a:lnTo>
                                <a:close/>
                              </a:path>
                            </a:pathLst>
                          </a:custGeom>
                          <a:solidFill>
                            <a:srgbClr val="FAD2C1"/>
                          </a:solidFill>
                        </wps:spPr>
                        <wps:bodyPr wrap="square" lIns="0" tIns="0" rIns="0" bIns="0" rtlCol="0">
                          <a:prstTxWarp prst="textNoShape">
                            <a:avLst/>
                          </a:prstTxWarp>
                          <a:noAutofit/>
                        </wps:bodyPr>
                      </wps:wsp>
                      <wps:wsp>
                        <wps:cNvPr id="242" name="Graphic 242"/>
                        <wps:cNvSpPr/>
                        <wps:spPr>
                          <a:xfrm>
                            <a:off x="6449059" y="5714"/>
                            <a:ext cx="1110615" cy="451484"/>
                          </a:xfrm>
                          <a:custGeom>
                            <a:avLst/>
                            <a:gdLst/>
                            <a:ahLst/>
                            <a:cxnLst/>
                            <a:rect l="l" t="t" r="r" b="b"/>
                            <a:pathLst>
                              <a:path w="1110615" h="451484">
                                <a:moveTo>
                                  <a:pt x="0" y="0"/>
                                </a:moveTo>
                                <a:lnTo>
                                  <a:pt x="1110614" y="0"/>
                                </a:lnTo>
                                <a:lnTo>
                                  <a:pt x="1110614" y="451483"/>
                                </a:lnTo>
                                <a:lnTo>
                                  <a:pt x="260349" y="451483"/>
                                </a:lnTo>
                                <a:lnTo>
                                  <a:pt x="0" y="0"/>
                                </a:lnTo>
                              </a:path>
                            </a:pathLst>
                          </a:custGeom>
                          <a:ln w="3051">
                            <a:solidFill>
                              <a:srgbClr val="FAD2C1"/>
                            </a:solidFill>
                            <a:prstDash val="solid"/>
                          </a:ln>
                        </wps:spPr>
                        <wps:bodyPr wrap="square" lIns="0" tIns="0" rIns="0" bIns="0" rtlCol="0">
                          <a:prstTxWarp prst="textNoShape">
                            <a:avLst/>
                          </a:prstTxWarp>
                          <a:noAutofit/>
                        </wps:bodyPr>
                      </wps:wsp>
                      <wps:wsp>
                        <wps:cNvPr id="243" name="Graphic 243"/>
                        <wps:cNvSpPr/>
                        <wps:spPr>
                          <a:xfrm>
                            <a:off x="0" y="6350"/>
                            <a:ext cx="7560309" cy="1270"/>
                          </a:xfrm>
                          <a:custGeom>
                            <a:avLst/>
                            <a:gdLst/>
                            <a:ahLst/>
                            <a:cxnLst/>
                            <a:rect l="l" t="t" r="r" b="b"/>
                            <a:pathLst>
                              <a:path w="7560309">
                                <a:moveTo>
                                  <a:pt x="0" y="0"/>
                                </a:moveTo>
                                <a:lnTo>
                                  <a:pt x="7560309" y="0"/>
                                </a:lnTo>
                              </a:path>
                            </a:pathLst>
                          </a:custGeom>
                          <a:ln w="12700">
                            <a:solidFill>
                              <a:srgbClr val="FAD2C1"/>
                            </a:solidFill>
                            <a:prstDash val="solid"/>
                          </a:ln>
                        </wps:spPr>
                        <wps:bodyPr wrap="square" lIns="0" tIns="0" rIns="0" bIns="0" rtlCol="0">
                          <a:prstTxWarp prst="textNoShape">
                            <a:avLst/>
                          </a:prstTxWarp>
                          <a:noAutofit/>
                        </wps:bodyPr>
                      </wps:wsp>
                      <wps:wsp>
                        <wps:cNvPr id="244" name="Textbox 244"/>
                        <wps:cNvSpPr txBox="1"/>
                        <wps:spPr>
                          <a:xfrm>
                            <a:off x="6882130" y="37491"/>
                            <a:ext cx="147320" cy="155575"/>
                          </a:xfrm>
                          <a:prstGeom prst="rect">
                            <a:avLst/>
                          </a:prstGeom>
                        </wps:spPr>
                        <wps:txbx>
                          <w:txbxContent>
                            <w:p w14:paraId="29FE55C2" w14:textId="77777777" w:rsidR="00BB77C0" w:rsidRDefault="00370BAA">
                              <w:pPr>
                                <w:spacing w:line="244" w:lineRule="exact"/>
                              </w:pPr>
                              <w:r>
                                <w:rPr>
                                  <w:spacing w:val="-5"/>
                                </w:rPr>
                                <w:t>61</w:t>
                              </w:r>
                            </w:p>
                          </w:txbxContent>
                        </wps:txbx>
                        <wps:bodyPr wrap="square" lIns="0" tIns="0" rIns="0" bIns="0" rtlCol="0">
                          <a:noAutofit/>
                        </wps:bodyPr>
                      </wps:wsp>
                    </wpg:wgp>
                  </a:graphicData>
                </a:graphic>
              </wp:anchor>
            </w:drawing>
          </mc:Choice>
          <mc:Fallback>
            <w:pict>
              <v:group w14:anchorId="1DFCAA3D" id="Group 240" o:spid="_x0000_s1131" style="position:absolute;margin-left:0;margin-top:805.85pt;width:595.4pt;height:36.15pt;z-index:15758848;mso-wrap-distance-left:0;mso-wrap-distance-right:0;mso-position-horizontal-relative:page;mso-position-vertical-relative:page" coordsize="75615,4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">
                <v:shape id="Graphic 241" o:spid="_x0000_s1132" style="position:absolute;left:64490;top:57;width:11106;height:4514;visibility:visible;mso-wrap-style:square;v-text-anchor:top" coordsize="1110615,4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" path="m1110614,l,,260349,451483r850265,l1110614,xe" fillcolor="#fad2c1" stroked="f">
                  <v:path arrowok="t"/>
                </v:shape>
                <v:shape id="Graphic 242" o:spid="_x0000_s1133" style="position:absolute;left:64490;top:57;width:11106;height:4514;visibility:visible;mso-wrap-style:square;v-text-anchor:top" coordsize="1110615,4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" path="m,l1110614,r,451483l260349,451483,,e" filled="f" strokecolor="#fad2c1" strokeweight=".08475mm">
                  <v:path arrowok="t"/>
                </v:shape>
                <v:shape id="Graphic 243" o:spid="_x0000_s1134" style="position:absolute;top:63;width:75603;height:13;visibility:visible;mso-wrap-style:square;v-text-anchor:top" coordsize="756030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" path="m,l7560309,e" filled="f" strokecolor="#fad2c1" strokeweight="1pt">
                  <v:path arrowok="t"/>
                </v:shape>
                <v:shape id="Textbox 244" o:spid="_x0000_s1135" type="#_x0000_t202" style="position:absolute;left:68821;top:374;width:1473;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" filled="f" stroked="f">
                  <v:textbox inset="0,0,0,0">
                    <w:txbxContent>
                      <w:p w14:paraId="29FE55C2" w14:textId="77777777" w:rsidR="00BB77C0" w:rsidRDefault="00370BAA">
                        <w:pPr>
                          <w:spacing w:line="244" w:lineRule="exact"/>
                        </w:pPr>
                        <w:r>
                          <w:rPr>
                            <w:spacing w:val="-5"/>
                          </w:rPr>
                          <w:t>61</w:t>
                        </w:r>
                      </w:p>
                    </w:txbxContent>
                  </v:textbox>
                </v:shape>
                <w10:wrap anchorx="page" anchory="page"/>
              </v:group>
            </w:pict>
          </mc:Fallback>
        </mc:AlternateContent>
      </w:r>
      <w:r>
        <w:rPr>
          <w:b/>
          <w:noProof/>
        </w:rPr>
        <mc:AlternateContent>
          <mc:Choice Requires="wpg">
            <w:drawing>
              <wp:anchor distT="0" distB="0" distL="0" distR="0" simplePos="0" relativeHeight="15759360" behindDoc="0" locked="0" layoutInCell="1" allowOverlap="1" wp14:anchorId="1EFB04AF" wp14:editId="1EEF7EF3">
                <wp:simplePos x="0" y="0"/>
                <wp:positionH relativeFrom="page">
                  <wp:posOffset>0</wp:posOffset>
                </wp:positionH>
                <wp:positionV relativeFrom="page">
                  <wp:posOffset>0</wp:posOffset>
                </wp:positionV>
                <wp:extent cx="7559675" cy="228600"/>
                <wp:effectExtent l="0" t="0" r="0" b="0"/>
                <wp:wrapNone/>
                <wp:docPr id="245" name="Group 2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675" cy="228600"/>
                          <a:chOff x="0" y="0"/>
                          <a:chExt cx="7559675" cy="228600"/>
                        </a:xfrm>
                      </wpg:grpSpPr>
                      <wps:wsp>
                        <wps:cNvPr id="246" name="Graphic 246"/>
                        <wps:cNvSpPr/>
                        <wps:spPr>
                          <a:xfrm>
                            <a:off x="848283" y="0"/>
                            <a:ext cx="6711950" cy="228600"/>
                          </a:xfrm>
                          <a:custGeom>
                            <a:avLst/>
                            <a:gdLst/>
                            <a:ahLst/>
                            <a:cxnLst/>
                            <a:rect l="l" t="t" r="r" b="b"/>
                            <a:pathLst>
                              <a:path w="6711950" h="228600">
                                <a:moveTo>
                                  <a:pt x="6711391" y="0"/>
                                </a:moveTo>
                                <a:lnTo>
                                  <a:pt x="0" y="0"/>
                                </a:lnTo>
                                <a:lnTo>
                                  <a:pt x="184137" y="228600"/>
                                </a:lnTo>
                                <a:lnTo>
                                  <a:pt x="6711391" y="223520"/>
                                </a:lnTo>
                                <a:lnTo>
                                  <a:pt x="6711391" y="0"/>
                                </a:lnTo>
                                <a:close/>
                              </a:path>
                            </a:pathLst>
                          </a:custGeom>
                          <a:solidFill>
                            <a:srgbClr val="E6E7E8"/>
                          </a:solidFill>
                        </wps:spPr>
                        <wps:bodyPr wrap="square" lIns="0" tIns="0" rIns="0" bIns="0" rtlCol="0">
                          <a:prstTxWarp prst="textNoShape">
                            <a:avLst/>
                          </a:prstTxWarp>
                          <a:noAutofit/>
                        </wps:bodyPr>
                      </wps:wsp>
                      <wps:wsp>
                        <wps:cNvPr id="247" name="Graphic 247"/>
                        <wps:cNvSpPr/>
                        <wps:spPr>
                          <a:xfrm>
                            <a:off x="0" y="0"/>
                            <a:ext cx="655955" cy="228600"/>
                          </a:xfrm>
                          <a:custGeom>
                            <a:avLst/>
                            <a:gdLst/>
                            <a:ahLst/>
                            <a:cxnLst/>
                            <a:rect l="l" t="t" r="r" b="b"/>
                            <a:pathLst>
                              <a:path w="655955" h="228600">
                                <a:moveTo>
                                  <a:pt x="530174" y="0"/>
                                </a:moveTo>
                                <a:lnTo>
                                  <a:pt x="0" y="0"/>
                                </a:lnTo>
                                <a:lnTo>
                                  <a:pt x="0" y="228600"/>
                                </a:lnTo>
                                <a:lnTo>
                                  <a:pt x="655904" y="228600"/>
                                </a:lnTo>
                                <a:lnTo>
                                  <a:pt x="530174" y="0"/>
                                </a:lnTo>
                                <a:close/>
                              </a:path>
                            </a:pathLst>
                          </a:custGeom>
                          <a:solidFill>
                            <a:srgbClr val="00A650"/>
                          </a:solidFill>
                        </wps:spPr>
                        <wps:bodyPr wrap="square" lIns="0" tIns="0" rIns="0" bIns="0" rtlCol="0">
                          <a:prstTxWarp prst="textNoShape">
                            <a:avLst/>
                          </a:prstTxWarp>
                          <a:noAutofit/>
                        </wps:bodyPr>
                      </wps:wsp>
                      <wps:wsp>
                        <wps:cNvPr id="248" name="Graphic 248"/>
                        <wps:cNvSpPr/>
                        <wps:spPr>
                          <a:xfrm>
                            <a:off x="554304" y="0"/>
                            <a:ext cx="329565" cy="228600"/>
                          </a:xfrm>
                          <a:custGeom>
                            <a:avLst/>
                            <a:gdLst/>
                            <a:ahLst/>
                            <a:cxnLst/>
                            <a:rect l="l" t="t" r="r" b="b"/>
                            <a:pathLst>
                              <a:path w="329565" h="228600">
                                <a:moveTo>
                                  <a:pt x="203822" y="0"/>
                                </a:moveTo>
                                <a:lnTo>
                                  <a:pt x="0" y="0"/>
                                </a:lnTo>
                                <a:lnTo>
                                  <a:pt x="128904" y="228600"/>
                                </a:lnTo>
                                <a:lnTo>
                                  <a:pt x="329539" y="228600"/>
                                </a:lnTo>
                                <a:lnTo>
                                  <a:pt x="203822" y="0"/>
                                </a:lnTo>
                                <a:close/>
                              </a:path>
                            </a:pathLst>
                          </a:custGeom>
                          <a:solidFill>
                            <a:srgbClr val="EB1C22"/>
                          </a:solidFill>
                        </wps:spPr>
                        <wps:bodyPr wrap="square" lIns="0" tIns="0" rIns="0" bIns="0" rtlCol="0">
                          <a:prstTxWarp prst="textNoShape">
                            <a:avLst/>
                          </a:prstTxWarp>
                          <a:noAutofit/>
                        </wps:bodyPr>
                      </wps:wsp>
                      <wps:wsp>
                        <wps:cNvPr id="249" name="Graphic 249"/>
                        <wps:cNvSpPr/>
                        <wps:spPr>
                          <a:xfrm>
                            <a:off x="783526" y="0"/>
                            <a:ext cx="329565" cy="228600"/>
                          </a:xfrm>
                          <a:custGeom>
                            <a:avLst/>
                            <a:gdLst/>
                            <a:ahLst/>
                            <a:cxnLst/>
                            <a:rect l="l" t="t" r="r" b="b"/>
                            <a:pathLst>
                              <a:path w="329565" h="228600">
                                <a:moveTo>
                                  <a:pt x="203822" y="0"/>
                                </a:moveTo>
                                <a:lnTo>
                                  <a:pt x="0" y="0"/>
                                </a:lnTo>
                                <a:lnTo>
                                  <a:pt x="128879" y="228600"/>
                                </a:lnTo>
                                <a:lnTo>
                                  <a:pt x="329539" y="228600"/>
                                </a:lnTo>
                                <a:lnTo>
                                  <a:pt x="203822" y="0"/>
                                </a:lnTo>
                                <a:close/>
                              </a:path>
                            </a:pathLst>
                          </a:custGeom>
                          <a:solidFill>
                            <a:srgbClr val="A7A9AC"/>
                          </a:solidFill>
                        </wps:spPr>
                        <wps:bodyPr wrap="square" lIns="0" tIns="0" rIns="0" bIns="0" rtlCol="0">
                          <a:prstTxWarp prst="textNoShape">
                            <a:avLst/>
                          </a:prstTxWarp>
                          <a:noAutofit/>
                        </wps:bodyPr>
                      </wps:wsp>
                    </wpg:wgp>
                  </a:graphicData>
                </a:graphic>
              </wp:anchor>
            </w:drawing>
          </mc:Choice>
          <mc:Fallback>
            <w:pict>
              <v:group w14:anchorId="2A8FE500" id="Group 245" o:spid="_x0000_s1026" style="position:absolute;margin-left:0;margin-top:0;width:595.25pt;height:18pt;z-index:15759360;mso-wrap-distance-left:0;mso-wrap-distance-right:0;mso-position-horizontal-relative:page;mso-position-vertical-relative:page" coordsize="75596,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">
                <v:shape id="Graphic 246" o:spid="_x0000_s1027" style="position:absolute;left:8482;width:67120;height:2286;visibility:visible;mso-wrap-style:square;v-text-anchor:top" coordsize="67119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" path="m6711391,l,,184137,228600r6527254,-5080l6711391,xe" fillcolor="#e6e7e8" stroked="f">
                  <v:path arrowok="t"/>
                </v:shape>
                <v:shape id="Graphic 247" o:spid="_x0000_s1028" style="position:absolute;width:6559;height:2286;visibility:visible;mso-wrap-style:square;v-text-anchor:top" coordsize="65595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" path="m530174,l,,,228600r655904,l530174,xe" fillcolor="#00a650" stroked="f">
                  <v:path arrowok="t"/>
                </v:shape>
                <v:shape id="Graphic 248" o:spid="_x0000_s1029" style="position:absolute;left:5543;width:3295;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" path="m203822,l,,128904,228600r200635,l203822,xe" fillcolor="#eb1c22" stroked="f">
                  <v:path arrowok="t"/>
                </v:shape>
                <v:shape id="Graphic 249" o:spid="_x0000_s1030" style="position:absolute;left:7835;width:3295;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" path="m203822,l,,128879,228600r200660,l203822,xe" fillcolor="#a7a9ac" stroked="f">
                  <v:path arrowok="t"/>
                </v:shape>
                <w10:wrap anchorx="page" anchory="page"/>
              </v:group>
            </w:pict>
          </mc:Fallback>
        </mc:AlternateContent>
      </w:r>
    </w:p>
    <w:p w14:paraId="36D65537" w14:textId="77777777" w:rsidR="00BB77C0" w:rsidRDefault="00BB77C0">
      <w:pPr>
        <w:pStyle w:val="BodyText"/>
        <w:rPr>
          <w:b/>
        </w:rPr>
      </w:pPr>
    </w:p>
    <w:p w14:paraId="578FEE41" w14:textId="77777777" w:rsidR="00BB77C0" w:rsidRDefault="00BB77C0">
      <w:pPr>
        <w:pStyle w:val="BodyText"/>
        <w:spacing w:before="40"/>
        <w:rPr>
          <w:b/>
        </w:rPr>
      </w:pPr>
    </w:p>
    <w:p w14:paraId="47B41432" w14:textId="77777777" w:rsidR="00BB77C0" w:rsidRDefault="00370BAA">
      <w:pPr>
        <w:spacing w:before="1"/>
        <w:ind w:left="1061"/>
        <w:rPr>
          <w:b/>
        </w:rPr>
      </w:pPr>
      <w:r>
        <w:rPr>
          <w:b/>
          <w:color w:val="211F1F"/>
          <w:u w:val="thick" w:color="211F1F"/>
        </w:rPr>
        <w:t>General</w:t>
      </w:r>
      <w:r>
        <w:rPr>
          <w:b/>
          <w:color w:val="211F1F"/>
          <w:spacing w:val="-14"/>
          <w:u w:val="thick" w:color="211F1F"/>
        </w:rPr>
        <w:t xml:space="preserve"> </w:t>
      </w:r>
      <w:r>
        <w:rPr>
          <w:b/>
          <w:color w:val="211F1F"/>
          <w:u w:val="thick" w:color="211F1F"/>
        </w:rPr>
        <w:t>and</w:t>
      </w:r>
      <w:r>
        <w:rPr>
          <w:b/>
          <w:color w:val="211F1F"/>
          <w:spacing w:val="-14"/>
          <w:u w:val="thick" w:color="211F1F"/>
        </w:rPr>
        <w:t xml:space="preserve"> </w:t>
      </w:r>
      <w:r>
        <w:rPr>
          <w:b/>
          <w:color w:val="211F1F"/>
          <w:u w:val="thick" w:color="211F1F"/>
        </w:rPr>
        <w:t>Specific</w:t>
      </w:r>
      <w:r>
        <w:rPr>
          <w:b/>
          <w:color w:val="211F1F"/>
          <w:spacing w:val="-7"/>
          <w:u w:val="thick" w:color="211F1F"/>
        </w:rPr>
        <w:t xml:space="preserve"> </w:t>
      </w:r>
      <w:r>
        <w:rPr>
          <w:b/>
          <w:color w:val="211F1F"/>
          <w:spacing w:val="-2"/>
          <w:u w:val="thick" w:color="211F1F"/>
        </w:rPr>
        <w:t>Details</w:t>
      </w:r>
    </w:p>
    <w:p w14:paraId="6277A12C" w14:textId="77777777" w:rsidR="00BB77C0" w:rsidRDefault="00370BAA">
      <w:pPr>
        <w:pStyle w:val="ListParagraph"/>
        <w:numPr>
          <w:ilvl w:val="2"/>
          <w:numId w:val="46"/>
        </w:numPr>
        <w:tabs>
          <w:tab w:val="left" w:pos="1604"/>
        </w:tabs>
        <w:spacing w:before="227"/>
      </w:pPr>
      <w:r>
        <w:rPr>
          <w:b/>
          <w:color w:val="211F1F"/>
          <w:spacing w:val="-2"/>
        </w:rPr>
        <w:t>Sole</w:t>
      </w:r>
      <w:r>
        <w:rPr>
          <w:b/>
          <w:color w:val="211F1F"/>
          <w:spacing w:val="-6"/>
        </w:rPr>
        <w:t xml:space="preserve"> </w:t>
      </w:r>
      <w:r>
        <w:rPr>
          <w:b/>
          <w:color w:val="211F1F"/>
          <w:spacing w:val="-2"/>
        </w:rPr>
        <w:t>Proprietor,</w:t>
      </w:r>
      <w:r>
        <w:rPr>
          <w:b/>
          <w:color w:val="211F1F"/>
          <w:spacing w:val="1"/>
        </w:rPr>
        <w:t xml:space="preserve"> </w:t>
      </w:r>
      <w:r>
        <w:rPr>
          <w:color w:val="211F1F"/>
          <w:spacing w:val="-2"/>
        </w:rPr>
        <w:t>provide</w:t>
      </w:r>
      <w:r>
        <w:rPr>
          <w:color w:val="211F1F"/>
          <w:spacing w:val="-4"/>
        </w:rPr>
        <w:t xml:space="preserve"> </w:t>
      </w:r>
      <w:r>
        <w:rPr>
          <w:color w:val="211F1F"/>
          <w:spacing w:val="-2"/>
        </w:rPr>
        <w:t>the</w:t>
      </w:r>
      <w:r>
        <w:rPr>
          <w:color w:val="211F1F"/>
          <w:spacing w:val="-6"/>
        </w:rPr>
        <w:t xml:space="preserve"> </w:t>
      </w:r>
      <w:r>
        <w:rPr>
          <w:color w:val="211F1F"/>
          <w:spacing w:val="-2"/>
        </w:rPr>
        <w:t>following</w:t>
      </w:r>
      <w:r>
        <w:rPr>
          <w:color w:val="211F1F"/>
          <w:spacing w:val="-1"/>
        </w:rPr>
        <w:t xml:space="preserve"> </w:t>
      </w:r>
      <w:r>
        <w:rPr>
          <w:color w:val="211F1F"/>
          <w:spacing w:val="-2"/>
        </w:rPr>
        <w:t>details.</w:t>
      </w:r>
    </w:p>
    <w:p w14:paraId="226EFB1D" w14:textId="77777777" w:rsidR="00BB77C0" w:rsidRDefault="00370BAA">
      <w:pPr>
        <w:pStyle w:val="BodyText"/>
        <w:tabs>
          <w:tab w:val="left" w:pos="5517"/>
          <w:tab w:val="left" w:pos="9557"/>
        </w:tabs>
        <w:spacing w:before="236" w:line="251" w:lineRule="exact"/>
        <w:ind w:left="1061"/>
      </w:pPr>
      <w:r>
        <w:rPr>
          <w:color w:val="211F1F"/>
        </w:rPr>
        <w:t>Name</w:t>
      </w:r>
      <w:r>
        <w:rPr>
          <w:color w:val="211F1F"/>
          <w:spacing w:val="-8"/>
        </w:rPr>
        <w:t xml:space="preserve"> </w:t>
      </w:r>
      <w:r>
        <w:rPr>
          <w:color w:val="211F1F"/>
        </w:rPr>
        <w:t>in</w:t>
      </w:r>
      <w:r>
        <w:rPr>
          <w:color w:val="211F1F"/>
          <w:spacing w:val="-4"/>
        </w:rPr>
        <w:t xml:space="preserve"> full</w:t>
      </w:r>
      <w:r>
        <w:rPr>
          <w:color w:val="211F1F"/>
          <w:u w:val="single" w:color="201E1F"/>
        </w:rPr>
        <w:tab/>
      </w:r>
      <w:r>
        <w:rPr>
          <w:color w:val="211F1F"/>
          <w:spacing w:val="-5"/>
        </w:rPr>
        <w:t>Age</w:t>
      </w:r>
      <w:r>
        <w:rPr>
          <w:color w:val="211F1F"/>
          <w:u w:val="single" w:color="201E1F"/>
        </w:rPr>
        <w:tab/>
      </w:r>
      <w:r>
        <w:rPr>
          <w:color w:val="211F1F"/>
          <w:spacing w:val="-2"/>
        </w:rPr>
        <w:t>Nationality</w:t>
      </w:r>
    </w:p>
    <w:p w14:paraId="16A4511E" w14:textId="77777777" w:rsidR="00BB77C0" w:rsidRDefault="00370BAA">
      <w:pPr>
        <w:pStyle w:val="BodyText"/>
        <w:spacing w:line="20" w:lineRule="exact"/>
        <w:ind w:left="10550"/>
        <w:rPr>
          <w:sz w:val="2"/>
        </w:rPr>
      </w:pPr>
      <w:r>
        <w:rPr>
          <w:noProof/>
          <w:sz w:val="2"/>
        </w:rPr>
        <mc:AlternateContent>
          <mc:Choice Requires="wpg">
            <w:drawing>
              <wp:inline distT="0" distB="0" distL="0" distR="0" wp14:anchorId="64E5F94B" wp14:editId="65999F9A">
                <wp:extent cx="33655" cy="6350"/>
                <wp:effectExtent l="0" t="0" r="0" b="0"/>
                <wp:docPr id="250" name="Group 2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655" cy="6350"/>
                          <a:chOff x="0" y="0"/>
                          <a:chExt cx="33655" cy="6350"/>
                        </a:xfrm>
                      </wpg:grpSpPr>
                      <wps:wsp>
                        <wps:cNvPr id="251" name="Graphic 251"/>
                        <wps:cNvSpPr/>
                        <wps:spPr>
                          <a:xfrm>
                            <a:off x="0" y="0"/>
                            <a:ext cx="33655" cy="6350"/>
                          </a:xfrm>
                          <a:custGeom>
                            <a:avLst/>
                            <a:gdLst/>
                            <a:ahLst/>
                            <a:cxnLst/>
                            <a:rect l="l" t="t" r="r" b="b"/>
                            <a:pathLst>
                              <a:path w="33655" h="6350">
                                <a:moveTo>
                                  <a:pt x="33539" y="0"/>
                                </a:moveTo>
                                <a:lnTo>
                                  <a:pt x="0" y="0"/>
                                </a:lnTo>
                                <a:lnTo>
                                  <a:pt x="0" y="6107"/>
                                </a:lnTo>
                                <a:lnTo>
                                  <a:pt x="33539" y="6107"/>
                                </a:lnTo>
                                <a:lnTo>
                                  <a:pt x="33539" y="0"/>
                                </a:lnTo>
                                <a:close/>
                              </a:path>
                            </a:pathLst>
                          </a:custGeom>
                          <a:solidFill>
                            <a:srgbClr val="201E1F"/>
                          </a:solidFill>
                        </wps:spPr>
                        <wps:bodyPr wrap="square" lIns="0" tIns="0" rIns="0" bIns="0" rtlCol="0">
                          <a:prstTxWarp prst="textNoShape">
                            <a:avLst/>
                          </a:prstTxWarp>
                          <a:noAutofit/>
                        </wps:bodyPr>
                      </wps:wsp>
                    </wpg:wgp>
                  </a:graphicData>
                </a:graphic>
              </wp:inline>
            </w:drawing>
          </mc:Choice>
          <mc:Fallback>
            <w:pict>
              <v:group w14:anchorId="10BBE951" id="Group 250" o:spid="_x0000_s1026" style="width:2.65pt;height:.5pt;mso-position-horizontal-relative:char;mso-position-vertical-relative:line" coordsize="336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">
                <v:shape id="Graphic 251" o:spid="_x0000_s1027" style="position:absolute;width:33655;height:6350;visibility:visible;mso-wrap-style:square;v-text-anchor:top" coordsize="3365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" path="m33539,l,,,6107r33539,l33539,xe" fillcolor="#201e1f" stroked="f">
                  <v:path arrowok="t"/>
                </v:shape>
                <w10:anchorlock/>
              </v:group>
            </w:pict>
          </mc:Fallback>
        </mc:AlternateContent>
      </w:r>
    </w:p>
    <w:p w14:paraId="38C8AD9C" w14:textId="77777777" w:rsidR="00BB77C0" w:rsidRDefault="00370BAA">
      <w:pPr>
        <w:pStyle w:val="BodyText"/>
        <w:tabs>
          <w:tab w:val="left" w:pos="5517"/>
          <w:tab w:val="left" w:pos="9557"/>
        </w:tabs>
        <w:spacing w:line="231" w:lineRule="exact"/>
        <w:ind w:left="1061"/>
        <w:rPr>
          <w:position w:val="-2"/>
        </w:rPr>
      </w:pPr>
      <w:r>
        <w:rPr>
          <w:color w:val="211F1F"/>
          <w:u w:val="single" w:color="201E1F"/>
        </w:rPr>
        <w:tab/>
      </w:r>
      <w:r>
        <w:rPr>
          <w:color w:val="211F1F"/>
        </w:rPr>
        <w:t>Country</w:t>
      </w:r>
      <w:r>
        <w:rPr>
          <w:color w:val="211F1F"/>
          <w:spacing w:val="-10"/>
        </w:rPr>
        <w:t xml:space="preserve"> </w:t>
      </w:r>
      <w:r>
        <w:rPr>
          <w:color w:val="211F1F"/>
        </w:rPr>
        <w:t>of</w:t>
      </w:r>
      <w:r>
        <w:rPr>
          <w:color w:val="211F1F"/>
          <w:spacing w:val="-4"/>
        </w:rPr>
        <w:t xml:space="preserve"> </w:t>
      </w:r>
      <w:r>
        <w:rPr>
          <w:color w:val="211F1F"/>
          <w:spacing w:val="-2"/>
        </w:rPr>
        <w:t>Origin</w:t>
      </w:r>
      <w:r>
        <w:rPr>
          <w:color w:val="211F1F"/>
          <w:u w:val="single" w:color="201E1F"/>
        </w:rPr>
        <w:tab/>
      </w:r>
      <w:r>
        <w:rPr>
          <w:color w:val="211F1F"/>
        </w:rPr>
        <w:t xml:space="preserve">Citizenship </w:t>
      </w:r>
      <w:r>
        <w:rPr>
          <w:noProof/>
          <w:color w:val="211F1F"/>
          <w:spacing w:val="4"/>
          <w:position w:val="-2"/>
        </w:rPr>
        <w:drawing>
          <wp:inline distT="0" distB="0" distL="0" distR="0" wp14:anchorId="518CC7F0" wp14:editId="20DF18BB">
            <wp:extent cx="88392" cy="6096"/>
            <wp:effectExtent l="0" t="0" r="0" b="0"/>
            <wp:docPr id="252" name="Image 2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2" name="Image 252"/>
                    <pic:cNvPicPr/>
                  </pic:nvPicPr>
                  <pic:blipFill>
                    <a:blip r:embed="rId19" cstate="print"/>
                    <a:stretch>
                      <a:fillRect/>
                    </a:stretch>
                  </pic:blipFill>
                  <pic:spPr>
                    <a:xfrm>
                      <a:off x="0" y="0"/>
                      <a:ext cx="88392" cy="6096"/>
                    </a:xfrm>
                    <a:prstGeom prst="rect">
                      <a:avLst/>
                    </a:prstGeom>
                  </pic:spPr>
                </pic:pic>
              </a:graphicData>
            </a:graphic>
          </wp:inline>
        </w:drawing>
      </w:r>
    </w:p>
    <w:p w14:paraId="05B91EFB" w14:textId="77777777" w:rsidR="00BB77C0" w:rsidRDefault="00370BAA">
      <w:pPr>
        <w:pStyle w:val="BodyText"/>
        <w:spacing w:before="8"/>
        <w:rPr>
          <w:sz w:val="16"/>
        </w:rPr>
      </w:pPr>
      <w:r>
        <w:rPr>
          <w:noProof/>
          <w:sz w:val="16"/>
        </w:rPr>
        <mc:AlternateContent>
          <mc:Choice Requires="wps">
            <w:drawing>
              <wp:anchor distT="0" distB="0" distL="0" distR="0" simplePos="0" relativeHeight="487617536" behindDoc="1" locked="0" layoutInCell="1" allowOverlap="1" wp14:anchorId="29C48FE8" wp14:editId="74D1862E">
                <wp:simplePos x="0" y="0"/>
                <wp:positionH relativeFrom="page">
                  <wp:posOffset>901700</wp:posOffset>
                </wp:positionH>
                <wp:positionV relativeFrom="paragraph">
                  <wp:posOffset>137168</wp:posOffset>
                </wp:positionV>
                <wp:extent cx="2964180" cy="6350"/>
                <wp:effectExtent l="0" t="0" r="0" b="0"/>
                <wp:wrapTopAndBottom/>
                <wp:docPr id="253" name="Graphic 2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64180" cy="6350"/>
                        </a:xfrm>
                        <a:custGeom>
                          <a:avLst/>
                          <a:gdLst/>
                          <a:ahLst/>
                          <a:cxnLst/>
                          <a:rect l="l" t="t" r="r" b="b"/>
                          <a:pathLst>
                            <a:path w="2964180" h="6350">
                              <a:moveTo>
                                <a:pt x="2964179" y="0"/>
                              </a:moveTo>
                              <a:lnTo>
                                <a:pt x="0" y="0"/>
                              </a:lnTo>
                              <a:lnTo>
                                <a:pt x="0" y="6096"/>
                              </a:lnTo>
                              <a:lnTo>
                                <a:pt x="2964179" y="6096"/>
                              </a:lnTo>
                              <a:lnTo>
                                <a:pt x="2964179" y="0"/>
                              </a:lnTo>
                              <a:close/>
                            </a:path>
                          </a:pathLst>
                        </a:custGeom>
                        <a:solidFill>
                          <a:srgbClr val="201E1F"/>
                        </a:solidFill>
                      </wps:spPr>
                      <wps:bodyPr wrap="square" lIns="0" tIns="0" rIns="0" bIns="0" rtlCol="0">
                        <a:prstTxWarp prst="textNoShape">
                          <a:avLst/>
                        </a:prstTxWarp>
                        <a:noAutofit/>
                      </wps:bodyPr>
                    </wps:wsp>
                  </a:graphicData>
                </a:graphic>
              </wp:anchor>
            </w:drawing>
          </mc:Choice>
          <mc:Fallback>
            <w:pict>
              <v:shape w14:anchorId="6734C176" id="Graphic 253" o:spid="_x0000_s1026" style="position:absolute;margin-left:71pt;margin-top:10.8pt;width:233.4pt;height:.5pt;z-index:-15698944;visibility:visible;mso-wrap-style:square;mso-wrap-distance-left:0;mso-wrap-distance-top:0;mso-wrap-distance-right:0;mso-wrap-distance-bottom:0;mso-position-horizontal:absolute;mso-position-horizontal-relative:page;mso-position-vertical:absolute;mso-position-vertical-relative:text;v-text-anchor:top" coordsize="29641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" path="m2964179,l,,,6096r2964179,l2964179,xe" fillcolor="#201e1f" stroked="f">
                <v:path arrowok="t"/>
                <w10:wrap type="topAndBottom" anchorx="page"/>
              </v:shape>
            </w:pict>
          </mc:Fallback>
        </mc:AlternateContent>
      </w:r>
    </w:p>
    <w:p w14:paraId="29E6267A" w14:textId="77777777" w:rsidR="00BB77C0" w:rsidRDefault="00370BAA">
      <w:pPr>
        <w:pStyle w:val="ListParagraph"/>
        <w:numPr>
          <w:ilvl w:val="2"/>
          <w:numId w:val="46"/>
        </w:numPr>
        <w:tabs>
          <w:tab w:val="left" w:pos="1604"/>
        </w:tabs>
        <w:spacing w:before="247"/>
      </w:pPr>
      <w:r>
        <w:rPr>
          <w:b/>
          <w:color w:val="211F1F"/>
        </w:rPr>
        <w:t>Partnership,</w:t>
      </w:r>
      <w:r>
        <w:rPr>
          <w:b/>
          <w:color w:val="211F1F"/>
          <w:spacing w:val="-5"/>
        </w:rPr>
        <w:t xml:space="preserve"> </w:t>
      </w:r>
      <w:r>
        <w:rPr>
          <w:color w:val="211F1F"/>
        </w:rPr>
        <w:t>provide</w:t>
      </w:r>
      <w:r>
        <w:rPr>
          <w:color w:val="211F1F"/>
          <w:spacing w:val="-13"/>
        </w:rPr>
        <w:t xml:space="preserve"> </w:t>
      </w:r>
      <w:r>
        <w:rPr>
          <w:color w:val="211F1F"/>
        </w:rPr>
        <w:t>the</w:t>
      </w:r>
      <w:r>
        <w:rPr>
          <w:color w:val="211F1F"/>
          <w:spacing w:val="-14"/>
        </w:rPr>
        <w:t xml:space="preserve"> </w:t>
      </w:r>
      <w:r>
        <w:rPr>
          <w:color w:val="211F1F"/>
        </w:rPr>
        <w:t>following</w:t>
      </w:r>
      <w:r>
        <w:rPr>
          <w:color w:val="211F1F"/>
          <w:spacing w:val="-11"/>
        </w:rPr>
        <w:t xml:space="preserve"> </w:t>
      </w:r>
      <w:r>
        <w:rPr>
          <w:color w:val="211F1F"/>
          <w:spacing w:val="-2"/>
        </w:rPr>
        <w:t>details.</w:t>
      </w:r>
    </w:p>
    <w:p w14:paraId="7D5EDEFF" w14:textId="77777777" w:rsidR="00BB77C0" w:rsidRDefault="00BB77C0">
      <w:pPr>
        <w:pStyle w:val="BodyText"/>
        <w:spacing w:before="4"/>
        <w:rPr>
          <w:sz w:val="13"/>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2"/>
        <w:gridCol w:w="2986"/>
        <w:gridCol w:w="1916"/>
        <w:gridCol w:w="1916"/>
        <w:gridCol w:w="2209"/>
      </w:tblGrid>
      <w:tr w:rsidR="00BB77C0" w14:paraId="6B97C03F" w14:textId="77777777">
        <w:trPr>
          <w:trHeight w:val="254"/>
        </w:trPr>
        <w:tc>
          <w:tcPr>
            <w:tcW w:w="422" w:type="dxa"/>
            <w:shd w:val="clear" w:color="auto" w:fill="E7E6E6"/>
          </w:tcPr>
          <w:p w14:paraId="3B9DE42F" w14:textId="77777777" w:rsidR="00BB77C0" w:rsidRDefault="00BB77C0">
            <w:pPr>
              <w:pStyle w:val="TableParagraph"/>
              <w:rPr>
                <w:sz w:val="18"/>
              </w:rPr>
            </w:pPr>
          </w:p>
        </w:tc>
        <w:tc>
          <w:tcPr>
            <w:tcW w:w="2986" w:type="dxa"/>
            <w:shd w:val="clear" w:color="auto" w:fill="E7E6E6"/>
          </w:tcPr>
          <w:p w14:paraId="3347A92E" w14:textId="77777777" w:rsidR="00BB77C0" w:rsidRDefault="00370BAA">
            <w:pPr>
              <w:pStyle w:val="TableParagraph"/>
              <w:spacing w:line="234" w:lineRule="exact"/>
              <w:ind w:left="110"/>
              <w:rPr>
                <w:b/>
              </w:rPr>
            </w:pPr>
            <w:r>
              <w:rPr>
                <w:b/>
              </w:rPr>
              <w:t>Names</w:t>
            </w:r>
            <w:r>
              <w:rPr>
                <w:b/>
                <w:spacing w:val="-6"/>
              </w:rPr>
              <w:t xml:space="preserve"> </w:t>
            </w:r>
            <w:r>
              <w:rPr>
                <w:b/>
              </w:rPr>
              <w:t>of</w:t>
            </w:r>
            <w:r>
              <w:rPr>
                <w:b/>
                <w:spacing w:val="-7"/>
              </w:rPr>
              <w:t xml:space="preserve"> </w:t>
            </w:r>
            <w:r>
              <w:rPr>
                <w:b/>
                <w:spacing w:val="-2"/>
              </w:rPr>
              <w:t>Partners</w:t>
            </w:r>
          </w:p>
        </w:tc>
        <w:tc>
          <w:tcPr>
            <w:tcW w:w="1916" w:type="dxa"/>
            <w:shd w:val="clear" w:color="auto" w:fill="E7E6E6"/>
          </w:tcPr>
          <w:p w14:paraId="5F3215D6" w14:textId="77777777" w:rsidR="00BB77C0" w:rsidRDefault="00370BAA">
            <w:pPr>
              <w:pStyle w:val="TableParagraph"/>
              <w:spacing w:line="234" w:lineRule="exact"/>
              <w:ind w:left="116"/>
              <w:rPr>
                <w:b/>
              </w:rPr>
            </w:pPr>
            <w:r>
              <w:rPr>
                <w:b/>
                <w:spacing w:val="-2"/>
              </w:rPr>
              <w:t>Nationality</w:t>
            </w:r>
          </w:p>
        </w:tc>
        <w:tc>
          <w:tcPr>
            <w:tcW w:w="1916" w:type="dxa"/>
            <w:shd w:val="clear" w:color="auto" w:fill="E7E6E6"/>
          </w:tcPr>
          <w:p w14:paraId="1F7CA190" w14:textId="77777777" w:rsidR="00BB77C0" w:rsidRDefault="00370BAA">
            <w:pPr>
              <w:pStyle w:val="TableParagraph"/>
              <w:spacing w:line="234" w:lineRule="exact"/>
              <w:ind w:left="111"/>
              <w:rPr>
                <w:b/>
              </w:rPr>
            </w:pPr>
            <w:r>
              <w:rPr>
                <w:b/>
                <w:spacing w:val="-2"/>
              </w:rPr>
              <w:t>Citizenship</w:t>
            </w:r>
          </w:p>
        </w:tc>
        <w:tc>
          <w:tcPr>
            <w:tcW w:w="2209" w:type="dxa"/>
            <w:shd w:val="clear" w:color="auto" w:fill="E7E6E6"/>
          </w:tcPr>
          <w:p w14:paraId="0B4EDD98" w14:textId="77777777" w:rsidR="00BB77C0" w:rsidRDefault="00370BAA">
            <w:pPr>
              <w:pStyle w:val="TableParagraph"/>
              <w:spacing w:line="234" w:lineRule="exact"/>
              <w:ind w:left="111"/>
              <w:rPr>
                <w:b/>
              </w:rPr>
            </w:pPr>
            <w:r>
              <w:rPr>
                <w:b/>
              </w:rPr>
              <w:t>%</w:t>
            </w:r>
            <w:r>
              <w:rPr>
                <w:b/>
                <w:spacing w:val="-8"/>
              </w:rPr>
              <w:t xml:space="preserve"> </w:t>
            </w:r>
            <w:r>
              <w:rPr>
                <w:b/>
              </w:rPr>
              <w:t>Shares</w:t>
            </w:r>
            <w:r>
              <w:rPr>
                <w:b/>
                <w:spacing w:val="-5"/>
              </w:rPr>
              <w:t xml:space="preserve"> </w:t>
            </w:r>
            <w:r>
              <w:rPr>
                <w:b/>
                <w:spacing w:val="-4"/>
              </w:rPr>
              <w:t>owned</w:t>
            </w:r>
          </w:p>
        </w:tc>
      </w:tr>
      <w:tr w:rsidR="00BB77C0" w14:paraId="62653D86" w14:textId="77777777">
        <w:trPr>
          <w:trHeight w:val="253"/>
        </w:trPr>
        <w:tc>
          <w:tcPr>
            <w:tcW w:w="422" w:type="dxa"/>
          </w:tcPr>
          <w:p w14:paraId="37B71B49" w14:textId="77777777" w:rsidR="00BB77C0" w:rsidRDefault="00370BAA">
            <w:pPr>
              <w:pStyle w:val="TableParagraph"/>
              <w:spacing w:line="234" w:lineRule="exact"/>
              <w:ind w:right="69"/>
              <w:jc w:val="center"/>
            </w:pPr>
            <w:r>
              <w:rPr>
                <w:spacing w:val="-10"/>
              </w:rPr>
              <w:t>1</w:t>
            </w:r>
          </w:p>
        </w:tc>
        <w:tc>
          <w:tcPr>
            <w:tcW w:w="2986" w:type="dxa"/>
          </w:tcPr>
          <w:p w14:paraId="069E96AA" w14:textId="77777777" w:rsidR="00BB77C0" w:rsidRDefault="00BB77C0">
            <w:pPr>
              <w:pStyle w:val="TableParagraph"/>
              <w:rPr>
                <w:sz w:val="18"/>
              </w:rPr>
            </w:pPr>
          </w:p>
        </w:tc>
        <w:tc>
          <w:tcPr>
            <w:tcW w:w="1916" w:type="dxa"/>
          </w:tcPr>
          <w:p w14:paraId="0D06B4C1" w14:textId="77777777" w:rsidR="00BB77C0" w:rsidRDefault="00BB77C0">
            <w:pPr>
              <w:pStyle w:val="TableParagraph"/>
              <w:rPr>
                <w:sz w:val="18"/>
              </w:rPr>
            </w:pPr>
          </w:p>
        </w:tc>
        <w:tc>
          <w:tcPr>
            <w:tcW w:w="1916" w:type="dxa"/>
          </w:tcPr>
          <w:p w14:paraId="5550FE0B" w14:textId="77777777" w:rsidR="00BB77C0" w:rsidRDefault="00BB77C0">
            <w:pPr>
              <w:pStyle w:val="TableParagraph"/>
              <w:rPr>
                <w:sz w:val="18"/>
              </w:rPr>
            </w:pPr>
          </w:p>
        </w:tc>
        <w:tc>
          <w:tcPr>
            <w:tcW w:w="2209" w:type="dxa"/>
          </w:tcPr>
          <w:p w14:paraId="1F2ED31A" w14:textId="77777777" w:rsidR="00BB77C0" w:rsidRDefault="00BB77C0">
            <w:pPr>
              <w:pStyle w:val="TableParagraph"/>
              <w:rPr>
                <w:sz w:val="18"/>
              </w:rPr>
            </w:pPr>
          </w:p>
        </w:tc>
      </w:tr>
      <w:tr w:rsidR="00BB77C0" w14:paraId="6EAA017F" w14:textId="77777777">
        <w:trPr>
          <w:trHeight w:val="249"/>
        </w:trPr>
        <w:tc>
          <w:tcPr>
            <w:tcW w:w="422" w:type="dxa"/>
          </w:tcPr>
          <w:p w14:paraId="60F6168B" w14:textId="77777777" w:rsidR="00BB77C0" w:rsidRDefault="00370BAA">
            <w:pPr>
              <w:pStyle w:val="TableParagraph"/>
              <w:spacing w:line="229" w:lineRule="exact"/>
              <w:ind w:right="69"/>
              <w:jc w:val="center"/>
            </w:pPr>
            <w:r>
              <w:rPr>
                <w:spacing w:val="-10"/>
              </w:rPr>
              <w:t>2</w:t>
            </w:r>
          </w:p>
        </w:tc>
        <w:tc>
          <w:tcPr>
            <w:tcW w:w="2986" w:type="dxa"/>
          </w:tcPr>
          <w:p w14:paraId="5BCBBCAB" w14:textId="77777777" w:rsidR="00BB77C0" w:rsidRDefault="00BB77C0">
            <w:pPr>
              <w:pStyle w:val="TableParagraph"/>
              <w:rPr>
                <w:sz w:val="18"/>
              </w:rPr>
            </w:pPr>
          </w:p>
        </w:tc>
        <w:tc>
          <w:tcPr>
            <w:tcW w:w="1916" w:type="dxa"/>
          </w:tcPr>
          <w:p w14:paraId="3211D4B9" w14:textId="77777777" w:rsidR="00BB77C0" w:rsidRDefault="00BB77C0">
            <w:pPr>
              <w:pStyle w:val="TableParagraph"/>
              <w:rPr>
                <w:sz w:val="18"/>
              </w:rPr>
            </w:pPr>
          </w:p>
        </w:tc>
        <w:tc>
          <w:tcPr>
            <w:tcW w:w="1916" w:type="dxa"/>
          </w:tcPr>
          <w:p w14:paraId="711A868F" w14:textId="77777777" w:rsidR="00BB77C0" w:rsidRDefault="00BB77C0">
            <w:pPr>
              <w:pStyle w:val="TableParagraph"/>
              <w:rPr>
                <w:sz w:val="18"/>
              </w:rPr>
            </w:pPr>
          </w:p>
        </w:tc>
        <w:tc>
          <w:tcPr>
            <w:tcW w:w="2209" w:type="dxa"/>
          </w:tcPr>
          <w:p w14:paraId="21A9157C" w14:textId="77777777" w:rsidR="00BB77C0" w:rsidRDefault="00BB77C0">
            <w:pPr>
              <w:pStyle w:val="TableParagraph"/>
              <w:rPr>
                <w:sz w:val="18"/>
              </w:rPr>
            </w:pPr>
          </w:p>
        </w:tc>
      </w:tr>
      <w:tr w:rsidR="00BB77C0" w14:paraId="09F79680" w14:textId="77777777">
        <w:trPr>
          <w:trHeight w:val="254"/>
        </w:trPr>
        <w:tc>
          <w:tcPr>
            <w:tcW w:w="422" w:type="dxa"/>
          </w:tcPr>
          <w:p w14:paraId="0B0861F9" w14:textId="77777777" w:rsidR="00BB77C0" w:rsidRDefault="00370BAA">
            <w:pPr>
              <w:pStyle w:val="TableParagraph"/>
              <w:spacing w:line="234" w:lineRule="exact"/>
              <w:ind w:right="69"/>
              <w:jc w:val="center"/>
            </w:pPr>
            <w:r>
              <w:rPr>
                <w:spacing w:val="-10"/>
              </w:rPr>
              <w:t>3</w:t>
            </w:r>
          </w:p>
        </w:tc>
        <w:tc>
          <w:tcPr>
            <w:tcW w:w="2986" w:type="dxa"/>
          </w:tcPr>
          <w:p w14:paraId="5BA3323F" w14:textId="77777777" w:rsidR="00BB77C0" w:rsidRDefault="00BB77C0">
            <w:pPr>
              <w:pStyle w:val="TableParagraph"/>
              <w:rPr>
                <w:sz w:val="18"/>
              </w:rPr>
            </w:pPr>
          </w:p>
        </w:tc>
        <w:tc>
          <w:tcPr>
            <w:tcW w:w="1916" w:type="dxa"/>
          </w:tcPr>
          <w:p w14:paraId="1ECB7BD9" w14:textId="77777777" w:rsidR="00BB77C0" w:rsidRDefault="00BB77C0">
            <w:pPr>
              <w:pStyle w:val="TableParagraph"/>
              <w:rPr>
                <w:sz w:val="18"/>
              </w:rPr>
            </w:pPr>
          </w:p>
        </w:tc>
        <w:tc>
          <w:tcPr>
            <w:tcW w:w="1916" w:type="dxa"/>
          </w:tcPr>
          <w:p w14:paraId="7F5AE8F4" w14:textId="77777777" w:rsidR="00BB77C0" w:rsidRDefault="00BB77C0">
            <w:pPr>
              <w:pStyle w:val="TableParagraph"/>
              <w:rPr>
                <w:sz w:val="18"/>
              </w:rPr>
            </w:pPr>
          </w:p>
        </w:tc>
        <w:tc>
          <w:tcPr>
            <w:tcW w:w="2209" w:type="dxa"/>
          </w:tcPr>
          <w:p w14:paraId="5DA7D086" w14:textId="77777777" w:rsidR="00BB77C0" w:rsidRDefault="00BB77C0">
            <w:pPr>
              <w:pStyle w:val="TableParagraph"/>
              <w:rPr>
                <w:sz w:val="18"/>
              </w:rPr>
            </w:pPr>
          </w:p>
        </w:tc>
      </w:tr>
    </w:tbl>
    <w:p w14:paraId="7A555C9A" w14:textId="77777777" w:rsidR="00BB77C0" w:rsidRDefault="00BB77C0">
      <w:pPr>
        <w:pStyle w:val="BodyText"/>
        <w:spacing w:before="243"/>
      </w:pPr>
    </w:p>
    <w:p w14:paraId="37CE7150" w14:textId="77777777" w:rsidR="00BB77C0" w:rsidRDefault="00370BAA">
      <w:pPr>
        <w:pStyle w:val="ListParagraph"/>
        <w:numPr>
          <w:ilvl w:val="2"/>
          <w:numId w:val="46"/>
        </w:numPr>
        <w:tabs>
          <w:tab w:val="left" w:pos="1594"/>
        </w:tabs>
        <w:ind w:left="1594" w:hanging="533"/>
      </w:pPr>
      <w:r>
        <w:rPr>
          <w:b/>
          <w:color w:val="211F1F"/>
        </w:rPr>
        <w:t>Registered</w:t>
      </w:r>
      <w:r>
        <w:rPr>
          <w:b/>
          <w:color w:val="211F1F"/>
          <w:spacing w:val="-10"/>
        </w:rPr>
        <w:t xml:space="preserve"> </w:t>
      </w:r>
      <w:r>
        <w:rPr>
          <w:b/>
          <w:color w:val="211F1F"/>
        </w:rPr>
        <w:t>Company,</w:t>
      </w:r>
      <w:r>
        <w:rPr>
          <w:b/>
          <w:color w:val="211F1F"/>
          <w:spacing w:val="-6"/>
        </w:rPr>
        <w:t xml:space="preserve"> </w:t>
      </w:r>
      <w:r>
        <w:rPr>
          <w:color w:val="211F1F"/>
        </w:rPr>
        <w:t>provide</w:t>
      </w:r>
      <w:r>
        <w:rPr>
          <w:color w:val="211F1F"/>
          <w:spacing w:val="-12"/>
        </w:rPr>
        <w:t xml:space="preserve"> </w:t>
      </w:r>
      <w:r>
        <w:rPr>
          <w:color w:val="211F1F"/>
        </w:rPr>
        <w:t>the</w:t>
      </w:r>
      <w:r>
        <w:rPr>
          <w:color w:val="211F1F"/>
          <w:spacing w:val="-14"/>
        </w:rPr>
        <w:t xml:space="preserve"> </w:t>
      </w:r>
      <w:r>
        <w:rPr>
          <w:color w:val="211F1F"/>
        </w:rPr>
        <w:t>following</w:t>
      </w:r>
      <w:r>
        <w:rPr>
          <w:color w:val="211F1F"/>
          <w:spacing w:val="-10"/>
        </w:rPr>
        <w:t xml:space="preserve"> </w:t>
      </w:r>
      <w:r>
        <w:rPr>
          <w:color w:val="211F1F"/>
          <w:spacing w:val="-2"/>
        </w:rPr>
        <w:t>details.</w:t>
      </w:r>
    </w:p>
    <w:p w14:paraId="05DDDD29" w14:textId="77777777" w:rsidR="00BB77C0" w:rsidRDefault="00370BAA">
      <w:pPr>
        <w:pStyle w:val="ListParagraph"/>
        <w:numPr>
          <w:ilvl w:val="3"/>
          <w:numId w:val="46"/>
        </w:numPr>
        <w:tabs>
          <w:tab w:val="left" w:pos="2031"/>
          <w:tab w:val="left" w:pos="10600"/>
        </w:tabs>
        <w:spacing w:before="232"/>
      </w:pPr>
      <w:r>
        <w:rPr>
          <w:color w:val="211F1F"/>
        </w:rPr>
        <w:t>Private</w:t>
      </w:r>
      <w:r>
        <w:rPr>
          <w:color w:val="211F1F"/>
          <w:spacing w:val="-13"/>
        </w:rPr>
        <w:t xml:space="preserve"> </w:t>
      </w:r>
      <w:r>
        <w:rPr>
          <w:color w:val="211F1F"/>
        </w:rPr>
        <w:t>or</w:t>
      </w:r>
      <w:r>
        <w:rPr>
          <w:color w:val="211F1F"/>
          <w:spacing w:val="-1"/>
        </w:rPr>
        <w:t xml:space="preserve"> </w:t>
      </w:r>
      <w:r>
        <w:rPr>
          <w:color w:val="211F1F"/>
        </w:rPr>
        <w:t>public</w:t>
      </w:r>
      <w:r>
        <w:rPr>
          <w:color w:val="211F1F"/>
          <w:spacing w:val="-5"/>
        </w:rPr>
        <w:t xml:space="preserve"> </w:t>
      </w:r>
      <w:r>
        <w:rPr>
          <w:color w:val="211F1F"/>
          <w:spacing w:val="-2"/>
        </w:rPr>
        <w:t>Company</w:t>
      </w:r>
      <w:r>
        <w:rPr>
          <w:color w:val="211F1F"/>
          <w:u w:val="single" w:color="201E1F"/>
        </w:rPr>
        <w:tab/>
      </w:r>
    </w:p>
    <w:p w14:paraId="2B7A323B" w14:textId="77777777" w:rsidR="00BB77C0" w:rsidRDefault="00370BAA">
      <w:pPr>
        <w:pStyle w:val="ListParagraph"/>
        <w:numPr>
          <w:ilvl w:val="3"/>
          <w:numId w:val="46"/>
        </w:numPr>
        <w:tabs>
          <w:tab w:val="left" w:pos="2031"/>
          <w:tab w:val="left" w:pos="10657"/>
        </w:tabs>
        <w:spacing w:before="233"/>
        <w:ind w:hanging="432"/>
      </w:pPr>
      <w:r>
        <w:rPr>
          <w:color w:val="211F1F"/>
        </w:rPr>
        <w:t>State</w:t>
      </w:r>
      <w:r>
        <w:rPr>
          <w:color w:val="211F1F"/>
          <w:spacing w:val="-11"/>
        </w:rPr>
        <w:t xml:space="preserve"> </w:t>
      </w:r>
      <w:r>
        <w:rPr>
          <w:color w:val="211F1F"/>
        </w:rPr>
        <w:t>the</w:t>
      </w:r>
      <w:r>
        <w:rPr>
          <w:color w:val="211F1F"/>
          <w:spacing w:val="-6"/>
        </w:rPr>
        <w:t xml:space="preserve"> </w:t>
      </w:r>
      <w:r>
        <w:rPr>
          <w:color w:val="211F1F"/>
        </w:rPr>
        <w:t>nominal</w:t>
      </w:r>
      <w:r>
        <w:rPr>
          <w:color w:val="211F1F"/>
          <w:spacing w:val="-8"/>
        </w:rPr>
        <w:t xml:space="preserve"> </w:t>
      </w:r>
      <w:r>
        <w:rPr>
          <w:color w:val="211F1F"/>
        </w:rPr>
        <w:t>and</w:t>
      </w:r>
      <w:r>
        <w:rPr>
          <w:color w:val="211F1F"/>
          <w:spacing w:val="-9"/>
        </w:rPr>
        <w:t xml:space="preserve"> </w:t>
      </w:r>
      <w:r>
        <w:rPr>
          <w:color w:val="211F1F"/>
        </w:rPr>
        <w:t>issued</w:t>
      </w:r>
      <w:r>
        <w:rPr>
          <w:color w:val="211F1F"/>
          <w:spacing w:val="-4"/>
        </w:rPr>
        <w:t xml:space="preserve"> </w:t>
      </w:r>
      <w:r>
        <w:rPr>
          <w:color w:val="211F1F"/>
        </w:rPr>
        <w:t>capital</w:t>
      </w:r>
      <w:r>
        <w:rPr>
          <w:color w:val="211F1F"/>
          <w:spacing w:val="-3"/>
        </w:rPr>
        <w:t xml:space="preserve"> </w:t>
      </w:r>
      <w:r>
        <w:rPr>
          <w:color w:val="211F1F"/>
        </w:rPr>
        <w:t>of</w:t>
      </w:r>
      <w:r>
        <w:rPr>
          <w:color w:val="211F1F"/>
          <w:spacing w:val="-1"/>
        </w:rPr>
        <w:t xml:space="preserve"> </w:t>
      </w:r>
      <w:r>
        <w:rPr>
          <w:color w:val="211F1F"/>
        </w:rPr>
        <w:t>the</w:t>
      </w:r>
      <w:r>
        <w:rPr>
          <w:color w:val="211F1F"/>
          <w:spacing w:val="-6"/>
        </w:rPr>
        <w:t xml:space="preserve"> </w:t>
      </w:r>
      <w:r>
        <w:rPr>
          <w:color w:val="211F1F"/>
          <w:spacing w:val="-2"/>
        </w:rPr>
        <w:t>Company</w:t>
      </w:r>
      <w:r>
        <w:rPr>
          <w:color w:val="211F1F"/>
          <w:u w:val="single" w:color="201E1F"/>
        </w:rPr>
        <w:tab/>
      </w:r>
    </w:p>
    <w:p w14:paraId="09E5CE17" w14:textId="77777777" w:rsidR="00BB77C0" w:rsidRDefault="00370BAA">
      <w:pPr>
        <w:pStyle w:val="BodyText"/>
        <w:tabs>
          <w:tab w:val="left" w:leader="dot" w:pos="9935"/>
        </w:tabs>
        <w:spacing w:before="241"/>
        <w:ind w:left="2031"/>
      </w:pPr>
      <w:r>
        <w:rPr>
          <w:color w:val="211F1F"/>
        </w:rPr>
        <w:t>Nominal</w:t>
      </w:r>
      <w:r>
        <w:rPr>
          <w:color w:val="211F1F"/>
          <w:spacing w:val="-14"/>
        </w:rPr>
        <w:t xml:space="preserve"> </w:t>
      </w:r>
      <w:r>
        <w:rPr>
          <w:color w:val="211F1F"/>
        </w:rPr>
        <w:t>Kenya</w:t>
      </w:r>
      <w:r>
        <w:rPr>
          <w:color w:val="211F1F"/>
          <w:spacing w:val="-10"/>
        </w:rPr>
        <w:t xml:space="preserve"> </w:t>
      </w:r>
      <w:r>
        <w:rPr>
          <w:color w:val="211F1F"/>
        </w:rPr>
        <w:t>Shillings</w:t>
      </w:r>
      <w:r>
        <w:rPr>
          <w:color w:val="211F1F"/>
          <w:spacing w:val="-9"/>
        </w:rPr>
        <w:t xml:space="preserve"> </w:t>
      </w:r>
      <w:r>
        <w:rPr>
          <w:color w:val="211F1F"/>
          <w:spacing w:val="-2"/>
        </w:rPr>
        <w:t>(Equivalent)</w:t>
      </w:r>
      <w:r>
        <w:rPr>
          <w:color w:val="211F1F"/>
        </w:rPr>
        <w:tab/>
      </w:r>
      <w:r>
        <w:rPr>
          <w:color w:val="211F1F"/>
          <w:spacing w:val="-2"/>
        </w:rPr>
        <w:t>Issued</w:t>
      </w:r>
    </w:p>
    <w:p w14:paraId="501FF4DD" w14:textId="77777777" w:rsidR="00BB77C0" w:rsidRDefault="00370BAA">
      <w:pPr>
        <w:pStyle w:val="BodyText"/>
        <w:spacing w:before="232"/>
        <w:ind w:left="2031"/>
      </w:pPr>
      <w:r>
        <w:rPr>
          <w:color w:val="211F1F"/>
        </w:rPr>
        <w:t>Kenya</w:t>
      </w:r>
      <w:r>
        <w:rPr>
          <w:color w:val="211F1F"/>
          <w:spacing w:val="-11"/>
        </w:rPr>
        <w:t xml:space="preserve"> </w:t>
      </w:r>
      <w:r>
        <w:rPr>
          <w:color w:val="211F1F"/>
        </w:rPr>
        <w:t>Shillings</w:t>
      </w:r>
      <w:r>
        <w:rPr>
          <w:color w:val="211F1F"/>
          <w:spacing w:val="-11"/>
        </w:rPr>
        <w:t xml:space="preserve"> </w:t>
      </w:r>
      <w:r>
        <w:rPr>
          <w:color w:val="211F1F"/>
          <w:spacing w:val="-2"/>
        </w:rPr>
        <w:t>(Equivalent).....................................................................................</w:t>
      </w:r>
    </w:p>
    <w:p w14:paraId="75019813" w14:textId="77777777" w:rsidR="00BB77C0" w:rsidRDefault="00370BAA">
      <w:pPr>
        <w:pStyle w:val="ListParagraph"/>
        <w:numPr>
          <w:ilvl w:val="3"/>
          <w:numId w:val="46"/>
        </w:numPr>
        <w:tabs>
          <w:tab w:val="left" w:pos="2024"/>
        </w:tabs>
        <w:spacing w:before="227"/>
        <w:ind w:left="2024" w:hanging="430"/>
      </w:pPr>
      <w:r>
        <w:rPr>
          <w:color w:val="211F1F"/>
        </w:rPr>
        <w:t>Give</w:t>
      </w:r>
      <w:r>
        <w:rPr>
          <w:color w:val="211F1F"/>
          <w:spacing w:val="-8"/>
        </w:rPr>
        <w:t xml:space="preserve"> </w:t>
      </w:r>
      <w:r>
        <w:rPr>
          <w:color w:val="211F1F"/>
        </w:rPr>
        <w:t>details</w:t>
      </w:r>
      <w:r>
        <w:rPr>
          <w:color w:val="211F1F"/>
          <w:spacing w:val="-5"/>
        </w:rPr>
        <w:t xml:space="preserve"> </w:t>
      </w:r>
      <w:r>
        <w:rPr>
          <w:color w:val="211F1F"/>
        </w:rPr>
        <w:t>of</w:t>
      </w:r>
      <w:r>
        <w:rPr>
          <w:color w:val="211F1F"/>
          <w:spacing w:val="-3"/>
        </w:rPr>
        <w:t xml:space="preserve"> </w:t>
      </w:r>
      <w:r>
        <w:rPr>
          <w:color w:val="211F1F"/>
        </w:rPr>
        <w:t>Directors</w:t>
      </w:r>
      <w:r>
        <w:rPr>
          <w:color w:val="211F1F"/>
          <w:spacing w:val="-4"/>
        </w:rPr>
        <w:t xml:space="preserve"> </w:t>
      </w:r>
      <w:r>
        <w:rPr>
          <w:color w:val="211F1F"/>
        </w:rPr>
        <w:t>as</w:t>
      </w:r>
      <w:r>
        <w:rPr>
          <w:color w:val="211F1F"/>
          <w:spacing w:val="-10"/>
        </w:rPr>
        <w:t xml:space="preserve"> </w:t>
      </w:r>
      <w:r>
        <w:rPr>
          <w:color w:val="211F1F"/>
          <w:spacing w:val="-2"/>
        </w:rPr>
        <w:t>follows.</w:t>
      </w:r>
    </w:p>
    <w:p w14:paraId="59341047" w14:textId="77777777" w:rsidR="00BB77C0" w:rsidRDefault="00BB77C0">
      <w:pPr>
        <w:pStyle w:val="BodyText"/>
        <w:spacing w:before="78"/>
        <w:rPr>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2"/>
        <w:gridCol w:w="2986"/>
        <w:gridCol w:w="1916"/>
        <w:gridCol w:w="1916"/>
        <w:gridCol w:w="2478"/>
      </w:tblGrid>
      <w:tr w:rsidR="00BB77C0" w14:paraId="4CF1622F" w14:textId="77777777">
        <w:trPr>
          <w:trHeight w:val="254"/>
        </w:trPr>
        <w:tc>
          <w:tcPr>
            <w:tcW w:w="422" w:type="dxa"/>
            <w:shd w:val="clear" w:color="auto" w:fill="E7E6E6"/>
          </w:tcPr>
          <w:p w14:paraId="3D616BE7" w14:textId="77777777" w:rsidR="00BB77C0" w:rsidRDefault="00BB77C0">
            <w:pPr>
              <w:pStyle w:val="TableParagraph"/>
              <w:rPr>
                <w:sz w:val="18"/>
              </w:rPr>
            </w:pPr>
          </w:p>
        </w:tc>
        <w:tc>
          <w:tcPr>
            <w:tcW w:w="2986" w:type="dxa"/>
            <w:shd w:val="clear" w:color="auto" w:fill="E7E6E6"/>
          </w:tcPr>
          <w:p w14:paraId="5D755D46" w14:textId="77777777" w:rsidR="00BB77C0" w:rsidRDefault="00370BAA">
            <w:pPr>
              <w:pStyle w:val="TableParagraph"/>
              <w:spacing w:line="234" w:lineRule="exact"/>
              <w:ind w:left="110"/>
              <w:rPr>
                <w:b/>
              </w:rPr>
            </w:pPr>
            <w:r>
              <w:rPr>
                <w:b/>
              </w:rPr>
              <w:t>Names</w:t>
            </w:r>
            <w:r>
              <w:rPr>
                <w:b/>
                <w:spacing w:val="-6"/>
              </w:rPr>
              <w:t xml:space="preserve"> </w:t>
            </w:r>
            <w:r>
              <w:rPr>
                <w:b/>
              </w:rPr>
              <w:t>of</w:t>
            </w:r>
            <w:r>
              <w:rPr>
                <w:b/>
                <w:spacing w:val="-7"/>
              </w:rPr>
              <w:t xml:space="preserve"> </w:t>
            </w:r>
            <w:r>
              <w:rPr>
                <w:b/>
                <w:spacing w:val="-2"/>
              </w:rPr>
              <w:t>Director</w:t>
            </w:r>
          </w:p>
        </w:tc>
        <w:tc>
          <w:tcPr>
            <w:tcW w:w="1916" w:type="dxa"/>
            <w:shd w:val="clear" w:color="auto" w:fill="E7E6E6"/>
          </w:tcPr>
          <w:p w14:paraId="7A8836E5" w14:textId="77777777" w:rsidR="00BB77C0" w:rsidRDefault="00370BAA">
            <w:pPr>
              <w:pStyle w:val="TableParagraph"/>
              <w:spacing w:line="234" w:lineRule="exact"/>
              <w:ind w:left="111"/>
              <w:rPr>
                <w:b/>
              </w:rPr>
            </w:pPr>
            <w:r>
              <w:rPr>
                <w:b/>
                <w:spacing w:val="-2"/>
              </w:rPr>
              <w:t>Nationality</w:t>
            </w:r>
          </w:p>
        </w:tc>
        <w:tc>
          <w:tcPr>
            <w:tcW w:w="1916" w:type="dxa"/>
            <w:shd w:val="clear" w:color="auto" w:fill="E7E6E6"/>
          </w:tcPr>
          <w:p w14:paraId="56AEE1AE" w14:textId="77777777" w:rsidR="00BB77C0" w:rsidRDefault="00370BAA">
            <w:pPr>
              <w:pStyle w:val="TableParagraph"/>
              <w:spacing w:line="234" w:lineRule="exact"/>
              <w:ind w:left="111"/>
              <w:rPr>
                <w:b/>
              </w:rPr>
            </w:pPr>
            <w:r>
              <w:rPr>
                <w:b/>
                <w:spacing w:val="-2"/>
              </w:rPr>
              <w:t>Citizenship</w:t>
            </w:r>
          </w:p>
        </w:tc>
        <w:tc>
          <w:tcPr>
            <w:tcW w:w="2478" w:type="dxa"/>
            <w:shd w:val="clear" w:color="auto" w:fill="E7E6E6"/>
          </w:tcPr>
          <w:p w14:paraId="0E14BF09" w14:textId="77777777" w:rsidR="00BB77C0" w:rsidRDefault="00370BAA">
            <w:pPr>
              <w:pStyle w:val="TableParagraph"/>
              <w:spacing w:line="234" w:lineRule="exact"/>
              <w:ind w:left="111"/>
              <w:rPr>
                <w:b/>
              </w:rPr>
            </w:pPr>
            <w:r>
              <w:rPr>
                <w:b/>
              </w:rPr>
              <w:t>%</w:t>
            </w:r>
            <w:r>
              <w:rPr>
                <w:b/>
                <w:spacing w:val="-8"/>
              </w:rPr>
              <w:t xml:space="preserve"> </w:t>
            </w:r>
            <w:r>
              <w:rPr>
                <w:b/>
              </w:rPr>
              <w:t>Shares</w:t>
            </w:r>
            <w:r>
              <w:rPr>
                <w:b/>
                <w:spacing w:val="-5"/>
              </w:rPr>
              <w:t xml:space="preserve"> </w:t>
            </w:r>
            <w:r>
              <w:rPr>
                <w:b/>
                <w:spacing w:val="-4"/>
              </w:rPr>
              <w:t>owned</w:t>
            </w:r>
          </w:p>
        </w:tc>
      </w:tr>
      <w:tr w:rsidR="00BB77C0" w14:paraId="16C145F2" w14:textId="77777777">
        <w:trPr>
          <w:trHeight w:val="249"/>
        </w:trPr>
        <w:tc>
          <w:tcPr>
            <w:tcW w:w="422" w:type="dxa"/>
          </w:tcPr>
          <w:p w14:paraId="63507B77" w14:textId="77777777" w:rsidR="00BB77C0" w:rsidRDefault="00370BAA">
            <w:pPr>
              <w:pStyle w:val="TableParagraph"/>
              <w:spacing w:line="229" w:lineRule="exact"/>
              <w:ind w:right="69"/>
              <w:jc w:val="center"/>
            </w:pPr>
            <w:r>
              <w:rPr>
                <w:spacing w:val="-10"/>
              </w:rPr>
              <w:t>1</w:t>
            </w:r>
          </w:p>
        </w:tc>
        <w:tc>
          <w:tcPr>
            <w:tcW w:w="2986" w:type="dxa"/>
          </w:tcPr>
          <w:p w14:paraId="219D6EA1" w14:textId="77777777" w:rsidR="00BB77C0" w:rsidRDefault="00BB77C0">
            <w:pPr>
              <w:pStyle w:val="TableParagraph"/>
              <w:rPr>
                <w:sz w:val="18"/>
              </w:rPr>
            </w:pPr>
          </w:p>
        </w:tc>
        <w:tc>
          <w:tcPr>
            <w:tcW w:w="1916" w:type="dxa"/>
          </w:tcPr>
          <w:p w14:paraId="2FA9EDA2" w14:textId="77777777" w:rsidR="00BB77C0" w:rsidRDefault="00BB77C0">
            <w:pPr>
              <w:pStyle w:val="TableParagraph"/>
              <w:rPr>
                <w:sz w:val="18"/>
              </w:rPr>
            </w:pPr>
          </w:p>
        </w:tc>
        <w:tc>
          <w:tcPr>
            <w:tcW w:w="1916" w:type="dxa"/>
          </w:tcPr>
          <w:p w14:paraId="250E1CD8" w14:textId="77777777" w:rsidR="00BB77C0" w:rsidRDefault="00BB77C0">
            <w:pPr>
              <w:pStyle w:val="TableParagraph"/>
              <w:rPr>
                <w:sz w:val="18"/>
              </w:rPr>
            </w:pPr>
          </w:p>
        </w:tc>
        <w:tc>
          <w:tcPr>
            <w:tcW w:w="2478" w:type="dxa"/>
          </w:tcPr>
          <w:p w14:paraId="29755EC4" w14:textId="77777777" w:rsidR="00BB77C0" w:rsidRDefault="00BB77C0">
            <w:pPr>
              <w:pStyle w:val="TableParagraph"/>
              <w:rPr>
                <w:sz w:val="18"/>
              </w:rPr>
            </w:pPr>
          </w:p>
        </w:tc>
      </w:tr>
      <w:tr w:rsidR="00BB77C0" w14:paraId="167DCC94" w14:textId="77777777">
        <w:trPr>
          <w:trHeight w:val="253"/>
        </w:trPr>
        <w:tc>
          <w:tcPr>
            <w:tcW w:w="422" w:type="dxa"/>
          </w:tcPr>
          <w:p w14:paraId="0FA505FF" w14:textId="77777777" w:rsidR="00BB77C0" w:rsidRDefault="00370BAA">
            <w:pPr>
              <w:pStyle w:val="TableParagraph"/>
              <w:spacing w:line="234" w:lineRule="exact"/>
              <w:ind w:right="69"/>
              <w:jc w:val="center"/>
            </w:pPr>
            <w:r>
              <w:rPr>
                <w:spacing w:val="-10"/>
              </w:rPr>
              <w:t>2</w:t>
            </w:r>
          </w:p>
        </w:tc>
        <w:tc>
          <w:tcPr>
            <w:tcW w:w="2986" w:type="dxa"/>
          </w:tcPr>
          <w:p w14:paraId="48E3BA23" w14:textId="77777777" w:rsidR="00BB77C0" w:rsidRDefault="00BB77C0">
            <w:pPr>
              <w:pStyle w:val="TableParagraph"/>
              <w:rPr>
                <w:sz w:val="18"/>
              </w:rPr>
            </w:pPr>
          </w:p>
        </w:tc>
        <w:tc>
          <w:tcPr>
            <w:tcW w:w="1916" w:type="dxa"/>
          </w:tcPr>
          <w:p w14:paraId="6368BAE3" w14:textId="77777777" w:rsidR="00BB77C0" w:rsidRDefault="00BB77C0">
            <w:pPr>
              <w:pStyle w:val="TableParagraph"/>
              <w:rPr>
                <w:sz w:val="18"/>
              </w:rPr>
            </w:pPr>
          </w:p>
        </w:tc>
        <w:tc>
          <w:tcPr>
            <w:tcW w:w="1916" w:type="dxa"/>
          </w:tcPr>
          <w:p w14:paraId="43D67F11" w14:textId="77777777" w:rsidR="00BB77C0" w:rsidRDefault="00BB77C0">
            <w:pPr>
              <w:pStyle w:val="TableParagraph"/>
              <w:rPr>
                <w:sz w:val="18"/>
              </w:rPr>
            </w:pPr>
          </w:p>
        </w:tc>
        <w:tc>
          <w:tcPr>
            <w:tcW w:w="2478" w:type="dxa"/>
          </w:tcPr>
          <w:p w14:paraId="16D57889" w14:textId="77777777" w:rsidR="00BB77C0" w:rsidRDefault="00BB77C0">
            <w:pPr>
              <w:pStyle w:val="TableParagraph"/>
              <w:rPr>
                <w:sz w:val="18"/>
              </w:rPr>
            </w:pPr>
          </w:p>
        </w:tc>
      </w:tr>
      <w:tr w:rsidR="00BB77C0" w14:paraId="4349CB65" w14:textId="77777777">
        <w:trPr>
          <w:trHeight w:val="253"/>
        </w:trPr>
        <w:tc>
          <w:tcPr>
            <w:tcW w:w="422" w:type="dxa"/>
          </w:tcPr>
          <w:p w14:paraId="731E1511" w14:textId="77777777" w:rsidR="00BB77C0" w:rsidRDefault="00370BAA">
            <w:pPr>
              <w:pStyle w:val="TableParagraph"/>
              <w:spacing w:line="234" w:lineRule="exact"/>
              <w:ind w:right="69"/>
              <w:jc w:val="center"/>
            </w:pPr>
            <w:r>
              <w:rPr>
                <w:spacing w:val="-10"/>
              </w:rPr>
              <w:t>3</w:t>
            </w:r>
          </w:p>
        </w:tc>
        <w:tc>
          <w:tcPr>
            <w:tcW w:w="2986" w:type="dxa"/>
          </w:tcPr>
          <w:p w14:paraId="641B1C11" w14:textId="77777777" w:rsidR="00BB77C0" w:rsidRDefault="00BB77C0">
            <w:pPr>
              <w:pStyle w:val="TableParagraph"/>
              <w:rPr>
                <w:sz w:val="18"/>
              </w:rPr>
            </w:pPr>
          </w:p>
        </w:tc>
        <w:tc>
          <w:tcPr>
            <w:tcW w:w="1916" w:type="dxa"/>
          </w:tcPr>
          <w:p w14:paraId="7F10B1C8" w14:textId="77777777" w:rsidR="00BB77C0" w:rsidRDefault="00BB77C0">
            <w:pPr>
              <w:pStyle w:val="TableParagraph"/>
              <w:rPr>
                <w:sz w:val="18"/>
              </w:rPr>
            </w:pPr>
          </w:p>
        </w:tc>
        <w:tc>
          <w:tcPr>
            <w:tcW w:w="1916" w:type="dxa"/>
          </w:tcPr>
          <w:p w14:paraId="3E813E4B" w14:textId="77777777" w:rsidR="00BB77C0" w:rsidRDefault="00BB77C0">
            <w:pPr>
              <w:pStyle w:val="TableParagraph"/>
              <w:rPr>
                <w:sz w:val="18"/>
              </w:rPr>
            </w:pPr>
          </w:p>
        </w:tc>
        <w:tc>
          <w:tcPr>
            <w:tcW w:w="2478" w:type="dxa"/>
          </w:tcPr>
          <w:p w14:paraId="7F3F87CD" w14:textId="77777777" w:rsidR="00BB77C0" w:rsidRDefault="00BB77C0">
            <w:pPr>
              <w:pStyle w:val="TableParagraph"/>
              <w:rPr>
                <w:sz w:val="18"/>
              </w:rPr>
            </w:pPr>
          </w:p>
        </w:tc>
      </w:tr>
    </w:tbl>
    <w:p w14:paraId="010CA85A" w14:textId="77777777" w:rsidR="00BB77C0" w:rsidRDefault="00BB77C0">
      <w:pPr>
        <w:pStyle w:val="BodyText"/>
      </w:pPr>
    </w:p>
    <w:p w14:paraId="5DA3432F" w14:textId="77777777" w:rsidR="00BB77C0" w:rsidRDefault="00BB77C0">
      <w:pPr>
        <w:pStyle w:val="BodyText"/>
        <w:spacing w:before="82"/>
      </w:pPr>
    </w:p>
    <w:p w14:paraId="5B554EA5" w14:textId="77777777" w:rsidR="00BB77C0" w:rsidRDefault="00370BAA">
      <w:pPr>
        <w:pStyle w:val="Heading7"/>
        <w:numPr>
          <w:ilvl w:val="0"/>
          <w:numId w:val="44"/>
        </w:numPr>
        <w:tabs>
          <w:tab w:val="left" w:pos="1056"/>
        </w:tabs>
        <w:spacing w:before="1"/>
        <w:ind w:hanging="566"/>
      </w:pPr>
      <w:bookmarkStart w:id="162" w:name="(e)_DISCLOSURE_OF_INTEREST-_Interest_of_"/>
      <w:bookmarkEnd w:id="162"/>
      <w:r>
        <w:rPr>
          <w:color w:val="211F1F"/>
          <w:spacing w:val="-2"/>
        </w:rPr>
        <w:t>DISCLOSURE</w:t>
      </w:r>
      <w:r>
        <w:rPr>
          <w:color w:val="211F1F"/>
          <w:spacing w:val="-23"/>
        </w:rPr>
        <w:t xml:space="preserve"> </w:t>
      </w:r>
      <w:r>
        <w:rPr>
          <w:color w:val="211F1F"/>
          <w:spacing w:val="-2"/>
        </w:rPr>
        <w:t>OFINTEREST-</w:t>
      </w:r>
      <w:r>
        <w:rPr>
          <w:color w:val="211F1F"/>
          <w:spacing w:val="-24"/>
        </w:rPr>
        <w:t xml:space="preserve"> </w:t>
      </w:r>
      <w:r>
        <w:rPr>
          <w:color w:val="211F1F"/>
          <w:spacing w:val="-2"/>
        </w:rPr>
        <w:t>Interest</w:t>
      </w:r>
      <w:r>
        <w:rPr>
          <w:color w:val="211F1F"/>
          <w:spacing w:val="-19"/>
        </w:rPr>
        <w:t xml:space="preserve"> </w:t>
      </w:r>
      <w:r>
        <w:rPr>
          <w:color w:val="211F1F"/>
          <w:spacing w:val="-2"/>
        </w:rPr>
        <w:t>of</w:t>
      </w:r>
      <w:r>
        <w:rPr>
          <w:color w:val="211F1F"/>
          <w:spacing w:val="-20"/>
        </w:rPr>
        <w:t xml:space="preserve"> </w:t>
      </w:r>
      <w:r>
        <w:rPr>
          <w:color w:val="211F1F"/>
          <w:spacing w:val="-2"/>
        </w:rPr>
        <w:t>the</w:t>
      </w:r>
      <w:r>
        <w:rPr>
          <w:color w:val="211F1F"/>
          <w:spacing w:val="-14"/>
        </w:rPr>
        <w:t xml:space="preserve"> </w:t>
      </w:r>
      <w:r>
        <w:rPr>
          <w:color w:val="211F1F"/>
          <w:spacing w:val="-2"/>
        </w:rPr>
        <w:t>Firmin</w:t>
      </w:r>
      <w:r>
        <w:rPr>
          <w:color w:val="211F1F"/>
          <w:spacing w:val="-22"/>
        </w:rPr>
        <w:t xml:space="preserve"> </w:t>
      </w:r>
      <w:r>
        <w:rPr>
          <w:color w:val="211F1F"/>
          <w:spacing w:val="-2"/>
        </w:rPr>
        <w:t>the</w:t>
      </w:r>
      <w:r>
        <w:rPr>
          <w:color w:val="211F1F"/>
          <w:spacing w:val="-14"/>
        </w:rPr>
        <w:t xml:space="preserve"> </w:t>
      </w:r>
      <w:r>
        <w:rPr>
          <w:color w:val="211F1F"/>
          <w:spacing w:val="-2"/>
        </w:rPr>
        <w:t>Procuring</w:t>
      </w:r>
      <w:r>
        <w:rPr>
          <w:color w:val="211F1F"/>
          <w:spacing w:val="-12"/>
        </w:rPr>
        <w:t xml:space="preserve"> </w:t>
      </w:r>
      <w:r>
        <w:rPr>
          <w:color w:val="211F1F"/>
          <w:spacing w:val="-2"/>
        </w:rPr>
        <w:t>Entity.</w:t>
      </w:r>
    </w:p>
    <w:p w14:paraId="72B6FCCF" w14:textId="77777777" w:rsidR="00BB77C0" w:rsidRDefault="00370BAA">
      <w:pPr>
        <w:pStyle w:val="ListParagraph"/>
        <w:numPr>
          <w:ilvl w:val="1"/>
          <w:numId w:val="44"/>
        </w:numPr>
        <w:tabs>
          <w:tab w:val="left" w:pos="1608"/>
          <w:tab w:val="left" w:leader="dot" w:pos="6179"/>
        </w:tabs>
        <w:spacing w:before="227" w:line="251" w:lineRule="exact"/>
        <w:ind w:hanging="552"/>
        <w:jc w:val="left"/>
        <w:rPr>
          <w:color w:val="211F1F"/>
        </w:rPr>
      </w:pPr>
      <w:r>
        <w:rPr>
          <w:color w:val="211F1F"/>
          <w:spacing w:val="-4"/>
        </w:rPr>
        <w:t>Are</w:t>
      </w:r>
      <w:r>
        <w:rPr>
          <w:color w:val="211F1F"/>
          <w:spacing w:val="-9"/>
        </w:rPr>
        <w:t xml:space="preserve"> </w:t>
      </w:r>
      <w:r>
        <w:rPr>
          <w:color w:val="211F1F"/>
          <w:spacing w:val="-4"/>
        </w:rPr>
        <w:t>there</w:t>
      </w:r>
      <w:r>
        <w:rPr>
          <w:color w:val="211F1F"/>
          <w:spacing w:val="-8"/>
        </w:rPr>
        <w:t xml:space="preserve"> </w:t>
      </w:r>
      <w:r>
        <w:rPr>
          <w:color w:val="211F1F"/>
          <w:spacing w:val="-4"/>
        </w:rPr>
        <w:t>any person/persons</w:t>
      </w:r>
      <w:r>
        <w:rPr>
          <w:color w:val="211F1F"/>
          <w:spacing w:val="3"/>
        </w:rPr>
        <w:t xml:space="preserve"> </w:t>
      </w:r>
      <w:r>
        <w:rPr>
          <w:color w:val="211F1F"/>
          <w:spacing w:val="-7"/>
        </w:rPr>
        <w:t>in</w:t>
      </w:r>
      <w:r>
        <w:rPr>
          <w:color w:val="211F1F"/>
        </w:rPr>
        <w:tab/>
      </w:r>
      <w:r>
        <w:rPr>
          <w:color w:val="211F1F"/>
          <w:spacing w:val="-2"/>
        </w:rPr>
        <w:t>(</w:t>
      </w:r>
      <w:r>
        <w:rPr>
          <w:i/>
          <w:color w:val="211F1F"/>
          <w:spacing w:val="-2"/>
        </w:rPr>
        <w:t>Name</w:t>
      </w:r>
      <w:r>
        <w:rPr>
          <w:i/>
          <w:color w:val="211F1F"/>
          <w:spacing w:val="-26"/>
        </w:rPr>
        <w:t xml:space="preserve"> </w:t>
      </w:r>
      <w:r>
        <w:rPr>
          <w:i/>
          <w:color w:val="211F1F"/>
          <w:spacing w:val="-2"/>
        </w:rPr>
        <w:t>of</w:t>
      </w:r>
      <w:r>
        <w:rPr>
          <w:i/>
          <w:color w:val="211F1F"/>
          <w:spacing w:val="-16"/>
        </w:rPr>
        <w:t xml:space="preserve"> </w:t>
      </w:r>
      <w:r>
        <w:rPr>
          <w:i/>
          <w:color w:val="211F1F"/>
          <w:spacing w:val="-2"/>
        </w:rPr>
        <w:t>Procuring</w:t>
      </w:r>
      <w:r>
        <w:rPr>
          <w:i/>
          <w:color w:val="211F1F"/>
          <w:spacing w:val="-21"/>
        </w:rPr>
        <w:t xml:space="preserve"> </w:t>
      </w:r>
      <w:r>
        <w:rPr>
          <w:i/>
          <w:color w:val="211F1F"/>
          <w:spacing w:val="-2"/>
        </w:rPr>
        <w:t>Entity)</w:t>
      </w:r>
      <w:r>
        <w:rPr>
          <w:i/>
          <w:color w:val="211F1F"/>
          <w:spacing w:val="-18"/>
        </w:rPr>
        <w:t xml:space="preserve"> </w:t>
      </w:r>
      <w:r>
        <w:rPr>
          <w:color w:val="211F1F"/>
          <w:spacing w:val="-2"/>
        </w:rPr>
        <w:t>who</w:t>
      </w:r>
      <w:r>
        <w:rPr>
          <w:color w:val="211F1F"/>
          <w:spacing w:val="-17"/>
        </w:rPr>
        <w:t xml:space="preserve"> </w:t>
      </w:r>
      <w:r>
        <w:rPr>
          <w:color w:val="211F1F"/>
          <w:spacing w:val="-2"/>
        </w:rPr>
        <w:t>has/have</w:t>
      </w:r>
      <w:r>
        <w:rPr>
          <w:color w:val="211F1F"/>
          <w:spacing w:val="-23"/>
        </w:rPr>
        <w:t xml:space="preserve"> </w:t>
      </w:r>
      <w:r>
        <w:rPr>
          <w:color w:val="211F1F"/>
          <w:spacing w:val="-2"/>
        </w:rPr>
        <w:t>an</w:t>
      </w:r>
      <w:r>
        <w:rPr>
          <w:color w:val="211F1F"/>
          <w:spacing w:val="-20"/>
        </w:rPr>
        <w:t xml:space="preserve"> </w:t>
      </w:r>
      <w:r>
        <w:rPr>
          <w:color w:val="211F1F"/>
          <w:spacing w:val="-2"/>
        </w:rPr>
        <w:t>interest</w:t>
      </w:r>
    </w:p>
    <w:p w14:paraId="710D8E7A" w14:textId="77777777" w:rsidR="00BB77C0" w:rsidRDefault="00370BAA">
      <w:pPr>
        <w:pStyle w:val="BodyText"/>
        <w:spacing w:after="25" w:line="460" w:lineRule="auto"/>
        <w:ind w:left="1056" w:right="4965" w:firstLine="552"/>
      </w:pPr>
      <w:r>
        <w:rPr>
          <w:color w:val="211F1F"/>
        </w:rPr>
        <w:t>or</w:t>
      </w:r>
      <w:r>
        <w:rPr>
          <w:color w:val="211F1F"/>
          <w:spacing w:val="-19"/>
        </w:rPr>
        <w:t xml:space="preserve"> </w:t>
      </w:r>
      <w:r>
        <w:rPr>
          <w:color w:val="211F1F"/>
        </w:rPr>
        <w:t>relationship</w:t>
      </w:r>
      <w:r>
        <w:rPr>
          <w:color w:val="211F1F"/>
          <w:spacing w:val="-20"/>
        </w:rPr>
        <w:t xml:space="preserve"> </w:t>
      </w:r>
      <w:r>
        <w:rPr>
          <w:color w:val="211F1F"/>
        </w:rPr>
        <w:t>inthis</w:t>
      </w:r>
      <w:r>
        <w:rPr>
          <w:color w:val="211F1F"/>
          <w:spacing w:val="-21"/>
        </w:rPr>
        <w:t xml:space="preserve"> </w:t>
      </w:r>
      <w:r>
        <w:rPr>
          <w:color w:val="211F1F"/>
        </w:rPr>
        <w:t>firm?</w:t>
      </w:r>
      <w:r>
        <w:rPr>
          <w:color w:val="211F1F"/>
          <w:spacing w:val="-33"/>
        </w:rPr>
        <w:t xml:space="preserve"> </w:t>
      </w:r>
      <w:r>
        <w:rPr>
          <w:color w:val="211F1F"/>
        </w:rPr>
        <w:t>Yes/No……………………… If yes, provide details as follows.</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2"/>
        <w:gridCol w:w="2002"/>
        <w:gridCol w:w="3423"/>
        <w:gridCol w:w="3961"/>
      </w:tblGrid>
      <w:tr w:rsidR="00BB77C0" w14:paraId="746D5435" w14:textId="77777777">
        <w:trPr>
          <w:trHeight w:val="230"/>
        </w:trPr>
        <w:tc>
          <w:tcPr>
            <w:tcW w:w="422" w:type="dxa"/>
            <w:shd w:val="clear" w:color="auto" w:fill="E7E6E6"/>
          </w:tcPr>
          <w:p w14:paraId="301FD323" w14:textId="77777777" w:rsidR="00BB77C0" w:rsidRDefault="00BB77C0">
            <w:pPr>
              <w:pStyle w:val="TableParagraph"/>
              <w:rPr>
                <w:sz w:val="16"/>
              </w:rPr>
            </w:pPr>
          </w:p>
        </w:tc>
        <w:tc>
          <w:tcPr>
            <w:tcW w:w="2002" w:type="dxa"/>
            <w:shd w:val="clear" w:color="auto" w:fill="E7E6E6"/>
          </w:tcPr>
          <w:p w14:paraId="4FF3A015" w14:textId="77777777" w:rsidR="00BB77C0" w:rsidRDefault="00370BAA">
            <w:pPr>
              <w:pStyle w:val="TableParagraph"/>
              <w:spacing w:line="210" w:lineRule="exact"/>
              <w:ind w:left="110"/>
              <w:rPr>
                <w:b/>
                <w:sz w:val="20"/>
              </w:rPr>
            </w:pPr>
            <w:r>
              <w:rPr>
                <w:b/>
                <w:sz w:val="20"/>
              </w:rPr>
              <w:t>Names</w:t>
            </w:r>
            <w:r>
              <w:rPr>
                <w:b/>
                <w:spacing w:val="-9"/>
                <w:sz w:val="20"/>
              </w:rPr>
              <w:t xml:space="preserve"> </w:t>
            </w:r>
            <w:r>
              <w:rPr>
                <w:b/>
                <w:sz w:val="20"/>
              </w:rPr>
              <w:t>of</w:t>
            </w:r>
            <w:r>
              <w:rPr>
                <w:b/>
                <w:spacing w:val="-3"/>
                <w:sz w:val="20"/>
              </w:rPr>
              <w:t xml:space="preserve"> </w:t>
            </w:r>
            <w:r>
              <w:rPr>
                <w:b/>
                <w:spacing w:val="-2"/>
                <w:sz w:val="20"/>
              </w:rPr>
              <w:t>Person</w:t>
            </w:r>
          </w:p>
        </w:tc>
        <w:tc>
          <w:tcPr>
            <w:tcW w:w="3423" w:type="dxa"/>
            <w:shd w:val="clear" w:color="auto" w:fill="E7E6E6"/>
          </w:tcPr>
          <w:p w14:paraId="50513293" w14:textId="77777777" w:rsidR="00BB77C0" w:rsidRDefault="00370BAA">
            <w:pPr>
              <w:pStyle w:val="TableParagraph"/>
              <w:spacing w:line="210" w:lineRule="exact"/>
              <w:ind w:left="115"/>
              <w:rPr>
                <w:b/>
                <w:sz w:val="20"/>
              </w:rPr>
            </w:pPr>
            <w:r>
              <w:rPr>
                <w:b/>
                <w:spacing w:val="-2"/>
                <w:sz w:val="20"/>
              </w:rPr>
              <w:t>Designation in the</w:t>
            </w:r>
            <w:r>
              <w:rPr>
                <w:b/>
                <w:spacing w:val="1"/>
                <w:sz w:val="20"/>
              </w:rPr>
              <w:t xml:space="preserve"> </w:t>
            </w:r>
            <w:r>
              <w:rPr>
                <w:b/>
                <w:spacing w:val="-2"/>
                <w:sz w:val="20"/>
              </w:rPr>
              <w:t>Procuring</w:t>
            </w:r>
            <w:r>
              <w:rPr>
                <w:b/>
                <w:spacing w:val="1"/>
                <w:sz w:val="20"/>
              </w:rPr>
              <w:t xml:space="preserve"> </w:t>
            </w:r>
            <w:r>
              <w:rPr>
                <w:b/>
                <w:spacing w:val="-2"/>
                <w:sz w:val="20"/>
              </w:rPr>
              <w:t>Entity</w:t>
            </w:r>
          </w:p>
        </w:tc>
        <w:tc>
          <w:tcPr>
            <w:tcW w:w="3961" w:type="dxa"/>
            <w:shd w:val="clear" w:color="auto" w:fill="E7E6E6"/>
          </w:tcPr>
          <w:p w14:paraId="560E0F49" w14:textId="77777777" w:rsidR="00BB77C0" w:rsidRDefault="00370BAA">
            <w:pPr>
              <w:pStyle w:val="TableParagraph"/>
              <w:spacing w:line="210" w:lineRule="exact"/>
              <w:ind w:left="111"/>
              <w:rPr>
                <w:b/>
                <w:sz w:val="20"/>
              </w:rPr>
            </w:pPr>
            <w:r>
              <w:rPr>
                <w:b/>
                <w:spacing w:val="-2"/>
                <w:sz w:val="20"/>
              </w:rPr>
              <w:t>Interest or</w:t>
            </w:r>
            <w:r>
              <w:rPr>
                <w:b/>
                <w:sz w:val="20"/>
              </w:rPr>
              <w:t xml:space="preserve"> </w:t>
            </w:r>
            <w:r>
              <w:rPr>
                <w:b/>
                <w:spacing w:val="-2"/>
                <w:sz w:val="20"/>
              </w:rPr>
              <w:t>Relationship</w:t>
            </w:r>
            <w:r>
              <w:rPr>
                <w:b/>
                <w:spacing w:val="4"/>
                <w:sz w:val="20"/>
              </w:rPr>
              <w:t xml:space="preserve"> </w:t>
            </w:r>
            <w:r>
              <w:rPr>
                <w:b/>
                <w:spacing w:val="-2"/>
                <w:sz w:val="20"/>
              </w:rPr>
              <w:t>with Tenderer</w:t>
            </w:r>
          </w:p>
        </w:tc>
      </w:tr>
      <w:tr w:rsidR="00BB77C0" w14:paraId="353759D8" w14:textId="77777777">
        <w:trPr>
          <w:trHeight w:val="249"/>
        </w:trPr>
        <w:tc>
          <w:tcPr>
            <w:tcW w:w="422" w:type="dxa"/>
          </w:tcPr>
          <w:p w14:paraId="21447CA7" w14:textId="77777777" w:rsidR="00BB77C0" w:rsidRDefault="00370BAA">
            <w:pPr>
              <w:pStyle w:val="TableParagraph"/>
              <w:spacing w:line="229" w:lineRule="exact"/>
              <w:ind w:right="69"/>
              <w:jc w:val="center"/>
            </w:pPr>
            <w:r>
              <w:rPr>
                <w:spacing w:val="-10"/>
              </w:rPr>
              <w:t>1</w:t>
            </w:r>
          </w:p>
        </w:tc>
        <w:tc>
          <w:tcPr>
            <w:tcW w:w="2002" w:type="dxa"/>
          </w:tcPr>
          <w:p w14:paraId="5B6ECED6" w14:textId="77777777" w:rsidR="00BB77C0" w:rsidRDefault="00BB77C0">
            <w:pPr>
              <w:pStyle w:val="TableParagraph"/>
              <w:rPr>
                <w:sz w:val="18"/>
              </w:rPr>
            </w:pPr>
          </w:p>
        </w:tc>
        <w:tc>
          <w:tcPr>
            <w:tcW w:w="3423" w:type="dxa"/>
          </w:tcPr>
          <w:p w14:paraId="4501BC1D" w14:textId="77777777" w:rsidR="00BB77C0" w:rsidRDefault="00BB77C0">
            <w:pPr>
              <w:pStyle w:val="TableParagraph"/>
              <w:rPr>
                <w:sz w:val="18"/>
              </w:rPr>
            </w:pPr>
          </w:p>
        </w:tc>
        <w:tc>
          <w:tcPr>
            <w:tcW w:w="3961" w:type="dxa"/>
          </w:tcPr>
          <w:p w14:paraId="6E9A6C3D" w14:textId="77777777" w:rsidR="00BB77C0" w:rsidRDefault="00BB77C0">
            <w:pPr>
              <w:pStyle w:val="TableParagraph"/>
              <w:rPr>
                <w:sz w:val="18"/>
              </w:rPr>
            </w:pPr>
          </w:p>
        </w:tc>
      </w:tr>
      <w:tr w:rsidR="00BB77C0" w14:paraId="4DD9BA3E" w14:textId="77777777">
        <w:trPr>
          <w:trHeight w:val="253"/>
        </w:trPr>
        <w:tc>
          <w:tcPr>
            <w:tcW w:w="422" w:type="dxa"/>
          </w:tcPr>
          <w:p w14:paraId="277E8CB6" w14:textId="77777777" w:rsidR="00BB77C0" w:rsidRDefault="00370BAA">
            <w:pPr>
              <w:pStyle w:val="TableParagraph"/>
              <w:spacing w:line="234" w:lineRule="exact"/>
              <w:ind w:right="69"/>
              <w:jc w:val="center"/>
            </w:pPr>
            <w:r>
              <w:rPr>
                <w:spacing w:val="-10"/>
              </w:rPr>
              <w:t>2</w:t>
            </w:r>
          </w:p>
        </w:tc>
        <w:tc>
          <w:tcPr>
            <w:tcW w:w="2002" w:type="dxa"/>
          </w:tcPr>
          <w:p w14:paraId="3CE8E268" w14:textId="77777777" w:rsidR="00BB77C0" w:rsidRDefault="00BB77C0">
            <w:pPr>
              <w:pStyle w:val="TableParagraph"/>
              <w:rPr>
                <w:sz w:val="18"/>
              </w:rPr>
            </w:pPr>
          </w:p>
        </w:tc>
        <w:tc>
          <w:tcPr>
            <w:tcW w:w="3423" w:type="dxa"/>
          </w:tcPr>
          <w:p w14:paraId="4D4283C6" w14:textId="77777777" w:rsidR="00BB77C0" w:rsidRDefault="00BB77C0">
            <w:pPr>
              <w:pStyle w:val="TableParagraph"/>
              <w:rPr>
                <w:sz w:val="18"/>
              </w:rPr>
            </w:pPr>
          </w:p>
        </w:tc>
        <w:tc>
          <w:tcPr>
            <w:tcW w:w="3961" w:type="dxa"/>
          </w:tcPr>
          <w:p w14:paraId="0BC63486" w14:textId="77777777" w:rsidR="00BB77C0" w:rsidRDefault="00BB77C0">
            <w:pPr>
              <w:pStyle w:val="TableParagraph"/>
              <w:rPr>
                <w:sz w:val="18"/>
              </w:rPr>
            </w:pPr>
          </w:p>
        </w:tc>
      </w:tr>
      <w:tr w:rsidR="00BB77C0" w14:paraId="2096D873" w14:textId="77777777">
        <w:trPr>
          <w:trHeight w:val="254"/>
        </w:trPr>
        <w:tc>
          <w:tcPr>
            <w:tcW w:w="422" w:type="dxa"/>
          </w:tcPr>
          <w:p w14:paraId="34CAB3E4" w14:textId="77777777" w:rsidR="00BB77C0" w:rsidRDefault="00370BAA">
            <w:pPr>
              <w:pStyle w:val="TableParagraph"/>
              <w:spacing w:line="234" w:lineRule="exact"/>
              <w:ind w:right="69"/>
              <w:jc w:val="center"/>
            </w:pPr>
            <w:r>
              <w:rPr>
                <w:spacing w:val="-10"/>
              </w:rPr>
              <w:t>3</w:t>
            </w:r>
          </w:p>
        </w:tc>
        <w:tc>
          <w:tcPr>
            <w:tcW w:w="2002" w:type="dxa"/>
          </w:tcPr>
          <w:p w14:paraId="5F6403B9" w14:textId="77777777" w:rsidR="00BB77C0" w:rsidRDefault="00BB77C0">
            <w:pPr>
              <w:pStyle w:val="TableParagraph"/>
              <w:rPr>
                <w:sz w:val="18"/>
              </w:rPr>
            </w:pPr>
          </w:p>
        </w:tc>
        <w:tc>
          <w:tcPr>
            <w:tcW w:w="3423" w:type="dxa"/>
          </w:tcPr>
          <w:p w14:paraId="1AEFBE81" w14:textId="77777777" w:rsidR="00BB77C0" w:rsidRDefault="00BB77C0">
            <w:pPr>
              <w:pStyle w:val="TableParagraph"/>
              <w:rPr>
                <w:sz w:val="18"/>
              </w:rPr>
            </w:pPr>
          </w:p>
        </w:tc>
        <w:tc>
          <w:tcPr>
            <w:tcW w:w="3961" w:type="dxa"/>
          </w:tcPr>
          <w:p w14:paraId="7A6C1CB9" w14:textId="77777777" w:rsidR="00BB77C0" w:rsidRDefault="00BB77C0">
            <w:pPr>
              <w:pStyle w:val="TableParagraph"/>
              <w:rPr>
                <w:sz w:val="18"/>
              </w:rPr>
            </w:pPr>
          </w:p>
        </w:tc>
      </w:tr>
    </w:tbl>
    <w:p w14:paraId="55FA7557" w14:textId="77777777" w:rsidR="00BB77C0" w:rsidRDefault="00BB77C0">
      <w:pPr>
        <w:pStyle w:val="BodyText"/>
      </w:pPr>
    </w:p>
    <w:p w14:paraId="047461FA" w14:textId="77777777" w:rsidR="00BB77C0" w:rsidRDefault="00BB77C0">
      <w:pPr>
        <w:pStyle w:val="BodyText"/>
        <w:spacing w:before="129"/>
      </w:pPr>
    </w:p>
    <w:p w14:paraId="7FDF5F5A" w14:textId="77777777" w:rsidR="00BB77C0" w:rsidRDefault="00370BAA">
      <w:pPr>
        <w:pStyle w:val="Heading7"/>
        <w:numPr>
          <w:ilvl w:val="1"/>
          <w:numId w:val="44"/>
        </w:numPr>
        <w:tabs>
          <w:tab w:val="left" w:pos="902"/>
        </w:tabs>
        <w:spacing w:before="1"/>
        <w:ind w:left="902" w:hanging="417"/>
        <w:jc w:val="left"/>
        <w:rPr>
          <w:color w:val="211F1F"/>
        </w:rPr>
      </w:pPr>
      <w:bookmarkStart w:id="163" w:name="ii)_Conflict_of_interest_disclosure"/>
      <w:bookmarkEnd w:id="163"/>
      <w:r>
        <w:rPr>
          <w:color w:val="211F1F"/>
        </w:rPr>
        <w:t>Conflict</w:t>
      </w:r>
      <w:r>
        <w:rPr>
          <w:color w:val="211F1F"/>
          <w:spacing w:val="-14"/>
        </w:rPr>
        <w:t xml:space="preserve"> </w:t>
      </w:r>
      <w:r>
        <w:rPr>
          <w:color w:val="211F1F"/>
        </w:rPr>
        <w:t>of</w:t>
      </w:r>
      <w:r>
        <w:rPr>
          <w:color w:val="211F1F"/>
          <w:spacing w:val="-14"/>
        </w:rPr>
        <w:t xml:space="preserve"> </w:t>
      </w:r>
      <w:r>
        <w:rPr>
          <w:color w:val="211F1F"/>
        </w:rPr>
        <w:t>interest</w:t>
      </w:r>
      <w:r>
        <w:rPr>
          <w:color w:val="211F1F"/>
          <w:spacing w:val="-9"/>
        </w:rPr>
        <w:t xml:space="preserve"> </w:t>
      </w:r>
      <w:r>
        <w:rPr>
          <w:color w:val="211F1F"/>
          <w:spacing w:val="-2"/>
        </w:rPr>
        <w:t>disclosure</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2"/>
        <w:gridCol w:w="5695"/>
        <w:gridCol w:w="1325"/>
        <w:gridCol w:w="2698"/>
      </w:tblGrid>
      <w:tr w:rsidR="00BB77C0" w14:paraId="05A680CC" w14:textId="77777777">
        <w:trPr>
          <w:trHeight w:val="460"/>
        </w:trPr>
        <w:tc>
          <w:tcPr>
            <w:tcW w:w="422" w:type="dxa"/>
            <w:shd w:val="clear" w:color="auto" w:fill="E7E6E6"/>
          </w:tcPr>
          <w:p w14:paraId="3759EDFE" w14:textId="77777777" w:rsidR="00BB77C0" w:rsidRDefault="00BB77C0">
            <w:pPr>
              <w:pStyle w:val="TableParagraph"/>
              <w:rPr>
                <w:sz w:val="20"/>
              </w:rPr>
            </w:pPr>
          </w:p>
        </w:tc>
        <w:tc>
          <w:tcPr>
            <w:tcW w:w="5695" w:type="dxa"/>
            <w:shd w:val="clear" w:color="auto" w:fill="E7E6E6"/>
          </w:tcPr>
          <w:p w14:paraId="100BEB23" w14:textId="77777777" w:rsidR="00BB77C0" w:rsidRDefault="00370BAA">
            <w:pPr>
              <w:pStyle w:val="TableParagraph"/>
              <w:ind w:left="110"/>
              <w:rPr>
                <w:b/>
                <w:sz w:val="20"/>
              </w:rPr>
            </w:pPr>
            <w:r>
              <w:rPr>
                <w:b/>
                <w:sz w:val="20"/>
              </w:rPr>
              <w:t>Type</w:t>
            </w:r>
            <w:r>
              <w:rPr>
                <w:b/>
                <w:spacing w:val="-7"/>
                <w:sz w:val="20"/>
              </w:rPr>
              <w:t xml:space="preserve"> </w:t>
            </w:r>
            <w:r>
              <w:rPr>
                <w:b/>
                <w:sz w:val="20"/>
              </w:rPr>
              <w:t>of</w:t>
            </w:r>
            <w:r>
              <w:rPr>
                <w:b/>
                <w:spacing w:val="-5"/>
                <w:sz w:val="20"/>
              </w:rPr>
              <w:t xml:space="preserve"> </w:t>
            </w:r>
            <w:r>
              <w:rPr>
                <w:b/>
                <w:spacing w:val="-2"/>
                <w:sz w:val="20"/>
              </w:rPr>
              <w:t>Conflict</w:t>
            </w:r>
          </w:p>
        </w:tc>
        <w:tc>
          <w:tcPr>
            <w:tcW w:w="1325" w:type="dxa"/>
            <w:shd w:val="clear" w:color="auto" w:fill="E7E6E6"/>
          </w:tcPr>
          <w:p w14:paraId="34486A98" w14:textId="77777777" w:rsidR="00BB77C0" w:rsidRDefault="00370BAA">
            <w:pPr>
              <w:pStyle w:val="TableParagraph"/>
              <w:spacing w:line="225" w:lineRule="exact"/>
              <w:ind w:left="110"/>
              <w:rPr>
                <w:b/>
                <w:sz w:val="20"/>
              </w:rPr>
            </w:pPr>
            <w:r>
              <w:rPr>
                <w:b/>
                <w:spacing w:val="-2"/>
                <w:sz w:val="20"/>
              </w:rPr>
              <w:t>Disclosure</w:t>
            </w:r>
          </w:p>
          <w:p w14:paraId="592E0AA1" w14:textId="77777777" w:rsidR="00BB77C0" w:rsidRDefault="00370BAA">
            <w:pPr>
              <w:pStyle w:val="TableParagraph"/>
              <w:spacing w:line="215" w:lineRule="exact"/>
              <w:ind w:left="110"/>
              <w:rPr>
                <w:b/>
                <w:sz w:val="20"/>
              </w:rPr>
            </w:pPr>
            <w:r>
              <w:rPr>
                <w:b/>
                <w:sz w:val="20"/>
              </w:rPr>
              <w:t>YES</w:t>
            </w:r>
            <w:r>
              <w:rPr>
                <w:b/>
                <w:spacing w:val="-19"/>
                <w:sz w:val="20"/>
              </w:rPr>
              <w:t xml:space="preserve"> </w:t>
            </w:r>
            <w:r>
              <w:rPr>
                <w:b/>
                <w:sz w:val="20"/>
              </w:rPr>
              <w:t>OR</w:t>
            </w:r>
            <w:r>
              <w:rPr>
                <w:b/>
                <w:spacing w:val="-11"/>
                <w:sz w:val="20"/>
              </w:rPr>
              <w:t xml:space="preserve"> </w:t>
            </w:r>
            <w:r>
              <w:rPr>
                <w:b/>
                <w:spacing w:val="-5"/>
                <w:sz w:val="20"/>
              </w:rPr>
              <w:t>NO</w:t>
            </w:r>
          </w:p>
        </w:tc>
        <w:tc>
          <w:tcPr>
            <w:tcW w:w="2698" w:type="dxa"/>
            <w:shd w:val="clear" w:color="auto" w:fill="E7E6E6"/>
          </w:tcPr>
          <w:p w14:paraId="565AB248" w14:textId="77777777" w:rsidR="00BB77C0" w:rsidRDefault="00370BAA">
            <w:pPr>
              <w:pStyle w:val="TableParagraph"/>
              <w:spacing w:line="225" w:lineRule="exact"/>
              <w:ind w:left="115"/>
              <w:rPr>
                <w:b/>
                <w:sz w:val="20"/>
              </w:rPr>
            </w:pPr>
            <w:r>
              <w:rPr>
                <w:b/>
                <w:sz w:val="20"/>
              </w:rPr>
              <w:t>If</w:t>
            </w:r>
            <w:r>
              <w:rPr>
                <w:b/>
                <w:spacing w:val="-15"/>
                <w:sz w:val="20"/>
              </w:rPr>
              <w:t xml:space="preserve"> </w:t>
            </w:r>
            <w:r>
              <w:rPr>
                <w:b/>
                <w:sz w:val="20"/>
              </w:rPr>
              <w:t>YES</w:t>
            </w:r>
            <w:r>
              <w:rPr>
                <w:b/>
                <w:spacing w:val="-14"/>
                <w:sz w:val="20"/>
              </w:rPr>
              <w:t xml:space="preserve"> </w:t>
            </w:r>
            <w:r>
              <w:rPr>
                <w:b/>
                <w:sz w:val="20"/>
              </w:rPr>
              <w:t>provide</w:t>
            </w:r>
            <w:r>
              <w:rPr>
                <w:b/>
                <w:spacing w:val="-11"/>
                <w:sz w:val="20"/>
              </w:rPr>
              <w:t xml:space="preserve"> </w:t>
            </w:r>
            <w:r>
              <w:rPr>
                <w:b/>
                <w:sz w:val="20"/>
              </w:rPr>
              <w:t>details</w:t>
            </w:r>
            <w:r>
              <w:rPr>
                <w:b/>
                <w:spacing w:val="-12"/>
                <w:sz w:val="20"/>
              </w:rPr>
              <w:t xml:space="preserve"> </w:t>
            </w:r>
            <w:r>
              <w:rPr>
                <w:b/>
                <w:sz w:val="20"/>
              </w:rPr>
              <w:t>of</w:t>
            </w:r>
            <w:r>
              <w:rPr>
                <w:b/>
                <w:spacing w:val="-11"/>
                <w:sz w:val="20"/>
              </w:rPr>
              <w:t xml:space="preserve"> </w:t>
            </w:r>
            <w:r>
              <w:rPr>
                <w:b/>
                <w:spacing w:val="-5"/>
                <w:sz w:val="20"/>
              </w:rPr>
              <w:t>the</w:t>
            </w:r>
          </w:p>
          <w:p w14:paraId="70764E4B" w14:textId="77777777" w:rsidR="00BB77C0" w:rsidRDefault="00370BAA">
            <w:pPr>
              <w:pStyle w:val="TableParagraph"/>
              <w:spacing w:line="215" w:lineRule="exact"/>
              <w:ind w:left="115"/>
              <w:rPr>
                <w:b/>
                <w:sz w:val="20"/>
              </w:rPr>
            </w:pPr>
            <w:r>
              <w:rPr>
                <w:b/>
                <w:sz w:val="20"/>
              </w:rPr>
              <w:t>relationship</w:t>
            </w:r>
            <w:r>
              <w:rPr>
                <w:b/>
                <w:spacing w:val="-6"/>
                <w:sz w:val="20"/>
              </w:rPr>
              <w:t xml:space="preserve"> </w:t>
            </w:r>
            <w:r>
              <w:rPr>
                <w:b/>
                <w:sz w:val="20"/>
              </w:rPr>
              <w:t>with</w:t>
            </w:r>
            <w:r>
              <w:rPr>
                <w:b/>
                <w:spacing w:val="-9"/>
                <w:sz w:val="20"/>
              </w:rPr>
              <w:t xml:space="preserve"> </w:t>
            </w:r>
            <w:r>
              <w:rPr>
                <w:b/>
                <w:spacing w:val="-2"/>
                <w:sz w:val="20"/>
              </w:rPr>
              <w:t>Tenderer</w:t>
            </w:r>
          </w:p>
        </w:tc>
      </w:tr>
      <w:tr w:rsidR="00BB77C0" w14:paraId="29417DD5" w14:textId="77777777">
        <w:trPr>
          <w:trHeight w:val="503"/>
        </w:trPr>
        <w:tc>
          <w:tcPr>
            <w:tcW w:w="422" w:type="dxa"/>
          </w:tcPr>
          <w:p w14:paraId="5FA7B4CD" w14:textId="77777777" w:rsidR="00BB77C0" w:rsidRDefault="00370BAA">
            <w:pPr>
              <w:pStyle w:val="TableParagraph"/>
              <w:spacing w:line="249" w:lineRule="exact"/>
              <w:ind w:right="69"/>
              <w:jc w:val="center"/>
            </w:pPr>
            <w:r>
              <w:rPr>
                <w:spacing w:val="-10"/>
              </w:rPr>
              <w:t>1</w:t>
            </w:r>
          </w:p>
        </w:tc>
        <w:tc>
          <w:tcPr>
            <w:tcW w:w="5695" w:type="dxa"/>
          </w:tcPr>
          <w:p w14:paraId="3FCFFA22" w14:textId="77777777" w:rsidR="00BB77C0" w:rsidRDefault="00370BAA">
            <w:pPr>
              <w:pStyle w:val="TableParagraph"/>
              <w:spacing w:line="249" w:lineRule="exact"/>
              <w:ind w:left="110"/>
            </w:pPr>
            <w:r>
              <w:t>Tenderer</w:t>
            </w:r>
            <w:r>
              <w:rPr>
                <w:spacing w:val="-5"/>
              </w:rPr>
              <w:t xml:space="preserve"> </w:t>
            </w:r>
            <w:r>
              <w:t>is</w:t>
            </w:r>
            <w:r>
              <w:rPr>
                <w:spacing w:val="-7"/>
              </w:rPr>
              <w:t xml:space="preserve"> </w:t>
            </w:r>
            <w:r>
              <w:t>directly</w:t>
            </w:r>
            <w:r>
              <w:rPr>
                <w:spacing w:val="-13"/>
              </w:rPr>
              <w:t xml:space="preserve"> </w:t>
            </w:r>
            <w:r>
              <w:t>or</w:t>
            </w:r>
            <w:r>
              <w:rPr>
                <w:spacing w:val="-5"/>
              </w:rPr>
              <w:t xml:space="preserve"> </w:t>
            </w:r>
            <w:r>
              <w:t>indirectly</w:t>
            </w:r>
            <w:r>
              <w:rPr>
                <w:spacing w:val="-12"/>
              </w:rPr>
              <w:t xml:space="preserve"> </w:t>
            </w:r>
            <w:r>
              <w:t>controls,</w:t>
            </w:r>
            <w:r>
              <w:rPr>
                <w:spacing w:val="-5"/>
              </w:rPr>
              <w:t xml:space="preserve"> </w:t>
            </w:r>
            <w:r>
              <w:t>is</w:t>
            </w:r>
            <w:r>
              <w:rPr>
                <w:spacing w:val="-8"/>
              </w:rPr>
              <w:t xml:space="preserve"> </w:t>
            </w:r>
            <w:r>
              <w:t>controlled</w:t>
            </w:r>
            <w:r>
              <w:rPr>
                <w:spacing w:val="-11"/>
              </w:rPr>
              <w:t xml:space="preserve"> </w:t>
            </w:r>
            <w:r>
              <w:t>by</w:t>
            </w:r>
            <w:r>
              <w:rPr>
                <w:spacing w:val="-12"/>
              </w:rPr>
              <w:t xml:space="preserve"> </w:t>
            </w:r>
            <w:r>
              <w:rPr>
                <w:spacing w:val="-5"/>
              </w:rPr>
              <w:t>or</w:t>
            </w:r>
          </w:p>
          <w:p w14:paraId="28BBC624" w14:textId="77777777" w:rsidR="00BB77C0" w:rsidRDefault="00370BAA">
            <w:pPr>
              <w:pStyle w:val="TableParagraph"/>
              <w:spacing w:before="1" w:line="233" w:lineRule="exact"/>
              <w:ind w:left="110"/>
            </w:pPr>
            <w:r>
              <w:t>is</w:t>
            </w:r>
            <w:r>
              <w:rPr>
                <w:spacing w:val="-5"/>
              </w:rPr>
              <w:t xml:space="preserve"> </w:t>
            </w:r>
            <w:r>
              <w:t>under</w:t>
            </w:r>
            <w:r>
              <w:rPr>
                <w:spacing w:val="-1"/>
              </w:rPr>
              <w:t xml:space="preserve"> </w:t>
            </w:r>
            <w:r>
              <w:t>common</w:t>
            </w:r>
            <w:r>
              <w:rPr>
                <w:spacing w:val="-4"/>
              </w:rPr>
              <w:t xml:space="preserve"> </w:t>
            </w:r>
            <w:r>
              <w:t>control</w:t>
            </w:r>
            <w:r>
              <w:rPr>
                <w:spacing w:val="-3"/>
              </w:rPr>
              <w:t xml:space="preserve"> </w:t>
            </w:r>
            <w:r>
              <w:t>with</w:t>
            </w:r>
            <w:r>
              <w:rPr>
                <w:spacing w:val="-9"/>
              </w:rPr>
              <w:t xml:space="preserve"> </w:t>
            </w:r>
            <w:r>
              <w:t>another</w:t>
            </w:r>
            <w:r>
              <w:rPr>
                <w:spacing w:val="-1"/>
              </w:rPr>
              <w:t xml:space="preserve"> </w:t>
            </w:r>
            <w:r>
              <w:rPr>
                <w:spacing w:val="-2"/>
              </w:rPr>
              <w:t>tenderer.</w:t>
            </w:r>
          </w:p>
        </w:tc>
        <w:tc>
          <w:tcPr>
            <w:tcW w:w="1325" w:type="dxa"/>
          </w:tcPr>
          <w:p w14:paraId="46AD1A1C" w14:textId="77777777" w:rsidR="00BB77C0" w:rsidRDefault="00BB77C0">
            <w:pPr>
              <w:pStyle w:val="TableParagraph"/>
              <w:rPr>
                <w:sz w:val="20"/>
              </w:rPr>
            </w:pPr>
          </w:p>
        </w:tc>
        <w:tc>
          <w:tcPr>
            <w:tcW w:w="2698" w:type="dxa"/>
          </w:tcPr>
          <w:p w14:paraId="79CF8580" w14:textId="77777777" w:rsidR="00BB77C0" w:rsidRDefault="00BB77C0">
            <w:pPr>
              <w:pStyle w:val="TableParagraph"/>
              <w:rPr>
                <w:sz w:val="20"/>
              </w:rPr>
            </w:pPr>
          </w:p>
        </w:tc>
      </w:tr>
      <w:tr w:rsidR="00BB77C0" w14:paraId="246484B9" w14:textId="77777777">
        <w:trPr>
          <w:trHeight w:val="509"/>
        </w:trPr>
        <w:tc>
          <w:tcPr>
            <w:tcW w:w="422" w:type="dxa"/>
          </w:tcPr>
          <w:p w14:paraId="50851172" w14:textId="77777777" w:rsidR="00BB77C0" w:rsidRDefault="00370BAA">
            <w:pPr>
              <w:pStyle w:val="TableParagraph"/>
              <w:spacing w:line="249" w:lineRule="exact"/>
              <w:ind w:right="69"/>
              <w:jc w:val="center"/>
            </w:pPr>
            <w:r>
              <w:rPr>
                <w:spacing w:val="-10"/>
              </w:rPr>
              <w:t>2</w:t>
            </w:r>
          </w:p>
        </w:tc>
        <w:tc>
          <w:tcPr>
            <w:tcW w:w="5695" w:type="dxa"/>
          </w:tcPr>
          <w:p w14:paraId="1BFB1DAE" w14:textId="77777777" w:rsidR="00BB77C0" w:rsidRDefault="00370BAA">
            <w:pPr>
              <w:pStyle w:val="TableParagraph"/>
              <w:spacing w:line="250" w:lineRule="exact"/>
              <w:ind w:left="110" w:right="181"/>
            </w:pPr>
            <w:r>
              <w:t>Tenderer</w:t>
            </w:r>
            <w:r>
              <w:rPr>
                <w:spacing w:val="-9"/>
              </w:rPr>
              <w:t xml:space="preserve"> </w:t>
            </w:r>
            <w:r>
              <w:t>receives</w:t>
            </w:r>
            <w:r>
              <w:rPr>
                <w:spacing w:val="-7"/>
              </w:rPr>
              <w:t xml:space="preserve"> </w:t>
            </w:r>
            <w:r>
              <w:t>or</w:t>
            </w:r>
            <w:r>
              <w:rPr>
                <w:spacing w:val="-8"/>
              </w:rPr>
              <w:t xml:space="preserve"> </w:t>
            </w:r>
            <w:r>
              <w:t>has</w:t>
            </w:r>
            <w:r>
              <w:rPr>
                <w:spacing w:val="-14"/>
              </w:rPr>
              <w:t xml:space="preserve"> </w:t>
            </w:r>
            <w:r>
              <w:t>received</w:t>
            </w:r>
            <w:r>
              <w:rPr>
                <w:spacing w:val="-14"/>
              </w:rPr>
              <w:t xml:space="preserve"> </w:t>
            </w:r>
            <w:r>
              <w:t>any</w:t>
            </w:r>
            <w:r>
              <w:rPr>
                <w:spacing w:val="-14"/>
              </w:rPr>
              <w:t xml:space="preserve"> </w:t>
            </w:r>
            <w:r>
              <w:t>direct</w:t>
            </w:r>
            <w:r>
              <w:rPr>
                <w:spacing w:val="-9"/>
              </w:rPr>
              <w:t xml:space="preserve"> </w:t>
            </w:r>
            <w:r>
              <w:t>or</w:t>
            </w:r>
            <w:r>
              <w:rPr>
                <w:spacing w:val="-8"/>
              </w:rPr>
              <w:t xml:space="preserve"> </w:t>
            </w:r>
            <w:r>
              <w:t>indirect subsidy from another tenderer.</w:t>
            </w:r>
          </w:p>
        </w:tc>
        <w:tc>
          <w:tcPr>
            <w:tcW w:w="1325" w:type="dxa"/>
          </w:tcPr>
          <w:p w14:paraId="0BAE58D5" w14:textId="77777777" w:rsidR="00BB77C0" w:rsidRDefault="00BB77C0">
            <w:pPr>
              <w:pStyle w:val="TableParagraph"/>
              <w:rPr>
                <w:sz w:val="20"/>
              </w:rPr>
            </w:pPr>
          </w:p>
        </w:tc>
        <w:tc>
          <w:tcPr>
            <w:tcW w:w="2698" w:type="dxa"/>
          </w:tcPr>
          <w:p w14:paraId="3A9294D5" w14:textId="77777777" w:rsidR="00BB77C0" w:rsidRDefault="00BB77C0">
            <w:pPr>
              <w:pStyle w:val="TableParagraph"/>
              <w:rPr>
                <w:sz w:val="20"/>
              </w:rPr>
            </w:pPr>
          </w:p>
        </w:tc>
      </w:tr>
      <w:tr w:rsidR="00BB77C0" w14:paraId="674C6F76" w14:textId="77777777">
        <w:trPr>
          <w:trHeight w:val="249"/>
        </w:trPr>
        <w:tc>
          <w:tcPr>
            <w:tcW w:w="422" w:type="dxa"/>
          </w:tcPr>
          <w:p w14:paraId="3F4482C7" w14:textId="77777777" w:rsidR="00BB77C0" w:rsidRDefault="00370BAA">
            <w:pPr>
              <w:pStyle w:val="TableParagraph"/>
              <w:spacing w:line="229" w:lineRule="exact"/>
              <w:ind w:right="69"/>
              <w:jc w:val="center"/>
            </w:pPr>
            <w:r>
              <w:rPr>
                <w:spacing w:val="-10"/>
              </w:rPr>
              <w:t>3</w:t>
            </w:r>
          </w:p>
        </w:tc>
        <w:tc>
          <w:tcPr>
            <w:tcW w:w="5695" w:type="dxa"/>
          </w:tcPr>
          <w:p w14:paraId="4259D067" w14:textId="77777777" w:rsidR="00BB77C0" w:rsidRDefault="00370BAA">
            <w:pPr>
              <w:pStyle w:val="TableParagraph"/>
              <w:spacing w:line="229" w:lineRule="exact"/>
              <w:ind w:left="110"/>
            </w:pPr>
            <w:r>
              <w:t>Tenderer</w:t>
            </w:r>
            <w:r>
              <w:rPr>
                <w:spacing w:val="1"/>
              </w:rPr>
              <w:t xml:space="preserve"> </w:t>
            </w:r>
            <w:r>
              <w:t>has</w:t>
            </w:r>
            <w:r>
              <w:rPr>
                <w:spacing w:val="-8"/>
              </w:rPr>
              <w:t xml:space="preserve"> </w:t>
            </w:r>
            <w:r>
              <w:t>the</w:t>
            </w:r>
            <w:r>
              <w:rPr>
                <w:spacing w:val="-13"/>
              </w:rPr>
              <w:t xml:space="preserve"> </w:t>
            </w:r>
            <w:r>
              <w:t>same</w:t>
            </w:r>
            <w:r>
              <w:rPr>
                <w:spacing w:val="-9"/>
              </w:rPr>
              <w:t xml:space="preserve"> </w:t>
            </w:r>
            <w:r>
              <w:t>legal</w:t>
            </w:r>
            <w:r>
              <w:rPr>
                <w:spacing w:val="-11"/>
              </w:rPr>
              <w:t xml:space="preserve"> </w:t>
            </w:r>
            <w:r>
              <w:t>representative</w:t>
            </w:r>
            <w:r>
              <w:rPr>
                <w:spacing w:val="-8"/>
              </w:rPr>
              <w:t xml:space="preserve"> </w:t>
            </w:r>
            <w:r>
              <w:t>as</w:t>
            </w:r>
            <w:r>
              <w:rPr>
                <w:spacing w:val="-7"/>
              </w:rPr>
              <w:t xml:space="preserve"> </w:t>
            </w:r>
            <w:r>
              <w:t>another</w:t>
            </w:r>
            <w:r>
              <w:rPr>
                <w:spacing w:val="-3"/>
              </w:rPr>
              <w:t xml:space="preserve"> </w:t>
            </w:r>
            <w:r>
              <w:rPr>
                <w:spacing w:val="-2"/>
              </w:rPr>
              <w:t>tenderer</w:t>
            </w:r>
          </w:p>
        </w:tc>
        <w:tc>
          <w:tcPr>
            <w:tcW w:w="1325" w:type="dxa"/>
          </w:tcPr>
          <w:p w14:paraId="0A9CDD88" w14:textId="77777777" w:rsidR="00BB77C0" w:rsidRDefault="00BB77C0">
            <w:pPr>
              <w:pStyle w:val="TableParagraph"/>
              <w:rPr>
                <w:sz w:val="18"/>
              </w:rPr>
            </w:pPr>
          </w:p>
        </w:tc>
        <w:tc>
          <w:tcPr>
            <w:tcW w:w="2698" w:type="dxa"/>
          </w:tcPr>
          <w:p w14:paraId="3EEB6347" w14:textId="77777777" w:rsidR="00BB77C0" w:rsidRDefault="00BB77C0">
            <w:pPr>
              <w:pStyle w:val="TableParagraph"/>
              <w:rPr>
                <w:sz w:val="18"/>
              </w:rPr>
            </w:pPr>
          </w:p>
        </w:tc>
      </w:tr>
      <w:tr w:rsidR="00BB77C0" w14:paraId="64A60126" w14:textId="77777777">
        <w:trPr>
          <w:trHeight w:val="1266"/>
        </w:trPr>
        <w:tc>
          <w:tcPr>
            <w:tcW w:w="422" w:type="dxa"/>
          </w:tcPr>
          <w:p w14:paraId="7A5CE572" w14:textId="77777777" w:rsidR="00BB77C0" w:rsidRDefault="00370BAA">
            <w:pPr>
              <w:pStyle w:val="TableParagraph"/>
              <w:spacing w:line="249" w:lineRule="exact"/>
              <w:ind w:right="69"/>
              <w:jc w:val="center"/>
            </w:pPr>
            <w:r>
              <w:rPr>
                <w:spacing w:val="-10"/>
              </w:rPr>
              <w:t>4</w:t>
            </w:r>
          </w:p>
        </w:tc>
        <w:tc>
          <w:tcPr>
            <w:tcW w:w="5695" w:type="dxa"/>
          </w:tcPr>
          <w:p w14:paraId="58DB2F9D" w14:textId="77777777" w:rsidR="00BB77C0" w:rsidRDefault="00370BAA">
            <w:pPr>
              <w:pStyle w:val="TableParagraph"/>
              <w:ind w:left="110"/>
            </w:pPr>
            <w:r>
              <w:t>Tender</w:t>
            </w:r>
            <w:r>
              <w:rPr>
                <w:spacing w:val="-9"/>
              </w:rPr>
              <w:t xml:space="preserve"> </w:t>
            </w:r>
            <w:r>
              <w:t>has</w:t>
            </w:r>
            <w:r>
              <w:rPr>
                <w:spacing w:val="-11"/>
              </w:rPr>
              <w:t xml:space="preserve"> </w:t>
            </w:r>
            <w:r>
              <w:t>a</w:t>
            </w:r>
            <w:r>
              <w:rPr>
                <w:spacing w:val="-13"/>
              </w:rPr>
              <w:t xml:space="preserve"> </w:t>
            </w:r>
            <w:r>
              <w:t>relationship</w:t>
            </w:r>
            <w:r>
              <w:rPr>
                <w:spacing w:val="-6"/>
              </w:rPr>
              <w:t xml:space="preserve"> </w:t>
            </w:r>
            <w:r>
              <w:t>with</w:t>
            </w:r>
            <w:r>
              <w:rPr>
                <w:spacing w:val="-14"/>
              </w:rPr>
              <w:t xml:space="preserve"> </w:t>
            </w:r>
            <w:r>
              <w:t>another</w:t>
            </w:r>
            <w:r>
              <w:rPr>
                <w:spacing w:val="-7"/>
              </w:rPr>
              <w:t xml:space="preserve"> </w:t>
            </w:r>
            <w:r>
              <w:t>tenderer,</w:t>
            </w:r>
            <w:r>
              <w:rPr>
                <w:spacing w:val="-8"/>
              </w:rPr>
              <w:t xml:space="preserve"> </w:t>
            </w:r>
            <w:r>
              <w:t>directly</w:t>
            </w:r>
            <w:r>
              <w:rPr>
                <w:spacing w:val="-11"/>
              </w:rPr>
              <w:t xml:space="preserve"> </w:t>
            </w:r>
            <w:r>
              <w:t>or through common third parties, that puts it in a position to influence the tender of another tenderer, or influence the</w:t>
            </w:r>
          </w:p>
          <w:p w14:paraId="6BBE74C5" w14:textId="77777777" w:rsidR="00BB77C0" w:rsidRDefault="00370BAA">
            <w:pPr>
              <w:pStyle w:val="TableParagraph"/>
              <w:spacing w:line="244" w:lineRule="exact"/>
              <w:ind w:left="110"/>
            </w:pPr>
            <w:r>
              <w:t>decisions</w:t>
            </w:r>
            <w:r>
              <w:rPr>
                <w:spacing w:val="-3"/>
              </w:rPr>
              <w:t xml:space="preserve"> </w:t>
            </w:r>
            <w:r>
              <w:t>of</w:t>
            </w:r>
            <w:r>
              <w:rPr>
                <w:spacing w:val="-5"/>
              </w:rPr>
              <w:t xml:space="preserve"> </w:t>
            </w:r>
            <w:r>
              <w:t>the</w:t>
            </w:r>
            <w:r>
              <w:rPr>
                <w:spacing w:val="-10"/>
              </w:rPr>
              <w:t xml:space="preserve"> </w:t>
            </w:r>
            <w:r>
              <w:t>Procuring</w:t>
            </w:r>
            <w:r>
              <w:rPr>
                <w:spacing w:val="-8"/>
              </w:rPr>
              <w:t xml:space="preserve"> </w:t>
            </w:r>
            <w:r>
              <w:t>Entity</w:t>
            </w:r>
            <w:r>
              <w:rPr>
                <w:spacing w:val="-8"/>
              </w:rPr>
              <w:t xml:space="preserve"> </w:t>
            </w:r>
            <w:r>
              <w:t>regarding</w:t>
            </w:r>
            <w:r>
              <w:rPr>
                <w:spacing w:val="-8"/>
              </w:rPr>
              <w:t xml:space="preserve"> </w:t>
            </w:r>
            <w:r>
              <w:t>this</w:t>
            </w:r>
            <w:r>
              <w:rPr>
                <w:spacing w:val="-3"/>
              </w:rPr>
              <w:t xml:space="preserve"> </w:t>
            </w:r>
            <w:r>
              <w:t xml:space="preserve">tendering </w:t>
            </w:r>
            <w:r>
              <w:rPr>
                <w:spacing w:val="-2"/>
              </w:rPr>
              <w:t>process.</w:t>
            </w:r>
          </w:p>
        </w:tc>
        <w:tc>
          <w:tcPr>
            <w:tcW w:w="1325" w:type="dxa"/>
          </w:tcPr>
          <w:p w14:paraId="0492A880" w14:textId="77777777" w:rsidR="00BB77C0" w:rsidRDefault="00BB77C0">
            <w:pPr>
              <w:pStyle w:val="TableParagraph"/>
              <w:rPr>
                <w:sz w:val="20"/>
              </w:rPr>
            </w:pPr>
          </w:p>
        </w:tc>
        <w:tc>
          <w:tcPr>
            <w:tcW w:w="2698" w:type="dxa"/>
          </w:tcPr>
          <w:p w14:paraId="0956DE97" w14:textId="77777777" w:rsidR="00BB77C0" w:rsidRDefault="00BB77C0">
            <w:pPr>
              <w:pStyle w:val="TableParagraph"/>
              <w:rPr>
                <w:sz w:val="20"/>
              </w:rPr>
            </w:pPr>
          </w:p>
        </w:tc>
      </w:tr>
    </w:tbl>
    <w:p w14:paraId="4F86F4C8" w14:textId="77777777" w:rsidR="00BB77C0" w:rsidRDefault="00BB77C0">
      <w:pPr>
        <w:pStyle w:val="TableParagraph"/>
        <w:rPr>
          <w:sz w:val="20"/>
        </w:rPr>
        <w:sectPr w:rsidR="00BB77C0">
          <w:pgSz w:w="11920" w:h="16850"/>
          <w:pgMar w:top="0" w:right="0" w:bottom="0" w:left="360" w:header="720" w:footer="720" w:gutter="0"/>
          <w:cols w:space="720"/>
        </w:sectPr>
      </w:pPr>
    </w:p>
    <w:p w14:paraId="07697EAB" w14:textId="77777777" w:rsidR="00BB77C0" w:rsidRDefault="00370BAA">
      <w:pPr>
        <w:pStyle w:val="BodyText"/>
        <w:spacing w:before="102" w:after="1"/>
        <w:rPr>
          <w:b/>
          <w:sz w:val="20"/>
        </w:rPr>
      </w:pPr>
      <w:r>
        <w:rPr>
          <w:b/>
          <w:noProof/>
          <w:sz w:val="20"/>
        </w:rPr>
        <w:lastRenderedPageBreak/>
        <mc:AlternateContent>
          <mc:Choice Requires="wpg">
            <w:drawing>
              <wp:anchor distT="0" distB="0" distL="0" distR="0" simplePos="0" relativeHeight="15759872" behindDoc="0" locked="0" layoutInCell="1" allowOverlap="1" wp14:anchorId="251576D1" wp14:editId="437BFD2D">
                <wp:simplePos x="0" y="0"/>
                <wp:positionH relativeFrom="page">
                  <wp:posOffset>0</wp:posOffset>
                </wp:positionH>
                <wp:positionV relativeFrom="page">
                  <wp:posOffset>10234295</wp:posOffset>
                </wp:positionV>
                <wp:extent cx="7561580" cy="459105"/>
                <wp:effectExtent l="0" t="0" r="0" b="0"/>
                <wp:wrapNone/>
                <wp:docPr id="254" name="Group 2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1580" cy="459105"/>
                          <a:chOff x="0" y="0"/>
                          <a:chExt cx="7561580" cy="459105"/>
                        </a:xfrm>
                      </wpg:grpSpPr>
                      <wps:wsp>
                        <wps:cNvPr id="255" name="Graphic 255"/>
                        <wps:cNvSpPr/>
                        <wps:spPr>
                          <a:xfrm>
                            <a:off x="6449059" y="5714"/>
                            <a:ext cx="1110615" cy="451484"/>
                          </a:xfrm>
                          <a:custGeom>
                            <a:avLst/>
                            <a:gdLst/>
                            <a:ahLst/>
                            <a:cxnLst/>
                            <a:rect l="l" t="t" r="r" b="b"/>
                            <a:pathLst>
                              <a:path w="1110615" h="451484">
                                <a:moveTo>
                                  <a:pt x="1110614" y="0"/>
                                </a:moveTo>
                                <a:lnTo>
                                  <a:pt x="0" y="0"/>
                                </a:lnTo>
                                <a:lnTo>
                                  <a:pt x="260349" y="451483"/>
                                </a:lnTo>
                                <a:lnTo>
                                  <a:pt x="1110614" y="451483"/>
                                </a:lnTo>
                                <a:lnTo>
                                  <a:pt x="1110614" y="0"/>
                                </a:lnTo>
                                <a:close/>
                              </a:path>
                            </a:pathLst>
                          </a:custGeom>
                          <a:solidFill>
                            <a:srgbClr val="FAD2C1"/>
                          </a:solidFill>
                        </wps:spPr>
                        <wps:bodyPr wrap="square" lIns="0" tIns="0" rIns="0" bIns="0" rtlCol="0">
                          <a:prstTxWarp prst="textNoShape">
                            <a:avLst/>
                          </a:prstTxWarp>
                          <a:noAutofit/>
                        </wps:bodyPr>
                      </wps:wsp>
                      <wps:wsp>
                        <wps:cNvPr id="256" name="Graphic 256"/>
                        <wps:cNvSpPr/>
                        <wps:spPr>
                          <a:xfrm>
                            <a:off x="6449059" y="5714"/>
                            <a:ext cx="1110615" cy="451484"/>
                          </a:xfrm>
                          <a:custGeom>
                            <a:avLst/>
                            <a:gdLst/>
                            <a:ahLst/>
                            <a:cxnLst/>
                            <a:rect l="l" t="t" r="r" b="b"/>
                            <a:pathLst>
                              <a:path w="1110615" h="451484">
                                <a:moveTo>
                                  <a:pt x="0" y="0"/>
                                </a:moveTo>
                                <a:lnTo>
                                  <a:pt x="1110614" y="0"/>
                                </a:lnTo>
                                <a:lnTo>
                                  <a:pt x="1110614" y="451483"/>
                                </a:lnTo>
                                <a:lnTo>
                                  <a:pt x="260349" y="451483"/>
                                </a:lnTo>
                                <a:lnTo>
                                  <a:pt x="0" y="0"/>
                                </a:lnTo>
                              </a:path>
                            </a:pathLst>
                          </a:custGeom>
                          <a:ln w="3051">
                            <a:solidFill>
                              <a:srgbClr val="FAD2C1"/>
                            </a:solidFill>
                            <a:prstDash val="solid"/>
                          </a:ln>
                        </wps:spPr>
                        <wps:bodyPr wrap="square" lIns="0" tIns="0" rIns="0" bIns="0" rtlCol="0">
                          <a:prstTxWarp prst="textNoShape">
                            <a:avLst/>
                          </a:prstTxWarp>
                          <a:noAutofit/>
                        </wps:bodyPr>
                      </wps:wsp>
                      <wps:wsp>
                        <wps:cNvPr id="257" name="Graphic 257"/>
                        <wps:cNvSpPr/>
                        <wps:spPr>
                          <a:xfrm>
                            <a:off x="0" y="6350"/>
                            <a:ext cx="7560309" cy="1270"/>
                          </a:xfrm>
                          <a:custGeom>
                            <a:avLst/>
                            <a:gdLst/>
                            <a:ahLst/>
                            <a:cxnLst/>
                            <a:rect l="l" t="t" r="r" b="b"/>
                            <a:pathLst>
                              <a:path w="7560309">
                                <a:moveTo>
                                  <a:pt x="0" y="0"/>
                                </a:moveTo>
                                <a:lnTo>
                                  <a:pt x="7560309" y="0"/>
                                </a:lnTo>
                              </a:path>
                            </a:pathLst>
                          </a:custGeom>
                          <a:ln w="12700">
                            <a:solidFill>
                              <a:srgbClr val="FAD2C1"/>
                            </a:solidFill>
                            <a:prstDash val="solid"/>
                          </a:ln>
                        </wps:spPr>
                        <wps:bodyPr wrap="square" lIns="0" tIns="0" rIns="0" bIns="0" rtlCol="0">
                          <a:prstTxWarp prst="textNoShape">
                            <a:avLst/>
                          </a:prstTxWarp>
                          <a:noAutofit/>
                        </wps:bodyPr>
                      </wps:wsp>
                      <wps:wsp>
                        <wps:cNvPr id="258" name="Textbox 258"/>
                        <wps:cNvSpPr txBox="1"/>
                        <wps:spPr>
                          <a:xfrm>
                            <a:off x="6882130" y="37491"/>
                            <a:ext cx="147320" cy="155575"/>
                          </a:xfrm>
                          <a:prstGeom prst="rect">
                            <a:avLst/>
                          </a:prstGeom>
                        </wps:spPr>
                        <wps:txbx>
                          <w:txbxContent>
                            <w:p w14:paraId="58E1E436" w14:textId="77777777" w:rsidR="00BB77C0" w:rsidRDefault="00370BAA">
                              <w:pPr>
                                <w:spacing w:line="244" w:lineRule="exact"/>
                              </w:pPr>
                              <w:r>
                                <w:rPr>
                                  <w:spacing w:val="-5"/>
                                </w:rPr>
                                <w:t>61</w:t>
                              </w:r>
                            </w:p>
                          </w:txbxContent>
                        </wps:txbx>
                        <wps:bodyPr wrap="square" lIns="0" tIns="0" rIns="0" bIns="0" rtlCol="0">
                          <a:noAutofit/>
                        </wps:bodyPr>
                      </wps:wsp>
                    </wpg:wgp>
                  </a:graphicData>
                </a:graphic>
              </wp:anchor>
            </w:drawing>
          </mc:Choice>
          <mc:Fallback>
            <w:pict>
              <v:group w14:anchorId="251576D1" id="Group 254" o:spid="_x0000_s1136" style="position:absolute;margin-left:0;margin-top:805.85pt;width:595.4pt;height:36.15pt;z-index:15759872;mso-wrap-distance-left:0;mso-wrap-distance-right:0;mso-position-horizontal-relative:page;mso-position-vertical-relative:page" coordsize="75615,4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">
                <v:shape id="Graphic 255" o:spid="_x0000_s1137" style="position:absolute;left:64490;top:57;width:11106;height:4514;visibility:visible;mso-wrap-style:square;v-text-anchor:top" coordsize="1110615,4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" path="m1110614,l,,260349,451483r850265,l1110614,xe" fillcolor="#fad2c1" stroked="f">
                  <v:path arrowok="t"/>
                </v:shape>
                <v:shape id="Graphic 256" o:spid="_x0000_s1138" style="position:absolute;left:64490;top:57;width:11106;height:4514;visibility:visible;mso-wrap-style:square;v-text-anchor:top" coordsize="1110615,4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" path="m,l1110614,r,451483l260349,451483,,e" filled="f" strokecolor="#fad2c1" strokeweight=".08475mm">
                  <v:path arrowok="t"/>
                </v:shape>
                <v:shape id="Graphic 257" o:spid="_x0000_s1139" style="position:absolute;top:63;width:75603;height:13;visibility:visible;mso-wrap-style:square;v-text-anchor:top" coordsize="756030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" path="m,l7560309,e" filled="f" strokecolor="#fad2c1" strokeweight="1pt">
                  <v:path arrowok="t"/>
                </v:shape>
                <v:shape id="Textbox 258" o:spid="_x0000_s1140" type="#_x0000_t202" style="position:absolute;left:68821;top:374;width:1473;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" filled="f" stroked="f">
                  <v:textbox inset="0,0,0,0">
                    <w:txbxContent>
                      <w:p w14:paraId="58E1E436" w14:textId="77777777" w:rsidR="00BB77C0" w:rsidRDefault="00370BAA">
                        <w:pPr>
                          <w:spacing w:line="244" w:lineRule="exact"/>
                        </w:pPr>
                        <w:r>
                          <w:rPr>
                            <w:spacing w:val="-5"/>
                          </w:rPr>
                          <w:t>61</w:t>
                        </w:r>
                      </w:p>
                    </w:txbxContent>
                  </v:textbox>
                </v:shape>
                <w10:wrap anchorx="page" anchory="page"/>
              </v:group>
            </w:pict>
          </mc:Fallback>
        </mc:AlternateContent>
      </w:r>
      <w:r>
        <w:rPr>
          <w:b/>
          <w:noProof/>
          <w:sz w:val="20"/>
        </w:rPr>
        <mc:AlternateContent>
          <mc:Choice Requires="wpg">
            <w:drawing>
              <wp:anchor distT="0" distB="0" distL="0" distR="0" simplePos="0" relativeHeight="15760384" behindDoc="0" locked="0" layoutInCell="1" allowOverlap="1" wp14:anchorId="06AC8B9B" wp14:editId="24746E23">
                <wp:simplePos x="0" y="0"/>
                <wp:positionH relativeFrom="page">
                  <wp:posOffset>0</wp:posOffset>
                </wp:positionH>
                <wp:positionV relativeFrom="page">
                  <wp:posOffset>0</wp:posOffset>
                </wp:positionV>
                <wp:extent cx="7559675" cy="228600"/>
                <wp:effectExtent l="0" t="0" r="0" b="0"/>
                <wp:wrapNone/>
                <wp:docPr id="259" name="Group 2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675" cy="228600"/>
                          <a:chOff x="0" y="0"/>
                          <a:chExt cx="7559675" cy="228600"/>
                        </a:xfrm>
                      </wpg:grpSpPr>
                      <wps:wsp>
                        <wps:cNvPr id="260" name="Graphic 260"/>
                        <wps:cNvSpPr/>
                        <wps:spPr>
                          <a:xfrm>
                            <a:off x="848283" y="0"/>
                            <a:ext cx="6711950" cy="228600"/>
                          </a:xfrm>
                          <a:custGeom>
                            <a:avLst/>
                            <a:gdLst/>
                            <a:ahLst/>
                            <a:cxnLst/>
                            <a:rect l="l" t="t" r="r" b="b"/>
                            <a:pathLst>
                              <a:path w="6711950" h="228600">
                                <a:moveTo>
                                  <a:pt x="6711391" y="0"/>
                                </a:moveTo>
                                <a:lnTo>
                                  <a:pt x="0" y="0"/>
                                </a:lnTo>
                                <a:lnTo>
                                  <a:pt x="184137" y="228600"/>
                                </a:lnTo>
                                <a:lnTo>
                                  <a:pt x="6711391" y="223520"/>
                                </a:lnTo>
                                <a:lnTo>
                                  <a:pt x="6711391" y="0"/>
                                </a:lnTo>
                                <a:close/>
                              </a:path>
                            </a:pathLst>
                          </a:custGeom>
                          <a:solidFill>
                            <a:srgbClr val="E6E7E8"/>
                          </a:solidFill>
                        </wps:spPr>
                        <wps:bodyPr wrap="square" lIns="0" tIns="0" rIns="0" bIns="0" rtlCol="0">
                          <a:prstTxWarp prst="textNoShape">
                            <a:avLst/>
                          </a:prstTxWarp>
                          <a:noAutofit/>
                        </wps:bodyPr>
                      </wps:wsp>
                      <wps:wsp>
                        <wps:cNvPr id="261" name="Graphic 261"/>
                        <wps:cNvSpPr/>
                        <wps:spPr>
                          <a:xfrm>
                            <a:off x="0" y="0"/>
                            <a:ext cx="655955" cy="228600"/>
                          </a:xfrm>
                          <a:custGeom>
                            <a:avLst/>
                            <a:gdLst/>
                            <a:ahLst/>
                            <a:cxnLst/>
                            <a:rect l="l" t="t" r="r" b="b"/>
                            <a:pathLst>
                              <a:path w="655955" h="228600">
                                <a:moveTo>
                                  <a:pt x="530174" y="0"/>
                                </a:moveTo>
                                <a:lnTo>
                                  <a:pt x="0" y="0"/>
                                </a:lnTo>
                                <a:lnTo>
                                  <a:pt x="0" y="228600"/>
                                </a:lnTo>
                                <a:lnTo>
                                  <a:pt x="655904" y="228600"/>
                                </a:lnTo>
                                <a:lnTo>
                                  <a:pt x="530174" y="0"/>
                                </a:lnTo>
                                <a:close/>
                              </a:path>
                            </a:pathLst>
                          </a:custGeom>
                          <a:solidFill>
                            <a:srgbClr val="00A650"/>
                          </a:solidFill>
                        </wps:spPr>
                        <wps:bodyPr wrap="square" lIns="0" tIns="0" rIns="0" bIns="0" rtlCol="0">
                          <a:prstTxWarp prst="textNoShape">
                            <a:avLst/>
                          </a:prstTxWarp>
                          <a:noAutofit/>
                        </wps:bodyPr>
                      </wps:wsp>
                      <wps:wsp>
                        <wps:cNvPr id="262" name="Graphic 262"/>
                        <wps:cNvSpPr/>
                        <wps:spPr>
                          <a:xfrm>
                            <a:off x="554304" y="0"/>
                            <a:ext cx="329565" cy="228600"/>
                          </a:xfrm>
                          <a:custGeom>
                            <a:avLst/>
                            <a:gdLst/>
                            <a:ahLst/>
                            <a:cxnLst/>
                            <a:rect l="l" t="t" r="r" b="b"/>
                            <a:pathLst>
                              <a:path w="329565" h="228600">
                                <a:moveTo>
                                  <a:pt x="203822" y="0"/>
                                </a:moveTo>
                                <a:lnTo>
                                  <a:pt x="0" y="0"/>
                                </a:lnTo>
                                <a:lnTo>
                                  <a:pt x="128904" y="228600"/>
                                </a:lnTo>
                                <a:lnTo>
                                  <a:pt x="329539" y="228600"/>
                                </a:lnTo>
                                <a:lnTo>
                                  <a:pt x="203822" y="0"/>
                                </a:lnTo>
                                <a:close/>
                              </a:path>
                            </a:pathLst>
                          </a:custGeom>
                          <a:solidFill>
                            <a:srgbClr val="EB1C22"/>
                          </a:solidFill>
                        </wps:spPr>
                        <wps:bodyPr wrap="square" lIns="0" tIns="0" rIns="0" bIns="0" rtlCol="0">
                          <a:prstTxWarp prst="textNoShape">
                            <a:avLst/>
                          </a:prstTxWarp>
                          <a:noAutofit/>
                        </wps:bodyPr>
                      </wps:wsp>
                      <wps:wsp>
                        <wps:cNvPr id="263" name="Graphic 263"/>
                        <wps:cNvSpPr/>
                        <wps:spPr>
                          <a:xfrm>
                            <a:off x="783526" y="0"/>
                            <a:ext cx="329565" cy="228600"/>
                          </a:xfrm>
                          <a:custGeom>
                            <a:avLst/>
                            <a:gdLst/>
                            <a:ahLst/>
                            <a:cxnLst/>
                            <a:rect l="l" t="t" r="r" b="b"/>
                            <a:pathLst>
                              <a:path w="329565" h="228600">
                                <a:moveTo>
                                  <a:pt x="203822" y="0"/>
                                </a:moveTo>
                                <a:lnTo>
                                  <a:pt x="0" y="0"/>
                                </a:lnTo>
                                <a:lnTo>
                                  <a:pt x="128879" y="228600"/>
                                </a:lnTo>
                                <a:lnTo>
                                  <a:pt x="329539" y="228600"/>
                                </a:lnTo>
                                <a:lnTo>
                                  <a:pt x="203822" y="0"/>
                                </a:lnTo>
                                <a:close/>
                              </a:path>
                            </a:pathLst>
                          </a:custGeom>
                          <a:solidFill>
                            <a:srgbClr val="A7A9AC"/>
                          </a:solidFill>
                        </wps:spPr>
                        <wps:bodyPr wrap="square" lIns="0" tIns="0" rIns="0" bIns="0" rtlCol="0">
                          <a:prstTxWarp prst="textNoShape">
                            <a:avLst/>
                          </a:prstTxWarp>
                          <a:noAutofit/>
                        </wps:bodyPr>
                      </wps:wsp>
                    </wpg:wgp>
                  </a:graphicData>
                </a:graphic>
              </wp:anchor>
            </w:drawing>
          </mc:Choice>
          <mc:Fallback>
            <w:pict>
              <v:group w14:anchorId="01B483B5" id="Group 259" o:spid="_x0000_s1026" style="position:absolute;margin-left:0;margin-top:0;width:595.25pt;height:18pt;z-index:15760384;mso-wrap-distance-left:0;mso-wrap-distance-right:0;mso-position-horizontal-relative:page;mso-position-vertical-relative:page" coordsize="75596,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">
                <v:shape id="Graphic 260" o:spid="_x0000_s1027" style="position:absolute;left:8482;width:67120;height:2286;visibility:visible;mso-wrap-style:square;v-text-anchor:top" coordsize="67119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" path="m6711391,l,,184137,228600r6527254,-5080l6711391,xe" fillcolor="#e6e7e8" stroked="f">
                  <v:path arrowok="t"/>
                </v:shape>
                <v:shape id="Graphic 261" o:spid="_x0000_s1028" style="position:absolute;width:6559;height:2286;visibility:visible;mso-wrap-style:square;v-text-anchor:top" coordsize="65595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" path="m530174,l,,,228600r655904,l530174,xe" fillcolor="#00a650" stroked="f">
                  <v:path arrowok="t"/>
                </v:shape>
                <v:shape id="Graphic 262" o:spid="_x0000_s1029" style="position:absolute;left:5543;width:3295;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" path="m203822,l,,128904,228600r200635,l203822,xe" fillcolor="#eb1c22" stroked="f">
                  <v:path arrowok="t"/>
                </v:shape>
                <v:shape id="Graphic 263" o:spid="_x0000_s1030" style="position:absolute;left:7835;width:3295;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" path="m203822,l,,128879,228600r200660,l203822,xe" fillcolor="#a7a9ac" stroked="f">
                  <v:path arrowok="t"/>
                </v:shape>
                <w10:wrap anchorx="page" anchory="page"/>
              </v:group>
            </w:pict>
          </mc:Fallback>
        </mc:AlternateConten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2"/>
        <w:gridCol w:w="5695"/>
        <w:gridCol w:w="1325"/>
        <w:gridCol w:w="2698"/>
      </w:tblGrid>
      <w:tr w:rsidR="00BB77C0" w14:paraId="266D3D2A" w14:textId="77777777">
        <w:trPr>
          <w:trHeight w:val="455"/>
        </w:trPr>
        <w:tc>
          <w:tcPr>
            <w:tcW w:w="422" w:type="dxa"/>
            <w:shd w:val="clear" w:color="auto" w:fill="E7E6E6"/>
          </w:tcPr>
          <w:p w14:paraId="752D09B6" w14:textId="77777777" w:rsidR="00BB77C0" w:rsidRDefault="00BB77C0">
            <w:pPr>
              <w:pStyle w:val="TableParagraph"/>
              <w:rPr>
                <w:sz w:val="20"/>
              </w:rPr>
            </w:pPr>
          </w:p>
        </w:tc>
        <w:tc>
          <w:tcPr>
            <w:tcW w:w="5695" w:type="dxa"/>
            <w:shd w:val="clear" w:color="auto" w:fill="E7E6E6"/>
          </w:tcPr>
          <w:p w14:paraId="5BDA6FAB" w14:textId="77777777" w:rsidR="00BB77C0" w:rsidRDefault="00370BAA">
            <w:pPr>
              <w:pStyle w:val="TableParagraph"/>
              <w:spacing w:line="225" w:lineRule="exact"/>
              <w:ind w:left="110"/>
              <w:rPr>
                <w:b/>
                <w:sz w:val="20"/>
              </w:rPr>
            </w:pPr>
            <w:r>
              <w:rPr>
                <w:b/>
                <w:sz w:val="20"/>
              </w:rPr>
              <w:t>Type</w:t>
            </w:r>
            <w:r>
              <w:rPr>
                <w:b/>
                <w:spacing w:val="-7"/>
                <w:sz w:val="20"/>
              </w:rPr>
              <w:t xml:space="preserve"> </w:t>
            </w:r>
            <w:r>
              <w:rPr>
                <w:b/>
                <w:sz w:val="20"/>
              </w:rPr>
              <w:t>of</w:t>
            </w:r>
            <w:r>
              <w:rPr>
                <w:b/>
                <w:spacing w:val="-5"/>
                <w:sz w:val="20"/>
              </w:rPr>
              <w:t xml:space="preserve"> </w:t>
            </w:r>
            <w:r>
              <w:rPr>
                <w:b/>
                <w:spacing w:val="-2"/>
                <w:sz w:val="20"/>
              </w:rPr>
              <w:t>Conflict</w:t>
            </w:r>
          </w:p>
        </w:tc>
        <w:tc>
          <w:tcPr>
            <w:tcW w:w="1325" w:type="dxa"/>
            <w:shd w:val="clear" w:color="auto" w:fill="E7E6E6"/>
          </w:tcPr>
          <w:p w14:paraId="65FAEA54" w14:textId="77777777" w:rsidR="00BB77C0" w:rsidRDefault="00370BAA">
            <w:pPr>
              <w:pStyle w:val="TableParagraph"/>
              <w:spacing w:line="226" w:lineRule="exact"/>
              <w:ind w:left="110" w:right="127"/>
              <w:rPr>
                <w:b/>
                <w:sz w:val="20"/>
              </w:rPr>
            </w:pPr>
            <w:r>
              <w:rPr>
                <w:b/>
                <w:spacing w:val="-2"/>
                <w:sz w:val="20"/>
              </w:rPr>
              <w:t xml:space="preserve">Disclosure </w:t>
            </w:r>
            <w:r>
              <w:rPr>
                <w:b/>
                <w:sz w:val="20"/>
              </w:rPr>
              <w:t>YES</w:t>
            </w:r>
            <w:r>
              <w:rPr>
                <w:b/>
                <w:spacing w:val="-18"/>
                <w:sz w:val="20"/>
              </w:rPr>
              <w:t xml:space="preserve"> </w:t>
            </w:r>
            <w:r>
              <w:rPr>
                <w:b/>
                <w:sz w:val="20"/>
              </w:rPr>
              <w:t>OR</w:t>
            </w:r>
            <w:r>
              <w:rPr>
                <w:b/>
                <w:spacing w:val="-14"/>
                <w:sz w:val="20"/>
              </w:rPr>
              <w:t xml:space="preserve"> </w:t>
            </w:r>
            <w:r>
              <w:rPr>
                <w:b/>
                <w:sz w:val="20"/>
              </w:rPr>
              <w:t>NO</w:t>
            </w:r>
          </w:p>
        </w:tc>
        <w:tc>
          <w:tcPr>
            <w:tcW w:w="2698" w:type="dxa"/>
            <w:shd w:val="clear" w:color="auto" w:fill="E7E6E6"/>
          </w:tcPr>
          <w:p w14:paraId="65FC9857" w14:textId="77777777" w:rsidR="00BB77C0" w:rsidRDefault="00370BAA">
            <w:pPr>
              <w:pStyle w:val="TableParagraph"/>
              <w:spacing w:line="226" w:lineRule="exact"/>
              <w:ind w:left="115"/>
              <w:rPr>
                <w:b/>
                <w:sz w:val="20"/>
              </w:rPr>
            </w:pPr>
            <w:r>
              <w:rPr>
                <w:b/>
                <w:sz w:val="20"/>
              </w:rPr>
              <w:t>If</w:t>
            </w:r>
            <w:r>
              <w:rPr>
                <w:b/>
                <w:spacing w:val="-15"/>
                <w:sz w:val="20"/>
              </w:rPr>
              <w:t xml:space="preserve"> </w:t>
            </w:r>
            <w:r>
              <w:rPr>
                <w:b/>
                <w:sz w:val="20"/>
              </w:rPr>
              <w:t>YES</w:t>
            </w:r>
            <w:r>
              <w:rPr>
                <w:b/>
                <w:spacing w:val="-14"/>
                <w:sz w:val="20"/>
              </w:rPr>
              <w:t xml:space="preserve"> </w:t>
            </w:r>
            <w:r>
              <w:rPr>
                <w:b/>
                <w:sz w:val="20"/>
              </w:rPr>
              <w:t>provide</w:t>
            </w:r>
            <w:r>
              <w:rPr>
                <w:b/>
                <w:spacing w:val="-12"/>
                <w:sz w:val="20"/>
              </w:rPr>
              <w:t xml:space="preserve"> </w:t>
            </w:r>
            <w:r>
              <w:rPr>
                <w:b/>
                <w:sz w:val="20"/>
              </w:rPr>
              <w:t>details</w:t>
            </w:r>
            <w:r>
              <w:rPr>
                <w:b/>
                <w:spacing w:val="-13"/>
                <w:sz w:val="20"/>
              </w:rPr>
              <w:t xml:space="preserve"> </w:t>
            </w:r>
            <w:r>
              <w:rPr>
                <w:b/>
                <w:sz w:val="20"/>
              </w:rPr>
              <w:t>of</w:t>
            </w:r>
            <w:r>
              <w:rPr>
                <w:b/>
                <w:spacing w:val="-12"/>
                <w:sz w:val="20"/>
              </w:rPr>
              <w:t xml:space="preserve"> </w:t>
            </w:r>
            <w:r>
              <w:rPr>
                <w:b/>
                <w:sz w:val="20"/>
              </w:rPr>
              <w:t>the relationship with Tenderer</w:t>
            </w:r>
          </w:p>
        </w:tc>
      </w:tr>
      <w:tr w:rsidR="00BB77C0" w14:paraId="077B1BE3" w14:textId="77777777">
        <w:trPr>
          <w:trHeight w:val="762"/>
        </w:trPr>
        <w:tc>
          <w:tcPr>
            <w:tcW w:w="422" w:type="dxa"/>
          </w:tcPr>
          <w:p w14:paraId="47D03BE4" w14:textId="77777777" w:rsidR="00BB77C0" w:rsidRDefault="00370BAA">
            <w:pPr>
              <w:pStyle w:val="TableParagraph"/>
              <w:spacing w:line="249" w:lineRule="exact"/>
              <w:ind w:right="69"/>
              <w:jc w:val="center"/>
            </w:pPr>
            <w:r>
              <w:rPr>
                <w:spacing w:val="-10"/>
              </w:rPr>
              <w:t>5</w:t>
            </w:r>
          </w:p>
        </w:tc>
        <w:tc>
          <w:tcPr>
            <w:tcW w:w="5695" w:type="dxa"/>
          </w:tcPr>
          <w:p w14:paraId="1A96662F" w14:textId="77777777" w:rsidR="00BB77C0" w:rsidRDefault="00370BAA">
            <w:pPr>
              <w:pStyle w:val="TableParagraph"/>
              <w:spacing w:before="3" w:line="237" w:lineRule="auto"/>
              <w:ind w:left="110"/>
            </w:pPr>
            <w:r>
              <w:t>Any</w:t>
            </w:r>
            <w:r>
              <w:rPr>
                <w:spacing w:val="-7"/>
              </w:rPr>
              <w:t xml:space="preserve"> </w:t>
            </w:r>
            <w:r>
              <w:t>of</w:t>
            </w:r>
            <w:r>
              <w:rPr>
                <w:spacing w:val="-3"/>
              </w:rPr>
              <w:t xml:space="preserve"> </w:t>
            </w:r>
            <w:r>
              <w:t>the</w:t>
            </w:r>
            <w:r>
              <w:rPr>
                <w:spacing w:val="-8"/>
              </w:rPr>
              <w:t xml:space="preserve"> </w:t>
            </w:r>
            <w:r>
              <w:t>Tenderer’s affiliates</w:t>
            </w:r>
            <w:r>
              <w:rPr>
                <w:spacing w:val="-1"/>
              </w:rPr>
              <w:t xml:space="preserve"> </w:t>
            </w:r>
            <w:r>
              <w:t>participated</w:t>
            </w:r>
            <w:r>
              <w:rPr>
                <w:spacing w:val="-5"/>
              </w:rPr>
              <w:t xml:space="preserve"> </w:t>
            </w:r>
            <w:r>
              <w:t>as</w:t>
            </w:r>
            <w:r>
              <w:rPr>
                <w:spacing w:val="-6"/>
              </w:rPr>
              <w:t xml:space="preserve"> </w:t>
            </w:r>
            <w:r>
              <w:t>a consultant in the</w:t>
            </w:r>
            <w:r>
              <w:rPr>
                <w:spacing w:val="-5"/>
              </w:rPr>
              <w:t xml:space="preserve"> </w:t>
            </w:r>
            <w:r>
              <w:t>preparation</w:t>
            </w:r>
            <w:r>
              <w:rPr>
                <w:spacing w:val="-2"/>
              </w:rPr>
              <w:t xml:space="preserve"> </w:t>
            </w:r>
            <w:r>
              <w:t>of</w:t>
            </w:r>
            <w:r>
              <w:rPr>
                <w:spacing w:val="-4"/>
              </w:rPr>
              <w:t xml:space="preserve"> </w:t>
            </w:r>
            <w:r>
              <w:t>the</w:t>
            </w:r>
            <w:r>
              <w:rPr>
                <w:spacing w:val="-4"/>
              </w:rPr>
              <w:t xml:space="preserve"> </w:t>
            </w:r>
            <w:r>
              <w:t>design</w:t>
            </w:r>
            <w:r>
              <w:rPr>
                <w:spacing w:val="-2"/>
              </w:rPr>
              <w:t xml:space="preserve"> </w:t>
            </w:r>
            <w:r>
              <w:t>or</w:t>
            </w:r>
            <w:r>
              <w:rPr>
                <w:spacing w:val="4"/>
              </w:rPr>
              <w:t xml:space="preserve"> </w:t>
            </w:r>
            <w:r>
              <w:t>technical</w:t>
            </w:r>
            <w:r>
              <w:rPr>
                <w:spacing w:val="-6"/>
              </w:rPr>
              <w:t xml:space="preserve"> </w:t>
            </w:r>
            <w:r>
              <w:t>specifications</w:t>
            </w:r>
            <w:r>
              <w:rPr>
                <w:spacing w:val="7"/>
              </w:rPr>
              <w:t xml:space="preserve"> </w:t>
            </w:r>
            <w:r>
              <w:t>of</w:t>
            </w:r>
            <w:r>
              <w:rPr>
                <w:spacing w:val="-3"/>
              </w:rPr>
              <w:t xml:space="preserve"> </w:t>
            </w:r>
            <w:r>
              <w:rPr>
                <w:spacing w:val="-5"/>
              </w:rPr>
              <w:t>the</w:t>
            </w:r>
          </w:p>
          <w:p w14:paraId="16DAD013" w14:textId="77777777" w:rsidR="00BB77C0" w:rsidRDefault="00370BAA">
            <w:pPr>
              <w:pStyle w:val="TableParagraph"/>
              <w:spacing w:before="1" w:line="238" w:lineRule="exact"/>
              <w:ind w:left="110"/>
            </w:pPr>
            <w:r>
              <w:t>works</w:t>
            </w:r>
            <w:r>
              <w:rPr>
                <w:spacing w:val="-1"/>
              </w:rPr>
              <w:t xml:space="preserve"> </w:t>
            </w:r>
            <w:r>
              <w:t>that are</w:t>
            </w:r>
            <w:r>
              <w:rPr>
                <w:spacing w:val="-8"/>
              </w:rPr>
              <w:t xml:space="preserve"> </w:t>
            </w:r>
            <w:r>
              <w:t>the</w:t>
            </w:r>
            <w:r>
              <w:rPr>
                <w:spacing w:val="-7"/>
              </w:rPr>
              <w:t xml:space="preserve"> </w:t>
            </w:r>
            <w:r>
              <w:t>subject of</w:t>
            </w:r>
            <w:r>
              <w:rPr>
                <w:spacing w:val="-3"/>
              </w:rPr>
              <w:t xml:space="preserve"> </w:t>
            </w:r>
            <w:r>
              <w:t>the</w:t>
            </w:r>
            <w:r>
              <w:rPr>
                <w:spacing w:val="-7"/>
              </w:rPr>
              <w:t xml:space="preserve"> </w:t>
            </w:r>
            <w:r>
              <w:rPr>
                <w:spacing w:val="-2"/>
              </w:rPr>
              <w:t>tender.</w:t>
            </w:r>
          </w:p>
        </w:tc>
        <w:tc>
          <w:tcPr>
            <w:tcW w:w="1325" w:type="dxa"/>
          </w:tcPr>
          <w:p w14:paraId="636D28D0" w14:textId="77777777" w:rsidR="00BB77C0" w:rsidRDefault="00BB77C0">
            <w:pPr>
              <w:pStyle w:val="TableParagraph"/>
              <w:rPr>
                <w:sz w:val="20"/>
              </w:rPr>
            </w:pPr>
          </w:p>
        </w:tc>
        <w:tc>
          <w:tcPr>
            <w:tcW w:w="2698" w:type="dxa"/>
          </w:tcPr>
          <w:p w14:paraId="6DC3B171" w14:textId="77777777" w:rsidR="00BB77C0" w:rsidRDefault="00BB77C0">
            <w:pPr>
              <w:pStyle w:val="TableParagraph"/>
              <w:rPr>
                <w:sz w:val="20"/>
              </w:rPr>
            </w:pPr>
          </w:p>
        </w:tc>
      </w:tr>
      <w:tr w:rsidR="00BB77C0" w14:paraId="36F7BAC6" w14:textId="77777777">
        <w:trPr>
          <w:trHeight w:val="758"/>
        </w:trPr>
        <w:tc>
          <w:tcPr>
            <w:tcW w:w="422" w:type="dxa"/>
          </w:tcPr>
          <w:p w14:paraId="18E9933B" w14:textId="77777777" w:rsidR="00BB77C0" w:rsidRDefault="00370BAA">
            <w:pPr>
              <w:pStyle w:val="TableParagraph"/>
              <w:spacing w:line="244" w:lineRule="exact"/>
              <w:ind w:right="69"/>
              <w:jc w:val="center"/>
            </w:pPr>
            <w:r>
              <w:rPr>
                <w:spacing w:val="-10"/>
              </w:rPr>
              <w:t>6</w:t>
            </w:r>
          </w:p>
        </w:tc>
        <w:tc>
          <w:tcPr>
            <w:tcW w:w="5695" w:type="dxa"/>
          </w:tcPr>
          <w:p w14:paraId="53C20803" w14:textId="77777777" w:rsidR="00BB77C0" w:rsidRDefault="00370BAA">
            <w:pPr>
              <w:pStyle w:val="TableParagraph"/>
              <w:spacing w:line="244" w:lineRule="exact"/>
              <w:ind w:left="110"/>
            </w:pPr>
            <w:r>
              <w:t>Tenderer</w:t>
            </w:r>
            <w:r>
              <w:rPr>
                <w:spacing w:val="-1"/>
              </w:rPr>
              <w:t xml:space="preserve"> </w:t>
            </w:r>
            <w:r>
              <w:t>would</w:t>
            </w:r>
            <w:r>
              <w:rPr>
                <w:spacing w:val="-8"/>
              </w:rPr>
              <w:t xml:space="preserve"> </w:t>
            </w:r>
            <w:r>
              <w:t>be</w:t>
            </w:r>
            <w:r>
              <w:rPr>
                <w:spacing w:val="-10"/>
              </w:rPr>
              <w:t xml:space="preserve"> </w:t>
            </w:r>
            <w:r>
              <w:t>providing</w:t>
            </w:r>
            <w:r>
              <w:rPr>
                <w:spacing w:val="-8"/>
              </w:rPr>
              <w:t xml:space="preserve"> </w:t>
            </w:r>
            <w:r>
              <w:t>goods,</w:t>
            </w:r>
            <w:r>
              <w:rPr>
                <w:spacing w:val="-1"/>
              </w:rPr>
              <w:t xml:space="preserve"> </w:t>
            </w:r>
            <w:r>
              <w:t>works, non-</w:t>
            </w:r>
            <w:r>
              <w:rPr>
                <w:spacing w:val="-2"/>
              </w:rPr>
              <w:t>consulting</w:t>
            </w:r>
          </w:p>
          <w:p w14:paraId="55BA432A" w14:textId="77777777" w:rsidR="00BB77C0" w:rsidRDefault="00370BAA">
            <w:pPr>
              <w:pStyle w:val="TableParagraph"/>
              <w:spacing w:before="6" w:line="244" w:lineRule="exact"/>
              <w:ind w:left="110"/>
            </w:pPr>
            <w:r>
              <w:t>services</w:t>
            </w:r>
            <w:r>
              <w:rPr>
                <w:spacing w:val="-10"/>
              </w:rPr>
              <w:t xml:space="preserve"> </w:t>
            </w:r>
            <w:r>
              <w:t>or</w:t>
            </w:r>
            <w:r>
              <w:rPr>
                <w:spacing w:val="-8"/>
              </w:rPr>
              <w:t xml:space="preserve"> </w:t>
            </w:r>
            <w:r>
              <w:t>consulting</w:t>
            </w:r>
            <w:r>
              <w:rPr>
                <w:spacing w:val="-14"/>
              </w:rPr>
              <w:t xml:space="preserve"> </w:t>
            </w:r>
            <w:r>
              <w:t>services</w:t>
            </w:r>
            <w:r>
              <w:rPr>
                <w:spacing w:val="-6"/>
              </w:rPr>
              <w:t xml:space="preserve"> </w:t>
            </w:r>
            <w:r>
              <w:t>during</w:t>
            </w:r>
            <w:r>
              <w:rPr>
                <w:spacing w:val="-11"/>
              </w:rPr>
              <w:t xml:space="preserve"> </w:t>
            </w:r>
            <w:r>
              <w:t>implementation</w:t>
            </w:r>
            <w:r>
              <w:rPr>
                <w:spacing w:val="-14"/>
              </w:rPr>
              <w:t xml:space="preserve"> </w:t>
            </w:r>
            <w:r>
              <w:t>of</w:t>
            </w:r>
            <w:r>
              <w:rPr>
                <w:spacing w:val="-12"/>
              </w:rPr>
              <w:t xml:space="preserve"> </w:t>
            </w:r>
            <w:r>
              <w:t>the contract specified in this Tender Document.</w:t>
            </w:r>
          </w:p>
        </w:tc>
        <w:tc>
          <w:tcPr>
            <w:tcW w:w="1325" w:type="dxa"/>
          </w:tcPr>
          <w:p w14:paraId="65AF878F" w14:textId="77777777" w:rsidR="00BB77C0" w:rsidRDefault="00BB77C0">
            <w:pPr>
              <w:pStyle w:val="TableParagraph"/>
              <w:rPr>
                <w:sz w:val="20"/>
              </w:rPr>
            </w:pPr>
          </w:p>
        </w:tc>
        <w:tc>
          <w:tcPr>
            <w:tcW w:w="2698" w:type="dxa"/>
          </w:tcPr>
          <w:p w14:paraId="19F068F8" w14:textId="77777777" w:rsidR="00BB77C0" w:rsidRDefault="00BB77C0">
            <w:pPr>
              <w:pStyle w:val="TableParagraph"/>
              <w:rPr>
                <w:sz w:val="20"/>
              </w:rPr>
            </w:pPr>
          </w:p>
        </w:tc>
      </w:tr>
      <w:tr w:rsidR="00BB77C0" w14:paraId="2D533F37" w14:textId="77777777">
        <w:trPr>
          <w:trHeight w:val="1262"/>
        </w:trPr>
        <w:tc>
          <w:tcPr>
            <w:tcW w:w="422" w:type="dxa"/>
          </w:tcPr>
          <w:p w14:paraId="58C51F1C" w14:textId="77777777" w:rsidR="00BB77C0" w:rsidRDefault="00370BAA">
            <w:pPr>
              <w:pStyle w:val="TableParagraph"/>
              <w:spacing w:line="245" w:lineRule="exact"/>
              <w:ind w:right="69"/>
              <w:jc w:val="center"/>
            </w:pPr>
            <w:r>
              <w:rPr>
                <w:spacing w:val="-10"/>
              </w:rPr>
              <w:t>7</w:t>
            </w:r>
          </w:p>
        </w:tc>
        <w:tc>
          <w:tcPr>
            <w:tcW w:w="5695" w:type="dxa"/>
          </w:tcPr>
          <w:p w14:paraId="1D476591" w14:textId="77777777" w:rsidR="00BB77C0" w:rsidRDefault="00370BAA">
            <w:pPr>
              <w:pStyle w:val="TableParagraph"/>
              <w:spacing w:line="242" w:lineRule="auto"/>
              <w:ind w:left="201"/>
            </w:pPr>
            <w:r>
              <w:t>Tenderer has a close business or family relationship with a professional</w:t>
            </w:r>
            <w:r>
              <w:rPr>
                <w:spacing w:val="-9"/>
              </w:rPr>
              <w:t xml:space="preserve"> </w:t>
            </w:r>
            <w:r>
              <w:t>staff</w:t>
            </w:r>
            <w:r>
              <w:rPr>
                <w:spacing w:val="-8"/>
              </w:rPr>
              <w:t xml:space="preserve"> </w:t>
            </w:r>
            <w:r>
              <w:t>of</w:t>
            </w:r>
            <w:r>
              <w:rPr>
                <w:spacing w:val="-8"/>
              </w:rPr>
              <w:t xml:space="preserve"> </w:t>
            </w:r>
            <w:r>
              <w:t>the</w:t>
            </w:r>
            <w:r>
              <w:rPr>
                <w:spacing w:val="-13"/>
              </w:rPr>
              <w:t xml:space="preserve"> </w:t>
            </w:r>
            <w:r>
              <w:t>Procuring</w:t>
            </w:r>
            <w:r>
              <w:rPr>
                <w:spacing w:val="-10"/>
              </w:rPr>
              <w:t xml:space="preserve"> </w:t>
            </w:r>
            <w:r>
              <w:t>Entity</w:t>
            </w:r>
            <w:r>
              <w:rPr>
                <w:spacing w:val="-6"/>
              </w:rPr>
              <w:t xml:space="preserve"> </w:t>
            </w:r>
            <w:r>
              <w:t>who</w:t>
            </w:r>
            <w:r>
              <w:rPr>
                <w:spacing w:val="-11"/>
              </w:rPr>
              <w:t xml:space="preserve"> </w:t>
            </w:r>
            <w:r>
              <w:t>are</w:t>
            </w:r>
            <w:r>
              <w:rPr>
                <w:spacing w:val="-13"/>
              </w:rPr>
              <w:t xml:space="preserve"> </w:t>
            </w:r>
            <w:r>
              <w:t>directly</w:t>
            </w:r>
            <w:r>
              <w:rPr>
                <w:spacing w:val="-11"/>
              </w:rPr>
              <w:t xml:space="preserve"> </w:t>
            </w:r>
            <w:r>
              <w:t>or indirectly involved in the preparation of the Tender</w:t>
            </w:r>
          </w:p>
          <w:p w14:paraId="571030D5" w14:textId="77777777" w:rsidR="00BB77C0" w:rsidRDefault="00370BAA">
            <w:pPr>
              <w:pStyle w:val="TableParagraph"/>
              <w:spacing w:line="244" w:lineRule="exact"/>
              <w:ind w:left="201" w:right="181"/>
            </w:pPr>
            <w:r>
              <w:t>document</w:t>
            </w:r>
            <w:r>
              <w:rPr>
                <w:spacing w:val="-3"/>
              </w:rPr>
              <w:t xml:space="preserve"> </w:t>
            </w:r>
            <w:r>
              <w:t>or</w:t>
            </w:r>
            <w:r>
              <w:rPr>
                <w:spacing w:val="-2"/>
              </w:rPr>
              <w:t xml:space="preserve"> </w:t>
            </w:r>
            <w:r>
              <w:t>specifications</w:t>
            </w:r>
            <w:r>
              <w:rPr>
                <w:spacing w:val="-5"/>
              </w:rPr>
              <w:t xml:space="preserve"> </w:t>
            </w:r>
            <w:r>
              <w:t>of</w:t>
            </w:r>
            <w:r>
              <w:rPr>
                <w:spacing w:val="-7"/>
              </w:rPr>
              <w:t xml:space="preserve"> </w:t>
            </w:r>
            <w:r>
              <w:t>the</w:t>
            </w:r>
            <w:r>
              <w:rPr>
                <w:spacing w:val="-11"/>
              </w:rPr>
              <w:t xml:space="preserve"> </w:t>
            </w:r>
            <w:r>
              <w:t>Contract,</w:t>
            </w:r>
            <w:r>
              <w:rPr>
                <w:spacing w:val="-11"/>
              </w:rPr>
              <w:t xml:space="preserve"> </w:t>
            </w:r>
            <w:r>
              <w:t>and/or</w:t>
            </w:r>
            <w:r>
              <w:rPr>
                <w:spacing w:val="-2"/>
              </w:rPr>
              <w:t xml:space="preserve"> </w:t>
            </w:r>
            <w:r>
              <w:t>the Tender evaluation process of such contract.</w:t>
            </w:r>
          </w:p>
        </w:tc>
        <w:tc>
          <w:tcPr>
            <w:tcW w:w="1325" w:type="dxa"/>
          </w:tcPr>
          <w:p w14:paraId="232E4E52" w14:textId="77777777" w:rsidR="00BB77C0" w:rsidRDefault="00BB77C0">
            <w:pPr>
              <w:pStyle w:val="TableParagraph"/>
              <w:rPr>
                <w:sz w:val="20"/>
              </w:rPr>
            </w:pPr>
          </w:p>
        </w:tc>
        <w:tc>
          <w:tcPr>
            <w:tcW w:w="2698" w:type="dxa"/>
          </w:tcPr>
          <w:p w14:paraId="427F6BB1" w14:textId="77777777" w:rsidR="00BB77C0" w:rsidRDefault="00BB77C0">
            <w:pPr>
              <w:pStyle w:val="TableParagraph"/>
              <w:rPr>
                <w:sz w:val="20"/>
              </w:rPr>
            </w:pPr>
          </w:p>
        </w:tc>
      </w:tr>
      <w:tr w:rsidR="00BB77C0" w14:paraId="3BA2E109" w14:textId="77777777">
        <w:trPr>
          <w:trHeight w:val="1012"/>
        </w:trPr>
        <w:tc>
          <w:tcPr>
            <w:tcW w:w="422" w:type="dxa"/>
          </w:tcPr>
          <w:p w14:paraId="6DACF99E" w14:textId="77777777" w:rsidR="00BB77C0" w:rsidRDefault="00370BAA">
            <w:pPr>
              <w:pStyle w:val="TableParagraph"/>
              <w:spacing w:line="249" w:lineRule="exact"/>
              <w:ind w:right="69"/>
              <w:jc w:val="center"/>
            </w:pPr>
            <w:r>
              <w:rPr>
                <w:spacing w:val="-10"/>
              </w:rPr>
              <w:t>8</w:t>
            </w:r>
          </w:p>
        </w:tc>
        <w:tc>
          <w:tcPr>
            <w:tcW w:w="5695" w:type="dxa"/>
          </w:tcPr>
          <w:p w14:paraId="1FF11E08" w14:textId="77777777" w:rsidR="00BB77C0" w:rsidRDefault="00370BAA">
            <w:pPr>
              <w:pStyle w:val="TableParagraph"/>
              <w:spacing w:line="237" w:lineRule="auto"/>
              <w:ind w:left="201"/>
            </w:pPr>
            <w:r>
              <w:t>Tenderer</w:t>
            </w:r>
            <w:r>
              <w:rPr>
                <w:spacing w:val="-5"/>
              </w:rPr>
              <w:t xml:space="preserve"> </w:t>
            </w:r>
            <w:r>
              <w:t>has</w:t>
            </w:r>
            <w:r>
              <w:rPr>
                <w:spacing w:val="-8"/>
              </w:rPr>
              <w:t xml:space="preserve"> </w:t>
            </w:r>
            <w:r>
              <w:t>a</w:t>
            </w:r>
            <w:r>
              <w:rPr>
                <w:spacing w:val="-11"/>
              </w:rPr>
              <w:t xml:space="preserve"> </w:t>
            </w:r>
            <w:r>
              <w:t>close</w:t>
            </w:r>
            <w:r>
              <w:rPr>
                <w:spacing w:val="-14"/>
              </w:rPr>
              <w:t xml:space="preserve"> </w:t>
            </w:r>
            <w:r>
              <w:t>business</w:t>
            </w:r>
            <w:r>
              <w:rPr>
                <w:spacing w:val="-7"/>
              </w:rPr>
              <w:t xml:space="preserve"> </w:t>
            </w:r>
            <w:r>
              <w:t>or</w:t>
            </w:r>
            <w:r>
              <w:rPr>
                <w:spacing w:val="-5"/>
              </w:rPr>
              <w:t xml:space="preserve"> </w:t>
            </w:r>
            <w:r>
              <w:t>family</w:t>
            </w:r>
            <w:r>
              <w:rPr>
                <w:spacing w:val="-13"/>
              </w:rPr>
              <w:t xml:space="preserve"> </w:t>
            </w:r>
            <w:r>
              <w:t>relationship</w:t>
            </w:r>
            <w:r>
              <w:rPr>
                <w:spacing w:val="-7"/>
              </w:rPr>
              <w:t xml:space="preserve"> </w:t>
            </w:r>
            <w:r>
              <w:t>with</w:t>
            </w:r>
            <w:r>
              <w:rPr>
                <w:spacing w:val="-13"/>
              </w:rPr>
              <w:t xml:space="preserve"> </w:t>
            </w:r>
            <w:r>
              <w:t>a professional staff of the Procuring Entity who would be</w:t>
            </w:r>
          </w:p>
          <w:p w14:paraId="0019E7A9" w14:textId="77777777" w:rsidR="00BB77C0" w:rsidRDefault="00370BAA">
            <w:pPr>
              <w:pStyle w:val="TableParagraph"/>
              <w:spacing w:before="4" w:line="244" w:lineRule="exact"/>
              <w:ind w:left="201"/>
            </w:pPr>
            <w:r>
              <w:t>involved</w:t>
            </w:r>
            <w:r>
              <w:rPr>
                <w:spacing w:val="-3"/>
              </w:rPr>
              <w:t xml:space="preserve"> </w:t>
            </w:r>
            <w:r>
              <w:t>in</w:t>
            </w:r>
            <w:r>
              <w:rPr>
                <w:spacing w:val="-8"/>
              </w:rPr>
              <w:t xml:space="preserve"> </w:t>
            </w:r>
            <w:r>
              <w:t>the</w:t>
            </w:r>
            <w:r>
              <w:rPr>
                <w:spacing w:val="-9"/>
              </w:rPr>
              <w:t xml:space="preserve"> </w:t>
            </w:r>
            <w:r>
              <w:t>implementation</w:t>
            </w:r>
            <w:r>
              <w:rPr>
                <w:spacing w:val="-8"/>
              </w:rPr>
              <w:t xml:space="preserve"> </w:t>
            </w:r>
            <w:r>
              <w:t>or supervision of</w:t>
            </w:r>
            <w:r>
              <w:rPr>
                <w:spacing w:val="-5"/>
              </w:rPr>
              <w:t xml:space="preserve"> </w:t>
            </w:r>
            <w:r>
              <w:t>the</w:t>
            </w:r>
            <w:r>
              <w:rPr>
                <w:spacing w:val="-9"/>
              </w:rPr>
              <w:t xml:space="preserve"> </w:t>
            </w:r>
            <w:r>
              <w:t xml:space="preserve">such </w:t>
            </w:r>
            <w:r>
              <w:rPr>
                <w:spacing w:val="-2"/>
              </w:rPr>
              <w:t>Contract.</w:t>
            </w:r>
          </w:p>
        </w:tc>
        <w:tc>
          <w:tcPr>
            <w:tcW w:w="1325" w:type="dxa"/>
          </w:tcPr>
          <w:p w14:paraId="7CD8EE32" w14:textId="77777777" w:rsidR="00BB77C0" w:rsidRDefault="00BB77C0">
            <w:pPr>
              <w:pStyle w:val="TableParagraph"/>
              <w:rPr>
                <w:sz w:val="20"/>
              </w:rPr>
            </w:pPr>
          </w:p>
        </w:tc>
        <w:tc>
          <w:tcPr>
            <w:tcW w:w="2698" w:type="dxa"/>
          </w:tcPr>
          <w:p w14:paraId="2936F006" w14:textId="77777777" w:rsidR="00BB77C0" w:rsidRDefault="00BB77C0">
            <w:pPr>
              <w:pStyle w:val="TableParagraph"/>
              <w:rPr>
                <w:sz w:val="20"/>
              </w:rPr>
            </w:pPr>
          </w:p>
        </w:tc>
      </w:tr>
      <w:tr w:rsidR="00BB77C0" w14:paraId="59B623EF" w14:textId="77777777">
        <w:trPr>
          <w:trHeight w:val="1012"/>
        </w:trPr>
        <w:tc>
          <w:tcPr>
            <w:tcW w:w="422" w:type="dxa"/>
          </w:tcPr>
          <w:p w14:paraId="729FDB5A" w14:textId="77777777" w:rsidR="00BB77C0" w:rsidRDefault="00370BAA">
            <w:pPr>
              <w:pStyle w:val="TableParagraph"/>
              <w:spacing w:line="244" w:lineRule="exact"/>
              <w:ind w:right="69"/>
              <w:jc w:val="center"/>
            </w:pPr>
            <w:r>
              <w:rPr>
                <w:spacing w:val="-10"/>
              </w:rPr>
              <w:t>9</w:t>
            </w:r>
          </w:p>
        </w:tc>
        <w:tc>
          <w:tcPr>
            <w:tcW w:w="5695" w:type="dxa"/>
          </w:tcPr>
          <w:p w14:paraId="79AEF7AA" w14:textId="77777777" w:rsidR="00BB77C0" w:rsidRDefault="00370BAA">
            <w:pPr>
              <w:pStyle w:val="TableParagraph"/>
              <w:spacing w:line="237" w:lineRule="auto"/>
              <w:ind w:left="201"/>
            </w:pPr>
            <w:r>
              <w:t>Has the conflict stemming from</w:t>
            </w:r>
            <w:r>
              <w:rPr>
                <w:spacing w:val="-2"/>
              </w:rPr>
              <w:t xml:space="preserve"> </w:t>
            </w:r>
            <w:r>
              <w:t>such relationship stated in item</w:t>
            </w:r>
            <w:r>
              <w:rPr>
                <w:spacing w:val="-10"/>
              </w:rPr>
              <w:t xml:space="preserve"> </w:t>
            </w:r>
            <w:r>
              <w:t>7</w:t>
            </w:r>
            <w:r>
              <w:rPr>
                <w:spacing w:val="-7"/>
              </w:rPr>
              <w:t xml:space="preserve"> </w:t>
            </w:r>
            <w:r>
              <w:t>and</w:t>
            </w:r>
            <w:r>
              <w:rPr>
                <w:spacing w:val="-6"/>
              </w:rPr>
              <w:t xml:space="preserve"> </w:t>
            </w:r>
            <w:r>
              <w:t>8</w:t>
            </w:r>
            <w:r>
              <w:rPr>
                <w:spacing w:val="-7"/>
              </w:rPr>
              <w:t xml:space="preserve"> </w:t>
            </w:r>
            <w:r>
              <w:t>above</w:t>
            </w:r>
            <w:r>
              <w:rPr>
                <w:spacing w:val="-13"/>
              </w:rPr>
              <w:t xml:space="preserve"> </w:t>
            </w:r>
            <w:r>
              <w:t>been</w:t>
            </w:r>
            <w:r>
              <w:rPr>
                <w:spacing w:val="-11"/>
              </w:rPr>
              <w:t xml:space="preserve"> </w:t>
            </w:r>
            <w:r>
              <w:t>resolved</w:t>
            </w:r>
            <w:r>
              <w:rPr>
                <w:spacing w:val="-5"/>
              </w:rPr>
              <w:t xml:space="preserve"> </w:t>
            </w:r>
            <w:r>
              <w:t>in</w:t>
            </w:r>
            <w:r>
              <w:rPr>
                <w:spacing w:val="-7"/>
              </w:rPr>
              <w:t xml:space="preserve"> </w:t>
            </w:r>
            <w:r>
              <w:t>a</w:t>
            </w:r>
            <w:r>
              <w:rPr>
                <w:spacing w:val="-5"/>
              </w:rPr>
              <w:t xml:space="preserve"> </w:t>
            </w:r>
            <w:r>
              <w:t>manner acceptable</w:t>
            </w:r>
            <w:r>
              <w:rPr>
                <w:spacing w:val="-8"/>
              </w:rPr>
              <w:t xml:space="preserve"> </w:t>
            </w:r>
            <w:r>
              <w:t>to</w:t>
            </w:r>
          </w:p>
          <w:p w14:paraId="48602B38" w14:textId="77777777" w:rsidR="00BB77C0" w:rsidRDefault="00370BAA">
            <w:pPr>
              <w:pStyle w:val="TableParagraph"/>
              <w:spacing w:before="3" w:line="244" w:lineRule="exact"/>
              <w:ind w:left="201"/>
            </w:pPr>
            <w:r>
              <w:t>the</w:t>
            </w:r>
            <w:r>
              <w:rPr>
                <w:spacing w:val="-9"/>
              </w:rPr>
              <w:t xml:space="preserve"> </w:t>
            </w:r>
            <w:r>
              <w:t>Procuring</w:t>
            </w:r>
            <w:r>
              <w:rPr>
                <w:spacing w:val="-8"/>
              </w:rPr>
              <w:t xml:space="preserve"> </w:t>
            </w:r>
            <w:r>
              <w:t>Entity</w:t>
            </w:r>
            <w:r>
              <w:rPr>
                <w:spacing w:val="-8"/>
              </w:rPr>
              <w:t xml:space="preserve"> </w:t>
            </w:r>
            <w:r>
              <w:t>throughout</w:t>
            </w:r>
            <w:r>
              <w:rPr>
                <w:spacing w:val="-2"/>
              </w:rPr>
              <w:t xml:space="preserve"> </w:t>
            </w:r>
            <w:r>
              <w:t>the</w:t>
            </w:r>
            <w:r>
              <w:rPr>
                <w:spacing w:val="-9"/>
              </w:rPr>
              <w:t xml:space="preserve"> </w:t>
            </w:r>
            <w:r>
              <w:t>tendering</w:t>
            </w:r>
            <w:r>
              <w:rPr>
                <w:spacing w:val="-8"/>
              </w:rPr>
              <w:t xml:space="preserve"> </w:t>
            </w:r>
            <w:r>
              <w:t>process</w:t>
            </w:r>
            <w:r>
              <w:rPr>
                <w:spacing w:val="-2"/>
              </w:rPr>
              <w:t xml:space="preserve"> </w:t>
            </w:r>
            <w:r>
              <w:t>and execution of the Contract.</w:t>
            </w:r>
          </w:p>
        </w:tc>
        <w:tc>
          <w:tcPr>
            <w:tcW w:w="1325" w:type="dxa"/>
          </w:tcPr>
          <w:p w14:paraId="2C66E3EE" w14:textId="77777777" w:rsidR="00BB77C0" w:rsidRDefault="00BB77C0">
            <w:pPr>
              <w:pStyle w:val="TableParagraph"/>
              <w:rPr>
                <w:sz w:val="20"/>
              </w:rPr>
            </w:pPr>
          </w:p>
        </w:tc>
        <w:tc>
          <w:tcPr>
            <w:tcW w:w="2698" w:type="dxa"/>
          </w:tcPr>
          <w:p w14:paraId="0242DA1C" w14:textId="77777777" w:rsidR="00BB77C0" w:rsidRDefault="00BB77C0">
            <w:pPr>
              <w:pStyle w:val="TableParagraph"/>
              <w:rPr>
                <w:sz w:val="20"/>
              </w:rPr>
            </w:pPr>
          </w:p>
        </w:tc>
      </w:tr>
    </w:tbl>
    <w:p w14:paraId="3B8D77C5" w14:textId="77777777" w:rsidR="00BB77C0" w:rsidRDefault="00BB77C0">
      <w:pPr>
        <w:pStyle w:val="BodyText"/>
        <w:rPr>
          <w:b/>
        </w:rPr>
      </w:pPr>
    </w:p>
    <w:p w14:paraId="3D389948" w14:textId="77777777" w:rsidR="00BB77C0" w:rsidRDefault="00BB77C0">
      <w:pPr>
        <w:pStyle w:val="BodyText"/>
        <w:rPr>
          <w:b/>
        </w:rPr>
      </w:pPr>
    </w:p>
    <w:p w14:paraId="3F5D3B65" w14:textId="77777777" w:rsidR="00BB77C0" w:rsidRDefault="00BB77C0">
      <w:pPr>
        <w:pStyle w:val="BodyText"/>
        <w:rPr>
          <w:b/>
        </w:rPr>
      </w:pPr>
    </w:p>
    <w:p w14:paraId="76BC5C2B" w14:textId="77777777" w:rsidR="00BB77C0" w:rsidRDefault="00BB77C0">
      <w:pPr>
        <w:pStyle w:val="BodyText"/>
        <w:rPr>
          <w:b/>
        </w:rPr>
      </w:pPr>
    </w:p>
    <w:p w14:paraId="3328CC97" w14:textId="77777777" w:rsidR="00BB77C0" w:rsidRDefault="00BB77C0">
      <w:pPr>
        <w:pStyle w:val="BodyText"/>
        <w:spacing w:before="131"/>
        <w:rPr>
          <w:b/>
        </w:rPr>
      </w:pPr>
    </w:p>
    <w:p w14:paraId="3F3D9725" w14:textId="77777777" w:rsidR="00BB77C0" w:rsidRDefault="00370BAA">
      <w:pPr>
        <w:tabs>
          <w:tab w:val="left" w:pos="945"/>
        </w:tabs>
        <w:spacing w:before="1"/>
        <w:ind w:left="490"/>
        <w:rPr>
          <w:b/>
        </w:rPr>
      </w:pPr>
      <w:r>
        <w:rPr>
          <w:b/>
          <w:color w:val="211F1F"/>
          <w:spacing w:val="-5"/>
        </w:rPr>
        <w:t>f)</w:t>
      </w:r>
      <w:r>
        <w:rPr>
          <w:b/>
          <w:color w:val="211F1F"/>
        </w:rPr>
        <w:tab/>
      </w:r>
      <w:r>
        <w:rPr>
          <w:b/>
          <w:color w:val="211F1F"/>
          <w:spacing w:val="-2"/>
        </w:rPr>
        <w:t>Certification</w:t>
      </w:r>
    </w:p>
    <w:p w14:paraId="38DC3B90" w14:textId="77777777" w:rsidR="00BB77C0" w:rsidRDefault="00370BAA">
      <w:pPr>
        <w:pStyle w:val="BodyText"/>
        <w:spacing w:before="233" w:line="232" w:lineRule="auto"/>
        <w:ind w:left="490"/>
      </w:pPr>
      <w:r>
        <w:rPr>
          <w:color w:val="211F1F"/>
        </w:rPr>
        <w:t>On</w:t>
      </w:r>
      <w:r>
        <w:rPr>
          <w:color w:val="211F1F"/>
          <w:spacing w:val="-17"/>
        </w:rPr>
        <w:t xml:space="preserve"> </w:t>
      </w:r>
      <w:r>
        <w:rPr>
          <w:color w:val="211F1F"/>
        </w:rPr>
        <w:t>behalf</w:t>
      </w:r>
      <w:r>
        <w:rPr>
          <w:color w:val="211F1F"/>
          <w:spacing w:val="-14"/>
        </w:rPr>
        <w:t xml:space="preserve"> </w:t>
      </w:r>
      <w:r>
        <w:rPr>
          <w:color w:val="211F1F"/>
        </w:rPr>
        <w:t>of</w:t>
      </w:r>
      <w:r>
        <w:rPr>
          <w:color w:val="211F1F"/>
          <w:spacing w:val="-14"/>
        </w:rPr>
        <w:t xml:space="preserve"> </w:t>
      </w:r>
      <w:r>
        <w:rPr>
          <w:color w:val="211F1F"/>
        </w:rPr>
        <w:t>the</w:t>
      </w:r>
      <w:r>
        <w:rPr>
          <w:color w:val="211F1F"/>
          <w:spacing w:val="-19"/>
        </w:rPr>
        <w:t xml:space="preserve"> </w:t>
      </w:r>
      <w:r>
        <w:rPr>
          <w:color w:val="211F1F"/>
        </w:rPr>
        <w:t>Tenderer,</w:t>
      </w:r>
      <w:r>
        <w:rPr>
          <w:color w:val="211F1F"/>
          <w:spacing w:val="-14"/>
        </w:rPr>
        <w:t xml:space="preserve"> </w:t>
      </w:r>
      <w:r>
        <w:rPr>
          <w:color w:val="211F1F"/>
        </w:rPr>
        <w:t>I</w:t>
      </w:r>
      <w:r>
        <w:rPr>
          <w:color w:val="211F1F"/>
          <w:spacing w:val="-14"/>
        </w:rPr>
        <w:t xml:space="preserve"> </w:t>
      </w:r>
      <w:r>
        <w:rPr>
          <w:color w:val="211F1F"/>
        </w:rPr>
        <w:t>certify</w:t>
      </w:r>
      <w:r>
        <w:rPr>
          <w:color w:val="211F1F"/>
          <w:spacing w:val="-17"/>
        </w:rPr>
        <w:t xml:space="preserve"> </w:t>
      </w:r>
      <w:r>
        <w:rPr>
          <w:color w:val="211F1F"/>
        </w:rPr>
        <w:t>that</w:t>
      </w:r>
      <w:r>
        <w:rPr>
          <w:color w:val="211F1F"/>
          <w:spacing w:val="-13"/>
        </w:rPr>
        <w:t xml:space="preserve"> </w:t>
      </w:r>
      <w:r>
        <w:rPr>
          <w:color w:val="211F1F"/>
        </w:rPr>
        <w:t>the</w:t>
      </w:r>
      <w:r>
        <w:rPr>
          <w:color w:val="211F1F"/>
          <w:spacing w:val="-19"/>
        </w:rPr>
        <w:t xml:space="preserve"> </w:t>
      </w:r>
      <w:r>
        <w:rPr>
          <w:color w:val="211F1F"/>
        </w:rPr>
        <w:t>information</w:t>
      </w:r>
      <w:r>
        <w:rPr>
          <w:color w:val="211F1F"/>
          <w:spacing w:val="-16"/>
        </w:rPr>
        <w:t xml:space="preserve"> </w:t>
      </w:r>
      <w:r>
        <w:rPr>
          <w:color w:val="211F1F"/>
        </w:rPr>
        <w:t>given</w:t>
      </w:r>
      <w:r>
        <w:rPr>
          <w:color w:val="211F1F"/>
          <w:spacing w:val="-13"/>
        </w:rPr>
        <w:t xml:space="preserve"> </w:t>
      </w:r>
      <w:r>
        <w:rPr>
          <w:color w:val="211F1F"/>
        </w:rPr>
        <w:t>above</w:t>
      </w:r>
      <w:r>
        <w:rPr>
          <w:color w:val="211F1F"/>
          <w:spacing w:val="-14"/>
        </w:rPr>
        <w:t xml:space="preserve"> </w:t>
      </w:r>
      <w:r>
        <w:rPr>
          <w:color w:val="211F1F"/>
        </w:rPr>
        <w:t>is</w:t>
      </w:r>
      <w:r>
        <w:rPr>
          <w:color w:val="211F1F"/>
          <w:spacing w:val="-9"/>
        </w:rPr>
        <w:t xml:space="preserve"> </w:t>
      </w:r>
      <w:r>
        <w:rPr>
          <w:color w:val="211F1F"/>
        </w:rPr>
        <w:t>complete,</w:t>
      </w:r>
      <w:r>
        <w:rPr>
          <w:color w:val="211F1F"/>
          <w:spacing w:val="-6"/>
        </w:rPr>
        <w:t xml:space="preserve"> </w:t>
      </w:r>
      <w:r>
        <w:rPr>
          <w:color w:val="211F1F"/>
        </w:rPr>
        <w:t>current</w:t>
      </w:r>
      <w:r>
        <w:rPr>
          <w:color w:val="211F1F"/>
          <w:spacing w:val="-8"/>
        </w:rPr>
        <w:t xml:space="preserve"> </w:t>
      </w:r>
      <w:r>
        <w:rPr>
          <w:color w:val="211F1F"/>
        </w:rPr>
        <w:t>and</w:t>
      </w:r>
      <w:r>
        <w:rPr>
          <w:color w:val="211F1F"/>
          <w:spacing w:val="-17"/>
        </w:rPr>
        <w:t xml:space="preserve"> </w:t>
      </w:r>
      <w:r>
        <w:rPr>
          <w:color w:val="211F1F"/>
        </w:rPr>
        <w:t>accurate</w:t>
      </w:r>
      <w:r>
        <w:rPr>
          <w:color w:val="211F1F"/>
          <w:spacing w:val="-18"/>
        </w:rPr>
        <w:t xml:space="preserve"> </w:t>
      </w:r>
      <w:r>
        <w:rPr>
          <w:color w:val="211F1F"/>
        </w:rPr>
        <w:t>as</w:t>
      </w:r>
      <w:r>
        <w:rPr>
          <w:color w:val="211F1F"/>
          <w:spacing w:val="-14"/>
        </w:rPr>
        <w:t xml:space="preserve"> </w:t>
      </w:r>
      <w:r>
        <w:rPr>
          <w:color w:val="211F1F"/>
        </w:rPr>
        <w:t>at</w:t>
      </w:r>
      <w:r>
        <w:rPr>
          <w:color w:val="211F1F"/>
          <w:spacing w:val="-13"/>
        </w:rPr>
        <w:t xml:space="preserve"> </w:t>
      </w:r>
      <w:r>
        <w:rPr>
          <w:color w:val="211F1F"/>
        </w:rPr>
        <w:t>the</w:t>
      </w:r>
      <w:r>
        <w:rPr>
          <w:color w:val="211F1F"/>
          <w:spacing w:val="-18"/>
        </w:rPr>
        <w:t xml:space="preserve"> </w:t>
      </w:r>
      <w:r>
        <w:rPr>
          <w:color w:val="211F1F"/>
        </w:rPr>
        <w:t>date</w:t>
      </w:r>
      <w:r>
        <w:rPr>
          <w:color w:val="211F1F"/>
          <w:spacing w:val="-14"/>
        </w:rPr>
        <w:t xml:space="preserve"> </w:t>
      </w:r>
      <w:r>
        <w:rPr>
          <w:color w:val="211F1F"/>
        </w:rPr>
        <w:t xml:space="preserve">of </w:t>
      </w:r>
      <w:r>
        <w:rPr>
          <w:color w:val="211F1F"/>
          <w:spacing w:val="-2"/>
        </w:rPr>
        <w:t>submission.</w:t>
      </w:r>
    </w:p>
    <w:p w14:paraId="73E5C3F9" w14:textId="77777777" w:rsidR="00BB77C0" w:rsidRDefault="00370BAA">
      <w:pPr>
        <w:pStyle w:val="BodyText"/>
        <w:tabs>
          <w:tab w:val="left" w:pos="10117"/>
        </w:tabs>
        <w:spacing w:before="238"/>
        <w:ind w:left="490"/>
      </w:pPr>
      <w:r>
        <w:rPr>
          <w:color w:val="211F1F"/>
          <w:spacing w:val="-2"/>
        </w:rPr>
        <w:t>Full</w:t>
      </w:r>
      <w:r>
        <w:rPr>
          <w:color w:val="211F1F"/>
          <w:spacing w:val="-20"/>
        </w:rPr>
        <w:t xml:space="preserve"> </w:t>
      </w:r>
      <w:r>
        <w:rPr>
          <w:color w:val="211F1F"/>
          <w:spacing w:val="-4"/>
        </w:rPr>
        <w:t>Name</w:t>
      </w:r>
      <w:r>
        <w:rPr>
          <w:color w:val="211F1F"/>
          <w:u w:val="single" w:color="201E1F"/>
        </w:rPr>
        <w:tab/>
      </w:r>
      <w:r>
        <w:rPr>
          <w:color w:val="211F1F"/>
          <w:spacing w:val="-2"/>
        </w:rPr>
        <w:t>Title</w:t>
      </w:r>
      <w:r>
        <w:rPr>
          <w:color w:val="211F1F"/>
          <w:spacing w:val="-23"/>
        </w:rPr>
        <w:t xml:space="preserve"> </w:t>
      </w:r>
      <w:r>
        <w:rPr>
          <w:color w:val="211F1F"/>
          <w:spacing w:val="-5"/>
        </w:rPr>
        <w:t>or</w:t>
      </w:r>
    </w:p>
    <w:p w14:paraId="509C1E4B" w14:textId="77777777" w:rsidR="00BB77C0" w:rsidRDefault="00370BAA">
      <w:pPr>
        <w:pStyle w:val="BodyText"/>
        <w:tabs>
          <w:tab w:val="left" w:pos="10220"/>
        </w:tabs>
        <w:spacing w:before="236"/>
        <w:ind w:left="490"/>
      </w:pPr>
      <w:r>
        <w:rPr>
          <w:color w:val="211F1F"/>
          <w:spacing w:val="-2"/>
        </w:rPr>
        <w:t>Designation</w:t>
      </w:r>
      <w:r>
        <w:rPr>
          <w:color w:val="211F1F"/>
          <w:u w:val="single" w:color="201E1F"/>
        </w:rPr>
        <w:tab/>
      </w:r>
    </w:p>
    <w:p w14:paraId="10430063" w14:textId="77777777" w:rsidR="00BB77C0" w:rsidRDefault="00BB77C0">
      <w:pPr>
        <w:pStyle w:val="BodyText"/>
        <w:spacing w:before="99"/>
      </w:pPr>
    </w:p>
    <w:p w14:paraId="757280F9" w14:textId="77777777" w:rsidR="00BB77C0" w:rsidRDefault="00370BAA">
      <w:pPr>
        <w:tabs>
          <w:tab w:val="left" w:pos="1930"/>
          <w:tab w:val="left" w:pos="5330"/>
          <w:tab w:val="left" w:pos="5858"/>
          <w:tab w:val="left" w:pos="6890"/>
          <w:tab w:val="left" w:pos="9930"/>
        </w:tabs>
        <w:spacing w:before="1"/>
        <w:ind w:left="490"/>
        <w:rPr>
          <w:i/>
        </w:rPr>
      </w:pPr>
      <w:r>
        <w:rPr>
          <w:i/>
          <w:strike/>
          <w:color w:val="211F1F"/>
        </w:rPr>
        <w:tab/>
      </w:r>
      <w:r>
        <w:rPr>
          <w:i/>
          <w:strike/>
          <w:color w:val="211F1F"/>
          <w:spacing w:val="-2"/>
        </w:rPr>
        <w:t>(Signature)</w:t>
      </w:r>
      <w:r>
        <w:rPr>
          <w:i/>
          <w:strike/>
          <w:color w:val="211F1F"/>
        </w:rPr>
        <w:tab/>
      </w:r>
      <w:r>
        <w:rPr>
          <w:i/>
          <w:color w:val="211F1F"/>
        </w:rPr>
        <w:tab/>
      </w:r>
      <w:r>
        <w:rPr>
          <w:i/>
          <w:strike/>
          <w:color w:val="211F1F"/>
        </w:rPr>
        <w:tab/>
      </w:r>
      <w:r>
        <w:rPr>
          <w:i/>
          <w:strike/>
          <w:color w:val="211F1F"/>
          <w:spacing w:val="-2"/>
        </w:rPr>
        <w:t>(Date)</w:t>
      </w:r>
      <w:r>
        <w:rPr>
          <w:i/>
          <w:strike/>
          <w:color w:val="211F1F"/>
        </w:rPr>
        <w:tab/>
      </w:r>
    </w:p>
    <w:p w14:paraId="44CAB456" w14:textId="77777777" w:rsidR="00BB77C0" w:rsidRDefault="00BB77C0">
      <w:pPr>
        <w:rPr>
          <w:i/>
        </w:rPr>
        <w:sectPr w:rsidR="00BB77C0">
          <w:pgSz w:w="11920" w:h="16850"/>
          <w:pgMar w:top="0" w:right="0" w:bottom="0" w:left="360" w:header="720" w:footer="720" w:gutter="0"/>
          <w:cols w:space="720"/>
        </w:sectPr>
      </w:pPr>
    </w:p>
    <w:p w14:paraId="2F752607" w14:textId="77777777" w:rsidR="00BB77C0" w:rsidRDefault="00370BAA">
      <w:pPr>
        <w:pStyle w:val="BodyText"/>
        <w:spacing w:before="43"/>
        <w:rPr>
          <w:i/>
          <w:sz w:val="24"/>
        </w:rPr>
      </w:pPr>
      <w:r>
        <w:rPr>
          <w:i/>
          <w:noProof/>
          <w:sz w:val="24"/>
        </w:rPr>
        <w:lastRenderedPageBreak/>
        <mc:AlternateContent>
          <mc:Choice Requires="wpg">
            <w:drawing>
              <wp:anchor distT="0" distB="0" distL="0" distR="0" simplePos="0" relativeHeight="15760896" behindDoc="0" locked="0" layoutInCell="1" allowOverlap="1" wp14:anchorId="21B1EA5E" wp14:editId="4178CDB9">
                <wp:simplePos x="0" y="0"/>
                <wp:positionH relativeFrom="page">
                  <wp:posOffset>0</wp:posOffset>
                </wp:positionH>
                <wp:positionV relativeFrom="page">
                  <wp:posOffset>10234295</wp:posOffset>
                </wp:positionV>
                <wp:extent cx="7561580" cy="459105"/>
                <wp:effectExtent l="0" t="0" r="0" b="0"/>
                <wp:wrapNone/>
                <wp:docPr id="264" name="Group 2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1580" cy="459105"/>
                          <a:chOff x="0" y="0"/>
                          <a:chExt cx="7561580" cy="459105"/>
                        </a:xfrm>
                      </wpg:grpSpPr>
                      <wps:wsp>
                        <wps:cNvPr id="265" name="Graphic 265"/>
                        <wps:cNvSpPr/>
                        <wps:spPr>
                          <a:xfrm>
                            <a:off x="6449059" y="5714"/>
                            <a:ext cx="1110615" cy="451484"/>
                          </a:xfrm>
                          <a:custGeom>
                            <a:avLst/>
                            <a:gdLst/>
                            <a:ahLst/>
                            <a:cxnLst/>
                            <a:rect l="l" t="t" r="r" b="b"/>
                            <a:pathLst>
                              <a:path w="1110615" h="451484">
                                <a:moveTo>
                                  <a:pt x="1110614" y="0"/>
                                </a:moveTo>
                                <a:lnTo>
                                  <a:pt x="0" y="0"/>
                                </a:lnTo>
                                <a:lnTo>
                                  <a:pt x="260349" y="451483"/>
                                </a:lnTo>
                                <a:lnTo>
                                  <a:pt x="1110614" y="451483"/>
                                </a:lnTo>
                                <a:lnTo>
                                  <a:pt x="1110614" y="0"/>
                                </a:lnTo>
                                <a:close/>
                              </a:path>
                            </a:pathLst>
                          </a:custGeom>
                          <a:solidFill>
                            <a:srgbClr val="FAD2C1"/>
                          </a:solidFill>
                        </wps:spPr>
                        <wps:bodyPr wrap="square" lIns="0" tIns="0" rIns="0" bIns="0" rtlCol="0">
                          <a:prstTxWarp prst="textNoShape">
                            <a:avLst/>
                          </a:prstTxWarp>
                          <a:noAutofit/>
                        </wps:bodyPr>
                      </wps:wsp>
                      <wps:wsp>
                        <wps:cNvPr id="266" name="Graphic 266"/>
                        <wps:cNvSpPr/>
                        <wps:spPr>
                          <a:xfrm>
                            <a:off x="6449059" y="5714"/>
                            <a:ext cx="1110615" cy="451484"/>
                          </a:xfrm>
                          <a:custGeom>
                            <a:avLst/>
                            <a:gdLst/>
                            <a:ahLst/>
                            <a:cxnLst/>
                            <a:rect l="l" t="t" r="r" b="b"/>
                            <a:pathLst>
                              <a:path w="1110615" h="451484">
                                <a:moveTo>
                                  <a:pt x="0" y="0"/>
                                </a:moveTo>
                                <a:lnTo>
                                  <a:pt x="1110614" y="0"/>
                                </a:lnTo>
                                <a:lnTo>
                                  <a:pt x="1110614" y="451483"/>
                                </a:lnTo>
                                <a:lnTo>
                                  <a:pt x="260349" y="451483"/>
                                </a:lnTo>
                                <a:lnTo>
                                  <a:pt x="0" y="0"/>
                                </a:lnTo>
                              </a:path>
                            </a:pathLst>
                          </a:custGeom>
                          <a:ln w="3051">
                            <a:solidFill>
                              <a:srgbClr val="FAD2C1"/>
                            </a:solidFill>
                            <a:prstDash val="solid"/>
                          </a:ln>
                        </wps:spPr>
                        <wps:bodyPr wrap="square" lIns="0" tIns="0" rIns="0" bIns="0" rtlCol="0">
                          <a:prstTxWarp prst="textNoShape">
                            <a:avLst/>
                          </a:prstTxWarp>
                          <a:noAutofit/>
                        </wps:bodyPr>
                      </wps:wsp>
                      <wps:wsp>
                        <wps:cNvPr id="267" name="Graphic 267"/>
                        <wps:cNvSpPr/>
                        <wps:spPr>
                          <a:xfrm>
                            <a:off x="0" y="6350"/>
                            <a:ext cx="7560309" cy="1270"/>
                          </a:xfrm>
                          <a:custGeom>
                            <a:avLst/>
                            <a:gdLst/>
                            <a:ahLst/>
                            <a:cxnLst/>
                            <a:rect l="l" t="t" r="r" b="b"/>
                            <a:pathLst>
                              <a:path w="7560309">
                                <a:moveTo>
                                  <a:pt x="0" y="0"/>
                                </a:moveTo>
                                <a:lnTo>
                                  <a:pt x="7560309" y="0"/>
                                </a:lnTo>
                              </a:path>
                            </a:pathLst>
                          </a:custGeom>
                          <a:ln w="12700">
                            <a:solidFill>
                              <a:srgbClr val="FAD2C1"/>
                            </a:solidFill>
                            <a:prstDash val="solid"/>
                          </a:ln>
                        </wps:spPr>
                        <wps:bodyPr wrap="square" lIns="0" tIns="0" rIns="0" bIns="0" rtlCol="0">
                          <a:prstTxWarp prst="textNoShape">
                            <a:avLst/>
                          </a:prstTxWarp>
                          <a:noAutofit/>
                        </wps:bodyPr>
                      </wps:wsp>
                      <wps:wsp>
                        <wps:cNvPr id="268" name="Textbox 268"/>
                        <wps:cNvSpPr txBox="1"/>
                        <wps:spPr>
                          <a:xfrm>
                            <a:off x="6882130" y="37491"/>
                            <a:ext cx="147320" cy="155575"/>
                          </a:xfrm>
                          <a:prstGeom prst="rect">
                            <a:avLst/>
                          </a:prstGeom>
                        </wps:spPr>
                        <wps:txbx>
                          <w:txbxContent>
                            <w:p w14:paraId="3A3DF383" w14:textId="77777777" w:rsidR="00BB77C0" w:rsidRDefault="00370BAA">
                              <w:pPr>
                                <w:spacing w:line="244" w:lineRule="exact"/>
                              </w:pPr>
                              <w:r>
                                <w:rPr>
                                  <w:spacing w:val="-5"/>
                                </w:rPr>
                                <w:t>61</w:t>
                              </w:r>
                            </w:p>
                          </w:txbxContent>
                        </wps:txbx>
                        <wps:bodyPr wrap="square" lIns="0" tIns="0" rIns="0" bIns="0" rtlCol="0">
                          <a:noAutofit/>
                        </wps:bodyPr>
                      </wps:wsp>
                    </wpg:wgp>
                  </a:graphicData>
                </a:graphic>
              </wp:anchor>
            </w:drawing>
          </mc:Choice>
          <mc:Fallback>
            <w:pict>
              <v:group w14:anchorId="21B1EA5E" id="Group 264" o:spid="_x0000_s1141" style="position:absolute;margin-left:0;margin-top:805.85pt;width:595.4pt;height:36.15pt;z-index:15760896;mso-wrap-distance-left:0;mso-wrap-distance-right:0;mso-position-horizontal-relative:page;mso-position-vertical-relative:page" coordsize="75615,4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">
                <v:shape id="Graphic 265" o:spid="_x0000_s1142" style="position:absolute;left:64490;top:57;width:11106;height:4514;visibility:visible;mso-wrap-style:square;v-text-anchor:top" coordsize="1110615,4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" path="m1110614,l,,260349,451483r850265,l1110614,xe" fillcolor="#fad2c1" stroked="f">
                  <v:path arrowok="t"/>
                </v:shape>
                <v:shape id="Graphic 266" o:spid="_x0000_s1143" style="position:absolute;left:64490;top:57;width:11106;height:4514;visibility:visible;mso-wrap-style:square;v-text-anchor:top" coordsize="1110615,4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" path="m,l1110614,r,451483l260349,451483,,e" filled="f" strokecolor="#fad2c1" strokeweight=".08475mm">
                  <v:path arrowok="t"/>
                </v:shape>
                <v:shape id="Graphic 267" o:spid="_x0000_s1144" style="position:absolute;top:63;width:75603;height:13;visibility:visible;mso-wrap-style:square;v-text-anchor:top" coordsize="756030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" path="m,l7560309,e" filled="f" strokecolor="#fad2c1" strokeweight="1pt">
                  <v:path arrowok="t"/>
                </v:shape>
                <v:shape id="Textbox 268" o:spid="_x0000_s1145" type="#_x0000_t202" style="position:absolute;left:68821;top:374;width:1473;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" filled="f" stroked="f">
                  <v:textbox inset="0,0,0,0">
                    <w:txbxContent>
                      <w:p w14:paraId="3A3DF383" w14:textId="77777777" w:rsidR="00BB77C0" w:rsidRDefault="00370BAA">
                        <w:pPr>
                          <w:spacing w:line="244" w:lineRule="exact"/>
                        </w:pPr>
                        <w:r>
                          <w:rPr>
                            <w:spacing w:val="-5"/>
                          </w:rPr>
                          <w:t>61</w:t>
                        </w:r>
                      </w:p>
                    </w:txbxContent>
                  </v:textbox>
                </v:shape>
                <w10:wrap anchorx="page" anchory="page"/>
              </v:group>
            </w:pict>
          </mc:Fallback>
        </mc:AlternateContent>
      </w:r>
      <w:r>
        <w:rPr>
          <w:i/>
          <w:noProof/>
          <w:sz w:val="24"/>
        </w:rPr>
        <mc:AlternateContent>
          <mc:Choice Requires="wpg">
            <w:drawing>
              <wp:anchor distT="0" distB="0" distL="0" distR="0" simplePos="0" relativeHeight="15761408" behindDoc="0" locked="0" layoutInCell="1" allowOverlap="1" wp14:anchorId="5279072D" wp14:editId="08152271">
                <wp:simplePos x="0" y="0"/>
                <wp:positionH relativeFrom="page">
                  <wp:posOffset>0</wp:posOffset>
                </wp:positionH>
                <wp:positionV relativeFrom="page">
                  <wp:posOffset>0</wp:posOffset>
                </wp:positionV>
                <wp:extent cx="7559675" cy="228600"/>
                <wp:effectExtent l="0" t="0" r="0" b="0"/>
                <wp:wrapNone/>
                <wp:docPr id="269" name="Group 2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675" cy="228600"/>
                          <a:chOff x="0" y="0"/>
                          <a:chExt cx="7559675" cy="228600"/>
                        </a:xfrm>
                      </wpg:grpSpPr>
                      <wps:wsp>
                        <wps:cNvPr id="270" name="Graphic 270"/>
                        <wps:cNvSpPr/>
                        <wps:spPr>
                          <a:xfrm>
                            <a:off x="848283" y="0"/>
                            <a:ext cx="6711950" cy="228600"/>
                          </a:xfrm>
                          <a:custGeom>
                            <a:avLst/>
                            <a:gdLst/>
                            <a:ahLst/>
                            <a:cxnLst/>
                            <a:rect l="l" t="t" r="r" b="b"/>
                            <a:pathLst>
                              <a:path w="6711950" h="228600">
                                <a:moveTo>
                                  <a:pt x="6711391" y="0"/>
                                </a:moveTo>
                                <a:lnTo>
                                  <a:pt x="0" y="0"/>
                                </a:lnTo>
                                <a:lnTo>
                                  <a:pt x="184137" y="228600"/>
                                </a:lnTo>
                                <a:lnTo>
                                  <a:pt x="6711391" y="223520"/>
                                </a:lnTo>
                                <a:lnTo>
                                  <a:pt x="6711391" y="0"/>
                                </a:lnTo>
                                <a:close/>
                              </a:path>
                            </a:pathLst>
                          </a:custGeom>
                          <a:solidFill>
                            <a:srgbClr val="E6E7E8"/>
                          </a:solidFill>
                        </wps:spPr>
                        <wps:bodyPr wrap="square" lIns="0" tIns="0" rIns="0" bIns="0" rtlCol="0">
                          <a:prstTxWarp prst="textNoShape">
                            <a:avLst/>
                          </a:prstTxWarp>
                          <a:noAutofit/>
                        </wps:bodyPr>
                      </wps:wsp>
                      <wps:wsp>
                        <wps:cNvPr id="271" name="Graphic 271"/>
                        <wps:cNvSpPr/>
                        <wps:spPr>
                          <a:xfrm>
                            <a:off x="0" y="0"/>
                            <a:ext cx="655955" cy="228600"/>
                          </a:xfrm>
                          <a:custGeom>
                            <a:avLst/>
                            <a:gdLst/>
                            <a:ahLst/>
                            <a:cxnLst/>
                            <a:rect l="l" t="t" r="r" b="b"/>
                            <a:pathLst>
                              <a:path w="655955" h="228600">
                                <a:moveTo>
                                  <a:pt x="530174" y="0"/>
                                </a:moveTo>
                                <a:lnTo>
                                  <a:pt x="0" y="0"/>
                                </a:lnTo>
                                <a:lnTo>
                                  <a:pt x="0" y="228600"/>
                                </a:lnTo>
                                <a:lnTo>
                                  <a:pt x="655904" y="228600"/>
                                </a:lnTo>
                                <a:lnTo>
                                  <a:pt x="530174" y="0"/>
                                </a:lnTo>
                                <a:close/>
                              </a:path>
                            </a:pathLst>
                          </a:custGeom>
                          <a:solidFill>
                            <a:srgbClr val="00A650"/>
                          </a:solidFill>
                        </wps:spPr>
                        <wps:bodyPr wrap="square" lIns="0" tIns="0" rIns="0" bIns="0" rtlCol="0">
                          <a:prstTxWarp prst="textNoShape">
                            <a:avLst/>
                          </a:prstTxWarp>
                          <a:noAutofit/>
                        </wps:bodyPr>
                      </wps:wsp>
                      <wps:wsp>
                        <wps:cNvPr id="272" name="Graphic 272"/>
                        <wps:cNvSpPr/>
                        <wps:spPr>
                          <a:xfrm>
                            <a:off x="554304" y="0"/>
                            <a:ext cx="329565" cy="228600"/>
                          </a:xfrm>
                          <a:custGeom>
                            <a:avLst/>
                            <a:gdLst/>
                            <a:ahLst/>
                            <a:cxnLst/>
                            <a:rect l="l" t="t" r="r" b="b"/>
                            <a:pathLst>
                              <a:path w="329565" h="228600">
                                <a:moveTo>
                                  <a:pt x="203822" y="0"/>
                                </a:moveTo>
                                <a:lnTo>
                                  <a:pt x="0" y="0"/>
                                </a:lnTo>
                                <a:lnTo>
                                  <a:pt x="128904" y="228600"/>
                                </a:lnTo>
                                <a:lnTo>
                                  <a:pt x="329539" y="228600"/>
                                </a:lnTo>
                                <a:lnTo>
                                  <a:pt x="203822" y="0"/>
                                </a:lnTo>
                                <a:close/>
                              </a:path>
                            </a:pathLst>
                          </a:custGeom>
                          <a:solidFill>
                            <a:srgbClr val="EB1C22"/>
                          </a:solidFill>
                        </wps:spPr>
                        <wps:bodyPr wrap="square" lIns="0" tIns="0" rIns="0" bIns="0" rtlCol="0">
                          <a:prstTxWarp prst="textNoShape">
                            <a:avLst/>
                          </a:prstTxWarp>
                          <a:noAutofit/>
                        </wps:bodyPr>
                      </wps:wsp>
                      <wps:wsp>
                        <wps:cNvPr id="273" name="Graphic 273"/>
                        <wps:cNvSpPr/>
                        <wps:spPr>
                          <a:xfrm>
                            <a:off x="783526" y="0"/>
                            <a:ext cx="329565" cy="228600"/>
                          </a:xfrm>
                          <a:custGeom>
                            <a:avLst/>
                            <a:gdLst/>
                            <a:ahLst/>
                            <a:cxnLst/>
                            <a:rect l="l" t="t" r="r" b="b"/>
                            <a:pathLst>
                              <a:path w="329565" h="228600">
                                <a:moveTo>
                                  <a:pt x="203822" y="0"/>
                                </a:moveTo>
                                <a:lnTo>
                                  <a:pt x="0" y="0"/>
                                </a:lnTo>
                                <a:lnTo>
                                  <a:pt x="128879" y="228600"/>
                                </a:lnTo>
                                <a:lnTo>
                                  <a:pt x="329539" y="228600"/>
                                </a:lnTo>
                                <a:lnTo>
                                  <a:pt x="203822" y="0"/>
                                </a:lnTo>
                                <a:close/>
                              </a:path>
                            </a:pathLst>
                          </a:custGeom>
                          <a:solidFill>
                            <a:srgbClr val="A7A9AC"/>
                          </a:solidFill>
                        </wps:spPr>
                        <wps:bodyPr wrap="square" lIns="0" tIns="0" rIns="0" bIns="0" rtlCol="0">
                          <a:prstTxWarp prst="textNoShape">
                            <a:avLst/>
                          </a:prstTxWarp>
                          <a:noAutofit/>
                        </wps:bodyPr>
                      </wps:wsp>
                    </wpg:wgp>
                  </a:graphicData>
                </a:graphic>
              </wp:anchor>
            </w:drawing>
          </mc:Choice>
          <mc:Fallback>
            <w:pict>
              <v:group w14:anchorId="2AA27DC7" id="Group 269" o:spid="_x0000_s1026" style="position:absolute;margin-left:0;margin-top:0;width:595.25pt;height:18pt;z-index:15761408;mso-wrap-distance-left:0;mso-wrap-distance-right:0;mso-position-horizontal-relative:page;mso-position-vertical-relative:page" coordsize="75596,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">
                <v:shape id="Graphic 270" o:spid="_x0000_s1027" style="position:absolute;left:8482;width:67120;height:2286;visibility:visible;mso-wrap-style:square;v-text-anchor:top" coordsize="67119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" path="m6711391,l,,184137,228600r6527254,-5080l6711391,xe" fillcolor="#e6e7e8" stroked="f">
                  <v:path arrowok="t"/>
                </v:shape>
                <v:shape id="Graphic 271" o:spid="_x0000_s1028" style="position:absolute;width:6559;height:2286;visibility:visible;mso-wrap-style:square;v-text-anchor:top" coordsize="65595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" path="m530174,l,,,228600r655904,l530174,xe" fillcolor="#00a650" stroked="f">
                  <v:path arrowok="t"/>
                </v:shape>
                <v:shape id="Graphic 272" o:spid="_x0000_s1029" style="position:absolute;left:5543;width:3295;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" path="m203822,l,,128904,228600r200635,l203822,xe" fillcolor="#eb1c22" stroked="f">
                  <v:path arrowok="t"/>
                </v:shape>
                <v:shape id="Graphic 273" o:spid="_x0000_s1030" style="position:absolute;left:7835;width:3295;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" path="m203822,l,,128879,228600r200660,l203822,xe" fillcolor="#a7a9ac" stroked="f">
                  <v:path arrowok="t"/>
                </v:shape>
                <w10:wrap anchorx="page" anchory="page"/>
              </v:group>
            </w:pict>
          </mc:Fallback>
        </mc:AlternateContent>
      </w:r>
    </w:p>
    <w:p w14:paraId="3C40ABC4" w14:textId="77777777" w:rsidR="00BB77C0" w:rsidRDefault="00370BAA">
      <w:pPr>
        <w:pStyle w:val="Heading5"/>
        <w:numPr>
          <w:ilvl w:val="0"/>
          <w:numId w:val="46"/>
        </w:numPr>
        <w:tabs>
          <w:tab w:val="left" w:pos="916"/>
        </w:tabs>
        <w:spacing w:before="1"/>
        <w:ind w:left="916" w:hanging="431"/>
        <w:jc w:val="both"/>
      </w:pPr>
      <w:bookmarkStart w:id="164" w:name="B._CERTIFICATE_OF_INDEPENDENTTENDERDETER"/>
      <w:bookmarkEnd w:id="164"/>
      <w:r>
        <w:rPr>
          <w:color w:val="211F1F"/>
          <w:spacing w:val="-6"/>
        </w:rPr>
        <w:t>CERTIFICATE</w:t>
      </w:r>
      <w:r>
        <w:rPr>
          <w:color w:val="211F1F"/>
          <w:spacing w:val="-21"/>
        </w:rPr>
        <w:t xml:space="preserve"> </w:t>
      </w:r>
      <w:r>
        <w:rPr>
          <w:color w:val="211F1F"/>
          <w:spacing w:val="-6"/>
        </w:rPr>
        <w:t>OF</w:t>
      </w:r>
      <w:r>
        <w:rPr>
          <w:color w:val="211F1F"/>
          <w:spacing w:val="-15"/>
        </w:rPr>
        <w:t xml:space="preserve"> </w:t>
      </w:r>
      <w:r>
        <w:rPr>
          <w:color w:val="211F1F"/>
          <w:spacing w:val="-18"/>
        </w:rPr>
        <w:t>INDEPENDENTTENDERDETERMINATION</w:t>
      </w:r>
    </w:p>
    <w:p w14:paraId="180A5426" w14:textId="77777777" w:rsidR="00BB77C0" w:rsidRDefault="00370BAA">
      <w:pPr>
        <w:pStyle w:val="BodyText"/>
        <w:tabs>
          <w:tab w:val="left" w:pos="7707"/>
          <w:tab w:val="left" w:pos="8110"/>
          <w:tab w:val="left" w:pos="9820"/>
        </w:tabs>
        <w:spacing w:before="236" w:line="230" w:lineRule="auto"/>
        <w:ind w:left="485" w:right="711"/>
        <w:jc w:val="both"/>
      </w:pPr>
      <w:r>
        <w:rPr>
          <w:color w:val="211F1F"/>
        </w:rPr>
        <w:t>I, the undersigned, in submitting the accompanying Letter of Tender to</w:t>
      </w:r>
      <w:r>
        <w:rPr>
          <w:color w:val="211F1F"/>
          <w:spacing w:val="40"/>
        </w:rPr>
        <w:t xml:space="preserve"> </w:t>
      </w:r>
      <w:r>
        <w:rPr>
          <w:color w:val="211F1F"/>
        </w:rPr>
        <w:t>the</w:t>
      </w:r>
      <w:r>
        <w:rPr>
          <w:color w:val="211F1F"/>
          <w:u w:val="single" w:color="201E1F"/>
        </w:rPr>
        <w:tab/>
      </w:r>
      <w:r>
        <w:rPr>
          <w:color w:val="211F1F"/>
          <w:u w:val="single" w:color="201E1F"/>
        </w:rPr>
        <w:tab/>
      </w:r>
      <w:r>
        <w:rPr>
          <w:color w:val="211F1F"/>
          <w:u w:val="single" w:color="201E1F"/>
        </w:rPr>
        <w:tab/>
      </w:r>
      <w:r>
        <w:rPr>
          <w:color w:val="211F1F"/>
        </w:rPr>
        <w:t>[Name of Procuring Entity] for:</w:t>
      </w:r>
      <w:r>
        <w:rPr>
          <w:color w:val="211F1F"/>
          <w:u w:val="single" w:color="201E1F"/>
        </w:rPr>
        <w:tab/>
      </w:r>
      <w:r>
        <w:rPr>
          <w:color w:val="211F1F"/>
        </w:rPr>
        <w:t>[Name and number of tender] in response to the request for tenders made by:</w:t>
      </w:r>
      <w:r>
        <w:rPr>
          <w:color w:val="211F1F"/>
          <w:u w:val="single" w:color="201E1F"/>
        </w:rPr>
        <w:tab/>
      </w:r>
      <w:r>
        <w:rPr>
          <w:color w:val="211F1F"/>
          <w:u w:val="single" w:color="201E1F"/>
        </w:rPr>
        <w:tab/>
      </w:r>
      <w:r>
        <w:rPr>
          <w:color w:val="211F1F"/>
        </w:rPr>
        <w:t>[Name of Tenderer] do hereby make</w:t>
      </w:r>
      <w:r>
        <w:rPr>
          <w:color w:val="211F1F"/>
          <w:spacing w:val="-9"/>
        </w:rPr>
        <w:t xml:space="preserve"> </w:t>
      </w:r>
      <w:r>
        <w:rPr>
          <w:color w:val="211F1F"/>
        </w:rPr>
        <w:t>the</w:t>
      </w:r>
      <w:r>
        <w:rPr>
          <w:color w:val="211F1F"/>
          <w:spacing w:val="-9"/>
        </w:rPr>
        <w:t xml:space="preserve"> </w:t>
      </w:r>
      <w:r>
        <w:rPr>
          <w:color w:val="211F1F"/>
        </w:rPr>
        <w:t>following</w:t>
      </w:r>
      <w:r>
        <w:rPr>
          <w:color w:val="211F1F"/>
          <w:spacing w:val="-5"/>
        </w:rPr>
        <w:t xml:space="preserve"> </w:t>
      </w:r>
      <w:r>
        <w:rPr>
          <w:color w:val="211F1F"/>
        </w:rPr>
        <w:t>statements that I</w:t>
      </w:r>
      <w:r>
        <w:rPr>
          <w:color w:val="211F1F"/>
          <w:spacing w:val="-2"/>
        </w:rPr>
        <w:t xml:space="preserve"> </w:t>
      </w:r>
      <w:r>
        <w:rPr>
          <w:color w:val="211F1F"/>
        </w:rPr>
        <w:t>certify</w:t>
      </w:r>
      <w:r>
        <w:rPr>
          <w:color w:val="211F1F"/>
          <w:spacing w:val="-11"/>
        </w:rPr>
        <w:t xml:space="preserve"> </w:t>
      </w:r>
      <w:r>
        <w:rPr>
          <w:color w:val="211F1F"/>
        </w:rPr>
        <w:t>to</w:t>
      </w:r>
      <w:r>
        <w:rPr>
          <w:color w:val="211F1F"/>
          <w:spacing w:val="-6"/>
        </w:rPr>
        <w:t xml:space="preserve"> </w:t>
      </w:r>
      <w:r>
        <w:rPr>
          <w:color w:val="211F1F"/>
        </w:rPr>
        <w:t>be</w:t>
      </w:r>
      <w:r>
        <w:rPr>
          <w:color w:val="211F1F"/>
          <w:spacing w:val="-9"/>
        </w:rPr>
        <w:t xml:space="preserve"> </w:t>
      </w:r>
      <w:r>
        <w:rPr>
          <w:color w:val="211F1F"/>
        </w:rPr>
        <w:t>true</w:t>
      </w:r>
      <w:r>
        <w:rPr>
          <w:color w:val="211F1F"/>
          <w:spacing w:val="-7"/>
        </w:rPr>
        <w:t xml:space="preserve"> </w:t>
      </w:r>
      <w:r>
        <w:rPr>
          <w:color w:val="211F1F"/>
        </w:rPr>
        <w:t>and</w:t>
      </w:r>
      <w:r>
        <w:rPr>
          <w:color w:val="211F1F"/>
          <w:spacing w:val="-6"/>
        </w:rPr>
        <w:t xml:space="preserve"> </w:t>
      </w:r>
      <w:r>
        <w:rPr>
          <w:color w:val="211F1F"/>
        </w:rPr>
        <w:t>complete</w:t>
      </w:r>
      <w:r>
        <w:rPr>
          <w:color w:val="211F1F"/>
          <w:spacing w:val="-1"/>
        </w:rPr>
        <w:t xml:space="preserve"> </w:t>
      </w:r>
      <w:r>
        <w:rPr>
          <w:color w:val="211F1F"/>
        </w:rPr>
        <w:t>in every</w:t>
      </w:r>
      <w:r>
        <w:rPr>
          <w:color w:val="211F1F"/>
          <w:spacing w:val="-6"/>
        </w:rPr>
        <w:t xml:space="preserve"> </w:t>
      </w:r>
      <w:r>
        <w:rPr>
          <w:color w:val="211F1F"/>
        </w:rPr>
        <w:t>respect:</w:t>
      </w:r>
    </w:p>
    <w:p w14:paraId="5F4AF664" w14:textId="77777777" w:rsidR="00BB77C0" w:rsidRDefault="00370BAA">
      <w:pPr>
        <w:pStyle w:val="BodyText"/>
        <w:tabs>
          <w:tab w:val="left" w:pos="7351"/>
        </w:tabs>
        <w:spacing w:before="239"/>
        <w:ind w:left="485"/>
        <w:jc w:val="both"/>
      </w:pPr>
      <w:r>
        <w:rPr>
          <w:color w:val="211F1F"/>
          <w:spacing w:val="-4"/>
        </w:rPr>
        <w:t>I</w:t>
      </w:r>
      <w:r>
        <w:rPr>
          <w:color w:val="211F1F"/>
          <w:spacing w:val="-15"/>
        </w:rPr>
        <w:t xml:space="preserve"> </w:t>
      </w:r>
      <w:r>
        <w:rPr>
          <w:color w:val="211F1F"/>
          <w:spacing w:val="-4"/>
        </w:rPr>
        <w:t>certify,</w:t>
      </w:r>
      <w:r>
        <w:rPr>
          <w:color w:val="211F1F"/>
          <w:spacing w:val="-12"/>
        </w:rPr>
        <w:t xml:space="preserve"> </w:t>
      </w:r>
      <w:r>
        <w:rPr>
          <w:color w:val="211F1F"/>
          <w:spacing w:val="-4"/>
        </w:rPr>
        <w:t>on</w:t>
      </w:r>
      <w:r>
        <w:rPr>
          <w:color w:val="211F1F"/>
          <w:spacing w:val="-14"/>
        </w:rPr>
        <w:t xml:space="preserve"> </w:t>
      </w:r>
      <w:r>
        <w:rPr>
          <w:color w:val="211F1F"/>
          <w:spacing w:val="-4"/>
        </w:rPr>
        <w:t>behalf</w:t>
      </w:r>
      <w:r>
        <w:rPr>
          <w:color w:val="211F1F"/>
          <w:spacing w:val="-11"/>
        </w:rPr>
        <w:t xml:space="preserve"> </w:t>
      </w:r>
      <w:r>
        <w:rPr>
          <w:color w:val="211F1F"/>
          <w:spacing w:val="-5"/>
        </w:rPr>
        <w:t>of</w:t>
      </w:r>
      <w:r>
        <w:rPr>
          <w:color w:val="211F1F"/>
          <w:u w:val="single" w:color="201E1F"/>
        </w:rPr>
        <w:tab/>
      </w:r>
      <w:r>
        <w:rPr>
          <w:color w:val="211F1F"/>
          <w:spacing w:val="-2"/>
        </w:rPr>
        <w:t>[Name</w:t>
      </w:r>
      <w:r>
        <w:rPr>
          <w:color w:val="211F1F"/>
          <w:spacing w:val="-23"/>
        </w:rPr>
        <w:t xml:space="preserve"> </w:t>
      </w:r>
      <w:r>
        <w:rPr>
          <w:color w:val="211F1F"/>
          <w:spacing w:val="-2"/>
        </w:rPr>
        <w:t>of</w:t>
      </w:r>
      <w:r>
        <w:rPr>
          <w:color w:val="211F1F"/>
          <w:spacing w:val="-23"/>
        </w:rPr>
        <w:t xml:space="preserve"> </w:t>
      </w:r>
      <w:r>
        <w:rPr>
          <w:color w:val="211F1F"/>
          <w:spacing w:val="-2"/>
        </w:rPr>
        <w:t>Tenderer]</w:t>
      </w:r>
      <w:r>
        <w:rPr>
          <w:color w:val="211F1F"/>
          <w:spacing w:val="-22"/>
        </w:rPr>
        <w:t xml:space="preserve"> </w:t>
      </w:r>
      <w:r>
        <w:rPr>
          <w:color w:val="211F1F"/>
          <w:spacing w:val="-2"/>
        </w:rPr>
        <w:t>that:</w:t>
      </w:r>
    </w:p>
    <w:p w14:paraId="59DB4A32" w14:textId="77777777" w:rsidR="00BB77C0" w:rsidRDefault="00370BAA">
      <w:pPr>
        <w:pStyle w:val="ListParagraph"/>
        <w:numPr>
          <w:ilvl w:val="0"/>
          <w:numId w:val="43"/>
        </w:numPr>
        <w:tabs>
          <w:tab w:val="left" w:pos="1050"/>
        </w:tabs>
        <w:spacing w:before="233"/>
        <w:ind w:left="1050" w:hanging="565"/>
        <w:jc w:val="both"/>
      </w:pPr>
      <w:r>
        <w:rPr>
          <w:color w:val="211F1F"/>
          <w:spacing w:val="-4"/>
        </w:rPr>
        <w:t>I</w:t>
      </w:r>
      <w:r>
        <w:rPr>
          <w:color w:val="211F1F"/>
          <w:spacing w:val="-6"/>
        </w:rPr>
        <w:t xml:space="preserve"> </w:t>
      </w:r>
      <w:r>
        <w:rPr>
          <w:color w:val="211F1F"/>
          <w:spacing w:val="-4"/>
        </w:rPr>
        <w:t>have</w:t>
      </w:r>
      <w:r>
        <w:rPr>
          <w:color w:val="211F1F"/>
          <w:spacing w:val="-15"/>
        </w:rPr>
        <w:t xml:space="preserve"> </w:t>
      </w:r>
      <w:r>
        <w:rPr>
          <w:color w:val="211F1F"/>
          <w:spacing w:val="-4"/>
        </w:rPr>
        <w:t>read</w:t>
      </w:r>
      <w:r>
        <w:rPr>
          <w:color w:val="211F1F"/>
          <w:spacing w:val="-14"/>
        </w:rPr>
        <w:t xml:space="preserve"> </w:t>
      </w:r>
      <w:r>
        <w:rPr>
          <w:color w:val="211F1F"/>
          <w:spacing w:val="-4"/>
        </w:rPr>
        <w:t>and</w:t>
      </w:r>
      <w:r>
        <w:rPr>
          <w:color w:val="211F1F"/>
          <w:spacing w:val="-15"/>
        </w:rPr>
        <w:t xml:space="preserve"> </w:t>
      </w:r>
      <w:r>
        <w:rPr>
          <w:color w:val="211F1F"/>
          <w:spacing w:val="-4"/>
        </w:rPr>
        <w:t>I</w:t>
      </w:r>
      <w:r>
        <w:rPr>
          <w:color w:val="211F1F"/>
          <w:spacing w:val="-11"/>
        </w:rPr>
        <w:t xml:space="preserve"> </w:t>
      </w:r>
      <w:r>
        <w:rPr>
          <w:color w:val="211F1F"/>
          <w:spacing w:val="-4"/>
        </w:rPr>
        <w:t>understand</w:t>
      </w:r>
      <w:r>
        <w:rPr>
          <w:color w:val="211F1F"/>
          <w:spacing w:val="-13"/>
        </w:rPr>
        <w:t xml:space="preserve"> </w:t>
      </w:r>
      <w:r>
        <w:rPr>
          <w:color w:val="211F1F"/>
          <w:spacing w:val="-4"/>
        </w:rPr>
        <w:t>the</w:t>
      </w:r>
      <w:r>
        <w:rPr>
          <w:color w:val="211F1F"/>
          <w:spacing w:val="-18"/>
        </w:rPr>
        <w:t xml:space="preserve"> </w:t>
      </w:r>
      <w:r>
        <w:rPr>
          <w:color w:val="211F1F"/>
          <w:spacing w:val="-4"/>
        </w:rPr>
        <w:t>contents</w:t>
      </w:r>
      <w:r>
        <w:rPr>
          <w:color w:val="211F1F"/>
          <w:spacing w:val="-1"/>
        </w:rPr>
        <w:t xml:space="preserve"> </w:t>
      </w:r>
      <w:r>
        <w:rPr>
          <w:color w:val="211F1F"/>
          <w:spacing w:val="-4"/>
        </w:rPr>
        <w:t>of</w:t>
      </w:r>
      <w:r>
        <w:rPr>
          <w:color w:val="211F1F"/>
          <w:spacing w:val="-16"/>
        </w:rPr>
        <w:t xml:space="preserve"> </w:t>
      </w:r>
      <w:r>
        <w:rPr>
          <w:color w:val="211F1F"/>
          <w:spacing w:val="-4"/>
        </w:rPr>
        <w:t>this</w:t>
      </w:r>
      <w:r>
        <w:rPr>
          <w:color w:val="211F1F"/>
          <w:spacing w:val="-7"/>
        </w:rPr>
        <w:t xml:space="preserve"> </w:t>
      </w:r>
      <w:r>
        <w:rPr>
          <w:color w:val="211F1F"/>
          <w:spacing w:val="-4"/>
        </w:rPr>
        <w:t>Certificate;</w:t>
      </w:r>
    </w:p>
    <w:p w14:paraId="4CBA4145" w14:textId="77777777" w:rsidR="00BB77C0" w:rsidRDefault="00370BAA">
      <w:pPr>
        <w:pStyle w:val="ListParagraph"/>
        <w:numPr>
          <w:ilvl w:val="0"/>
          <w:numId w:val="43"/>
        </w:numPr>
        <w:tabs>
          <w:tab w:val="left" w:pos="1051"/>
        </w:tabs>
        <w:spacing w:before="238" w:line="232" w:lineRule="auto"/>
        <w:ind w:right="920"/>
      </w:pPr>
      <w:r>
        <w:rPr>
          <w:color w:val="211F1F"/>
        </w:rPr>
        <w:t>I</w:t>
      </w:r>
      <w:r>
        <w:rPr>
          <w:color w:val="211F1F"/>
          <w:spacing w:val="-14"/>
        </w:rPr>
        <w:t xml:space="preserve"> </w:t>
      </w:r>
      <w:r>
        <w:rPr>
          <w:color w:val="211F1F"/>
        </w:rPr>
        <w:t>understand</w:t>
      </w:r>
      <w:r>
        <w:rPr>
          <w:color w:val="211F1F"/>
          <w:spacing w:val="-14"/>
        </w:rPr>
        <w:t xml:space="preserve"> </w:t>
      </w:r>
      <w:r>
        <w:rPr>
          <w:color w:val="211F1F"/>
        </w:rPr>
        <w:t>that</w:t>
      </w:r>
      <w:r>
        <w:rPr>
          <w:color w:val="211F1F"/>
          <w:spacing w:val="-9"/>
        </w:rPr>
        <w:t xml:space="preserve"> </w:t>
      </w:r>
      <w:r>
        <w:rPr>
          <w:color w:val="211F1F"/>
        </w:rPr>
        <w:t>the</w:t>
      </w:r>
      <w:r>
        <w:rPr>
          <w:color w:val="211F1F"/>
          <w:spacing w:val="-18"/>
        </w:rPr>
        <w:t xml:space="preserve"> </w:t>
      </w:r>
      <w:r>
        <w:rPr>
          <w:color w:val="211F1F"/>
        </w:rPr>
        <w:t>Tender</w:t>
      </w:r>
      <w:r>
        <w:rPr>
          <w:color w:val="211F1F"/>
          <w:spacing w:val="-6"/>
        </w:rPr>
        <w:t xml:space="preserve"> </w:t>
      </w:r>
      <w:r>
        <w:rPr>
          <w:color w:val="211F1F"/>
        </w:rPr>
        <w:t>will</w:t>
      </w:r>
      <w:r>
        <w:rPr>
          <w:color w:val="211F1F"/>
          <w:spacing w:val="-8"/>
        </w:rPr>
        <w:t xml:space="preserve"> </w:t>
      </w:r>
      <w:r>
        <w:rPr>
          <w:color w:val="211F1F"/>
        </w:rPr>
        <w:t>be</w:t>
      </w:r>
      <w:r>
        <w:rPr>
          <w:color w:val="211F1F"/>
          <w:spacing w:val="-14"/>
        </w:rPr>
        <w:t xml:space="preserve"> </w:t>
      </w:r>
      <w:r>
        <w:rPr>
          <w:color w:val="211F1F"/>
        </w:rPr>
        <w:t>disqualified</w:t>
      </w:r>
      <w:r>
        <w:rPr>
          <w:color w:val="211F1F"/>
          <w:spacing w:val="-13"/>
        </w:rPr>
        <w:t xml:space="preserve"> </w:t>
      </w:r>
      <w:r>
        <w:rPr>
          <w:color w:val="211F1F"/>
        </w:rPr>
        <w:t>if</w:t>
      </w:r>
      <w:r>
        <w:rPr>
          <w:color w:val="211F1F"/>
          <w:spacing w:val="-6"/>
        </w:rPr>
        <w:t xml:space="preserve"> </w:t>
      </w:r>
      <w:r>
        <w:rPr>
          <w:color w:val="211F1F"/>
        </w:rPr>
        <w:t>this</w:t>
      </w:r>
      <w:r>
        <w:rPr>
          <w:color w:val="211F1F"/>
          <w:spacing w:val="-14"/>
        </w:rPr>
        <w:t xml:space="preserve"> </w:t>
      </w:r>
      <w:r>
        <w:rPr>
          <w:color w:val="211F1F"/>
        </w:rPr>
        <w:t>Certificate</w:t>
      </w:r>
      <w:r>
        <w:rPr>
          <w:color w:val="211F1F"/>
          <w:spacing w:val="-14"/>
        </w:rPr>
        <w:t xml:space="preserve"> </w:t>
      </w:r>
      <w:r>
        <w:rPr>
          <w:color w:val="211F1F"/>
        </w:rPr>
        <w:t>is</w:t>
      </w:r>
      <w:r>
        <w:rPr>
          <w:color w:val="211F1F"/>
          <w:spacing w:val="-9"/>
        </w:rPr>
        <w:t xml:space="preserve"> </w:t>
      </w:r>
      <w:r>
        <w:rPr>
          <w:color w:val="211F1F"/>
        </w:rPr>
        <w:t>found</w:t>
      </w:r>
      <w:r>
        <w:rPr>
          <w:color w:val="211F1F"/>
          <w:spacing w:val="-13"/>
        </w:rPr>
        <w:t xml:space="preserve"> </w:t>
      </w:r>
      <w:r>
        <w:rPr>
          <w:color w:val="211F1F"/>
        </w:rPr>
        <w:t>not</w:t>
      </w:r>
      <w:r>
        <w:rPr>
          <w:color w:val="211F1F"/>
          <w:spacing w:val="-4"/>
        </w:rPr>
        <w:t xml:space="preserve"> </w:t>
      </w:r>
      <w:r>
        <w:rPr>
          <w:color w:val="211F1F"/>
        </w:rPr>
        <w:t>to</w:t>
      </w:r>
      <w:r>
        <w:rPr>
          <w:color w:val="211F1F"/>
          <w:spacing w:val="-14"/>
        </w:rPr>
        <w:t xml:space="preserve"> </w:t>
      </w:r>
      <w:r>
        <w:rPr>
          <w:color w:val="211F1F"/>
        </w:rPr>
        <w:t>be</w:t>
      </w:r>
      <w:r>
        <w:rPr>
          <w:color w:val="211F1F"/>
          <w:spacing w:val="-14"/>
        </w:rPr>
        <w:t xml:space="preserve"> </w:t>
      </w:r>
      <w:r>
        <w:rPr>
          <w:color w:val="211F1F"/>
        </w:rPr>
        <w:t>true</w:t>
      </w:r>
      <w:r>
        <w:rPr>
          <w:color w:val="211F1F"/>
          <w:spacing w:val="-14"/>
        </w:rPr>
        <w:t xml:space="preserve"> </w:t>
      </w:r>
      <w:r>
        <w:rPr>
          <w:color w:val="211F1F"/>
        </w:rPr>
        <w:t>and</w:t>
      </w:r>
      <w:r>
        <w:rPr>
          <w:color w:val="211F1F"/>
          <w:spacing w:val="-14"/>
        </w:rPr>
        <w:t xml:space="preserve"> </w:t>
      </w:r>
      <w:r>
        <w:rPr>
          <w:color w:val="211F1F"/>
        </w:rPr>
        <w:t>complete</w:t>
      </w:r>
      <w:r>
        <w:rPr>
          <w:color w:val="211F1F"/>
          <w:spacing w:val="-10"/>
        </w:rPr>
        <w:t xml:space="preserve"> </w:t>
      </w:r>
      <w:r>
        <w:rPr>
          <w:color w:val="211F1F"/>
        </w:rPr>
        <w:t>in</w:t>
      </w:r>
      <w:r>
        <w:rPr>
          <w:color w:val="211F1F"/>
          <w:spacing w:val="-9"/>
        </w:rPr>
        <w:t xml:space="preserve"> </w:t>
      </w:r>
      <w:r>
        <w:rPr>
          <w:color w:val="211F1F"/>
        </w:rPr>
        <w:t xml:space="preserve">every </w:t>
      </w:r>
      <w:r>
        <w:rPr>
          <w:color w:val="211F1F"/>
          <w:spacing w:val="-2"/>
        </w:rPr>
        <w:t>respect;</w:t>
      </w:r>
    </w:p>
    <w:p w14:paraId="2066DD7E" w14:textId="77777777" w:rsidR="00BB77C0" w:rsidRDefault="00370BAA">
      <w:pPr>
        <w:pStyle w:val="ListParagraph"/>
        <w:numPr>
          <w:ilvl w:val="0"/>
          <w:numId w:val="43"/>
        </w:numPr>
        <w:tabs>
          <w:tab w:val="left" w:pos="1051"/>
        </w:tabs>
        <w:spacing w:before="239" w:line="232" w:lineRule="auto"/>
        <w:ind w:right="933"/>
      </w:pPr>
      <w:r>
        <w:rPr>
          <w:color w:val="211F1F"/>
          <w:spacing w:val="-2"/>
        </w:rPr>
        <w:t>I</w:t>
      </w:r>
      <w:r>
        <w:rPr>
          <w:color w:val="211F1F"/>
          <w:spacing w:val="-18"/>
        </w:rPr>
        <w:t xml:space="preserve"> </w:t>
      </w:r>
      <w:r>
        <w:rPr>
          <w:color w:val="211F1F"/>
          <w:spacing w:val="-2"/>
        </w:rPr>
        <w:t>am</w:t>
      </w:r>
      <w:r>
        <w:rPr>
          <w:color w:val="211F1F"/>
          <w:spacing w:val="-19"/>
        </w:rPr>
        <w:t xml:space="preserve"> </w:t>
      </w:r>
      <w:r>
        <w:rPr>
          <w:color w:val="211F1F"/>
          <w:spacing w:val="-2"/>
        </w:rPr>
        <w:t>the</w:t>
      </w:r>
      <w:r>
        <w:rPr>
          <w:color w:val="211F1F"/>
          <w:spacing w:val="-18"/>
        </w:rPr>
        <w:t xml:space="preserve"> </w:t>
      </w:r>
      <w:r>
        <w:rPr>
          <w:color w:val="211F1F"/>
          <w:spacing w:val="-2"/>
        </w:rPr>
        <w:t>authorized</w:t>
      </w:r>
      <w:r>
        <w:rPr>
          <w:color w:val="211F1F"/>
          <w:spacing w:val="-14"/>
        </w:rPr>
        <w:t xml:space="preserve"> </w:t>
      </w:r>
      <w:r>
        <w:rPr>
          <w:color w:val="211F1F"/>
          <w:spacing w:val="-2"/>
        </w:rPr>
        <w:t>representative</w:t>
      </w:r>
      <w:r>
        <w:rPr>
          <w:color w:val="211F1F"/>
          <w:spacing w:val="-17"/>
        </w:rPr>
        <w:t xml:space="preserve"> </w:t>
      </w:r>
      <w:r>
        <w:rPr>
          <w:color w:val="211F1F"/>
          <w:spacing w:val="-2"/>
        </w:rPr>
        <w:t>of</w:t>
      </w:r>
      <w:r>
        <w:rPr>
          <w:color w:val="211F1F"/>
          <w:spacing w:val="-12"/>
        </w:rPr>
        <w:t xml:space="preserve"> </w:t>
      </w:r>
      <w:r>
        <w:rPr>
          <w:color w:val="211F1F"/>
          <w:spacing w:val="-2"/>
        </w:rPr>
        <w:t>the</w:t>
      </w:r>
      <w:r>
        <w:rPr>
          <w:color w:val="211F1F"/>
          <w:spacing w:val="-23"/>
        </w:rPr>
        <w:t xml:space="preserve"> </w:t>
      </w:r>
      <w:r>
        <w:rPr>
          <w:color w:val="211F1F"/>
          <w:spacing w:val="-2"/>
        </w:rPr>
        <w:t>Tenderer</w:t>
      </w:r>
      <w:r>
        <w:rPr>
          <w:color w:val="211F1F"/>
          <w:spacing w:val="-6"/>
        </w:rPr>
        <w:t xml:space="preserve"> </w:t>
      </w:r>
      <w:r>
        <w:rPr>
          <w:color w:val="211F1F"/>
          <w:spacing w:val="-2"/>
        </w:rPr>
        <w:t>with</w:t>
      </w:r>
      <w:r>
        <w:rPr>
          <w:color w:val="211F1F"/>
          <w:spacing w:val="-15"/>
        </w:rPr>
        <w:t xml:space="preserve"> </w:t>
      </w:r>
      <w:r>
        <w:rPr>
          <w:color w:val="211F1F"/>
          <w:spacing w:val="-2"/>
        </w:rPr>
        <w:t>authority</w:t>
      </w:r>
      <w:r>
        <w:rPr>
          <w:color w:val="211F1F"/>
          <w:spacing w:val="-20"/>
        </w:rPr>
        <w:t xml:space="preserve"> </w:t>
      </w:r>
      <w:r>
        <w:rPr>
          <w:color w:val="211F1F"/>
          <w:spacing w:val="-2"/>
        </w:rPr>
        <w:t>to</w:t>
      </w:r>
      <w:r>
        <w:rPr>
          <w:color w:val="211F1F"/>
          <w:spacing w:val="-15"/>
        </w:rPr>
        <w:t xml:space="preserve"> </w:t>
      </w:r>
      <w:r>
        <w:rPr>
          <w:color w:val="211F1F"/>
          <w:spacing w:val="-2"/>
        </w:rPr>
        <w:t>sign</w:t>
      </w:r>
      <w:r>
        <w:rPr>
          <w:color w:val="211F1F"/>
          <w:spacing w:val="-15"/>
        </w:rPr>
        <w:t xml:space="preserve"> </w:t>
      </w:r>
      <w:r>
        <w:rPr>
          <w:color w:val="211F1F"/>
          <w:spacing w:val="-2"/>
        </w:rPr>
        <w:t>this</w:t>
      </w:r>
      <w:r>
        <w:rPr>
          <w:color w:val="211F1F"/>
          <w:spacing w:val="-14"/>
        </w:rPr>
        <w:t xml:space="preserve"> </w:t>
      </w:r>
      <w:r>
        <w:rPr>
          <w:color w:val="211F1F"/>
          <w:spacing w:val="-2"/>
        </w:rPr>
        <w:t>Certificate,</w:t>
      </w:r>
      <w:r>
        <w:rPr>
          <w:color w:val="211F1F"/>
          <w:spacing w:val="-12"/>
        </w:rPr>
        <w:t xml:space="preserve"> </w:t>
      </w:r>
      <w:r>
        <w:rPr>
          <w:color w:val="211F1F"/>
          <w:spacing w:val="-2"/>
        </w:rPr>
        <w:t>and</w:t>
      </w:r>
      <w:r>
        <w:rPr>
          <w:color w:val="211F1F"/>
          <w:spacing w:val="-20"/>
        </w:rPr>
        <w:t xml:space="preserve"> </w:t>
      </w:r>
      <w:r>
        <w:rPr>
          <w:color w:val="211F1F"/>
          <w:spacing w:val="-2"/>
        </w:rPr>
        <w:t>to</w:t>
      </w:r>
      <w:r>
        <w:rPr>
          <w:color w:val="211F1F"/>
          <w:spacing w:val="-15"/>
        </w:rPr>
        <w:t xml:space="preserve"> </w:t>
      </w:r>
      <w:r>
        <w:rPr>
          <w:color w:val="211F1F"/>
          <w:spacing w:val="-2"/>
        </w:rPr>
        <w:t>submit</w:t>
      </w:r>
      <w:r>
        <w:rPr>
          <w:color w:val="211F1F"/>
          <w:spacing w:val="-14"/>
        </w:rPr>
        <w:t xml:space="preserve"> </w:t>
      </w:r>
      <w:r>
        <w:rPr>
          <w:color w:val="211F1F"/>
          <w:spacing w:val="-2"/>
        </w:rPr>
        <w:t>the</w:t>
      </w:r>
      <w:r>
        <w:rPr>
          <w:color w:val="211F1F"/>
          <w:spacing w:val="-22"/>
        </w:rPr>
        <w:t xml:space="preserve"> </w:t>
      </w:r>
      <w:r>
        <w:rPr>
          <w:color w:val="211F1F"/>
          <w:spacing w:val="-2"/>
        </w:rPr>
        <w:t xml:space="preserve">Tender </w:t>
      </w:r>
      <w:r>
        <w:rPr>
          <w:color w:val="211F1F"/>
        </w:rPr>
        <w:t>on behalf of the Tenderer;</w:t>
      </w:r>
    </w:p>
    <w:p w14:paraId="254BF40E" w14:textId="77777777" w:rsidR="00BB77C0" w:rsidRDefault="00370BAA">
      <w:pPr>
        <w:pStyle w:val="ListParagraph"/>
        <w:numPr>
          <w:ilvl w:val="0"/>
          <w:numId w:val="43"/>
        </w:numPr>
        <w:tabs>
          <w:tab w:val="left" w:pos="1051"/>
        </w:tabs>
        <w:spacing w:before="243" w:line="228" w:lineRule="auto"/>
        <w:ind w:right="977"/>
      </w:pPr>
      <w:r>
        <w:rPr>
          <w:color w:val="211F1F"/>
        </w:rPr>
        <w:t>For</w:t>
      </w:r>
      <w:r>
        <w:rPr>
          <w:color w:val="211F1F"/>
          <w:spacing w:val="-2"/>
        </w:rPr>
        <w:t xml:space="preserve"> </w:t>
      </w:r>
      <w:r>
        <w:rPr>
          <w:color w:val="211F1F"/>
        </w:rPr>
        <w:t>the</w:t>
      </w:r>
      <w:r>
        <w:rPr>
          <w:color w:val="211F1F"/>
          <w:spacing w:val="-11"/>
        </w:rPr>
        <w:t xml:space="preserve"> </w:t>
      </w:r>
      <w:r>
        <w:rPr>
          <w:color w:val="211F1F"/>
        </w:rPr>
        <w:t>purposes of</w:t>
      </w:r>
      <w:r>
        <w:rPr>
          <w:color w:val="211F1F"/>
          <w:spacing w:val="-7"/>
        </w:rPr>
        <w:t xml:space="preserve"> </w:t>
      </w:r>
      <w:r>
        <w:rPr>
          <w:color w:val="211F1F"/>
        </w:rPr>
        <w:t>this</w:t>
      </w:r>
      <w:r>
        <w:rPr>
          <w:color w:val="211F1F"/>
          <w:spacing w:val="-5"/>
        </w:rPr>
        <w:t xml:space="preserve"> </w:t>
      </w:r>
      <w:r>
        <w:rPr>
          <w:color w:val="211F1F"/>
        </w:rPr>
        <w:t>Certificate</w:t>
      </w:r>
      <w:r>
        <w:rPr>
          <w:color w:val="211F1F"/>
          <w:spacing w:val="-10"/>
        </w:rPr>
        <w:t xml:space="preserve"> </w:t>
      </w:r>
      <w:r>
        <w:rPr>
          <w:color w:val="211F1F"/>
        </w:rPr>
        <w:t>and</w:t>
      </w:r>
      <w:r>
        <w:rPr>
          <w:color w:val="211F1F"/>
          <w:spacing w:val="-9"/>
        </w:rPr>
        <w:t xml:space="preserve"> </w:t>
      </w:r>
      <w:r>
        <w:rPr>
          <w:color w:val="211F1F"/>
        </w:rPr>
        <w:t>the</w:t>
      </w:r>
      <w:r>
        <w:rPr>
          <w:color w:val="211F1F"/>
          <w:spacing w:val="-11"/>
        </w:rPr>
        <w:t xml:space="preserve"> </w:t>
      </w:r>
      <w:r>
        <w:rPr>
          <w:color w:val="211F1F"/>
        </w:rPr>
        <w:t>Tender,</w:t>
      </w:r>
      <w:r>
        <w:rPr>
          <w:color w:val="211F1F"/>
          <w:spacing w:val="-11"/>
        </w:rPr>
        <w:t xml:space="preserve"> </w:t>
      </w:r>
      <w:r>
        <w:rPr>
          <w:color w:val="211F1F"/>
        </w:rPr>
        <w:t>I</w:t>
      </w:r>
      <w:r>
        <w:rPr>
          <w:color w:val="211F1F"/>
          <w:spacing w:val="-7"/>
        </w:rPr>
        <w:t xml:space="preserve"> </w:t>
      </w:r>
      <w:r>
        <w:rPr>
          <w:color w:val="211F1F"/>
        </w:rPr>
        <w:t>understand</w:t>
      </w:r>
      <w:r>
        <w:rPr>
          <w:color w:val="211F1F"/>
          <w:spacing w:val="-8"/>
        </w:rPr>
        <w:t xml:space="preserve"> </w:t>
      </w:r>
      <w:r>
        <w:rPr>
          <w:color w:val="211F1F"/>
        </w:rPr>
        <w:t>that</w:t>
      </w:r>
      <w:r>
        <w:rPr>
          <w:color w:val="211F1F"/>
          <w:spacing w:val="-4"/>
        </w:rPr>
        <w:t xml:space="preserve"> </w:t>
      </w:r>
      <w:r>
        <w:rPr>
          <w:color w:val="211F1F"/>
        </w:rPr>
        <w:t>the</w:t>
      </w:r>
      <w:r>
        <w:rPr>
          <w:color w:val="211F1F"/>
          <w:spacing w:val="-7"/>
        </w:rPr>
        <w:t xml:space="preserve"> </w:t>
      </w:r>
      <w:r>
        <w:rPr>
          <w:color w:val="211F1F"/>
        </w:rPr>
        <w:t>word</w:t>
      </w:r>
      <w:r>
        <w:rPr>
          <w:color w:val="211F1F"/>
          <w:spacing w:val="-9"/>
        </w:rPr>
        <w:t xml:space="preserve"> </w:t>
      </w:r>
      <w:r>
        <w:rPr>
          <w:color w:val="211F1F"/>
        </w:rPr>
        <w:t>“competitor”</w:t>
      </w:r>
      <w:r>
        <w:rPr>
          <w:color w:val="211F1F"/>
          <w:spacing w:val="-6"/>
        </w:rPr>
        <w:t xml:space="preserve"> </w:t>
      </w:r>
      <w:r>
        <w:rPr>
          <w:color w:val="211F1F"/>
        </w:rPr>
        <w:t>shall</w:t>
      </w:r>
      <w:r>
        <w:rPr>
          <w:color w:val="211F1F"/>
          <w:spacing w:val="-4"/>
        </w:rPr>
        <w:t xml:space="preserve"> </w:t>
      </w:r>
      <w:r>
        <w:rPr>
          <w:color w:val="211F1F"/>
        </w:rPr>
        <w:t>include</w:t>
      </w:r>
      <w:r>
        <w:rPr>
          <w:color w:val="211F1F"/>
          <w:spacing w:val="-10"/>
        </w:rPr>
        <w:t xml:space="preserve"> </w:t>
      </w:r>
      <w:r>
        <w:rPr>
          <w:color w:val="211F1F"/>
        </w:rPr>
        <w:t>any individual</w:t>
      </w:r>
      <w:r>
        <w:rPr>
          <w:color w:val="211F1F"/>
          <w:spacing w:val="-7"/>
        </w:rPr>
        <w:t xml:space="preserve"> </w:t>
      </w:r>
      <w:r>
        <w:rPr>
          <w:color w:val="211F1F"/>
        </w:rPr>
        <w:t>or</w:t>
      </w:r>
      <w:r>
        <w:rPr>
          <w:color w:val="211F1F"/>
          <w:spacing w:val="-6"/>
        </w:rPr>
        <w:t xml:space="preserve"> </w:t>
      </w:r>
      <w:r>
        <w:rPr>
          <w:color w:val="211F1F"/>
        </w:rPr>
        <w:t>organization,</w:t>
      </w:r>
      <w:r>
        <w:rPr>
          <w:color w:val="211F1F"/>
          <w:spacing w:val="-5"/>
        </w:rPr>
        <w:t xml:space="preserve"> </w:t>
      </w:r>
      <w:r>
        <w:rPr>
          <w:color w:val="211F1F"/>
        </w:rPr>
        <w:t>other</w:t>
      </w:r>
      <w:r>
        <w:rPr>
          <w:color w:val="211F1F"/>
          <w:spacing w:val="-5"/>
        </w:rPr>
        <w:t xml:space="preserve"> </w:t>
      </w:r>
      <w:r>
        <w:rPr>
          <w:color w:val="211F1F"/>
        </w:rPr>
        <w:t>than</w:t>
      </w:r>
      <w:r>
        <w:rPr>
          <w:color w:val="211F1F"/>
          <w:spacing w:val="-16"/>
        </w:rPr>
        <w:t xml:space="preserve"> </w:t>
      </w:r>
      <w:r>
        <w:rPr>
          <w:color w:val="211F1F"/>
        </w:rPr>
        <w:t>the</w:t>
      </w:r>
      <w:r>
        <w:rPr>
          <w:color w:val="211F1F"/>
          <w:spacing w:val="-24"/>
        </w:rPr>
        <w:t xml:space="preserve"> </w:t>
      </w:r>
      <w:r>
        <w:rPr>
          <w:color w:val="211F1F"/>
        </w:rPr>
        <w:t>Tenderer,</w:t>
      </w:r>
      <w:r>
        <w:rPr>
          <w:color w:val="211F1F"/>
          <w:spacing w:val="-11"/>
        </w:rPr>
        <w:t xml:space="preserve"> </w:t>
      </w:r>
      <w:r>
        <w:rPr>
          <w:color w:val="211F1F"/>
        </w:rPr>
        <w:t>whether</w:t>
      </w:r>
      <w:r>
        <w:rPr>
          <w:color w:val="211F1F"/>
          <w:spacing w:val="-5"/>
        </w:rPr>
        <w:t xml:space="preserve"> </w:t>
      </w:r>
      <w:r>
        <w:rPr>
          <w:color w:val="211F1F"/>
        </w:rPr>
        <w:t>or</w:t>
      </w:r>
      <w:r>
        <w:rPr>
          <w:color w:val="211F1F"/>
          <w:spacing w:val="-6"/>
        </w:rPr>
        <w:t xml:space="preserve"> </w:t>
      </w:r>
      <w:r>
        <w:rPr>
          <w:color w:val="211F1F"/>
        </w:rPr>
        <w:t>not</w:t>
      </w:r>
      <w:r>
        <w:rPr>
          <w:color w:val="211F1F"/>
          <w:spacing w:val="-9"/>
        </w:rPr>
        <w:t xml:space="preserve"> </w:t>
      </w:r>
      <w:r>
        <w:rPr>
          <w:color w:val="211F1F"/>
        </w:rPr>
        <w:t>affiliated</w:t>
      </w:r>
      <w:r>
        <w:rPr>
          <w:color w:val="211F1F"/>
          <w:spacing w:val="-13"/>
        </w:rPr>
        <w:t xml:space="preserve"> </w:t>
      </w:r>
      <w:r>
        <w:rPr>
          <w:color w:val="211F1F"/>
        </w:rPr>
        <w:t>with</w:t>
      </w:r>
      <w:r>
        <w:rPr>
          <w:color w:val="211F1F"/>
          <w:spacing w:val="-16"/>
        </w:rPr>
        <w:t xml:space="preserve"> </w:t>
      </w:r>
      <w:r>
        <w:rPr>
          <w:color w:val="211F1F"/>
        </w:rPr>
        <w:t>the</w:t>
      </w:r>
      <w:r>
        <w:rPr>
          <w:color w:val="211F1F"/>
          <w:spacing w:val="-24"/>
        </w:rPr>
        <w:t xml:space="preserve"> </w:t>
      </w:r>
      <w:r>
        <w:rPr>
          <w:color w:val="211F1F"/>
        </w:rPr>
        <w:t>Tenderer,</w:t>
      </w:r>
      <w:r>
        <w:rPr>
          <w:color w:val="211F1F"/>
          <w:spacing w:val="-11"/>
        </w:rPr>
        <w:t xml:space="preserve"> </w:t>
      </w:r>
      <w:r>
        <w:rPr>
          <w:color w:val="211F1F"/>
        </w:rPr>
        <w:t>who:</w:t>
      </w:r>
    </w:p>
    <w:p w14:paraId="6DDE8949" w14:textId="77777777" w:rsidR="00BB77C0" w:rsidRDefault="00370BAA">
      <w:pPr>
        <w:pStyle w:val="ListParagraph"/>
        <w:numPr>
          <w:ilvl w:val="1"/>
          <w:numId w:val="43"/>
        </w:numPr>
        <w:tabs>
          <w:tab w:val="left" w:pos="1584"/>
        </w:tabs>
        <w:spacing w:line="243" w:lineRule="exact"/>
        <w:ind w:hanging="533"/>
      </w:pPr>
      <w:r>
        <w:rPr>
          <w:color w:val="211F1F"/>
          <w:spacing w:val="-4"/>
        </w:rPr>
        <w:t>has</w:t>
      </w:r>
      <w:r>
        <w:rPr>
          <w:color w:val="211F1F"/>
          <w:spacing w:val="-7"/>
        </w:rPr>
        <w:t xml:space="preserve"> </w:t>
      </w:r>
      <w:r>
        <w:rPr>
          <w:color w:val="211F1F"/>
          <w:spacing w:val="-4"/>
        </w:rPr>
        <w:t>been</w:t>
      </w:r>
      <w:r>
        <w:rPr>
          <w:color w:val="211F1F"/>
          <w:spacing w:val="-14"/>
        </w:rPr>
        <w:t xml:space="preserve"> </w:t>
      </w:r>
      <w:r>
        <w:rPr>
          <w:color w:val="211F1F"/>
          <w:spacing w:val="-4"/>
        </w:rPr>
        <w:t>requested</w:t>
      </w:r>
      <w:r>
        <w:rPr>
          <w:color w:val="211F1F"/>
          <w:spacing w:val="-18"/>
        </w:rPr>
        <w:t xml:space="preserve"> </w:t>
      </w:r>
      <w:r>
        <w:rPr>
          <w:color w:val="211F1F"/>
          <w:spacing w:val="-4"/>
        </w:rPr>
        <w:t>to</w:t>
      </w:r>
      <w:r>
        <w:rPr>
          <w:color w:val="211F1F"/>
          <w:spacing w:val="-14"/>
        </w:rPr>
        <w:t xml:space="preserve"> </w:t>
      </w:r>
      <w:r>
        <w:rPr>
          <w:color w:val="211F1F"/>
          <w:spacing w:val="-4"/>
        </w:rPr>
        <w:t>submit</w:t>
      </w:r>
      <w:r>
        <w:rPr>
          <w:color w:val="211F1F"/>
          <w:spacing w:val="-11"/>
        </w:rPr>
        <w:t xml:space="preserve"> </w:t>
      </w:r>
      <w:r>
        <w:rPr>
          <w:color w:val="211F1F"/>
          <w:spacing w:val="-4"/>
        </w:rPr>
        <w:t>a</w:t>
      </w:r>
      <w:r>
        <w:rPr>
          <w:color w:val="211F1F"/>
          <w:spacing w:val="-17"/>
        </w:rPr>
        <w:t xml:space="preserve"> </w:t>
      </w:r>
      <w:r>
        <w:rPr>
          <w:color w:val="211F1F"/>
          <w:spacing w:val="-4"/>
        </w:rPr>
        <w:t>Tender</w:t>
      </w:r>
      <w:r>
        <w:rPr>
          <w:color w:val="211F1F"/>
          <w:spacing w:val="-2"/>
        </w:rPr>
        <w:t xml:space="preserve"> </w:t>
      </w:r>
      <w:r>
        <w:rPr>
          <w:color w:val="211F1F"/>
          <w:spacing w:val="-4"/>
        </w:rPr>
        <w:t>in</w:t>
      </w:r>
      <w:r>
        <w:rPr>
          <w:color w:val="211F1F"/>
          <w:spacing w:val="-19"/>
        </w:rPr>
        <w:t xml:space="preserve"> </w:t>
      </w:r>
      <w:r>
        <w:rPr>
          <w:color w:val="211F1F"/>
          <w:spacing w:val="-4"/>
        </w:rPr>
        <w:t>response</w:t>
      </w:r>
      <w:r>
        <w:rPr>
          <w:color w:val="211F1F"/>
          <w:spacing w:val="-15"/>
        </w:rPr>
        <w:t xml:space="preserve"> </w:t>
      </w:r>
      <w:r>
        <w:rPr>
          <w:color w:val="211F1F"/>
          <w:spacing w:val="-4"/>
        </w:rPr>
        <w:t>to</w:t>
      </w:r>
      <w:r>
        <w:rPr>
          <w:color w:val="211F1F"/>
          <w:spacing w:val="-20"/>
        </w:rPr>
        <w:t xml:space="preserve"> </w:t>
      </w:r>
      <w:r>
        <w:rPr>
          <w:color w:val="211F1F"/>
          <w:spacing w:val="-4"/>
        </w:rPr>
        <w:t>this</w:t>
      </w:r>
      <w:r>
        <w:rPr>
          <w:color w:val="211F1F"/>
          <w:spacing w:val="-13"/>
        </w:rPr>
        <w:t xml:space="preserve"> </w:t>
      </w:r>
      <w:r>
        <w:rPr>
          <w:color w:val="211F1F"/>
          <w:spacing w:val="-4"/>
        </w:rPr>
        <w:t>request</w:t>
      </w:r>
      <w:r>
        <w:rPr>
          <w:color w:val="211F1F"/>
          <w:spacing w:val="-5"/>
        </w:rPr>
        <w:t xml:space="preserve"> </w:t>
      </w:r>
      <w:r>
        <w:rPr>
          <w:color w:val="211F1F"/>
          <w:spacing w:val="-4"/>
        </w:rPr>
        <w:t>for</w:t>
      </w:r>
      <w:r>
        <w:rPr>
          <w:color w:val="211F1F"/>
          <w:spacing w:val="-3"/>
        </w:rPr>
        <w:t xml:space="preserve"> </w:t>
      </w:r>
      <w:r>
        <w:rPr>
          <w:color w:val="211F1F"/>
          <w:spacing w:val="-4"/>
        </w:rPr>
        <w:t>tenders;</w:t>
      </w:r>
    </w:p>
    <w:p w14:paraId="0D45AB4F" w14:textId="77777777" w:rsidR="00BB77C0" w:rsidRDefault="00370BAA">
      <w:pPr>
        <w:pStyle w:val="ListParagraph"/>
        <w:numPr>
          <w:ilvl w:val="1"/>
          <w:numId w:val="43"/>
        </w:numPr>
        <w:tabs>
          <w:tab w:val="left" w:pos="1584"/>
          <w:tab w:val="left" w:pos="1594"/>
        </w:tabs>
        <w:spacing w:before="6" w:line="228" w:lineRule="auto"/>
        <w:ind w:left="1594" w:right="1135" w:hanging="543"/>
      </w:pPr>
      <w:r>
        <w:rPr>
          <w:color w:val="211F1F"/>
        </w:rPr>
        <w:t>could</w:t>
      </w:r>
      <w:r>
        <w:rPr>
          <w:color w:val="211F1F"/>
          <w:spacing w:val="-12"/>
        </w:rPr>
        <w:t xml:space="preserve"> </w:t>
      </w:r>
      <w:r>
        <w:rPr>
          <w:color w:val="211F1F"/>
        </w:rPr>
        <w:t>potentially</w:t>
      </w:r>
      <w:r>
        <w:rPr>
          <w:color w:val="211F1F"/>
          <w:spacing w:val="-11"/>
        </w:rPr>
        <w:t xml:space="preserve"> </w:t>
      </w:r>
      <w:r>
        <w:rPr>
          <w:color w:val="211F1F"/>
        </w:rPr>
        <w:t>submit</w:t>
      </w:r>
      <w:r>
        <w:rPr>
          <w:color w:val="211F1F"/>
          <w:spacing w:val="-3"/>
        </w:rPr>
        <w:t xml:space="preserve"> </w:t>
      </w:r>
      <w:r>
        <w:rPr>
          <w:color w:val="211F1F"/>
        </w:rPr>
        <w:t>a</w:t>
      </w:r>
      <w:r>
        <w:rPr>
          <w:color w:val="211F1F"/>
          <w:spacing w:val="-9"/>
        </w:rPr>
        <w:t xml:space="preserve"> </w:t>
      </w:r>
      <w:r>
        <w:rPr>
          <w:color w:val="211F1F"/>
        </w:rPr>
        <w:t>tender</w:t>
      </w:r>
      <w:r>
        <w:rPr>
          <w:color w:val="211F1F"/>
          <w:spacing w:val="-4"/>
        </w:rPr>
        <w:t xml:space="preserve"> </w:t>
      </w:r>
      <w:r>
        <w:rPr>
          <w:color w:val="211F1F"/>
        </w:rPr>
        <w:t>in</w:t>
      </w:r>
      <w:r>
        <w:rPr>
          <w:color w:val="211F1F"/>
          <w:spacing w:val="-12"/>
        </w:rPr>
        <w:t xml:space="preserve"> </w:t>
      </w:r>
      <w:r>
        <w:rPr>
          <w:color w:val="211F1F"/>
        </w:rPr>
        <w:t>response</w:t>
      </w:r>
      <w:r>
        <w:rPr>
          <w:color w:val="211F1F"/>
          <w:spacing w:val="-9"/>
        </w:rPr>
        <w:t xml:space="preserve"> </w:t>
      </w:r>
      <w:r>
        <w:rPr>
          <w:color w:val="211F1F"/>
        </w:rPr>
        <w:t>to</w:t>
      </w:r>
      <w:r>
        <w:rPr>
          <w:color w:val="211F1F"/>
          <w:spacing w:val="-12"/>
        </w:rPr>
        <w:t xml:space="preserve"> </w:t>
      </w:r>
      <w:r>
        <w:rPr>
          <w:color w:val="211F1F"/>
        </w:rPr>
        <w:t>this</w:t>
      </w:r>
      <w:r>
        <w:rPr>
          <w:color w:val="211F1F"/>
          <w:spacing w:val="-3"/>
        </w:rPr>
        <w:t xml:space="preserve"> </w:t>
      </w:r>
      <w:r>
        <w:rPr>
          <w:color w:val="211F1F"/>
        </w:rPr>
        <w:t>request</w:t>
      </w:r>
      <w:r>
        <w:rPr>
          <w:color w:val="211F1F"/>
          <w:spacing w:val="-5"/>
        </w:rPr>
        <w:t xml:space="preserve"> </w:t>
      </w:r>
      <w:r>
        <w:rPr>
          <w:color w:val="211F1F"/>
        </w:rPr>
        <w:t>for tenders, based</w:t>
      </w:r>
      <w:r>
        <w:rPr>
          <w:color w:val="211F1F"/>
          <w:spacing w:val="-7"/>
        </w:rPr>
        <w:t xml:space="preserve"> </w:t>
      </w:r>
      <w:r>
        <w:rPr>
          <w:color w:val="211F1F"/>
        </w:rPr>
        <w:t>on</w:t>
      </w:r>
      <w:r>
        <w:rPr>
          <w:color w:val="211F1F"/>
          <w:spacing w:val="-12"/>
        </w:rPr>
        <w:t xml:space="preserve"> </w:t>
      </w:r>
      <w:r>
        <w:rPr>
          <w:color w:val="211F1F"/>
        </w:rPr>
        <w:t>their qualifications, abilities orexperience;</w:t>
      </w:r>
    </w:p>
    <w:p w14:paraId="44C9BDDB" w14:textId="77777777" w:rsidR="00BB77C0" w:rsidRDefault="00370BAA">
      <w:pPr>
        <w:pStyle w:val="ListParagraph"/>
        <w:numPr>
          <w:ilvl w:val="0"/>
          <w:numId w:val="43"/>
        </w:numPr>
        <w:tabs>
          <w:tab w:val="left" w:pos="1050"/>
        </w:tabs>
        <w:spacing w:before="235" w:line="249" w:lineRule="exact"/>
        <w:ind w:left="1050" w:hanging="565"/>
        <w:jc w:val="both"/>
      </w:pPr>
      <w:r>
        <w:rPr>
          <w:color w:val="211F1F"/>
          <w:spacing w:val="-4"/>
        </w:rPr>
        <w:t>The</w:t>
      </w:r>
      <w:r>
        <w:rPr>
          <w:color w:val="211F1F"/>
          <w:spacing w:val="-29"/>
        </w:rPr>
        <w:t xml:space="preserve"> </w:t>
      </w:r>
      <w:r>
        <w:rPr>
          <w:color w:val="211F1F"/>
          <w:spacing w:val="-4"/>
        </w:rPr>
        <w:t>Tenderer discloses</w:t>
      </w:r>
      <w:r>
        <w:rPr>
          <w:color w:val="211F1F"/>
          <w:spacing w:val="-8"/>
        </w:rPr>
        <w:t xml:space="preserve"> </w:t>
      </w:r>
      <w:r>
        <w:rPr>
          <w:color w:val="211F1F"/>
          <w:spacing w:val="-4"/>
        </w:rPr>
        <w:t>that</w:t>
      </w:r>
      <w:r>
        <w:rPr>
          <w:color w:val="211F1F"/>
          <w:spacing w:val="-13"/>
        </w:rPr>
        <w:t xml:space="preserve"> </w:t>
      </w:r>
      <w:r>
        <w:rPr>
          <w:color w:val="211F1F"/>
          <w:spacing w:val="-4"/>
        </w:rPr>
        <w:t>[check</w:t>
      </w:r>
      <w:r>
        <w:rPr>
          <w:color w:val="211F1F"/>
          <w:spacing w:val="-14"/>
        </w:rPr>
        <w:t xml:space="preserve"> </w:t>
      </w:r>
      <w:r>
        <w:rPr>
          <w:color w:val="211F1F"/>
          <w:spacing w:val="-4"/>
        </w:rPr>
        <w:t>one</w:t>
      </w:r>
      <w:r>
        <w:rPr>
          <w:color w:val="211F1F"/>
          <w:spacing w:val="-12"/>
        </w:rPr>
        <w:t xml:space="preserve"> </w:t>
      </w:r>
      <w:r>
        <w:rPr>
          <w:color w:val="211F1F"/>
          <w:spacing w:val="-4"/>
        </w:rPr>
        <w:t>of</w:t>
      </w:r>
      <w:r>
        <w:rPr>
          <w:color w:val="211F1F"/>
          <w:spacing w:val="-5"/>
        </w:rPr>
        <w:t xml:space="preserve"> </w:t>
      </w:r>
      <w:r>
        <w:rPr>
          <w:color w:val="211F1F"/>
          <w:spacing w:val="-4"/>
        </w:rPr>
        <w:t>the</w:t>
      </w:r>
      <w:r>
        <w:rPr>
          <w:color w:val="211F1F"/>
          <w:spacing w:val="-11"/>
        </w:rPr>
        <w:t xml:space="preserve"> </w:t>
      </w:r>
      <w:r>
        <w:rPr>
          <w:color w:val="211F1F"/>
          <w:spacing w:val="-4"/>
        </w:rPr>
        <w:t>following,</w:t>
      </w:r>
      <w:r>
        <w:rPr>
          <w:color w:val="211F1F"/>
          <w:spacing w:val="-12"/>
        </w:rPr>
        <w:t xml:space="preserve"> </w:t>
      </w:r>
      <w:r>
        <w:rPr>
          <w:color w:val="211F1F"/>
          <w:spacing w:val="-4"/>
        </w:rPr>
        <w:t>as</w:t>
      </w:r>
      <w:r>
        <w:rPr>
          <w:color w:val="211F1F"/>
          <w:spacing w:val="-8"/>
        </w:rPr>
        <w:t xml:space="preserve"> </w:t>
      </w:r>
      <w:r>
        <w:rPr>
          <w:color w:val="211F1F"/>
          <w:spacing w:val="-4"/>
        </w:rPr>
        <w:t>applicable:</w:t>
      </w:r>
    </w:p>
    <w:p w14:paraId="0A855154" w14:textId="77777777" w:rsidR="00BB77C0" w:rsidRDefault="00370BAA">
      <w:pPr>
        <w:pStyle w:val="ListParagraph"/>
        <w:numPr>
          <w:ilvl w:val="1"/>
          <w:numId w:val="43"/>
        </w:numPr>
        <w:tabs>
          <w:tab w:val="left" w:pos="1583"/>
          <w:tab w:val="left" w:pos="1599"/>
        </w:tabs>
        <w:spacing w:line="237" w:lineRule="auto"/>
        <w:ind w:left="1599" w:right="1033" w:hanging="548"/>
        <w:jc w:val="both"/>
      </w:pPr>
      <w:r>
        <w:rPr>
          <w:color w:val="211F1F"/>
        </w:rPr>
        <w:t>The</w:t>
      </w:r>
      <w:r>
        <w:rPr>
          <w:color w:val="211F1F"/>
          <w:spacing w:val="-14"/>
        </w:rPr>
        <w:t xml:space="preserve"> </w:t>
      </w:r>
      <w:r>
        <w:rPr>
          <w:color w:val="211F1F"/>
        </w:rPr>
        <w:t>Tenderer</w:t>
      </w:r>
      <w:r>
        <w:rPr>
          <w:color w:val="211F1F"/>
          <w:spacing w:val="-11"/>
        </w:rPr>
        <w:t xml:space="preserve"> </w:t>
      </w:r>
      <w:r>
        <w:rPr>
          <w:color w:val="211F1F"/>
        </w:rPr>
        <w:t>has</w:t>
      </w:r>
      <w:r>
        <w:rPr>
          <w:color w:val="211F1F"/>
          <w:spacing w:val="-9"/>
        </w:rPr>
        <w:t xml:space="preserve"> </w:t>
      </w:r>
      <w:r>
        <w:rPr>
          <w:color w:val="211F1F"/>
        </w:rPr>
        <w:t>arrived</w:t>
      </w:r>
      <w:r>
        <w:rPr>
          <w:color w:val="211F1F"/>
          <w:spacing w:val="-14"/>
        </w:rPr>
        <w:t xml:space="preserve"> </w:t>
      </w:r>
      <w:r>
        <w:rPr>
          <w:color w:val="211F1F"/>
        </w:rPr>
        <w:t>at</w:t>
      </w:r>
      <w:r>
        <w:rPr>
          <w:color w:val="211F1F"/>
          <w:spacing w:val="-13"/>
        </w:rPr>
        <w:t xml:space="preserve"> </w:t>
      </w:r>
      <w:r>
        <w:rPr>
          <w:color w:val="211F1F"/>
        </w:rPr>
        <w:t>the</w:t>
      </w:r>
      <w:r>
        <w:rPr>
          <w:color w:val="211F1F"/>
          <w:spacing w:val="-14"/>
        </w:rPr>
        <w:t xml:space="preserve"> </w:t>
      </w:r>
      <w:r>
        <w:rPr>
          <w:color w:val="211F1F"/>
        </w:rPr>
        <w:t>Tender</w:t>
      </w:r>
      <w:r>
        <w:rPr>
          <w:color w:val="211F1F"/>
          <w:spacing w:val="-11"/>
        </w:rPr>
        <w:t xml:space="preserve"> </w:t>
      </w:r>
      <w:r>
        <w:rPr>
          <w:color w:val="211F1F"/>
        </w:rPr>
        <w:t>independently</w:t>
      </w:r>
      <w:r>
        <w:rPr>
          <w:color w:val="211F1F"/>
          <w:spacing w:val="-14"/>
        </w:rPr>
        <w:t xml:space="preserve"> </w:t>
      </w:r>
      <w:r>
        <w:rPr>
          <w:color w:val="211F1F"/>
        </w:rPr>
        <w:t>from,</w:t>
      </w:r>
      <w:r>
        <w:rPr>
          <w:color w:val="211F1F"/>
          <w:spacing w:val="-8"/>
        </w:rPr>
        <w:t xml:space="preserve"> </w:t>
      </w:r>
      <w:r>
        <w:rPr>
          <w:color w:val="211F1F"/>
        </w:rPr>
        <w:t>and</w:t>
      </w:r>
      <w:r>
        <w:rPr>
          <w:color w:val="211F1F"/>
          <w:spacing w:val="-10"/>
        </w:rPr>
        <w:t xml:space="preserve"> </w:t>
      </w:r>
      <w:r>
        <w:rPr>
          <w:color w:val="211F1F"/>
        </w:rPr>
        <w:t>without</w:t>
      </w:r>
      <w:r>
        <w:rPr>
          <w:color w:val="211F1F"/>
          <w:spacing w:val="-9"/>
        </w:rPr>
        <w:t xml:space="preserve"> </w:t>
      </w:r>
      <w:r>
        <w:rPr>
          <w:color w:val="211F1F"/>
        </w:rPr>
        <w:t>consultation,</w:t>
      </w:r>
      <w:r>
        <w:rPr>
          <w:color w:val="211F1F"/>
          <w:spacing w:val="-8"/>
        </w:rPr>
        <w:t xml:space="preserve"> </w:t>
      </w:r>
      <w:r>
        <w:rPr>
          <w:color w:val="211F1F"/>
        </w:rPr>
        <w:t>communication, agreement or</w:t>
      </w:r>
      <w:r>
        <w:rPr>
          <w:color w:val="211F1F"/>
          <w:spacing w:val="-6"/>
        </w:rPr>
        <w:t xml:space="preserve"> </w:t>
      </w:r>
      <w:r>
        <w:rPr>
          <w:color w:val="211F1F"/>
        </w:rPr>
        <w:t>arrangement with,</w:t>
      </w:r>
      <w:r>
        <w:rPr>
          <w:color w:val="211F1F"/>
          <w:spacing w:val="-7"/>
        </w:rPr>
        <w:t xml:space="preserve"> </w:t>
      </w:r>
      <w:r>
        <w:rPr>
          <w:color w:val="211F1F"/>
        </w:rPr>
        <w:t>any</w:t>
      </w:r>
      <w:r>
        <w:rPr>
          <w:color w:val="211F1F"/>
          <w:spacing w:val="-4"/>
        </w:rPr>
        <w:t xml:space="preserve"> </w:t>
      </w:r>
      <w:r>
        <w:rPr>
          <w:color w:val="211F1F"/>
        </w:rPr>
        <w:t>competitor;</w:t>
      </w:r>
    </w:p>
    <w:p w14:paraId="378DC408" w14:textId="77777777" w:rsidR="00BB77C0" w:rsidRDefault="00370BAA">
      <w:pPr>
        <w:pStyle w:val="ListParagraph"/>
        <w:numPr>
          <w:ilvl w:val="1"/>
          <w:numId w:val="43"/>
        </w:numPr>
        <w:tabs>
          <w:tab w:val="left" w:pos="1583"/>
          <w:tab w:val="left" w:pos="1599"/>
        </w:tabs>
        <w:spacing w:line="230" w:lineRule="auto"/>
        <w:ind w:left="1599" w:right="709" w:hanging="548"/>
        <w:jc w:val="both"/>
      </w:pPr>
      <w:r>
        <w:rPr>
          <w:color w:val="211F1F"/>
        </w:rPr>
        <w:t>the Tenderer has entered into consultations, communications, agreements or arrangements with one or more competitors regarding this request for tenders, and the Tenderer discloses, in the attached document(s), complete details thereof, including the names of the competitors and the nature of, and reasons for, such consultations, communications, agreements or arrangements;</w:t>
      </w:r>
    </w:p>
    <w:p w14:paraId="54A62971" w14:textId="77777777" w:rsidR="00BB77C0" w:rsidRDefault="00370BAA">
      <w:pPr>
        <w:pStyle w:val="ListParagraph"/>
        <w:numPr>
          <w:ilvl w:val="0"/>
          <w:numId w:val="43"/>
        </w:numPr>
        <w:tabs>
          <w:tab w:val="left" w:pos="1051"/>
        </w:tabs>
        <w:spacing w:before="243" w:line="228" w:lineRule="auto"/>
        <w:ind w:right="957"/>
      </w:pPr>
      <w:r>
        <w:rPr>
          <w:color w:val="211F1F"/>
          <w:spacing w:val="-2"/>
        </w:rPr>
        <w:t>In</w:t>
      </w:r>
      <w:r>
        <w:rPr>
          <w:color w:val="211F1F"/>
          <w:spacing w:val="-17"/>
        </w:rPr>
        <w:t xml:space="preserve"> </w:t>
      </w:r>
      <w:r>
        <w:rPr>
          <w:color w:val="211F1F"/>
          <w:spacing w:val="-2"/>
        </w:rPr>
        <w:t>particular,</w:t>
      </w:r>
      <w:r>
        <w:rPr>
          <w:color w:val="211F1F"/>
          <w:spacing w:val="-12"/>
        </w:rPr>
        <w:t xml:space="preserve"> </w:t>
      </w:r>
      <w:r>
        <w:rPr>
          <w:color w:val="211F1F"/>
          <w:spacing w:val="-2"/>
        </w:rPr>
        <w:t>without</w:t>
      </w:r>
      <w:r>
        <w:rPr>
          <w:color w:val="211F1F"/>
          <w:spacing w:val="-8"/>
        </w:rPr>
        <w:t xml:space="preserve"> </w:t>
      </w:r>
      <w:r>
        <w:rPr>
          <w:color w:val="211F1F"/>
          <w:spacing w:val="-2"/>
        </w:rPr>
        <w:t>limiting</w:t>
      </w:r>
      <w:r>
        <w:rPr>
          <w:color w:val="211F1F"/>
          <w:spacing w:val="-12"/>
        </w:rPr>
        <w:t xml:space="preserve"> </w:t>
      </w:r>
      <w:r>
        <w:rPr>
          <w:color w:val="211F1F"/>
          <w:spacing w:val="-2"/>
        </w:rPr>
        <w:t>the</w:t>
      </w:r>
      <w:r>
        <w:rPr>
          <w:color w:val="211F1F"/>
          <w:spacing w:val="-18"/>
        </w:rPr>
        <w:t xml:space="preserve"> </w:t>
      </w:r>
      <w:r>
        <w:rPr>
          <w:color w:val="211F1F"/>
          <w:spacing w:val="-2"/>
        </w:rPr>
        <w:t>generality</w:t>
      </w:r>
      <w:r>
        <w:rPr>
          <w:color w:val="211F1F"/>
          <w:spacing w:val="-12"/>
        </w:rPr>
        <w:t xml:space="preserve"> </w:t>
      </w:r>
      <w:r>
        <w:rPr>
          <w:color w:val="211F1F"/>
          <w:spacing w:val="-2"/>
        </w:rPr>
        <w:t>of</w:t>
      </w:r>
      <w:r>
        <w:rPr>
          <w:color w:val="211F1F"/>
          <w:spacing w:val="-10"/>
        </w:rPr>
        <w:t xml:space="preserve"> </w:t>
      </w:r>
      <w:r>
        <w:rPr>
          <w:color w:val="211F1F"/>
          <w:spacing w:val="-2"/>
        </w:rPr>
        <w:t>paragraphs</w:t>
      </w:r>
      <w:r>
        <w:rPr>
          <w:color w:val="211F1F"/>
          <w:spacing w:val="-8"/>
        </w:rPr>
        <w:t xml:space="preserve"> </w:t>
      </w:r>
      <w:r>
        <w:rPr>
          <w:color w:val="211F1F"/>
          <w:spacing w:val="-2"/>
        </w:rPr>
        <w:t>(5)(a)</w:t>
      </w:r>
      <w:r>
        <w:rPr>
          <w:color w:val="211F1F"/>
          <w:spacing w:val="-9"/>
        </w:rPr>
        <w:t xml:space="preserve"> </w:t>
      </w:r>
      <w:r>
        <w:rPr>
          <w:color w:val="211F1F"/>
          <w:spacing w:val="-2"/>
        </w:rPr>
        <w:t>or</w:t>
      </w:r>
      <w:r>
        <w:rPr>
          <w:color w:val="211F1F"/>
          <w:spacing w:val="-10"/>
        </w:rPr>
        <w:t xml:space="preserve"> </w:t>
      </w:r>
      <w:r>
        <w:rPr>
          <w:color w:val="211F1F"/>
          <w:spacing w:val="-2"/>
        </w:rPr>
        <w:t>(5)(b)</w:t>
      </w:r>
      <w:r>
        <w:rPr>
          <w:color w:val="211F1F"/>
          <w:spacing w:val="-19"/>
        </w:rPr>
        <w:t xml:space="preserve"> </w:t>
      </w:r>
      <w:r>
        <w:rPr>
          <w:color w:val="211F1F"/>
          <w:spacing w:val="-2"/>
        </w:rPr>
        <w:t>above,</w:t>
      </w:r>
      <w:r>
        <w:rPr>
          <w:color w:val="211F1F"/>
          <w:spacing w:val="-5"/>
        </w:rPr>
        <w:t xml:space="preserve"> </w:t>
      </w:r>
      <w:r>
        <w:rPr>
          <w:color w:val="211F1F"/>
          <w:spacing w:val="-2"/>
        </w:rPr>
        <w:t>there</w:t>
      </w:r>
      <w:r>
        <w:rPr>
          <w:color w:val="211F1F"/>
          <w:spacing w:val="-14"/>
        </w:rPr>
        <w:t xml:space="preserve"> </w:t>
      </w:r>
      <w:r>
        <w:rPr>
          <w:color w:val="211F1F"/>
          <w:spacing w:val="-2"/>
        </w:rPr>
        <w:t>has</w:t>
      </w:r>
      <w:r>
        <w:rPr>
          <w:color w:val="211F1F"/>
          <w:spacing w:val="-12"/>
        </w:rPr>
        <w:t xml:space="preserve"> </w:t>
      </w:r>
      <w:r>
        <w:rPr>
          <w:color w:val="211F1F"/>
          <w:spacing w:val="-2"/>
        </w:rPr>
        <w:t>been</w:t>
      </w:r>
      <w:r>
        <w:rPr>
          <w:color w:val="211F1F"/>
          <w:spacing w:val="-12"/>
        </w:rPr>
        <w:t xml:space="preserve"> </w:t>
      </w:r>
      <w:r>
        <w:rPr>
          <w:color w:val="211F1F"/>
          <w:spacing w:val="-2"/>
        </w:rPr>
        <w:t>no</w:t>
      </w:r>
      <w:r>
        <w:rPr>
          <w:color w:val="211F1F"/>
          <w:spacing w:val="-17"/>
        </w:rPr>
        <w:t xml:space="preserve"> </w:t>
      </w:r>
      <w:r>
        <w:rPr>
          <w:color w:val="211F1F"/>
          <w:spacing w:val="-2"/>
        </w:rPr>
        <w:t xml:space="preserve">consultation, </w:t>
      </w:r>
      <w:r>
        <w:rPr>
          <w:color w:val="211F1F"/>
        </w:rPr>
        <w:t>communication,</w:t>
      </w:r>
      <w:r>
        <w:rPr>
          <w:color w:val="211F1F"/>
          <w:spacing w:val="-12"/>
        </w:rPr>
        <w:t xml:space="preserve"> </w:t>
      </w:r>
      <w:r>
        <w:rPr>
          <w:color w:val="211F1F"/>
        </w:rPr>
        <w:t>agreement</w:t>
      </w:r>
      <w:r>
        <w:rPr>
          <w:color w:val="211F1F"/>
          <w:spacing w:val="-7"/>
        </w:rPr>
        <w:t xml:space="preserve"> </w:t>
      </w:r>
      <w:r>
        <w:rPr>
          <w:color w:val="211F1F"/>
        </w:rPr>
        <w:t>or</w:t>
      </w:r>
      <w:r>
        <w:rPr>
          <w:color w:val="211F1F"/>
          <w:spacing w:val="-6"/>
        </w:rPr>
        <w:t xml:space="preserve"> </w:t>
      </w:r>
      <w:r>
        <w:rPr>
          <w:color w:val="211F1F"/>
        </w:rPr>
        <w:t>arrangement</w:t>
      </w:r>
      <w:r>
        <w:rPr>
          <w:color w:val="211F1F"/>
          <w:spacing w:val="-7"/>
        </w:rPr>
        <w:t xml:space="preserve"> </w:t>
      </w:r>
      <w:r>
        <w:rPr>
          <w:color w:val="211F1F"/>
        </w:rPr>
        <w:t>with</w:t>
      </w:r>
      <w:r>
        <w:rPr>
          <w:color w:val="211F1F"/>
          <w:spacing w:val="-15"/>
        </w:rPr>
        <w:t xml:space="preserve"> </w:t>
      </w:r>
      <w:r>
        <w:rPr>
          <w:color w:val="211F1F"/>
        </w:rPr>
        <w:t>any</w:t>
      </w:r>
      <w:r>
        <w:rPr>
          <w:color w:val="211F1F"/>
          <w:spacing w:val="-15"/>
        </w:rPr>
        <w:t xml:space="preserve"> </w:t>
      </w:r>
      <w:r>
        <w:rPr>
          <w:color w:val="211F1F"/>
        </w:rPr>
        <w:t>competitor</w:t>
      </w:r>
      <w:r>
        <w:rPr>
          <w:color w:val="211F1F"/>
          <w:spacing w:val="-16"/>
        </w:rPr>
        <w:t xml:space="preserve"> </w:t>
      </w:r>
      <w:r>
        <w:rPr>
          <w:color w:val="211F1F"/>
        </w:rPr>
        <w:t>regarding:</w:t>
      </w:r>
    </w:p>
    <w:p w14:paraId="0590B948" w14:textId="77777777" w:rsidR="00BB77C0" w:rsidRDefault="00370BAA">
      <w:pPr>
        <w:pStyle w:val="ListParagraph"/>
        <w:numPr>
          <w:ilvl w:val="1"/>
          <w:numId w:val="43"/>
        </w:numPr>
        <w:tabs>
          <w:tab w:val="left" w:pos="1584"/>
        </w:tabs>
        <w:spacing w:line="238" w:lineRule="exact"/>
        <w:ind w:hanging="533"/>
      </w:pPr>
      <w:r>
        <w:rPr>
          <w:color w:val="211F1F"/>
          <w:spacing w:val="-2"/>
        </w:rPr>
        <w:t>prices;</w:t>
      </w:r>
    </w:p>
    <w:p w14:paraId="1C20C1D8" w14:textId="77777777" w:rsidR="00BB77C0" w:rsidRDefault="00370BAA">
      <w:pPr>
        <w:pStyle w:val="ListParagraph"/>
        <w:numPr>
          <w:ilvl w:val="1"/>
          <w:numId w:val="43"/>
        </w:numPr>
        <w:tabs>
          <w:tab w:val="left" w:pos="1584"/>
        </w:tabs>
        <w:spacing w:line="245" w:lineRule="exact"/>
        <w:ind w:hanging="533"/>
      </w:pPr>
      <w:r>
        <w:rPr>
          <w:color w:val="211F1F"/>
          <w:spacing w:val="-4"/>
        </w:rPr>
        <w:t>methods,</w:t>
      </w:r>
      <w:r>
        <w:rPr>
          <w:color w:val="211F1F"/>
          <w:spacing w:val="-5"/>
        </w:rPr>
        <w:t xml:space="preserve"> </w:t>
      </w:r>
      <w:r>
        <w:rPr>
          <w:color w:val="211F1F"/>
          <w:spacing w:val="-4"/>
        </w:rPr>
        <w:t>factors</w:t>
      </w:r>
      <w:r>
        <w:rPr>
          <w:color w:val="211F1F"/>
          <w:spacing w:val="-7"/>
        </w:rPr>
        <w:t xml:space="preserve"> </w:t>
      </w:r>
      <w:r>
        <w:rPr>
          <w:color w:val="211F1F"/>
          <w:spacing w:val="-4"/>
        </w:rPr>
        <w:t>or</w:t>
      </w:r>
      <w:r>
        <w:rPr>
          <w:color w:val="211F1F"/>
          <w:spacing w:val="-5"/>
        </w:rPr>
        <w:t xml:space="preserve"> </w:t>
      </w:r>
      <w:r>
        <w:rPr>
          <w:color w:val="211F1F"/>
          <w:spacing w:val="-4"/>
        </w:rPr>
        <w:t>formulas</w:t>
      </w:r>
      <w:r>
        <w:rPr>
          <w:color w:val="211F1F"/>
          <w:spacing w:val="-7"/>
        </w:rPr>
        <w:t xml:space="preserve"> </w:t>
      </w:r>
      <w:r>
        <w:rPr>
          <w:color w:val="211F1F"/>
          <w:spacing w:val="-4"/>
        </w:rPr>
        <w:t>used</w:t>
      </w:r>
      <w:r>
        <w:rPr>
          <w:color w:val="211F1F"/>
          <w:spacing w:val="-9"/>
        </w:rPr>
        <w:t xml:space="preserve"> </w:t>
      </w:r>
      <w:r>
        <w:rPr>
          <w:color w:val="211F1F"/>
          <w:spacing w:val="-4"/>
        </w:rPr>
        <w:t>to</w:t>
      </w:r>
      <w:r>
        <w:rPr>
          <w:color w:val="211F1F"/>
          <w:spacing w:val="-8"/>
        </w:rPr>
        <w:t xml:space="preserve"> </w:t>
      </w:r>
      <w:r>
        <w:rPr>
          <w:color w:val="211F1F"/>
          <w:spacing w:val="-4"/>
        </w:rPr>
        <w:t>calculate</w:t>
      </w:r>
      <w:r>
        <w:rPr>
          <w:color w:val="211F1F"/>
          <w:spacing w:val="-9"/>
        </w:rPr>
        <w:t xml:space="preserve"> </w:t>
      </w:r>
      <w:r>
        <w:rPr>
          <w:color w:val="211F1F"/>
          <w:spacing w:val="-4"/>
        </w:rPr>
        <w:t>prices;</w:t>
      </w:r>
    </w:p>
    <w:p w14:paraId="2FB94846" w14:textId="77777777" w:rsidR="00BB77C0" w:rsidRDefault="00370BAA">
      <w:pPr>
        <w:pStyle w:val="ListParagraph"/>
        <w:numPr>
          <w:ilvl w:val="1"/>
          <w:numId w:val="43"/>
        </w:numPr>
        <w:tabs>
          <w:tab w:val="left" w:pos="1584"/>
        </w:tabs>
        <w:spacing w:line="245" w:lineRule="exact"/>
        <w:ind w:hanging="533"/>
      </w:pPr>
      <w:r>
        <w:rPr>
          <w:color w:val="211F1F"/>
          <w:spacing w:val="-4"/>
        </w:rPr>
        <w:t>the</w:t>
      </w:r>
      <w:r>
        <w:rPr>
          <w:color w:val="211F1F"/>
          <w:spacing w:val="-18"/>
        </w:rPr>
        <w:t xml:space="preserve"> </w:t>
      </w:r>
      <w:r>
        <w:rPr>
          <w:color w:val="211F1F"/>
          <w:spacing w:val="-4"/>
        </w:rPr>
        <w:t>intention</w:t>
      </w:r>
      <w:r>
        <w:rPr>
          <w:color w:val="211F1F"/>
          <w:spacing w:val="-13"/>
        </w:rPr>
        <w:t xml:space="preserve"> </w:t>
      </w:r>
      <w:r>
        <w:rPr>
          <w:color w:val="211F1F"/>
          <w:spacing w:val="-4"/>
        </w:rPr>
        <w:t>or</w:t>
      </w:r>
      <w:r>
        <w:rPr>
          <w:color w:val="211F1F"/>
          <w:spacing w:val="1"/>
        </w:rPr>
        <w:t xml:space="preserve"> </w:t>
      </w:r>
      <w:r>
        <w:rPr>
          <w:color w:val="211F1F"/>
          <w:spacing w:val="-4"/>
        </w:rPr>
        <w:t>decision</w:t>
      </w:r>
      <w:r>
        <w:rPr>
          <w:color w:val="211F1F"/>
          <w:spacing w:val="-15"/>
        </w:rPr>
        <w:t xml:space="preserve"> </w:t>
      </w:r>
      <w:r>
        <w:rPr>
          <w:color w:val="211F1F"/>
          <w:spacing w:val="-4"/>
        </w:rPr>
        <w:t>to</w:t>
      </w:r>
      <w:r>
        <w:rPr>
          <w:color w:val="211F1F"/>
          <w:spacing w:val="-14"/>
        </w:rPr>
        <w:t xml:space="preserve"> </w:t>
      </w:r>
      <w:r>
        <w:rPr>
          <w:color w:val="211F1F"/>
          <w:spacing w:val="-4"/>
        </w:rPr>
        <w:t>submit,</w:t>
      </w:r>
      <w:r>
        <w:rPr>
          <w:color w:val="211F1F"/>
          <w:spacing w:val="-5"/>
        </w:rPr>
        <w:t xml:space="preserve"> </w:t>
      </w:r>
      <w:r>
        <w:rPr>
          <w:color w:val="211F1F"/>
          <w:spacing w:val="-4"/>
        </w:rPr>
        <w:t>or</w:t>
      </w:r>
      <w:r>
        <w:rPr>
          <w:color w:val="211F1F"/>
          <w:spacing w:val="-5"/>
        </w:rPr>
        <w:t xml:space="preserve"> </w:t>
      </w:r>
      <w:r>
        <w:rPr>
          <w:color w:val="211F1F"/>
          <w:spacing w:val="-4"/>
        </w:rPr>
        <w:t>not</w:t>
      </w:r>
      <w:r>
        <w:rPr>
          <w:color w:val="211F1F"/>
          <w:spacing w:val="-8"/>
        </w:rPr>
        <w:t xml:space="preserve"> </w:t>
      </w:r>
      <w:r>
        <w:rPr>
          <w:color w:val="211F1F"/>
          <w:spacing w:val="-4"/>
        </w:rPr>
        <w:t>to</w:t>
      </w:r>
      <w:r>
        <w:rPr>
          <w:color w:val="211F1F"/>
          <w:spacing w:val="-15"/>
        </w:rPr>
        <w:t xml:space="preserve"> </w:t>
      </w:r>
      <w:r>
        <w:rPr>
          <w:color w:val="211F1F"/>
          <w:spacing w:val="-4"/>
        </w:rPr>
        <w:t>submit,</w:t>
      </w:r>
      <w:r>
        <w:rPr>
          <w:color w:val="211F1F"/>
          <w:spacing w:val="-17"/>
        </w:rPr>
        <w:t xml:space="preserve"> </w:t>
      </w:r>
      <w:r>
        <w:rPr>
          <w:color w:val="211F1F"/>
          <w:spacing w:val="-4"/>
        </w:rPr>
        <w:t>a</w:t>
      </w:r>
      <w:r>
        <w:rPr>
          <w:color w:val="211F1F"/>
          <w:spacing w:val="-11"/>
        </w:rPr>
        <w:t xml:space="preserve"> </w:t>
      </w:r>
      <w:r>
        <w:rPr>
          <w:color w:val="211F1F"/>
          <w:spacing w:val="-4"/>
        </w:rPr>
        <w:t>tender;</w:t>
      </w:r>
      <w:r>
        <w:rPr>
          <w:color w:val="211F1F"/>
          <w:spacing w:val="-6"/>
        </w:rPr>
        <w:t xml:space="preserve"> </w:t>
      </w:r>
      <w:r>
        <w:rPr>
          <w:color w:val="211F1F"/>
          <w:spacing w:val="-5"/>
        </w:rPr>
        <w:t>or</w:t>
      </w:r>
    </w:p>
    <w:p w14:paraId="72165FDF" w14:textId="77777777" w:rsidR="00BB77C0" w:rsidRDefault="00370BAA">
      <w:pPr>
        <w:pStyle w:val="ListParagraph"/>
        <w:numPr>
          <w:ilvl w:val="1"/>
          <w:numId w:val="43"/>
        </w:numPr>
        <w:tabs>
          <w:tab w:val="left" w:pos="1584"/>
          <w:tab w:val="left" w:pos="1589"/>
        </w:tabs>
        <w:spacing w:before="6" w:line="228" w:lineRule="auto"/>
        <w:ind w:left="1589" w:right="983" w:hanging="539"/>
      </w:pPr>
      <w:r>
        <w:rPr>
          <w:color w:val="211F1F"/>
        </w:rPr>
        <w:t>the</w:t>
      </w:r>
      <w:r>
        <w:rPr>
          <w:color w:val="211F1F"/>
          <w:spacing w:val="-8"/>
        </w:rPr>
        <w:t xml:space="preserve"> </w:t>
      </w:r>
      <w:r>
        <w:rPr>
          <w:color w:val="211F1F"/>
        </w:rPr>
        <w:t>submission</w:t>
      </w:r>
      <w:r>
        <w:rPr>
          <w:color w:val="211F1F"/>
          <w:spacing w:val="-6"/>
        </w:rPr>
        <w:t xml:space="preserve"> </w:t>
      </w:r>
      <w:r>
        <w:rPr>
          <w:color w:val="211F1F"/>
        </w:rPr>
        <w:t>of</w:t>
      </w:r>
      <w:r>
        <w:rPr>
          <w:color w:val="211F1F"/>
          <w:spacing w:val="-8"/>
        </w:rPr>
        <w:t xml:space="preserve"> </w:t>
      </w:r>
      <w:r>
        <w:rPr>
          <w:color w:val="211F1F"/>
        </w:rPr>
        <w:t>a tender</w:t>
      </w:r>
      <w:r>
        <w:rPr>
          <w:color w:val="211F1F"/>
          <w:spacing w:val="-4"/>
        </w:rPr>
        <w:t xml:space="preserve"> </w:t>
      </w:r>
      <w:r>
        <w:rPr>
          <w:color w:val="211F1F"/>
        </w:rPr>
        <w:t>which</w:t>
      </w:r>
      <w:r>
        <w:rPr>
          <w:color w:val="211F1F"/>
          <w:spacing w:val="-6"/>
        </w:rPr>
        <w:t xml:space="preserve"> </w:t>
      </w:r>
      <w:r>
        <w:rPr>
          <w:color w:val="211F1F"/>
        </w:rPr>
        <w:t>does</w:t>
      </w:r>
      <w:r>
        <w:rPr>
          <w:color w:val="211F1F"/>
          <w:spacing w:val="-2"/>
        </w:rPr>
        <w:t xml:space="preserve"> </w:t>
      </w:r>
      <w:r>
        <w:rPr>
          <w:color w:val="211F1F"/>
        </w:rPr>
        <w:t>not</w:t>
      </w:r>
      <w:r>
        <w:rPr>
          <w:color w:val="211F1F"/>
          <w:spacing w:val="-1"/>
        </w:rPr>
        <w:t xml:space="preserve"> </w:t>
      </w:r>
      <w:r>
        <w:rPr>
          <w:color w:val="211F1F"/>
        </w:rPr>
        <w:t>meet</w:t>
      </w:r>
      <w:r>
        <w:rPr>
          <w:color w:val="211F1F"/>
          <w:spacing w:val="-2"/>
        </w:rPr>
        <w:t xml:space="preserve"> </w:t>
      </w:r>
      <w:r>
        <w:rPr>
          <w:color w:val="211F1F"/>
        </w:rPr>
        <w:t>the</w:t>
      </w:r>
      <w:r>
        <w:rPr>
          <w:color w:val="211F1F"/>
          <w:spacing w:val="-9"/>
        </w:rPr>
        <w:t xml:space="preserve"> </w:t>
      </w:r>
      <w:r>
        <w:rPr>
          <w:color w:val="211F1F"/>
        </w:rPr>
        <w:t>specifications</w:t>
      </w:r>
      <w:r>
        <w:rPr>
          <w:color w:val="211F1F"/>
          <w:spacing w:val="-5"/>
        </w:rPr>
        <w:t xml:space="preserve"> </w:t>
      </w:r>
      <w:r>
        <w:rPr>
          <w:color w:val="211F1F"/>
        </w:rPr>
        <w:t>of</w:t>
      </w:r>
      <w:r>
        <w:rPr>
          <w:color w:val="211F1F"/>
          <w:spacing w:val="-8"/>
        </w:rPr>
        <w:t xml:space="preserve"> </w:t>
      </w:r>
      <w:r>
        <w:rPr>
          <w:color w:val="211F1F"/>
        </w:rPr>
        <w:t>the</w:t>
      </w:r>
      <w:r>
        <w:rPr>
          <w:color w:val="211F1F"/>
          <w:spacing w:val="-13"/>
        </w:rPr>
        <w:t xml:space="preserve"> </w:t>
      </w:r>
      <w:r>
        <w:rPr>
          <w:color w:val="211F1F"/>
        </w:rPr>
        <w:t>request</w:t>
      </w:r>
      <w:r>
        <w:rPr>
          <w:color w:val="211F1F"/>
          <w:spacing w:val="-1"/>
        </w:rPr>
        <w:t xml:space="preserve"> </w:t>
      </w:r>
      <w:r>
        <w:rPr>
          <w:color w:val="211F1F"/>
        </w:rPr>
        <w:t>for</w:t>
      </w:r>
      <w:r>
        <w:rPr>
          <w:color w:val="211F1F"/>
          <w:spacing w:val="-4"/>
        </w:rPr>
        <w:t xml:space="preserve"> </w:t>
      </w:r>
      <w:r>
        <w:rPr>
          <w:color w:val="211F1F"/>
        </w:rPr>
        <w:t>Tenders;</w:t>
      </w:r>
      <w:r>
        <w:rPr>
          <w:color w:val="211F1F"/>
          <w:spacing w:val="-1"/>
        </w:rPr>
        <w:t xml:space="preserve"> </w:t>
      </w:r>
      <w:r>
        <w:rPr>
          <w:color w:val="211F1F"/>
        </w:rPr>
        <w:t>except</w:t>
      </w:r>
      <w:r>
        <w:rPr>
          <w:color w:val="211F1F"/>
          <w:spacing w:val="-1"/>
        </w:rPr>
        <w:t xml:space="preserve"> </w:t>
      </w:r>
      <w:r>
        <w:rPr>
          <w:color w:val="211F1F"/>
        </w:rPr>
        <w:t>as specifically disclosed pursuant to paragraph (5)(b) above;</w:t>
      </w:r>
    </w:p>
    <w:p w14:paraId="5F68E1ED" w14:textId="77777777" w:rsidR="00BB77C0" w:rsidRDefault="00370BAA">
      <w:pPr>
        <w:pStyle w:val="ListParagraph"/>
        <w:numPr>
          <w:ilvl w:val="0"/>
          <w:numId w:val="43"/>
        </w:numPr>
        <w:tabs>
          <w:tab w:val="left" w:pos="1049"/>
          <w:tab w:val="left" w:pos="1051"/>
        </w:tabs>
        <w:spacing w:before="247" w:line="230" w:lineRule="auto"/>
        <w:ind w:right="715"/>
        <w:jc w:val="both"/>
      </w:pPr>
      <w:r>
        <w:rPr>
          <w:color w:val="211F1F"/>
        </w:rPr>
        <w:t xml:space="preserve">In addition, there has been no consultation, communication, agreement or arrangement with any competitor </w:t>
      </w:r>
      <w:r>
        <w:rPr>
          <w:color w:val="211F1F"/>
          <w:spacing w:val="-2"/>
        </w:rPr>
        <w:t>regarding</w:t>
      </w:r>
      <w:r>
        <w:rPr>
          <w:color w:val="211F1F"/>
          <w:spacing w:val="-5"/>
        </w:rPr>
        <w:t xml:space="preserve"> </w:t>
      </w:r>
      <w:r>
        <w:rPr>
          <w:color w:val="211F1F"/>
          <w:spacing w:val="-2"/>
        </w:rPr>
        <w:t>the</w:t>
      </w:r>
      <w:r>
        <w:rPr>
          <w:color w:val="211F1F"/>
          <w:spacing w:val="-7"/>
        </w:rPr>
        <w:t xml:space="preserve"> </w:t>
      </w:r>
      <w:r>
        <w:rPr>
          <w:color w:val="211F1F"/>
          <w:spacing w:val="-2"/>
        </w:rPr>
        <w:t>quality,</w:t>
      </w:r>
      <w:r>
        <w:rPr>
          <w:color w:val="211F1F"/>
          <w:spacing w:val="-3"/>
        </w:rPr>
        <w:t xml:space="preserve"> </w:t>
      </w:r>
      <w:r>
        <w:rPr>
          <w:color w:val="211F1F"/>
          <w:spacing w:val="-2"/>
        </w:rPr>
        <w:t>quantity,</w:t>
      </w:r>
      <w:r>
        <w:rPr>
          <w:color w:val="211F1F"/>
          <w:spacing w:val="-3"/>
        </w:rPr>
        <w:t xml:space="preserve"> </w:t>
      </w:r>
      <w:r>
        <w:rPr>
          <w:color w:val="211F1F"/>
          <w:spacing w:val="-2"/>
        </w:rPr>
        <w:t>specifications or delivery</w:t>
      </w:r>
      <w:r>
        <w:rPr>
          <w:color w:val="211F1F"/>
          <w:spacing w:val="-10"/>
        </w:rPr>
        <w:t xml:space="preserve"> </w:t>
      </w:r>
      <w:r>
        <w:rPr>
          <w:color w:val="211F1F"/>
          <w:spacing w:val="-2"/>
        </w:rPr>
        <w:t>particulars of</w:t>
      </w:r>
      <w:r>
        <w:rPr>
          <w:color w:val="211F1F"/>
          <w:spacing w:val="-7"/>
        </w:rPr>
        <w:t xml:space="preserve"> </w:t>
      </w:r>
      <w:r>
        <w:rPr>
          <w:color w:val="211F1F"/>
          <w:spacing w:val="-2"/>
        </w:rPr>
        <w:t>the</w:t>
      </w:r>
      <w:r>
        <w:rPr>
          <w:color w:val="211F1F"/>
          <w:spacing w:val="-7"/>
        </w:rPr>
        <w:t xml:space="preserve"> </w:t>
      </w:r>
      <w:r>
        <w:rPr>
          <w:color w:val="211F1F"/>
          <w:spacing w:val="-2"/>
        </w:rPr>
        <w:t>works or services</w:t>
      </w:r>
      <w:r>
        <w:rPr>
          <w:color w:val="211F1F"/>
          <w:spacing w:val="-5"/>
        </w:rPr>
        <w:t xml:space="preserve"> </w:t>
      </w:r>
      <w:r>
        <w:rPr>
          <w:color w:val="211F1F"/>
          <w:spacing w:val="-2"/>
        </w:rPr>
        <w:t>to</w:t>
      </w:r>
      <w:r>
        <w:rPr>
          <w:color w:val="211F1F"/>
          <w:spacing w:val="-6"/>
        </w:rPr>
        <w:t xml:space="preserve"> </w:t>
      </w:r>
      <w:r>
        <w:rPr>
          <w:color w:val="211F1F"/>
          <w:spacing w:val="-2"/>
        </w:rPr>
        <w:t>which</w:t>
      </w:r>
      <w:r>
        <w:rPr>
          <w:color w:val="211F1F"/>
          <w:spacing w:val="-5"/>
        </w:rPr>
        <w:t xml:space="preserve"> </w:t>
      </w:r>
      <w:r>
        <w:rPr>
          <w:color w:val="211F1F"/>
          <w:spacing w:val="-2"/>
        </w:rPr>
        <w:t>this</w:t>
      </w:r>
      <w:r>
        <w:rPr>
          <w:color w:val="211F1F"/>
          <w:spacing w:val="-10"/>
        </w:rPr>
        <w:t xml:space="preserve"> </w:t>
      </w:r>
      <w:r>
        <w:rPr>
          <w:color w:val="211F1F"/>
          <w:spacing w:val="-2"/>
        </w:rPr>
        <w:t xml:space="preserve">request </w:t>
      </w:r>
      <w:r>
        <w:rPr>
          <w:color w:val="211F1F"/>
        </w:rPr>
        <w:t>for tenders relates, except as specifically authorized by the procuring authority or as specifically disclosed pursuant to paragraph (5)(b) above;</w:t>
      </w:r>
    </w:p>
    <w:p w14:paraId="55B01AF0" w14:textId="77777777" w:rsidR="00BB77C0" w:rsidRDefault="00BB77C0">
      <w:pPr>
        <w:pStyle w:val="BodyText"/>
        <w:spacing w:before="5"/>
      </w:pPr>
    </w:p>
    <w:p w14:paraId="60063ADC" w14:textId="77777777" w:rsidR="00BB77C0" w:rsidRDefault="00370BAA">
      <w:pPr>
        <w:pStyle w:val="ListParagraph"/>
        <w:numPr>
          <w:ilvl w:val="0"/>
          <w:numId w:val="43"/>
        </w:numPr>
        <w:tabs>
          <w:tab w:val="left" w:pos="1049"/>
          <w:tab w:val="left" w:pos="1051"/>
        </w:tabs>
        <w:spacing w:line="230" w:lineRule="auto"/>
        <w:ind w:right="704" w:hanging="572"/>
        <w:jc w:val="both"/>
      </w:pPr>
      <w:r>
        <w:rPr>
          <w:color w:val="211F1F"/>
          <w:spacing w:val="-4"/>
        </w:rPr>
        <w:t>the</w:t>
      </w:r>
      <w:r>
        <w:rPr>
          <w:color w:val="211F1F"/>
          <w:spacing w:val="-10"/>
        </w:rPr>
        <w:t xml:space="preserve"> </w:t>
      </w:r>
      <w:r>
        <w:rPr>
          <w:color w:val="211F1F"/>
          <w:spacing w:val="-4"/>
        </w:rPr>
        <w:t>terms</w:t>
      </w:r>
      <w:r>
        <w:rPr>
          <w:color w:val="211F1F"/>
          <w:spacing w:val="-10"/>
        </w:rPr>
        <w:t xml:space="preserve"> </w:t>
      </w:r>
      <w:r>
        <w:rPr>
          <w:color w:val="211F1F"/>
          <w:spacing w:val="-4"/>
        </w:rPr>
        <w:t>of</w:t>
      </w:r>
      <w:r>
        <w:rPr>
          <w:color w:val="211F1F"/>
          <w:spacing w:val="-10"/>
        </w:rPr>
        <w:t xml:space="preserve"> </w:t>
      </w:r>
      <w:r>
        <w:rPr>
          <w:color w:val="211F1F"/>
          <w:spacing w:val="-4"/>
        </w:rPr>
        <w:t>the</w:t>
      </w:r>
      <w:r>
        <w:rPr>
          <w:color w:val="211F1F"/>
          <w:spacing w:val="-9"/>
        </w:rPr>
        <w:t xml:space="preserve"> </w:t>
      </w:r>
      <w:r>
        <w:rPr>
          <w:color w:val="211F1F"/>
          <w:spacing w:val="-4"/>
        </w:rPr>
        <w:t>Tender</w:t>
      </w:r>
      <w:r>
        <w:rPr>
          <w:color w:val="211F1F"/>
          <w:spacing w:val="-10"/>
        </w:rPr>
        <w:t xml:space="preserve"> </w:t>
      </w:r>
      <w:r>
        <w:rPr>
          <w:color w:val="211F1F"/>
          <w:spacing w:val="-4"/>
        </w:rPr>
        <w:t>have</w:t>
      </w:r>
      <w:r>
        <w:rPr>
          <w:color w:val="211F1F"/>
          <w:spacing w:val="-10"/>
        </w:rPr>
        <w:t xml:space="preserve"> </w:t>
      </w:r>
      <w:r>
        <w:rPr>
          <w:color w:val="211F1F"/>
          <w:spacing w:val="-4"/>
        </w:rPr>
        <w:t>not</w:t>
      </w:r>
      <w:r>
        <w:rPr>
          <w:color w:val="211F1F"/>
          <w:spacing w:val="-10"/>
        </w:rPr>
        <w:t xml:space="preserve"> </w:t>
      </w:r>
      <w:r>
        <w:rPr>
          <w:color w:val="211F1F"/>
          <w:spacing w:val="-4"/>
        </w:rPr>
        <w:t>been,</w:t>
      </w:r>
      <w:r>
        <w:rPr>
          <w:color w:val="211F1F"/>
          <w:spacing w:val="-9"/>
        </w:rPr>
        <w:t xml:space="preserve"> </w:t>
      </w:r>
      <w:r>
        <w:rPr>
          <w:color w:val="211F1F"/>
          <w:spacing w:val="-4"/>
        </w:rPr>
        <w:t>and</w:t>
      </w:r>
      <w:r>
        <w:rPr>
          <w:color w:val="211F1F"/>
          <w:spacing w:val="-10"/>
        </w:rPr>
        <w:t xml:space="preserve"> </w:t>
      </w:r>
      <w:r>
        <w:rPr>
          <w:color w:val="211F1F"/>
          <w:spacing w:val="-4"/>
        </w:rPr>
        <w:t>will</w:t>
      </w:r>
      <w:r>
        <w:rPr>
          <w:color w:val="211F1F"/>
          <w:spacing w:val="-10"/>
        </w:rPr>
        <w:t xml:space="preserve"> </w:t>
      </w:r>
      <w:r>
        <w:rPr>
          <w:color w:val="211F1F"/>
          <w:spacing w:val="-4"/>
        </w:rPr>
        <w:t>not</w:t>
      </w:r>
      <w:r>
        <w:rPr>
          <w:color w:val="211F1F"/>
          <w:spacing w:val="-10"/>
        </w:rPr>
        <w:t xml:space="preserve"> </w:t>
      </w:r>
      <w:r>
        <w:rPr>
          <w:color w:val="211F1F"/>
          <w:spacing w:val="-4"/>
        </w:rPr>
        <w:t>be,</w:t>
      </w:r>
      <w:r>
        <w:rPr>
          <w:color w:val="211F1F"/>
          <w:spacing w:val="-9"/>
        </w:rPr>
        <w:t xml:space="preserve"> </w:t>
      </w:r>
      <w:r>
        <w:rPr>
          <w:color w:val="211F1F"/>
          <w:spacing w:val="-4"/>
        </w:rPr>
        <w:t>knowingly</w:t>
      </w:r>
      <w:r>
        <w:rPr>
          <w:color w:val="211F1F"/>
          <w:spacing w:val="-10"/>
        </w:rPr>
        <w:t xml:space="preserve"> </w:t>
      </w:r>
      <w:r>
        <w:rPr>
          <w:color w:val="211F1F"/>
          <w:spacing w:val="-4"/>
        </w:rPr>
        <w:t>disclosed</w:t>
      </w:r>
      <w:r>
        <w:rPr>
          <w:color w:val="211F1F"/>
          <w:spacing w:val="-10"/>
        </w:rPr>
        <w:t xml:space="preserve"> </w:t>
      </w:r>
      <w:r>
        <w:rPr>
          <w:color w:val="211F1F"/>
          <w:spacing w:val="-4"/>
        </w:rPr>
        <w:t>by</w:t>
      </w:r>
      <w:r>
        <w:rPr>
          <w:color w:val="211F1F"/>
          <w:spacing w:val="-10"/>
        </w:rPr>
        <w:t xml:space="preserve"> </w:t>
      </w:r>
      <w:r>
        <w:rPr>
          <w:color w:val="211F1F"/>
          <w:spacing w:val="-4"/>
        </w:rPr>
        <w:t>the</w:t>
      </w:r>
      <w:r>
        <w:rPr>
          <w:color w:val="211F1F"/>
          <w:spacing w:val="-9"/>
        </w:rPr>
        <w:t xml:space="preserve"> </w:t>
      </w:r>
      <w:r>
        <w:rPr>
          <w:color w:val="211F1F"/>
          <w:spacing w:val="-4"/>
        </w:rPr>
        <w:t>Tenderer, directly</w:t>
      </w:r>
      <w:r>
        <w:rPr>
          <w:color w:val="211F1F"/>
          <w:spacing w:val="-9"/>
        </w:rPr>
        <w:t xml:space="preserve"> </w:t>
      </w:r>
      <w:r>
        <w:rPr>
          <w:color w:val="211F1F"/>
          <w:spacing w:val="-4"/>
        </w:rPr>
        <w:t>or</w:t>
      </w:r>
      <w:r>
        <w:rPr>
          <w:color w:val="211F1F"/>
          <w:spacing w:val="-7"/>
        </w:rPr>
        <w:t xml:space="preserve"> </w:t>
      </w:r>
      <w:r>
        <w:rPr>
          <w:color w:val="211F1F"/>
          <w:spacing w:val="-4"/>
        </w:rPr>
        <w:t>indirectly,</w:t>
      </w:r>
      <w:r>
        <w:rPr>
          <w:color w:val="211F1F"/>
          <w:spacing w:val="13"/>
        </w:rPr>
        <w:t xml:space="preserve"> </w:t>
      </w:r>
      <w:r>
        <w:rPr>
          <w:color w:val="211F1F"/>
          <w:spacing w:val="-4"/>
        </w:rPr>
        <w:t xml:space="preserve">to </w:t>
      </w:r>
      <w:r>
        <w:rPr>
          <w:color w:val="211F1F"/>
        </w:rPr>
        <w:t>any competitor, prior to the date and time of the official tender opening, or of the awarding of the Contract, whichever</w:t>
      </w:r>
      <w:r>
        <w:rPr>
          <w:color w:val="211F1F"/>
          <w:spacing w:val="-12"/>
        </w:rPr>
        <w:t xml:space="preserve"> </w:t>
      </w:r>
      <w:r>
        <w:rPr>
          <w:color w:val="211F1F"/>
        </w:rPr>
        <w:t>comes</w:t>
      </w:r>
      <w:r>
        <w:rPr>
          <w:color w:val="211F1F"/>
          <w:spacing w:val="-5"/>
        </w:rPr>
        <w:t xml:space="preserve"> </w:t>
      </w:r>
      <w:r>
        <w:rPr>
          <w:color w:val="211F1F"/>
        </w:rPr>
        <w:t>first,</w:t>
      </w:r>
      <w:r>
        <w:rPr>
          <w:color w:val="211F1F"/>
          <w:spacing w:val="-9"/>
        </w:rPr>
        <w:t xml:space="preserve"> </w:t>
      </w:r>
      <w:r>
        <w:rPr>
          <w:color w:val="211F1F"/>
        </w:rPr>
        <w:t>unless</w:t>
      </w:r>
      <w:r>
        <w:rPr>
          <w:color w:val="211F1F"/>
          <w:spacing w:val="-5"/>
        </w:rPr>
        <w:t xml:space="preserve"> </w:t>
      </w:r>
      <w:r>
        <w:rPr>
          <w:color w:val="211F1F"/>
        </w:rPr>
        <w:t>otherwise</w:t>
      </w:r>
      <w:r>
        <w:rPr>
          <w:color w:val="211F1F"/>
          <w:spacing w:val="-14"/>
        </w:rPr>
        <w:t xml:space="preserve"> </w:t>
      </w:r>
      <w:r>
        <w:rPr>
          <w:color w:val="211F1F"/>
        </w:rPr>
        <w:t>required</w:t>
      </w:r>
      <w:r>
        <w:rPr>
          <w:color w:val="211F1F"/>
          <w:spacing w:val="-11"/>
        </w:rPr>
        <w:t xml:space="preserve"> </w:t>
      </w:r>
      <w:r>
        <w:rPr>
          <w:color w:val="211F1F"/>
        </w:rPr>
        <w:t>by</w:t>
      </w:r>
      <w:r>
        <w:rPr>
          <w:color w:val="211F1F"/>
          <w:spacing w:val="-14"/>
        </w:rPr>
        <w:t xml:space="preserve"> </w:t>
      </w:r>
      <w:r>
        <w:rPr>
          <w:color w:val="211F1F"/>
        </w:rPr>
        <w:t>law</w:t>
      </w:r>
      <w:r>
        <w:rPr>
          <w:color w:val="211F1F"/>
          <w:spacing w:val="-11"/>
        </w:rPr>
        <w:t xml:space="preserve"> </w:t>
      </w:r>
      <w:r>
        <w:rPr>
          <w:color w:val="211F1F"/>
        </w:rPr>
        <w:t>or</w:t>
      </w:r>
      <w:r>
        <w:rPr>
          <w:color w:val="211F1F"/>
          <w:spacing w:val="-8"/>
        </w:rPr>
        <w:t xml:space="preserve"> </w:t>
      </w:r>
      <w:r>
        <w:rPr>
          <w:color w:val="211F1F"/>
        </w:rPr>
        <w:t>as</w:t>
      </w:r>
      <w:r>
        <w:rPr>
          <w:color w:val="211F1F"/>
          <w:spacing w:val="-11"/>
        </w:rPr>
        <w:t xml:space="preserve"> </w:t>
      </w:r>
      <w:r>
        <w:rPr>
          <w:color w:val="211F1F"/>
        </w:rPr>
        <w:t>specifically</w:t>
      </w:r>
      <w:r>
        <w:rPr>
          <w:color w:val="211F1F"/>
          <w:spacing w:val="-10"/>
        </w:rPr>
        <w:t xml:space="preserve"> </w:t>
      </w:r>
      <w:r>
        <w:rPr>
          <w:color w:val="211F1F"/>
        </w:rPr>
        <w:t>disclosed</w:t>
      </w:r>
      <w:r>
        <w:rPr>
          <w:color w:val="211F1F"/>
          <w:spacing w:val="-11"/>
        </w:rPr>
        <w:t xml:space="preserve"> </w:t>
      </w:r>
      <w:r>
        <w:rPr>
          <w:color w:val="211F1F"/>
        </w:rPr>
        <w:t>pursuant</w:t>
      </w:r>
      <w:r>
        <w:rPr>
          <w:color w:val="211F1F"/>
          <w:spacing w:val="-5"/>
        </w:rPr>
        <w:t xml:space="preserve"> </w:t>
      </w:r>
      <w:r>
        <w:rPr>
          <w:color w:val="211F1F"/>
        </w:rPr>
        <w:t>to</w:t>
      </w:r>
      <w:r>
        <w:rPr>
          <w:color w:val="211F1F"/>
          <w:spacing w:val="-14"/>
        </w:rPr>
        <w:t xml:space="preserve"> </w:t>
      </w:r>
      <w:r>
        <w:rPr>
          <w:color w:val="211F1F"/>
        </w:rPr>
        <w:t>paragraph</w:t>
      </w:r>
      <w:r>
        <w:rPr>
          <w:color w:val="211F1F"/>
          <w:spacing w:val="-10"/>
        </w:rPr>
        <w:t xml:space="preserve"> </w:t>
      </w:r>
      <w:r>
        <w:rPr>
          <w:color w:val="211F1F"/>
        </w:rPr>
        <w:t xml:space="preserve">(5)(b) </w:t>
      </w:r>
      <w:r>
        <w:rPr>
          <w:color w:val="211F1F"/>
          <w:spacing w:val="-2"/>
        </w:rPr>
        <w:t>above.</w:t>
      </w:r>
    </w:p>
    <w:p w14:paraId="6A0CE34F" w14:textId="77777777" w:rsidR="00BB77C0" w:rsidRDefault="00370BAA">
      <w:pPr>
        <w:pStyle w:val="BodyText"/>
        <w:tabs>
          <w:tab w:val="left" w:pos="7685"/>
          <w:tab w:val="left" w:pos="9778"/>
        </w:tabs>
        <w:spacing w:before="235"/>
        <w:ind w:left="1051"/>
      </w:pPr>
      <w:r>
        <w:rPr>
          <w:color w:val="211F1F"/>
          <w:spacing w:val="-4"/>
        </w:rPr>
        <w:t>Name</w:t>
      </w:r>
      <w:r>
        <w:rPr>
          <w:color w:val="211F1F"/>
          <w:u w:val="single" w:color="201E1F"/>
        </w:rPr>
        <w:tab/>
      </w:r>
      <w:r>
        <w:rPr>
          <w:color w:val="211F1F"/>
        </w:rPr>
        <w:t>Title</w:t>
      </w:r>
      <w:r>
        <w:rPr>
          <w:color w:val="211F1F"/>
          <w:spacing w:val="40"/>
          <w:u w:val="single" w:color="201E1F"/>
        </w:rPr>
        <w:t xml:space="preserve">  </w:t>
      </w:r>
      <w:r>
        <w:rPr>
          <w:color w:val="211F1F"/>
        </w:rPr>
        <w:t>Date</w:t>
      </w:r>
      <w:r>
        <w:rPr>
          <w:color w:val="211F1F"/>
          <w:spacing w:val="87"/>
        </w:rPr>
        <w:t xml:space="preserve"> </w:t>
      </w:r>
      <w:r>
        <w:rPr>
          <w:color w:val="211F1F"/>
          <w:u w:val="single" w:color="201E1F"/>
        </w:rPr>
        <w:tab/>
      </w:r>
    </w:p>
    <w:p w14:paraId="0B79424B" w14:textId="77777777" w:rsidR="00BB77C0" w:rsidRDefault="00370BAA">
      <w:pPr>
        <w:spacing w:before="237"/>
        <w:ind w:left="1051"/>
        <w:rPr>
          <w:i/>
        </w:rPr>
      </w:pPr>
      <w:r>
        <w:rPr>
          <w:i/>
          <w:color w:val="211F1F"/>
        </w:rPr>
        <w:t>[Name,</w:t>
      </w:r>
      <w:r>
        <w:rPr>
          <w:i/>
          <w:color w:val="211F1F"/>
          <w:spacing w:val="-8"/>
        </w:rPr>
        <w:t xml:space="preserve"> </w:t>
      </w:r>
      <w:r>
        <w:rPr>
          <w:i/>
          <w:color w:val="211F1F"/>
        </w:rPr>
        <w:t>title</w:t>
      </w:r>
      <w:r>
        <w:rPr>
          <w:i/>
          <w:color w:val="211F1F"/>
          <w:spacing w:val="-7"/>
        </w:rPr>
        <w:t xml:space="preserve"> </w:t>
      </w:r>
      <w:r>
        <w:rPr>
          <w:i/>
          <w:color w:val="211F1F"/>
        </w:rPr>
        <w:t>and</w:t>
      </w:r>
      <w:r>
        <w:rPr>
          <w:i/>
          <w:color w:val="211F1F"/>
          <w:spacing w:val="-7"/>
        </w:rPr>
        <w:t xml:space="preserve"> </w:t>
      </w:r>
      <w:r>
        <w:rPr>
          <w:i/>
          <w:color w:val="211F1F"/>
        </w:rPr>
        <w:t>signature</w:t>
      </w:r>
      <w:r>
        <w:rPr>
          <w:i/>
          <w:color w:val="211F1F"/>
          <w:spacing w:val="-11"/>
        </w:rPr>
        <w:t xml:space="preserve"> </w:t>
      </w:r>
      <w:r>
        <w:rPr>
          <w:i/>
          <w:color w:val="211F1F"/>
        </w:rPr>
        <w:t>of</w:t>
      </w:r>
      <w:r>
        <w:rPr>
          <w:i/>
          <w:color w:val="211F1F"/>
          <w:spacing w:val="-5"/>
        </w:rPr>
        <w:t xml:space="preserve"> </w:t>
      </w:r>
      <w:r>
        <w:rPr>
          <w:i/>
          <w:color w:val="211F1F"/>
        </w:rPr>
        <w:t>authorized</w:t>
      </w:r>
      <w:r>
        <w:rPr>
          <w:i/>
          <w:color w:val="211F1F"/>
          <w:spacing w:val="-6"/>
        </w:rPr>
        <w:t xml:space="preserve"> </w:t>
      </w:r>
      <w:r>
        <w:rPr>
          <w:i/>
          <w:color w:val="211F1F"/>
        </w:rPr>
        <w:t>agent</w:t>
      </w:r>
      <w:r>
        <w:rPr>
          <w:i/>
          <w:color w:val="211F1F"/>
          <w:spacing w:val="-4"/>
        </w:rPr>
        <w:t xml:space="preserve"> </w:t>
      </w:r>
      <w:r>
        <w:rPr>
          <w:i/>
          <w:color w:val="211F1F"/>
        </w:rPr>
        <w:t>of</w:t>
      </w:r>
      <w:r>
        <w:rPr>
          <w:i/>
          <w:color w:val="211F1F"/>
          <w:spacing w:val="-6"/>
        </w:rPr>
        <w:t xml:space="preserve"> </w:t>
      </w:r>
      <w:r>
        <w:rPr>
          <w:i/>
          <w:color w:val="211F1F"/>
        </w:rPr>
        <w:t>Tenderer</w:t>
      </w:r>
      <w:r>
        <w:rPr>
          <w:i/>
          <w:color w:val="211F1F"/>
          <w:spacing w:val="-5"/>
        </w:rPr>
        <w:t xml:space="preserve"> </w:t>
      </w:r>
      <w:r>
        <w:rPr>
          <w:i/>
          <w:color w:val="211F1F"/>
        </w:rPr>
        <w:t>and</w:t>
      </w:r>
      <w:r>
        <w:rPr>
          <w:i/>
          <w:color w:val="211F1F"/>
          <w:spacing w:val="-6"/>
        </w:rPr>
        <w:t xml:space="preserve"> </w:t>
      </w:r>
      <w:r>
        <w:rPr>
          <w:i/>
          <w:color w:val="211F1F"/>
          <w:spacing w:val="-2"/>
        </w:rPr>
        <w:t>Date].</w:t>
      </w:r>
    </w:p>
    <w:p w14:paraId="45F0DCA3" w14:textId="77777777" w:rsidR="00BB77C0" w:rsidRDefault="00BB77C0">
      <w:pPr>
        <w:rPr>
          <w:i/>
        </w:rPr>
        <w:sectPr w:rsidR="00BB77C0">
          <w:pgSz w:w="11920" w:h="16850"/>
          <w:pgMar w:top="0" w:right="0" w:bottom="0" w:left="360" w:header="720" w:footer="720" w:gutter="0"/>
          <w:cols w:space="720"/>
        </w:sectPr>
      </w:pPr>
    </w:p>
    <w:p w14:paraId="444D2531" w14:textId="77777777" w:rsidR="00BB77C0" w:rsidRDefault="00370BAA">
      <w:pPr>
        <w:pStyle w:val="BodyText"/>
        <w:rPr>
          <w:i/>
          <w:sz w:val="24"/>
        </w:rPr>
      </w:pPr>
      <w:r>
        <w:rPr>
          <w:i/>
          <w:noProof/>
          <w:sz w:val="24"/>
        </w:rPr>
        <w:lastRenderedPageBreak/>
        <mc:AlternateContent>
          <mc:Choice Requires="wpg">
            <w:drawing>
              <wp:anchor distT="0" distB="0" distL="0" distR="0" simplePos="0" relativeHeight="15761920" behindDoc="0" locked="0" layoutInCell="1" allowOverlap="1" wp14:anchorId="2DD6FB67" wp14:editId="2B777AA8">
                <wp:simplePos x="0" y="0"/>
                <wp:positionH relativeFrom="page">
                  <wp:posOffset>0</wp:posOffset>
                </wp:positionH>
                <wp:positionV relativeFrom="page">
                  <wp:posOffset>10234295</wp:posOffset>
                </wp:positionV>
                <wp:extent cx="7561580" cy="459105"/>
                <wp:effectExtent l="0" t="0" r="0" b="0"/>
                <wp:wrapNone/>
                <wp:docPr id="274" name="Group 2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1580" cy="459105"/>
                          <a:chOff x="0" y="0"/>
                          <a:chExt cx="7561580" cy="459105"/>
                        </a:xfrm>
                      </wpg:grpSpPr>
                      <wps:wsp>
                        <wps:cNvPr id="275" name="Graphic 275"/>
                        <wps:cNvSpPr/>
                        <wps:spPr>
                          <a:xfrm>
                            <a:off x="6449059" y="5714"/>
                            <a:ext cx="1110615" cy="451484"/>
                          </a:xfrm>
                          <a:custGeom>
                            <a:avLst/>
                            <a:gdLst/>
                            <a:ahLst/>
                            <a:cxnLst/>
                            <a:rect l="l" t="t" r="r" b="b"/>
                            <a:pathLst>
                              <a:path w="1110615" h="451484">
                                <a:moveTo>
                                  <a:pt x="1110614" y="0"/>
                                </a:moveTo>
                                <a:lnTo>
                                  <a:pt x="0" y="0"/>
                                </a:lnTo>
                                <a:lnTo>
                                  <a:pt x="260349" y="451483"/>
                                </a:lnTo>
                                <a:lnTo>
                                  <a:pt x="1110614" y="451483"/>
                                </a:lnTo>
                                <a:lnTo>
                                  <a:pt x="1110614" y="0"/>
                                </a:lnTo>
                                <a:close/>
                              </a:path>
                            </a:pathLst>
                          </a:custGeom>
                          <a:solidFill>
                            <a:srgbClr val="FAD2C1"/>
                          </a:solidFill>
                        </wps:spPr>
                        <wps:bodyPr wrap="square" lIns="0" tIns="0" rIns="0" bIns="0" rtlCol="0">
                          <a:prstTxWarp prst="textNoShape">
                            <a:avLst/>
                          </a:prstTxWarp>
                          <a:noAutofit/>
                        </wps:bodyPr>
                      </wps:wsp>
                      <wps:wsp>
                        <wps:cNvPr id="276" name="Graphic 276"/>
                        <wps:cNvSpPr/>
                        <wps:spPr>
                          <a:xfrm>
                            <a:off x="6449059" y="5714"/>
                            <a:ext cx="1110615" cy="451484"/>
                          </a:xfrm>
                          <a:custGeom>
                            <a:avLst/>
                            <a:gdLst/>
                            <a:ahLst/>
                            <a:cxnLst/>
                            <a:rect l="l" t="t" r="r" b="b"/>
                            <a:pathLst>
                              <a:path w="1110615" h="451484">
                                <a:moveTo>
                                  <a:pt x="0" y="0"/>
                                </a:moveTo>
                                <a:lnTo>
                                  <a:pt x="1110614" y="0"/>
                                </a:lnTo>
                                <a:lnTo>
                                  <a:pt x="1110614" y="451483"/>
                                </a:lnTo>
                                <a:lnTo>
                                  <a:pt x="260349" y="451483"/>
                                </a:lnTo>
                                <a:lnTo>
                                  <a:pt x="0" y="0"/>
                                </a:lnTo>
                              </a:path>
                            </a:pathLst>
                          </a:custGeom>
                          <a:ln w="3051">
                            <a:solidFill>
                              <a:srgbClr val="FAD2C1"/>
                            </a:solidFill>
                            <a:prstDash val="solid"/>
                          </a:ln>
                        </wps:spPr>
                        <wps:bodyPr wrap="square" lIns="0" tIns="0" rIns="0" bIns="0" rtlCol="0">
                          <a:prstTxWarp prst="textNoShape">
                            <a:avLst/>
                          </a:prstTxWarp>
                          <a:noAutofit/>
                        </wps:bodyPr>
                      </wps:wsp>
                      <wps:wsp>
                        <wps:cNvPr id="277" name="Graphic 277"/>
                        <wps:cNvSpPr/>
                        <wps:spPr>
                          <a:xfrm>
                            <a:off x="0" y="6350"/>
                            <a:ext cx="7560309" cy="1270"/>
                          </a:xfrm>
                          <a:custGeom>
                            <a:avLst/>
                            <a:gdLst/>
                            <a:ahLst/>
                            <a:cxnLst/>
                            <a:rect l="l" t="t" r="r" b="b"/>
                            <a:pathLst>
                              <a:path w="7560309">
                                <a:moveTo>
                                  <a:pt x="0" y="0"/>
                                </a:moveTo>
                                <a:lnTo>
                                  <a:pt x="7560309" y="0"/>
                                </a:lnTo>
                              </a:path>
                            </a:pathLst>
                          </a:custGeom>
                          <a:ln w="12700">
                            <a:solidFill>
                              <a:srgbClr val="FAD2C1"/>
                            </a:solidFill>
                            <a:prstDash val="solid"/>
                          </a:ln>
                        </wps:spPr>
                        <wps:bodyPr wrap="square" lIns="0" tIns="0" rIns="0" bIns="0" rtlCol="0">
                          <a:prstTxWarp prst="textNoShape">
                            <a:avLst/>
                          </a:prstTxWarp>
                          <a:noAutofit/>
                        </wps:bodyPr>
                      </wps:wsp>
                      <wps:wsp>
                        <wps:cNvPr id="278" name="Textbox 278"/>
                        <wps:cNvSpPr txBox="1"/>
                        <wps:spPr>
                          <a:xfrm>
                            <a:off x="6882130" y="37491"/>
                            <a:ext cx="147320" cy="155575"/>
                          </a:xfrm>
                          <a:prstGeom prst="rect">
                            <a:avLst/>
                          </a:prstGeom>
                        </wps:spPr>
                        <wps:txbx>
                          <w:txbxContent>
                            <w:p w14:paraId="085FB3DE" w14:textId="77777777" w:rsidR="00BB77C0" w:rsidRDefault="00370BAA">
                              <w:pPr>
                                <w:spacing w:line="244" w:lineRule="exact"/>
                              </w:pPr>
                              <w:r>
                                <w:rPr>
                                  <w:spacing w:val="-5"/>
                                </w:rPr>
                                <w:t>61</w:t>
                              </w:r>
                            </w:p>
                          </w:txbxContent>
                        </wps:txbx>
                        <wps:bodyPr wrap="square" lIns="0" tIns="0" rIns="0" bIns="0" rtlCol="0">
                          <a:noAutofit/>
                        </wps:bodyPr>
                      </wps:wsp>
                    </wpg:wgp>
                  </a:graphicData>
                </a:graphic>
              </wp:anchor>
            </w:drawing>
          </mc:Choice>
          <mc:Fallback>
            <w:pict>
              <v:group w14:anchorId="2DD6FB67" id="Group 274" o:spid="_x0000_s1146" style="position:absolute;margin-left:0;margin-top:805.85pt;width:595.4pt;height:36.15pt;z-index:15761920;mso-wrap-distance-left:0;mso-wrap-distance-right:0;mso-position-horizontal-relative:page;mso-position-vertical-relative:page" coordsize="75615,4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">
                <v:shape id="Graphic 275" o:spid="_x0000_s1147" style="position:absolute;left:64490;top:57;width:11106;height:4514;visibility:visible;mso-wrap-style:square;v-text-anchor:top" coordsize="1110615,4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" path="m1110614,l,,260349,451483r850265,l1110614,xe" fillcolor="#fad2c1" stroked="f">
                  <v:path arrowok="t"/>
                </v:shape>
                <v:shape id="Graphic 276" o:spid="_x0000_s1148" style="position:absolute;left:64490;top:57;width:11106;height:4514;visibility:visible;mso-wrap-style:square;v-text-anchor:top" coordsize="1110615,4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" path="m,l1110614,r,451483l260349,451483,,e" filled="f" strokecolor="#fad2c1" strokeweight=".08475mm">
                  <v:path arrowok="t"/>
                </v:shape>
                <v:shape id="Graphic 277" o:spid="_x0000_s1149" style="position:absolute;top:63;width:75603;height:13;visibility:visible;mso-wrap-style:square;v-text-anchor:top" coordsize="756030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" path="m,l7560309,e" filled="f" strokecolor="#fad2c1" strokeweight="1pt">
                  <v:path arrowok="t"/>
                </v:shape>
                <v:shape id="Textbox 278" o:spid="_x0000_s1150" type="#_x0000_t202" style="position:absolute;left:68821;top:374;width:1473;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" filled="f" stroked="f">
                  <v:textbox inset="0,0,0,0">
                    <w:txbxContent>
                      <w:p w14:paraId="085FB3DE" w14:textId="77777777" w:rsidR="00BB77C0" w:rsidRDefault="00370BAA">
                        <w:pPr>
                          <w:spacing w:line="244" w:lineRule="exact"/>
                        </w:pPr>
                        <w:r>
                          <w:rPr>
                            <w:spacing w:val="-5"/>
                          </w:rPr>
                          <w:t>61</w:t>
                        </w:r>
                      </w:p>
                    </w:txbxContent>
                  </v:textbox>
                </v:shape>
                <w10:wrap anchorx="page" anchory="page"/>
              </v:group>
            </w:pict>
          </mc:Fallback>
        </mc:AlternateContent>
      </w:r>
      <w:r>
        <w:rPr>
          <w:i/>
          <w:noProof/>
          <w:sz w:val="24"/>
        </w:rPr>
        <mc:AlternateContent>
          <mc:Choice Requires="wpg">
            <w:drawing>
              <wp:anchor distT="0" distB="0" distL="0" distR="0" simplePos="0" relativeHeight="15762432" behindDoc="0" locked="0" layoutInCell="1" allowOverlap="1" wp14:anchorId="21A94983" wp14:editId="7675EF31">
                <wp:simplePos x="0" y="0"/>
                <wp:positionH relativeFrom="page">
                  <wp:posOffset>0</wp:posOffset>
                </wp:positionH>
                <wp:positionV relativeFrom="page">
                  <wp:posOffset>0</wp:posOffset>
                </wp:positionV>
                <wp:extent cx="7559675" cy="228600"/>
                <wp:effectExtent l="0" t="0" r="0" b="0"/>
                <wp:wrapNone/>
                <wp:docPr id="279" name="Group 2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675" cy="228600"/>
                          <a:chOff x="0" y="0"/>
                          <a:chExt cx="7559675" cy="228600"/>
                        </a:xfrm>
                      </wpg:grpSpPr>
                      <wps:wsp>
                        <wps:cNvPr id="280" name="Graphic 280"/>
                        <wps:cNvSpPr/>
                        <wps:spPr>
                          <a:xfrm>
                            <a:off x="848283" y="0"/>
                            <a:ext cx="6711950" cy="228600"/>
                          </a:xfrm>
                          <a:custGeom>
                            <a:avLst/>
                            <a:gdLst/>
                            <a:ahLst/>
                            <a:cxnLst/>
                            <a:rect l="l" t="t" r="r" b="b"/>
                            <a:pathLst>
                              <a:path w="6711950" h="228600">
                                <a:moveTo>
                                  <a:pt x="6711391" y="0"/>
                                </a:moveTo>
                                <a:lnTo>
                                  <a:pt x="0" y="0"/>
                                </a:lnTo>
                                <a:lnTo>
                                  <a:pt x="184137" y="228600"/>
                                </a:lnTo>
                                <a:lnTo>
                                  <a:pt x="6711391" y="223520"/>
                                </a:lnTo>
                                <a:lnTo>
                                  <a:pt x="6711391" y="0"/>
                                </a:lnTo>
                                <a:close/>
                              </a:path>
                            </a:pathLst>
                          </a:custGeom>
                          <a:solidFill>
                            <a:srgbClr val="E6E7E8"/>
                          </a:solidFill>
                        </wps:spPr>
                        <wps:bodyPr wrap="square" lIns="0" tIns="0" rIns="0" bIns="0" rtlCol="0">
                          <a:prstTxWarp prst="textNoShape">
                            <a:avLst/>
                          </a:prstTxWarp>
                          <a:noAutofit/>
                        </wps:bodyPr>
                      </wps:wsp>
                      <wps:wsp>
                        <wps:cNvPr id="281" name="Graphic 281"/>
                        <wps:cNvSpPr/>
                        <wps:spPr>
                          <a:xfrm>
                            <a:off x="0" y="0"/>
                            <a:ext cx="655955" cy="228600"/>
                          </a:xfrm>
                          <a:custGeom>
                            <a:avLst/>
                            <a:gdLst/>
                            <a:ahLst/>
                            <a:cxnLst/>
                            <a:rect l="l" t="t" r="r" b="b"/>
                            <a:pathLst>
                              <a:path w="655955" h="228600">
                                <a:moveTo>
                                  <a:pt x="530174" y="0"/>
                                </a:moveTo>
                                <a:lnTo>
                                  <a:pt x="0" y="0"/>
                                </a:lnTo>
                                <a:lnTo>
                                  <a:pt x="0" y="228600"/>
                                </a:lnTo>
                                <a:lnTo>
                                  <a:pt x="655904" y="228600"/>
                                </a:lnTo>
                                <a:lnTo>
                                  <a:pt x="530174" y="0"/>
                                </a:lnTo>
                                <a:close/>
                              </a:path>
                            </a:pathLst>
                          </a:custGeom>
                          <a:solidFill>
                            <a:srgbClr val="00A650"/>
                          </a:solidFill>
                        </wps:spPr>
                        <wps:bodyPr wrap="square" lIns="0" tIns="0" rIns="0" bIns="0" rtlCol="0">
                          <a:prstTxWarp prst="textNoShape">
                            <a:avLst/>
                          </a:prstTxWarp>
                          <a:noAutofit/>
                        </wps:bodyPr>
                      </wps:wsp>
                      <wps:wsp>
                        <wps:cNvPr id="282" name="Graphic 282"/>
                        <wps:cNvSpPr/>
                        <wps:spPr>
                          <a:xfrm>
                            <a:off x="554304" y="0"/>
                            <a:ext cx="329565" cy="228600"/>
                          </a:xfrm>
                          <a:custGeom>
                            <a:avLst/>
                            <a:gdLst/>
                            <a:ahLst/>
                            <a:cxnLst/>
                            <a:rect l="l" t="t" r="r" b="b"/>
                            <a:pathLst>
                              <a:path w="329565" h="228600">
                                <a:moveTo>
                                  <a:pt x="203822" y="0"/>
                                </a:moveTo>
                                <a:lnTo>
                                  <a:pt x="0" y="0"/>
                                </a:lnTo>
                                <a:lnTo>
                                  <a:pt x="128904" y="228600"/>
                                </a:lnTo>
                                <a:lnTo>
                                  <a:pt x="329539" y="228600"/>
                                </a:lnTo>
                                <a:lnTo>
                                  <a:pt x="203822" y="0"/>
                                </a:lnTo>
                                <a:close/>
                              </a:path>
                            </a:pathLst>
                          </a:custGeom>
                          <a:solidFill>
                            <a:srgbClr val="EB1C22"/>
                          </a:solidFill>
                        </wps:spPr>
                        <wps:bodyPr wrap="square" lIns="0" tIns="0" rIns="0" bIns="0" rtlCol="0">
                          <a:prstTxWarp prst="textNoShape">
                            <a:avLst/>
                          </a:prstTxWarp>
                          <a:noAutofit/>
                        </wps:bodyPr>
                      </wps:wsp>
                      <wps:wsp>
                        <wps:cNvPr id="283" name="Graphic 283"/>
                        <wps:cNvSpPr/>
                        <wps:spPr>
                          <a:xfrm>
                            <a:off x="783526" y="0"/>
                            <a:ext cx="329565" cy="228600"/>
                          </a:xfrm>
                          <a:custGeom>
                            <a:avLst/>
                            <a:gdLst/>
                            <a:ahLst/>
                            <a:cxnLst/>
                            <a:rect l="l" t="t" r="r" b="b"/>
                            <a:pathLst>
                              <a:path w="329565" h="228600">
                                <a:moveTo>
                                  <a:pt x="203822" y="0"/>
                                </a:moveTo>
                                <a:lnTo>
                                  <a:pt x="0" y="0"/>
                                </a:lnTo>
                                <a:lnTo>
                                  <a:pt x="128879" y="228600"/>
                                </a:lnTo>
                                <a:lnTo>
                                  <a:pt x="329539" y="228600"/>
                                </a:lnTo>
                                <a:lnTo>
                                  <a:pt x="203822" y="0"/>
                                </a:lnTo>
                                <a:close/>
                              </a:path>
                            </a:pathLst>
                          </a:custGeom>
                          <a:solidFill>
                            <a:srgbClr val="A7A9AC"/>
                          </a:solidFill>
                        </wps:spPr>
                        <wps:bodyPr wrap="square" lIns="0" tIns="0" rIns="0" bIns="0" rtlCol="0">
                          <a:prstTxWarp prst="textNoShape">
                            <a:avLst/>
                          </a:prstTxWarp>
                          <a:noAutofit/>
                        </wps:bodyPr>
                      </wps:wsp>
                    </wpg:wgp>
                  </a:graphicData>
                </a:graphic>
              </wp:anchor>
            </w:drawing>
          </mc:Choice>
          <mc:Fallback>
            <w:pict>
              <v:group w14:anchorId="206236C5" id="Group 279" o:spid="_x0000_s1026" style="position:absolute;margin-left:0;margin-top:0;width:595.25pt;height:18pt;z-index:15762432;mso-wrap-distance-left:0;mso-wrap-distance-right:0;mso-position-horizontal-relative:page;mso-position-vertical-relative:page" coordsize="75596,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">
                <v:shape id="Graphic 280" o:spid="_x0000_s1027" style="position:absolute;left:8482;width:67120;height:2286;visibility:visible;mso-wrap-style:square;v-text-anchor:top" coordsize="67119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" path="m6711391,l,,184137,228600r6527254,-5080l6711391,xe" fillcolor="#e6e7e8" stroked="f">
                  <v:path arrowok="t"/>
                </v:shape>
                <v:shape id="Graphic 281" o:spid="_x0000_s1028" style="position:absolute;width:6559;height:2286;visibility:visible;mso-wrap-style:square;v-text-anchor:top" coordsize="65595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" path="m530174,l,,,228600r655904,l530174,xe" fillcolor="#00a650" stroked="f">
                  <v:path arrowok="t"/>
                </v:shape>
                <v:shape id="Graphic 282" o:spid="_x0000_s1029" style="position:absolute;left:5543;width:3295;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" path="m203822,l,,128904,228600r200635,l203822,xe" fillcolor="#eb1c22" stroked="f">
                  <v:path arrowok="t"/>
                </v:shape>
                <v:shape id="Graphic 283" o:spid="_x0000_s1030" style="position:absolute;left:7835;width:3295;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" path="m203822,l,,128879,228600r200660,l203822,xe" fillcolor="#a7a9ac" stroked="f">
                  <v:path arrowok="t"/>
                </v:shape>
                <w10:wrap anchorx="page" anchory="page"/>
              </v:group>
            </w:pict>
          </mc:Fallback>
        </mc:AlternateContent>
      </w:r>
    </w:p>
    <w:p w14:paraId="5E98A9AE" w14:textId="77777777" w:rsidR="00BB77C0" w:rsidRDefault="00BB77C0">
      <w:pPr>
        <w:pStyle w:val="BodyText"/>
        <w:rPr>
          <w:i/>
          <w:sz w:val="24"/>
        </w:rPr>
      </w:pPr>
    </w:p>
    <w:p w14:paraId="21B27318" w14:textId="77777777" w:rsidR="00BB77C0" w:rsidRDefault="00BB77C0">
      <w:pPr>
        <w:pStyle w:val="BodyText"/>
        <w:spacing w:before="145"/>
        <w:rPr>
          <w:i/>
          <w:sz w:val="24"/>
        </w:rPr>
      </w:pPr>
    </w:p>
    <w:p w14:paraId="55F6355C" w14:textId="77777777" w:rsidR="00BB77C0" w:rsidRDefault="00370BAA">
      <w:pPr>
        <w:pStyle w:val="Heading5"/>
        <w:numPr>
          <w:ilvl w:val="0"/>
          <w:numId w:val="46"/>
        </w:numPr>
        <w:tabs>
          <w:tab w:val="left" w:pos="965"/>
        </w:tabs>
        <w:ind w:left="965" w:hanging="471"/>
      </w:pPr>
      <w:bookmarkStart w:id="165" w:name="C._SELF_-_DECLARATION_FORMS"/>
      <w:bookmarkEnd w:id="165"/>
      <w:r>
        <w:rPr>
          <w:color w:val="211F1F"/>
          <w:u w:val="single" w:color="211F1F"/>
        </w:rPr>
        <w:t>SELF</w:t>
      </w:r>
      <w:r>
        <w:rPr>
          <w:color w:val="211F1F"/>
          <w:spacing w:val="-10"/>
          <w:u w:val="single" w:color="211F1F"/>
        </w:rPr>
        <w:t xml:space="preserve"> </w:t>
      </w:r>
      <w:r>
        <w:rPr>
          <w:color w:val="211F1F"/>
          <w:u w:val="single" w:color="211F1F"/>
        </w:rPr>
        <w:t>-</w:t>
      </w:r>
      <w:r>
        <w:rPr>
          <w:color w:val="211F1F"/>
          <w:spacing w:val="-5"/>
          <w:u w:val="single" w:color="211F1F"/>
        </w:rPr>
        <w:t xml:space="preserve"> </w:t>
      </w:r>
      <w:r>
        <w:rPr>
          <w:color w:val="211F1F"/>
          <w:u w:val="single" w:color="211F1F"/>
        </w:rPr>
        <w:t>DECLARATION</w:t>
      </w:r>
      <w:r>
        <w:rPr>
          <w:color w:val="211F1F"/>
          <w:spacing w:val="-15"/>
          <w:u w:val="single" w:color="211F1F"/>
        </w:rPr>
        <w:t xml:space="preserve"> </w:t>
      </w:r>
      <w:r>
        <w:rPr>
          <w:color w:val="211F1F"/>
          <w:spacing w:val="-4"/>
          <w:u w:val="single" w:color="211F1F"/>
        </w:rPr>
        <w:t>FORMS</w:t>
      </w:r>
    </w:p>
    <w:p w14:paraId="6169FBDD" w14:textId="77777777" w:rsidR="00BB77C0" w:rsidRDefault="00370BAA">
      <w:pPr>
        <w:spacing w:before="233"/>
        <w:ind w:left="369" w:right="582"/>
        <w:jc w:val="center"/>
        <w:rPr>
          <w:b/>
          <w:sz w:val="24"/>
        </w:rPr>
      </w:pPr>
      <w:r>
        <w:rPr>
          <w:b/>
          <w:color w:val="211F1F"/>
          <w:sz w:val="24"/>
        </w:rPr>
        <w:t>FORM</w:t>
      </w:r>
      <w:r>
        <w:rPr>
          <w:b/>
          <w:color w:val="211F1F"/>
          <w:spacing w:val="-2"/>
          <w:sz w:val="24"/>
        </w:rPr>
        <w:t xml:space="preserve"> </w:t>
      </w:r>
      <w:r>
        <w:rPr>
          <w:b/>
          <w:color w:val="211F1F"/>
          <w:spacing w:val="-5"/>
          <w:sz w:val="24"/>
        </w:rPr>
        <w:t>SD1</w:t>
      </w:r>
    </w:p>
    <w:p w14:paraId="39F02746" w14:textId="77777777" w:rsidR="00BB77C0" w:rsidRDefault="00370BAA">
      <w:pPr>
        <w:pStyle w:val="Heading7"/>
        <w:spacing w:before="238" w:line="232" w:lineRule="auto"/>
        <w:ind w:left="494" w:right="901"/>
      </w:pPr>
      <w:bookmarkStart w:id="166" w:name="SELF_DECLARATION_THAT_THE_PERSON/TENDERE"/>
      <w:bookmarkEnd w:id="166"/>
      <w:r>
        <w:rPr>
          <w:color w:val="211F1F"/>
        </w:rPr>
        <w:t>SELF</w:t>
      </w:r>
      <w:r>
        <w:rPr>
          <w:color w:val="211F1F"/>
          <w:spacing w:val="-10"/>
        </w:rPr>
        <w:t xml:space="preserve"> </w:t>
      </w:r>
      <w:r>
        <w:rPr>
          <w:color w:val="211F1F"/>
        </w:rPr>
        <w:t>DECLARATION</w:t>
      </w:r>
      <w:r>
        <w:rPr>
          <w:color w:val="211F1F"/>
          <w:spacing w:val="-5"/>
        </w:rPr>
        <w:t xml:space="preserve"> </w:t>
      </w:r>
      <w:r>
        <w:rPr>
          <w:color w:val="211F1F"/>
        </w:rPr>
        <w:t>THAT</w:t>
      </w:r>
      <w:r>
        <w:rPr>
          <w:color w:val="211F1F"/>
          <w:spacing w:val="-9"/>
        </w:rPr>
        <w:t xml:space="preserve"> </w:t>
      </w:r>
      <w:r>
        <w:rPr>
          <w:color w:val="211F1F"/>
        </w:rPr>
        <w:t>THE</w:t>
      </w:r>
      <w:r>
        <w:rPr>
          <w:color w:val="211F1F"/>
          <w:spacing w:val="-3"/>
        </w:rPr>
        <w:t xml:space="preserve"> </w:t>
      </w:r>
      <w:r>
        <w:rPr>
          <w:color w:val="211F1F"/>
        </w:rPr>
        <w:t>PERSON/TENDERER</w:t>
      </w:r>
      <w:r>
        <w:rPr>
          <w:color w:val="211F1F"/>
          <w:spacing w:val="-4"/>
        </w:rPr>
        <w:t xml:space="preserve"> </w:t>
      </w:r>
      <w:r>
        <w:rPr>
          <w:color w:val="211F1F"/>
        </w:rPr>
        <w:t>IS</w:t>
      </w:r>
      <w:r>
        <w:rPr>
          <w:color w:val="211F1F"/>
          <w:spacing w:val="-9"/>
        </w:rPr>
        <w:t xml:space="preserve"> </w:t>
      </w:r>
      <w:r>
        <w:rPr>
          <w:color w:val="211F1F"/>
        </w:rPr>
        <w:t>NOT</w:t>
      </w:r>
      <w:r>
        <w:rPr>
          <w:color w:val="211F1F"/>
          <w:spacing w:val="-4"/>
        </w:rPr>
        <w:t xml:space="preserve"> </w:t>
      </w:r>
      <w:r>
        <w:rPr>
          <w:color w:val="211F1F"/>
        </w:rPr>
        <w:t>DEBARRED</w:t>
      </w:r>
      <w:r>
        <w:rPr>
          <w:color w:val="211F1F"/>
          <w:spacing w:val="-10"/>
        </w:rPr>
        <w:t xml:space="preserve"> </w:t>
      </w:r>
      <w:r>
        <w:rPr>
          <w:color w:val="211F1F"/>
        </w:rPr>
        <w:t>IN</w:t>
      </w:r>
      <w:r>
        <w:rPr>
          <w:color w:val="211F1F"/>
          <w:spacing w:val="-7"/>
        </w:rPr>
        <w:t xml:space="preserve"> </w:t>
      </w:r>
      <w:r>
        <w:rPr>
          <w:color w:val="211F1F"/>
        </w:rPr>
        <w:t>THE</w:t>
      </w:r>
      <w:r>
        <w:rPr>
          <w:color w:val="211F1F"/>
          <w:spacing w:val="-4"/>
        </w:rPr>
        <w:t xml:space="preserve"> </w:t>
      </w:r>
      <w:r>
        <w:rPr>
          <w:color w:val="211F1F"/>
        </w:rPr>
        <w:t>MATTER</w:t>
      </w:r>
      <w:r>
        <w:rPr>
          <w:color w:val="211F1F"/>
          <w:spacing w:val="-6"/>
        </w:rPr>
        <w:t xml:space="preserve"> </w:t>
      </w:r>
      <w:r>
        <w:rPr>
          <w:color w:val="211F1F"/>
        </w:rPr>
        <w:t>OF THE PUBLIC PROCUREMENTAND ASSET DISPOSALACT 2015.</w:t>
      </w:r>
    </w:p>
    <w:p w14:paraId="4D1F880A" w14:textId="77777777" w:rsidR="00BB77C0" w:rsidRDefault="00370BAA">
      <w:pPr>
        <w:pStyle w:val="BodyText"/>
        <w:tabs>
          <w:tab w:val="left" w:leader="dot" w:pos="8211"/>
        </w:tabs>
        <w:spacing w:before="229" w:line="249" w:lineRule="exact"/>
        <w:ind w:left="494"/>
      </w:pPr>
      <w:r>
        <w:rPr>
          <w:color w:val="211F1F"/>
        </w:rPr>
        <w:t>I,</w:t>
      </w:r>
      <w:r>
        <w:rPr>
          <w:color w:val="211F1F"/>
          <w:spacing w:val="-14"/>
        </w:rPr>
        <w:t xml:space="preserve"> </w:t>
      </w:r>
      <w:r>
        <w:rPr>
          <w:color w:val="211F1F"/>
        </w:rPr>
        <w:t>…………………………………….,</w:t>
      </w:r>
      <w:r>
        <w:rPr>
          <w:color w:val="211F1F"/>
          <w:spacing w:val="-11"/>
        </w:rPr>
        <w:t xml:space="preserve"> </w:t>
      </w:r>
      <w:r>
        <w:rPr>
          <w:color w:val="211F1F"/>
        </w:rPr>
        <w:t>of</w:t>
      </w:r>
      <w:r>
        <w:rPr>
          <w:color w:val="211F1F"/>
          <w:spacing w:val="-12"/>
        </w:rPr>
        <w:t xml:space="preserve"> </w:t>
      </w:r>
      <w:r>
        <w:rPr>
          <w:color w:val="211F1F"/>
        </w:rPr>
        <w:t>Post</w:t>
      </w:r>
      <w:r>
        <w:rPr>
          <w:color w:val="211F1F"/>
          <w:spacing w:val="-8"/>
        </w:rPr>
        <w:t xml:space="preserve"> </w:t>
      </w:r>
      <w:r>
        <w:rPr>
          <w:color w:val="211F1F"/>
        </w:rPr>
        <w:t>Office</w:t>
      </w:r>
      <w:r>
        <w:rPr>
          <w:color w:val="211F1F"/>
          <w:spacing w:val="-14"/>
        </w:rPr>
        <w:t xml:space="preserve"> </w:t>
      </w:r>
      <w:r>
        <w:rPr>
          <w:color w:val="211F1F"/>
          <w:spacing w:val="-5"/>
        </w:rPr>
        <w:t>Box</w:t>
      </w:r>
      <w:r>
        <w:rPr>
          <w:color w:val="211F1F"/>
        </w:rPr>
        <w:tab/>
        <w:t>being</w:t>
      </w:r>
      <w:r>
        <w:rPr>
          <w:color w:val="211F1F"/>
          <w:spacing w:val="-13"/>
        </w:rPr>
        <w:t xml:space="preserve"> </w:t>
      </w:r>
      <w:r>
        <w:rPr>
          <w:color w:val="211F1F"/>
        </w:rPr>
        <w:t>a</w:t>
      </w:r>
      <w:r>
        <w:rPr>
          <w:color w:val="211F1F"/>
          <w:spacing w:val="-9"/>
        </w:rPr>
        <w:t xml:space="preserve"> </w:t>
      </w:r>
      <w:r>
        <w:rPr>
          <w:color w:val="211F1F"/>
        </w:rPr>
        <w:t xml:space="preserve">resident </w:t>
      </w:r>
      <w:r>
        <w:rPr>
          <w:color w:val="211F1F"/>
          <w:spacing w:val="-5"/>
        </w:rPr>
        <w:t>of</w:t>
      </w:r>
    </w:p>
    <w:p w14:paraId="4DB2B8C8" w14:textId="77777777" w:rsidR="00BB77C0" w:rsidRDefault="00370BAA">
      <w:pPr>
        <w:pStyle w:val="BodyText"/>
        <w:tabs>
          <w:tab w:val="left" w:leader="dot" w:pos="7688"/>
        </w:tabs>
        <w:spacing w:line="245" w:lineRule="exact"/>
        <w:ind w:left="494"/>
      </w:pPr>
      <w:r>
        <w:rPr>
          <w:color w:val="211F1F"/>
        </w:rPr>
        <w:t>…………………………………..</w:t>
      </w:r>
      <w:r>
        <w:rPr>
          <w:color w:val="211F1F"/>
          <w:spacing w:val="-9"/>
        </w:rPr>
        <w:t xml:space="preserve"> </w:t>
      </w:r>
      <w:r>
        <w:rPr>
          <w:color w:val="211F1F"/>
        </w:rPr>
        <w:t>in</w:t>
      </w:r>
      <w:r>
        <w:rPr>
          <w:color w:val="211F1F"/>
          <w:spacing w:val="-12"/>
        </w:rPr>
        <w:t xml:space="preserve"> </w:t>
      </w:r>
      <w:r>
        <w:rPr>
          <w:color w:val="211F1F"/>
        </w:rPr>
        <w:t>the</w:t>
      </w:r>
      <w:r>
        <w:rPr>
          <w:color w:val="211F1F"/>
          <w:spacing w:val="-13"/>
        </w:rPr>
        <w:t xml:space="preserve"> </w:t>
      </w:r>
      <w:r>
        <w:rPr>
          <w:color w:val="211F1F"/>
        </w:rPr>
        <w:t>Republic</w:t>
      </w:r>
      <w:r>
        <w:rPr>
          <w:color w:val="211F1F"/>
          <w:spacing w:val="-8"/>
        </w:rPr>
        <w:t xml:space="preserve"> </w:t>
      </w:r>
      <w:r>
        <w:rPr>
          <w:color w:val="211F1F"/>
          <w:spacing w:val="-5"/>
        </w:rPr>
        <w:t>of</w:t>
      </w:r>
      <w:r>
        <w:rPr>
          <w:color w:val="211F1F"/>
        </w:rPr>
        <w:tab/>
        <w:t>do</w:t>
      </w:r>
      <w:r>
        <w:rPr>
          <w:color w:val="211F1F"/>
          <w:spacing w:val="-8"/>
        </w:rPr>
        <w:t xml:space="preserve"> </w:t>
      </w:r>
      <w:r>
        <w:rPr>
          <w:color w:val="211F1F"/>
        </w:rPr>
        <w:t>hereby</w:t>
      </w:r>
      <w:r>
        <w:rPr>
          <w:color w:val="211F1F"/>
          <w:spacing w:val="-7"/>
        </w:rPr>
        <w:t xml:space="preserve"> </w:t>
      </w:r>
      <w:r>
        <w:rPr>
          <w:color w:val="211F1F"/>
        </w:rPr>
        <w:t>make</w:t>
      </w:r>
      <w:r>
        <w:rPr>
          <w:color w:val="211F1F"/>
          <w:spacing w:val="-9"/>
        </w:rPr>
        <w:t xml:space="preserve"> </w:t>
      </w:r>
      <w:r>
        <w:rPr>
          <w:color w:val="211F1F"/>
        </w:rPr>
        <w:t>a</w:t>
      </w:r>
      <w:r>
        <w:rPr>
          <w:color w:val="211F1F"/>
          <w:spacing w:val="-5"/>
        </w:rPr>
        <w:t xml:space="preserve"> </w:t>
      </w:r>
      <w:r>
        <w:rPr>
          <w:color w:val="211F1F"/>
        </w:rPr>
        <w:t>statement</w:t>
      </w:r>
      <w:r>
        <w:rPr>
          <w:color w:val="211F1F"/>
          <w:spacing w:val="-1"/>
        </w:rPr>
        <w:t xml:space="preserve"> </w:t>
      </w:r>
      <w:r>
        <w:rPr>
          <w:color w:val="211F1F"/>
          <w:spacing w:val="-5"/>
        </w:rPr>
        <w:t>as</w:t>
      </w:r>
    </w:p>
    <w:p w14:paraId="5C679FA1" w14:textId="77777777" w:rsidR="00BB77C0" w:rsidRDefault="00370BAA">
      <w:pPr>
        <w:pStyle w:val="BodyText"/>
        <w:spacing w:line="249" w:lineRule="exact"/>
        <w:ind w:left="494"/>
      </w:pPr>
      <w:r>
        <w:rPr>
          <w:color w:val="211F1F"/>
          <w:spacing w:val="-2"/>
        </w:rPr>
        <w:t>follows:</w:t>
      </w:r>
      <w:r>
        <w:rPr>
          <w:color w:val="211F1F"/>
        </w:rPr>
        <w:t xml:space="preserve"> </w:t>
      </w:r>
      <w:r>
        <w:rPr>
          <w:color w:val="211F1F"/>
          <w:spacing w:val="-10"/>
        </w:rPr>
        <w:t>-</w:t>
      </w:r>
    </w:p>
    <w:p w14:paraId="0E63CE90" w14:textId="77777777" w:rsidR="00BB77C0" w:rsidRDefault="00370BAA">
      <w:pPr>
        <w:pStyle w:val="ListParagraph"/>
        <w:numPr>
          <w:ilvl w:val="0"/>
          <w:numId w:val="42"/>
        </w:numPr>
        <w:tabs>
          <w:tab w:val="left" w:pos="917"/>
        </w:tabs>
        <w:spacing w:before="222" w:line="251" w:lineRule="exact"/>
      </w:pPr>
      <w:r>
        <w:rPr>
          <w:color w:val="211F1F"/>
        </w:rPr>
        <w:t>THAT</w:t>
      </w:r>
      <w:r>
        <w:rPr>
          <w:color w:val="211F1F"/>
          <w:spacing w:val="-1"/>
        </w:rPr>
        <w:t xml:space="preserve"> </w:t>
      </w:r>
      <w:r>
        <w:rPr>
          <w:color w:val="211F1F"/>
        </w:rPr>
        <w:t>I</w:t>
      </w:r>
      <w:r>
        <w:rPr>
          <w:color w:val="211F1F"/>
          <w:spacing w:val="-3"/>
        </w:rPr>
        <w:t xml:space="preserve"> </w:t>
      </w:r>
      <w:r>
        <w:rPr>
          <w:color w:val="211F1F"/>
        </w:rPr>
        <w:t>am</w:t>
      </w:r>
      <w:r>
        <w:rPr>
          <w:color w:val="211F1F"/>
          <w:spacing w:val="-7"/>
        </w:rPr>
        <w:t xml:space="preserve"> </w:t>
      </w:r>
      <w:r>
        <w:rPr>
          <w:color w:val="211F1F"/>
        </w:rPr>
        <w:t>the</w:t>
      </w:r>
      <w:r>
        <w:rPr>
          <w:color w:val="211F1F"/>
          <w:spacing w:val="-4"/>
        </w:rPr>
        <w:t xml:space="preserve"> </w:t>
      </w:r>
      <w:r>
        <w:rPr>
          <w:color w:val="211F1F"/>
        </w:rPr>
        <w:t>Company</w:t>
      </w:r>
      <w:r>
        <w:rPr>
          <w:color w:val="211F1F"/>
          <w:spacing w:val="-2"/>
        </w:rPr>
        <w:t xml:space="preserve"> </w:t>
      </w:r>
      <w:r>
        <w:rPr>
          <w:color w:val="211F1F"/>
        </w:rPr>
        <w:t>Secretary/</w:t>
      </w:r>
      <w:r>
        <w:rPr>
          <w:color w:val="211F1F"/>
          <w:spacing w:val="4"/>
        </w:rPr>
        <w:t xml:space="preserve"> </w:t>
      </w:r>
      <w:r>
        <w:rPr>
          <w:color w:val="211F1F"/>
        </w:rPr>
        <w:t>Chief</w:t>
      </w:r>
      <w:r>
        <w:rPr>
          <w:color w:val="211F1F"/>
          <w:spacing w:val="1"/>
        </w:rPr>
        <w:t xml:space="preserve"> </w:t>
      </w:r>
      <w:r>
        <w:rPr>
          <w:color w:val="211F1F"/>
        </w:rPr>
        <w:t>Executive/Managing Director/Principal Officer/Director</w:t>
      </w:r>
      <w:r>
        <w:rPr>
          <w:color w:val="211F1F"/>
          <w:spacing w:val="8"/>
        </w:rPr>
        <w:t xml:space="preserve"> </w:t>
      </w:r>
      <w:r>
        <w:rPr>
          <w:color w:val="211F1F"/>
          <w:spacing w:val="-5"/>
        </w:rPr>
        <w:t>of</w:t>
      </w:r>
    </w:p>
    <w:p w14:paraId="25F83372" w14:textId="77777777" w:rsidR="00BB77C0" w:rsidRDefault="00370BAA">
      <w:pPr>
        <w:tabs>
          <w:tab w:val="left" w:leader="dot" w:pos="4609"/>
        </w:tabs>
        <w:spacing w:line="247" w:lineRule="exact"/>
        <w:ind w:left="922"/>
      </w:pPr>
      <w:r>
        <w:rPr>
          <w:color w:val="211F1F"/>
          <w:spacing w:val="-10"/>
        </w:rPr>
        <w:t>…</w:t>
      </w:r>
      <w:r>
        <w:rPr>
          <w:color w:val="211F1F"/>
        </w:rPr>
        <w:tab/>
      </w:r>
      <w:r>
        <w:rPr>
          <w:i/>
          <w:color w:val="211F1F"/>
        </w:rPr>
        <w:t>(insert</w:t>
      </w:r>
      <w:r>
        <w:rPr>
          <w:i/>
          <w:color w:val="211F1F"/>
          <w:spacing w:val="-2"/>
        </w:rPr>
        <w:t xml:space="preserve"> </w:t>
      </w:r>
      <w:r>
        <w:rPr>
          <w:i/>
          <w:color w:val="211F1F"/>
        </w:rPr>
        <w:t>name</w:t>
      </w:r>
      <w:r>
        <w:rPr>
          <w:i/>
          <w:color w:val="211F1F"/>
          <w:spacing w:val="-9"/>
        </w:rPr>
        <w:t xml:space="preserve"> </w:t>
      </w:r>
      <w:r>
        <w:rPr>
          <w:i/>
          <w:color w:val="211F1F"/>
        </w:rPr>
        <w:t>of</w:t>
      </w:r>
      <w:r>
        <w:rPr>
          <w:i/>
          <w:color w:val="211F1F"/>
          <w:spacing w:val="-5"/>
        </w:rPr>
        <w:t xml:space="preserve"> </w:t>
      </w:r>
      <w:r>
        <w:rPr>
          <w:i/>
          <w:color w:val="211F1F"/>
        </w:rPr>
        <w:t>the</w:t>
      </w:r>
      <w:r>
        <w:rPr>
          <w:i/>
          <w:color w:val="211F1F"/>
          <w:spacing w:val="-8"/>
        </w:rPr>
        <w:t xml:space="preserve"> </w:t>
      </w:r>
      <w:r>
        <w:rPr>
          <w:i/>
          <w:color w:val="211F1F"/>
        </w:rPr>
        <w:t>Company)</w:t>
      </w:r>
      <w:r>
        <w:rPr>
          <w:i/>
          <w:color w:val="211F1F"/>
          <w:spacing w:val="-3"/>
        </w:rPr>
        <w:t xml:space="preserve"> </w:t>
      </w:r>
      <w:r>
        <w:rPr>
          <w:color w:val="211F1F"/>
        </w:rPr>
        <w:t>who</w:t>
      </w:r>
      <w:r>
        <w:rPr>
          <w:color w:val="211F1F"/>
          <w:spacing w:val="-10"/>
        </w:rPr>
        <w:t xml:space="preserve"> </w:t>
      </w:r>
      <w:r>
        <w:rPr>
          <w:color w:val="211F1F"/>
        </w:rPr>
        <w:t>is</w:t>
      </w:r>
      <w:r>
        <w:rPr>
          <w:color w:val="211F1F"/>
          <w:spacing w:val="-1"/>
        </w:rPr>
        <w:t xml:space="preserve"> </w:t>
      </w:r>
      <w:r>
        <w:rPr>
          <w:color w:val="211F1F"/>
        </w:rPr>
        <w:t>a</w:t>
      </w:r>
      <w:r>
        <w:rPr>
          <w:color w:val="211F1F"/>
          <w:spacing w:val="-8"/>
        </w:rPr>
        <w:t xml:space="preserve"> </w:t>
      </w:r>
      <w:r>
        <w:rPr>
          <w:color w:val="211F1F"/>
        </w:rPr>
        <w:t>Bidder</w:t>
      </w:r>
      <w:r>
        <w:rPr>
          <w:color w:val="211F1F"/>
          <w:spacing w:val="-3"/>
        </w:rPr>
        <w:t xml:space="preserve"> </w:t>
      </w:r>
      <w:r>
        <w:rPr>
          <w:color w:val="211F1F"/>
        </w:rPr>
        <w:t>in</w:t>
      </w:r>
      <w:r>
        <w:rPr>
          <w:color w:val="211F1F"/>
          <w:spacing w:val="-10"/>
        </w:rPr>
        <w:t xml:space="preserve"> </w:t>
      </w:r>
      <w:r>
        <w:rPr>
          <w:color w:val="211F1F"/>
        </w:rPr>
        <w:t>respect of</w:t>
      </w:r>
      <w:r>
        <w:rPr>
          <w:color w:val="211F1F"/>
          <w:spacing w:val="-7"/>
        </w:rPr>
        <w:t xml:space="preserve"> </w:t>
      </w:r>
      <w:r>
        <w:rPr>
          <w:color w:val="211F1F"/>
          <w:spacing w:val="-2"/>
        </w:rPr>
        <w:t>Tender</w:t>
      </w:r>
    </w:p>
    <w:p w14:paraId="3DDA5AAE" w14:textId="77777777" w:rsidR="00BB77C0" w:rsidRDefault="00370BAA">
      <w:pPr>
        <w:pStyle w:val="BodyText"/>
        <w:spacing w:line="245" w:lineRule="exact"/>
        <w:ind w:left="922"/>
      </w:pPr>
      <w:r>
        <w:rPr>
          <w:color w:val="211F1F"/>
          <w:spacing w:val="-5"/>
        </w:rPr>
        <w:t>No.</w:t>
      </w:r>
    </w:p>
    <w:p w14:paraId="7CD59CE0" w14:textId="77777777" w:rsidR="00BB77C0" w:rsidRDefault="00370BAA">
      <w:pPr>
        <w:tabs>
          <w:tab w:val="left" w:leader="dot" w:pos="9766"/>
        </w:tabs>
        <w:spacing w:line="247" w:lineRule="exact"/>
        <w:ind w:left="922"/>
        <w:rPr>
          <w:i/>
        </w:rPr>
      </w:pPr>
      <w:r>
        <w:rPr>
          <w:color w:val="211F1F"/>
        </w:rPr>
        <w:t>…………………..</w:t>
      </w:r>
      <w:r>
        <w:rPr>
          <w:color w:val="211F1F"/>
          <w:spacing w:val="-16"/>
        </w:rPr>
        <w:t xml:space="preserve"> </w:t>
      </w:r>
      <w:r>
        <w:rPr>
          <w:color w:val="211F1F"/>
        </w:rPr>
        <w:t>for</w:t>
      </w:r>
      <w:r>
        <w:rPr>
          <w:color w:val="211F1F"/>
          <w:spacing w:val="-8"/>
        </w:rPr>
        <w:t xml:space="preserve"> </w:t>
      </w:r>
      <w:r>
        <w:rPr>
          <w:color w:val="211F1F"/>
        </w:rPr>
        <w:t>…………………….</w:t>
      </w:r>
      <w:r>
        <w:rPr>
          <w:color w:val="211F1F"/>
          <w:spacing w:val="-11"/>
        </w:rPr>
        <w:t xml:space="preserve"> </w:t>
      </w:r>
      <w:r>
        <w:rPr>
          <w:i/>
          <w:color w:val="211F1F"/>
        </w:rPr>
        <w:t>(insert</w:t>
      </w:r>
      <w:r>
        <w:rPr>
          <w:i/>
          <w:color w:val="211F1F"/>
          <w:spacing w:val="-13"/>
        </w:rPr>
        <w:t xml:space="preserve"> </w:t>
      </w:r>
      <w:r>
        <w:rPr>
          <w:i/>
          <w:color w:val="211F1F"/>
        </w:rPr>
        <w:t>tender</w:t>
      </w:r>
      <w:r>
        <w:rPr>
          <w:i/>
          <w:color w:val="211F1F"/>
          <w:spacing w:val="-9"/>
        </w:rPr>
        <w:t xml:space="preserve"> </w:t>
      </w:r>
      <w:r>
        <w:rPr>
          <w:i/>
          <w:color w:val="211F1F"/>
        </w:rPr>
        <w:t>title/description)</w:t>
      </w:r>
      <w:r>
        <w:rPr>
          <w:i/>
          <w:color w:val="211F1F"/>
          <w:spacing w:val="-9"/>
        </w:rPr>
        <w:t xml:space="preserve"> </w:t>
      </w:r>
      <w:r>
        <w:rPr>
          <w:color w:val="211F1F"/>
          <w:spacing w:val="-5"/>
        </w:rPr>
        <w:t>for</w:t>
      </w:r>
      <w:r>
        <w:rPr>
          <w:color w:val="211F1F"/>
        </w:rPr>
        <w:tab/>
      </w:r>
      <w:r>
        <w:rPr>
          <w:i/>
          <w:color w:val="211F1F"/>
          <w:spacing w:val="-2"/>
        </w:rPr>
        <w:t>(insert</w:t>
      </w:r>
    </w:p>
    <w:p w14:paraId="29F02B26" w14:textId="77777777" w:rsidR="00BB77C0" w:rsidRDefault="00370BAA">
      <w:pPr>
        <w:spacing w:line="251" w:lineRule="exact"/>
        <w:ind w:left="922"/>
      </w:pPr>
      <w:r>
        <w:rPr>
          <w:i/>
          <w:color w:val="211F1F"/>
        </w:rPr>
        <w:t>name</w:t>
      </w:r>
      <w:r>
        <w:rPr>
          <w:i/>
          <w:color w:val="211F1F"/>
          <w:spacing w:val="-10"/>
        </w:rPr>
        <w:t xml:space="preserve"> </w:t>
      </w:r>
      <w:r>
        <w:rPr>
          <w:i/>
          <w:color w:val="211F1F"/>
        </w:rPr>
        <w:t>of</w:t>
      </w:r>
      <w:r>
        <w:rPr>
          <w:i/>
          <w:color w:val="211F1F"/>
          <w:spacing w:val="-8"/>
        </w:rPr>
        <w:t xml:space="preserve"> </w:t>
      </w:r>
      <w:r>
        <w:rPr>
          <w:i/>
          <w:color w:val="211F1F"/>
        </w:rPr>
        <w:t>the</w:t>
      </w:r>
      <w:r>
        <w:rPr>
          <w:i/>
          <w:color w:val="211F1F"/>
          <w:spacing w:val="-4"/>
        </w:rPr>
        <w:t xml:space="preserve"> </w:t>
      </w:r>
      <w:r>
        <w:rPr>
          <w:i/>
          <w:color w:val="211F1F"/>
        </w:rPr>
        <w:t>Procuring</w:t>
      </w:r>
      <w:r>
        <w:rPr>
          <w:i/>
          <w:color w:val="211F1F"/>
          <w:spacing w:val="-5"/>
        </w:rPr>
        <w:t xml:space="preserve"> </w:t>
      </w:r>
      <w:r>
        <w:rPr>
          <w:i/>
          <w:color w:val="211F1F"/>
        </w:rPr>
        <w:t>entity)</w:t>
      </w:r>
      <w:r>
        <w:rPr>
          <w:i/>
          <w:color w:val="211F1F"/>
          <w:spacing w:val="-2"/>
        </w:rPr>
        <w:t xml:space="preserve"> </w:t>
      </w:r>
      <w:r>
        <w:rPr>
          <w:color w:val="211F1F"/>
        </w:rPr>
        <w:t>and</w:t>
      </w:r>
      <w:r>
        <w:rPr>
          <w:color w:val="211F1F"/>
          <w:spacing w:val="-10"/>
        </w:rPr>
        <w:t xml:space="preserve"> </w:t>
      </w:r>
      <w:r>
        <w:rPr>
          <w:color w:val="211F1F"/>
        </w:rPr>
        <w:t>duly</w:t>
      </w:r>
      <w:r>
        <w:rPr>
          <w:color w:val="211F1F"/>
          <w:spacing w:val="-5"/>
        </w:rPr>
        <w:t xml:space="preserve"> </w:t>
      </w:r>
      <w:r>
        <w:rPr>
          <w:color w:val="211F1F"/>
        </w:rPr>
        <w:t>authorized</w:t>
      </w:r>
      <w:r>
        <w:rPr>
          <w:color w:val="211F1F"/>
          <w:spacing w:val="-9"/>
        </w:rPr>
        <w:t xml:space="preserve"> </w:t>
      </w:r>
      <w:r>
        <w:rPr>
          <w:color w:val="211F1F"/>
        </w:rPr>
        <w:t>and</w:t>
      </w:r>
      <w:r>
        <w:rPr>
          <w:color w:val="211F1F"/>
          <w:spacing w:val="-10"/>
        </w:rPr>
        <w:t xml:space="preserve"> </w:t>
      </w:r>
      <w:r>
        <w:rPr>
          <w:color w:val="211F1F"/>
        </w:rPr>
        <w:t>competent</w:t>
      </w:r>
      <w:r>
        <w:rPr>
          <w:color w:val="211F1F"/>
          <w:spacing w:val="-3"/>
        </w:rPr>
        <w:t xml:space="preserve"> </w:t>
      </w:r>
      <w:r>
        <w:rPr>
          <w:color w:val="211F1F"/>
        </w:rPr>
        <w:t>to</w:t>
      </w:r>
      <w:r>
        <w:rPr>
          <w:color w:val="211F1F"/>
          <w:spacing w:val="-7"/>
        </w:rPr>
        <w:t xml:space="preserve"> </w:t>
      </w:r>
      <w:r>
        <w:rPr>
          <w:color w:val="211F1F"/>
        </w:rPr>
        <w:t>make</w:t>
      </w:r>
      <w:r>
        <w:rPr>
          <w:color w:val="211F1F"/>
          <w:spacing w:val="-11"/>
        </w:rPr>
        <w:t xml:space="preserve"> </w:t>
      </w:r>
      <w:r>
        <w:rPr>
          <w:color w:val="211F1F"/>
        </w:rPr>
        <w:t>this</w:t>
      </w:r>
      <w:r>
        <w:rPr>
          <w:color w:val="211F1F"/>
          <w:spacing w:val="-5"/>
        </w:rPr>
        <w:t xml:space="preserve"> </w:t>
      </w:r>
      <w:r>
        <w:rPr>
          <w:color w:val="211F1F"/>
          <w:spacing w:val="-2"/>
        </w:rPr>
        <w:t>statement.</w:t>
      </w:r>
    </w:p>
    <w:p w14:paraId="7DB40853" w14:textId="77777777" w:rsidR="00BB77C0" w:rsidRDefault="00370BAA">
      <w:pPr>
        <w:pStyle w:val="ListParagraph"/>
        <w:numPr>
          <w:ilvl w:val="0"/>
          <w:numId w:val="42"/>
        </w:numPr>
        <w:tabs>
          <w:tab w:val="left" w:pos="917"/>
          <w:tab w:val="left" w:pos="922"/>
        </w:tabs>
        <w:spacing w:before="233" w:line="232" w:lineRule="auto"/>
        <w:ind w:left="922" w:right="1400" w:hanging="428"/>
      </w:pPr>
      <w:r>
        <w:rPr>
          <w:color w:val="211F1F"/>
        </w:rPr>
        <w:t>THAT</w:t>
      </w:r>
      <w:r>
        <w:rPr>
          <w:color w:val="211F1F"/>
          <w:spacing w:val="-14"/>
        </w:rPr>
        <w:t xml:space="preserve"> </w:t>
      </w:r>
      <w:r>
        <w:rPr>
          <w:color w:val="211F1F"/>
        </w:rPr>
        <w:t>the</w:t>
      </w:r>
      <w:r>
        <w:rPr>
          <w:color w:val="211F1F"/>
          <w:spacing w:val="-14"/>
        </w:rPr>
        <w:t xml:space="preserve"> </w:t>
      </w:r>
      <w:r>
        <w:rPr>
          <w:color w:val="211F1F"/>
        </w:rPr>
        <w:t>aforesaid</w:t>
      </w:r>
      <w:r>
        <w:rPr>
          <w:color w:val="211F1F"/>
          <w:spacing w:val="-9"/>
        </w:rPr>
        <w:t xml:space="preserve"> </w:t>
      </w:r>
      <w:r>
        <w:rPr>
          <w:color w:val="211F1F"/>
        </w:rPr>
        <w:t>Bidder,</w:t>
      </w:r>
      <w:r>
        <w:rPr>
          <w:color w:val="211F1F"/>
          <w:spacing w:val="-4"/>
        </w:rPr>
        <w:t xml:space="preserve"> </w:t>
      </w:r>
      <w:r>
        <w:rPr>
          <w:color w:val="211F1F"/>
        </w:rPr>
        <w:t>its</w:t>
      </w:r>
      <w:r>
        <w:rPr>
          <w:color w:val="211F1F"/>
          <w:spacing w:val="-6"/>
        </w:rPr>
        <w:t xml:space="preserve"> </w:t>
      </w:r>
      <w:r>
        <w:rPr>
          <w:color w:val="211F1F"/>
        </w:rPr>
        <w:t>Directors</w:t>
      </w:r>
      <w:r>
        <w:rPr>
          <w:color w:val="211F1F"/>
          <w:spacing w:val="-5"/>
        </w:rPr>
        <w:t xml:space="preserve"> </w:t>
      </w:r>
      <w:r>
        <w:rPr>
          <w:color w:val="211F1F"/>
        </w:rPr>
        <w:t>and</w:t>
      </w:r>
      <w:r>
        <w:rPr>
          <w:color w:val="211F1F"/>
          <w:spacing w:val="-11"/>
        </w:rPr>
        <w:t xml:space="preserve"> </w:t>
      </w:r>
      <w:r>
        <w:rPr>
          <w:color w:val="211F1F"/>
        </w:rPr>
        <w:t>subcontractors</w:t>
      </w:r>
      <w:r>
        <w:rPr>
          <w:color w:val="211F1F"/>
          <w:spacing w:val="-5"/>
        </w:rPr>
        <w:t xml:space="preserve"> </w:t>
      </w:r>
      <w:r>
        <w:rPr>
          <w:color w:val="211F1F"/>
        </w:rPr>
        <w:t>have</w:t>
      </w:r>
      <w:r>
        <w:rPr>
          <w:color w:val="211F1F"/>
          <w:spacing w:val="-8"/>
        </w:rPr>
        <w:t xml:space="preserve"> </w:t>
      </w:r>
      <w:r>
        <w:rPr>
          <w:color w:val="211F1F"/>
        </w:rPr>
        <w:t>not</w:t>
      </w:r>
      <w:r>
        <w:rPr>
          <w:color w:val="211F1F"/>
          <w:spacing w:val="-2"/>
        </w:rPr>
        <w:t xml:space="preserve"> </w:t>
      </w:r>
      <w:r>
        <w:rPr>
          <w:color w:val="211F1F"/>
        </w:rPr>
        <w:t>been</w:t>
      </w:r>
      <w:r>
        <w:rPr>
          <w:color w:val="211F1F"/>
          <w:spacing w:val="-6"/>
        </w:rPr>
        <w:t xml:space="preserve"> </w:t>
      </w:r>
      <w:r>
        <w:rPr>
          <w:color w:val="211F1F"/>
        </w:rPr>
        <w:t>debarred</w:t>
      </w:r>
      <w:r>
        <w:rPr>
          <w:color w:val="211F1F"/>
          <w:spacing w:val="-6"/>
        </w:rPr>
        <w:t xml:space="preserve"> </w:t>
      </w:r>
      <w:r>
        <w:rPr>
          <w:color w:val="211F1F"/>
        </w:rPr>
        <w:t>from</w:t>
      </w:r>
      <w:r>
        <w:rPr>
          <w:color w:val="211F1F"/>
          <w:spacing w:val="-10"/>
        </w:rPr>
        <w:t xml:space="preserve"> </w:t>
      </w:r>
      <w:r>
        <w:rPr>
          <w:color w:val="211F1F"/>
        </w:rPr>
        <w:t>participating</w:t>
      </w:r>
      <w:r>
        <w:rPr>
          <w:color w:val="211F1F"/>
          <w:spacing w:val="-5"/>
        </w:rPr>
        <w:t xml:space="preserve"> </w:t>
      </w:r>
      <w:r>
        <w:rPr>
          <w:color w:val="211F1F"/>
        </w:rPr>
        <w:t>in procurement proceeding under Part IV of the</w:t>
      </w:r>
      <w:r>
        <w:rPr>
          <w:color w:val="211F1F"/>
          <w:spacing w:val="-12"/>
        </w:rPr>
        <w:t xml:space="preserve"> </w:t>
      </w:r>
      <w:r>
        <w:rPr>
          <w:color w:val="211F1F"/>
        </w:rPr>
        <w:t>Act.</w:t>
      </w:r>
    </w:p>
    <w:p w14:paraId="7EB048D7" w14:textId="77777777" w:rsidR="00BB77C0" w:rsidRDefault="00370BAA">
      <w:pPr>
        <w:pStyle w:val="ListParagraph"/>
        <w:numPr>
          <w:ilvl w:val="0"/>
          <w:numId w:val="42"/>
        </w:numPr>
        <w:tabs>
          <w:tab w:val="left" w:pos="917"/>
        </w:tabs>
        <w:spacing w:before="238"/>
      </w:pPr>
      <w:r>
        <w:rPr>
          <w:color w:val="211F1F"/>
          <w:spacing w:val="-2"/>
        </w:rPr>
        <w:t>THATwhat</w:t>
      </w:r>
      <w:r>
        <w:rPr>
          <w:color w:val="211F1F"/>
          <w:spacing w:val="-18"/>
        </w:rPr>
        <w:t xml:space="preserve"> </w:t>
      </w:r>
      <w:r>
        <w:rPr>
          <w:color w:val="211F1F"/>
          <w:spacing w:val="-2"/>
        </w:rPr>
        <w:t>is</w:t>
      </w:r>
      <w:r>
        <w:rPr>
          <w:color w:val="211F1F"/>
          <w:spacing w:val="-11"/>
        </w:rPr>
        <w:t xml:space="preserve"> </w:t>
      </w:r>
      <w:r>
        <w:rPr>
          <w:color w:val="211F1F"/>
          <w:spacing w:val="-2"/>
        </w:rPr>
        <w:t>deponed</w:t>
      </w:r>
      <w:r>
        <w:rPr>
          <w:color w:val="211F1F"/>
          <w:spacing w:val="-21"/>
        </w:rPr>
        <w:t xml:space="preserve"> </w:t>
      </w:r>
      <w:r>
        <w:rPr>
          <w:color w:val="211F1F"/>
          <w:spacing w:val="-2"/>
        </w:rPr>
        <w:t>to</w:t>
      </w:r>
      <w:r>
        <w:rPr>
          <w:color w:val="211F1F"/>
          <w:spacing w:val="-21"/>
        </w:rPr>
        <w:t xml:space="preserve"> </w:t>
      </w:r>
      <w:r>
        <w:rPr>
          <w:color w:val="211F1F"/>
          <w:spacing w:val="-2"/>
        </w:rPr>
        <w:t>herein</w:t>
      </w:r>
      <w:r>
        <w:rPr>
          <w:color w:val="211F1F"/>
          <w:spacing w:val="-22"/>
        </w:rPr>
        <w:t xml:space="preserve"> </w:t>
      </w:r>
      <w:r>
        <w:rPr>
          <w:color w:val="211F1F"/>
          <w:spacing w:val="-2"/>
        </w:rPr>
        <w:t>above</w:t>
      </w:r>
      <w:r>
        <w:rPr>
          <w:color w:val="211F1F"/>
          <w:spacing w:val="-22"/>
        </w:rPr>
        <w:t xml:space="preserve"> </w:t>
      </w:r>
      <w:r>
        <w:rPr>
          <w:color w:val="211F1F"/>
          <w:spacing w:val="-2"/>
        </w:rPr>
        <w:t>is</w:t>
      </w:r>
      <w:r>
        <w:rPr>
          <w:color w:val="211F1F"/>
          <w:spacing w:val="-16"/>
        </w:rPr>
        <w:t xml:space="preserve"> </w:t>
      </w:r>
      <w:r>
        <w:rPr>
          <w:color w:val="211F1F"/>
          <w:spacing w:val="-2"/>
        </w:rPr>
        <w:t>true</w:t>
      </w:r>
      <w:r>
        <w:rPr>
          <w:color w:val="211F1F"/>
          <w:spacing w:val="-29"/>
        </w:rPr>
        <w:t xml:space="preserve"> </w:t>
      </w:r>
      <w:r>
        <w:rPr>
          <w:color w:val="211F1F"/>
          <w:spacing w:val="-2"/>
        </w:rPr>
        <w:t>to</w:t>
      </w:r>
      <w:r>
        <w:rPr>
          <w:color w:val="211F1F"/>
          <w:spacing w:val="-26"/>
        </w:rPr>
        <w:t xml:space="preserve"> </w:t>
      </w:r>
      <w:r>
        <w:rPr>
          <w:color w:val="211F1F"/>
          <w:spacing w:val="-2"/>
        </w:rPr>
        <w:t>the</w:t>
      </w:r>
      <w:r>
        <w:rPr>
          <w:color w:val="211F1F"/>
          <w:spacing w:val="-23"/>
        </w:rPr>
        <w:t xml:space="preserve"> </w:t>
      </w:r>
      <w:r>
        <w:rPr>
          <w:color w:val="211F1F"/>
          <w:spacing w:val="-2"/>
        </w:rPr>
        <w:t>best</w:t>
      </w:r>
      <w:r>
        <w:rPr>
          <w:color w:val="211F1F"/>
          <w:spacing w:val="-15"/>
        </w:rPr>
        <w:t xml:space="preserve"> </w:t>
      </w:r>
      <w:r>
        <w:rPr>
          <w:color w:val="211F1F"/>
          <w:spacing w:val="-2"/>
        </w:rPr>
        <w:t>of</w:t>
      </w:r>
      <w:r>
        <w:rPr>
          <w:color w:val="211F1F"/>
          <w:spacing w:val="-19"/>
        </w:rPr>
        <w:t xml:space="preserve"> </w:t>
      </w:r>
      <w:r>
        <w:rPr>
          <w:color w:val="211F1F"/>
          <w:spacing w:val="-2"/>
        </w:rPr>
        <w:t>my</w:t>
      </w:r>
      <w:r>
        <w:rPr>
          <w:color w:val="211F1F"/>
          <w:spacing w:val="-16"/>
        </w:rPr>
        <w:t xml:space="preserve"> </w:t>
      </w:r>
      <w:r>
        <w:rPr>
          <w:color w:val="211F1F"/>
          <w:spacing w:val="-2"/>
        </w:rPr>
        <w:t>knowledge,</w:t>
      </w:r>
      <w:r>
        <w:rPr>
          <w:color w:val="211F1F"/>
          <w:spacing w:val="-14"/>
        </w:rPr>
        <w:t xml:space="preserve"> </w:t>
      </w:r>
      <w:r>
        <w:rPr>
          <w:color w:val="211F1F"/>
          <w:spacing w:val="-2"/>
        </w:rPr>
        <w:t>information</w:t>
      </w:r>
      <w:r>
        <w:rPr>
          <w:color w:val="211F1F"/>
          <w:spacing w:val="-24"/>
        </w:rPr>
        <w:t xml:space="preserve"> </w:t>
      </w:r>
      <w:r>
        <w:rPr>
          <w:color w:val="211F1F"/>
          <w:spacing w:val="-2"/>
        </w:rPr>
        <w:t>and</w:t>
      </w:r>
      <w:r>
        <w:rPr>
          <w:color w:val="211F1F"/>
          <w:spacing w:val="-20"/>
        </w:rPr>
        <w:t xml:space="preserve"> </w:t>
      </w:r>
      <w:r>
        <w:rPr>
          <w:color w:val="211F1F"/>
          <w:spacing w:val="-2"/>
        </w:rPr>
        <w:t>belief.</w:t>
      </w:r>
    </w:p>
    <w:p w14:paraId="4BE76780" w14:textId="77777777" w:rsidR="00BB77C0" w:rsidRDefault="00BB77C0">
      <w:pPr>
        <w:pStyle w:val="BodyText"/>
        <w:rPr>
          <w:sz w:val="20"/>
        </w:rPr>
      </w:pPr>
    </w:p>
    <w:p w14:paraId="077A7C09" w14:textId="77777777" w:rsidR="00BB77C0" w:rsidRDefault="00BB77C0">
      <w:pPr>
        <w:pStyle w:val="BodyText"/>
        <w:spacing w:before="11"/>
        <w:rPr>
          <w:sz w:val="20"/>
        </w:rPr>
      </w:pPr>
    </w:p>
    <w:tbl>
      <w:tblPr>
        <w:tblW w:w="0" w:type="auto"/>
        <w:tblInd w:w="884" w:type="dxa"/>
        <w:tblLayout w:type="fixed"/>
        <w:tblCellMar>
          <w:left w:w="0" w:type="dxa"/>
          <w:right w:w="0" w:type="dxa"/>
        </w:tblCellMar>
        <w:tblLook w:val="01E0" w:firstRow="1" w:lastRow="1" w:firstColumn="1" w:lastColumn="1" w:noHBand="0" w:noVBand="0"/>
      </w:tblPr>
      <w:tblGrid>
        <w:gridCol w:w="3081"/>
        <w:gridCol w:w="2937"/>
        <w:gridCol w:w="2757"/>
      </w:tblGrid>
      <w:tr w:rsidR="00BB77C0" w14:paraId="3EF61BFE" w14:textId="77777777">
        <w:trPr>
          <w:trHeight w:val="251"/>
        </w:trPr>
        <w:tc>
          <w:tcPr>
            <w:tcW w:w="3081" w:type="dxa"/>
          </w:tcPr>
          <w:p w14:paraId="00F51348" w14:textId="77777777" w:rsidR="00BB77C0" w:rsidRDefault="00370BAA">
            <w:pPr>
              <w:pStyle w:val="TableParagraph"/>
              <w:spacing w:line="232" w:lineRule="exact"/>
              <w:ind w:left="50"/>
            </w:pPr>
            <w:r>
              <w:rPr>
                <w:color w:val="211F1F"/>
                <w:spacing w:val="-2"/>
              </w:rPr>
              <w:t>………………………………….</w:t>
            </w:r>
          </w:p>
        </w:tc>
        <w:tc>
          <w:tcPr>
            <w:tcW w:w="2937" w:type="dxa"/>
          </w:tcPr>
          <w:p w14:paraId="54F15280" w14:textId="77777777" w:rsidR="00BB77C0" w:rsidRDefault="00370BAA">
            <w:pPr>
              <w:pStyle w:val="TableParagraph"/>
              <w:spacing w:line="232" w:lineRule="exact"/>
              <w:ind w:left="143"/>
            </w:pPr>
            <w:r>
              <w:rPr>
                <w:color w:val="211F1F"/>
                <w:spacing w:val="-2"/>
              </w:rPr>
              <w:t>……………………………….</w:t>
            </w:r>
          </w:p>
        </w:tc>
        <w:tc>
          <w:tcPr>
            <w:tcW w:w="2757" w:type="dxa"/>
          </w:tcPr>
          <w:p w14:paraId="48F6CBD2" w14:textId="77777777" w:rsidR="00BB77C0" w:rsidRDefault="00370BAA">
            <w:pPr>
              <w:pStyle w:val="TableParagraph"/>
              <w:tabs>
                <w:tab w:val="left" w:leader="dot" w:pos="2156"/>
              </w:tabs>
              <w:spacing w:line="232" w:lineRule="exact"/>
              <w:ind w:left="120"/>
            </w:pPr>
            <w:r>
              <w:rPr>
                <w:color w:val="211F1F"/>
                <w:spacing w:val="-10"/>
              </w:rPr>
              <w:t>…</w:t>
            </w:r>
            <w:r>
              <w:rPr>
                <w:color w:val="211F1F"/>
              </w:rPr>
              <w:tab/>
            </w:r>
            <w:r>
              <w:rPr>
                <w:color w:val="211F1F"/>
                <w:spacing w:val="-2"/>
              </w:rPr>
              <w:t>(Title)</w:t>
            </w:r>
          </w:p>
        </w:tc>
      </w:tr>
      <w:tr w:rsidR="00BB77C0" w14:paraId="671C574C" w14:textId="77777777">
        <w:trPr>
          <w:trHeight w:val="972"/>
        </w:trPr>
        <w:tc>
          <w:tcPr>
            <w:tcW w:w="3081" w:type="dxa"/>
          </w:tcPr>
          <w:p w14:paraId="029CBDE9" w14:textId="77777777" w:rsidR="00BB77C0" w:rsidRDefault="00BB77C0">
            <w:pPr>
              <w:pStyle w:val="TableParagraph"/>
            </w:pPr>
          </w:p>
          <w:p w14:paraId="522E56EE" w14:textId="77777777" w:rsidR="00BB77C0" w:rsidRDefault="00BB77C0">
            <w:pPr>
              <w:pStyle w:val="TableParagraph"/>
              <w:spacing w:before="213"/>
            </w:pPr>
          </w:p>
          <w:p w14:paraId="56C9C6A6" w14:textId="77777777" w:rsidR="00BB77C0" w:rsidRDefault="00370BAA">
            <w:pPr>
              <w:pStyle w:val="TableParagraph"/>
              <w:spacing w:line="233" w:lineRule="exact"/>
              <w:ind w:left="50"/>
            </w:pPr>
            <w:r>
              <w:rPr>
                <w:color w:val="211F1F"/>
                <w:spacing w:val="-2"/>
              </w:rPr>
              <w:t>Bidder</w:t>
            </w:r>
            <w:r>
              <w:rPr>
                <w:color w:val="211F1F"/>
              </w:rPr>
              <w:t xml:space="preserve"> </w:t>
            </w:r>
            <w:r>
              <w:rPr>
                <w:color w:val="211F1F"/>
                <w:spacing w:val="-2"/>
              </w:rPr>
              <w:t>Official</w:t>
            </w:r>
            <w:r>
              <w:rPr>
                <w:color w:val="211F1F"/>
                <w:spacing w:val="-7"/>
              </w:rPr>
              <w:t xml:space="preserve"> </w:t>
            </w:r>
            <w:r>
              <w:rPr>
                <w:color w:val="211F1F"/>
                <w:spacing w:val="-4"/>
              </w:rPr>
              <w:t>Stamp</w:t>
            </w:r>
          </w:p>
        </w:tc>
        <w:tc>
          <w:tcPr>
            <w:tcW w:w="2937" w:type="dxa"/>
          </w:tcPr>
          <w:p w14:paraId="15D6A526" w14:textId="77777777" w:rsidR="00BB77C0" w:rsidRDefault="00370BAA">
            <w:pPr>
              <w:pStyle w:val="TableParagraph"/>
              <w:spacing w:line="252" w:lineRule="exact"/>
              <w:ind w:left="143"/>
            </w:pPr>
            <w:r>
              <w:rPr>
                <w:color w:val="211F1F"/>
                <w:spacing w:val="-2"/>
              </w:rPr>
              <w:t>(Signature)</w:t>
            </w:r>
          </w:p>
        </w:tc>
        <w:tc>
          <w:tcPr>
            <w:tcW w:w="2757" w:type="dxa"/>
          </w:tcPr>
          <w:p w14:paraId="668A6A49" w14:textId="77777777" w:rsidR="00BB77C0" w:rsidRDefault="00370BAA">
            <w:pPr>
              <w:pStyle w:val="TableParagraph"/>
              <w:spacing w:line="252" w:lineRule="exact"/>
              <w:ind w:left="120"/>
            </w:pPr>
            <w:r>
              <w:rPr>
                <w:color w:val="211F1F"/>
                <w:spacing w:val="-2"/>
              </w:rPr>
              <w:t>(Date)</w:t>
            </w:r>
          </w:p>
        </w:tc>
      </w:tr>
    </w:tbl>
    <w:p w14:paraId="454DE436" w14:textId="77777777" w:rsidR="00BB77C0" w:rsidRDefault="00BB77C0">
      <w:pPr>
        <w:pStyle w:val="TableParagraph"/>
        <w:spacing w:line="252" w:lineRule="exact"/>
        <w:sectPr w:rsidR="00BB77C0">
          <w:pgSz w:w="11920" w:h="16850"/>
          <w:pgMar w:top="0" w:right="0" w:bottom="0" w:left="360" w:header="720" w:footer="720" w:gutter="0"/>
          <w:cols w:space="720"/>
        </w:sectPr>
      </w:pPr>
    </w:p>
    <w:p w14:paraId="5838D125" w14:textId="77777777" w:rsidR="00BB77C0" w:rsidRDefault="00370BAA">
      <w:pPr>
        <w:pStyle w:val="BodyText"/>
        <w:rPr>
          <w:sz w:val="24"/>
        </w:rPr>
      </w:pPr>
      <w:r>
        <w:rPr>
          <w:noProof/>
          <w:sz w:val="24"/>
        </w:rPr>
        <w:lastRenderedPageBreak/>
        <mc:AlternateContent>
          <mc:Choice Requires="wpg">
            <w:drawing>
              <wp:anchor distT="0" distB="0" distL="0" distR="0" simplePos="0" relativeHeight="15762944" behindDoc="0" locked="0" layoutInCell="1" allowOverlap="1" wp14:anchorId="25662B61" wp14:editId="5B9AF663">
                <wp:simplePos x="0" y="0"/>
                <wp:positionH relativeFrom="page">
                  <wp:posOffset>0</wp:posOffset>
                </wp:positionH>
                <wp:positionV relativeFrom="page">
                  <wp:posOffset>10234295</wp:posOffset>
                </wp:positionV>
                <wp:extent cx="7561580" cy="459105"/>
                <wp:effectExtent l="0" t="0" r="0" b="0"/>
                <wp:wrapNone/>
                <wp:docPr id="284" name="Group 2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1580" cy="459105"/>
                          <a:chOff x="0" y="0"/>
                          <a:chExt cx="7561580" cy="459105"/>
                        </a:xfrm>
                      </wpg:grpSpPr>
                      <wps:wsp>
                        <wps:cNvPr id="285" name="Graphic 285"/>
                        <wps:cNvSpPr/>
                        <wps:spPr>
                          <a:xfrm>
                            <a:off x="6449059" y="5714"/>
                            <a:ext cx="1110615" cy="451484"/>
                          </a:xfrm>
                          <a:custGeom>
                            <a:avLst/>
                            <a:gdLst/>
                            <a:ahLst/>
                            <a:cxnLst/>
                            <a:rect l="l" t="t" r="r" b="b"/>
                            <a:pathLst>
                              <a:path w="1110615" h="451484">
                                <a:moveTo>
                                  <a:pt x="1110614" y="0"/>
                                </a:moveTo>
                                <a:lnTo>
                                  <a:pt x="0" y="0"/>
                                </a:lnTo>
                                <a:lnTo>
                                  <a:pt x="260349" y="451483"/>
                                </a:lnTo>
                                <a:lnTo>
                                  <a:pt x="1110614" y="451483"/>
                                </a:lnTo>
                                <a:lnTo>
                                  <a:pt x="1110614" y="0"/>
                                </a:lnTo>
                                <a:close/>
                              </a:path>
                            </a:pathLst>
                          </a:custGeom>
                          <a:solidFill>
                            <a:srgbClr val="FAD2C1"/>
                          </a:solidFill>
                        </wps:spPr>
                        <wps:bodyPr wrap="square" lIns="0" tIns="0" rIns="0" bIns="0" rtlCol="0">
                          <a:prstTxWarp prst="textNoShape">
                            <a:avLst/>
                          </a:prstTxWarp>
                          <a:noAutofit/>
                        </wps:bodyPr>
                      </wps:wsp>
                      <wps:wsp>
                        <wps:cNvPr id="286" name="Graphic 286"/>
                        <wps:cNvSpPr/>
                        <wps:spPr>
                          <a:xfrm>
                            <a:off x="6449059" y="5714"/>
                            <a:ext cx="1110615" cy="451484"/>
                          </a:xfrm>
                          <a:custGeom>
                            <a:avLst/>
                            <a:gdLst/>
                            <a:ahLst/>
                            <a:cxnLst/>
                            <a:rect l="l" t="t" r="r" b="b"/>
                            <a:pathLst>
                              <a:path w="1110615" h="451484">
                                <a:moveTo>
                                  <a:pt x="0" y="0"/>
                                </a:moveTo>
                                <a:lnTo>
                                  <a:pt x="1110614" y="0"/>
                                </a:lnTo>
                                <a:lnTo>
                                  <a:pt x="1110614" y="451483"/>
                                </a:lnTo>
                                <a:lnTo>
                                  <a:pt x="260349" y="451483"/>
                                </a:lnTo>
                                <a:lnTo>
                                  <a:pt x="0" y="0"/>
                                </a:lnTo>
                              </a:path>
                            </a:pathLst>
                          </a:custGeom>
                          <a:ln w="3051">
                            <a:solidFill>
                              <a:srgbClr val="FAD2C1"/>
                            </a:solidFill>
                            <a:prstDash val="solid"/>
                          </a:ln>
                        </wps:spPr>
                        <wps:bodyPr wrap="square" lIns="0" tIns="0" rIns="0" bIns="0" rtlCol="0">
                          <a:prstTxWarp prst="textNoShape">
                            <a:avLst/>
                          </a:prstTxWarp>
                          <a:noAutofit/>
                        </wps:bodyPr>
                      </wps:wsp>
                      <wps:wsp>
                        <wps:cNvPr id="287" name="Graphic 287"/>
                        <wps:cNvSpPr/>
                        <wps:spPr>
                          <a:xfrm>
                            <a:off x="0" y="6350"/>
                            <a:ext cx="7560309" cy="1270"/>
                          </a:xfrm>
                          <a:custGeom>
                            <a:avLst/>
                            <a:gdLst/>
                            <a:ahLst/>
                            <a:cxnLst/>
                            <a:rect l="l" t="t" r="r" b="b"/>
                            <a:pathLst>
                              <a:path w="7560309">
                                <a:moveTo>
                                  <a:pt x="0" y="0"/>
                                </a:moveTo>
                                <a:lnTo>
                                  <a:pt x="7560309" y="0"/>
                                </a:lnTo>
                              </a:path>
                            </a:pathLst>
                          </a:custGeom>
                          <a:ln w="12700">
                            <a:solidFill>
                              <a:srgbClr val="FAD2C1"/>
                            </a:solidFill>
                            <a:prstDash val="solid"/>
                          </a:ln>
                        </wps:spPr>
                        <wps:bodyPr wrap="square" lIns="0" tIns="0" rIns="0" bIns="0" rtlCol="0">
                          <a:prstTxWarp prst="textNoShape">
                            <a:avLst/>
                          </a:prstTxWarp>
                          <a:noAutofit/>
                        </wps:bodyPr>
                      </wps:wsp>
                      <wps:wsp>
                        <wps:cNvPr id="288" name="Textbox 288"/>
                        <wps:cNvSpPr txBox="1"/>
                        <wps:spPr>
                          <a:xfrm>
                            <a:off x="6882130" y="37491"/>
                            <a:ext cx="147320" cy="155575"/>
                          </a:xfrm>
                          <a:prstGeom prst="rect">
                            <a:avLst/>
                          </a:prstGeom>
                        </wps:spPr>
                        <wps:txbx>
                          <w:txbxContent>
                            <w:p w14:paraId="134CD268" w14:textId="77777777" w:rsidR="00BB77C0" w:rsidRDefault="00370BAA">
                              <w:pPr>
                                <w:spacing w:line="244" w:lineRule="exact"/>
                              </w:pPr>
                              <w:r>
                                <w:rPr>
                                  <w:spacing w:val="-5"/>
                                </w:rPr>
                                <w:t>61</w:t>
                              </w:r>
                            </w:p>
                          </w:txbxContent>
                        </wps:txbx>
                        <wps:bodyPr wrap="square" lIns="0" tIns="0" rIns="0" bIns="0" rtlCol="0">
                          <a:noAutofit/>
                        </wps:bodyPr>
                      </wps:wsp>
                    </wpg:wgp>
                  </a:graphicData>
                </a:graphic>
              </wp:anchor>
            </w:drawing>
          </mc:Choice>
          <mc:Fallback>
            <w:pict>
              <v:group w14:anchorId="25662B61" id="Group 284" o:spid="_x0000_s1151" style="position:absolute;margin-left:0;margin-top:805.85pt;width:595.4pt;height:36.15pt;z-index:15762944;mso-wrap-distance-left:0;mso-wrap-distance-right:0;mso-position-horizontal-relative:page;mso-position-vertical-relative:page" coordsize="75615,4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">
                <v:shape id="Graphic 285" o:spid="_x0000_s1152" style="position:absolute;left:64490;top:57;width:11106;height:4514;visibility:visible;mso-wrap-style:square;v-text-anchor:top" coordsize="1110615,4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" path="m1110614,l,,260349,451483r850265,l1110614,xe" fillcolor="#fad2c1" stroked="f">
                  <v:path arrowok="t"/>
                </v:shape>
                <v:shape id="Graphic 286" o:spid="_x0000_s1153" style="position:absolute;left:64490;top:57;width:11106;height:4514;visibility:visible;mso-wrap-style:square;v-text-anchor:top" coordsize="1110615,4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" path="m,l1110614,r,451483l260349,451483,,e" filled="f" strokecolor="#fad2c1" strokeweight=".08475mm">
                  <v:path arrowok="t"/>
                </v:shape>
                <v:shape id="Graphic 287" o:spid="_x0000_s1154" style="position:absolute;top:63;width:75603;height:13;visibility:visible;mso-wrap-style:square;v-text-anchor:top" coordsize="756030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" path="m,l7560309,e" filled="f" strokecolor="#fad2c1" strokeweight="1pt">
                  <v:path arrowok="t"/>
                </v:shape>
                <v:shape id="Textbox 288" o:spid="_x0000_s1155" type="#_x0000_t202" style="position:absolute;left:68821;top:374;width:1473;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" filled="f" stroked="f">
                  <v:textbox inset="0,0,0,0">
                    <w:txbxContent>
                      <w:p w14:paraId="134CD268" w14:textId="77777777" w:rsidR="00BB77C0" w:rsidRDefault="00370BAA">
                        <w:pPr>
                          <w:spacing w:line="244" w:lineRule="exact"/>
                        </w:pPr>
                        <w:r>
                          <w:rPr>
                            <w:spacing w:val="-5"/>
                          </w:rPr>
                          <w:t>61</w:t>
                        </w:r>
                      </w:p>
                    </w:txbxContent>
                  </v:textbox>
                </v:shape>
                <w10:wrap anchorx="page" anchory="page"/>
              </v:group>
            </w:pict>
          </mc:Fallback>
        </mc:AlternateContent>
      </w:r>
      <w:r>
        <w:rPr>
          <w:noProof/>
          <w:sz w:val="24"/>
        </w:rPr>
        <mc:AlternateContent>
          <mc:Choice Requires="wpg">
            <w:drawing>
              <wp:anchor distT="0" distB="0" distL="0" distR="0" simplePos="0" relativeHeight="15763456" behindDoc="0" locked="0" layoutInCell="1" allowOverlap="1" wp14:anchorId="62EB1F1C" wp14:editId="71156BA1">
                <wp:simplePos x="0" y="0"/>
                <wp:positionH relativeFrom="page">
                  <wp:posOffset>0</wp:posOffset>
                </wp:positionH>
                <wp:positionV relativeFrom="page">
                  <wp:posOffset>0</wp:posOffset>
                </wp:positionV>
                <wp:extent cx="7559675" cy="228600"/>
                <wp:effectExtent l="0" t="0" r="0" b="0"/>
                <wp:wrapNone/>
                <wp:docPr id="289" name="Group 2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675" cy="228600"/>
                          <a:chOff x="0" y="0"/>
                          <a:chExt cx="7559675" cy="228600"/>
                        </a:xfrm>
                      </wpg:grpSpPr>
                      <wps:wsp>
                        <wps:cNvPr id="290" name="Graphic 290"/>
                        <wps:cNvSpPr/>
                        <wps:spPr>
                          <a:xfrm>
                            <a:off x="848283" y="0"/>
                            <a:ext cx="6711950" cy="228600"/>
                          </a:xfrm>
                          <a:custGeom>
                            <a:avLst/>
                            <a:gdLst/>
                            <a:ahLst/>
                            <a:cxnLst/>
                            <a:rect l="l" t="t" r="r" b="b"/>
                            <a:pathLst>
                              <a:path w="6711950" h="228600">
                                <a:moveTo>
                                  <a:pt x="6711391" y="0"/>
                                </a:moveTo>
                                <a:lnTo>
                                  <a:pt x="0" y="0"/>
                                </a:lnTo>
                                <a:lnTo>
                                  <a:pt x="184137" y="228600"/>
                                </a:lnTo>
                                <a:lnTo>
                                  <a:pt x="6711391" y="223520"/>
                                </a:lnTo>
                                <a:lnTo>
                                  <a:pt x="6711391" y="0"/>
                                </a:lnTo>
                                <a:close/>
                              </a:path>
                            </a:pathLst>
                          </a:custGeom>
                          <a:solidFill>
                            <a:srgbClr val="E6E7E8"/>
                          </a:solidFill>
                        </wps:spPr>
                        <wps:bodyPr wrap="square" lIns="0" tIns="0" rIns="0" bIns="0" rtlCol="0">
                          <a:prstTxWarp prst="textNoShape">
                            <a:avLst/>
                          </a:prstTxWarp>
                          <a:noAutofit/>
                        </wps:bodyPr>
                      </wps:wsp>
                      <wps:wsp>
                        <wps:cNvPr id="291" name="Graphic 291"/>
                        <wps:cNvSpPr/>
                        <wps:spPr>
                          <a:xfrm>
                            <a:off x="0" y="0"/>
                            <a:ext cx="655955" cy="228600"/>
                          </a:xfrm>
                          <a:custGeom>
                            <a:avLst/>
                            <a:gdLst/>
                            <a:ahLst/>
                            <a:cxnLst/>
                            <a:rect l="l" t="t" r="r" b="b"/>
                            <a:pathLst>
                              <a:path w="655955" h="228600">
                                <a:moveTo>
                                  <a:pt x="530174" y="0"/>
                                </a:moveTo>
                                <a:lnTo>
                                  <a:pt x="0" y="0"/>
                                </a:lnTo>
                                <a:lnTo>
                                  <a:pt x="0" y="228600"/>
                                </a:lnTo>
                                <a:lnTo>
                                  <a:pt x="655904" y="228600"/>
                                </a:lnTo>
                                <a:lnTo>
                                  <a:pt x="530174" y="0"/>
                                </a:lnTo>
                                <a:close/>
                              </a:path>
                            </a:pathLst>
                          </a:custGeom>
                          <a:solidFill>
                            <a:srgbClr val="00A650"/>
                          </a:solidFill>
                        </wps:spPr>
                        <wps:bodyPr wrap="square" lIns="0" tIns="0" rIns="0" bIns="0" rtlCol="0">
                          <a:prstTxWarp prst="textNoShape">
                            <a:avLst/>
                          </a:prstTxWarp>
                          <a:noAutofit/>
                        </wps:bodyPr>
                      </wps:wsp>
                      <wps:wsp>
                        <wps:cNvPr id="292" name="Graphic 292"/>
                        <wps:cNvSpPr/>
                        <wps:spPr>
                          <a:xfrm>
                            <a:off x="554304" y="0"/>
                            <a:ext cx="329565" cy="228600"/>
                          </a:xfrm>
                          <a:custGeom>
                            <a:avLst/>
                            <a:gdLst/>
                            <a:ahLst/>
                            <a:cxnLst/>
                            <a:rect l="l" t="t" r="r" b="b"/>
                            <a:pathLst>
                              <a:path w="329565" h="228600">
                                <a:moveTo>
                                  <a:pt x="203822" y="0"/>
                                </a:moveTo>
                                <a:lnTo>
                                  <a:pt x="0" y="0"/>
                                </a:lnTo>
                                <a:lnTo>
                                  <a:pt x="128904" y="228600"/>
                                </a:lnTo>
                                <a:lnTo>
                                  <a:pt x="329539" y="228600"/>
                                </a:lnTo>
                                <a:lnTo>
                                  <a:pt x="203822" y="0"/>
                                </a:lnTo>
                                <a:close/>
                              </a:path>
                            </a:pathLst>
                          </a:custGeom>
                          <a:solidFill>
                            <a:srgbClr val="EB1C22"/>
                          </a:solidFill>
                        </wps:spPr>
                        <wps:bodyPr wrap="square" lIns="0" tIns="0" rIns="0" bIns="0" rtlCol="0">
                          <a:prstTxWarp prst="textNoShape">
                            <a:avLst/>
                          </a:prstTxWarp>
                          <a:noAutofit/>
                        </wps:bodyPr>
                      </wps:wsp>
                      <wps:wsp>
                        <wps:cNvPr id="293" name="Graphic 293"/>
                        <wps:cNvSpPr/>
                        <wps:spPr>
                          <a:xfrm>
                            <a:off x="783526" y="0"/>
                            <a:ext cx="329565" cy="228600"/>
                          </a:xfrm>
                          <a:custGeom>
                            <a:avLst/>
                            <a:gdLst/>
                            <a:ahLst/>
                            <a:cxnLst/>
                            <a:rect l="l" t="t" r="r" b="b"/>
                            <a:pathLst>
                              <a:path w="329565" h="228600">
                                <a:moveTo>
                                  <a:pt x="203822" y="0"/>
                                </a:moveTo>
                                <a:lnTo>
                                  <a:pt x="0" y="0"/>
                                </a:lnTo>
                                <a:lnTo>
                                  <a:pt x="128879" y="228600"/>
                                </a:lnTo>
                                <a:lnTo>
                                  <a:pt x="329539" y="228600"/>
                                </a:lnTo>
                                <a:lnTo>
                                  <a:pt x="203822" y="0"/>
                                </a:lnTo>
                                <a:close/>
                              </a:path>
                            </a:pathLst>
                          </a:custGeom>
                          <a:solidFill>
                            <a:srgbClr val="A7A9AC"/>
                          </a:solidFill>
                        </wps:spPr>
                        <wps:bodyPr wrap="square" lIns="0" tIns="0" rIns="0" bIns="0" rtlCol="0">
                          <a:prstTxWarp prst="textNoShape">
                            <a:avLst/>
                          </a:prstTxWarp>
                          <a:noAutofit/>
                        </wps:bodyPr>
                      </wps:wsp>
                    </wpg:wgp>
                  </a:graphicData>
                </a:graphic>
              </wp:anchor>
            </w:drawing>
          </mc:Choice>
          <mc:Fallback>
            <w:pict>
              <v:group w14:anchorId="19A7C643" id="Group 289" o:spid="_x0000_s1026" style="position:absolute;margin-left:0;margin-top:0;width:595.25pt;height:18pt;z-index:15763456;mso-wrap-distance-left:0;mso-wrap-distance-right:0;mso-position-horizontal-relative:page;mso-position-vertical-relative:page" coordsize="75596,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">
                <v:shape id="Graphic 290" o:spid="_x0000_s1027" style="position:absolute;left:8482;width:67120;height:2286;visibility:visible;mso-wrap-style:square;v-text-anchor:top" coordsize="67119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" path="m6711391,l,,184137,228600r6527254,-5080l6711391,xe" fillcolor="#e6e7e8" stroked="f">
                  <v:path arrowok="t"/>
                </v:shape>
                <v:shape id="Graphic 291" o:spid="_x0000_s1028" style="position:absolute;width:6559;height:2286;visibility:visible;mso-wrap-style:square;v-text-anchor:top" coordsize="65595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" path="m530174,l,,,228600r655904,l530174,xe" fillcolor="#00a650" stroked="f">
                  <v:path arrowok="t"/>
                </v:shape>
                <v:shape id="Graphic 292" o:spid="_x0000_s1029" style="position:absolute;left:5543;width:3295;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" path="m203822,l,,128904,228600r200635,l203822,xe" fillcolor="#eb1c22" stroked="f">
                  <v:path arrowok="t"/>
                </v:shape>
                <v:shape id="Graphic 293" o:spid="_x0000_s1030" style="position:absolute;left:7835;width:3295;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" path="m203822,l,,128879,228600r200660,l203822,xe" fillcolor="#a7a9ac" stroked="f">
                  <v:path arrowok="t"/>
                </v:shape>
                <w10:wrap anchorx="page" anchory="page"/>
              </v:group>
            </w:pict>
          </mc:Fallback>
        </mc:AlternateContent>
      </w:r>
    </w:p>
    <w:p w14:paraId="16BC5701" w14:textId="77777777" w:rsidR="00BB77C0" w:rsidRDefault="00BB77C0">
      <w:pPr>
        <w:pStyle w:val="BodyText"/>
        <w:rPr>
          <w:sz w:val="24"/>
        </w:rPr>
      </w:pPr>
    </w:p>
    <w:p w14:paraId="52627DAE" w14:textId="77777777" w:rsidR="00BB77C0" w:rsidRDefault="00BB77C0">
      <w:pPr>
        <w:pStyle w:val="BodyText"/>
        <w:rPr>
          <w:sz w:val="24"/>
        </w:rPr>
      </w:pPr>
    </w:p>
    <w:p w14:paraId="277C5E85" w14:textId="77777777" w:rsidR="00BB77C0" w:rsidRDefault="00BB77C0">
      <w:pPr>
        <w:pStyle w:val="BodyText"/>
        <w:spacing w:before="219"/>
        <w:rPr>
          <w:sz w:val="24"/>
        </w:rPr>
      </w:pPr>
    </w:p>
    <w:p w14:paraId="6942D3C7" w14:textId="77777777" w:rsidR="00BB77C0" w:rsidRDefault="00370BAA">
      <w:pPr>
        <w:pStyle w:val="Heading5"/>
        <w:ind w:left="369" w:right="582"/>
        <w:jc w:val="center"/>
      </w:pPr>
      <w:bookmarkStart w:id="167" w:name="FORM_SD2"/>
      <w:bookmarkEnd w:id="167"/>
      <w:r>
        <w:rPr>
          <w:color w:val="211F1F"/>
        </w:rPr>
        <w:t>FORM</w:t>
      </w:r>
      <w:r>
        <w:rPr>
          <w:color w:val="211F1F"/>
          <w:spacing w:val="-2"/>
        </w:rPr>
        <w:t xml:space="preserve"> </w:t>
      </w:r>
      <w:r>
        <w:rPr>
          <w:color w:val="211F1F"/>
          <w:spacing w:val="-5"/>
        </w:rPr>
        <w:t>SD2</w:t>
      </w:r>
    </w:p>
    <w:p w14:paraId="43C373BA" w14:textId="77777777" w:rsidR="00BB77C0" w:rsidRDefault="00BB77C0">
      <w:pPr>
        <w:pStyle w:val="BodyText"/>
        <w:rPr>
          <w:b/>
          <w:sz w:val="24"/>
        </w:rPr>
      </w:pPr>
    </w:p>
    <w:p w14:paraId="3C3B78C4" w14:textId="77777777" w:rsidR="00BB77C0" w:rsidRDefault="00BB77C0">
      <w:pPr>
        <w:pStyle w:val="BodyText"/>
        <w:spacing w:before="243"/>
        <w:rPr>
          <w:b/>
          <w:sz w:val="24"/>
        </w:rPr>
      </w:pPr>
    </w:p>
    <w:p w14:paraId="5094DB02" w14:textId="77777777" w:rsidR="00BB77C0" w:rsidRDefault="00370BAA">
      <w:pPr>
        <w:spacing w:line="230" w:lineRule="auto"/>
        <w:ind w:left="494" w:right="587"/>
        <w:rPr>
          <w:b/>
          <w:sz w:val="24"/>
        </w:rPr>
      </w:pPr>
      <w:r>
        <w:rPr>
          <w:b/>
          <w:color w:val="211F1F"/>
          <w:sz w:val="24"/>
        </w:rPr>
        <w:t>SELF</w:t>
      </w:r>
      <w:r>
        <w:rPr>
          <w:b/>
          <w:color w:val="211F1F"/>
          <w:spacing w:val="-10"/>
          <w:sz w:val="24"/>
        </w:rPr>
        <w:t xml:space="preserve"> </w:t>
      </w:r>
      <w:r>
        <w:rPr>
          <w:b/>
          <w:color w:val="211F1F"/>
          <w:sz w:val="24"/>
        </w:rPr>
        <w:t>DECLARATION</w:t>
      </w:r>
      <w:r>
        <w:rPr>
          <w:b/>
          <w:color w:val="211F1F"/>
          <w:spacing w:val="-7"/>
          <w:sz w:val="24"/>
        </w:rPr>
        <w:t xml:space="preserve"> </w:t>
      </w:r>
      <w:r>
        <w:rPr>
          <w:b/>
          <w:color w:val="211F1F"/>
          <w:sz w:val="24"/>
        </w:rPr>
        <w:t>THAT</w:t>
      </w:r>
      <w:r>
        <w:rPr>
          <w:b/>
          <w:color w:val="211F1F"/>
          <w:spacing w:val="-10"/>
          <w:sz w:val="24"/>
        </w:rPr>
        <w:t xml:space="preserve"> </w:t>
      </w:r>
      <w:r>
        <w:rPr>
          <w:b/>
          <w:color w:val="211F1F"/>
          <w:sz w:val="24"/>
        </w:rPr>
        <w:t>THE</w:t>
      </w:r>
      <w:r>
        <w:rPr>
          <w:b/>
          <w:color w:val="211F1F"/>
          <w:spacing w:val="-5"/>
          <w:sz w:val="24"/>
        </w:rPr>
        <w:t xml:space="preserve"> </w:t>
      </w:r>
      <w:r>
        <w:rPr>
          <w:b/>
          <w:color w:val="211F1F"/>
          <w:sz w:val="24"/>
        </w:rPr>
        <w:t>PERSON/TENDERER</w:t>
      </w:r>
      <w:r>
        <w:rPr>
          <w:b/>
          <w:color w:val="211F1F"/>
          <w:spacing w:val="-7"/>
          <w:sz w:val="24"/>
        </w:rPr>
        <w:t xml:space="preserve"> </w:t>
      </w:r>
      <w:r>
        <w:rPr>
          <w:b/>
          <w:color w:val="211F1F"/>
          <w:sz w:val="24"/>
        </w:rPr>
        <w:t>WILL</w:t>
      </w:r>
      <w:r>
        <w:rPr>
          <w:b/>
          <w:color w:val="211F1F"/>
          <w:spacing w:val="-9"/>
          <w:sz w:val="24"/>
        </w:rPr>
        <w:t xml:space="preserve"> </w:t>
      </w:r>
      <w:r>
        <w:rPr>
          <w:b/>
          <w:color w:val="211F1F"/>
          <w:sz w:val="24"/>
        </w:rPr>
        <w:t>NOT</w:t>
      </w:r>
      <w:r>
        <w:rPr>
          <w:b/>
          <w:color w:val="211F1F"/>
          <w:spacing w:val="-10"/>
          <w:sz w:val="24"/>
        </w:rPr>
        <w:t xml:space="preserve"> </w:t>
      </w:r>
      <w:r>
        <w:rPr>
          <w:b/>
          <w:color w:val="211F1F"/>
          <w:sz w:val="24"/>
        </w:rPr>
        <w:t>ENGAGE</w:t>
      </w:r>
      <w:r>
        <w:rPr>
          <w:b/>
          <w:color w:val="211F1F"/>
          <w:spacing w:val="-9"/>
          <w:sz w:val="24"/>
        </w:rPr>
        <w:t xml:space="preserve"> </w:t>
      </w:r>
      <w:r>
        <w:rPr>
          <w:b/>
          <w:color w:val="211F1F"/>
          <w:sz w:val="24"/>
        </w:rPr>
        <w:t>IN</w:t>
      </w:r>
      <w:r>
        <w:rPr>
          <w:b/>
          <w:color w:val="211F1F"/>
          <w:spacing w:val="-8"/>
          <w:sz w:val="24"/>
        </w:rPr>
        <w:t xml:space="preserve"> </w:t>
      </w:r>
      <w:r>
        <w:rPr>
          <w:b/>
          <w:color w:val="211F1F"/>
          <w:sz w:val="24"/>
        </w:rPr>
        <w:t>ANY CORRUPT OR FRAUDULENT PRACTICE</w:t>
      </w:r>
    </w:p>
    <w:p w14:paraId="79A2B377" w14:textId="77777777" w:rsidR="00BB77C0" w:rsidRDefault="00BB77C0">
      <w:pPr>
        <w:pStyle w:val="BodyText"/>
        <w:spacing w:before="197"/>
        <w:rPr>
          <w:b/>
          <w:sz w:val="24"/>
        </w:rPr>
      </w:pPr>
    </w:p>
    <w:p w14:paraId="71CBD0F7" w14:textId="77777777" w:rsidR="00BB77C0" w:rsidRDefault="00370BAA">
      <w:pPr>
        <w:pStyle w:val="BodyText"/>
        <w:tabs>
          <w:tab w:val="left" w:leader="dot" w:pos="8441"/>
        </w:tabs>
        <w:spacing w:line="251" w:lineRule="exact"/>
        <w:ind w:left="494"/>
      </w:pPr>
      <w:r>
        <w:rPr>
          <w:color w:val="211F1F"/>
        </w:rPr>
        <w:t>I,</w:t>
      </w:r>
      <w:r>
        <w:rPr>
          <w:color w:val="211F1F"/>
          <w:spacing w:val="-7"/>
        </w:rPr>
        <w:t xml:space="preserve"> </w:t>
      </w:r>
      <w:r>
        <w:rPr>
          <w:color w:val="211F1F"/>
        </w:rPr>
        <w:t>…………………………………….</w:t>
      </w:r>
      <w:r>
        <w:rPr>
          <w:color w:val="211F1F"/>
          <w:spacing w:val="-7"/>
        </w:rPr>
        <w:t xml:space="preserve"> </w:t>
      </w:r>
      <w:r>
        <w:rPr>
          <w:color w:val="211F1F"/>
        </w:rPr>
        <w:t>of</w:t>
      </w:r>
      <w:r>
        <w:rPr>
          <w:color w:val="211F1F"/>
          <w:spacing w:val="-8"/>
        </w:rPr>
        <w:t xml:space="preserve"> </w:t>
      </w:r>
      <w:r>
        <w:rPr>
          <w:color w:val="211F1F"/>
        </w:rPr>
        <w:t>P.</w:t>
      </w:r>
      <w:r>
        <w:rPr>
          <w:color w:val="211F1F"/>
          <w:spacing w:val="-4"/>
        </w:rPr>
        <w:t xml:space="preserve"> </w:t>
      </w:r>
      <w:r>
        <w:rPr>
          <w:color w:val="211F1F"/>
        </w:rPr>
        <w:t>O.</w:t>
      </w:r>
      <w:r>
        <w:rPr>
          <w:color w:val="211F1F"/>
          <w:spacing w:val="-4"/>
        </w:rPr>
        <w:t xml:space="preserve"> </w:t>
      </w:r>
      <w:r>
        <w:rPr>
          <w:color w:val="211F1F"/>
          <w:spacing w:val="-5"/>
        </w:rPr>
        <w:t>Box</w:t>
      </w:r>
      <w:r>
        <w:rPr>
          <w:color w:val="211F1F"/>
        </w:rPr>
        <w:tab/>
        <w:t>being</w:t>
      </w:r>
      <w:r>
        <w:rPr>
          <w:color w:val="211F1F"/>
          <w:spacing w:val="-13"/>
        </w:rPr>
        <w:t xml:space="preserve"> </w:t>
      </w:r>
      <w:r>
        <w:rPr>
          <w:color w:val="211F1F"/>
        </w:rPr>
        <w:t>a</w:t>
      </w:r>
      <w:r>
        <w:rPr>
          <w:color w:val="211F1F"/>
          <w:spacing w:val="-9"/>
        </w:rPr>
        <w:t xml:space="preserve"> </w:t>
      </w:r>
      <w:r>
        <w:rPr>
          <w:color w:val="211F1F"/>
        </w:rPr>
        <w:t xml:space="preserve">resident </w:t>
      </w:r>
      <w:r>
        <w:rPr>
          <w:color w:val="211F1F"/>
          <w:spacing w:val="-5"/>
        </w:rPr>
        <w:t>of</w:t>
      </w:r>
    </w:p>
    <w:p w14:paraId="331C93EF" w14:textId="77777777" w:rsidR="00BB77C0" w:rsidRDefault="00370BAA">
      <w:pPr>
        <w:pStyle w:val="BodyText"/>
        <w:tabs>
          <w:tab w:val="left" w:leader="dot" w:pos="6588"/>
        </w:tabs>
        <w:spacing w:line="251" w:lineRule="exact"/>
        <w:ind w:left="494"/>
      </w:pPr>
      <w:r>
        <w:rPr>
          <w:color w:val="211F1F"/>
        </w:rPr>
        <w:t>…………………………………..</w:t>
      </w:r>
      <w:r>
        <w:rPr>
          <w:color w:val="211F1F"/>
          <w:spacing w:val="-9"/>
        </w:rPr>
        <w:t xml:space="preserve"> </w:t>
      </w:r>
      <w:r>
        <w:rPr>
          <w:color w:val="211F1F"/>
        </w:rPr>
        <w:t>in</w:t>
      </w:r>
      <w:r>
        <w:rPr>
          <w:color w:val="211F1F"/>
          <w:spacing w:val="-12"/>
        </w:rPr>
        <w:t xml:space="preserve"> </w:t>
      </w:r>
      <w:r>
        <w:rPr>
          <w:color w:val="211F1F"/>
        </w:rPr>
        <w:t>the</w:t>
      </w:r>
      <w:r>
        <w:rPr>
          <w:color w:val="211F1F"/>
          <w:spacing w:val="-13"/>
        </w:rPr>
        <w:t xml:space="preserve"> </w:t>
      </w:r>
      <w:r>
        <w:rPr>
          <w:color w:val="211F1F"/>
        </w:rPr>
        <w:t>Republic</w:t>
      </w:r>
      <w:r>
        <w:rPr>
          <w:color w:val="211F1F"/>
          <w:spacing w:val="-8"/>
        </w:rPr>
        <w:t xml:space="preserve"> </w:t>
      </w:r>
      <w:r>
        <w:rPr>
          <w:color w:val="211F1F"/>
          <w:spacing w:val="-5"/>
        </w:rPr>
        <w:t>of</w:t>
      </w:r>
      <w:r>
        <w:rPr>
          <w:color w:val="211F1F"/>
        </w:rPr>
        <w:tab/>
        <w:t>do</w:t>
      </w:r>
      <w:r>
        <w:rPr>
          <w:color w:val="211F1F"/>
          <w:spacing w:val="-14"/>
        </w:rPr>
        <w:t xml:space="preserve"> </w:t>
      </w:r>
      <w:r>
        <w:rPr>
          <w:color w:val="211F1F"/>
        </w:rPr>
        <w:t>hereby</w:t>
      </w:r>
      <w:r>
        <w:rPr>
          <w:color w:val="211F1F"/>
          <w:spacing w:val="-7"/>
        </w:rPr>
        <w:t xml:space="preserve"> </w:t>
      </w:r>
      <w:r>
        <w:rPr>
          <w:color w:val="211F1F"/>
        </w:rPr>
        <w:t>make</w:t>
      </w:r>
      <w:r>
        <w:rPr>
          <w:color w:val="211F1F"/>
          <w:spacing w:val="-13"/>
        </w:rPr>
        <w:t xml:space="preserve"> </w:t>
      </w:r>
      <w:r>
        <w:rPr>
          <w:color w:val="211F1F"/>
        </w:rPr>
        <w:t>a</w:t>
      </w:r>
      <w:r>
        <w:rPr>
          <w:color w:val="211F1F"/>
          <w:spacing w:val="-1"/>
        </w:rPr>
        <w:t xml:space="preserve"> </w:t>
      </w:r>
      <w:r>
        <w:rPr>
          <w:color w:val="211F1F"/>
        </w:rPr>
        <w:t>statement</w:t>
      </w:r>
      <w:r>
        <w:rPr>
          <w:color w:val="211F1F"/>
          <w:spacing w:val="-1"/>
        </w:rPr>
        <w:t xml:space="preserve"> </w:t>
      </w:r>
      <w:r>
        <w:rPr>
          <w:color w:val="211F1F"/>
        </w:rPr>
        <w:t>as</w:t>
      </w:r>
      <w:r>
        <w:rPr>
          <w:color w:val="211F1F"/>
          <w:spacing w:val="-7"/>
        </w:rPr>
        <w:t xml:space="preserve"> </w:t>
      </w:r>
      <w:r>
        <w:rPr>
          <w:color w:val="211F1F"/>
        </w:rPr>
        <w:t>follows:</w:t>
      </w:r>
      <w:r>
        <w:rPr>
          <w:color w:val="211F1F"/>
          <w:spacing w:val="-5"/>
        </w:rPr>
        <w:t xml:space="preserve"> </w:t>
      </w:r>
      <w:r>
        <w:rPr>
          <w:color w:val="211F1F"/>
          <w:spacing w:val="-10"/>
        </w:rPr>
        <w:t>-</w:t>
      </w:r>
    </w:p>
    <w:p w14:paraId="6A640992" w14:textId="77777777" w:rsidR="00BB77C0" w:rsidRDefault="00BB77C0">
      <w:pPr>
        <w:pStyle w:val="BodyText"/>
        <w:spacing w:before="224"/>
      </w:pPr>
    </w:p>
    <w:p w14:paraId="1AD00666" w14:textId="77777777" w:rsidR="00BB77C0" w:rsidRDefault="00370BAA">
      <w:pPr>
        <w:pStyle w:val="ListParagraph"/>
        <w:numPr>
          <w:ilvl w:val="0"/>
          <w:numId w:val="41"/>
        </w:numPr>
        <w:tabs>
          <w:tab w:val="left" w:pos="1032"/>
          <w:tab w:val="left" w:leader="dot" w:pos="10261"/>
        </w:tabs>
        <w:spacing w:line="249" w:lineRule="exact"/>
        <w:rPr>
          <w:i/>
        </w:rPr>
      </w:pPr>
      <w:r>
        <w:rPr>
          <w:color w:val="211F1F"/>
          <w:spacing w:val="-2"/>
        </w:rPr>
        <w:t>THAT</w:t>
      </w:r>
      <w:r>
        <w:rPr>
          <w:color w:val="211F1F"/>
          <w:spacing w:val="-12"/>
        </w:rPr>
        <w:t xml:space="preserve"> </w:t>
      </w:r>
      <w:r>
        <w:rPr>
          <w:color w:val="211F1F"/>
          <w:spacing w:val="-2"/>
        </w:rPr>
        <w:t>I</w:t>
      </w:r>
      <w:r>
        <w:rPr>
          <w:color w:val="211F1F"/>
          <w:spacing w:val="-10"/>
        </w:rPr>
        <w:t xml:space="preserve"> </w:t>
      </w:r>
      <w:r>
        <w:rPr>
          <w:color w:val="211F1F"/>
          <w:spacing w:val="-2"/>
        </w:rPr>
        <w:t>am</w:t>
      </w:r>
      <w:r>
        <w:rPr>
          <w:color w:val="211F1F"/>
          <w:spacing w:val="-5"/>
        </w:rPr>
        <w:t xml:space="preserve"> </w:t>
      </w:r>
      <w:r>
        <w:rPr>
          <w:color w:val="211F1F"/>
          <w:spacing w:val="-2"/>
        </w:rPr>
        <w:t>the</w:t>
      </w:r>
      <w:r>
        <w:rPr>
          <w:color w:val="211F1F"/>
          <w:spacing w:val="-3"/>
        </w:rPr>
        <w:t xml:space="preserve"> </w:t>
      </w:r>
      <w:r>
        <w:rPr>
          <w:color w:val="211F1F"/>
          <w:spacing w:val="-2"/>
        </w:rPr>
        <w:t>Chief</w:t>
      </w:r>
      <w:r>
        <w:rPr>
          <w:color w:val="211F1F"/>
          <w:spacing w:val="2"/>
        </w:rPr>
        <w:t xml:space="preserve"> </w:t>
      </w:r>
      <w:r>
        <w:rPr>
          <w:color w:val="211F1F"/>
          <w:spacing w:val="-2"/>
        </w:rPr>
        <w:t>Executive/Managing</w:t>
      </w:r>
      <w:r>
        <w:rPr>
          <w:color w:val="211F1F"/>
        </w:rPr>
        <w:t xml:space="preserve"> </w:t>
      </w:r>
      <w:r>
        <w:rPr>
          <w:color w:val="211F1F"/>
          <w:spacing w:val="-2"/>
        </w:rPr>
        <w:t>Director/Principal</w:t>
      </w:r>
      <w:r>
        <w:rPr>
          <w:color w:val="211F1F"/>
          <w:spacing w:val="-3"/>
        </w:rPr>
        <w:t xml:space="preserve"> </w:t>
      </w:r>
      <w:r>
        <w:rPr>
          <w:color w:val="211F1F"/>
          <w:spacing w:val="-2"/>
        </w:rPr>
        <w:t>Officer/Director</w:t>
      </w:r>
      <w:r>
        <w:rPr>
          <w:color w:val="211F1F"/>
          <w:spacing w:val="4"/>
        </w:rPr>
        <w:t xml:space="preserve"> </w:t>
      </w:r>
      <w:r>
        <w:rPr>
          <w:color w:val="211F1F"/>
          <w:spacing w:val="-5"/>
        </w:rPr>
        <w:t>of</w:t>
      </w:r>
      <w:r>
        <w:rPr>
          <w:color w:val="211F1F"/>
        </w:rPr>
        <w:tab/>
      </w:r>
      <w:r>
        <w:rPr>
          <w:i/>
          <w:color w:val="211F1F"/>
          <w:spacing w:val="-2"/>
        </w:rPr>
        <w:t>(insert</w:t>
      </w:r>
    </w:p>
    <w:p w14:paraId="39924129" w14:textId="77777777" w:rsidR="00BB77C0" w:rsidRDefault="00370BAA">
      <w:pPr>
        <w:tabs>
          <w:tab w:val="left" w:leader="dot" w:pos="10357"/>
        </w:tabs>
        <w:spacing w:line="245" w:lineRule="exact"/>
        <w:ind w:left="1032"/>
      </w:pPr>
      <w:r>
        <w:rPr>
          <w:i/>
          <w:color w:val="211F1F"/>
        </w:rPr>
        <w:t>name</w:t>
      </w:r>
      <w:r>
        <w:rPr>
          <w:i/>
          <w:color w:val="211F1F"/>
          <w:spacing w:val="9"/>
        </w:rPr>
        <w:t xml:space="preserve"> </w:t>
      </w:r>
      <w:r>
        <w:rPr>
          <w:i/>
          <w:color w:val="211F1F"/>
        </w:rPr>
        <w:t>of</w:t>
      </w:r>
      <w:r>
        <w:rPr>
          <w:i/>
          <w:color w:val="211F1F"/>
          <w:spacing w:val="8"/>
        </w:rPr>
        <w:t xml:space="preserve"> </w:t>
      </w:r>
      <w:r>
        <w:rPr>
          <w:i/>
          <w:color w:val="211F1F"/>
        </w:rPr>
        <w:t>the</w:t>
      </w:r>
      <w:r>
        <w:rPr>
          <w:i/>
          <w:color w:val="211F1F"/>
          <w:spacing w:val="10"/>
        </w:rPr>
        <w:t xml:space="preserve"> </w:t>
      </w:r>
      <w:r>
        <w:rPr>
          <w:i/>
          <w:color w:val="211F1F"/>
        </w:rPr>
        <w:t>Company)</w:t>
      </w:r>
      <w:r>
        <w:rPr>
          <w:i/>
          <w:color w:val="211F1F"/>
          <w:spacing w:val="10"/>
        </w:rPr>
        <w:t xml:space="preserve"> </w:t>
      </w:r>
      <w:r>
        <w:rPr>
          <w:color w:val="211F1F"/>
        </w:rPr>
        <w:t>who</w:t>
      </w:r>
      <w:r>
        <w:rPr>
          <w:color w:val="211F1F"/>
          <w:spacing w:val="7"/>
        </w:rPr>
        <w:t xml:space="preserve"> </w:t>
      </w:r>
      <w:r>
        <w:rPr>
          <w:color w:val="211F1F"/>
        </w:rPr>
        <w:t>is</w:t>
      </w:r>
      <w:r>
        <w:rPr>
          <w:color w:val="211F1F"/>
          <w:spacing w:val="12"/>
        </w:rPr>
        <w:t xml:space="preserve"> </w:t>
      </w:r>
      <w:r>
        <w:rPr>
          <w:color w:val="211F1F"/>
        </w:rPr>
        <w:t>a</w:t>
      </w:r>
      <w:r>
        <w:rPr>
          <w:color w:val="211F1F"/>
          <w:spacing w:val="10"/>
        </w:rPr>
        <w:t xml:space="preserve"> </w:t>
      </w:r>
      <w:r>
        <w:rPr>
          <w:color w:val="211F1F"/>
        </w:rPr>
        <w:t>Bidder</w:t>
      </w:r>
      <w:r>
        <w:rPr>
          <w:color w:val="211F1F"/>
          <w:spacing w:val="14"/>
        </w:rPr>
        <w:t xml:space="preserve"> </w:t>
      </w:r>
      <w:r>
        <w:rPr>
          <w:color w:val="211F1F"/>
        </w:rPr>
        <w:t>in</w:t>
      </w:r>
      <w:r>
        <w:rPr>
          <w:color w:val="211F1F"/>
          <w:spacing w:val="7"/>
        </w:rPr>
        <w:t xml:space="preserve"> </w:t>
      </w:r>
      <w:r>
        <w:rPr>
          <w:color w:val="211F1F"/>
        </w:rPr>
        <w:t>respect</w:t>
      </w:r>
      <w:r>
        <w:rPr>
          <w:color w:val="211F1F"/>
          <w:spacing w:val="13"/>
        </w:rPr>
        <w:t xml:space="preserve"> </w:t>
      </w:r>
      <w:r>
        <w:rPr>
          <w:color w:val="211F1F"/>
        </w:rPr>
        <w:t>of</w:t>
      </w:r>
      <w:r>
        <w:rPr>
          <w:color w:val="211F1F"/>
          <w:spacing w:val="5"/>
        </w:rPr>
        <w:t xml:space="preserve"> </w:t>
      </w:r>
      <w:r>
        <w:rPr>
          <w:color w:val="211F1F"/>
        </w:rPr>
        <w:t>Tender</w:t>
      </w:r>
      <w:r>
        <w:rPr>
          <w:color w:val="211F1F"/>
          <w:spacing w:val="15"/>
        </w:rPr>
        <w:t xml:space="preserve"> </w:t>
      </w:r>
      <w:r>
        <w:rPr>
          <w:color w:val="211F1F"/>
          <w:spacing w:val="-5"/>
        </w:rPr>
        <w:t>No</w:t>
      </w:r>
      <w:r>
        <w:rPr>
          <w:color w:val="211F1F"/>
        </w:rPr>
        <w:tab/>
      </w:r>
      <w:r>
        <w:rPr>
          <w:color w:val="211F1F"/>
          <w:spacing w:val="-5"/>
        </w:rPr>
        <w:t>for</w:t>
      </w:r>
    </w:p>
    <w:p w14:paraId="3ADA8E06" w14:textId="77777777" w:rsidR="00BB77C0" w:rsidRDefault="00370BAA">
      <w:pPr>
        <w:tabs>
          <w:tab w:val="left" w:leader="dot" w:pos="7322"/>
        </w:tabs>
        <w:spacing w:line="245" w:lineRule="exact"/>
        <w:ind w:left="1027"/>
      </w:pPr>
      <w:r>
        <w:rPr>
          <w:color w:val="211F1F"/>
          <w:spacing w:val="-2"/>
        </w:rPr>
        <w:t>……………………..</w:t>
      </w:r>
      <w:r>
        <w:rPr>
          <w:color w:val="211F1F"/>
          <w:spacing w:val="6"/>
        </w:rPr>
        <w:t xml:space="preserve"> </w:t>
      </w:r>
      <w:r>
        <w:rPr>
          <w:i/>
          <w:color w:val="211F1F"/>
          <w:spacing w:val="-2"/>
        </w:rPr>
        <w:t>(insert</w:t>
      </w:r>
      <w:r>
        <w:rPr>
          <w:i/>
          <w:color w:val="211F1F"/>
          <w:spacing w:val="-11"/>
        </w:rPr>
        <w:t xml:space="preserve"> </w:t>
      </w:r>
      <w:r>
        <w:rPr>
          <w:i/>
          <w:color w:val="211F1F"/>
          <w:spacing w:val="-2"/>
        </w:rPr>
        <w:t>tender</w:t>
      </w:r>
      <w:r>
        <w:rPr>
          <w:i/>
          <w:color w:val="211F1F"/>
          <w:spacing w:val="-16"/>
        </w:rPr>
        <w:t xml:space="preserve"> </w:t>
      </w:r>
      <w:r>
        <w:rPr>
          <w:i/>
          <w:color w:val="211F1F"/>
          <w:spacing w:val="-2"/>
        </w:rPr>
        <w:t>title/description)</w:t>
      </w:r>
      <w:r>
        <w:rPr>
          <w:i/>
          <w:color w:val="211F1F"/>
          <w:spacing w:val="-9"/>
        </w:rPr>
        <w:t xml:space="preserve"> </w:t>
      </w:r>
      <w:r>
        <w:rPr>
          <w:color w:val="211F1F"/>
          <w:spacing w:val="-5"/>
        </w:rPr>
        <w:t>for</w:t>
      </w:r>
      <w:r>
        <w:rPr>
          <w:color w:val="211F1F"/>
        </w:rPr>
        <w:tab/>
      </w:r>
      <w:r>
        <w:rPr>
          <w:i/>
          <w:color w:val="211F1F"/>
          <w:spacing w:val="-4"/>
        </w:rPr>
        <w:t>(insert</w:t>
      </w:r>
      <w:r>
        <w:rPr>
          <w:i/>
          <w:color w:val="211F1F"/>
          <w:spacing w:val="-13"/>
        </w:rPr>
        <w:t xml:space="preserve"> </w:t>
      </w:r>
      <w:r>
        <w:rPr>
          <w:i/>
          <w:color w:val="211F1F"/>
          <w:spacing w:val="-4"/>
        </w:rPr>
        <w:t>name</w:t>
      </w:r>
      <w:r>
        <w:rPr>
          <w:i/>
          <w:color w:val="211F1F"/>
          <w:spacing w:val="-11"/>
        </w:rPr>
        <w:t xml:space="preserve"> </w:t>
      </w:r>
      <w:r>
        <w:rPr>
          <w:i/>
          <w:color w:val="211F1F"/>
          <w:spacing w:val="-4"/>
        </w:rPr>
        <w:t>of</w:t>
      </w:r>
      <w:r>
        <w:rPr>
          <w:i/>
          <w:color w:val="211F1F"/>
          <w:spacing w:val="-12"/>
        </w:rPr>
        <w:t xml:space="preserve"> </w:t>
      </w:r>
      <w:r>
        <w:rPr>
          <w:i/>
          <w:color w:val="211F1F"/>
          <w:spacing w:val="-4"/>
        </w:rPr>
        <w:t>the</w:t>
      </w:r>
      <w:r>
        <w:rPr>
          <w:i/>
          <w:color w:val="211F1F"/>
          <w:spacing w:val="-5"/>
        </w:rPr>
        <w:t xml:space="preserve"> </w:t>
      </w:r>
      <w:r>
        <w:rPr>
          <w:i/>
          <w:color w:val="211F1F"/>
          <w:spacing w:val="-4"/>
        </w:rPr>
        <w:t>Procuring</w:t>
      </w:r>
      <w:r>
        <w:rPr>
          <w:i/>
          <w:color w:val="211F1F"/>
          <w:spacing w:val="-2"/>
        </w:rPr>
        <w:t xml:space="preserve"> </w:t>
      </w:r>
      <w:r>
        <w:rPr>
          <w:i/>
          <w:color w:val="211F1F"/>
          <w:spacing w:val="-4"/>
        </w:rPr>
        <w:t>entity)</w:t>
      </w:r>
      <w:r>
        <w:rPr>
          <w:i/>
          <w:color w:val="211F1F"/>
          <w:spacing w:val="-9"/>
        </w:rPr>
        <w:t xml:space="preserve"> </w:t>
      </w:r>
      <w:r>
        <w:rPr>
          <w:color w:val="211F1F"/>
          <w:spacing w:val="-5"/>
        </w:rPr>
        <w:t>and</w:t>
      </w:r>
    </w:p>
    <w:p w14:paraId="6D8744A2" w14:textId="77777777" w:rsidR="00BB77C0" w:rsidRDefault="00370BAA">
      <w:pPr>
        <w:pStyle w:val="BodyText"/>
        <w:spacing w:line="249" w:lineRule="exact"/>
        <w:ind w:left="1027"/>
      </w:pPr>
      <w:r>
        <w:rPr>
          <w:color w:val="211F1F"/>
          <w:spacing w:val="-4"/>
        </w:rPr>
        <w:t>duly</w:t>
      </w:r>
      <w:r>
        <w:rPr>
          <w:color w:val="211F1F"/>
          <w:spacing w:val="-10"/>
        </w:rPr>
        <w:t xml:space="preserve"> </w:t>
      </w:r>
      <w:r>
        <w:rPr>
          <w:color w:val="211F1F"/>
          <w:spacing w:val="-4"/>
        </w:rPr>
        <w:t>authorized</w:t>
      </w:r>
      <w:r>
        <w:rPr>
          <w:color w:val="211F1F"/>
          <w:spacing w:val="-9"/>
        </w:rPr>
        <w:t xml:space="preserve"> </w:t>
      </w:r>
      <w:r>
        <w:rPr>
          <w:color w:val="211F1F"/>
          <w:spacing w:val="-4"/>
        </w:rPr>
        <w:t>and</w:t>
      </w:r>
      <w:r>
        <w:rPr>
          <w:color w:val="211F1F"/>
          <w:spacing w:val="-9"/>
        </w:rPr>
        <w:t xml:space="preserve"> </w:t>
      </w:r>
      <w:r>
        <w:rPr>
          <w:color w:val="211F1F"/>
          <w:spacing w:val="-4"/>
        </w:rPr>
        <w:t>competent</w:t>
      </w:r>
      <w:r>
        <w:rPr>
          <w:color w:val="211F1F"/>
          <w:spacing w:val="-2"/>
        </w:rPr>
        <w:t xml:space="preserve"> </w:t>
      </w:r>
      <w:r>
        <w:rPr>
          <w:color w:val="211F1F"/>
          <w:spacing w:val="-4"/>
        </w:rPr>
        <w:t>to</w:t>
      </w:r>
      <w:r>
        <w:rPr>
          <w:color w:val="211F1F"/>
          <w:spacing w:val="-14"/>
        </w:rPr>
        <w:t xml:space="preserve"> </w:t>
      </w:r>
      <w:r>
        <w:rPr>
          <w:color w:val="211F1F"/>
          <w:spacing w:val="-4"/>
        </w:rPr>
        <w:t>make</w:t>
      </w:r>
      <w:r>
        <w:rPr>
          <w:color w:val="211F1F"/>
          <w:spacing w:val="-12"/>
        </w:rPr>
        <w:t xml:space="preserve"> </w:t>
      </w:r>
      <w:r>
        <w:rPr>
          <w:color w:val="211F1F"/>
          <w:spacing w:val="-4"/>
        </w:rPr>
        <w:t>this</w:t>
      </w:r>
      <w:r>
        <w:rPr>
          <w:color w:val="211F1F"/>
          <w:spacing w:val="-3"/>
        </w:rPr>
        <w:t xml:space="preserve"> </w:t>
      </w:r>
      <w:r>
        <w:rPr>
          <w:color w:val="211F1F"/>
          <w:spacing w:val="-4"/>
        </w:rPr>
        <w:t>statement.</w:t>
      </w:r>
    </w:p>
    <w:p w14:paraId="7960ED7D" w14:textId="77777777" w:rsidR="00BB77C0" w:rsidRDefault="00BB77C0">
      <w:pPr>
        <w:pStyle w:val="BodyText"/>
        <w:spacing w:before="228"/>
      </w:pPr>
    </w:p>
    <w:p w14:paraId="1683D152" w14:textId="77777777" w:rsidR="00BB77C0" w:rsidRDefault="00370BAA">
      <w:pPr>
        <w:pStyle w:val="ListParagraph"/>
        <w:numPr>
          <w:ilvl w:val="0"/>
          <w:numId w:val="41"/>
        </w:numPr>
        <w:tabs>
          <w:tab w:val="left" w:pos="1025"/>
          <w:tab w:val="left" w:pos="1027"/>
          <w:tab w:val="left" w:leader="dot" w:pos="5517"/>
        </w:tabs>
        <w:spacing w:line="230" w:lineRule="auto"/>
        <w:ind w:left="1027" w:right="710"/>
        <w:jc w:val="both"/>
      </w:pPr>
      <w:r>
        <w:rPr>
          <w:color w:val="211F1F"/>
          <w:spacing w:val="-2"/>
        </w:rPr>
        <w:t>THAT</w:t>
      </w:r>
      <w:r>
        <w:rPr>
          <w:color w:val="211F1F"/>
          <w:spacing w:val="-12"/>
        </w:rPr>
        <w:t xml:space="preserve"> </w:t>
      </w:r>
      <w:r>
        <w:rPr>
          <w:color w:val="211F1F"/>
          <w:spacing w:val="-2"/>
        </w:rPr>
        <w:t>the</w:t>
      </w:r>
      <w:r>
        <w:rPr>
          <w:color w:val="211F1F"/>
          <w:spacing w:val="-12"/>
        </w:rPr>
        <w:t xml:space="preserve"> </w:t>
      </w:r>
      <w:r>
        <w:rPr>
          <w:color w:val="211F1F"/>
          <w:spacing w:val="-2"/>
        </w:rPr>
        <w:t>aforesaid</w:t>
      </w:r>
      <w:r>
        <w:rPr>
          <w:color w:val="211F1F"/>
          <w:spacing w:val="-8"/>
        </w:rPr>
        <w:t xml:space="preserve"> </w:t>
      </w:r>
      <w:r>
        <w:rPr>
          <w:color w:val="211F1F"/>
          <w:spacing w:val="-2"/>
        </w:rPr>
        <w:t>Bidder, its</w:t>
      </w:r>
      <w:r>
        <w:rPr>
          <w:color w:val="211F1F"/>
          <w:spacing w:val="-9"/>
        </w:rPr>
        <w:t xml:space="preserve"> </w:t>
      </w:r>
      <w:r>
        <w:rPr>
          <w:color w:val="211F1F"/>
          <w:spacing w:val="-2"/>
        </w:rPr>
        <w:t>servants</w:t>
      </w:r>
      <w:r>
        <w:rPr>
          <w:color w:val="211F1F"/>
          <w:spacing w:val="-8"/>
        </w:rPr>
        <w:t xml:space="preserve"> </w:t>
      </w:r>
      <w:r>
        <w:rPr>
          <w:color w:val="211F1F"/>
          <w:spacing w:val="-2"/>
        </w:rPr>
        <w:t>and/or</w:t>
      </w:r>
      <w:r>
        <w:rPr>
          <w:color w:val="211F1F"/>
          <w:spacing w:val="-5"/>
        </w:rPr>
        <w:t xml:space="preserve"> </w:t>
      </w:r>
      <w:r>
        <w:rPr>
          <w:color w:val="211F1F"/>
          <w:spacing w:val="-2"/>
        </w:rPr>
        <w:t>agents</w:t>
      </w:r>
      <w:r>
        <w:rPr>
          <w:color w:val="211F1F"/>
          <w:spacing w:val="-4"/>
        </w:rPr>
        <w:t xml:space="preserve"> </w:t>
      </w:r>
      <w:r>
        <w:rPr>
          <w:color w:val="211F1F"/>
          <w:spacing w:val="-2"/>
        </w:rPr>
        <w:t>/subcontractors</w:t>
      </w:r>
      <w:r>
        <w:rPr>
          <w:color w:val="211F1F"/>
          <w:spacing w:val="-3"/>
        </w:rPr>
        <w:t xml:space="preserve"> </w:t>
      </w:r>
      <w:r>
        <w:rPr>
          <w:color w:val="211F1F"/>
          <w:spacing w:val="-2"/>
        </w:rPr>
        <w:t>will</w:t>
      </w:r>
      <w:r>
        <w:rPr>
          <w:color w:val="211F1F"/>
          <w:spacing w:val="-3"/>
        </w:rPr>
        <w:t xml:space="preserve"> </w:t>
      </w:r>
      <w:r>
        <w:rPr>
          <w:color w:val="211F1F"/>
          <w:spacing w:val="-2"/>
        </w:rPr>
        <w:t>not engage</w:t>
      </w:r>
      <w:r>
        <w:rPr>
          <w:color w:val="211F1F"/>
          <w:spacing w:val="-6"/>
        </w:rPr>
        <w:t xml:space="preserve"> </w:t>
      </w:r>
      <w:r>
        <w:rPr>
          <w:color w:val="211F1F"/>
          <w:spacing w:val="-2"/>
        </w:rPr>
        <w:t>in</w:t>
      </w:r>
      <w:r>
        <w:rPr>
          <w:color w:val="211F1F"/>
          <w:spacing w:val="-4"/>
        </w:rPr>
        <w:t xml:space="preserve"> </w:t>
      </w:r>
      <w:r>
        <w:rPr>
          <w:color w:val="211F1F"/>
          <w:spacing w:val="-2"/>
        </w:rPr>
        <w:t>any</w:t>
      </w:r>
      <w:r>
        <w:rPr>
          <w:color w:val="211F1F"/>
          <w:spacing w:val="-4"/>
        </w:rPr>
        <w:t xml:space="preserve"> </w:t>
      </w:r>
      <w:r>
        <w:rPr>
          <w:color w:val="211F1F"/>
          <w:spacing w:val="-2"/>
        </w:rPr>
        <w:t>corrupt or fraudulent practice</w:t>
      </w:r>
      <w:r>
        <w:rPr>
          <w:color w:val="211F1F"/>
          <w:spacing w:val="-12"/>
        </w:rPr>
        <w:t xml:space="preserve"> </w:t>
      </w:r>
      <w:r>
        <w:rPr>
          <w:color w:val="211F1F"/>
          <w:spacing w:val="-2"/>
        </w:rPr>
        <w:t>and</w:t>
      </w:r>
      <w:r>
        <w:rPr>
          <w:color w:val="211F1F"/>
          <w:spacing w:val="-12"/>
        </w:rPr>
        <w:t xml:space="preserve"> </w:t>
      </w:r>
      <w:r>
        <w:rPr>
          <w:color w:val="211F1F"/>
          <w:spacing w:val="-2"/>
        </w:rPr>
        <w:t>has</w:t>
      </w:r>
      <w:r>
        <w:rPr>
          <w:color w:val="211F1F"/>
          <w:spacing w:val="-12"/>
        </w:rPr>
        <w:t xml:space="preserve"> </w:t>
      </w:r>
      <w:r>
        <w:rPr>
          <w:color w:val="211F1F"/>
          <w:spacing w:val="-2"/>
        </w:rPr>
        <w:t>not</w:t>
      </w:r>
      <w:r>
        <w:rPr>
          <w:color w:val="211F1F"/>
          <w:spacing w:val="-11"/>
        </w:rPr>
        <w:t xml:space="preserve"> </w:t>
      </w:r>
      <w:r>
        <w:rPr>
          <w:color w:val="211F1F"/>
          <w:spacing w:val="-2"/>
        </w:rPr>
        <w:t>been</w:t>
      </w:r>
      <w:r>
        <w:rPr>
          <w:color w:val="211F1F"/>
          <w:spacing w:val="-12"/>
        </w:rPr>
        <w:t xml:space="preserve"> </w:t>
      </w:r>
      <w:r>
        <w:rPr>
          <w:color w:val="211F1F"/>
          <w:spacing w:val="-2"/>
        </w:rPr>
        <w:t>requested</w:t>
      </w:r>
      <w:r>
        <w:rPr>
          <w:color w:val="211F1F"/>
          <w:spacing w:val="-12"/>
        </w:rPr>
        <w:t xml:space="preserve"> </w:t>
      </w:r>
      <w:r>
        <w:rPr>
          <w:color w:val="211F1F"/>
          <w:spacing w:val="-2"/>
        </w:rPr>
        <w:t>to</w:t>
      </w:r>
      <w:r>
        <w:rPr>
          <w:color w:val="211F1F"/>
          <w:spacing w:val="-12"/>
        </w:rPr>
        <w:t xml:space="preserve"> </w:t>
      </w:r>
      <w:r>
        <w:rPr>
          <w:color w:val="211F1F"/>
          <w:spacing w:val="-2"/>
        </w:rPr>
        <w:t>pay</w:t>
      </w:r>
      <w:r>
        <w:rPr>
          <w:color w:val="211F1F"/>
          <w:spacing w:val="-11"/>
        </w:rPr>
        <w:t xml:space="preserve"> </w:t>
      </w:r>
      <w:r>
        <w:rPr>
          <w:color w:val="211F1F"/>
          <w:spacing w:val="-2"/>
        </w:rPr>
        <w:t>any</w:t>
      </w:r>
      <w:r>
        <w:rPr>
          <w:color w:val="211F1F"/>
          <w:spacing w:val="-12"/>
        </w:rPr>
        <w:t xml:space="preserve"> </w:t>
      </w:r>
      <w:r>
        <w:rPr>
          <w:color w:val="211F1F"/>
          <w:spacing w:val="-2"/>
        </w:rPr>
        <w:t>inducement</w:t>
      </w:r>
      <w:r>
        <w:rPr>
          <w:color w:val="211F1F"/>
          <w:spacing w:val="-9"/>
        </w:rPr>
        <w:t xml:space="preserve"> </w:t>
      </w:r>
      <w:r>
        <w:rPr>
          <w:color w:val="211F1F"/>
          <w:spacing w:val="-2"/>
        </w:rPr>
        <w:t>to</w:t>
      </w:r>
      <w:r>
        <w:rPr>
          <w:color w:val="211F1F"/>
          <w:spacing w:val="-12"/>
        </w:rPr>
        <w:t xml:space="preserve"> </w:t>
      </w:r>
      <w:r>
        <w:rPr>
          <w:color w:val="211F1F"/>
          <w:spacing w:val="-2"/>
        </w:rPr>
        <w:t>any</w:t>
      </w:r>
      <w:r>
        <w:rPr>
          <w:color w:val="211F1F"/>
          <w:spacing w:val="-12"/>
        </w:rPr>
        <w:t xml:space="preserve"> </w:t>
      </w:r>
      <w:r>
        <w:rPr>
          <w:color w:val="211F1F"/>
          <w:spacing w:val="-2"/>
        </w:rPr>
        <w:t>member of</w:t>
      </w:r>
      <w:r>
        <w:rPr>
          <w:color w:val="211F1F"/>
          <w:spacing w:val="-8"/>
        </w:rPr>
        <w:t xml:space="preserve"> </w:t>
      </w:r>
      <w:r>
        <w:rPr>
          <w:color w:val="211F1F"/>
          <w:spacing w:val="-2"/>
        </w:rPr>
        <w:t>the</w:t>
      </w:r>
      <w:r>
        <w:rPr>
          <w:color w:val="211F1F"/>
          <w:spacing w:val="-9"/>
        </w:rPr>
        <w:t xml:space="preserve"> </w:t>
      </w:r>
      <w:r>
        <w:rPr>
          <w:color w:val="211F1F"/>
          <w:spacing w:val="-2"/>
        </w:rPr>
        <w:t>Board,</w:t>
      </w:r>
      <w:r>
        <w:rPr>
          <w:color w:val="211F1F"/>
          <w:spacing w:val="-10"/>
        </w:rPr>
        <w:t xml:space="preserve"> </w:t>
      </w:r>
      <w:r>
        <w:rPr>
          <w:color w:val="211F1F"/>
          <w:spacing w:val="-2"/>
        </w:rPr>
        <w:t>Management,</w:t>
      </w:r>
      <w:r>
        <w:rPr>
          <w:color w:val="211F1F"/>
          <w:spacing w:val="16"/>
        </w:rPr>
        <w:t xml:space="preserve"> </w:t>
      </w:r>
      <w:r>
        <w:rPr>
          <w:color w:val="211F1F"/>
          <w:spacing w:val="-2"/>
        </w:rPr>
        <w:t>Staff</w:t>
      </w:r>
      <w:r>
        <w:rPr>
          <w:color w:val="211F1F"/>
          <w:spacing w:val="-4"/>
        </w:rPr>
        <w:t xml:space="preserve"> </w:t>
      </w:r>
      <w:r>
        <w:rPr>
          <w:color w:val="211F1F"/>
          <w:spacing w:val="-2"/>
        </w:rPr>
        <w:t xml:space="preserve">and/or </w:t>
      </w:r>
      <w:r>
        <w:rPr>
          <w:color w:val="211F1F"/>
        </w:rPr>
        <w:t>employees and/or agents of</w:t>
      </w:r>
      <w:r>
        <w:rPr>
          <w:color w:val="211F1F"/>
        </w:rPr>
        <w:tab/>
      </w:r>
      <w:r>
        <w:rPr>
          <w:i/>
          <w:color w:val="211F1F"/>
        </w:rPr>
        <w:t>(insert name of the</w:t>
      </w:r>
      <w:r>
        <w:rPr>
          <w:i/>
          <w:color w:val="211F1F"/>
          <w:spacing w:val="-1"/>
        </w:rPr>
        <w:t xml:space="preserve"> </w:t>
      </w:r>
      <w:r>
        <w:rPr>
          <w:i/>
          <w:color w:val="211F1F"/>
        </w:rPr>
        <w:t xml:space="preserve">Procuring entity) </w:t>
      </w:r>
      <w:r>
        <w:rPr>
          <w:color w:val="211F1F"/>
        </w:rPr>
        <w:t>which is the procuring</w:t>
      </w:r>
    </w:p>
    <w:p w14:paraId="5A01E279" w14:textId="77777777" w:rsidR="00BB77C0" w:rsidRDefault="00370BAA">
      <w:pPr>
        <w:pStyle w:val="BodyText"/>
        <w:spacing w:line="251" w:lineRule="exact"/>
        <w:ind w:left="1032"/>
      </w:pPr>
      <w:r>
        <w:rPr>
          <w:color w:val="211F1F"/>
          <w:spacing w:val="-2"/>
        </w:rPr>
        <w:t>entity.</w:t>
      </w:r>
    </w:p>
    <w:p w14:paraId="155A11D4" w14:textId="77777777" w:rsidR="00BB77C0" w:rsidRDefault="00BB77C0">
      <w:pPr>
        <w:pStyle w:val="BodyText"/>
        <w:spacing w:before="225"/>
      </w:pPr>
    </w:p>
    <w:p w14:paraId="3B6AABA3" w14:textId="77777777" w:rsidR="00BB77C0" w:rsidRDefault="00370BAA">
      <w:pPr>
        <w:pStyle w:val="ListParagraph"/>
        <w:numPr>
          <w:ilvl w:val="0"/>
          <w:numId w:val="41"/>
        </w:numPr>
        <w:tabs>
          <w:tab w:val="left" w:pos="1025"/>
          <w:tab w:val="left" w:pos="1027"/>
          <w:tab w:val="left" w:leader="dot" w:pos="9723"/>
        </w:tabs>
        <w:spacing w:line="232" w:lineRule="auto"/>
        <w:ind w:left="1027" w:right="709"/>
        <w:jc w:val="both"/>
      </w:pPr>
      <w:r>
        <w:rPr>
          <w:color w:val="211F1F"/>
        </w:rPr>
        <w:t>THAT the aforesaid Bidder, its servants and/or agents /subcontractors have not offered any inducement to any member</w:t>
      </w:r>
      <w:r>
        <w:rPr>
          <w:color w:val="211F1F"/>
          <w:spacing w:val="-7"/>
        </w:rPr>
        <w:t xml:space="preserve"> </w:t>
      </w:r>
      <w:r>
        <w:rPr>
          <w:color w:val="211F1F"/>
        </w:rPr>
        <w:t>of</w:t>
      </w:r>
      <w:r>
        <w:rPr>
          <w:color w:val="211F1F"/>
          <w:spacing w:val="-12"/>
        </w:rPr>
        <w:t xml:space="preserve"> </w:t>
      </w:r>
      <w:r>
        <w:rPr>
          <w:color w:val="211F1F"/>
        </w:rPr>
        <w:t>the</w:t>
      </w:r>
      <w:r>
        <w:rPr>
          <w:color w:val="211F1F"/>
          <w:spacing w:val="-12"/>
        </w:rPr>
        <w:t xml:space="preserve"> </w:t>
      </w:r>
      <w:r>
        <w:rPr>
          <w:color w:val="211F1F"/>
        </w:rPr>
        <w:t>Board,</w:t>
      </w:r>
      <w:r>
        <w:rPr>
          <w:color w:val="211F1F"/>
          <w:spacing w:val="-11"/>
        </w:rPr>
        <w:t xml:space="preserve"> </w:t>
      </w:r>
      <w:r>
        <w:rPr>
          <w:color w:val="211F1F"/>
        </w:rPr>
        <w:t>Management,</w:t>
      </w:r>
      <w:r>
        <w:rPr>
          <w:color w:val="211F1F"/>
          <w:spacing w:val="-7"/>
        </w:rPr>
        <w:t xml:space="preserve"> </w:t>
      </w:r>
      <w:r>
        <w:rPr>
          <w:color w:val="211F1F"/>
        </w:rPr>
        <w:t>Staff</w:t>
      </w:r>
      <w:r>
        <w:rPr>
          <w:color w:val="211F1F"/>
          <w:spacing w:val="-11"/>
        </w:rPr>
        <w:t xml:space="preserve"> </w:t>
      </w:r>
      <w:r>
        <w:rPr>
          <w:color w:val="211F1F"/>
        </w:rPr>
        <w:t>and/or</w:t>
      </w:r>
      <w:r>
        <w:rPr>
          <w:color w:val="211F1F"/>
          <w:spacing w:val="-2"/>
        </w:rPr>
        <w:t xml:space="preserve"> </w:t>
      </w:r>
      <w:r>
        <w:rPr>
          <w:color w:val="211F1F"/>
        </w:rPr>
        <w:t>employees</w:t>
      </w:r>
      <w:r>
        <w:rPr>
          <w:color w:val="211F1F"/>
          <w:spacing w:val="-9"/>
        </w:rPr>
        <w:t xml:space="preserve"> </w:t>
      </w:r>
      <w:r>
        <w:rPr>
          <w:color w:val="211F1F"/>
        </w:rPr>
        <w:t>and/or</w:t>
      </w:r>
      <w:r>
        <w:rPr>
          <w:color w:val="211F1F"/>
          <w:spacing w:val="-7"/>
        </w:rPr>
        <w:t xml:space="preserve"> </w:t>
      </w:r>
      <w:r>
        <w:rPr>
          <w:color w:val="211F1F"/>
        </w:rPr>
        <w:t>agents</w:t>
      </w:r>
      <w:r>
        <w:rPr>
          <w:color w:val="211F1F"/>
          <w:spacing w:val="-8"/>
        </w:rPr>
        <w:t xml:space="preserve"> </w:t>
      </w:r>
      <w:r>
        <w:rPr>
          <w:color w:val="211F1F"/>
          <w:spacing w:val="-5"/>
        </w:rPr>
        <w:t>of</w:t>
      </w:r>
      <w:r>
        <w:rPr>
          <w:color w:val="211F1F"/>
        </w:rPr>
        <w:tab/>
        <w:t>(name</w:t>
      </w:r>
      <w:r>
        <w:rPr>
          <w:color w:val="211F1F"/>
          <w:spacing w:val="-9"/>
        </w:rPr>
        <w:t xml:space="preserve"> </w:t>
      </w:r>
      <w:r>
        <w:rPr>
          <w:color w:val="211F1F"/>
        </w:rPr>
        <w:t>of</w:t>
      </w:r>
      <w:r>
        <w:rPr>
          <w:color w:val="211F1F"/>
          <w:spacing w:val="-8"/>
        </w:rPr>
        <w:t xml:space="preserve"> </w:t>
      </w:r>
      <w:r>
        <w:rPr>
          <w:color w:val="211F1F"/>
          <w:spacing w:val="-5"/>
        </w:rPr>
        <w:t>the</w:t>
      </w:r>
    </w:p>
    <w:p w14:paraId="064759D8" w14:textId="77777777" w:rsidR="00BB77C0" w:rsidRDefault="00370BAA">
      <w:pPr>
        <w:pStyle w:val="BodyText"/>
        <w:spacing w:line="246" w:lineRule="exact"/>
        <w:ind w:left="1027"/>
      </w:pPr>
      <w:r>
        <w:rPr>
          <w:color w:val="211F1F"/>
          <w:spacing w:val="-4"/>
        </w:rPr>
        <w:t>procuring</w:t>
      </w:r>
      <w:r>
        <w:rPr>
          <w:color w:val="211F1F"/>
          <w:spacing w:val="5"/>
        </w:rPr>
        <w:t xml:space="preserve"> </w:t>
      </w:r>
      <w:r>
        <w:rPr>
          <w:color w:val="211F1F"/>
          <w:spacing w:val="-2"/>
        </w:rPr>
        <w:t>entity)</w:t>
      </w:r>
    </w:p>
    <w:p w14:paraId="7A4E6DD6" w14:textId="77777777" w:rsidR="00BB77C0" w:rsidRDefault="00370BAA">
      <w:pPr>
        <w:pStyle w:val="ListParagraph"/>
        <w:numPr>
          <w:ilvl w:val="0"/>
          <w:numId w:val="41"/>
        </w:numPr>
        <w:tabs>
          <w:tab w:val="left" w:pos="1025"/>
          <w:tab w:val="left" w:pos="1027"/>
        </w:tabs>
        <w:spacing w:before="234" w:line="237" w:lineRule="auto"/>
        <w:ind w:left="1027" w:right="791"/>
        <w:jc w:val="both"/>
      </w:pPr>
      <w:r>
        <w:rPr>
          <w:color w:val="211F1F"/>
        </w:rPr>
        <w:t>THAT the aforesaid Bidder will not engage /has not engaged in any corrosive practice with other bidders participating in the subject tender</w:t>
      </w:r>
    </w:p>
    <w:p w14:paraId="2DD897B0" w14:textId="77777777" w:rsidR="00BB77C0" w:rsidRDefault="00370BAA">
      <w:pPr>
        <w:pStyle w:val="ListParagraph"/>
        <w:numPr>
          <w:ilvl w:val="0"/>
          <w:numId w:val="41"/>
        </w:numPr>
        <w:tabs>
          <w:tab w:val="left" w:pos="1041"/>
        </w:tabs>
        <w:spacing w:before="226"/>
        <w:ind w:left="1041" w:hanging="551"/>
      </w:pPr>
      <w:r>
        <w:rPr>
          <w:color w:val="211F1F"/>
          <w:spacing w:val="-2"/>
        </w:rPr>
        <w:t>THATwhat</w:t>
      </w:r>
      <w:r>
        <w:rPr>
          <w:color w:val="211F1F"/>
          <w:spacing w:val="-22"/>
        </w:rPr>
        <w:t xml:space="preserve"> </w:t>
      </w:r>
      <w:r>
        <w:rPr>
          <w:color w:val="211F1F"/>
          <w:spacing w:val="-2"/>
        </w:rPr>
        <w:t>is</w:t>
      </w:r>
      <w:r>
        <w:rPr>
          <w:color w:val="211F1F"/>
          <w:spacing w:val="-16"/>
        </w:rPr>
        <w:t xml:space="preserve"> </w:t>
      </w:r>
      <w:r>
        <w:rPr>
          <w:color w:val="211F1F"/>
          <w:spacing w:val="-2"/>
        </w:rPr>
        <w:t>deponed</w:t>
      </w:r>
      <w:r>
        <w:rPr>
          <w:color w:val="211F1F"/>
          <w:spacing w:val="-20"/>
        </w:rPr>
        <w:t xml:space="preserve"> </w:t>
      </w:r>
      <w:r>
        <w:rPr>
          <w:color w:val="211F1F"/>
          <w:spacing w:val="-2"/>
        </w:rPr>
        <w:t>to</w:t>
      </w:r>
      <w:r>
        <w:rPr>
          <w:color w:val="211F1F"/>
          <w:spacing w:val="-21"/>
        </w:rPr>
        <w:t xml:space="preserve"> </w:t>
      </w:r>
      <w:r>
        <w:rPr>
          <w:color w:val="211F1F"/>
          <w:spacing w:val="-2"/>
        </w:rPr>
        <w:t>herein</w:t>
      </w:r>
      <w:r>
        <w:rPr>
          <w:color w:val="211F1F"/>
          <w:spacing w:val="-20"/>
        </w:rPr>
        <w:t xml:space="preserve"> </w:t>
      </w:r>
      <w:r>
        <w:rPr>
          <w:color w:val="211F1F"/>
          <w:spacing w:val="-2"/>
        </w:rPr>
        <w:t>above</w:t>
      </w:r>
      <w:r>
        <w:rPr>
          <w:color w:val="211F1F"/>
          <w:spacing w:val="-23"/>
        </w:rPr>
        <w:t xml:space="preserve"> </w:t>
      </w:r>
      <w:r>
        <w:rPr>
          <w:color w:val="211F1F"/>
          <w:spacing w:val="-2"/>
        </w:rPr>
        <w:t>is</w:t>
      </w:r>
      <w:r>
        <w:rPr>
          <w:color w:val="211F1F"/>
          <w:spacing w:val="-15"/>
        </w:rPr>
        <w:t xml:space="preserve"> </w:t>
      </w:r>
      <w:r>
        <w:rPr>
          <w:color w:val="211F1F"/>
          <w:spacing w:val="-2"/>
        </w:rPr>
        <w:t>true</w:t>
      </w:r>
      <w:r>
        <w:rPr>
          <w:color w:val="211F1F"/>
          <w:spacing w:val="-23"/>
        </w:rPr>
        <w:t xml:space="preserve"> </w:t>
      </w:r>
      <w:r>
        <w:rPr>
          <w:color w:val="211F1F"/>
          <w:spacing w:val="-2"/>
        </w:rPr>
        <w:t>to</w:t>
      </w:r>
      <w:r>
        <w:rPr>
          <w:color w:val="211F1F"/>
          <w:spacing w:val="-25"/>
        </w:rPr>
        <w:t xml:space="preserve"> </w:t>
      </w:r>
      <w:r>
        <w:rPr>
          <w:color w:val="211F1F"/>
          <w:spacing w:val="-2"/>
        </w:rPr>
        <w:t>the</w:t>
      </w:r>
      <w:r>
        <w:rPr>
          <w:color w:val="211F1F"/>
          <w:spacing w:val="-23"/>
        </w:rPr>
        <w:t xml:space="preserve"> </w:t>
      </w:r>
      <w:r>
        <w:rPr>
          <w:color w:val="211F1F"/>
          <w:spacing w:val="-2"/>
        </w:rPr>
        <w:t>best</w:t>
      </w:r>
      <w:r>
        <w:rPr>
          <w:color w:val="211F1F"/>
          <w:spacing w:val="-15"/>
        </w:rPr>
        <w:t xml:space="preserve"> </w:t>
      </w:r>
      <w:r>
        <w:rPr>
          <w:color w:val="211F1F"/>
          <w:spacing w:val="-2"/>
        </w:rPr>
        <w:t>of</w:t>
      </w:r>
      <w:r>
        <w:rPr>
          <w:color w:val="211F1F"/>
          <w:spacing w:val="-18"/>
        </w:rPr>
        <w:t xml:space="preserve"> </w:t>
      </w:r>
      <w:r>
        <w:rPr>
          <w:color w:val="211F1F"/>
          <w:spacing w:val="-2"/>
        </w:rPr>
        <w:t>my</w:t>
      </w:r>
      <w:r>
        <w:rPr>
          <w:color w:val="211F1F"/>
          <w:spacing w:val="-20"/>
        </w:rPr>
        <w:t xml:space="preserve"> </w:t>
      </w:r>
      <w:r>
        <w:rPr>
          <w:color w:val="211F1F"/>
          <w:spacing w:val="-2"/>
        </w:rPr>
        <w:t>knowledge</w:t>
      </w:r>
      <w:r>
        <w:rPr>
          <w:color w:val="211F1F"/>
          <w:spacing w:val="-23"/>
        </w:rPr>
        <w:t xml:space="preserve"> </w:t>
      </w:r>
      <w:r>
        <w:rPr>
          <w:color w:val="211F1F"/>
          <w:spacing w:val="-2"/>
        </w:rPr>
        <w:t>information</w:t>
      </w:r>
      <w:r>
        <w:rPr>
          <w:color w:val="211F1F"/>
          <w:spacing w:val="-19"/>
        </w:rPr>
        <w:t xml:space="preserve"> </w:t>
      </w:r>
      <w:r>
        <w:rPr>
          <w:color w:val="211F1F"/>
          <w:spacing w:val="-2"/>
        </w:rPr>
        <w:t>and</w:t>
      </w:r>
      <w:r>
        <w:rPr>
          <w:color w:val="211F1F"/>
          <w:spacing w:val="-19"/>
        </w:rPr>
        <w:t xml:space="preserve"> </w:t>
      </w:r>
      <w:r>
        <w:rPr>
          <w:color w:val="211F1F"/>
          <w:spacing w:val="-2"/>
        </w:rPr>
        <w:t>belief.</w:t>
      </w:r>
    </w:p>
    <w:p w14:paraId="694018F8" w14:textId="77777777" w:rsidR="00BB77C0" w:rsidRDefault="00BB77C0">
      <w:pPr>
        <w:pStyle w:val="BodyText"/>
        <w:rPr>
          <w:sz w:val="20"/>
        </w:rPr>
      </w:pPr>
    </w:p>
    <w:p w14:paraId="5B0AE0B9" w14:textId="77777777" w:rsidR="00BB77C0" w:rsidRDefault="00BB77C0">
      <w:pPr>
        <w:pStyle w:val="BodyText"/>
        <w:spacing w:before="21"/>
        <w:rPr>
          <w:sz w:val="20"/>
        </w:rPr>
      </w:pPr>
    </w:p>
    <w:tbl>
      <w:tblPr>
        <w:tblW w:w="0" w:type="auto"/>
        <w:tblInd w:w="1004" w:type="dxa"/>
        <w:tblLayout w:type="fixed"/>
        <w:tblCellMar>
          <w:left w:w="0" w:type="dxa"/>
          <w:right w:w="0" w:type="dxa"/>
        </w:tblCellMar>
        <w:tblLook w:val="01E0" w:firstRow="1" w:lastRow="1" w:firstColumn="1" w:lastColumn="1" w:noHBand="0" w:noVBand="0"/>
      </w:tblPr>
      <w:tblGrid>
        <w:gridCol w:w="3094"/>
        <w:gridCol w:w="3290"/>
        <w:gridCol w:w="3276"/>
      </w:tblGrid>
      <w:tr w:rsidR="00BB77C0" w14:paraId="5991F7FF" w14:textId="77777777">
        <w:trPr>
          <w:trHeight w:val="249"/>
        </w:trPr>
        <w:tc>
          <w:tcPr>
            <w:tcW w:w="3094" w:type="dxa"/>
          </w:tcPr>
          <w:p w14:paraId="4B5BF1FF" w14:textId="77777777" w:rsidR="00BB77C0" w:rsidRDefault="00370BAA">
            <w:pPr>
              <w:pStyle w:val="TableParagraph"/>
              <w:spacing w:line="229" w:lineRule="exact"/>
              <w:ind w:left="50"/>
            </w:pPr>
            <w:r>
              <w:rPr>
                <w:color w:val="211F1F"/>
                <w:spacing w:val="-2"/>
              </w:rPr>
              <w:t>…………………………………</w:t>
            </w:r>
          </w:p>
        </w:tc>
        <w:tc>
          <w:tcPr>
            <w:tcW w:w="3290" w:type="dxa"/>
          </w:tcPr>
          <w:p w14:paraId="215FA6D8" w14:textId="77777777" w:rsidR="00BB77C0" w:rsidRDefault="00370BAA">
            <w:pPr>
              <w:pStyle w:val="TableParagraph"/>
              <w:spacing w:line="229" w:lineRule="exact"/>
              <w:ind w:left="207"/>
            </w:pPr>
            <w:r>
              <w:rPr>
                <w:color w:val="211F1F"/>
                <w:spacing w:val="-2"/>
              </w:rPr>
              <w:t>…………………….....………</w:t>
            </w:r>
          </w:p>
        </w:tc>
        <w:tc>
          <w:tcPr>
            <w:tcW w:w="3276" w:type="dxa"/>
          </w:tcPr>
          <w:p w14:paraId="6D9072D3" w14:textId="77777777" w:rsidR="00BB77C0" w:rsidRDefault="00370BAA">
            <w:pPr>
              <w:pStyle w:val="TableParagraph"/>
              <w:spacing w:line="229" w:lineRule="exact"/>
              <w:ind w:left="412"/>
            </w:pPr>
            <w:r>
              <w:rPr>
                <w:color w:val="211F1F"/>
                <w:spacing w:val="-2"/>
              </w:rPr>
              <w:t>................………………………</w:t>
            </w:r>
          </w:p>
        </w:tc>
      </w:tr>
      <w:tr w:rsidR="00BB77C0" w14:paraId="01E4E296" w14:textId="77777777">
        <w:trPr>
          <w:trHeight w:val="964"/>
        </w:trPr>
        <w:tc>
          <w:tcPr>
            <w:tcW w:w="3094" w:type="dxa"/>
          </w:tcPr>
          <w:p w14:paraId="4FE3C87A" w14:textId="77777777" w:rsidR="00BB77C0" w:rsidRDefault="00370BAA">
            <w:pPr>
              <w:pStyle w:val="TableParagraph"/>
              <w:spacing w:line="249" w:lineRule="exact"/>
              <w:ind w:left="50"/>
            </w:pPr>
            <w:r>
              <w:rPr>
                <w:color w:val="211F1F"/>
                <w:spacing w:val="-2"/>
              </w:rPr>
              <w:t>(Title)</w:t>
            </w:r>
          </w:p>
          <w:p w14:paraId="708EDE2A" w14:textId="77777777" w:rsidR="00BB77C0" w:rsidRDefault="00BB77C0">
            <w:pPr>
              <w:pStyle w:val="TableParagraph"/>
              <w:spacing w:before="209"/>
            </w:pPr>
          </w:p>
          <w:p w14:paraId="33EDD60A" w14:textId="77777777" w:rsidR="00BB77C0" w:rsidRDefault="00370BAA">
            <w:pPr>
              <w:pStyle w:val="TableParagraph"/>
              <w:spacing w:line="233" w:lineRule="exact"/>
              <w:ind w:left="50"/>
            </w:pPr>
            <w:r>
              <w:rPr>
                <w:color w:val="211F1F"/>
                <w:spacing w:val="-2"/>
              </w:rPr>
              <w:t>Bidder's</w:t>
            </w:r>
            <w:r>
              <w:rPr>
                <w:color w:val="211F1F"/>
              </w:rPr>
              <w:t xml:space="preserve"> </w:t>
            </w:r>
            <w:r>
              <w:rPr>
                <w:color w:val="211F1F"/>
                <w:spacing w:val="-2"/>
              </w:rPr>
              <w:t xml:space="preserve">Official </w:t>
            </w:r>
            <w:r>
              <w:rPr>
                <w:color w:val="211F1F"/>
                <w:spacing w:val="-4"/>
              </w:rPr>
              <w:t>Stamp</w:t>
            </w:r>
          </w:p>
        </w:tc>
        <w:tc>
          <w:tcPr>
            <w:tcW w:w="3290" w:type="dxa"/>
          </w:tcPr>
          <w:p w14:paraId="4638FCF2" w14:textId="77777777" w:rsidR="00BB77C0" w:rsidRDefault="00370BAA">
            <w:pPr>
              <w:pStyle w:val="TableParagraph"/>
              <w:spacing w:line="249" w:lineRule="exact"/>
              <w:ind w:left="730"/>
            </w:pPr>
            <w:r>
              <w:rPr>
                <w:color w:val="211F1F"/>
                <w:spacing w:val="-2"/>
              </w:rPr>
              <w:t>(Signature)</w:t>
            </w:r>
          </w:p>
        </w:tc>
        <w:tc>
          <w:tcPr>
            <w:tcW w:w="3276" w:type="dxa"/>
          </w:tcPr>
          <w:p w14:paraId="134CBC6A" w14:textId="77777777" w:rsidR="00BB77C0" w:rsidRDefault="00370BAA">
            <w:pPr>
              <w:pStyle w:val="TableParagraph"/>
              <w:spacing w:line="249" w:lineRule="exact"/>
              <w:ind w:left="1675"/>
            </w:pPr>
            <w:r>
              <w:rPr>
                <w:color w:val="211F1F"/>
                <w:spacing w:val="-2"/>
              </w:rPr>
              <w:t>(Date)</w:t>
            </w:r>
          </w:p>
        </w:tc>
      </w:tr>
    </w:tbl>
    <w:p w14:paraId="44D5512F" w14:textId="77777777" w:rsidR="00BB77C0" w:rsidRDefault="00BB77C0">
      <w:pPr>
        <w:pStyle w:val="TableParagraph"/>
        <w:spacing w:line="249" w:lineRule="exact"/>
        <w:sectPr w:rsidR="00BB77C0">
          <w:pgSz w:w="11920" w:h="16850"/>
          <w:pgMar w:top="0" w:right="0" w:bottom="0" w:left="360" w:header="720" w:footer="720" w:gutter="0"/>
          <w:cols w:space="720"/>
        </w:sectPr>
      </w:pPr>
    </w:p>
    <w:p w14:paraId="469856DC" w14:textId="77777777" w:rsidR="00BB77C0" w:rsidRDefault="00370BAA">
      <w:pPr>
        <w:pStyle w:val="BodyText"/>
        <w:rPr>
          <w:sz w:val="24"/>
        </w:rPr>
      </w:pPr>
      <w:r>
        <w:rPr>
          <w:noProof/>
          <w:sz w:val="24"/>
        </w:rPr>
        <w:lastRenderedPageBreak/>
        <mc:AlternateContent>
          <mc:Choice Requires="wpg">
            <w:drawing>
              <wp:anchor distT="0" distB="0" distL="0" distR="0" simplePos="0" relativeHeight="15763968" behindDoc="0" locked="0" layoutInCell="1" allowOverlap="1" wp14:anchorId="5DCF065C" wp14:editId="6A33CF76">
                <wp:simplePos x="0" y="0"/>
                <wp:positionH relativeFrom="page">
                  <wp:posOffset>0</wp:posOffset>
                </wp:positionH>
                <wp:positionV relativeFrom="page">
                  <wp:posOffset>10234295</wp:posOffset>
                </wp:positionV>
                <wp:extent cx="7561580" cy="459105"/>
                <wp:effectExtent l="0" t="0" r="0" b="0"/>
                <wp:wrapNone/>
                <wp:docPr id="294" name="Group 2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1580" cy="459105"/>
                          <a:chOff x="0" y="0"/>
                          <a:chExt cx="7561580" cy="459105"/>
                        </a:xfrm>
                      </wpg:grpSpPr>
                      <wps:wsp>
                        <wps:cNvPr id="295" name="Graphic 295"/>
                        <wps:cNvSpPr/>
                        <wps:spPr>
                          <a:xfrm>
                            <a:off x="6449059" y="5714"/>
                            <a:ext cx="1110615" cy="451484"/>
                          </a:xfrm>
                          <a:custGeom>
                            <a:avLst/>
                            <a:gdLst/>
                            <a:ahLst/>
                            <a:cxnLst/>
                            <a:rect l="l" t="t" r="r" b="b"/>
                            <a:pathLst>
                              <a:path w="1110615" h="451484">
                                <a:moveTo>
                                  <a:pt x="1110614" y="0"/>
                                </a:moveTo>
                                <a:lnTo>
                                  <a:pt x="0" y="0"/>
                                </a:lnTo>
                                <a:lnTo>
                                  <a:pt x="260349" y="451483"/>
                                </a:lnTo>
                                <a:lnTo>
                                  <a:pt x="1110614" y="451483"/>
                                </a:lnTo>
                                <a:lnTo>
                                  <a:pt x="1110614" y="0"/>
                                </a:lnTo>
                                <a:close/>
                              </a:path>
                            </a:pathLst>
                          </a:custGeom>
                          <a:solidFill>
                            <a:srgbClr val="FAD2C1"/>
                          </a:solidFill>
                        </wps:spPr>
                        <wps:bodyPr wrap="square" lIns="0" tIns="0" rIns="0" bIns="0" rtlCol="0">
                          <a:prstTxWarp prst="textNoShape">
                            <a:avLst/>
                          </a:prstTxWarp>
                          <a:noAutofit/>
                        </wps:bodyPr>
                      </wps:wsp>
                      <wps:wsp>
                        <wps:cNvPr id="296" name="Graphic 296"/>
                        <wps:cNvSpPr/>
                        <wps:spPr>
                          <a:xfrm>
                            <a:off x="6449059" y="5714"/>
                            <a:ext cx="1110615" cy="451484"/>
                          </a:xfrm>
                          <a:custGeom>
                            <a:avLst/>
                            <a:gdLst/>
                            <a:ahLst/>
                            <a:cxnLst/>
                            <a:rect l="l" t="t" r="r" b="b"/>
                            <a:pathLst>
                              <a:path w="1110615" h="451484">
                                <a:moveTo>
                                  <a:pt x="0" y="0"/>
                                </a:moveTo>
                                <a:lnTo>
                                  <a:pt x="1110614" y="0"/>
                                </a:lnTo>
                                <a:lnTo>
                                  <a:pt x="1110614" y="451483"/>
                                </a:lnTo>
                                <a:lnTo>
                                  <a:pt x="260349" y="451483"/>
                                </a:lnTo>
                                <a:lnTo>
                                  <a:pt x="0" y="0"/>
                                </a:lnTo>
                              </a:path>
                            </a:pathLst>
                          </a:custGeom>
                          <a:ln w="3051">
                            <a:solidFill>
                              <a:srgbClr val="FAD2C1"/>
                            </a:solidFill>
                            <a:prstDash val="solid"/>
                          </a:ln>
                        </wps:spPr>
                        <wps:bodyPr wrap="square" lIns="0" tIns="0" rIns="0" bIns="0" rtlCol="0">
                          <a:prstTxWarp prst="textNoShape">
                            <a:avLst/>
                          </a:prstTxWarp>
                          <a:noAutofit/>
                        </wps:bodyPr>
                      </wps:wsp>
                      <wps:wsp>
                        <wps:cNvPr id="297" name="Graphic 297"/>
                        <wps:cNvSpPr/>
                        <wps:spPr>
                          <a:xfrm>
                            <a:off x="0" y="6350"/>
                            <a:ext cx="7560309" cy="1270"/>
                          </a:xfrm>
                          <a:custGeom>
                            <a:avLst/>
                            <a:gdLst/>
                            <a:ahLst/>
                            <a:cxnLst/>
                            <a:rect l="l" t="t" r="r" b="b"/>
                            <a:pathLst>
                              <a:path w="7560309">
                                <a:moveTo>
                                  <a:pt x="0" y="0"/>
                                </a:moveTo>
                                <a:lnTo>
                                  <a:pt x="7560309" y="0"/>
                                </a:lnTo>
                              </a:path>
                            </a:pathLst>
                          </a:custGeom>
                          <a:ln w="12700">
                            <a:solidFill>
                              <a:srgbClr val="FAD2C1"/>
                            </a:solidFill>
                            <a:prstDash val="solid"/>
                          </a:ln>
                        </wps:spPr>
                        <wps:bodyPr wrap="square" lIns="0" tIns="0" rIns="0" bIns="0" rtlCol="0">
                          <a:prstTxWarp prst="textNoShape">
                            <a:avLst/>
                          </a:prstTxWarp>
                          <a:noAutofit/>
                        </wps:bodyPr>
                      </wps:wsp>
                      <wps:wsp>
                        <wps:cNvPr id="298" name="Textbox 298"/>
                        <wps:cNvSpPr txBox="1"/>
                        <wps:spPr>
                          <a:xfrm>
                            <a:off x="6882130" y="37491"/>
                            <a:ext cx="147320" cy="155575"/>
                          </a:xfrm>
                          <a:prstGeom prst="rect">
                            <a:avLst/>
                          </a:prstGeom>
                        </wps:spPr>
                        <wps:txbx>
                          <w:txbxContent>
                            <w:p w14:paraId="33B65AD7" w14:textId="77777777" w:rsidR="00BB77C0" w:rsidRDefault="00370BAA">
                              <w:pPr>
                                <w:spacing w:line="244" w:lineRule="exact"/>
                              </w:pPr>
                              <w:r>
                                <w:rPr>
                                  <w:spacing w:val="-5"/>
                                </w:rPr>
                                <w:t>61</w:t>
                              </w:r>
                            </w:p>
                          </w:txbxContent>
                        </wps:txbx>
                        <wps:bodyPr wrap="square" lIns="0" tIns="0" rIns="0" bIns="0" rtlCol="0">
                          <a:noAutofit/>
                        </wps:bodyPr>
                      </wps:wsp>
                    </wpg:wgp>
                  </a:graphicData>
                </a:graphic>
              </wp:anchor>
            </w:drawing>
          </mc:Choice>
          <mc:Fallback>
            <w:pict>
              <v:group w14:anchorId="5DCF065C" id="Group 294" o:spid="_x0000_s1156" style="position:absolute;margin-left:0;margin-top:805.85pt;width:595.4pt;height:36.15pt;z-index:15763968;mso-wrap-distance-left:0;mso-wrap-distance-right:0;mso-position-horizontal-relative:page;mso-position-vertical-relative:page" coordsize="75615,4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">
                <v:shape id="Graphic 295" o:spid="_x0000_s1157" style="position:absolute;left:64490;top:57;width:11106;height:4514;visibility:visible;mso-wrap-style:square;v-text-anchor:top" coordsize="1110615,4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" path="m1110614,l,,260349,451483r850265,l1110614,xe" fillcolor="#fad2c1" stroked="f">
                  <v:path arrowok="t"/>
                </v:shape>
                <v:shape id="Graphic 296" o:spid="_x0000_s1158" style="position:absolute;left:64490;top:57;width:11106;height:4514;visibility:visible;mso-wrap-style:square;v-text-anchor:top" coordsize="1110615,4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" path="m,l1110614,r,451483l260349,451483,,e" filled="f" strokecolor="#fad2c1" strokeweight=".08475mm">
                  <v:path arrowok="t"/>
                </v:shape>
                <v:shape id="Graphic 297" o:spid="_x0000_s1159" style="position:absolute;top:63;width:75603;height:13;visibility:visible;mso-wrap-style:square;v-text-anchor:top" coordsize="756030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" path="m,l7560309,e" filled="f" strokecolor="#fad2c1" strokeweight="1pt">
                  <v:path arrowok="t"/>
                </v:shape>
                <v:shape id="Textbox 298" o:spid="_x0000_s1160" type="#_x0000_t202" style="position:absolute;left:68821;top:374;width:1473;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" filled="f" stroked="f">
                  <v:textbox inset="0,0,0,0">
                    <w:txbxContent>
                      <w:p w14:paraId="33B65AD7" w14:textId="77777777" w:rsidR="00BB77C0" w:rsidRDefault="00370BAA">
                        <w:pPr>
                          <w:spacing w:line="244" w:lineRule="exact"/>
                        </w:pPr>
                        <w:r>
                          <w:rPr>
                            <w:spacing w:val="-5"/>
                          </w:rPr>
                          <w:t>61</w:t>
                        </w:r>
                      </w:p>
                    </w:txbxContent>
                  </v:textbox>
                </v:shape>
                <w10:wrap anchorx="page" anchory="page"/>
              </v:group>
            </w:pict>
          </mc:Fallback>
        </mc:AlternateContent>
      </w:r>
      <w:r>
        <w:rPr>
          <w:noProof/>
          <w:sz w:val="24"/>
        </w:rPr>
        <mc:AlternateContent>
          <mc:Choice Requires="wpg">
            <w:drawing>
              <wp:anchor distT="0" distB="0" distL="0" distR="0" simplePos="0" relativeHeight="15764480" behindDoc="0" locked="0" layoutInCell="1" allowOverlap="1" wp14:anchorId="60AACC1D" wp14:editId="1365641B">
                <wp:simplePos x="0" y="0"/>
                <wp:positionH relativeFrom="page">
                  <wp:posOffset>0</wp:posOffset>
                </wp:positionH>
                <wp:positionV relativeFrom="page">
                  <wp:posOffset>0</wp:posOffset>
                </wp:positionV>
                <wp:extent cx="7559675" cy="228600"/>
                <wp:effectExtent l="0" t="0" r="0" b="0"/>
                <wp:wrapNone/>
                <wp:docPr id="299" name="Group 2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675" cy="228600"/>
                          <a:chOff x="0" y="0"/>
                          <a:chExt cx="7559675" cy="228600"/>
                        </a:xfrm>
                      </wpg:grpSpPr>
                      <wps:wsp>
                        <wps:cNvPr id="300" name="Graphic 300"/>
                        <wps:cNvSpPr/>
                        <wps:spPr>
                          <a:xfrm>
                            <a:off x="848283" y="0"/>
                            <a:ext cx="6711950" cy="228600"/>
                          </a:xfrm>
                          <a:custGeom>
                            <a:avLst/>
                            <a:gdLst/>
                            <a:ahLst/>
                            <a:cxnLst/>
                            <a:rect l="l" t="t" r="r" b="b"/>
                            <a:pathLst>
                              <a:path w="6711950" h="228600">
                                <a:moveTo>
                                  <a:pt x="6711391" y="0"/>
                                </a:moveTo>
                                <a:lnTo>
                                  <a:pt x="0" y="0"/>
                                </a:lnTo>
                                <a:lnTo>
                                  <a:pt x="184137" y="228600"/>
                                </a:lnTo>
                                <a:lnTo>
                                  <a:pt x="6711391" y="223520"/>
                                </a:lnTo>
                                <a:lnTo>
                                  <a:pt x="6711391" y="0"/>
                                </a:lnTo>
                                <a:close/>
                              </a:path>
                            </a:pathLst>
                          </a:custGeom>
                          <a:solidFill>
                            <a:srgbClr val="E6E7E8"/>
                          </a:solidFill>
                        </wps:spPr>
                        <wps:bodyPr wrap="square" lIns="0" tIns="0" rIns="0" bIns="0" rtlCol="0">
                          <a:prstTxWarp prst="textNoShape">
                            <a:avLst/>
                          </a:prstTxWarp>
                          <a:noAutofit/>
                        </wps:bodyPr>
                      </wps:wsp>
                      <wps:wsp>
                        <wps:cNvPr id="301" name="Graphic 301"/>
                        <wps:cNvSpPr/>
                        <wps:spPr>
                          <a:xfrm>
                            <a:off x="0" y="0"/>
                            <a:ext cx="655955" cy="228600"/>
                          </a:xfrm>
                          <a:custGeom>
                            <a:avLst/>
                            <a:gdLst/>
                            <a:ahLst/>
                            <a:cxnLst/>
                            <a:rect l="l" t="t" r="r" b="b"/>
                            <a:pathLst>
                              <a:path w="655955" h="228600">
                                <a:moveTo>
                                  <a:pt x="530174" y="0"/>
                                </a:moveTo>
                                <a:lnTo>
                                  <a:pt x="0" y="0"/>
                                </a:lnTo>
                                <a:lnTo>
                                  <a:pt x="0" y="228600"/>
                                </a:lnTo>
                                <a:lnTo>
                                  <a:pt x="655904" y="228600"/>
                                </a:lnTo>
                                <a:lnTo>
                                  <a:pt x="530174" y="0"/>
                                </a:lnTo>
                                <a:close/>
                              </a:path>
                            </a:pathLst>
                          </a:custGeom>
                          <a:solidFill>
                            <a:srgbClr val="00A650"/>
                          </a:solidFill>
                        </wps:spPr>
                        <wps:bodyPr wrap="square" lIns="0" tIns="0" rIns="0" bIns="0" rtlCol="0">
                          <a:prstTxWarp prst="textNoShape">
                            <a:avLst/>
                          </a:prstTxWarp>
                          <a:noAutofit/>
                        </wps:bodyPr>
                      </wps:wsp>
                      <wps:wsp>
                        <wps:cNvPr id="302" name="Graphic 302"/>
                        <wps:cNvSpPr/>
                        <wps:spPr>
                          <a:xfrm>
                            <a:off x="554304" y="0"/>
                            <a:ext cx="329565" cy="228600"/>
                          </a:xfrm>
                          <a:custGeom>
                            <a:avLst/>
                            <a:gdLst/>
                            <a:ahLst/>
                            <a:cxnLst/>
                            <a:rect l="l" t="t" r="r" b="b"/>
                            <a:pathLst>
                              <a:path w="329565" h="228600">
                                <a:moveTo>
                                  <a:pt x="203822" y="0"/>
                                </a:moveTo>
                                <a:lnTo>
                                  <a:pt x="0" y="0"/>
                                </a:lnTo>
                                <a:lnTo>
                                  <a:pt x="128904" y="228600"/>
                                </a:lnTo>
                                <a:lnTo>
                                  <a:pt x="329539" y="228600"/>
                                </a:lnTo>
                                <a:lnTo>
                                  <a:pt x="203822" y="0"/>
                                </a:lnTo>
                                <a:close/>
                              </a:path>
                            </a:pathLst>
                          </a:custGeom>
                          <a:solidFill>
                            <a:srgbClr val="EB1C22"/>
                          </a:solidFill>
                        </wps:spPr>
                        <wps:bodyPr wrap="square" lIns="0" tIns="0" rIns="0" bIns="0" rtlCol="0">
                          <a:prstTxWarp prst="textNoShape">
                            <a:avLst/>
                          </a:prstTxWarp>
                          <a:noAutofit/>
                        </wps:bodyPr>
                      </wps:wsp>
                      <wps:wsp>
                        <wps:cNvPr id="303" name="Graphic 303"/>
                        <wps:cNvSpPr/>
                        <wps:spPr>
                          <a:xfrm>
                            <a:off x="783526" y="0"/>
                            <a:ext cx="329565" cy="228600"/>
                          </a:xfrm>
                          <a:custGeom>
                            <a:avLst/>
                            <a:gdLst/>
                            <a:ahLst/>
                            <a:cxnLst/>
                            <a:rect l="l" t="t" r="r" b="b"/>
                            <a:pathLst>
                              <a:path w="329565" h="228600">
                                <a:moveTo>
                                  <a:pt x="203822" y="0"/>
                                </a:moveTo>
                                <a:lnTo>
                                  <a:pt x="0" y="0"/>
                                </a:lnTo>
                                <a:lnTo>
                                  <a:pt x="128879" y="228600"/>
                                </a:lnTo>
                                <a:lnTo>
                                  <a:pt x="329539" y="228600"/>
                                </a:lnTo>
                                <a:lnTo>
                                  <a:pt x="203822" y="0"/>
                                </a:lnTo>
                                <a:close/>
                              </a:path>
                            </a:pathLst>
                          </a:custGeom>
                          <a:solidFill>
                            <a:srgbClr val="A7A9AC"/>
                          </a:solidFill>
                        </wps:spPr>
                        <wps:bodyPr wrap="square" lIns="0" tIns="0" rIns="0" bIns="0" rtlCol="0">
                          <a:prstTxWarp prst="textNoShape">
                            <a:avLst/>
                          </a:prstTxWarp>
                          <a:noAutofit/>
                        </wps:bodyPr>
                      </wps:wsp>
                    </wpg:wgp>
                  </a:graphicData>
                </a:graphic>
              </wp:anchor>
            </w:drawing>
          </mc:Choice>
          <mc:Fallback>
            <w:pict>
              <v:group w14:anchorId="2571E92F" id="Group 299" o:spid="_x0000_s1026" style="position:absolute;margin-left:0;margin-top:0;width:595.25pt;height:18pt;z-index:15764480;mso-wrap-distance-left:0;mso-wrap-distance-right:0;mso-position-horizontal-relative:page;mso-position-vertical-relative:page" coordsize="75596,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">
                <v:shape id="Graphic 300" o:spid="_x0000_s1027" style="position:absolute;left:8482;width:67120;height:2286;visibility:visible;mso-wrap-style:square;v-text-anchor:top" coordsize="67119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" path="m6711391,l,,184137,228600r6527254,-5080l6711391,xe" fillcolor="#e6e7e8" stroked="f">
                  <v:path arrowok="t"/>
                </v:shape>
                <v:shape id="Graphic 301" o:spid="_x0000_s1028" style="position:absolute;width:6559;height:2286;visibility:visible;mso-wrap-style:square;v-text-anchor:top" coordsize="65595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" path="m530174,l,,,228600r655904,l530174,xe" fillcolor="#00a650" stroked="f">
                  <v:path arrowok="t"/>
                </v:shape>
                <v:shape id="Graphic 302" o:spid="_x0000_s1029" style="position:absolute;left:5543;width:3295;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" path="m203822,l,,128904,228600r200635,l203822,xe" fillcolor="#eb1c22" stroked="f">
                  <v:path arrowok="t"/>
                </v:shape>
                <v:shape id="Graphic 303" o:spid="_x0000_s1030" style="position:absolute;left:7835;width:3295;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" path="m203822,l,,128879,228600r200660,l203822,xe" fillcolor="#a7a9ac" stroked="f">
                  <v:path arrowok="t"/>
                </v:shape>
                <w10:wrap anchorx="page" anchory="page"/>
              </v:group>
            </w:pict>
          </mc:Fallback>
        </mc:AlternateContent>
      </w:r>
    </w:p>
    <w:p w14:paraId="5D491E25" w14:textId="77777777" w:rsidR="00BB77C0" w:rsidRDefault="00BB77C0">
      <w:pPr>
        <w:pStyle w:val="BodyText"/>
        <w:spacing w:before="253"/>
        <w:rPr>
          <w:sz w:val="24"/>
        </w:rPr>
      </w:pPr>
    </w:p>
    <w:p w14:paraId="591664AE" w14:textId="77777777" w:rsidR="00BB77C0" w:rsidRDefault="00370BAA">
      <w:pPr>
        <w:pStyle w:val="Heading5"/>
        <w:ind w:left="494"/>
      </w:pPr>
      <w:bookmarkStart w:id="168" w:name="DECLARATION_AND_COMMITMENT_TO_THE_CODE_O"/>
      <w:bookmarkEnd w:id="168"/>
      <w:r>
        <w:rPr>
          <w:color w:val="211F1F"/>
        </w:rPr>
        <w:t>DECLARATION</w:t>
      </w:r>
      <w:r>
        <w:rPr>
          <w:color w:val="211F1F"/>
          <w:spacing w:val="-5"/>
        </w:rPr>
        <w:t xml:space="preserve"> </w:t>
      </w:r>
      <w:r>
        <w:rPr>
          <w:color w:val="211F1F"/>
        </w:rPr>
        <w:t>AND COMMITMENT</w:t>
      </w:r>
      <w:r>
        <w:rPr>
          <w:color w:val="211F1F"/>
          <w:spacing w:val="-6"/>
        </w:rPr>
        <w:t xml:space="preserve"> </w:t>
      </w:r>
      <w:r>
        <w:rPr>
          <w:color w:val="211F1F"/>
        </w:rPr>
        <w:t>TO THE</w:t>
      </w:r>
      <w:r>
        <w:rPr>
          <w:color w:val="211F1F"/>
          <w:spacing w:val="-1"/>
        </w:rPr>
        <w:t xml:space="preserve"> </w:t>
      </w:r>
      <w:r>
        <w:rPr>
          <w:color w:val="211F1F"/>
        </w:rPr>
        <w:t>CODE</w:t>
      </w:r>
      <w:r>
        <w:rPr>
          <w:color w:val="211F1F"/>
          <w:spacing w:val="-2"/>
        </w:rPr>
        <w:t xml:space="preserve"> </w:t>
      </w:r>
      <w:r>
        <w:rPr>
          <w:color w:val="211F1F"/>
        </w:rPr>
        <w:t>OF</w:t>
      </w:r>
      <w:r>
        <w:rPr>
          <w:color w:val="211F1F"/>
          <w:spacing w:val="-7"/>
        </w:rPr>
        <w:t xml:space="preserve"> </w:t>
      </w:r>
      <w:r>
        <w:rPr>
          <w:color w:val="211F1F"/>
          <w:spacing w:val="-2"/>
        </w:rPr>
        <w:t>ETHICS</w:t>
      </w:r>
    </w:p>
    <w:p w14:paraId="4B214EFC" w14:textId="77777777" w:rsidR="00BB77C0" w:rsidRDefault="00BB77C0">
      <w:pPr>
        <w:pStyle w:val="BodyText"/>
        <w:spacing w:before="33"/>
        <w:rPr>
          <w:b/>
          <w:sz w:val="24"/>
        </w:rPr>
      </w:pPr>
    </w:p>
    <w:p w14:paraId="57E00957" w14:textId="77777777" w:rsidR="00BB77C0" w:rsidRDefault="00370BAA">
      <w:pPr>
        <w:tabs>
          <w:tab w:val="left" w:leader="dot" w:pos="6497"/>
        </w:tabs>
        <w:spacing w:line="264" w:lineRule="auto"/>
        <w:ind w:left="494" w:right="759"/>
      </w:pPr>
      <w:r>
        <w:rPr>
          <w:color w:val="211F1F"/>
        </w:rPr>
        <w:t>I</w:t>
      </w:r>
      <w:r>
        <w:rPr>
          <w:color w:val="211F1F"/>
          <w:spacing w:val="80"/>
        </w:rPr>
        <w:t xml:space="preserve"> </w:t>
      </w:r>
      <w:r>
        <w:rPr>
          <w:color w:val="211F1F"/>
        </w:rPr>
        <w:t>………………......................................………………….</w:t>
      </w:r>
      <w:r>
        <w:rPr>
          <w:color w:val="211F1F"/>
          <w:spacing w:val="80"/>
        </w:rPr>
        <w:t xml:space="preserve"> </w:t>
      </w:r>
      <w:r>
        <w:rPr>
          <w:color w:val="211F1F"/>
        </w:rPr>
        <w:t>(person)</w:t>
      </w:r>
      <w:r>
        <w:rPr>
          <w:color w:val="211F1F"/>
          <w:spacing w:val="80"/>
        </w:rPr>
        <w:t xml:space="preserve"> </w:t>
      </w:r>
      <w:r>
        <w:rPr>
          <w:color w:val="211F1F"/>
        </w:rPr>
        <w:t>on</w:t>
      </w:r>
      <w:r>
        <w:rPr>
          <w:color w:val="211F1F"/>
          <w:spacing w:val="80"/>
        </w:rPr>
        <w:t xml:space="preserve"> </w:t>
      </w:r>
      <w:r>
        <w:rPr>
          <w:color w:val="211F1F"/>
        </w:rPr>
        <w:t>behalf</w:t>
      </w:r>
      <w:r>
        <w:rPr>
          <w:color w:val="211F1F"/>
          <w:spacing w:val="80"/>
        </w:rPr>
        <w:t xml:space="preserve"> </w:t>
      </w:r>
      <w:r>
        <w:rPr>
          <w:color w:val="211F1F"/>
        </w:rPr>
        <w:t>of</w:t>
      </w:r>
      <w:r>
        <w:rPr>
          <w:color w:val="211F1F"/>
          <w:spacing w:val="80"/>
        </w:rPr>
        <w:t xml:space="preserve"> </w:t>
      </w:r>
      <w:r>
        <w:rPr>
          <w:i/>
          <w:color w:val="211F1F"/>
        </w:rPr>
        <w:t>(Name</w:t>
      </w:r>
      <w:r>
        <w:rPr>
          <w:i/>
          <w:color w:val="211F1F"/>
          <w:spacing w:val="80"/>
        </w:rPr>
        <w:t xml:space="preserve"> </w:t>
      </w:r>
      <w:r>
        <w:rPr>
          <w:i/>
          <w:color w:val="211F1F"/>
        </w:rPr>
        <w:t>of</w:t>
      </w:r>
      <w:r>
        <w:rPr>
          <w:i/>
          <w:color w:val="211F1F"/>
          <w:spacing w:val="80"/>
        </w:rPr>
        <w:t xml:space="preserve"> </w:t>
      </w:r>
      <w:r>
        <w:rPr>
          <w:i/>
          <w:color w:val="211F1F"/>
        </w:rPr>
        <w:t>the</w:t>
      </w:r>
      <w:r>
        <w:rPr>
          <w:i/>
          <w:color w:val="211F1F"/>
          <w:spacing w:val="80"/>
        </w:rPr>
        <w:t xml:space="preserve"> </w:t>
      </w:r>
      <w:r>
        <w:rPr>
          <w:i/>
          <w:color w:val="211F1F"/>
        </w:rPr>
        <w:t>Business/</w:t>
      </w:r>
      <w:r>
        <w:rPr>
          <w:i/>
          <w:color w:val="211F1F"/>
          <w:spacing w:val="40"/>
        </w:rPr>
        <w:t xml:space="preserve"> </w:t>
      </w:r>
      <w:r>
        <w:rPr>
          <w:i/>
          <w:color w:val="211F1F"/>
          <w:spacing w:val="-2"/>
        </w:rPr>
        <w:t>Company/Firm</w:t>
      </w:r>
      <w:r>
        <w:rPr>
          <w:color w:val="211F1F"/>
          <w:spacing w:val="-2"/>
        </w:rPr>
        <w:t>)</w:t>
      </w:r>
      <w:r>
        <w:rPr>
          <w:color w:val="211F1F"/>
        </w:rPr>
        <w:tab/>
        <w:t>declare</w:t>
      </w:r>
      <w:r>
        <w:rPr>
          <w:color w:val="211F1F"/>
          <w:spacing w:val="-4"/>
        </w:rPr>
        <w:t xml:space="preserve"> </w:t>
      </w:r>
      <w:r>
        <w:rPr>
          <w:color w:val="211F1F"/>
        </w:rPr>
        <w:t>that</w:t>
      </w:r>
      <w:r>
        <w:rPr>
          <w:color w:val="211F1F"/>
          <w:spacing w:val="13"/>
        </w:rPr>
        <w:t xml:space="preserve"> </w:t>
      </w:r>
      <w:r>
        <w:rPr>
          <w:color w:val="211F1F"/>
        </w:rPr>
        <w:t>I</w:t>
      </w:r>
      <w:r>
        <w:rPr>
          <w:color w:val="211F1F"/>
          <w:spacing w:val="3"/>
        </w:rPr>
        <w:t xml:space="preserve"> </w:t>
      </w:r>
      <w:r>
        <w:rPr>
          <w:color w:val="211F1F"/>
        </w:rPr>
        <w:t>have</w:t>
      </w:r>
      <w:r>
        <w:rPr>
          <w:color w:val="211F1F"/>
          <w:spacing w:val="-1"/>
        </w:rPr>
        <w:t xml:space="preserve"> </w:t>
      </w:r>
      <w:r>
        <w:rPr>
          <w:color w:val="211F1F"/>
        </w:rPr>
        <w:t>read</w:t>
      </w:r>
      <w:r>
        <w:rPr>
          <w:color w:val="211F1F"/>
          <w:spacing w:val="2"/>
        </w:rPr>
        <w:t xml:space="preserve"> </w:t>
      </w:r>
      <w:r>
        <w:rPr>
          <w:color w:val="211F1F"/>
        </w:rPr>
        <w:t>and fully</w:t>
      </w:r>
      <w:r>
        <w:rPr>
          <w:color w:val="211F1F"/>
          <w:spacing w:val="6"/>
        </w:rPr>
        <w:t xml:space="preserve"> </w:t>
      </w:r>
      <w:r>
        <w:rPr>
          <w:color w:val="211F1F"/>
        </w:rPr>
        <w:t>understood</w:t>
      </w:r>
      <w:r>
        <w:rPr>
          <w:color w:val="211F1F"/>
          <w:spacing w:val="2"/>
        </w:rPr>
        <w:t xml:space="preserve"> </w:t>
      </w:r>
      <w:r>
        <w:rPr>
          <w:color w:val="211F1F"/>
          <w:spacing w:val="-5"/>
        </w:rPr>
        <w:t>the</w:t>
      </w:r>
    </w:p>
    <w:p w14:paraId="48D328BE" w14:textId="77777777" w:rsidR="00BB77C0" w:rsidRDefault="00370BAA">
      <w:pPr>
        <w:pStyle w:val="BodyText"/>
        <w:spacing w:line="264" w:lineRule="auto"/>
        <w:ind w:left="494"/>
      </w:pPr>
      <w:r>
        <w:rPr>
          <w:color w:val="211F1F"/>
        </w:rPr>
        <w:t>contents</w:t>
      </w:r>
      <w:r>
        <w:rPr>
          <w:color w:val="211F1F"/>
          <w:spacing w:val="23"/>
        </w:rPr>
        <w:t xml:space="preserve"> </w:t>
      </w:r>
      <w:r>
        <w:rPr>
          <w:color w:val="211F1F"/>
        </w:rPr>
        <w:t>of</w:t>
      </w:r>
      <w:r>
        <w:rPr>
          <w:color w:val="211F1F"/>
          <w:spacing w:val="21"/>
        </w:rPr>
        <w:t xml:space="preserve"> </w:t>
      </w:r>
      <w:r>
        <w:rPr>
          <w:color w:val="211F1F"/>
        </w:rPr>
        <w:t>the</w:t>
      </w:r>
      <w:r>
        <w:rPr>
          <w:color w:val="211F1F"/>
          <w:spacing w:val="16"/>
        </w:rPr>
        <w:t xml:space="preserve"> </w:t>
      </w:r>
      <w:r>
        <w:rPr>
          <w:color w:val="211F1F"/>
        </w:rPr>
        <w:t>Public</w:t>
      </w:r>
      <w:r>
        <w:rPr>
          <w:color w:val="211F1F"/>
          <w:spacing w:val="21"/>
        </w:rPr>
        <w:t xml:space="preserve"> </w:t>
      </w:r>
      <w:r>
        <w:rPr>
          <w:color w:val="211F1F"/>
        </w:rPr>
        <w:t>Procurement</w:t>
      </w:r>
      <w:r>
        <w:rPr>
          <w:color w:val="211F1F"/>
          <w:spacing w:val="24"/>
        </w:rPr>
        <w:t xml:space="preserve"> </w:t>
      </w:r>
      <w:r>
        <w:rPr>
          <w:color w:val="211F1F"/>
        </w:rPr>
        <w:t>&amp;</w:t>
      </w:r>
      <w:r>
        <w:rPr>
          <w:color w:val="211F1F"/>
          <w:spacing w:val="24"/>
        </w:rPr>
        <w:t xml:space="preserve"> </w:t>
      </w:r>
      <w:r>
        <w:rPr>
          <w:color w:val="211F1F"/>
        </w:rPr>
        <w:t>Asset</w:t>
      </w:r>
      <w:r>
        <w:rPr>
          <w:color w:val="211F1F"/>
          <w:spacing w:val="23"/>
        </w:rPr>
        <w:t xml:space="preserve"> </w:t>
      </w:r>
      <w:r>
        <w:rPr>
          <w:color w:val="211F1F"/>
        </w:rPr>
        <w:t>Disposal</w:t>
      </w:r>
      <w:r>
        <w:rPr>
          <w:color w:val="211F1F"/>
          <w:spacing w:val="28"/>
        </w:rPr>
        <w:t xml:space="preserve"> </w:t>
      </w:r>
      <w:r>
        <w:rPr>
          <w:color w:val="211F1F"/>
        </w:rPr>
        <w:t>Act,</w:t>
      </w:r>
      <w:r>
        <w:rPr>
          <w:color w:val="211F1F"/>
          <w:spacing w:val="28"/>
        </w:rPr>
        <w:t xml:space="preserve"> </w:t>
      </w:r>
      <w:r>
        <w:rPr>
          <w:color w:val="211F1F"/>
        </w:rPr>
        <w:t>2015,</w:t>
      </w:r>
      <w:r>
        <w:rPr>
          <w:color w:val="211F1F"/>
          <w:spacing w:val="20"/>
        </w:rPr>
        <w:t xml:space="preserve"> </w:t>
      </w:r>
      <w:r>
        <w:rPr>
          <w:color w:val="211F1F"/>
        </w:rPr>
        <w:t>Regulations</w:t>
      </w:r>
      <w:r>
        <w:rPr>
          <w:color w:val="211F1F"/>
          <w:spacing w:val="28"/>
        </w:rPr>
        <w:t xml:space="preserve"> </w:t>
      </w:r>
      <w:r>
        <w:rPr>
          <w:color w:val="211F1F"/>
        </w:rPr>
        <w:t>and</w:t>
      </w:r>
      <w:r>
        <w:rPr>
          <w:color w:val="211F1F"/>
          <w:spacing w:val="22"/>
        </w:rPr>
        <w:t xml:space="preserve"> </w:t>
      </w:r>
      <w:r>
        <w:rPr>
          <w:color w:val="211F1F"/>
        </w:rPr>
        <w:t>the</w:t>
      </w:r>
      <w:r>
        <w:rPr>
          <w:color w:val="211F1F"/>
          <w:spacing w:val="20"/>
        </w:rPr>
        <w:t xml:space="preserve"> </w:t>
      </w:r>
      <w:r>
        <w:rPr>
          <w:color w:val="211F1F"/>
        </w:rPr>
        <w:t>Code</w:t>
      </w:r>
      <w:r>
        <w:rPr>
          <w:color w:val="211F1F"/>
          <w:spacing w:val="21"/>
        </w:rPr>
        <w:t xml:space="preserve"> </w:t>
      </w:r>
      <w:r>
        <w:rPr>
          <w:color w:val="211F1F"/>
        </w:rPr>
        <w:t>of</w:t>
      </w:r>
      <w:r>
        <w:rPr>
          <w:color w:val="211F1F"/>
          <w:spacing w:val="21"/>
        </w:rPr>
        <w:t xml:space="preserve"> </w:t>
      </w:r>
      <w:r>
        <w:rPr>
          <w:color w:val="211F1F"/>
        </w:rPr>
        <w:t>Ethics</w:t>
      </w:r>
      <w:r>
        <w:rPr>
          <w:color w:val="211F1F"/>
          <w:spacing w:val="23"/>
        </w:rPr>
        <w:t xml:space="preserve"> </w:t>
      </w:r>
      <w:r>
        <w:rPr>
          <w:color w:val="211F1F"/>
        </w:rPr>
        <w:t>for</w:t>
      </w:r>
      <w:r>
        <w:rPr>
          <w:color w:val="211F1F"/>
          <w:spacing w:val="26"/>
        </w:rPr>
        <w:t xml:space="preserve"> </w:t>
      </w:r>
      <w:r>
        <w:rPr>
          <w:color w:val="211F1F"/>
        </w:rPr>
        <w:t>persons participating in Public Procurement and Asset Disposal and my responsibilities under the Code.</w:t>
      </w:r>
    </w:p>
    <w:p w14:paraId="67CEEE91" w14:textId="77777777" w:rsidR="00BB77C0" w:rsidRDefault="00BB77C0">
      <w:pPr>
        <w:pStyle w:val="BodyText"/>
        <w:spacing w:before="12"/>
      </w:pPr>
    </w:p>
    <w:p w14:paraId="08A31FF3" w14:textId="77777777" w:rsidR="00BB77C0" w:rsidRDefault="00370BAA">
      <w:pPr>
        <w:pStyle w:val="BodyText"/>
        <w:spacing w:line="254" w:lineRule="auto"/>
        <w:ind w:left="490" w:right="587"/>
      </w:pPr>
      <w:r>
        <w:rPr>
          <w:color w:val="211F1F"/>
        </w:rPr>
        <w:t>I</w:t>
      </w:r>
      <w:r>
        <w:rPr>
          <w:color w:val="211F1F"/>
          <w:spacing w:val="-23"/>
        </w:rPr>
        <w:t xml:space="preserve"> </w:t>
      </w:r>
      <w:r>
        <w:rPr>
          <w:color w:val="211F1F"/>
        </w:rPr>
        <w:t>do</w:t>
      </w:r>
      <w:r>
        <w:rPr>
          <w:color w:val="211F1F"/>
          <w:spacing w:val="-22"/>
        </w:rPr>
        <w:t xml:space="preserve"> </w:t>
      </w:r>
      <w:r>
        <w:rPr>
          <w:color w:val="211F1F"/>
        </w:rPr>
        <w:t>hereby</w:t>
      </w:r>
      <w:r>
        <w:rPr>
          <w:color w:val="211F1F"/>
          <w:spacing w:val="-26"/>
        </w:rPr>
        <w:t xml:space="preserve"> </w:t>
      </w:r>
      <w:r>
        <w:rPr>
          <w:color w:val="211F1F"/>
        </w:rPr>
        <w:t>commit</w:t>
      </w:r>
      <w:r>
        <w:rPr>
          <w:color w:val="211F1F"/>
          <w:spacing w:val="-15"/>
        </w:rPr>
        <w:t xml:space="preserve"> </w:t>
      </w:r>
      <w:r>
        <w:rPr>
          <w:color w:val="211F1F"/>
        </w:rPr>
        <w:t>to</w:t>
      </w:r>
      <w:r>
        <w:rPr>
          <w:color w:val="211F1F"/>
          <w:spacing w:val="-27"/>
        </w:rPr>
        <w:t xml:space="preserve"> </w:t>
      </w:r>
      <w:r>
        <w:rPr>
          <w:color w:val="211F1F"/>
        </w:rPr>
        <w:t>abideby</w:t>
      </w:r>
      <w:r>
        <w:rPr>
          <w:color w:val="211F1F"/>
          <w:spacing w:val="-27"/>
        </w:rPr>
        <w:t xml:space="preserve"> </w:t>
      </w:r>
      <w:r>
        <w:rPr>
          <w:color w:val="211F1F"/>
        </w:rPr>
        <w:t>theprovisions</w:t>
      </w:r>
      <w:r>
        <w:rPr>
          <w:color w:val="211F1F"/>
          <w:spacing w:val="-15"/>
        </w:rPr>
        <w:t xml:space="preserve"> </w:t>
      </w:r>
      <w:r>
        <w:rPr>
          <w:color w:val="211F1F"/>
        </w:rPr>
        <w:t>of</w:t>
      </w:r>
      <w:r>
        <w:rPr>
          <w:color w:val="211F1F"/>
          <w:spacing w:val="-23"/>
        </w:rPr>
        <w:t xml:space="preserve"> </w:t>
      </w:r>
      <w:r>
        <w:rPr>
          <w:color w:val="211F1F"/>
        </w:rPr>
        <w:t>the</w:t>
      </w:r>
      <w:r>
        <w:rPr>
          <w:color w:val="211F1F"/>
          <w:spacing w:val="-24"/>
        </w:rPr>
        <w:t xml:space="preserve"> </w:t>
      </w:r>
      <w:r>
        <w:rPr>
          <w:color w:val="211F1F"/>
        </w:rPr>
        <w:t>Code</w:t>
      </w:r>
      <w:r>
        <w:rPr>
          <w:color w:val="211F1F"/>
          <w:spacing w:val="-23"/>
        </w:rPr>
        <w:t xml:space="preserve"> </w:t>
      </w:r>
      <w:r>
        <w:rPr>
          <w:color w:val="211F1F"/>
        </w:rPr>
        <w:t>of</w:t>
      </w:r>
      <w:r>
        <w:rPr>
          <w:color w:val="211F1F"/>
          <w:spacing w:val="-18"/>
        </w:rPr>
        <w:t xml:space="preserve"> </w:t>
      </w:r>
      <w:r>
        <w:rPr>
          <w:color w:val="211F1F"/>
        </w:rPr>
        <w:t>Ethics</w:t>
      </w:r>
      <w:r>
        <w:rPr>
          <w:color w:val="211F1F"/>
          <w:spacing w:val="-21"/>
        </w:rPr>
        <w:t xml:space="preserve"> </w:t>
      </w:r>
      <w:r>
        <w:rPr>
          <w:color w:val="211F1F"/>
        </w:rPr>
        <w:t>for</w:t>
      </w:r>
      <w:r>
        <w:rPr>
          <w:color w:val="211F1F"/>
          <w:spacing w:val="-13"/>
        </w:rPr>
        <w:t xml:space="preserve"> </w:t>
      </w:r>
      <w:r>
        <w:rPr>
          <w:color w:val="211F1F"/>
        </w:rPr>
        <w:t>persons</w:t>
      </w:r>
      <w:r>
        <w:rPr>
          <w:color w:val="211F1F"/>
          <w:spacing w:val="-16"/>
        </w:rPr>
        <w:t xml:space="preserve"> </w:t>
      </w:r>
      <w:r>
        <w:rPr>
          <w:color w:val="211F1F"/>
        </w:rPr>
        <w:t>participating</w:t>
      </w:r>
      <w:r>
        <w:rPr>
          <w:color w:val="211F1F"/>
          <w:spacing w:val="-25"/>
        </w:rPr>
        <w:t xml:space="preserve"> </w:t>
      </w:r>
      <w:r>
        <w:rPr>
          <w:color w:val="211F1F"/>
        </w:rPr>
        <w:t>in</w:t>
      </w:r>
      <w:r>
        <w:rPr>
          <w:color w:val="211F1F"/>
          <w:spacing w:val="-27"/>
        </w:rPr>
        <w:t xml:space="preserve"> </w:t>
      </w:r>
      <w:r>
        <w:rPr>
          <w:color w:val="211F1F"/>
        </w:rPr>
        <w:t>Public</w:t>
      </w:r>
      <w:r>
        <w:rPr>
          <w:color w:val="211F1F"/>
          <w:spacing w:val="-23"/>
        </w:rPr>
        <w:t xml:space="preserve"> </w:t>
      </w:r>
      <w:r>
        <w:rPr>
          <w:color w:val="211F1F"/>
        </w:rPr>
        <w:t>Procurement</w:t>
      </w:r>
      <w:r>
        <w:rPr>
          <w:color w:val="211F1F"/>
          <w:spacing w:val="-14"/>
        </w:rPr>
        <w:t xml:space="preserve"> </w:t>
      </w:r>
      <w:r>
        <w:rPr>
          <w:color w:val="211F1F"/>
        </w:rPr>
        <w:t>and Asset</w:t>
      </w:r>
      <w:r>
        <w:rPr>
          <w:color w:val="211F1F"/>
          <w:spacing w:val="-21"/>
        </w:rPr>
        <w:t xml:space="preserve"> </w:t>
      </w:r>
      <w:r>
        <w:rPr>
          <w:color w:val="211F1F"/>
        </w:rPr>
        <w:t>Disposal.</w:t>
      </w:r>
    </w:p>
    <w:p w14:paraId="750D56A3" w14:textId="77777777" w:rsidR="00BB77C0" w:rsidRDefault="00370BAA">
      <w:pPr>
        <w:pStyle w:val="BodyText"/>
        <w:spacing w:before="251"/>
        <w:ind w:left="490"/>
      </w:pPr>
      <w:r>
        <w:rPr>
          <w:color w:val="211F1F"/>
          <w:spacing w:val="-2"/>
        </w:rPr>
        <w:t>Name</w:t>
      </w:r>
      <w:r>
        <w:rPr>
          <w:color w:val="211F1F"/>
          <w:spacing w:val="12"/>
        </w:rPr>
        <w:t xml:space="preserve"> </w:t>
      </w:r>
      <w:r>
        <w:rPr>
          <w:color w:val="211F1F"/>
          <w:spacing w:val="-2"/>
        </w:rPr>
        <w:t>of</w:t>
      </w:r>
      <w:r>
        <w:rPr>
          <w:color w:val="211F1F"/>
          <w:spacing w:val="21"/>
        </w:rPr>
        <w:t xml:space="preserve"> </w:t>
      </w:r>
      <w:r>
        <w:rPr>
          <w:color w:val="211F1F"/>
          <w:spacing w:val="-2"/>
        </w:rPr>
        <w:t>Authorized</w:t>
      </w:r>
      <w:r>
        <w:rPr>
          <w:color w:val="211F1F"/>
          <w:spacing w:val="17"/>
        </w:rPr>
        <w:t xml:space="preserve"> </w:t>
      </w:r>
      <w:r>
        <w:rPr>
          <w:color w:val="211F1F"/>
          <w:spacing w:val="-2"/>
        </w:rPr>
        <w:t>signatory………………….........................................................</w:t>
      </w:r>
      <w:r>
        <w:rPr>
          <w:color w:val="211F1F"/>
          <w:spacing w:val="35"/>
        </w:rPr>
        <w:t xml:space="preserve"> </w:t>
      </w:r>
      <w:r>
        <w:rPr>
          <w:color w:val="211F1F"/>
          <w:spacing w:val="-2"/>
        </w:rPr>
        <w:t>Sign…………….....................</w:t>
      </w:r>
    </w:p>
    <w:p w14:paraId="1BC18F3F" w14:textId="77777777" w:rsidR="00BB77C0" w:rsidRDefault="00BB77C0">
      <w:pPr>
        <w:pStyle w:val="BodyText"/>
        <w:spacing w:before="51"/>
      </w:pPr>
    </w:p>
    <w:p w14:paraId="6BA12A3E" w14:textId="77777777" w:rsidR="00BB77C0" w:rsidRDefault="00370BAA">
      <w:pPr>
        <w:pStyle w:val="BodyText"/>
        <w:ind w:left="494"/>
      </w:pPr>
      <w:r>
        <w:rPr>
          <w:color w:val="211F1F"/>
          <w:spacing w:val="-2"/>
        </w:rPr>
        <w:t>Position…………………………………………...................................................………...........................................</w:t>
      </w:r>
    </w:p>
    <w:p w14:paraId="20DE7BDE" w14:textId="77777777" w:rsidR="00BB77C0" w:rsidRDefault="00BB77C0">
      <w:pPr>
        <w:pStyle w:val="BodyText"/>
        <w:spacing w:before="56"/>
      </w:pPr>
    </w:p>
    <w:p w14:paraId="1242CA7E" w14:textId="77777777" w:rsidR="00BB77C0" w:rsidRDefault="00370BAA">
      <w:pPr>
        <w:pStyle w:val="BodyText"/>
        <w:spacing w:line="456" w:lineRule="auto"/>
        <w:ind w:left="494" w:right="1012"/>
      </w:pPr>
      <w:r>
        <w:rPr>
          <w:color w:val="211F1F"/>
          <w:spacing w:val="-2"/>
        </w:rPr>
        <w:t>Office</w:t>
      </w:r>
      <w:r>
        <w:rPr>
          <w:color w:val="211F1F"/>
          <w:spacing w:val="-10"/>
        </w:rPr>
        <w:t xml:space="preserve"> </w:t>
      </w:r>
      <w:r>
        <w:rPr>
          <w:color w:val="211F1F"/>
          <w:spacing w:val="-2"/>
        </w:rPr>
        <w:t>address……………………………………………….</w:t>
      </w:r>
      <w:r>
        <w:rPr>
          <w:color w:val="211F1F"/>
          <w:spacing w:val="-5"/>
        </w:rPr>
        <w:t xml:space="preserve"> </w:t>
      </w:r>
      <w:r>
        <w:rPr>
          <w:color w:val="211F1F"/>
          <w:spacing w:val="-2"/>
        </w:rPr>
        <w:t>Telephone……………......................…………………. E-mail…………………………………………............................................................….........................................…</w:t>
      </w:r>
    </w:p>
    <w:p w14:paraId="275F0B42" w14:textId="77777777" w:rsidR="00BB77C0" w:rsidRDefault="00370BAA">
      <w:pPr>
        <w:pStyle w:val="BodyText"/>
        <w:tabs>
          <w:tab w:val="left" w:leader="dot" w:pos="8388"/>
        </w:tabs>
        <w:spacing w:line="460" w:lineRule="auto"/>
        <w:ind w:left="494" w:right="1062"/>
      </w:pPr>
      <w:r>
        <w:rPr>
          <w:color w:val="211F1F"/>
          <w:spacing w:val="-2"/>
        </w:rPr>
        <w:t xml:space="preserve">Name of the Firm/Company…………………………….......................................................................................…… </w:t>
      </w:r>
      <w:r>
        <w:rPr>
          <w:color w:val="211F1F"/>
          <w:spacing w:val="-4"/>
        </w:rPr>
        <w:t>Date</w:t>
      </w:r>
      <w:r>
        <w:rPr>
          <w:color w:val="211F1F"/>
        </w:rPr>
        <w:tab/>
        <w:t>(Company</w:t>
      </w:r>
      <w:r>
        <w:rPr>
          <w:color w:val="211F1F"/>
          <w:spacing w:val="-14"/>
        </w:rPr>
        <w:t xml:space="preserve"> </w:t>
      </w:r>
      <w:r>
        <w:rPr>
          <w:color w:val="211F1F"/>
        </w:rPr>
        <w:t>Seal/</w:t>
      </w:r>
      <w:r>
        <w:rPr>
          <w:color w:val="211F1F"/>
          <w:spacing w:val="-14"/>
        </w:rPr>
        <w:t xml:space="preserve"> </w:t>
      </w:r>
      <w:r>
        <w:rPr>
          <w:color w:val="211F1F"/>
        </w:rPr>
        <w:t>Rubber</w:t>
      </w:r>
    </w:p>
    <w:p w14:paraId="043FA165" w14:textId="77777777" w:rsidR="00BB77C0" w:rsidRDefault="00370BAA">
      <w:pPr>
        <w:pStyle w:val="BodyText"/>
        <w:spacing w:line="247" w:lineRule="exact"/>
        <w:ind w:left="494"/>
      </w:pPr>
      <w:r>
        <w:rPr>
          <w:color w:val="211F1F"/>
        </w:rPr>
        <w:t>Stamp</w:t>
      </w:r>
      <w:r>
        <w:rPr>
          <w:color w:val="211F1F"/>
          <w:spacing w:val="-7"/>
        </w:rPr>
        <w:t xml:space="preserve"> </w:t>
      </w:r>
      <w:r>
        <w:rPr>
          <w:color w:val="211F1F"/>
        </w:rPr>
        <w:t>where</w:t>
      </w:r>
      <w:r>
        <w:rPr>
          <w:color w:val="211F1F"/>
          <w:spacing w:val="-12"/>
        </w:rPr>
        <w:t xml:space="preserve"> </w:t>
      </w:r>
      <w:r>
        <w:rPr>
          <w:color w:val="211F1F"/>
          <w:spacing w:val="-2"/>
        </w:rPr>
        <w:t>applicable)</w:t>
      </w:r>
    </w:p>
    <w:p w14:paraId="181F5EEF" w14:textId="77777777" w:rsidR="00BB77C0" w:rsidRDefault="00BB77C0">
      <w:pPr>
        <w:pStyle w:val="BodyText"/>
        <w:spacing w:before="251"/>
      </w:pPr>
    </w:p>
    <w:p w14:paraId="0689B5FE" w14:textId="77777777" w:rsidR="00BB77C0" w:rsidRDefault="00370BAA">
      <w:pPr>
        <w:pStyle w:val="BodyText"/>
        <w:ind w:left="494"/>
      </w:pPr>
      <w:r>
        <w:rPr>
          <w:color w:val="211F1F"/>
          <w:spacing w:val="-2"/>
        </w:rPr>
        <w:t>Witness</w:t>
      </w:r>
    </w:p>
    <w:p w14:paraId="6C178978" w14:textId="77777777" w:rsidR="00BB77C0" w:rsidRDefault="00BB77C0">
      <w:pPr>
        <w:pStyle w:val="BodyText"/>
        <w:spacing w:before="61"/>
      </w:pPr>
    </w:p>
    <w:p w14:paraId="5E01A346" w14:textId="77777777" w:rsidR="00BB77C0" w:rsidRDefault="00370BAA">
      <w:pPr>
        <w:pStyle w:val="BodyText"/>
        <w:spacing w:line="532" w:lineRule="auto"/>
        <w:ind w:left="494" w:right="2230"/>
      </w:pPr>
      <w:r>
        <w:rPr>
          <w:color w:val="211F1F"/>
        </w:rPr>
        <w:t>Name</w:t>
      </w:r>
      <w:r>
        <w:rPr>
          <w:color w:val="211F1F"/>
          <w:spacing w:val="-19"/>
        </w:rPr>
        <w:t xml:space="preserve"> </w:t>
      </w:r>
      <w:r>
        <w:rPr>
          <w:color w:val="211F1F"/>
        </w:rPr>
        <w:t>……………………………………………………….......</w:t>
      </w:r>
      <w:r>
        <w:rPr>
          <w:color w:val="211F1F"/>
          <w:spacing w:val="-14"/>
        </w:rPr>
        <w:t xml:space="preserve"> </w:t>
      </w:r>
      <w:r>
        <w:rPr>
          <w:color w:val="211F1F"/>
        </w:rPr>
        <w:t xml:space="preserve">Sign................................................... </w:t>
      </w:r>
      <w:r>
        <w:rPr>
          <w:color w:val="211F1F"/>
          <w:spacing w:val="-2"/>
        </w:rPr>
        <w:t>Date……………………………………………………</w:t>
      </w:r>
    </w:p>
    <w:p w14:paraId="7FE196CF" w14:textId="77777777" w:rsidR="00BB77C0" w:rsidRDefault="00BB77C0">
      <w:pPr>
        <w:pStyle w:val="BodyText"/>
        <w:spacing w:line="532" w:lineRule="auto"/>
        <w:sectPr w:rsidR="00BB77C0">
          <w:pgSz w:w="11920" w:h="16850"/>
          <w:pgMar w:top="0" w:right="0" w:bottom="0" w:left="360" w:header="720" w:footer="720" w:gutter="0"/>
          <w:cols w:space="720"/>
        </w:sectPr>
      </w:pPr>
    </w:p>
    <w:p w14:paraId="0C637000" w14:textId="77777777" w:rsidR="00BB77C0" w:rsidRDefault="00370BAA">
      <w:pPr>
        <w:pStyle w:val="BodyText"/>
        <w:rPr>
          <w:sz w:val="24"/>
        </w:rPr>
      </w:pPr>
      <w:r>
        <w:rPr>
          <w:noProof/>
          <w:sz w:val="24"/>
        </w:rPr>
        <w:lastRenderedPageBreak/>
        <mc:AlternateContent>
          <mc:Choice Requires="wpg">
            <w:drawing>
              <wp:anchor distT="0" distB="0" distL="0" distR="0" simplePos="0" relativeHeight="15764992" behindDoc="0" locked="0" layoutInCell="1" allowOverlap="1" wp14:anchorId="33BE250B" wp14:editId="209FEA8B">
                <wp:simplePos x="0" y="0"/>
                <wp:positionH relativeFrom="page">
                  <wp:posOffset>0</wp:posOffset>
                </wp:positionH>
                <wp:positionV relativeFrom="page">
                  <wp:posOffset>10234295</wp:posOffset>
                </wp:positionV>
                <wp:extent cx="7561580" cy="459105"/>
                <wp:effectExtent l="0" t="0" r="0" b="0"/>
                <wp:wrapNone/>
                <wp:docPr id="304" name="Group 3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1580" cy="459105"/>
                          <a:chOff x="0" y="0"/>
                          <a:chExt cx="7561580" cy="459105"/>
                        </a:xfrm>
                      </wpg:grpSpPr>
                      <wps:wsp>
                        <wps:cNvPr id="305" name="Graphic 305"/>
                        <wps:cNvSpPr/>
                        <wps:spPr>
                          <a:xfrm>
                            <a:off x="6449059" y="5714"/>
                            <a:ext cx="1110615" cy="451484"/>
                          </a:xfrm>
                          <a:custGeom>
                            <a:avLst/>
                            <a:gdLst/>
                            <a:ahLst/>
                            <a:cxnLst/>
                            <a:rect l="l" t="t" r="r" b="b"/>
                            <a:pathLst>
                              <a:path w="1110615" h="451484">
                                <a:moveTo>
                                  <a:pt x="1110614" y="0"/>
                                </a:moveTo>
                                <a:lnTo>
                                  <a:pt x="0" y="0"/>
                                </a:lnTo>
                                <a:lnTo>
                                  <a:pt x="260349" y="451483"/>
                                </a:lnTo>
                                <a:lnTo>
                                  <a:pt x="1110614" y="451483"/>
                                </a:lnTo>
                                <a:lnTo>
                                  <a:pt x="1110614" y="0"/>
                                </a:lnTo>
                                <a:close/>
                              </a:path>
                            </a:pathLst>
                          </a:custGeom>
                          <a:solidFill>
                            <a:srgbClr val="FAD2C1"/>
                          </a:solidFill>
                        </wps:spPr>
                        <wps:bodyPr wrap="square" lIns="0" tIns="0" rIns="0" bIns="0" rtlCol="0">
                          <a:prstTxWarp prst="textNoShape">
                            <a:avLst/>
                          </a:prstTxWarp>
                          <a:noAutofit/>
                        </wps:bodyPr>
                      </wps:wsp>
                      <wps:wsp>
                        <wps:cNvPr id="306" name="Graphic 306"/>
                        <wps:cNvSpPr/>
                        <wps:spPr>
                          <a:xfrm>
                            <a:off x="6449059" y="5714"/>
                            <a:ext cx="1110615" cy="451484"/>
                          </a:xfrm>
                          <a:custGeom>
                            <a:avLst/>
                            <a:gdLst/>
                            <a:ahLst/>
                            <a:cxnLst/>
                            <a:rect l="l" t="t" r="r" b="b"/>
                            <a:pathLst>
                              <a:path w="1110615" h="451484">
                                <a:moveTo>
                                  <a:pt x="0" y="0"/>
                                </a:moveTo>
                                <a:lnTo>
                                  <a:pt x="1110614" y="0"/>
                                </a:lnTo>
                                <a:lnTo>
                                  <a:pt x="1110614" y="451483"/>
                                </a:lnTo>
                                <a:lnTo>
                                  <a:pt x="260349" y="451483"/>
                                </a:lnTo>
                                <a:lnTo>
                                  <a:pt x="0" y="0"/>
                                </a:lnTo>
                              </a:path>
                            </a:pathLst>
                          </a:custGeom>
                          <a:ln w="3051">
                            <a:solidFill>
                              <a:srgbClr val="FAD2C1"/>
                            </a:solidFill>
                            <a:prstDash val="solid"/>
                          </a:ln>
                        </wps:spPr>
                        <wps:bodyPr wrap="square" lIns="0" tIns="0" rIns="0" bIns="0" rtlCol="0">
                          <a:prstTxWarp prst="textNoShape">
                            <a:avLst/>
                          </a:prstTxWarp>
                          <a:noAutofit/>
                        </wps:bodyPr>
                      </wps:wsp>
                      <wps:wsp>
                        <wps:cNvPr id="307" name="Graphic 307"/>
                        <wps:cNvSpPr/>
                        <wps:spPr>
                          <a:xfrm>
                            <a:off x="0" y="6350"/>
                            <a:ext cx="7560309" cy="1270"/>
                          </a:xfrm>
                          <a:custGeom>
                            <a:avLst/>
                            <a:gdLst/>
                            <a:ahLst/>
                            <a:cxnLst/>
                            <a:rect l="l" t="t" r="r" b="b"/>
                            <a:pathLst>
                              <a:path w="7560309">
                                <a:moveTo>
                                  <a:pt x="0" y="0"/>
                                </a:moveTo>
                                <a:lnTo>
                                  <a:pt x="7560309" y="0"/>
                                </a:lnTo>
                              </a:path>
                            </a:pathLst>
                          </a:custGeom>
                          <a:ln w="12700">
                            <a:solidFill>
                              <a:srgbClr val="FAD2C1"/>
                            </a:solidFill>
                            <a:prstDash val="solid"/>
                          </a:ln>
                        </wps:spPr>
                        <wps:bodyPr wrap="square" lIns="0" tIns="0" rIns="0" bIns="0" rtlCol="0">
                          <a:prstTxWarp prst="textNoShape">
                            <a:avLst/>
                          </a:prstTxWarp>
                          <a:noAutofit/>
                        </wps:bodyPr>
                      </wps:wsp>
                      <wps:wsp>
                        <wps:cNvPr id="308" name="Textbox 308"/>
                        <wps:cNvSpPr txBox="1"/>
                        <wps:spPr>
                          <a:xfrm>
                            <a:off x="6882130" y="37491"/>
                            <a:ext cx="147320" cy="155575"/>
                          </a:xfrm>
                          <a:prstGeom prst="rect">
                            <a:avLst/>
                          </a:prstGeom>
                        </wps:spPr>
                        <wps:txbx>
                          <w:txbxContent>
                            <w:p w14:paraId="08BE0EBB" w14:textId="77777777" w:rsidR="00BB77C0" w:rsidRDefault="00370BAA">
                              <w:pPr>
                                <w:spacing w:line="244" w:lineRule="exact"/>
                              </w:pPr>
                              <w:r>
                                <w:rPr>
                                  <w:spacing w:val="-5"/>
                                </w:rPr>
                                <w:t>61</w:t>
                              </w:r>
                            </w:p>
                          </w:txbxContent>
                        </wps:txbx>
                        <wps:bodyPr wrap="square" lIns="0" tIns="0" rIns="0" bIns="0" rtlCol="0">
                          <a:noAutofit/>
                        </wps:bodyPr>
                      </wps:wsp>
                    </wpg:wgp>
                  </a:graphicData>
                </a:graphic>
              </wp:anchor>
            </w:drawing>
          </mc:Choice>
          <mc:Fallback>
            <w:pict>
              <v:group w14:anchorId="33BE250B" id="Group 304" o:spid="_x0000_s1161" style="position:absolute;margin-left:0;margin-top:805.85pt;width:595.4pt;height:36.15pt;z-index:15764992;mso-wrap-distance-left:0;mso-wrap-distance-right:0;mso-position-horizontal-relative:page;mso-position-vertical-relative:page" coordsize="75615,4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">
                <v:shape id="Graphic 305" o:spid="_x0000_s1162" style="position:absolute;left:64490;top:57;width:11106;height:4514;visibility:visible;mso-wrap-style:square;v-text-anchor:top" coordsize="1110615,4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" path="m1110614,l,,260349,451483r850265,l1110614,xe" fillcolor="#fad2c1" stroked="f">
                  <v:path arrowok="t"/>
                </v:shape>
                <v:shape id="Graphic 306" o:spid="_x0000_s1163" style="position:absolute;left:64490;top:57;width:11106;height:4514;visibility:visible;mso-wrap-style:square;v-text-anchor:top" coordsize="1110615,4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" path="m,l1110614,r,451483l260349,451483,,e" filled="f" strokecolor="#fad2c1" strokeweight=".08475mm">
                  <v:path arrowok="t"/>
                </v:shape>
                <v:shape id="Graphic 307" o:spid="_x0000_s1164" style="position:absolute;top:63;width:75603;height:13;visibility:visible;mso-wrap-style:square;v-text-anchor:top" coordsize="756030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" path="m,l7560309,e" filled="f" strokecolor="#fad2c1" strokeweight="1pt">
                  <v:path arrowok="t"/>
                </v:shape>
                <v:shape id="Textbox 308" o:spid="_x0000_s1165" type="#_x0000_t202" style="position:absolute;left:68821;top:374;width:1473;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" filled="f" stroked="f">
                  <v:textbox inset="0,0,0,0">
                    <w:txbxContent>
                      <w:p w14:paraId="08BE0EBB" w14:textId="77777777" w:rsidR="00BB77C0" w:rsidRDefault="00370BAA">
                        <w:pPr>
                          <w:spacing w:line="244" w:lineRule="exact"/>
                        </w:pPr>
                        <w:r>
                          <w:rPr>
                            <w:spacing w:val="-5"/>
                          </w:rPr>
                          <w:t>61</w:t>
                        </w:r>
                      </w:p>
                    </w:txbxContent>
                  </v:textbox>
                </v:shape>
                <w10:wrap anchorx="page" anchory="page"/>
              </v:group>
            </w:pict>
          </mc:Fallback>
        </mc:AlternateContent>
      </w:r>
      <w:r>
        <w:rPr>
          <w:noProof/>
          <w:sz w:val="24"/>
        </w:rPr>
        <mc:AlternateContent>
          <mc:Choice Requires="wpg">
            <w:drawing>
              <wp:anchor distT="0" distB="0" distL="0" distR="0" simplePos="0" relativeHeight="15765504" behindDoc="0" locked="0" layoutInCell="1" allowOverlap="1" wp14:anchorId="31F59E47" wp14:editId="36C5E415">
                <wp:simplePos x="0" y="0"/>
                <wp:positionH relativeFrom="page">
                  <wp:posOffset>0</wp:posOffset>
                </wp:positionH>
                <wp:positionV relativeFrom="page">
                  <wp:posOffset>0</wp:posOffset>
                </wp:positionV>
                <wp:extent cx="7559675" cy="228600"/>
                <wp:effectExtent l="0" t="0" r="0" b="0"/>
                <wp:wrapNone/>
                <wp:docPr id="309" name="Group 3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675" cy="228600"/>
                          <a:chOff x="0" y="0"/>
                          <a:chExt cx="7559675" cy="228600"/>
                        </a:xfrm>
                      </wpg:grpSpPr>
                      <wps:wsp>
                        <wps:cNvPr id="310" name="Graphic 310"/>
                        <wps:cNvSpPr/>
                        <wps:spPr>
                          <a:xfrm>
                            <a:off x="848283" y="0"/>
                            <a:ext cx="6711950" cy="228600"/>
                          </a:xfrm>
                          <a:custGeom>
                            <a:avLst/>
                            <a:gdLst/>
                            <a:ahLst/>
                            <a:cxnLst/>
                            <a:rect l="l" t="t" r="r" b="b"/>
                            <a:pathLst>
                              <a:path w="6711950" h="228600">
                                <a:moveTo>
                                  <a:pt x="6711391" y="0"/>
                                </a:moveTo>
                                <a:lnTo>
                                  <a:pt x="0" y="0"/>
                                </a:lnTo>
                                <a:lnTo>
                                  <a:pt x="184137" y="228600"/>
                                </a:lnTo>
                                <a:lnTo>
                                  <a:pt x="6711391" y="223520"/>
                                </a:lnTo>
                                <a:lnTo>
                                  <a:pt x="6711391" y="0"/>
                                </a:lnTo>
                                <a:close/>
                              </a:path>
                            </a:pathLst>
                          </a:custGeom>
                          <a:solidFill>
                            <a:srgbClr val="E6E7E8"/>
                          </a:solidFill>
                        </wps:spPr>
                        <wps:bodyPr wrap="square" lIns="0" tIns="0" rIns="0" bIns="0" rtlCol="0">
                          <a:prstTxWarp prst="textNoShape">
                            <a:avLst/>
                          </a:prstTxWarp>
                          <a:noAutofit/>
                        </wps:bodyPr>
                      </wps:wsp>
                      <wps:wsp>
                        <wps:cNvPr id="311" name="Graphic 311"/>
                        <wps:cNvSpPr/>
                        <wps:spPr>
                          <a:xfrm>
                            <a:off x="0" y="0"/>
                            <a:ext cx="655955" cy="228600"/>
                          </a:xfrm>
                          <a:custGeom>
                            <a:avLst/>
                            <a:gdLst/>
                            <a:ahLst/>
                            <a:cxnLst/>
                            <a:rect l="l" t="t" r="r" b="b"/>
                            <a:pathLst>
                              <a:path w="655955" h="228600">
                                <a:moveTo>
                                  <a:pt x="530174" y="0"/>
                                </a:moveTo>
                                <a:lnTo>
                                  <a:pt x="0" y="0"/>
                                </a:lnTo>
                                <a:lnTo>
                                  <a:pt x="0" y="228600"/>
                                </a:lnTo>
                                <a:lnTo>
                                  <a:pt x="655904" y="228600"/>
                                </a:lnTo>
                                <a:lnTo>
                                  <a:pt x="530174" y="0"/>
                                </a:lnTo>
                                <a:close/>
                              </a:path>
                            </a:pathLst>
                          </a:custGeom>
                          <a:solidFill>
                            <a:srgbClr val="00A650"/>
                          </a:solidFill>
                        </wps:spPr>
                        <wps:bodyPr wrap="square" lIns="0" tIns="0" rIns="0" bIns="0" rtlCol="0">
                          <a:prstTxWarp prst="textNoShape">
                            <a:avLst/>
                          </a:prstTxWarp>
                          <a:noAutofit/>
                        </wps:bodyPr>
                      </wps:wsp>
                      <wps:wsp>
                        <wps:cNvPr id="312" name="Graphic 312"/>
                        <wps:cNvSpPr/>
                        <wps:spPr>
                          <a:xfrm>
                            <a:off x="554304" y="0"/>
                            <a:ext cx="329565" cy="228600"/>
                          </a:xfrm>
                          <a:custGeom>
                            <a:avLst/>
                            <a:gdLst/>
                            <a:ahLst/>
                            <a:cxnLst/>
                            <a:rect l="l" t="t" r="r" b="b"/>
                            <a:pathLst>
                              <a:path w="329565" h="228600">
                                <a:moveTo>
                                  <a:pt x="203822" y="0"/>
                                </a:moveTo>
                                <a:lnTo>
                                  <a:pt x="0" y="0"/>
                                </a:lnTo>
                                <a:lnTo>
                                  <a:pt x="128904" y="228600"/>
                                </a:lnTo>
                                <a:lnTo>
                                  <a:pt x="329539" y="228600"/>
                                </a:lnTo>
                                <a:lnTo>
                                  <a:pt x="203822" y="0"/>
                                </a:lnTo>
                                <a:close/>
                              </a:path>
                            </a:pathLst>
                          </a:custGeom>
                          <a:solidFill>
                            <a:srgbClr val="EB1C22"/>
                          </a:solidFill>
                        </wps:spPr>
                        <wps:bodyPr wrap="square" lIns="0" tIns="0" rIns="0" bIns="0" rtlCol="0">
                          <a:prstTxWarp prst="textNoShape">
                            <a:avLst/>
                          </a:prstTxWarp>
                          <a:noAutofit/>
                        </wps:bodyPr>
                      </wps:wsp>
                      <wps:wsp>
                        <wps:cNvPr id="313" name="Graphic 313"/>
                        <wps:cNvSpPr/>
                        <wps:spPr>
                          <a:xfrm>
                            <a:off x="783526" y="0"/>
                            <a:ext cx="329565" cy="228600"/>
                          </a:xfrm>
                          <a:custGeom>
                            <a:avLst/>
                            <a:gdLst/>
                            <a:ahLst/>
                            <a:cxnLst/>
                            <a:rect l="l" t="t" r="r" b="b"/>
                            <a:pathLst>
                              <a:path w="329565" h="228600">
                                <a:moveTo>
                                  <a:pt x="203822" y="0"/>
                                </a:moveTo>
                                <a:lnTo>
                                  <a:pt x="0" y="0"/>
                                </a:lnTo>
                                <a:lnTo>
                                  <a:pt x="128879" y="228600"/>
                                </a:lnTo>
                                <a:lnTo>
                                  <a:pt x="329539" y="228600"/>
                                </a:lnTo>
                                <a:lnTo>
                                  <a:pt x="203822" y="0"/>
                                </a:lnTo>
                                <a:close/>
                              </a:path>
                            </a:pathLst>
                          </a:custGeom>
                          <a:solidFill>
                            <a:srgbClr val="A7A9AC"/>
                          </a:solidFill>
                        </wps:spPr>
                        <wps:bodyPr wrap="square" lIns="0" tIns="0" rIns="0" bIns="0" rtlCol="0">
                          <a:prstTxWarp prst="textNoShape">
                            <a:avLst/>
                          </a:prstTxWarp>
                          <a:noAutofit/>
                        </wps:bodyPr>
                      </wps:wsp>
                    </wpg:wgp>
                  </a:graphicData>
                </a:graphic>
              </wp:anchor>
            </w:drawing>
          </mc:Choice>
          <mc:Fallback>
            <w:pict>
              <v:group w14:anchorId="7B0D71AA" id="Group 309" o:spid="_x0000_s1026" style="position:absolute;margin-left:0;margin-top:0;width:595.25pt;height:18pt;z-index:15765504;mso-wrap-distance-left:0;mso-wrap-distance-right:0;mso-position-horizontal-relative:page;mso-position-vertical-relative:page" coordsize="75596,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">
                <v:shape id="Graphic 310" o:spid="_x0000_s1027" style="position:absolute;left:8482;width:67120;height:2286;visibility:visible;mso-wrap-style:square;v-text-anchor:top" coordsize="67119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" path="m6711391,l,,184137,228600r6527254,-5080l6711391,xe" fillcolor="#e6e7e8" stroked="f">
                  <v:path arrowok="t"/>
                </v:shape>
                <v:shape id="Graphic 311" o:spid="_x0000_s1028" style="position:absolute;width:6559;height:2286;visibility:visible;mso-wrap-style:square;v-text-anchor:top" coordsize="65595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" path="m530174,l,,,228600r655904,l530174,xe" fillcolor="#00a650" stroked="f">
                  <v:path arrowok="t"/>
                </v:shape>
                <v:shape id="Graphic 312" o:spid="_x0000_s1029" style="position:absolute;left:5543;width:3295;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" path="m203822,l,,128904,228600r200635,l203822,xe" fillcolor="#eb1c22" stroked="f">
                  <v:path arrowok="t"/>
                </v:shape>
                <v:shape id="Graphic 313" o:spid="_x0000_s1030" style="position:absolute;left:7835;width:3295;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" path="m203822,l,,128879,228600r200660,l203822,xe" fillcolor="#a7a9ac" stroked="f">
                  <v:path arrowok="t"/>
                </v:shape>
                <w10:wrap anchorx="page" anchory="page"/>
              </v:group>
            </w:pict>
          </mc:Fallback>
        </mc:AlternateContent>
      </w:r>
    </w:p>
    <w:p w14:paraId="5DCC5995" w14:textId="77777777" w:rsidR="00BB77C0" w:rsidRDefault="00BB77C0">
      <w:pPr>
        <w:pStyle w:val="BodyText"/>
        <w:rPr>
          <w:sz w:val="24"/>
        </w:rPr>
      </w:pPr>
    </w:p>
    <w:p w14:paraId="0395A211" w14:textId="77777777" w:rsidR="00BB77C0" w:rsidRDefault="00BB77C0">
      <w:pPr>
        <w:pStyle w:val="BodyText"/>
        <w:spacing w:before="6"/>
        <w:rPr>
          <w:sz w:val="24"/>
        </w:rPr>
      </w:pPr>
    </w:p>
    <w:p w14:paraId="1E772019" w14:textId="77777777" w:rsidR="00BB77C0" w:rsidRDefault="00370BAA">
      <w:pPr>
        <w:pStyle w:val="Heading5"/>
        <w:numPr>
          <w:ilvl w:val="0"/>
          <w:numId w:val="46"/>
        </w:numPr>
        <w:tabs>
          <w:tab w:val="left" w:pos="1046"/>
        </w:tabs>
        <w:ind w:left="1046" w:hanging="561"/>
      </w:pPr>
      <w:bookmarkStart w:id="169" w:name="D._APPENDIX_1-_FRAUD_AND_CORRUPTION"/>
      <w:bookmarkEnd w:id="169"/>
      <w:r>
        <w:rPr>
          <w:color w:val="211F1F"/>
        </w:rPr>
        <w:t>APPENDIX</w:t>
      </w:r>
      <w:r>
        <w:rPr>
          <w:color w:val="211F1F"/>
          <w:spacing w:val="-22"/>
        </w:rPr>
        <w:t xml:space="preserve"> </w:t>
      </w:r>
      <w:r>
        <w:rPr>
          <w:color w:val="211F1F"/>
        </w:rPr>
        <w:t>1-</w:t>
      </w:r>
      <w:r>
        <w:rPr>
          <w:color w:val="211F1F"/>
          <w:spacing w:val="-20"/>
        </w:rPr>
        <w:t xml:space="preserve"> </w:t>
      </w:r>
      <w:r>
        <w:rPr>
          <w:color w:val="211F1F"/>
        </w:rPr>
        <w:t>FRAUDAND</w:t>
      </w:r>
      <w:r>
        <w:rPr>
          <w:color w:val="211F1F"/>
          <w:spacing w:val="-18"/>
        </w:rPr>
        <w:t xml:space="preserve"> </w:t>
      </w:r>
      <w:r>
        <w:rPr>
          <w:color w:val="211F1F"/>
          <w:spacing w:val="-2"/>
        </w:rPr>
        <w:t>CORRUPTION</w:t>
      </w:r>
    </w:p>
    <w:p w14:paraId="5B172237" w14:textId="77777777" w:rsidR="00BB77C0" w:rsidRDefault="00370BAA">
      <w:pPr>
        <w:spacing w:before="227"/>
        <w:ind w:left="1046"/>
        <w:rPr>
          <w:i/>
        </w:rPr>
      </w:pPr>
      <w:r>
        <w:rPr>
          <w:i/>
          <w:color w:val="211F1F"/>
        </w:rPr>
        <w:t>(Appendix</w:t>
      </w:r>
      <w:r>
        <w:rPr>
          <w:i/>
          <w:color w:val="211F1F"/>
          <w:spacing w:val="-7"/>
        </w:rPr>
        <w:t xml:space="preserve"> </w:t>
      </w:r>
      <w:r>
        <w:rPr>
          <w:i/>
          <w:color w:val="211F1F"/>
        </w:rPr>
        <w:t>1</w:t>
      </w:r>
      <w:r>
        <w:rPr>
          <w:i/>
          <w:color w:val="211F1F"/>
          <w:spacing w:val="-1"/>
        </w:rPr>
        <w:t xml:space="preserve"> </w:t>
      </w:r>
      <w:r>
        <w:rPr>
          <w:i/>
          <w:color w:val="211F1F"/>
        </w:rPr>
        <w:t>shall</w:t>
      </w:r>
      <w:r>
        <w:rPr>
          <w:i/>
          <w:color w:val="211F1F"/>
          <w:spacing w:val="-4"/>
        </w:rPr>
        <w:t xml:space="preserve"> </w:t>
      </w:r>
      <w:r>
        <w:rPr>
          <w:i/>
          <w:color w:val="211F1F"/>
        </w:rPr>
        <w:t>not</w:t>
      </w:r>
      <w:r>
        <w:rPr>
          <w:i/>
          <w:color w:val="211F1F"/>
          <w:spacing w:val="-1"/>
        </w:rPr>
        <w:t xml:space="preserve"> </w:t>
      </w:r>
      <w:r>
        <w:rPr>
          <w:i/>
          <w:color w:val="211F1F"/>
        </w:rPr>
        <w:t>be</w:t>
      </w:r>
      <w:r>
        <w:rPr>
          <w:i/>
          <w:color w:val="211F1F"/>
          <w:spacing w:val="-7"/>
        </w:rPr>
        <w:t xml:space="preserve"> </w:t>
      </w:r>
      <w:r>
        <w:rPr>
          <w:i/>
          <w:color w:val="211F1F"/>
          <w:spacing w:val="-2"/>
        </w:rPr>
        <w:t>modified)</w:t>
      </w:r>
    </w:p>
    <w:p w14:paraId="21888E98" w14:textId="77777777" w:rsidR="00BB77C0" w:rsidRDefault="00370BAA">
      <w:pPr>
        <w:pStyle w:val="Heading7"/>
        <w:numPr>
          <w:ilvl w:val="0"/>
          <w:numId w:val="40"/>
        </w:numPr>
        <w:tabs>
          <w:tab w:val="left" w:pos="1046"/>
        </w:tabs>
        <w:spacing w:before="242"/>
        <w:ind w:hanging="561"/>
        <w:rPr>
          <w:color w:val="211F1F"/>
        </w:rPr>
      </w:pPr>
      <w:bookmarkStart w:id="170" w:name="1._Purpose"/>
      <w:bookmarkEnd w:id="170"/>
      <w:r>
        <w:rPr>
          <w:color w:val="211F1F"/>
          <w:spacing w:val="-2"/>
        </w:rPr>
        <w:t>Purpose</w:t>
      </w:r>
    </w:p>
    <w:p w14:paraId="0ED3254E" w14:textId="77777777" w:rsidR="00BB77C0" w:rsidRDefault="00370BAA">
      <w:pPr>
        <w:pStyle w:val="ListParagraph"/>
        <w:numPr>
          <w:ilvl w:val="0"/>
          <w:numId w:val="40"/>
        </w:numPr>
        <w:tabs>
          <w:tab w:val="left" w:pos="1046"/>
        </w:tabs>
        <w:spacing w:before="235" w:line="230" w:lineRule="auto"/>
        <w:ind w:right="708"/>
        <w:jc w:val="both"/>
        <w:rPr>
          <w:b/>
        </w:rPr>
      </w:pPr>
      <w:r>
        <w:rPr>
          <w:color w:val="211F1F"/>
        </w:rPr>
        <w:t xml:space="preserve">The Government of Kenya's Anti-Corruption and Economic Crime laws and their sanction's policies and procedures, Public Procurement and Asset Disposal Act </w:t>
      </w:r>
      <w:r>
        <w:rPr>
          <w:i/>
          <w:color w:val="211F1F"/>
        </w:rPr>
        <w:t xml:space="preserve">(no. 33 of 2015) </w:t>
      </w:r>
      <w:r>
        <w:rPr>
          <w:color w:val="211F1F"/>
        </w:rPr>
        <w:t>and its Regulation, and any other Kenya's Acts or Regulations related to Fraud</w:t>
      </w:r>
      <w:r>
        <w:rPr>
          <w:color w:val="211F1F"/>
          <w:spacing w:val="-1"/>
        </w:rPr>
        <w:t xml:space="preserve"> </w:t>
      </w:r>
      <w:r>
        <w:rPr>
          <w:color w:val="211F1F"/>
        </w:rPr>
        <w:t>and Corruption, and similar offences, shall apply with respect to Public</w:t>
      </w:r>
      <w:r>
        <w:rPr>
          <w:color w:val="211F1F"/>
          <w:spacing w:val="-3"/>
        </w:rPr>
        <w:t xml:space="preserve"> </w:t>
      </w:r>
      <w:r>
        <w:rPr>
          <w:color w:val="211F1F"/>
        </w:rPr>
        <w:t>Procurement Processes and</w:t>
      </w:r>
      <w:r>
        <w:rPr>
          <w:color w:val="211F1F"/>
          <w:spacing w:val="-5"/>
        </w:rPr>
        <w:t xml:space="preserve"> </w:t>
      </w:r>
      <w:r>
        <w:rPr>
          <w:color w:val="211F1F"/>
        </w:rPr>
        <w:t>Contracts that</w:t>
      </w:r>
      <w:r>
        <w:rPr>
          <w:color w:val="211F1F"/>
          <w:spacing w:val="-4"/>
        </w:rPr>
        <w:t xml:space="preserve"> </w:t>
      </w:r>
      <w:r>
        <w:rPr>
          <w:color w:val="211F1F"/>
        </w:rPr>
        <w:t>are</w:t>
      </w:r>
      <w:r>
        <w:rPr>
          <w:color w:val="211F1F"/>
          <w:spacing w:val="-9"/>
        </w:rPr>
        <w:t xml:space="preserve"> </w:t>
      </w:r>
      <w:r>
        <w:rPr>
          <w:color w:val="211F1F"/>
        </w:rPr>
        <w:t>governed by</w:t>
      </w:r>
      <w:r>
        <w:rPr>
          <w:color w:val="211F1F"/>
          <w:spacing w:val="-7"/>
        </w:rPr>
        <w:t xml:space="preserve"> </w:t>
      </w:r>
      <w:r>
        <w:rPr>
          <w:color w:val="211F1F"/>
        </w:rPr>
        <w:t>the</w:t>
      </w:r>
      <w:r>
        <w:rPr>
          <w:color w:val="211F1F"/>
          <w:spacing w:val="-3"/>
        </w:rPr>
        <w:t xml:space="preserve"> </w:t>
      </w:r>
      <w:r>
        <w:rPr>
          <w:color w:val="211F1F"/>
        </w:rPr>
        <w:t>laws of Kenya.</w:t>
      </w:r>
    </w:p>
    <w:p w14:paraId="554ACAC5" w14:textId="77777777" w:rsidR="00BB77C0" w:rsidRDefault="00370BAA">
      <w:pPr>
        <w:pStyle w:val="Heading7"/>
        <w:numPr>
          <w:ilvl w:val="0"/>
          <w:numId w:val="40"/>
        </w:numPr>
        <w:tabs>
          <w:tab w:val="left" w:pos="1046"/>
        </w:tabs>
        <w:spacing w:before="245"/>
        <w:ind w:hanging="561"/>
        <w:rPr>
          <w:color w:val="211F1F"/>
        </w:rPr>
      </w:pPr>
      <w:bookmarkStart w:id="171" w:name="3._Requirements"/>
      <w:bookmarkEnd w:id="171"/>
      <w:r>
        <w:rPr>
          <w:color w:val="211F1F"/>
          <w:spacing w:val="-2"/>
        </w:rPr>
        <w:t>Requirements</w:t>
      </w:r>
    </w:p>
    <w:p w14:paraId="3151D291" w14:textId="77777777" w:rsidR="00BB77C0" w:rsidRDefault="00370BAA">
      <w:pPr>
        <w:pStyle w:val="BodyText"/>
        <w:spacing w:before="235" w:line="230" w:lineRule="auto"/>
        <w:ind w:left="898" w:right="707"/>
        <w:jc w:val="both"/>
      </w:pPr>
      <w:r>
        <w:rPr>
          <w:color w:val="211F1F"/>
        </w:rPr>
        <w:t>The Government of Kenya requires that all parties including Procuring Entities, Tenderers, (applicants/proposers), Consultants, Contractors and Suppliers; any Sub-contractors, Sub-consultants, Service providers</w:t>
      </w:r>
      <w:r>
        <w:rPr>
          <w:color w:val="211F1F"/>
          <w:spacing w:val="-12"/>
        </w:rPr>
        <w:t xml:space="preserve"> </w:t>
      </w:r>
      <w:r>
        <w:rPr>
          <w:color w:val="211F1F"/>
        </w:rPr>
        <w:t>or</w:t>
      </w:r>
      <w:r>
        <w:rPr>
          <w:color w:val="211F1F"/>
          <w:spacing w:val="-9"/>
        </w:rPr>
        <w:t xml:space="preserve"> </w:t>
      </w:r>
      <w:r>
        <w:rPr>
          <w:color w:val="211F1F"/>
        </w:rPr>
        <w:t>Suppliers;</w:t>
      </w:r>
      <w:r>
        <w:rPr>
          <w:color w:val="211F1F"/>
          <w:spacing w:val="-10"/>
        </w:rPr>
        <w:t xml:space="preserve"> </w:t>
      </w:r>
      <w:r>
        <w:rPr>
          <w:color w:val="211F1F"/>
        </w:rPr>
        <w:t>any</w:t>
      </w:r>
      <w:r>
        <w:rPr>
          <w:color w:val="211F1F"/>
          <w:spacing w:val="-14"/>
        </w:rPr>
        <w:t xml:space="preserve"> </w:t>
      </w:r>
      <w:r>
        <w:rPr>
          <w:color w:val="211F1F"/>
        </w:rPr>
        <w:t>Agents</w:t>
      </w:r>
      <w:r>
        <w:rPr>
          <w:color w:val="211F1F"/>
          <w:spacing w:val="-6"/>
        </w:rPr>
        <w:t xml:space="preserve"> </w:t>
      </w:r>
      <w:r>
        <w:rPr>
          <w:color w:val="211F1F"/>
        </w:rPr>
        <w:t>(whether</w:t>
      </w:r>
      <w:r>
        <w:rPr>
          <w:color w:val="211F1F"/>
          <w:spacing w:val="-4"/>
        </w:rPr>
        <w:t xml:space="preserve"> </w:t>
      </w:r>
      <w:r>
        <w:rPr>
          <w:color w:val="211F1F"/>
        </w:rPr>
        <w:t>declared</w:t>
      </w:r>
      <w:r>
        <w:rPr>
          <w:color w:val="211F1F"/>
          <w:spacing w:val="-11"/>
        </w:rPr>
        <w:t xml:space="preserve"> </w:t>
      </w:r>
      <w:r>
        <w:rPr>
          <w:color w:val="211F1F"/>
        </w:rPr>
        <w:t>or</w:t>
      </w:r>
      <w:r>
        <w:rPr>
          <w:color w:val="211F1F"/>
          <w:spacing w:val="-4"/>
        </w:rPr>
        <w:t xml:space="preserve"> </w:t>
      </w:r>
      <w:r>
        <w:rPr>
          <w:color w:val="211F1F"/>
        </w:rPr>
        <w:t>not);</w:t>
      </w:r>
      <w:r>
        <w:rPr>
          <w:color w:val="211F1F"/>
          <w:spacing w:val="-6"/>
        </w:rPr>
        <w:t xml:space="preserve"> </w:t>
      </w:r>
      <w:r>
        <w:rPr>
          <w:color w:val="211F1F"/>
        </w:rPr>
        <w:t>and</w:t>
      </w:r>
      <w:r>
        <w:rPr>
          <w:color w:val="211F1F"/>
          <w:spacing w:val="-11"/>
        </w:rPr>
        <w:t xml:space="preserve"> </w:t>
      </w:r>
      <w:r>
        <w:rPr>
          <w:color w:val="211F1F"/>
        </w:rPr>
        <w:t>any</w:t>
      </w:r>
      <w:r>
        <w:rPr>
          <w:color w:val="211F1F"/>
          <w:spacing w:val="-11"/>
        </w:rPr>
        <w:t xml:space="preserve"> </w:t>
      </w:r>
      <w:r>
        <w:rPr>
          <w:color w:val="211F1F"/>
        </w:rPr>
        <w:t>of</w:t>
      </w:r>
      <w:r>
        <w:rPr>
          <w:color w:val="211F1F"/>
          <w:spacing w:val="-9"/>
        </w:rPr>
        <w:t xml:space="preserve"> </w:t>
      </w:r>
      <w:r>
        <w:rPr>
          <w:color w:val="211F1F"/>
        </w:rPr>
        <w:t>their</w:t>
      </w:r>
      <w:r>
        <w:rPr>
          <w:color w:val="211F1F"/>
          <w:spacing w:val="-4"/>
        </w:rPr>
        <w:t xml:space="preserve"> </w:t>
      </w:r>
      <w:r>
        <w:rPr>
          <w:color w:val="211F1F"/>
        </w:rPr>
        <w:t>Personnel,</w:t>
      </w:r>
      <w:r>
        <w:rPr>
          <w:color w:val="211F1F"/>
          <w:spacing w:val="-5"/>
        </w:rPr>
        <w:t xml:space="preserve"> </w:t>
      </w:r>
      <w:r>
        <w:rPr>
          <w:color w:val="211F1F"/>
        </w:rPr>
        <w:t>involved</w:t>
      </w:r>
      <w:r>
        <w:rPr>
          <w:color w:val="211F1F"/>
          <w:spacing w:val="-11"/>
        </w:rPr>
        <w:t xml:space="preserve"> </w:t>
      </w:r>
      <w:r>
        <w:rPr>
          <w:color w:val="211F1F"/>
        </w:rPr>
        <w:t>and</w:t>
      </w:r>
      <w:r>
        <w:rPr>
          <w:color w:val="211F1F"/>
          <w:spacing w:val="-7"/>
        </w:rPr>
        <w:t xml:space="preserve"> </w:t>
      </w:r>
      <w:r>
        <w:rPr>
          <w:color w:val="211F1F"/>
        </w:rPr>
        <w:t>engaged</w:t>
      </w:r>
      <w:r>
        <w:rPr>
          <w:color w:val="211F1F"/>
          <w:spacing w:val="-3"/>
        </w:rPr>
        <w:t xml:space="preserve"> </w:t>
      </w:r>
      <w:r>
        <w:rPr>
          <w:color w:val="211F1F"/>
        </w:rPr>
        <w:t>in procurement under Kenya's Laws and</w:t>
      </w:r>
      <w:r>
        <w:rPr>
          <w:color w:val="211F1F"/>
          <w:spacing w:val="-2"/>
        </w:rPr>
        <w:t xml:space="preserve"> </w:t>
      </w:r>
      <w:r>
        <w:rPr>
          <w:color w:val="211F1F"/>
        </w:rPr>
        <w:t>Regulation, observe</w:t>
      </w:r>
      <w:r>
        <w:rPr>
          <w:color w:val="211F1F"/>
          <w:spacing w:val="-4"/>
        </w:rPr>
        <w:t xml:space="preserve"> </w:t>
      </w:r>
      <w:r>
        <w:rPr>
          <w:color w:val="211F1F"/>
        </w:rPr>
        <w:t>the</w:t>
      </w:r>
      <w:r>
        <w:rPr>
          <w:color w:val="211F1F"/>
          <w:spacing w:val="-4"/>
        </w:rPr>
        <w:t xml:space="preserve"> </w:t>
      </w:r>
      <w:r>
        <w:rPr>
          <w:color w:val="211F1F"/>
        </w:rPr>
        <w:t>highest standard</w:t>
      </w:r>
      <w:r>
        <w:rPr>
          <w:color w:val="211F1F"/>
          <w:spacing w:val="-2"/>
        </w:rPr>
        <w:t xml:space="preserve"> </w:t>
      </w:r>
      <w:r>
        <w:rPr>
          <w:color w:val="211F1F"/>
        </w:rPr>
        <w:t>of ethics during the</w:t>
      </w:r>
      <w:r>
        <w:rPr>
          <w:color w:val="211F1F"/>
          <w:spacing w:val="-4"/>
        </w:rPr>
        <w:t xml:space="preserve"> </w:t>
      </w:r>
      <w:r>
        <w:rPr>
          <w:color w:val="211F1F"/>
        </w:rPr>
        <w:t>procurement process,</w:t>
      </w:r>
      <w:r>
        <w:rPr>
          <w:color w:val="211F1F"/>
          <w:spacing w:val="-8"/>
        </w:rPr>
        <w:t xml:space="preserve"> </w:t>
      </w:r>
      <w:r>
        <w:rPr>
          <w:color w:val="211F1F"/>
        </w:rPr>
        <w:t>selection</w:t>
      </w:r>
      <w:r>
        <w:rPr>
          <w:color w:val="211F1F"/>
          <w:spacing w:val="-14"/>
        </w:rPr>
        <w:t xml:space="preserve"> </w:t>
      </w:r>
      <w:r>
        <w:rPr>
          <w:color w:val="211F1F"/>
        </w:rPr>
        <w:t>and</w:t>
      </w:r>
      <w:r>
        <w:rPr>
          <w:color w:val="211F1F"/>
          <w:spacing w:val="-14"/>
        </w:rPr>
        <w:t xml:space="preserve"> </w:t>
      </w:r>
      <w:r>
        <w:rPr>
          <w:color w:val="211F1F"/>
        </w:rPr>
        <w:t>contract</w:t>
      </w:r>
      <w:r>
        <w:rPr>
          <w:color w:val="211F1F"/>
          <w:spacing w:val="-4"/>
        </w:rPr>
        <w:t xml:space="preserve"> </w:t>
      </w:r>
      <w:r>
        <w:rPr>
          <w:color w:val="211F1F"/>
        </w:rPr>
        <w:t>execution</w:t>
      </w:r>
      <w:r>
        <w:rPr>
          <w:color w:val="211F1F"/>
          <w:spacing w:val="-5"/>
        </w:rPr>
        <w:t xml:space="preserve"> </w:t>
      </w:r>
      <w:r>
        <w:rPr>
          <w:color w:val="211F1F"/>
        </w:rPr>
        <w:t>of</w:t>
      </w:r>
      <w:r>
        <w:rPr>
          <w:color w:val="211F1F"/>
          <w:spacing w:val="-2"/>
        </w:rPr>
        <w:t xml:space="preserve"> </w:t>
      </w:r>
      <w:r>
        <w:rPr>
          <w:color w:val="211F1F"/>
        </w:rPr>
        <w:t>all</w:t>
      </w:r>
      <w:r>
        <w:rPr>
          <w:color w:val="211F1F"/>
          <w:spacing w:val="-4"/>
        </w:rPr>
        <w:t xml:space="preserve"> </w:t>
      </w:r>
      <w:r>
        <w:rPr>
          <w:color w:val="211F1F"/>
        </w:rPr>
        <w:t>contracts,</w:t>
      </w:r>
      <w:r>
        <w:rPr>
          <w:color w:val="211F1F"/>
          <w:spacing w:val="-7"/>
        </w:rPr>
        <w:t xml:space="preserve"> </w:t>
      </w:r>
      <w:r>
        <w:rPr>
          <w:color w:val="211F1F"/>
        </w:rPr>
        <w:t>and</w:t>
      </w:r>
      <w:r>
        <w:rPr>
          <w:color w:val="211F1F"/>
          <w:spacing w:val="-5"/>
        </w:rPr>
        <w:t xml:space="preserve"> </w:t>
      </w:r>
      <w:r>
        <w:rPr>
          <w:color w:val="211F1F"/>
        </w:rPr>
        <w:t>refrain</w:t>
      </w:r>
      <w:r>
        <w:rPr>
          <w:color w:val="211F1F"/>
          <w:spacing w:val="-5"/>
        </w:rPr>
        <w:t xml:space="preserve"> </w:t>
      </w:r>
      <w:r>
        <w:rPr>
          <w:color w:val="211F1F"/>
        </w:rPr>
        <w:t>from</w:t>
      </w:r>
      <w:r>
        <w:rPr>
          <w:color w:val="211F1F"/>
          <w:spacing w:val="-9"/>
        </w:rPr>
        <w:t xml:space="preserve"> </w:t>
      </w:r>
      <w:r>
        <w:rPr>
          <w:color w:val="211F1F"/>
        </w:rPr>
        <w:t>Fraud</w:t>
      </w:r>
      <w:r>
        <w:rPr>
          <w:color w:val="211F1F"/>
          <w:spacing w:val="-10"/>
        </w:rPr>
        <w:t xml:space="preserve"> </w:t>
      </w:r>
      <w:r>
        <w:rPr>
          <w:color w:val="211F1F"/>
        </w:rPr>
        <w:t>and</w:t>
      </w:r>
      <w:r>
        <w:rPr>
          <w:color w:val="211F1F"/>
          <w:spacing w:val="-5"/>
        </w:rPr>
        <w:t xml:space="preserve"> </w:t>
      </w:r>
      <w:r>
        <w:rPr>
          <w:color w:val="211F1F"/>
        </w:rPr>
        <w:t>Corruption</w:t>
      </w:r>
      <w:r>
        <w:rPr>
          <w:color w:val="211F1F"/>
          <w:spacing w:val="-4"/>
        </w:rPr>
        <w:t xml:space="preserve"> </w:t>
      </w:r>
      <w:r>
        <w:rPr>
          <w:color w:val="211F1F"/>
        </w:rPr>
        <w:t>and</w:t>
      </w:r>
      <w:r>
        <w:rPr>
          <w:color w:val="211F1F"/>
          <w:spacing w:val="-14"/>
        </w:rPr>
        <w:t xml:space="preserve"> </w:t>
      </w:r>
      <w:r>
        <w:rPr>
          <w:color w:val="211F1F"/>
        </w:rPr>
        <w:t>fully</w:t>
      </w:r>
      <w:r>
        <w:rPr>
          <w:color w:val="211F1F"/>
          <w:spacing w:val="-13"/>
        </w:rPr>
        <w:t xml:space="preserve"> </w:t>
      </w:r>
      <w:r>
        <w:rPr>
          <w:color w:val="211F1F"/>
        </w:rPr>
        <w:t>comply with Kenya's laws and Regulations as per paragraphs 1.1 above.</w:t>
      </w:r>
    </w:p>
    <w:p w14:paraId="2B07C6D7" w14:textId="77777777" w:rsidR="00BB77C0" w:rsidRDefault="00370BAA">
      <w:pPr>
        <w:pStyle w:val="BodyText"/>
        <w:spacing w:before="248" w:line="230" w:lineRule="auto"/>
        <w:ind w:left="898" w:right="708"/>
        <w:jc w:val="both"/>
      </w:pPr>
      <w:r>
        <w:rPr>
          <w:color w:val="211F1F"/>
        </w:rPr>
        <w:t>Kenya's</w:t>
      </w:r>
      <w:r>
        <w:rPr>
          <w:color w:val="211F1F"/>
          <w:spacing w:val="-14"/>
        </w:rPr>
        <w:t xml:space="preserve"> </w:t>
      </w:r>
      <w:r>
        <w:rPr>
          <w:color w:val="211F1F"/>
        </w:rPr>
        <w:t>public</w:t>
      </w:r>
      <w:r>
        <w:rPr>
          <w:color w:val="211F1F"/>
          <w:spacing w:val="-13"/>
        </w:rPr>
        <w:t xml:space="preserve"> </w:t>
      </w:r>
      <w:r>
        <w:rPr>
          <w:color w:val="211F1F"/>
        </w:rPr>
        <w:t>procurement</w:t>
      </w:r>
      <w:r>
        <w:rPr>
          <w:color w:val="211F1F"/>
          <w:spacing w:val="-10"/>
        </w:rPr>
        <w:t xml:space="preserve"> </w:t>
      </w:r>
      <w:r>
        <w:rPr>
          <w:color w:val="211F1F"/>
        </w:rPr>
        <w:t>and</w:t>
      </w:r>
      <w:r>
        <w:rPr>
          <w:color w:val="211F1F"/>
          <w:spacing w:val="-14"/>
        </w:rPr>
        <w:t xml:space="preserve"> </w:t>
      </w:r>
      <w:r>
        <w:rPr>
          <w:color w:val="211F1F"/>
        </w:rPr>
        <w:t>asset</w:t>
      </w:r>
      <w:r>
        <w:rPr>
          <w:color w:val="211F1F"/>
          <w:spacing w:val="-10"/>
        </w:rPr>
        <w:t xml:space="preserve"> </w:t>
      </w:r>
      <w:r>
        <w:rPr>
          <w:color w:val="211F1F"/>
        </w:rPr>
        <w:t>disposal</w:t>
      </w:r>
      <w:r>
        <w:rPr>
          <w:color w:val="211F1F"/>
          <w:spacing w:val="-14"/>
        </w:rPr>
        <w:t xml:space="preserve"> </w:t>
      </w:r>
      <w:r>
        <w:rPr>
          <w:color w:val="211F1F"/>
        </w:rPr>
        <w:t>act</w:t>
      </w:r>
      <w:r>
        <w:rPr>
          <w:color w:val="211F1F"/>
          <w:spacing w:val="-10"/>
        </w:rPr>
        <w:t xml:space="preserve"> </w:t>
      </w:r>
      <w:r>
        <w:rPr>
          <w:i/>
          <w:color w:val="211F1F"/>
        </w:rPr>
        <w:t>(no.</w:t>
      </w:r>
      <w:r>
        <w:rPr>
          <w:i/>
          <w:color w:val="211F1F"/>
          <w:spacing w:val="-14"/>
        </w:rPr>
        <w:t xml:space="preserve"> </w:t>
      </w:r>
      <w:r>
        <w:rPr>
          <w:i/>
          <w:color w:val="211F1F"/>
        </w:rPr>
        <w:t>33</w:t>
      </w:r>
      <w:r>
        <w:rPr>
          <w:i/>
          <w:color w:val="211F1F"/>
          <w:spacing w:val="-7"/>
        </w:rPr>
        <w:t xml:space="preserve"> </w:t>
      </w:r>
      <w:r>
        <w:rPr>
          <w:i/>
          <w:color w:val="211F1F"/>
        </w:rPr>
        <w:t>of</w:t>
      </w:r>
      <w:r>
        <w:rPr>
          <w:i/>
          <w:color w:val="211F1F"/>
          <w:spacing w:val="-10"/>
        </w:rPr>
        <w:t xml:space="preserve"> </w:t>
      </w:r>
      <w:r>
        <w:rPr>
          <w:i/>
          <w:color w:val="211F1F"/>
        </w:rPr>
        <w:t>2015)</w:t>
      </w:r>
      <w:r>
        <w:rPr>
          <w:i/>
          <w:color w:val="211F1F"/>
          <w:spacing w:val="-9"/>
        </w:rPr>
        <w:t xml:space="preserve"> </w:t>
      </w:r>
      <w:r>
        <w:rPr>
          <w:color w:val="211F1F"/>
        </w:rPr>
        <w:t>under</w:t>
      </w:r>
      <w:r>
        <w:rPr>
          <w:color w:val="211F1F"/>
          <w:spacing w:val="-9"/>
        </w:rPr>
        <w:t xml:space="preserve"> </w:t>
      </w:r>
      <w:r>
        <w:rPr>
          <w:color w:val="211F1F"/>
        </w:rPr>
        <w:t>Section</w:t>
      </w:r>
      <w:r>
        <w:rPr>
          <w:color w:val="211F1F"/>
          <w:spacing w:val="-10"/>
        </w:rPr>
        <w:t xml:space="preserve"> </w:t>
      </w:r>
      <w:r>
        <w:rPr>
          <w:color w:val="211F1F"/>
        </w:rPr>
        <w:t>66</w:t>
      </w:r>
      <w:r>
        <w:rPr>
          <w:color w:val="211F1F"/>
          <w:spacing w:val="-11"/>
        </w:rPr>
        <w:t xml:space="preserve"> </w:t>
      </w:r>
      <w:r>
        <w:rPr>
          <w:color w:val="211F1F"/>
        </w:rPr>
        <w:t>describes</w:t>
      </w:r>
      <w:r>
        <w:rPr>
          <w:color w:val="211F1F"/>
          <w:spacing w:val="-10"/>
        </w:rPr>
        <w:t xml:space="preserve"> </w:t>
      </w:r>
      <w:r>
        <w:rPr>
          <w:color w:val="211F1F"/>
        </w:rPr>
        <w:t>rules</w:t>
      </w:r>
      <w:r>
        <w:rPr>
          <w:color w:val="211F1F"/>
          <w:spacing w:val="-11"/>
        </w:rPr>
        <w:t xml:space="preserve"> </w:t>
      </w:r>
      <w:r>
        <w:rPr>
          <w:color w:val="211F1F"/>
        </w:rPr>
        <w:t>to</w:t>
      </w:r>
      <w:r>
        <w:rPr>
          <w:color w:val="211F1F"/>
          <w:spacing w:val="-14"/>
        </w:rPr>
        <w:t xml:space="preserve"> </w:t>
      </w:r>
      <w:r>
        <w:rPr>
          <w:color w:val="211F1F"/>
        </w:rPr>
        <w:t>be</w:t>
      </w:r>
      <w:r>
        <w:rPr>
          <w:color w:val="211F1F"/>
          <w:spacing w:val="-14"/>
        </w:rPr>
        <w:t xml:space="preserve"> </w:t>
      </w:r>
      <w:r>
        <w:rPr>
          <w:color w:val="211F1F"/>
        </w:rPr>
        <w:t>followed and actions to be taken in dealing with Corrupt, Coercive, Obstructive, Collusive or Fraudulent practices, and Conflicts</w:t>
      </w:r>
      <w:r>
        <w:rPr>
          <w:color w:val="211F1F"/>
          <w:spacing w:val="-14"/>
        </w:rPr>
        <w:t xml:space="preserve"> </w:t>
      </w:r>
      <w:r>
        <w:rPr>
          <w:color w:val="211F1F"/>
        </w:rPr>
        <w:t>of</w:t>
      </w:r>
      <w:r>
        <w:rPr>
          <w:color w:val="211F1F"/>
          <w:spacing w:val="-14"/>
        </w:rPr>
        <w:t xml:space="preserve"> </w:t>
      </w:r>
      <w:r>
        <w:rPr>
          <w:color w:val="211F1F"/>
        </w:rPr>
        <w:t>Interest</w:t>
      </w:r>
      <w:r>
        <w:rPr>
          <w:color w:val="211F1F"/>
          <w:spacing w:val="-14"/>
        </w:rPr>
        <w:t xml:space="preserve"> </w:t>
      </w:r>
      <w:r>
        <w:rPr>
          <w:color w:val="211F1F"/>
        </w:rPr>
        <w:t>in</w:t>
      </w:r>
      <w:r>
        <w:rPr>
          <w:color w:val="211F1F"/>
          <w:spacing w:val="-13"/>
        </w:rPr>
        <w:t xml:space="preserve"> </w:t>
      </w:r>
      <w:r>
        <w:rPr>
          <w:color w:val="211F1F"/>
        </w:rPr>
        <w:t>procurement</w:t>
      </w:r>
      <w:r>
        <w:rPr>
          <w:color w:val="211F1F"/>
          <w:spacing w:val="-14"/>
        </w:rPr>
        <w:t xml:space="preserve"> </w:t>
      </w:r>
      <w:r>
        <w:rPr>
          <w:color w:val="211F1F"/>
        </w:rPr>
        <w:t>including</w:t>
      </w:r>
      <w:r>
        <w:rPr>
          <w:color w:val="211F1F"/>
          <w:spacing w:val="-14"/>
        </w:rPr>
        <w:t xml:space="preserve"> </w:t>
      </w:r>
      <w:r>
        <w:rPr>
          <w:color w:val="211F1F"/>
        </w:rPr>
        <w:t>consequences</w:t>
      </w:r>
      <w:r>
        <w:rPr>
          <w:color w:val="211F1F"/>
          <w:spacing w:val="-14"/>
        </w:rPr>
        <w:t xml:space="preserve"> </w:t>
      </w:r>
      <w:r>
        <w:rPr>
          <w:color w:val="211F1F"/>
        </w:rPr>
        <w:t>for</w:t>
      </w:r>
      <w:r>
        <w:rPr>
          <w:color w:val="211F1F"/>
          <w:spacing w:val="-13"/>
        </w:rPr>
        <w:t xml:space="preserve"> </w:t>
      </w:r>
      <w:r>
        <w:rPr>
          <w:color w:val="211F1F"/>
        </w:rPr>
        <w:t>offences</w:t>
      </w:r>
      <w:r>
        <w:rPr>
          <w:color w:val="211F1F"/>
          <w:spacing w:val="-14"/>
        </w:rPr>
        <w:t xml:space="preserve"> </w:t>
      </w:r>
      <w:r>
        <w:rPr>
          <w:color w:val="211F1F"/>
        </w:rPr>
        <w:t>committed.</w:t>
      </w:r>
      <w:r>
        <w:rPr>
          <w:color w:val="211F1F"/>
          <w:spacing w:val="-14"/>
        </w:rPr>
        <w:t xml:space="preserve"> </w:t>
      </w:r>
      <w:r>
        <w:rPr>
          <w:color w:val="211F1F"/>
        </w:rPr>
        <w:t>A</w:t>
      </w:r>
      <w:r>
        <w:rPr>
          <w:color w:val="211F1F"/>
          <w:spacing w:val="-14"/>
        </w:rPr>
        <w:t xml:space="preserve"> </w:t>
      </w:r>
      <w:r>
        <w:rPr>
          <w:color w:val="211F1F"/>
        </w:rPr>
        <w:t>few</w:t>
      </w:r>
      <w:r>
        <w:rPr>
          <w:color w:val="211F1F"/>
          <w:spacing w:val="-13"/>
        </w:rPr>
        <w:t xml:space="preserve"> </w:t>
      </w:r>
      <w:r>
        <w:rPr>
          <w:color w:val="211F1F"/>
        </w:rPr>
        <w:t>of</w:t>
      </w:r>
      <w:r>
        <w:rPr>
          <w:color w:val="211F1F"/>
          <w:spacing w:val="-14"/>
        </w:rPr>
        <w:t xml:space="preserve"> </w:t>
      </w:r>
      <w:r>
        <w:rPr>
          <w:color w:val="211F1F"/>
        </w:rPr>
        <w:t>the</w:t>
      </w:r>
      <w:r>
        <w:rPr>
          <w:color w:val="211F1F"/>
          <w:spacing w:val="-14"/>
        </w:rPr>
        <w:t xml:space="preserve"> </w:t>
      </w:r>
      <w:r>
        <w:rPr>
          <w:color w:val="211F1F"/>
        </w:rPr>
        <w:t>provisions</w:t>
      </w:r>
      <w:r>
        <w:rPr>
          <w:color w:val="211F1F"/>
          <w:spacing w:val="-14"/>
        </w:rPr>
        <w:t xml:space="preserve"> </w:t>
      </w:r>
      <w:r>
        <w:rPr>
          <w:color w:val="211F1F"/>
        </w:rPr>
        <w:t>noted below</w:t>
      </w:r>
      <w:r>
        <w:rPr>
          <w:color w:val="211F1F"/>
          <w:spacing w:val="-8"/>
        </w:rPr>
        <w:t xml:space="preserve"> </w:t>
      </w:r>
      <w:r>
        <w:rPr>
          <w:color w:val="211F1F"/>
        </w:rPr>
        <w:t>highlight Kenya's policy</w:t>
      </w:r>
      <w:r>
        <w:rPr>
          <w:color w:val="211F1F"/>
          <w:spacing w:val="-7"/>
        </w:rPr>
        <w:t xml:space="preserve"> </w:t>
      </w:r>
      <w:r>
        <w:rPr>
          <w:color w:val="211F1F"/>
        </w:rPr>
        <w:t>of no</w:t>
      </w:r>
      <w:r>
        <w:rPr>
          <w:color w:val="211F1F"/>
          <w:spacing w:val="-7"/>
        </w:rPr>
        <w:t xml:space="preserve"> </w:t>
      </w:r>
      <w:r>
        <w:rPr>
          <w:color w:val="211F1F"/>
        </w:rPr>
        <w:t>tolerance</w:t>
      </w:r>
      <w:r>
        <w:rPr>
          <w:color w:val="211F1F"/>
          <w:spacing w:val="-8"/>
        </w:rPr>
        <w:t xml:space="preserve"> </w:t>
      </w:r>
      <w:r>
        <w:rPr>
          <w:color w:val="211F1F"/>
        </w:rPr>
        <w:t>for such</w:t>
      </w:r>
      <w:r>
        <w:rPr>
          <w:color w:val="211F1F"/>
          <w:spacing w:val="-7"/>
        </w:rPr>
        <w:t xml:space="preserve"> </w:t>
      </w:r>
      <w:r>
        <w:rPr>
          <w:color w:val="211F1F"/>
        </w:rPr>
        <w:t>practices and</w:t>
      </w:r>
      <w:r>
        <w:rPr>
          <w:color w:val="211F1F"/>
          <w:spacing w:val="-7"/>
        </w:rPr>
        <w:t xml:space="preserve"> </w:t>
      </w:r>
      <w:r>
        <w:rPr>
          <w:color w:val="211F1F"/>
        </w:rPr>
        <w:t>behavior: -</w:t>
      </w:r>
    </w:p>
    <w:p w14:paraId="6463E87D" w14:textId="77777777" w:rsidR="00BB77C0" w:rsidRDefault="00BB77C0">
      <w:pPr>
        <w:pStyle w:val="BodyText"/>
      </w:pPr>
    </w:p>
    <w:p w14:paraId="67DB0110" w14:textId="77777777" w:rsidR="00BB77C0" w:rsidRDefault="00BB77C0">
      <w:pPr>
        <w:pStyle w:val="BodyText"/>
        <w:spacing w:before="52"/>
      </w:pPr>
    </w:p>
    <w:p w14:paraId="57C4B41A" w14:textId="77777777" w:rsidR="00BB77C0" w:rsidRDefault="00370BAA">
      <w:pPr>
        <w:pStyle w:val="ListParagraph"/>
        <w:numPr>
          <w:ilvl w:val="1"/>
          <w:numId w:val="40"/>
        </w:numPr>
        <w:tabs>
          <w:tab w:val="left" w:pos="1584"/>
        </w:tabs>
        <w:spacing w:line="237" w:lineRule="auto"/>
        <w:ind w:right="803"/>
      </w:pPr>
      <w:r>
        <w:rPr>
          <w:color w:val="211F1F"/>
        </w:rPr>
        <w:t>a</w:t>
      </w:r>
      <w:r>
        <w:rPr>
          <w:color w:val="211F1F"/>
          <w:spacing w:val="-10"/>
        </w:rPr>
        <w:t xml:space="preserve"> </w:t>
      </w:r>
      <w:r>
        <w:rPr>
          <w:color w:val="211F1F"/>
        </w:rPr>
        <w:t>person</w:t>
      </w:r>
      <w:r>
        <w:rPr>
          <w:color w:val="211F1F"/>
          <w:spacing w:val="-11"/>
        </w:rPr>
        <w:t xml:space="preserve"> </w:t>
      </w:r>
      <w:r>
        <w:rPr>
          <w:color w:val="211F1F"/>
        </w:rPr>
        <w:t>to</w:t>
      </w:r>
      <w:r>
        <w:rPr>
          <w:color w:val="211F1F"/>
          <w:spacing w:val="-11"/>
        </w:rPr>
        <w:t xml:space="preserve"> </w:t>
      </w:r>
      <w:r>
        <w:rPr>
          <w:color w:val="211F1F"/>
        </w:rPr>
        <w:t>whom</w:t>
      </w:r>
      <w:r>
        <w:rPr>
          <w:color w:val="211F1F"/>
          <w:spacing w:val="-10"/>
        </w:rPr>
        <w:t xml:space="preserve"> </w:t>
      </w:r>
      <w:r>
        <w:rPr>
          <w:color w:val="211F1F"/>
        </w:rPr>
        <w:t>this</w:t>
      </w:r>
      <w:r>
        <w:rPr>
          <w:color w:val="211F1F"/>
          <w:spacing w:val="-14"/>
        </w:rPr>
        <w:t xml:space="preserve"> </w:t>
      </w:r>
      <w:r>
        <w:rPr>
          <w:color w:val="211F1F"/>
        </w:rPr>
        <w:t>Act</w:t>
      </w:r>
      <w:r>
        <w:rPr>
          <w:color w:val="211F1F"/>
          <w:spacing w:val="-5"/>
        </w:rPr>
        <w:t xml:space="preserve"> </w:t>
      </w:r>
      <w:r>
        <w:rPr>
          <w:color w:val="211F1F"/>
        </w:rPr>
        <w:t>applies</w:t>
      </w:r>
      <w:r>
        <w:rPr>
          <w:color w:val="211F1F"/>
          <w:spacing w:val="-7"/>
        </w:rPr>
        <w:t xml:space="preserve"> </w:t>
      </w:r>
      <w:r>
        <w:rPr>
          <w:color w:val="211F1F"/>
        </w:rPr>
        <w:t>shall</w:t>
      </w:r>
      <w:r>
        <w:rPr>
          <w:color w:val="211F1F"/>
          <w:spacing w:val="-6"/>
        </w:rPr>
        <w:t xml:space="preserve"> </w:t>
      </w:r>
      <w:r>
        <w:rPr>
          <w:color w:val="211F1F"/>
        </w:rPr>
        <w:t>not</w:t>
      </w:r>
      <w:r>
        <w:rPr>
          <w:color w:val="211F1F"/>
          <w:spacing w:val="-2"/>
        </w:rPr>
        <w:t xml:space="preserve"> </w:t>
      </w:r>
      <w:r>
        <w:rPr>
          <w:color w:val="211F1F"/>
        </w:rPr>
        <w:t>be</w:t>
      </w:r>
      <w:r>
        <w:rPr>
          <w:color w:val="211F1F"/>
          <w:spacing w:val="-13"/>
        </w:rPr>
        <w:t xml:space="preserve"> </w:t>
      </w:r>
      <w:r>
        <w:rPr>
          <w:color w:val="211F1F"/>
        </w:rPr>
        <w:t>involved</w:t>
      </w:r>
      <w:r>
        <w:rPr>
          <w:color w:val="211F1F"/>
          <w:spacing w:val="-11"/>
        </w:rPr>
        <w:t xml:space="preserve"> </w:t>
      </w:r>
      <w:r>
        <w:rPr>
          <w:color w:val="211F1F"/>
        </w:rPr>
        <w:t>in</w:t>
      </w:r>
      <w:r>
        <w:rPr>
          <w:color w:val="211F1F"/>
          <w:spacing w:val="-11"/>
        </w:rPr>
        <w:t xml:space="preserve"> </w:t>
      </w:r>
      <w:r>
        <w:rPr>
          <w:color w:val="211F1F"/>
        </w:rPr>
        <w:t>any</w:t>
      </w:r>
      <w:r>
        <w:rPr>
          <w:color w:val="211F1F"/>
          <w:spacing w:val="-7"/>
        </w:rPr>
        <w:t xml:space="preserve"> </w:t>
      </w:r>
      <w:r>
        <w:rPr>
          <w:color w:val="211F1F"/>
        </w:rPr>
        <w:t>corrupt,</w:t>
      </w:r>
      <w:r>
        <w:rPr>
          <w:color w:val="211F1F"/>
          <w:spacing w:val="-4"/>
        </w:rPr>
        <w:t xml:space="preserve"> </w:t>
      </w:r>
      <w:r>
        <w:rPr>
          <w:color w:val="211F1F"/>
        </w:rPr>
        <w:t>coercive,</w:t>
      </w:r>
      <w:r>
        <w:rPr>
          <w:color w:val="211F1F"/>
          <w:spacing w:val="-4"/>
        </w:rPr>
        <w:t xml:space="preserve"> </w:t>
      </w:r>
      <w:r>
        <w:rPr>
          <w:color w:val="211F1F"/>
        </w:rPr>
        <w:t>obstructive,</w:t>
      </w:r>
      <w:r>
        <w:rPr>
          <w:color w:val="211F1F"/>
          <w:spacing w:val="-4"/>
        </w:rPr>
        <w:t xml:space="preserve"> </w:t>
      </w:r>
      <w:r>
        <w:rPr>
          <w:color w:val="211F1F"/>
        </w:rPr>
        <w:t>collusive</w:t>
      </w:r>
      <w:r>
        <w:rPr>
          <w:color w:val="211F1F"/>
          <w:spacing w:val="-8"/>
        </w:rPr>
        <w:t xml:space="preserve"> </w:t>
      </w:r>
      <w:r>
        <w:rPr>
          <w:color w:val="211F1F"/>
        </w:rPr>
        <w:t>or fraudulent</w:t>
      </w:r>
      <w:r>
        <w:rPr>
          <w:color w:val="211F1F"/>
          <w:spacing w:val="-14"/>
        </w:rPr>
        <w:t xml:space="preserve"> </w:t>
      </w:r>
      <w:r>
        <w:rPr>
          <w:color w:val="211F1F"/>
        </w:rPr>
        <w:t>practice;</w:t>
      </w:r>
      <w:r>
        <w:rPr>
          <w:color w:val="211F1F"/>
          <w:spacing w:val="-15"/>
        </w:rPr>
        <w:t xml:space="preserve"> </w:t>
      </w:r>
      <w:r>
        <w:rPr>
          <w:color w:val="211F1F"/>
        </w:rPr>
        <w:t>or</w:t>
      </w:r>
      <w:r>
        <w:rPr>
          <w:color w:val="211F1F"/>
          <w:spacing w:val="-14"/>
        </w:rPr>
        <w:t xml:space="preserve"> </w:t>
      </w:r>
      <w:r>
        <w:rPr>
          <w:color w:val="211F1F"/>
        </w:rPr>
        <w:t>conflicts</w:t>
      </w:r>
      <w:r>
        <w:rPr>
          <w:color w:val="211F1F"/>
          <w:spacing w:val="-16"/>
        </w:rPr>
        <w:t xml:space="preserve"> </w:t>
      </w:r>
      <w:r>
        <w:rPr>
          <w:color w:val="211F1F"/>
        </w:rPr>
        <w:t>of</w:t>
      </w:r>
      <w:r>
        <w:rPr>
          <w:color w:val="211F1F"/>
          <w:spacing w:val="-19"/>
        </w:rPr>
        <w:t xml:space="preserve"> </w:t>
      </w:r>
      <w:r>
        <w:rPr>
          <w:color w:val="211F1F"/>
        </w:rPr>
        <w:t>interest</w:t>
      </w:r>
      <w:r>
        <w:rPr>
          <w:color w:val="211F1F"/>
          <w:spacing w:val="-15"/>
        </w:rPr>
        <w:t xml:space="preserve"> </w:t>
      </w:r>
      <w:r>
        <w:rPr>
          <w:color w:val="211F1F"/>
        </w:rPr>
        <w:t>in</w:t>
      </w:r>
      <w:r>
        <w:rPr>
          <w:color w:val="211F1F"/>
          <w:spacing w:val="-22"/>
        </w:rPr>
        <w:t xml:space="preserve"> </w:t>
      </w:r>
      <w:r>
        <w:rPr>
          <w:color w:val="211F1F"/>
        </w:rPr>
        <w:t>any</w:t>
      </w:r>
      <w:r>
        <w:rPr>
          <w:color w:val="211F1F"/>
          <w:spacing w:val="-22"/>
        </w:rPr>
        <w:t xml:space="preserve"> </w:t>
      </w:r>
      <w:r>
        <w:rPr>
          <w:color w:val="211F1F"/>
        </w:rPr>
        <w:t>procurement</w:t>
      </w:r>
      <w:r>
        <w:rPr>
          <w:color w:val="211F1F"/>
          <w:spacing w:val="-14"/>
        </w:rPr>
        <w:t xml:space="preserve"> </w:t>
      </w:r>
      <w:r>
        <w:rPr>
          <w:color w:val="211F1F"/>
        </w:rPr>
        <w:t>or</w:t>
      </w:r>
      <w:r>
        <w:rPr>
          <w:color w:val="211F1F"/>
          <w:spacing w:val="-14"/>
        </w:rPr>
        <w:t xml:space="preserve"> </w:t>
      </w:r>
      <w:r>
        <w:rPr>
          <w:color w:val="211F1F"/>
        </w:rPr>
        <w:t>asset</w:t>
      </w:r>
      <w:r>
        <w:rPr>
          <w:color w:val="211F1F"/>
          <w:spacing w:val="-15"/>
        </w:rPr>
        <w:t xml:space="preserve"> </w:t>
      </w:r>
      <w:r>
        <w:rPr>
          <w:color w:val="211F1F"/>
        </w:rPr>
        <w:t>disposal</w:t>
      </w:r>
      <w:r>
        <w:rPr>
          <w:color w:val="211F1F"/>
          <w:spacing w:val="-26"/>
        </w:rPr>
        <w:t xml:space="preserve"> </w:t>
      </w:r>
      <w:r>
        <w:rPr>
          <w:color w:val="211F1F"/>
        </w:rPr>
        <w:t>proceeding;</w:t>
      </w:r>
    </w:p>
    <w:p w14:paraId="303E3BDD" w14:textId="77777777" w:rsidR="00BB77C0" w:rsidRDefault="00370BAA">
      <w:pPr>
        <w:pStyle w:val="ListParagraph"/>
        <w:numPr>
          <w:ilvl w:val="1"/>
          <w:numId w:val="40"/>
        </w:numPr>
        <w:tabs>
          <w:tab w:val="left" w:pos="1584"/>
        </w:tabs>
        <w:spacing w:before="74" w:line="228" w:lineRule="auto"/>
        <w:ind w:right="704"/>
      </w:pPr>
      <w:r>
        <w:rPr>
          <w:color w:val="211F1F"/>
        </w:rPr>
        <w:t>A</w:t>
      </w:r>
      <w:r>
        <w:rPr>
          <w:color w:val="211F1F"/>
          <w:spacing w:val="-14"/>
        </w:rPr>
        <w:t xml:space="preserve"> </w:t>
      </w:r>
      <w:r>
        <w:rPr>
          <w:color w:val="211F1F"/>
        </w:rPr>
        <w:t>person</w:t>
      </w:r>
      <w:r>
        <w:rPr>
          <w:color w:val="211F1F"/>
          <w:spacing w:val="-1"/>
        </w:rPr>
        <w:t xml:space="preserve"> </w:t>
      </w:r>
      <w:r>
        <w:rPr>
          <w:color w:val="211F1F"/>
        </w:rPr>
        <w:t>referred to</w:t>
      </w:r>
      <w:r>
        <w:rPr>
          <w:color w:val="211F1F"/>
          <w:spacing w:val="-1"/>
        </w:rPr>
        <w:t xml:space="preserve"> </w:t>
      </w:r>
      <w:r>
        <w:rPr>
          <w:color w:val="211F1F"/>
        </w:rPr>
        <w:t>under subsection</w:t>
      </w:r>
      <w:r>
        <w:rPr>
          <w:color w:val="211F1F"/>
          <w:spacing w:val="-1"/>
        </w:rPr>
        <w:t xml:space="preserve"> </w:t>
      </w:r>
      <w:r>
        <w:rPr>
          <w:color w:val="211F1F"/>
        </w:rPr>
        <w:t>(1) who</w:t>
      </w:r>
      <w:r>
        <w:rPr>
          <w:color w:val="211F1F"/>
          <w:spacing w:val="-1"/>
        </w:rPr>
        <w:t xml:space="preserve"> </w:t>
      </w:r>
      <w:r>
        <w:rPr>
          <w:color w:val="211F1F"/>
        </w:rPr>
        <w:t>contravenes the</w:t>
      </w:r>
      <w:r>
        <w:rPr>
          <w:color w:val="211F1F"/>
          <w:spacing w:val="-3"/>
        </w:rPr>
        <w:t xml:space="preserve"> </w:t>
      </w:r>
      <w:r>
        <w:rPr>
          <w:color w:val="211F1F"/>
        </w:rPr>
        <w:t xml:space="preserve">provisions of that sub-section commits an </w:t>
      </w:r>
      <w:r>
        <w:rPr>
          <w:color w:val="211F1F"/>
          <w:spacing w:val="-2"/>
        </w:rPr>
        <w:t>offence;</w:t>
      </w:r>
    </w:p>
    <w:p w14:paraId="5E8B4EC5" w14:textId="77777777" w:rsidR="00BB77C0" w:rsidRDefault="00370BAA">
      <w:pPr>
        <w:pStyle w:val="ListParagraph"/>
        <w:numPr>
          <w:ilvl w:val="1"/>
          <w:numId w:val="40"/>
        </w:numPr>
        <w:tabs>
          <w:tab w:val="left" w:pos="1589"/>
        </w:tabs>
        <w:spacing w:before="81"/>
        <w:ind w:left="1589" w:hanging="543"/>
      </w:pPr>
      <w:r>
        <w:rPr>
          <w:color w:val="211F1F"/>
          <w:spacing w:val="-2"/>
        </w:rPr>
        <w:t>Without</w:t>
      </w:r>
      <w:r>
        <w:rPr>
          <w:color w:val="211F1F"/>
          <w:spacing w:val="-16"/>
        </w:rPr>
        <w:t xml:space="preserve"> </w:t>
      </w:r>
      <w:r>
        <w:rPr>
          <w:color w:val="211F1F"/>
          <w:spacing w:val="-2"/>
        </w:rPr>
        <w:t>limiting</w:t>
      </w:r>
      <w:r>
        <w:rPr>
          <w:color w:val="211F1F"/>
          <w:spacing w:val="-21"/>
        </w:rPr>
        <w:t xml:space="preserve"> </w:t>
      </w:r>
      <w:r>
        <w:rPr>
          <w:color w:val="211F1F"/>
          <w:spacing w:val="-2"/>
        </w:rPr>
        <w:t>the</w:t>
      </w:r>
      <w:r>
        <w:rPr>
          <w:color w:val="211F1F"/>
          <w:spacing w:val="-24"/>
        </w:rPr>
        <w:t xml:space="preserve"> </w:t>
      </w:r>
      <w:r>
        <w:rPr>
          <w:color w:val="211F1F"/>
          <w:spacing w:val="-2"/>
        </w:rPr>
        <w:t>generality</w:t>
      </w:r>
      <w:r>
        <w:rPr>
          <w:color w:val="211F1F"/>
          <w:spacing w:val="-21"/>
        </w:rPr>
        <w:t xml:space="preserve"> </w:t>
      </w:r>
      <w:r>
        <w:rPr>
          <w:color w:val="211F1F"/>
          <w:spacing w:val="-2"/>
        </w:rPr>
        <w:t>of</w:t>
      </w:r>
      <w:r>
        <w:rPr>
          <w:color w:val="211F1F"/>
          <w:spacing w:val="-14"/>
        </w:rPr>
        <w:t xml:space="preserve"> </w:t>
      </w:r>
      <w:r>
        <w:rPr>
          <w:color w:val="211F1F"/>
          <w:spacing w:val="-2"/>
        </w:rPr>
        <w:t>the</w:t>
      </w:r>
      <w:r>
        <w:rPr>
          <w:color w:val="211F1F"/>
          <w:spacing w:val="-24"/>
        </w:rPr>
        <w:t xml:space="preserve"> </w:t>
      </w:r>
      <w:r>
        <w:rPr>
          <w:color w:val="211F1F"/>
          <w:spacing w:val="-2"/>
        </w:rPr>
        <w:t>subsection</w:t>
      </w:r>
      <w:r>
        <w:rPr>
          <w:color w:val="211F1F"/>
          <w:spacing w:val="-17"/>
        </w:rPr>
        <w:t xml:space="preserve"> </w:t>
      </w:r>
      <w:r>
        <w:rPr>
          <w:color w:val="211F1F"/>
          <w:spacing w:val="-2"/>
        </w:rPr>
        <w:t>(1)</w:t>
      </w:r>
      <w:r>
        <w:rPr>
          <w:color w:val="211F1F"/>
          <w:spacing w:val="-23"/>
        </w:rPr>
        <w:t xml:space="preserve"> </w:t>
      </w:r>
      <w:r>
        <w:rPr>
          <w:color w:val="211F1F"/>
          <w:spacing w:val="-2"/>
        </w:rPr>
        <w:t>and</w:t>
      </w:r>
      <w:r>
        <w:rPr>
          <w:color w:val="211F1F"/>
          <w:spacing w:val="-21"/>
        </w:rPr>
        <w:t xml:space="preserve"> </w:t>
      </w:r>
      <w:r>
        <w:rPr>
          <w:color w:val="211F1F"/>
          <w:spacing w:val="-2"/>
        </w:rPr>
        <w:t>(2),</w:t>
      </w:r>
      <w:r>
        <w:rPr>
          <w:color w:val="211F1F"/>
          <w:spacing w:val="-15"/>
        </w:rPr>
        <w:t xml:space="preserve"> </w:t>
      </w:r>
      <w:r>
        <w:rPr>
          <w:color w:val="211F1F"/>
          <w:spacing w:val="-2"/>
        </w:rPr>
        <w:t>the</w:t>
      </w:r>
      <w:r>
        <w:rPr>
          <w:color w:val="211F1F"/>
          <w:spacing w:val="-19"/>
        </w:rPr>
        <w:t xml:space="preserve"> </w:t>
      </w:r>
      <w:r>
        <w:rPr>
          <w:color w:val="211F1F"/>
          <w:spacing w:val="-2"/>
        </w:rPr>
        <w:t>person</w:t>
      </w:r>
      <w:r>
        <w:rPr>
          <w:color w:val="211F1F"/>
          <w:spacing w:val="-26"/>
        </w:rPr>
        <w:t xml:space="preserve"> </w:t>
      </w:r>
      <w:r>
        <w:rPr>
          <w:color w:val="211F1F"/>
          <w:spacing w:val="-2"/>
        </w:rPr>
        <w:t>shall</w:t>
      </w:r>
      <w:r>
        <w:rPr>
          <w:color w:val="211F1F"/>
          <w:spacing w:val="-26"/>
        </w:rPr>
        <w:t xml:space="preserve"> </w:t>
      </w:r>
      <w:r>
        <w:rPr>
          <w:color w:val="211F1F"/>
          <w:spacing w:val="-2"/>
        </w:rPr>
        <w:t>be:</w:t>
      </w:r>
      <w:r>
        <w:rPr>
          <w:color w:val="211F1F"/>
          <w:spacing w:val="5"/>
        </w:rPr>
        <w:t xml:space="preserve"> </w:t>
      </w:r>
      <w:r>
        <w:rPr>
          <w:color w:val="211F1F"/>
          <w:spacing w:val="-10"/>
        </w:rPr>
        <w:t>-</w:t>
      </w:r>
    </w:p>
    <w:p w14:paraId="2159D254" w14:textId="77777777" w:rsidR="00BB77C0" w:rsidRDefault="00370BAA">
      <w:pPr>
        <w:pStyle w:val="ListParagraph"/>
        <w:numPr>
          <w:ilvl w:val="2"/>
          <w:numId w:val="40"/>
        </w:numPr>
        <w:tabs>
          <w:tab w:val="left" w:pos="2088"/>
        </w:tabs>
        <w:spacing w:before="83"/>
        <w:ind w:left="2088" w:hanging="499"/>
      </w:pPr>
      <w:r>
        <w:rPr>
          <w:color w:val="211F1F"/>
          <w:spacing w:val="-4"/>
        </w:rPr>
        <w:t>disqualified</w:t>
      </w:r>
      <w:r>
        <w:rPr>
          <w:color w:val="211F1F"/>
          <w:spacing w:val="-16"/>
        </w:rPr>
        <w:t xml:space="preserve"> </w:t>
      </w:r>
      <w:r>
        <w:rPr>
          <w:color w:val="211F1F"/>
          <w:spacing w:val="-4"/>
        </w:rPr>
        <w:t>from</w:t>
      </w:r>
      <w:r>
        <w:rPr>
          <w:color w:val="211F1F"/>
          <w:spacing w:val="-13"/>
        </w:rPr>
        <w:t xml:space="preserve"> </w:t>
      </w:r>
      <w:r>
        <w:rPr>
          <w:color w:val="211F1F"/>
          <w:spacing w:val="-4"/>
        </w:rPr>
        <w:t>entering</w:t>
      </w:r>
      <w:r>
        <w:rPr>
          <w:color w:val="211F1F"/>
          <w:spacing w:val="-13"/>
        </w:rPr>
        <w:t xml:space="preserve"> </w:t>
      </w:r>
      <w:r>
        <w:rPr>
          <w:color w:val="211F1F"/>
          <w:spacing w:val="-4"/>
        </w:rPr>
        <w:t>into</w:t>
      </w:r>
      <w:r>
        <w:rPr>
          <w:color w:val="211F1F"/>
          <w:spacing w:val="-13"/>
        </w:rPr>
        <w:t xml:space="preserve"> </w:t>
      </w:r>
      <w:r>
        <w:rPr>
          <w:color w:val="211F1F"/>
          <w:spacing w:val="-4"/>
        </w:rPr>
        <w:t>a contract</w:t>
      </w:r>
      <w:r>
        <w:rPr>
          <w:color w:val="211F1F"/>
          <w:spacing w:val="-6"/>
        </w:rPr>
        <w:t xml:space="preserve"> </w:t>
      </w:r>
      <w:r>
        <w:rPr>
          <w:color w:val="211F1F"/>
          <w:spacing w:val="-4"/>
        </w:rPr>
        <w:t>for a</w:t>
      </w:r>
      <w:r>
        <w:rPr>
          <w:color w:val="211F1F"/>
          <w:spacing w:val="-11"/>
        </w:rPr>
        <w:t xml:space="preserve"> </w:t>
      </w:r>
      <w:r>
        <w:rPr>
          <w:color w:val="211F1F"/>
          <w:spacing w:val="-4"/>
        </w:rPr>
        <w:t>procurement</w:t>
      </w:r>
      <w:r>
        <w:rPr>
          <w:color w:val="211F1F"/>
          <w:spacing w:val="1"/>
        </w:rPr>
        <w:t xml:space="preserve"> </w:t>
      </w:r>
      <w:r>
        <w:rPr>
          <w:color w:val="211F1F"/>
          <w:spacing w:val="-4"/>
        </w:rPr>
        <w:t>or asset</w:t>
      </w:r>
      <w:r>
        <w:rPr>
          <w:color w:val="211F1F"/>
          <w:spacing w:val="-1"/>
        </w:rPr>
        <w:t xml:space="preserve"> </w:t>
      </w:r>
      <w:r>
        <w:rPr>
          <w:color w:val="211F1F"/>
          <w:spacing w:val="-4"/>
        </w:rPr>
        <w:t>disposal</w:t>
      </w:r>
      <w:r>
        <w:rPr>
          <w:color w:val="211F1F"/>
          <w:spacing w:val="-13"/>
        </w:rPr>
        <w:t xml:space="preserve"> </w:t>
      </w:r>
      <w:r>
        <w:rPr>
          <w:color w:val="211F1F"/>
          <w:spacing w:val="-4"/>
        </w:rPr>
        <w:t>proceeding;</w:t>
      </w:r>
      <w:r>
        <w:rPr>
          <w:color w:val="211F1F"/>
          <w:spacing w:val="1"/>
        </w:rPr>
        <w:t xml:space="preserve"> </w:t>
      </w:r>
      <w:r>
        <w:rPr>
          <w:color w:val="211F1F"/>
          <w:spacing w:val="-5"/>
        </w:rPr>
        <w:t>or</w:t>
      </w:r>
    </w:p>
    <w:p w14:paraId="0DE6B689" w14:textId="77777777" w:rsidR="00BB77C0" w:rsidRDefault="00370BAA">
      <w:pPr>
        <w:pStyle w:val="ListParagraph"/>
        <w:numPr>
          <w:ilvl w:val="2"/>
          <w:numId w:val="40"/>
        </w:numPr>
        <w:tabs>
          <w:tab w:val="left" w:pos="2122"/>
        </w:tabs>
        <w:spacing w:before="78"/>
        <w:ind w:left="2122" w:hanging="533"/>
      </w:pPr>
      <w:r>
        <w:rPr>
          <w:color w:val="211F1F"/>
          <w:spacing w:val="-2"/>
        </w:rPr>
        <w:t>if</w:t>
      </w:r>
      <w:r>
        <w:rPr>
          <w:color w:val="211F1F"/>
          <w:spacing w:val="-19"/>
        </w:rPr>
        <w:t xml:space="preserve"> </w:t>
      </w:r>
      <w:r>
        <w:rPr>
          <w:color w:val="211F1F"/>
          <w:spacing w:val="-2"/>
        </w:rPr>
        <w:t>a</w:t>
      </w:r>
      <w:r>
        <w:rPr>
          <w:color w:val="211F1F"/>
          <w:spacing w:val="-14"/>
        </w:rPr>
        <w:t xml:space="preserve"> </w:t>
      </w:r>
      <w:r>
        <w:rPr>
          <w:color w:val="211F1F"/>
          <w:spacing w:val="-2"/>
        </w:rPr>
        <w:t>contract</w:t>
      </w:r>
      <w:r>
        <w:rPr>
          <w:color w:val="211F1F"/>
          <w:spacing w:val="-15"/>
        </w:rPr>
        <w:t xml:space="preserve"> </w:t>
      </w:r>
      <w:r>
        <w:rPr>
          <w:color w:val="211F1F"/>
          <w:spacing w:val="-2"/>
        </w:rPr>
        <w:t>has</w:t>
      </w:r>
      <w:r>
        <w:rPr>
          <w:color w:val="211F1F"/>
          <w:spacing w:val="-21"/>
        </w:rPr>
        <w:t xml:space="preserve"> </w:t>
      </w:r>
      <w:r>
        <w:rPr>
          <w:color w:val="211F1F"/>
          <w:spacing w:val="-2"/>
        </w:rPr>
        <w:t>already</w:t>
      </w:r>
      <w:r>
        <w:rPr>
          <w:color w:val="211F1F"/>
          <w:spacing w:val="-21"/>
        </w:rPr>
        <w:t xml:space="preserve"> </w:t>
      </w:r>
      <w:r>
        <w:rPr>
          <w:color w:val="211F1F"/>
          <w:spacing w:val="-2"/>
        </w:rPr>
        <w:t>been</w:t>
      </w:r>
      <w:r>
        <w:rPr>
          <w:color w:val="211F1F"/>
          <w:spacing w:val="-17"/>
        </w:rPr>
        <w:t xml:space="preserve"> </w:t>
      </w:r>
      <w:r>
        <w:rPr>
          <w:color w:val="211F1F"/>
          <w:spacing w:val="-2"/>
        </w:rPr>
        <w:t>entered</w:t>
      </w:r>
      <w:r>
        <w:rPr>
          <w:color w:val="211F1F"/>
          <w:spacing w:val="-21"/>
        </w:rPr>
        <w:t xml:space="preserve"> </w:t>
      </w:r>
      <w:r>
        <w:rPr>
          <w:color w:val="211F1F"/>
          <w:spacing w:val="-2"/>
        </w:rPr>
        <w:t>into</w:t>
      </w:r>
      <w:r>
        <w:rPr>
          <w:color w:val="211F1F"/>
          <w:spacing w:val="-21"/>
        </w:rPr>
        <w:t xml:space="preserve"> </w:t>
      </w:r>
      <w:r>
        <w:rPr>
          <w:color w:val="211F1F"/>
          <w:spacing w:val="-2"/>
        </w:rPr>
        <w:t>with</w:t>
      </w:r>
      <w:r>
        <w:rPr>
          <w:color w:val="211F1F"/>
          <w:spacing w:val="-22"/>
        </w:rPr>
        <w:t xml:space="preserve"> </w:t>
      </w:r>
      <w:r>
        <w:rPr>
          <w:color w:val="211F1F"/>
          <w:spacing w:val="-2"/>
        </w:rPr>
        <w:t>the</w:t>
      </w:r>
      <w:r>
        <w:rPr>
          <w:color w:val="211F1F"/>
          <w:spacing w:val="-23"/>
        </w:rPr>
        <w:t xml:space="preserve"> </w:t>
      </w:r>
      <w:r>
        <w:rPr>
          <w:color w:val="211F1F"/>
          <w:spacing w:val="-2"/>
        </w:rPr>
        <w:t>person,</w:t>
      </w:r>
      <w:r>
        <w:rPr>
          <w:color w:val="211F1F"/>
          <w:spacing w:val="-19"/>
        </w:rPr>
        <w:t xml:space="preserve"> </w:t>
      </w:r>
      <w:r>
        <w:rPr>
          <w:color w:val="211F1F"/>
          <w:spacing w:val="-2"/>
        </w:rPr>
        <w:t>the</w:t>
      </w:r>
      <w:r>
        <w:rPr>
          <w:color w:val="211F1F"/>
          <w:spacing w:val="-24"/>
        </w:rPr>
        <w:t xml:space="preserve"> </w:t>
      </w:r>
      <w:r>
        <w:rPr>
          <w:color w:val="211F1F"/>
          <w:spacing w:val="-2"/>
        </w:rPr>
        <w:t>contract</w:t>
      </w:r>
      <w:r>
        <w:rPr>
          <w:color w:val="211F1F"/>
          <w:spacing w:val="-20"/>
        </w:rPr>
        <w:t xml:space="preserve"> </w:t>
      </w:r>
      <w:r>
        <w:rPr>
          <w:color w:val="211F1F"/>
          <w:spacing w:val="-2"/>
        </w:rPr>
        <w:t>shall</w:t>
      </w:r>
      <w:r>
        <w:rPr>
          <w:color w:val="211F1F"/>
          <w:spacing w:val="-21"/>
        </w:rPr>
        <w:t xml:space="preserve"> </w:t>
      </w:r>
      <w:r>
        <w:rPr>
          <w:color w:val="211F1F"/>
          <w:spacing w:val="-2"/>
        </w:rPr>
        <w:t>be</w:t>
      </w:r>
      <w:r>
        <w:rPr>
          <w:color w:val="211F1F"/>
          <w:spacing w:val="-23"/>
        </w:rPr>
        <w:t xml:space="preserve"> </w:t>
      </w:r>
      <w:r>
        <w:rPr>
          <w:color w:val="211F1F"/>
          <w:spacing w:val="-2"/>
        </w:rPr>
        <w:t>voidable;</w:t>
      </w:r>
    </w:p>
    <w:p w14:paraId="66F56D53" w14:textId="77777777" w:rsidR="00BB77C0" w:rsidRDefault="00370BAA">
      <w:pPr>
        <w:pStyle w:val="ListParagraph"/>
        <w:numPr>
          <w:ilvl w:val="1"/>
          <w:numId w:val="40"/>
        </w:numPr>
        <w:tabs>
          <w:tab w:val="left" w:pos="1584"/>
        </w:tabs>
        <w:spacing w:before="75" w:line="232" w:lineRule="auto"/>
        <w:ind w:right="707"/>
      </w:pPr>
      <w:r>
        <w:rPr>
          <w:color w:val="211F1F"/>
        </w:rPr>
        <w:t>The</w:t>
      </w:r>
      <w:r>
        <w:rPr>
          <w:color w:val="211F1F"/>
          <w:spacing w:val="-3"/>
        </w:rPr>
        <w:t xml:space="preserve"> </w:t>
      </w:r>
      <w:r>
        <w:rPr>
          <w:color w:val="211F1F"/>
        </w:rPr>
        <w:t>voiding</w:t>
      </w:r>
      <w:r>
        <w:rPr>
          <w:color w:val="211F1F"/>
          <w:spacing w:val="-6"/>
        </w:rPr>
        <w:t xml:space="preserve"> </w:t>
      </w:r>
      <w:r>
        <w:rPr>
          <w:color w:val="211F1F"/>
        </w:rPr>
        <w:t>of</w:t>
      </w:r>
      <w:r>
        <w:rPr>
          <w:color w:val="211F1F"/>
          <w:spacing w:val="-3"/>
        </w:rPr>
        <w:t xml:space="preserve"> </w:t>
      </w:r>
      <w:r>
        <w:rPr>
          <w:color w:val="211F1F"/>
        </w:rPr>
        <w:t>a</w:t>
      </w:r>
      <w:r>
        <w:rPr>
          <w:color w:val="211F1F"/>
          <w:spacing w:val="-4"/>
        </w:rPr>
        <w:t xml:space="preserve"> </w:t>
      </w:r>
      <w:r>
        <w:rPr>
          <w:color w:val="211F1F"/>
        </w:rPr>
        <w:t>contract</w:t>
      </w:r>
      <w:r>
        <w:rPr>
          <w:color w:val="211F1F"/>
          <w:spacing w:val="-5"/>
        </w:rPr>
        <w:t xml:space="preserve"> </w:t>
      </w:r>
      <w:r>
        <w:rPr>
          <w:color w:val="211F1F"/>
        </w:rPr>
        <w:t>by</w:t>
      </w:r>
      <w:r>
        <w:rPr>
          <w:color w:val="211F1F"/>
          <w:spacing w:val="-7"/>
        </w:rPr>
        <w:t xml:space="preserve"> </w:t>
      </w:r>
      <w:r>
        <w:rPr>
          <w:color w:val="211F1F"/>
        </w:rPr>
        <w:t>the</w:t>
      </w:r>
      <w:r>
        <w:rPr>
          <w:color w:val="211F1F"/>
          <w:spacing w:val="-8"/>
        </w:rPr>
        <w:t xml:space="preserve"> </w:t>
      </w:r>
      <w:r>
        <w:rPr>
          <w:color w:val="211F1F"/>
        </w:rPr>
        <w:t>procuring</w:t>
      </w:r>
      <w:r>
        <w:rPr>
          <w:color w:val="211F1F"/>
          <w:spacing w:val="-6"/>
        </w:rPr>
        <w:t xml:space="preserve"> </w:t>
      </w:r>
      <w:r>
        <w:rPr>
          <w:color w:val="211F1F"/>
        </w:rPr>
        <w:t>entity</w:t>
      </w:r>
      <w:r>
        <w:rPr>
          <w:color w:val="211F1F"/>
          <w:spacing w:val="-6"/>
        </w:rPr>
        <w:t xml:space="preserve"> </w:t>
      </w:r>
      <w:r>
        <w:rPr>
          <w:color w:val="211F1F"/>
        </w:rPr>
        <w:t>under</w:t>
      </w:r>
      <w:r>
        <w:rPr>
          <w:color w:val="211F1F"/>
          <w:spacing w:val="-3"/>
        </w:rPr>
        <w:t xml:space="preserve"> </w:t>
      </w:r>
      <w:r>
        <w:rPr>
          <w:color w:val="211F1F"/>
        </w:rPr>
        <w:t>subsection</w:t>
      </w:r>
      <w:r>
        <w:rPr>
          <w:color w:val="211F1F"/>
          <w:spacing w:val="-5"/>
        </w:rPr>
        <w:t xml:space="preserve"> </w:t>
      </w:r>
      <w:r>
        <w:rPr>
          <w:color w:val="211F1F"/>
        </w:rPr>
        <w:t>(7)</w:t>
      </w:r>
      <w:r>
        <w:rPr>
          <w:color w:val="211F1F"/>
          <w:spacing w:val="-3"/>
        </w:rPr>
        <w:t xml:space="preserve"> </w:t>
      </w:r>
      <w:r>
        <w:rPr>
          <w:color w:val="211F1F"/>
        </w:rPr>
        <w:t>does</w:t>
      </w:r>
      <w:r>
        <w:rPr>
          <w:color w:val="211F1F"/>
          <w:spacing w:val="-1"/>
        </w:rPr>
        <w:t xml:space="preserve"> </w:t>
      </w:r>
      <w:r>
        <w:rPr>
          <w:color w:val="211F1F"/>
        </w:rPr>
        <w:t>not</w:t>
      </w:r>
      <w:r>
        <w:rPr>
          <w:color w:val="211F1F"/>
          <w:spacing w:val="-1"/>
        </w:rPr>
        <w:t xml:space="preserve"> </w:t>
      </w:r>
      <w:r>
        <w:rPr>
          <w:color w:val="211F1F"/>
        </w:rPr>
        <w:t>limit any</w:t>
      </w:r>
      <w:r>
        <w:rPr>
          <w:color w:val="211F1F"/>
          <w:spacing w:val="-7"/>
        </w:rPr>
        <w:t xml:space="preserve"> </w:t>
      </w:r>
      <w:r>
        <w:rPr>
          <w:color w:val="211F1F"/>
        </w:rPr>
        <w:t>legal</w:t>
      </w:r>
      <w:r>
        <w:rPr>
          <w:color w:val="211F1F"/>
          <w:spacing w:val="-5"/>
        </w:rPr>
        <w:t xml:space="preserve"> </w:t>
      </w:r>
      <w:r>
        <w:rPr>
          <w:color w:val="211F1F"/>
        </w:rPr>
        <w:t>remedy</w:t>
      </w:r>
      <w:r>
        <w:rPr>
          <w:color w:val="211F1F"/>
          <w:spacing w:val="-7"/>
        </w:rPr>
        <w:t xml:space="preserve"> </w:t>
      </w:r>
      <w:r>
        <w:rPr>
          <w:color w:val="211F1F"/>
        </w:rPr>
        <w:t>the procuring entity may have;</w:t>
      </w:r>
    </w:p>
    <w:p w14:paraId="706FF4E6" w14:textId="77777777" w:rsidR="00BB77C0" w:rsidRDefault="00370BAA">
      <w:pPr>
        <w:pStyle w:val="ListParagraph"/>
        <w:numPr>
          <w:ilvl w:val="1"/>
          <w:numId w:val="40"/>
        </w:numPr>
        <w:tabs>
          <w:tab w:val="left" w:pos="1584"/>
        </w:tabs>
        <w:spacing w:before="72" w:line="237" w:lineRule="auto"/>
        <w:ind w:right="786"/>
      </w:pPr>
      <w:r>
        <w:rPr>
          <w:color w:val="211F1F"/>
        </w:rPr>
        <w:t>An employee or agent of the procuring entity or a member of the Board or committee of the procuring entity</w:t>
      </w:r>
      <w:r>
        <w:rPr>
          <w:color w:val="211F1F"/>
          <w:spacing w:val="-19"/>
        </w:rPr>
        <w:t xml:space="preserve"> </w:t>
      </w:r>
      <w:r>
        <w:rPr>
          <w:color w:val="211F1F"/>
        </w:rPr>
        <w:t>who</w:t>
      </w:r>
      <w:r>
        <w:rPr>
          <w:color w:val="211F1F"/>
          <w:spacing w:val="-20"/>
        </w:rPr>
        <w:t xml:space="preserve"> </w:t>
      </w:r>
      <w:r>
        <w:rPr>
          <w:color w:val="211F1F"/>
        </w:rPr>
        <w:t>has</w:t>
      </w:r>
      <w:r>
        <w:rPr>
          <w:color w:val="211F1F"/>
          <w:spacing w:val="-19"/>
        </w:rPr>
        <w:t xml:space="preserve"> </w:t>
      </w:r>
      <w:r>
        <w:rPr>
          <w:color w:val="211F1F"/>
        </w:rPr>
        <w:t>a</w:t>
      </w:r>
      <w:r>
        <w:rPr>
          <w:color w:val="211F1F"/>
          <w:spacing w:val="-11"/>
        </w:rPr>
        <w:t xml:space="preserve"> </w:t>
      </w:r>
      <w:r>
        <w:rPr>
          <w:color w:val="211F1F"/>
        </w:rPr>
        <w:t>conflict</w:t>
      </w:r>
      <w:r>
        <w:rPr>
          <w:color w:val="211F1F"/>
          <w:spacing w:val="-13"/>
        </w:rPr>
        <w:t xml:space="preserve"> </w:t>
      </w:r>
      <w:r>
        <w:rPr>
          <w:color w:val="211F1F"/>
        </w:rPr>
        <w:t>of</w:t>
      </w:r>
      <w:r>
        <w:rPr>
          <w:color w:val="211F1F"/>
          <w:spacing w:val="-10"/>
        </w:rPr>
        <w:t xml:space="preserve"> </w:t>
      </w:r>
      <w:r>
        <w:rPr>
          <w:color w:val="211F1F"/>
        </w:rPr>
        <w:t>interest</w:t>
      </w:r>
      <w:r>
        <w:rPr>
          <w:color w:val="211F1F"/>
          <w:spacing w:val="-13"/>
        </w:rPr>
        <w:t xml:space="preserve"> </w:t>
      </w:r>
      <w:r>
        <w:rPr>
          <w:color w:val="211F1F"/>
        </w:rPr>
        <w:t>with</w:t>
      </w:r>
      <w:r>
        <w:rPr>
          <w:color w:val="211F1F"/>
          <w:spacing w:val="-20"/>
        </w:rPr>
        <w:t xml:space="preserve"> </w:t>
      </w:r>
      <w:r>
        <w:rPr>
          <w:color w:val="211F1F"/>
        </w:rPr>
        <w:t>respect</w:t>
      </w:r>
      <w:r>
        <w:rPr>
          <w:color w:val="211F1F"/>
          <w:spacing w:val="-18"/>
        </w:rPr>
        <w:t xml:space="preserve"> </w:t>
      </w:r>
      <w:r>
        <w:rPr>
          <w:color w:val="211F1F"/>
        </w:rPr>
        <w:t>to</w:t>
      </w:r>
      <w:r>
        <w:rPr>
          <w:color w:val="211F1F"/>
          <w:spacing w:val="-25"/>
        </w:rPr>
        <w:t xml:space="preserve"> </w:t>
      </w:r>
      <w:r>
        <w:rPr>
          <w:color w:val="211F1F"/>
        </w:rPr>
        <w:t>a</w:t>
      </w:r>
      <w:r>
        <w:rPr>
          <w:color w:val="211F1F"/>
          <w:spacing w:val="-16"/>
        </w:rPr>
        <w:t xml:space="preserve"> </w:t>
      </w:r>
      <w:r>
        <w:rPr>
          <w:color w:val="211F1F"/>
        </w:rPr>
        <w:t>procurement:</w:t>
      </w:r>
      <w:r>
        <w:rPr>
          <w:color w:val="211F1F"/>
          <w:spacing w:val="14"/>
        </w:rPr>
        <w:t xml:space="preserve"> </w:t>
      </w:r>
      <w:r>
        <w:rPr>
          <w:color w:val="211F1F"/>
        </w:rPr>
        <w:t>-</w:t>
      </w:r>
    </w:p>
    <w:p w14:paraId="1212FD0A" w14:textId="77777777" w:rsidR="00BB77C0" w:rsidRDefault="00370BAA">
      <w:pPr>
        <w:pStyle w:val="ListParagraph"/>
        <w:numPr>
          <w:ilvl w:val="2"/>
          <w:numId w:val="40"/>
        </w:numPr>
        <w:tabs>
          <w:tab w:val="left" w:pos="2036"/>
        </w:tabs>
        <w:spacing w:before="73"/>
        <w:ind w:left="2036" w:hanging="447"/>
      </w:pPr>
      <w:r>
        <w:rPr>
          <w:color w:val="211F1F"/>
          <w:spacing w:val="-4"/>
        </w:rPr>
        <w:t>shall</w:t>
      </w:r>
      <w:r>
        <w:rPr>
          <w:color w:val="211F1F"/>
          <w:spacing w:val="-8"/>
        </w:rPr>
        <w:t xml:space="preserve"> </w:t>
      </w:r>
      <w:r>
        <w:rPr>
          <w:color w:val="211F1F"/>
          <w:spacing w:val="-4"/>
        </w:rPr>
        <w:t>not</w:t>
      </w:r>
      <w:r>
        <w:rPr>
          <w:color w:val="211F1F"/>
          <w:spacing w:val="-12"/>
        </w:rPr>
        <w:t xml:space="preserve"> </w:t>
      </w:r>
      <w:r>
        <w:rPr>
          <w:color w:val="211F1F"/>
          <w:spacing w:val="-4"/>
        </w:rPr>
        <w:t>take</w:t>
      </w:r>
      <w:r>
        <w:rPr>
          <w:color w:val="211F1F"/>
          <w:spacing w:val="-17"/>
        </w:rPr>
        <w:t xml:space="preserve"> </w:t>
      </w:r>
      <w:r>
        <w:rPr>
          <w:color w:val="211F1F"/>
          <w:spacing w:val="-4"/>
        </w:rPr>
        <w:t>part</w:t>
      </w:r>
      <w:r>
        <w:rPr>
          <w:color w:val="211F1F"/>
          <w:spacing w:val="-14"/>
        </w:rPr>
        <w:t xml:space="preserve"> </w:t>
      </w:r>
      <w:r>
        <w:rPr>
          <w:color w:val="211F1F"/>
          <w:spacing w:val="-4"/>
        </w:rPr>
        <w:t>in</w:t>
      </w:r>
      <w:r>
        <w:rPr>
          <w:color w:val="211F1F"/>
          <w:spacing w:val="-9"/>
        </w:rPr>
        <w:t xml:space="preserve"> </w:t>
      </w:r>
      <w:r>
        <w:rPr>
          <w:color w:val="211F1F"/>
          <w:spacing w:val="-4"/>
        </w:rPr>
        <w:t>the</w:t>
      </w:r>
      <w:r>
        <w:rPr>
          <w:color w:val="211F1F"/>
          <w:spacing w:val="-9"/>
        </w:rPr>
        <w:t xml:space="preserve"> </w:t>
      </w:r>
      <w:r>
        <w:rPr>
          <w:color w:val="211F1F"/>
          <w:spacing w:val="-4"/>
        </w:rPr>
        <w:t>procurement</w:t>
      </w:r>
      <w:r>
        <w:rPr>
          <w:color w:val="211F1F"/>
        </w:rPr>
        <w:t xml:space="preserve"> </w:t>
      </w:r>
      <w:r>
        <w:rPr>
          <w:color w:val="211F1F"/>
          <w:spacing w:val="-4"/>
        </w:rPr>
        <w:t>proceedings;</w:t>
      </w:r>
    </w:p>
    <w:p w14:paraId="7D82283E" w14:textId="77777777" w:rsidR="00BB77C0" w:rsidRDefault="00370BAA">
      <w:pPr>
        <w:pStyle w:val="ListParagraph"/>
        <w:numPr>
          <w:ilvl w:val="2"/>
          <w:numId w:val="40"/>
        </w:numPr>
        <w:tabs>
          <w:tab w:val="left" w:pos="2036"/>
          <w:tab w:val="left" w:pos="2041"/>
        </w:tabs>
        <w:spacing w:before="75" w:line="232" w:lineRule="auto"/>
        <w:ind w:left="2041" w:right="865" w:hanging="452"/>
      </w:pPr>
      <w:r>
        <w:rPr>
          <w:color w:val="211F1F"/>
        </w:rPr>
        <w:t>shall</w:t>
      </w:r>
      <w:r>
        <w:rPr>
          <w:color w:val="211F1F"/>
          <w:spacing w:val="-14"/>
        </w:rPr>
        <w:t xml:space="preserve"> </w:t>
      </w:r>
      <w:r>
        <w:rPr>
          <w:color w:val="211F1F"/>
        </w:rPr>
        <w:t>not,</w:t>
      </w:r>
      <w:r>
        <w:rPr>
          <w:color w:val="211F1F"/>
          <w:spacing w:val="-9"/>
        </w:rPr>
        <w:t xml:space="preserve"> </w:t>
      </w:r>
      <w:r>
        <w:rPr>
          <w:color w:val="211F1F"/>
        </w:rPr>
        <w:t>after</w:t>
      </w:r>
      <w:r>
        <w:rPr>
          <w:color w:val="211F1F"/>
          <w:spacing w:val="-13"/>
        </w:rPr>
        <w:t xml:space="preserve"> </w:t>
      </w:r>
      <w:r>
        <w:rPr>
          <w:color w:val="211F1F"/>
        </w:rPr>
        <w:t>a</w:t>
      </w:r>
      <w:r>
        <w:rPr>
          <w:color w:val="211F1F"/>
          <w:spacing w:val="-9"/>
        </w:rPr>
        <w:t xml:space="preserve"> </w:t>
      </w:r>
      <w:r>
        <w:rPr>
          <w:color w:val="211F1F"/>
        </w:rPr>
        <w:t>procurement</w:t>
      </w:r>
      <w:r>
        <w:rPr>
          <w:color w:val="211F1F"/>
          <w:spacing w:val="-5"/>
        </w:rPr>
        <w:t xml:space="preserve"> </w:t>
      </w:r>
      <w:r>
        <w:rPr>
          <w:color w:val="211F1F"/>
        </w:rPr>
        <w:t>contract</w:t>
      </w:r>
      <w:r>
        <w:rPr>
          <w:color w:val="211F1F"/>
          <w:spacing w:val="-10"/>
        </w:rPr>
        <w:t xml:space="preserve"> </w:t>
      </w:r>
      <w:r>
        <w:rPr>
          <w:color w:val="211F1F"/>
        </w:rPr>
        <w:t>has</w:t>
      </w:r>
      <w:r>
        <w:rPr>
          <w:color w:val="211F1F"/>
          <w:spacing w:val="-11"/>
        </w:rPr>
        <w:t xml:space="preserve"> </w:t>
      </w:r>
      <w:r>
        <w:rPr>
          <w:color w:val="211F1F"/>
        </w:rPr>
        <w:t>been</w:t>
      </w:r>
      <w:r>
        <w:rPr>
          <w:color w:val="211F1F"/>
          <w:spacing w:val="-14"/>
        </w:rPr>
        <w:t xml:space="preserve"> </w:t>
      </w:r>
      <w:r>
        <w:rPr>
          <w:color w:val="211F1F"/>
        </w:rPr>
        <w:t>entered</w:t>
      </w:r>
      <w:r>
        <w:rPr>
          <w:color w:val="211F1F"/>
          <w:spacing w:val="-14"/>
        </w:rPr>
        <w:t xml:space="preserve"> </w:t>
      </w:r>
      <w:r>
        <w:rPr>
          <w:color w:val="211F1F"/>
        </w:rPr>
        <w:t>into,</w:t>
      </w:r>
      <w:r>
        <w:rPr>
          <w:color w:val="211F1F"/>
          <w:spacing w:val="-8"/>
        </w:rPr>
        <w:t xml:space="preserve"> </w:t>
      </w:r>
      <w:r>
        <w:rPr>
          <w:color w:val="211F1F"/>
        </w:rPr>
        <w:t>take</w:t>
      </w:r>
      <w:r>
        <w:rPr>
          <w:color w:val="211F1F"/>
          <w:spacing w:val="-14"/>
        </w:rPr>
        <w:t xml:space="preserve"> </w:t>
      </w:r>
      <w:r>
        <w:rPr>
          <w:color w:val="211F1F"/>
        </w:rPr>
        <w:t>part</w:t>
      </w:r>
      <w:r>
        <w:rPr>
          <w:color w:val="211F1F"/>
          <w:spacing w:val="-14"/>
        </w:rPr>
        <w:t xml:space="preserve"> </w:t>
      </w:r>
      <w:r>
        <w:rPr>
          <w:color w:val="211F1F"/>
        </w:rPr>
        <w:t>in</w:t>
      </w:r>
      <w:r>
        <w:rPr>
          <w:color w:val="211F1F"/>
          <w:spacing w:val="-14"/>
        </w:rPr>
        <w:t xml:space="preserve"> </w:t>
      </w:r>
      <w:r>
        <w:rPr>
          <w:color w:val="211F1F"/>
        </w:rPr>
        <w:t>any</w:t>
      </w:r>
      <w:r>
        <w:rPr>
          <w:color w:val="211F1F"/>
          <w:spacing w:val="-10"/>
        </w:rPr>
        <w:t xml:space="preserve"> </w:t>
      </w:r>
      <w:r>
        <w:rPr>
          <w:color w:val="211F1F"/>
        </w:rPr>
        <w:t>decision</w:t>
      </w:r>
      <w:r>
        <w:rPr>
          <w:color w:val="211F1F"/>
          <w:spacing w:val="-11"/>
        </w:rPr>
        <w:t xml:space="preserve"> </w:t>
      </w:r>
      <w:r>
        <w:rPr>
          <w:color w:val="211F1F"/>
        </w:rPr>
        <w:t>relating</w:t>
      </w:r>
      <w:r>
        <w:rPr>
          <w:color w:val="211F1F"/>
          <w:spacing w:val="-10"/>
        </w:rPr>
        <w:t xml:space="preserve"> </w:t>
      </w:r>
      <w:r>
        <w:rPr>
          <w:color w:val="211F1F"/>
        </w:rPr>
        <w:t>to</w:t>
      </w:r>
      <w:r>
        <w:rPr>
          <w:color w:val="211F1F"/>
          <w:spacing w:val="-11"/>
        </w:rPr>
        <w:t xml:space="preserve"> </w:t>
      </w:r>
      <w:r>
        <w:rPr>
          <w:color w:val="211F1F"/>
        </w:rPr>
        <w:t>the procurement or contract; and</w:t>
      </w:r>
    </w:p>
    <w:p w14:paraId="054EDAE6" w14:textId="77777777" w:rsidR="00BB77C0" w:rsidRDefault="00370BAA">
      <w:pPr>
        <w:pStyle w:val="ListParagraph"/>
        <w:numPr>
          <w:ilvl w:val="2"/>
          <w:numId w:val="40"/>
        </w:numPr>
        <w:tabs>
          <w:tab w:val="left" w:pos="1581"/>
          <w:tab w:val="left" w:pos="1584"/>
        </w:tabs>
        <w:spacing w:before="73" w:line="230" w:lineRule="auto"/>
        <w:ind w:left="1584" w:right="707" w:hanging="534"/>
        <w:jc w:val="both"/>
      </w:pPr>
      <w:r>
        <w:rPr>
          <w:color w:val="211F1F"/>
        </w:rPr>
        <w:t xml:space="preserve">shall not be a subcontractor for the bidder to whom was awarded contract, or a member of the group of </w:t>
      </w:r>
      <w:r>
        <w:rPr>
          <w:color w:val="211F1F"/>
          <w:spacing w:val="-2"/>
        </w:rPr>
        <w:t>bidders</w:t>
      </w:r>
      <w:r>
        <w:rPr>
          <w:color w:val="211F1F"/>
          <w:spacing w:val="-12"/>
        </w:rPr>
        <w:t xml:space="preserve"> </w:t>
      </w:r>
      <w:r>
        <w:rPr>
          <w:color w:val="211F1F"/>
          <w:spacing w:val="-2"/>
        </w:rPr>
        <w:t>to</w:t>
      </w:r>
      <w:r>
        <w:rPr>
          <w:color w:val="211F1F"/>
          <w:spacing w:val="-12"/>
        </w:rPr>
        <w:t xml:space="preserve"> </w:t>
      </w:r>
      <w:r>
        <w:rPr>
          <w:color w:val="211F1F"/>
          <w:spacing w:val="-2"/>
        </w:rPr>
        <w:t>whom</w:t>
      </w:r>
      <w:r>
        <w:rPr>
          <w:color w:val="211F1F"/>
          <w:spacing w:val="-12"/>
        </w:rPr>
        <w:t xml:space="preserve"> </w:t>
      </w:r>
      <w:r>
        <w:rPr>
          <w:color w:val="211F1F"/>
          <w:spacing w:val="-2"/>
        </w:rPr>
        <w:t>thecontract</w:t>
      </w:r>
      <w:r>
        <w:rPr>
          <w:color w:val="211F1F"/>
          <w:spacing w:val="-11"/>
        </w:rPr>
        <w:t xml:space="preserve"> </w:t>
      </w:r>
      <w:r>
        <w:rPr>
          <w:color w:val="211F1F"/>
          <w:spacing w:val="-2"/>
        </w:rPr>
        <w:t>was</w:t>
      </w:r>
      <w:r>
        <w:rPr>
          <w:color w:val="211F1F"/>
          <w:spacing w:val="-12"/>
        </w:rPr>
        <w:t xml:space="preserve"> </w:t>
      </w:r>
      <w:r>
        <w:rPr>
          <w:color w:val="211F1F"/>
          <w:spacing w:val="-2"/>
        </w:rPr>
        <w:t>awarded,</w:t>
      </w:r>
      <w:r>
        <w:rPr>
          <w:color w:val="211F1F"/>
          <w:spacing w:val="-12"/>
        </w:rPr>
        <w:t xml:space="preserve"> </w:t>
      </w:r>
      <w:r>
        <w:rPr>
          <w:color w:val="211F1F"/>
          <w:spacing w:val="-2"/>
        </w:rPr>
        <w:t>but</w:t>
      </w:r>
      <w:r>
        <w:rPr>
          <w:color w:val="211F1F"/>
          <w:spacing w:val="-12"/>
        </w:rPr>
        <w:t xml:space="preserve"> </w:t>
      </w:r>
      <w:r>
        <w:rPr>
          <w:color w:val="211F1F"/>
          <w:spacing w:val="-2"/>
        </w:rPr>
        <w:t>the</w:t>
      </w:r>
      <w:r>
        <w:rPr>
          <w:color w:val="211F1F"/>
          <w:spacing w:val="-11"/>
        </w:rPr>
        <w:t xml:space="preserve"> </w:t>
      </w:r>
      <w:r>
        <w:rPr>
          <w:color w:val="211F1F"/>
          <w:spacing w:val="-2"/>
        </w:rPr>
        <w:t>subcontractor</w:t>
      </w:r>
      <w:r>
        <w:rPr>
          <w:color w:val="211F1F"/>
          <w:spacing w:val="-12"/>
        </w:rPr>
        <w:t xml:space="preserve"> </w:t>
      </w:r>
      <w:r>
        <w:rPr>
          <w:color w:val="211F1F"/>
          <w:spacing w:val="-2"/>
        </w:rPr>
        <w:t>appointed</w:t>
      </w:r>
      <w:r>
        <w:rPr>
          <w:color w:val="211F1F"/>
          <w:spacing w:val="-12"/>
        </w:rPr>
        <w:t xml:space="preserve"> </w:t>
      </w:r>
      <w:r>
        <w:rPr>
          <w:color w:val="211F1F"/>
          <w:spacing w:val="-2"/>
        </w:rPr>
        <w:t>shall</w:t>
      </w:r>
      <w:r>
        <w:rPr>
          <w:color w:val="211F1F"/>
          <w:spacing w:val="-12"/>
        </w:rPr>
        <w:t xml:space="preserve"> </w:t>
      </w:r>
      <w:r>
        <w:rPr>
          <w:color w:val="211F1F"/>
          <w:spacing w:val="-2"/>
        </w:rPr>
        <w:t>meet</w:t>
      </w:r>
      <w:r>
        <w:rPr>
          <w:color w:val="211F1F"/>
          <w:spacing w:val="-11"/>
        </w:rPr>
        <w:t xml:space="preserve"> </w:t>
      </w:r>
      <w:r>
        <w:rPr>
          <w:color w:val="211F1F"/>
          <w:spacing w:val="-2"/>
        </w:rPr>
        <w:t>all</w:t>
      </w:r>
      <w:r>
        <w:rPr>
          <w:color w:val="211F1F"/>
          <w:spacing w:val="-12"/>
        </w:rPr>
        <w:t xml:space="preserve"> </w:t>
      </w:r>
      <w:r>
        <w:rPr>
          <w:color w:val="211F1F"/>
          <w:spacing w:val="-2"/>
        </w:rPr>
        <w:t>the</w:t>
      </w:r>
      <w:r>
        <w:rPr>
          <w:color w:val="211F1F"/>
          <w:spacing w:val="-12"/>
        </w:rPr>
        <w:t xml:space="preserve"> </w:t>
      </w:r>
      <w:r>
        <w:rPr>
          <w:color w:val="211F1F"/>
          <w:spacing w:val="-2"/>
        </w:rPr>
        <w:t>requirements</w:t>
      </w:r>
      <w:r>
        <w:rPr>
          <w:color w:val="211F1F"/>
          <w:spacing w:val="-12"/>
        </w:rPr>
        <w:t xml:space="preserve"> </w:t>
      </w:r>
      <w:r>
        <w:rPr>
          <w:color w:val="211F1F"/>
          <w:spacing w:val="-2"/>
        </w:rPr>
        <w:t xml:space="preserve">of </w:t>
      </w:r>
      <w:r>
        <w:rPr>
          <w:color w:val="211F1F"/>
        </w:rPr>
        <w:t>this</w:t>
      </w:r>
      <w:r>
        <w:rPr>
          <w:color w:val="211F1F"/>
          <w:spacing w:val="-31"/>
        </w:rPr>
        <w:t xml:space="preserve"> </w:t>
      </w:r>
      <w:r>
        <w:rPr>
          <w:color w:val="211F1F"/>
        </w:rPr>
        <w:t>Act.</w:t>
      </w:r>
    </w:p>
    <w:p w14:paraId="3D304D25" w14:textId="77777777" w:rsidR="00BB77C0" w:rsidRDefault="00370BAA">
      <w:pPr>
        <w:pStyle w:val="ListParagraph"/>
        <w:numPr>
          <w:ilvl w:val="1"/>
          <w:numId w:val="40"/>
        </w:numPr>
        <w:tabs>
          <w:tab w:val="left" w:pos="1582"/>
          <w:tab w:val="left" w:pos="1584"/>
        </w:tabs>
        <w:spacing w:before="78" w:line="230" w:lineRule="auto"/>
        <w:ind w:right="711"/>
        <w:jc w:val="both"/>
      </w:pPr>
      <w:r>
        <w:rPr>
          <w:color w:val="211F1F"/>
        </w:rPr>
        <w:t>An employee, agent or member described</w:t>
      </w:r>
      <w:r>
        <w:rPr>
          <w:color w:val="211F1F"/>
          <w:spacing w:val="-1"/>
        </w:rPr>
        <w:t xml:space="preserve"> </w:t>
      </w:r>
      <w:r>
        <w:rPr>
          <w:color w:val="211F1F"/>
        </w:rPr>
        <w:t>in</w:t>
      </w:r>
      <w:r>
        <w:rPr>
          <w:color w:val="211F1F"/>
          <w:spacing w:val="-1"/>
        </w:rPr>
        <w:t xml:space="preserve"> </w:t>
      </w:r>
      <w:r>
        <w:rPr>
          <w:color w:val="211F1F"/>
        </w:rPr>
        <w:t>subsection</w:t>
      </w:r>
      <w:r>
        <w:rPr>
          <w:color w:val="211F1F"/>
          <w:spacing w:val="-1"/>
        </w:rPr>
        <w:t xml:space="preserve"> </w:t>
      </w:r>
      <w:r>
        <w:rPr>
          <w:color w:val="211F1F"/>
        </w:rPr>
        <w:t>(1) who</w:t>
      </w:r>
      <w:r>
        <w:rPr>
          <w:color w:val="211F1F"/>
          <w:spacing w:val="-1"/>
        </w:rPr>
        <w:t xml:space="preserve"> </w:t>
      </w:r>
      <w:r>
        <w:rPr>
          <w:color w:val="211F1F"/>
        </w:rPr>
        <w:t>refrains from doing</w:t>
      </w:r>
      <w:r>
        <w:rPr>
          <w:color w:val="211F1F"/>
          <w:spacing w:val="-1"/>
        </w:rPr>
        <w:t xml:space="preserve"> </w:t>
      </w:r>
      <w:r>
        <w:rPr>
          <w:color w:val="211F1F"/>
        </w:rPr>
        <w:t>anything</w:t>
      </w:r>
      <w:r>
        <w:rPr>
          <w:color w:val="211F1F"/>
          <w:spacing w:val="-1"/>
        </w:rPr>
        <w:t xml:space="preserve"> </w:t>
      </w:r>
      <w:r>
        <w:rPr>
          <w:color w:val="211F1F"/>
        </w:rPr>
        <w:t>prohibited under that subsection, but for that</w:t>
      </w:r>
      <w:r>
        <w:rPr>
          <w:color w:val="211F1F"/>
          <w:spacing w:val="-1"/>
        </w:rPr>
        <w:t xml:space="preserve"> </w:t>
      </w:r>
      <w:r>
        <w:rPr>
          <w:color w:val="211F1F"/>
        </w:rPr>
        <w:t>subsection, would</w:t>
      </w:r>
      <w:r>
        <w:rPr>
          <w:color w:val="211F1F"/>
          <w:spacing w:val="-2"/>
        </w:rPr>
        <w:t xml:space="preserve"> </w:t>
      </w:r>
      <w:r>
        <w:rPr>
          <w:color w:val="211F1F"/>
        </w:rPr>
        <w:t>have</w:t>
      </w:r>
      <w:r>
        <w:rPr>
          <w:color w:val="211F1F"/>
          <w:spacing w:val="-4"/>
        </w:rPr>
        <w:t xml:space="preserve"> </w:t>
      </w:r>
      <w:r>
        <w:rPr>
          <w:color w:val="211F1F"/>
        </w:rPr>
        <w:t>been within</w:t>
      </w:r>
      <w:r>
        <w:rPr>
          <w:color w:val="211F1F"/>
          <w:spacing w:val="-2"/>
        </w:rPr>
        <w:t xml:space="preserve"> </w:t>
      </w:r>
      <w:r>
        <w:rPr>
          <w:color w:val="211F1F"/>
        </w:rPr>
        <w:t>his or her duties shall</w:t>
      </w:r>
      <w:r>
        <w:rPr>
          <w:color w:val="211F1F"/>
          <w:spacing w:val="-1"/>
        </w:rPr>
        <w:t xml:space="preserve"> </w:t>
      </w:r>
      <w:r>
        <w:rPr>
          <w:color w:val="211F1F"/>
        </w:rPr>
        <w:t>disclose</w:t>
      </w:r>
      <w:r>
        <w:rPr>
          <w:color w:val="211F1F"/>
          <w:spacing w:val="-4"/>
        </w:rPr>
        <w:t xml:space="preserve"> </w:t>
      </w:r>
      <w:r>
        <w:rPr>
          <w:color w:val="211F1F"/>
        </w:rPr>
        <w:t>the conflict of interest to the procuring entity;</w:t>
      </w:r>
    </w:p>
    <w:p w14:paraId="010C6900" w14:textId="77777777" w:rsidR="00BB77C0" w:rsidRDefault="00370BAA">
      <w:pPr>
        <w:pStyle w:val="ListParagraph"/>
        <w:numPr>
          <w:ilvl w:val="1"/>
          <w:numId w:val="40"/>
        </w:numPr>
        <w:tabs>
          <w:tab w:val="left" w:pos="1577"/>
          <w:tab w:val="left" w:pos="1584"/>
        </w:tabs>
        <w:spacing w:before="78" w:line="230" w:lineRule="auto"/>
        <w:ind w:right="710"/>
        <w:jc w:val="both"/>
      </w:pPr>
      <w:r>
        <w:rPr>
          <w:color w:val="211F1F"/>
        </w:rPr>
        <w:t>If a person contravenes subsection (1) with respect to a conflict of interest described in subsection (5)(a) and the contract is awarded to the</w:t>
      </w:r>
      <w:r>
        <w:rPr>
          <w:color w:val="211F1F"/>
          <w:spacing w:val="-1"/>
        </w:rPr>
        <w:t xml:space="preserve"> </w:t>
      </w:r>
      <w:r>
        <w:rPr>
          <w:color w:val="211F1F"/>
        </w:rPr>
        <w:t>person or his relative or to another person in whom one of them had a direct or indirect pecuniary interest, the contract shall be terminated and all costs incurred by the public entity shall be made good by</w:t>
      </w:r>
      <w:r>
        <w:rPr>
          <w:color w:val="211F1F"/>
          <w:spacing w:val="-2"/>
        </w:rPr>
        <w:t xml:space="preserve"> </w:t>
      </w:r>
      <w:r>
        <w:rPr>
          <w:color w:val="211F1F"/>
        </w:rPr>
        <w:t>the awarding officer. Etc.</w:t>
      </w:r>
    </w:p>
    <w:p w14:paraId="5424CF55" w14:textId="77777777" w:rsidR="00BB77C0" w:rsidRDefault="00370BAA">
      <w:pPr>
        <w:pStyle w:val="BodyText"/>
        <w:spacing w:before="240"/>
        <w:ind w:left="720"/>
        <w:jc w:val="both"/>
      </w:pPr>
      <w:r>
        <w:rPr>
          <w:color w:val="211F1F"/>
          <w:spacing w:val="-4"/>
        </w:rPr>
        <w:t>In</w:t>
      </w:r>
      <w:r>
        <w:rPr>
          <w:color w:val="211F1F"/>
          <w:spacing w:val="-9"/>
        </w:rPr>
        <w:t xml:space="preserve"> </w:t>
      </w:r>
      <w:r>
        <w:rPr>
          <w:color w:val="211F1F"/>
          <w:spacing w:val="-4"/>
        </w:rPr>
        <w:t>compliance with</w:t>
      </w:r>
      <w:r>
        <w:rPr>
          <w:color w:val="211F1F"/>
          <w:spacing w:val="-8"/>
        </w:rPr>
        <w:t xml:space="preserve"> </w:t>
      </w:r>
      <w:r>
        <w:rPr>
          <w:color w:val="211F1F"/>
          <w:spacing w:val="-4"/>
        </w:rPr>
        <w:t>Kenya's</w:t>
      </w:r>
      <w:r>
        <w:rPr>
          <w:color w:val="211F1F"/>
          <w:spacing w:val="-7"/>
        </w:rPr>
        <w:t xml:space="preserve"> </w:t>
      </w:r>
      <w:r>
        <w:rPr>
          <w:color w:val="211F1F"/>
          <w:spacing w:val="-4"/>
        </w:rPr>
        <w:t>laws,</w:t>
      </w:r>
      <w:r>
        <w:rPr>
          <w:color w:val="211F1F"/>
          <w:spacing w:val="-6"/>
        </w:rPr>
        <w:t xml:space="preserve"> </w:t>
      </w:r>
      <w:r>
        <w:rPr>
          <w:color w:val="211F1F"/>
          <w:spacing w:val="-4"/>
        </w:rPr>
        <w:t>regulations</w:t>
      </w:r>
      <w:r>
        <w:rPr>
          <w:color w:val="211F1F"/>
          <w:spacing w:val="-6"/>
        </w:rPr>
        <w:t xml:space="preserve"> </w:t>
      </w:r>
      <w:r>
        <w:rPr>
          <w:color w:val="211F1F"/>
          <w:spacing w:val="-4"/>
        </w:rPr>
        <w:t>and</w:t>
      </w:r>
      <w:r>
        <w:rPr>
          <w:color w:val="211F1F"/>
          <w:spacing w:val="-8"/>
        </w:rPr>
        <w:t xml:space="preserve"> </w:t>
      </w:r>
      <w:r>
        <w:rPr>
          <w:color w:val="211F1F"/>
          <w:spacing w:val="-4"/>
        </w:rPr>
        <w:t>policies</w:t>
      </w:r>
      <w:r>
        <w:rPr>
          <w:color w:val="211F1F"/>
          <w:spacing w:val="4"/>
        </w:rPr>
        <w:t xml:space="preserve"> </w:t>
      </w:r>
      <w:r>
        <w:rPr>
          <w:color w:val="211F1F"/>
          <w:spacing w:val="-4"/>
        </w:rPr>
        <w:t>mentioned</w:t>
      </w:r>
      <w:r>
        <w:rPr>
          <w:color w:val="211F1F"/>
          <w:spacing w:val="-7"/>
        </w:rPr>
        <w:t xml:space="preserve"> </w:t>
      </w:r>
      <w:r>
        <w:rPr>
          <w:color w:val="211F1F"/>
          <w:spacing w:val="-4"/>
        </w:rPr>
        <w:t>above,</w:t>
      </w:r>
      <w:r>
        <w:rPr>
          <w:color w:val="211F1F"/>
          <w:spacing w:val="1"/>
        </w:rPr>
        <w:t xml:space="preserve"> </w:t>
      </w:r>
      <w:r>
        <w:rPr>
          <w:color w:val="211F1F"/>
          <w:spacing w:val="-4"/>
        </w:rPr>
        <w:t>the</w:t>
      </w:r>
      <w:r>
        <w:rPr>
          <w:color w:val="211F1F"/>
          <w:spacing w:val="-10"/>
        </w:rPr>
        <w:t xml:space="preserve"> </w:t>
      </w:r>
      <w:r>
        <w:rPr>
          <w:color w:val="211F1F"/>
          <w:spacing w:val="-4"/>
        </w:rPr>
        <w:t>Procuring</w:t>
      </w:r>
      <w:r>
        <w:rPr>
          <w:color w:val="211F1F"/>
          <w:spacing w:val="-6"/>
        </w:rPr>
        <w:t xml:space="preserve"> </w:t>
      </w:r>
      <w:r>
        <w:rPr>
          <w:color w:val="211F1F"/>
          <w:spacing w:val="-4"/>
        </w:rPr>
        <w:t>Entity:</w:t>
      </w:r>
    </w:p>
    <w:p w14:paraId="2332E1C6" w14:textId="77777777" w:rsidR="00BB77C0" w:rsidRDefault="00370BAA">
      <w:pPr>
        <w:pStyle w:val="ListParagraph"/>
        <w:numPr>
          <w:ilvl w:val="2"/>
          <w:numId w:val="40"/>
        </w:numPr>
        <w:tabs>
          <w:tab w:val="left" w:pos="1597"/>
        </w:tabs>
        <w:spacing w:before="40"/>
        <w:ind w:left="1597" w:hanging="546"/>
        <w:jc w:val="both"/>
      </w:pPr>
      <w:r>
        <w:rPr>
          <w:color w:val="211F1F"/>
          <w:spacing w:val="-4"/>
        </w:rPr>
        <w:t>Defines</w:t>
      </w:r>
      <w:r>
        <w:rPr>
          <w:color w:val="211F1F"/>
          <w:spacing w:val="-7"/>
        </w:rPr>
        <w:t xml:space="preserve"> </w:t>
      </w:r>
      <w:r>
        <w:rPr>
          <w:color w:val="211F1F"/>
          <w:spacing w:val="-4"/>
        </w:rPr>
        <w:t>broadly, for</w:t>
      </w:r>
      <w:r>
        <w:rPr>
          <w:color w:val="211F1F"/>
          <w:spacing w:val="-10"/>
        </w:rPr>
        <w:t xml:space="preserve"> </w:t>
      </w:r>
      <w:r>
        <w:rPr>
          <w:color w:val="211F1F"/>
          <w:spacing w:val="-4"/>
        </w:rPr>
        <w:t>the</w:t>
      </w:r>
      <w:r>
        <w:rPr>
          <w:color w:val="211F1F"/>
          <w:spacing w:val="-16"/>
        </w:rPr>
        <w:t xml:space="preserve"> </w:t>
      </w:r>
      <w:r>
        <w:rPr>
          <w:color w:val="211F1F"/>
          <w:spacing w:val="-4"/>
        </w:rPr>
        <w:t>purposes</w:t>
      </w:r>
      <w:r>
        <w:rPr>
          <w:color w:val="211F1F"/>
          <w:spacing w:val="-6"/>
        </w:rPr>
        <w:t xml:space="preserve"> </w:t>
      </w:r>
      <w:r>
        <w:rPr>
          <w:color w:val="211F1F"/>
          <w:spacing w:val="-4"/>
        </w:rPr>
        <w:t>of</w:t>
      </w:r>
      <w:r>
        <w:rPr>
          <w:color w:val="211F1F"/>
          <w:spacing w:val="-10"/>
        </w:rPr>
        <w:t xml:space="preserve"> </w:t>
      </w:r>
      <w:r>
        <w:rPr>
          <w:color w:val="211F1F"/>
          <w:spacing w:val="-4"/>
        </w:rPr>
        <w:t>the</w:t>
      </w:r>
      <w:r>
        <w:rPr>
          <w:color w:val="211F1F"/>
          <w:spacing w:val="-16"/>
        </w:rPr>
        <w:t xml:space="preserve"> </w:t>
      </w:r>
      <w:r>
        <w:rPr>
          <w:color w:val="211F1F"/>
          <w:spacing w:val="-4"/>
        </w:rPr>
        <w:t>above</w:t>
      </w:r>
      <w:r>
        <w:rPr>
          <w:color w:val="211F1F"/>
          <w:spacing w:val="-16"/>
        </w:rPr>
        <w:t xml:space="preserve"> </w:t>
      </w:r>
      <w:r>
        <w:rPr>
          <w:color w:val="211F1F"/>
          <w:spacing w:val="-4"/>
        </w:rPr>
        <w:t>provisions,</w:t>
      </w:r>
      <w:r>
        <w:rPr>
          <w:color w:val="211F1F"/>
          <w:spacing w:val="-8"/>
        </w:rPr>
        <w:t xml:space="preserve"> </w:t>
      </w:r>
      <w:r>
        <w:rPr>
          <w:color w:val="211F1F"/>
          <w:spacing w:val="-4"/>
        </w:rPr>
        <w:t>the</w:t>
      </w:r>
      <w:r>
        <w:rPr>
          <w:color w:val="211F1F"/>
          <w:spacing w:val="-17"/>
        </w:rPr>
        <w:t xml:space="preserve"> </w:t>
      </w:r>
      <w:r>
        <w:rPr>
          <w:color w:val="211F1F"/>
          <w:spacing w:val="-4"/>
        </w:rPr>
        <w:t>terms</w:t>
      </w:r>
      <w:r>
        <w:rPr>
          <w:color w:val="211F1F"/>
          <w:spacing w:val="-6"/>
        </w:rPr>
        <w:t xml:space="preserve"> </w:t>
      </w:r>
      <w:r>
        <w:rPr>
          <w:color w:val="211F1F"/>
          <w:spacing w:val="-4"/>
        </w:rPr>
        <w:t>set</w:t>
      </w:r>
      <w:r>
        <w:rPr>
          <w:color w:val="211F1F"/>
          <w:spacing w:val="-5"/>
        </w:rPr>
        <w:t xml:space="preserve"> </w:t>
      </w:r>
      <w:r>
        <w:rPr>
          <w:color w:val="211F1F"/>
          <w:spacing w:val="-4"/>
        </w:rPr>
        <w:t>forth</w:t>
      </w:r>
      <w:r>
        <w:rPr>
          <w:color w:val="211F1F"/>
          <w:spacing w:val="-19"/>
        </w:rPr>
        <w:t xml:space="preserve"> </w:t>
      </w:r>
      <w:r>
        <w:rPr>
          <w:color w:val="211F1F"/>
          <w:spacing w:val="-4"/>
        </w:rPr>
        <w:t>below</w:t>
      </w:r>
      <w:r>
        <w:rPr>
          <w:color w:val="211F1F"/>
          <w:spacing w:val="-21"/>
        </w:rPr>
        <w:t xml:space="preserve"> </w:t>
      </w:r>
      <w:r>
        <w:rPr>
          <w:color w:val="211F1F"/>
          <w:spacing w:val="-4"/>
        </w:rPr>
        <w:t>as</w:t>
      </w:r>
      <w:r>
        <w:rPr>
          <w:color w:val="211F1F"/>
          <w:spacing w:val="-12"/>
        </w:rPr>
        <w:t xml:space="preserve"> </w:t>
      </w:r>
      <w:r>
        <w:rPr>
          <w:color w:val="211F1F"/>
          <w:spacing w:val="-4"/>
        </w:rPr>
        <w:t>follows:</w:t>
      </w:r>
    </w:p>
    <w:p w14:paraId="720C2B77" w14:textId="77777777" w:rsidR="00BB77C0" w:rsidRDefault="00370BAA">
      <w:pPr>
        <w:pStyle w:val="ListParagraph"/>
        <w:numPr>
          <w:ilvl w:val="3"/>
          <w:numId w:val="40"/>
        </w:numPr>
        <w:tabs>
          <w:tab w:val="left" w:pos="2110"/>
          <w:tab w:val="left" w:pos="2122"/>
        </w:tabs>
        <w:spacing w:before="41" w:line="232" w:lineRule="auto"/>
        <w:ind w:right="877" w:hanging="519"/>
        <w:jc w:val="both"/>
      </w:pPr>
      <w:r>
        <w:rPr>
          <w:color w:val="211F1F"/>
        </w:rPr>
        <w:t>“corrupt</w:t>
      </w:r>
      <w:r>
        <w:rPr>
          <w:color w:val="211F1F"/>
          <w:spacing w:val="-14"/>
        </w:rPr>
        <w:t xml:space="preserve"> </w:t>
      </w:r>
      <w:r>
        <w:rPr>
          <w:color w:val="211F1F"/>
        </w:rPr>
        <w:t>practice”</w:t>
      </w:r>
      <w:r>
        <w:rPr>
          <w:color w:val="211F1F"/>
          <w:spacing w:val="-14"/>
        </w:rPr>
        <w:t xml:space="preserve"> </w:t>
      </w:r>
      <w:r>
        <w:rPr>
          <w:color w:val="211F1F"/>
        </w:rPr>
        <w:t>is</w:t>
      </w:r>
      <w:r>
        <w:rPr>
          <w:color w:val="211F1F"/>
          <w:spacing w:val="-14"/>
        </w:rPr>
        <w:t xml:space="preserve"> </w:t>
      </w:r>
      <w:r>
        <w:rPr>
          <w:color w:val="211F1F"/>
        </w:rPr>
        <w:t>the</w:t>
      </w:r>
      <w:r>
        <w:rPr>
          <w:color w:val="211F1F"/>
          <w:spacing w:val="-13"/>
        </w:rPr>
        <w:t xml:space="preserve"> </w:t>
      </w:r>
      <w:r>
        <w:rPr>
          <w:color w:val="211F1F"/>
        </w:rPr>
        <w:t>offering,</w:t>
      </w:r>
      <w:r>
        <w:rPr>
          <w:color w:val="211F1F"/>
          <w:spacing w:val="-14"/>
        </w:rPr>
        <w:t xml:space="preserve"> </w:t>
      </w:r>
      <w:r>
        <w:rPr>
          <w:color w:val="211F1F"/>
        </w:rPr>
        <w:t>giving,</w:t>
      </w:r>
      <w:r>
        <w:rPr>
          <w:color w:val="211F1F"/>
          <w:spacing w:val="-10"/>
        </w:rPr>
        <w:t xml:space="preserve"> </w:t>
      </w:r>
      <w:r>
        <w:rPr>
          <w:color w:val="211F1F"/>
        </w:rPr>
        <w:t>receiving,</w:t>
      </w:r>
      <w:r>
        <w:rPr>
          <w:color w:val="211F1F"/>
          <w:spacing w:val="-9"/>
        </w:rPr>
        <w:t xml:space="preserve"> </w:t>
      </w:r>
      <w:r>
        <w:rPr>
          <w:color w:val="211F1F"/>
        </w:rPr>
        <w:t>or</w:t>
      </w:r>
      <w:r>
        <w:rPr>
          <w:color w:val="211F1F"/>
          <w:spacing w:val="-9"/>
        </w:rPr>
        <w:t xml:space="preserve"> </w:t>
      </w:r>
      <w:r>
        <w:rPr>
          <w:color w:val="211F1F"/>
        </w:rPr>
        <w:t>soliciting,</w:t>
      </w:r>
      <w:r>
        <w:rPr>
          <w:color w:val="211F1F"/>
          <w:spacing w:val="-9"/>
        </w:rPr>
        <w:t xml:space="preserve"> </w:t>
      </w:r>
      <w:r>
        <w:rPr>
          <w:color w:val="211F1F"/>
        </w:rPr>
        <w:t>directly</w:t>
      </w:r>
      <w:r>
        <w:rPr>
          <w:color w:val="211F1F"/>
          <w:spacing w:val="-14"/>
        </w:rPr>
        <w:t xml:space="preserve"> </w:t>
      </w:r>
      <w:r>
        <w:rPr>
          <w:color w:val="211F1F"/>
        </w:rPr>
        <w:t>or</w:t>
      </w:r>
      <w:r>
        <w:rPr>
          <w:color w:val="211F1F"/>
          <w:spacing w:val="-5"/>
        </w:rPr>
        <w:t xml:space="preserve"> </w:t>
      </w:r>
      <w:r>
        <w:rPr>
          <w:color w:val="211F1F"/>
        </w:rPr>
        <w:t>indirectly,</w:t>
      </w:r>
      <w:r>
        <w:rPr>
          <w:color w:val="211F1F"/>
          <w:spacing w:val="-10"/>
        </w:rPr>
        <w:t xml:space="preserve"> </w:t>
      </w:r>
      <w:r>
        <w:rPr>
          <w:color w:val="211F1F"/>
        </w:rPr>
        <w:t>of</w:t>
      </w:r>
      <w:r>
        <w:rPr>
          <w:color w:val="211F1F"/>
          <w:spacing w:val="-9"/>
        </w:rPr>
        <w:t xml:space="preserve"> </w:t>
      </w:r>
      <w:r>
        <w:rPr>
          <w:color w:val="211F1F"/>
        </w:rPr>
        <w:t>anything of value</w:t>
      </w:r>
      <w:r>
        <w:rPr>
          <w:color w:val="211F1F"/>
          <w:spacing w:val="-6"/>
        </w:rPr>
        <w:t xml:space="preserve"> </w:t>
      </w:r>
      <w:r>
        <w:rPr>
          <w:color w:val="211F1F"/>
        </w:rPr>
        <w:t>to influence improperly</w:t>
      </w:r>
      <w:r>
        <w:rPr>
          <w:color w:val="211F1F"/>
          <w:spacing w:val="-3"/>
        </w:rPr>
        <w:t xml:space="preserve"> </w:t>
      </w:r>
      <w:r>
        <w:rPr>
          <w:color w:val="211F1F"/>
        </w:rPr>
        <w:t>the actions of another party;</w:t>
      </w:r>
    </w:p>
    <w:p w14:paraId="57EC5975" w14:textId="77777777" w:rsidR="00BB77C0" w:rsidRDefault="00370BAA">
      <w:pPr>
        <w:pStyle w:val="ListParagraph"/>
        <w:numPr>
          <w:ilvl w:val="3"/>
          <w:numId w:val="40"/>
        </w:numPr>
        <w:tabs>
          <w:tab w:val="left" w:pos="2115"/>
          <w:tab w:val="left" w:pos="2122"/>
        </w:tabs>
        <w:spacing w:before="49" w:line="230" w:lineRule="auto"/>
        <w:ind w:right="704" w:hanging="519"/>
        <w:jc w:val="both"/>
      </w:pPr>
      <w:r>
        <w:rPr>
          <w:color w:val="211F1F"/>
        </w:rPr>
        <w:t>“fraudulent practice” is any act or omission, including misrepresentation, that knowingly or recklessly</w:t>
      </w:r>
      <w:r>
        <w:rPr>
          <w:color w:val="211F1F"/>
          <w:spacing w:val="-7"/>
        </w:rPr>
        <w:t xml:space="preserve"> </w:t>
      </w:r>
      <w:r>
        <w:rPr>
          <w:color w:val="211F1F"/>
        </w:rPr>
        <w:t>misleads,</w:t>
      </w:r>
      <w:r>
        <w:rPr>
          <w:color w:val="211F1F"/>
          <w:spacing w:val="-4"/>
        </w:rPr>
        <w:t xml:space="preserve"> </w:t>
      </w:r>
      <w:r>
        <w:rPr>
          <w:color w:val="211F1F"/>
        </w:rPr>
        <w:t>or</w:t>
      </w:r>
      <w:r>
        <w:rPr>
          <w:color w:val="211F1F"/>
          <w:spacing w:val="-9"/>
        </w:rPr>
        <w:t xml:space="preserve"> </w:t>
      </w:r>
      <w:r>
        <w:rPr>
          <w:color w:val="211F1F"/>
        </w:rPr>
        <w:t>attempts</w:t>
      </w:r>
      <w:r>
        <w:rPr>
          <w:color w:val="211F1F"/>
          <w:spacing w:val="-7"/>
        </w:rPr>
        <w:t xml:space="preserve"> </w:t>
      </w:r>
      <w:r>
        <w:rPr>
          <w:color w:val="211F1F"/>
        </w:rPr>
        <w:t>to</w:t>
      </w:r>
      <w:r>
        <w:rPr>
          <w:color w:val="211F1F"/>
          <w:spacing w:val="-7"/>
        </w:rPr>
        <w:t xml:space="preserve"> </w:t>
      </w:r>
      <w:r>
        <w:rPr>
          <w:color w:val="211F1F"/>
        </w:rPr>
        <w:t>mislead,</w:t>
      </w:r>
      <w:r>
        <w:rPr>
          <w:color w:val="211F1F"/>
          <w:spacing w:val="-6"/>
        </w:rPr>
        <w:t xml:space="preserve"> </w:t>
      </w:r>
      <w:r>
        <w:rPr>
          <w:color w:val="211F1F"/>
        </w:rPr>
        <w:t>a</w:t>
      </w:r>
      <w:r>
        <w:rPr>
          <w:color w:val="211F1F"/>
          <w:spacing w:val="-6"/>
        </w:rPr>
        <w:t xml:space="preserve"> </w:t>
      </w:r>
      <w:r>
        <w:rPr>
          <w:color w:val="211F1F"/>
        </w:rPr>
        <w:t>party</w:t>
      </w:r>
      <w:r>
        <w:rPr>
          <w:color w:val="211F1F"/>
          <w:spacing w:val="-12"/>
        </w:rPr>
        <w:t xml:space="preserve"> </w:t>
      </w:r>
      <w:r>
        <w:rPr>
          <w:color w:val="211F1F"/>
        </w:rPr>
        <w:t>to</w:t>
      </w:r>
      <w:r>
        <w:rPr>
          <w:color w:val="211F1F"/>
          <w:spacing w:val="-12"/>
        </w:rPr>
        <w:t xml:space="preserve"> </w:t>
      </w:r>
      <w:r>
        <w:rPr>
          <w:color w:val="211F1F"/>
        </w:rPr>
        <w:t>obtain</w:t>
      </w:r>
      <w:r>
        <w:rPr>
          <w:color w:val="211F1F"/>
          <w:spacing w:val="-12"/>
        </w:rPr>
        <w:t xml:space="preserve"> </w:t>
      </w:r>
      <w:r>
        <w:rPr>
          <w:color w:val="211F1F"/>
        </w:rPr>
        <w:t>financial</w:t>
      </w:r>
      <w:r>
        <w:rPr>
          <w:color w:val="211F1F"/>
          <w:spacing w:val="-11"/>
        </w:rPr>
        <w:t xml:space="preserve"> </w:t>
      </w:r>
      <w:r>
        <w:rPr>
          <w:color w:val="211F1F"/>
        </w:rPr>
        <w:t>or</w:t>
      </w:r>
      <w:r>
        <w:rPr>
          <w:color w:val="211F1F"/>
          <w:spacing w:val="-1"/>
        </w:rPr>
        <w:t xml:space="preserve"> </w:t>
      </w:r>
      <w:r>
        <w:rPr>
          <w:color w:val="211F1F"/>
        </w:rPr>
        <w:t>other benefit</w:t>
      </w:r>
      <w:r>
        <w:rPr>
          <w:color w:val="211F1F"/>
          <w:spacing w:val="-3"/>
        </w:rPr>
        <w:t xml:space="preserve"> </w:t>
      </w:r>
      <w:r>
        <w:rPr>
          <w:color w:val="211F1F"/>
        </w:rPr>
        <w:t>or</w:t>
      </w:r>
      <w:r>
        <w:rPr>
          <w:color w:val="211F1F"/>
          <w:spacing w:val="-9"/>
        </w:rPr>
        <w:t xml:space="preserve"> </w:t>
      </w:r>
      <w:r>
        <w:rPr>
          <w:color w:val="211F1F"/>
        </w:rPr>
        <w:t>to</w:t>
      </w:r>
      <w:r>
        <w:rPr>
          <w:color w:val="211F1F"/>
          <w:spacing w:val="-12"/>
        </w:rPr>
        <w:t xml:space="preserve"> </w:t>
      </w:r>
      <w:r>
        <w:rPr>
          <w:color w:val="211F1F"/>
        </w:rPr>
        <w:t>avoid</w:t>
      </w:r>
      <w:r>
        <w:rPr>
          <w:color w:val="211F1F"/>
          <w:spacing w:val="-12"/>
        </w:rPr>
        <w:t xml:space="preserve"> </w:t>
      </w:r>
      <w:r>
        <w:rPr>
          <w:color w:val="211F1F"/>
        </w:rPr>
        <w:t xml:space="preserve">an </w:t>
      </w:r>
      <w:r>
        <w:rPr>
          <w:color w:val="211F1F"/>
          <w:spacing w:val="-2"/>
        </w:rPr>
        <w:t>obligation;</w:t>
      </w:r>
    </w:p>
    <w:p w14:paraId="2130C6A1" w14:textId="77777777" w:rsidR="00BB77C0" w:rsidRDefault="00BB77C0">
      <w:pPr>
        <w:pStyle w:val="ListParagraph"/>
        <w:spacing w:line="230" w:lineRule="auto"/>
        <w:jc w:val="both"/>
        <w:sectPr w:rsidR="00BB77C0">
          <w:pgSz w:w="11920" w:h="16850"/>
          <w:pgMar w:top="0" w:right="0" w:bottom="0" w:left="360" w:header="720" w:footer="720" w:gutter="0"/>
          <w:cols w:space="720"/>
        </w:sectPr>
      </w:pPr>
    </w:p>
    <w:p w14:paraId="6740E242" w14:textId="77777777" w:rsidR="00BB77C0" w:rsidRDefault="00370BAA">
      <w:pPr>
        <w:pStyle w:val="BodyText"/>
      </w:pPr>
      <w:r>
        <w:rPr>
          <w:noProof/>
        </w:rPr>
        <w:lastRenderedPageBreak/>
        <mc:AlternateContent>
          <mc:Choice Requires="wpg">
            <w:drawing>
              <wp:anchor distT="0" distB="0" distL="0" distR="0" simplePos="0" relativeHeight="15766528" behindDoc="0" locked="0" layoutInCell="1" allowOverlap="1" wp14:anchorId="60CBCEBF" wp14:editId="05C75C6B">
                <wp:simplePos x="0" y="0"/>
                <wp:positionH relativeFrom="page">
                  <wp:posOffset>0</wp:posOffset>
                </wp:positionH>
                <wp:positionV relativeFrom="page">
                  <wp:posOffset>10234295</wp:posOffset>
                </wp:positionV>
                <wp:extent cx="7561580" cy="459105"/>
                <wp:effectExtent l="0" t="0" r="0" b="0"/>
                <wp:wrapNone/>
                <wp:docPr id="314" name="Group 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1580" cy="459105"/>
                          <a:chOff x="0" y="0"/>
                          <a:chExt cx="7561580" cy="459105"/>
                        </a:xfrm>
                      </wpg:grpSpPr>
                      <wps:wsp>
                        <wps:cNvPr id="315" name="Graphic 315"/>
                        <wps:cNvSpPr/>
                        <wps:spPr>
                          <a:xfrm>
                            <a:off x="6449059" y="5714"/>
                            <a:ext cx="1110615" cy="451484"/>
                          </a:xfrm>
                          <a:custGeom>
                            <a:avLst/>
                            <a:gdLst/>
                            <a:ahLst/>
                            <a:cxnLst/>
                            <a:rect l="l" t="t" r="r" b="b"/>
                            <a:pathLst>
                              <a:path w="1110615" h="451484">
                                <a:moveTo>
                                  <a:pt x="1110614" y="0"/>
                                </a:moveTo>
                                <a:lnTo>
                                  <a:pt x="0" y="0"/>
                                </a:lnTo>
                                <a:lnTo>
                                  <a:pt x="260349" y="451483"/>
                                </a:lnTo>
                                <a:lnTo>
                                  <a:pt x="1110614" y="451483"/>
                                </a:lnTo>
                                <a:lnTo>
                                  <a:pt x="1110614" y="0"/>
                                </a:lnTo>
                                <a:close/>
                              </a:path>
                            </a:pathLst>
                          </a:custGeom>
                          <a:solidFill>
                            <a:srgbClr val="FAD2C1"/>
                          </a:solidFill>
                        </wps:spPr>
                        <wps:bodyPr wrap="square" lIns="0" tIns="0" rIns="0" bIns="0" rtlCol="0">
                          <a:prstTxWarp prst="textNoShape">
                            <a:avLst/>
                          </a:prstTxWarp>
                          <a:noAutofit/>
                        </wps:bodyPr>
                      </wps:wsp>
                      <wps:wsp>
                        <wps:cNvPr id="316" name="Graphic 316"/>
                        <wps:cNvSpPr/>
                        <wps:spPr>
                          <a:xfrm>
                            <a:off x="6449059" y="5714"/>
                            <a:ext cx="1110615" cy="451484"/>
                          </a:xfrm>
                          <a:custGeom>
                            <a:avLst/>
                            <a:gdLst/>
                            <a:ahLst/>
                            <a:cxnLst/>
                            <a:rect l="l" t="t" r="r" b="b"/>
                            <a:pathLst>
                              <a:path w="1110615" h="451484">
                                <a:moveTo>
                                  <a:pt x="0" y="0"/>
                                </a:moveTo>
                                <a:lnTo>
                                  <a:pt x="1110614" y="0"/>
                                </a:lnTo>
                                <a:lnTo>
                                  <a:pt x="1110614" y="451483"/>
                                </a:lnTo>
                                <a:lnTo>
                                  <a:pt x="260349" y="451483"/>
                                </a:lnTo>
                                <a:lnTo>
                                  <a:pt x="0" y="0"/>
                                </a:lnTo>
                              </a:path>
                            </a:pathLst>
                          </a:custGeom>
                          <a:ln w="3051">
                            <a:solidFill>
                              <a:srgbClr val="FAD2C1"/>
                            </a:solidFill>
                            <a:prstDash val="solid"/>
                          </a:ln>
                        </wps:spPr>
                        <wps:bodyPr wrap="square" lIns="0" tIns="0" rIns="0" bIns="0" rtlCol="0">
                          <a:prstTxWarp prst="textNoShape">
                            <a:avLst/>
                          </a:prstTxWarp>
                          <a:noAutofit/>
                        </wps:bodyPr>
                      </wps:wsp>
                      <wps:wsp>
                        <wps:cNvPr id="317" name="Graphic 317"/>
                        <wps:cNvSpPr/>
                        <wps:spPr>
                          <a:xfrm>
                            <a:off x="0" y="6350"/>
                            <a:ext cx="7560309" cy="1270"/>
                          </a:xfrm>
                          <a:custGeom>
                            <a:avLst/>
                            <a:gdLst/>
                            <a:ahLst/>
                            <a:cxnLst/>
                            <a:rect l="l" t="t" r="r" b="b"/>
                            <a:pathLst>
                              <a:path w="7560309">
                                <a:moveTo>
                                  <a:pt x="0" y="0"/>
                                </a:moveTo>
                                <a:lnTo>
                                  <a:pt x="7560309" y="0"/>
                                </a:lnTo>
                              </a:path>
                            </a:pathLst>
                          </a:custGeom>
                          <a:ln w="12700">
                            <a:solidFill>
                              <a:srgbClr val="FAD2C1"/>
                            </a:solidFill>
                            <a:prstDash val="solid"/>
                          </a:ln>
                        </wps:spPr>
                        <wps:bodyPr wrap="square" lIns="0" tIns="0" rIns="0" bIns="0" rtlCol="0">
                          <a:prstTxWarp prst="textNoShape">
                            <a:avLst/>
                          </a:prstTxWarp>
                          <a:noAutofit/>
                        </wps:bodyPr>
                      </wps:wsp>
                      <wps:wsp>
                        <wps:cNvPr id="318" name="Textbox 318"/>
                        <wps:cNvSpPr txBox="1"/>
                        <wps:spPr>
                          <a:xfrm>
                            <a:off x="6882130" y="37491"/>
                            <a:ext cx="147320" cy="155575"/>
                          </a:xfrm>
                          <a:prstGeom prst="rect">
                            <a:avLst/>
                          </a:prstGeom>
                        </wps:spPr>
                        <wps:txbx>
                          <w:txbxContent>
                            <w:p w14:paraId="25F2298A" w14:textId="77777777" w:rsidR="00BB77C0" w:rsidRDefault="00370BAA">
                              <w:pPr>
                                <w:spacing w:line="244" w:lineRule="exact"/>
                              </w:pPr>
                              <w:r>
                                <w:rPr>
                                  <w:spacing w:val="-5"/>
                                </w:rPr>
                                <w:t>61</w:t>
                              </w:r>
                            </w:p>
                          </w:txbxContent>
                        </wps:txbx>
                        <wps:bodyPr wrap="square" lIns="0" tIns="0" rIns="0" bIns="0" rtlCol="0">
                          <a:noAutofit/>
                        </wps:bodyPr>
                      </wps:wsp>
                    </wpg:wgp>
                  </a:graphicData>
                </a:graphic>
              </wp:anchor>
            </w:drawing>
          </mc:Choice>
          <mc:Fallback>
            <w:pict>
              <v:group w14:anchorId="60CBCEBF" id="Group 314" o:spid="_x0000_s1166" style="position:absolute;margin-left:0;margin-top:805.85pt;width:595.4pt;height:36.15pt;z-index:15766528;mso-wrap-distance-left:0;mso-wrap-distance-right:0;mso-position-horizontal-relative:page;mso-position-vertical-relative:page" coordsize="75615,4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">
                <v:shape id="Graphic 315" o:spid="_x0000_s1167" style="position:absolute;left:64490;top:57;width:11106;height:4514;visibility:visible;mso-wrap-style:square;v-text-anchor:top" coordsize="1110615,4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" path="m1110614,l,,260349,451483r850265,l1110614,xe" fillcolor="#fad2c1" stroked="f">
                  <v:path arrowok="t"/>
                </v:shape>
                <v:shape id="Graphic 316" o:spid="_x0000_s1168" style="position:absolute;left:64490;top:57;width:11106;height:4514;visibility:visible;mso-wrap-style:square;v-text-anchor:top" coordsize="1110615,4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" path="m,l1110614,r,451483l260349,451483,,e" filled="f" strokecolor="#fad2c1" strokeweight=".08475mm">
                  <v:path arrowok="t"/>
                </v:shape>
                <v:shape id="Graphic 317" o:spid="_x0000_s1169" style="position:absolute;top:63;width:75603;height:13;visibility:visible;mso-wrap-style:square;v-text-anchor:top" coordsize="756030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" path="m,l7560309,e" filled="f" strokecolor="#fad2c1" strokeweight="1pt">
                  <v:path arrowok="t"/>
                </v:shape>
                <v:shape id="Textbox 318" o:spid="_x0000_s1170" type="#_x0000_t202" style="position:absolute;left:68821;top:374;width:1473;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" filled="f" stroked="f">
                  <v:textbox inset="0,0,0,0">
                    <w:txbxContent>
                      <w:p w14:paraId="25F2298A" w14:textId="77777777" w:rsidR="00BB77C0" w:rsidRDefault="00370BAA">
                        <w:pPr>
                          <w:spacing w:line="244" w:lineRule="exact"/>
                        </w:pPr>
                        <w:r>
                          <w:rPr>
                            <w:spacing w:val="-5"/>
                          </w:rPr>
                          <w:t>61</w:t>
                        </w:r>
                      </w:p>
                    </w:txbxContent>
                  </v:textbox>
                </v:shape>
                <w10:wrap anchorx="page" anchory="page"/>
              </v:group>
            </w:pict>
          </mc:Fallback>
        </mc:AlternateContent>
      </w:r>
      <w:r>
        <w:rPr>
          <w:noProof/>
        </w:rPr>
        <mc:AlternateContent>
          <mc:Choice Requires="wpg">
            <w:drawing>
              <wp:anchor distT="0" distB="0" distL="0" distR="0" simplePos="0" relativeHeight="15767040" behindDoc="0" locked="0" layoutInCell="1" allowOverlap="1" wp14:anchorId="4C311EFB" wp14:editId="137E602C">
                <wp:simplePos x="0" y="0"/>
                <wp:positionH relativeFrom="page">
                  <wp:posOffset>0</wp:posOffset>
                </wp:positionH>
                <wp:positionV relativeFrom="page">
                  <wp:posOffset>0</wp:posOffset>
                </wp:positionV>
                <wp:extent cx="7559675" cy="228600"/>
                <wp:effectExtent l="0" t="0" r="0" b="0"/>
                <wp:wrapNone/>
                <wp:docPr id="319" name="Group 3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675" cy="228600"/>
                          <a:chOff x="0" y="0"/>
                          <a:chExt cx="7559675" cy="228600"/>
                        </a:xfrm>
                      </wpg:grpSpPr>
                      <wps:wsp>
                        <wps:cNvPr id="320" name="Graphic 320"/>
                        <wps:cNvSpPr/>
                        <wps:spPr>
                          <a:xfrm>
                            <a:off x="848283" y="0"/>
                            <a:ext cx="6711950" cy="228600"/>
                          </a:xfrm>
                          <a:custGeom>
                            <a:avLst/>
                            <a:gdLst/>
                            <a:ahLst/>
                            <a:cxnLst/>
                            <a:rect l="l" t="t" r="r" b="b"/>
                            <a:pathLst>
                              <a:path w="6711950" h="228600">
                                <a:moveTo>
                                  <a:pt x="6711391" y="0"/>
                                </a:moveTo>
                                <a:lnTo>
                                  <a:pt x="0" y="0"/>
                                </a:lnTo>
                                <a:lnTo>
                                  <a:pt x="184137" y="228600"/>
                                </a:lnTo>
                                <a:lnTo>
                                  <a:pt x="6711391" y="223520"/>
                                </a:lnTo>
                                <a:lnTo>
                                  <a:pt x="6711391" y="0"/>
                                </a:lnTo>
                                <a:close/>
                              </a:path>
                            </a:pathLst>
                          </a:custGeom>
                          <a:solidFill>
                            <a:srgbClr val="E6E7E8"/>
                          </a:solidFill>
                        </wps:spPr>
                        <wps:bodyPr wrap="square" lIns="0" tIns="0" rIns="0" bIns="0" rtlCol="0">
                          <a:prstTxWarp prst="textNoShape">
                            <a:avLst/>
                          </a:prstTxWarp>
                          <a:noAutofit/>
                        </wps:bodyPr>
                      </wps:wsp>
                      <wps:wsp>
                        <wps:cNvPr id="321" name="Graphic 321"/>
                        <wps:cNvSpPr/>
                        <wps:spPr>
                          <a:xfrm>
                            <a:off x="0" y="0"/>
                            <a:ext cx="655955" cy="228600"/>
                          </a:xfrm>
                          <a:custGeom>
                            <a:avLst/>
                            <a:gdLst/>
                            <a:ahLst/>
                            <a:cxnLst/>
                            <a:rect l="l" t="t" r="r" b="b"/>
                            <a:pathLst>
                              <a:path w="655955" h="228600">
                                <a:moveTo>
                                  <a:pt x="530174" y="0"/>
                                </a:moveTo>
                                <a:lnTo>
                                  <a:pt x="0" y="0"/>
                                </a:lnTo>
                                <a:lnTo>
                                  <a:pt x="0" y="228600"/>
                                </a:lnTo>
                                <a:lnTo>
                                  <a:pt x="655904" y="228600"/>
                                </a:lnTo>
                                <a:lnTo>
                                  <a:pt x="530174" y="0"/>
                                </a:lnTo>
                                <a:close/>
                              </a:path>
                            </a:pathLst>
                          </a:custGeom>
                          <a:solidFill>
                            <a:srgbClr val="00A650"/>
                          </a:solidFill>
                        </wps:spPr>
                        <wps:bodyPr wrap="square" lIns="0" tIns="0" rIns="0" bIns="0" rtlCol="0">
                          <a:prstTxWarp prst="textNoShape">
                            <a:avLst/>
                          </a:prstTxWarp>
                          <a:noAutofit/>
                        </wps:bodyPr>
                      </wps:wsp>
                      <wps:wsp>
                        <wps:cNvPr id="322" name="Graphic 322"/>
                        <wps:cNvSpPr/>
                        <wps:spPr>
                          <a:xfrm>
                            <a:off x="554304" y="0"/>
                            <a:ext cx="329565" cy="228600"/>
                          </a:xfrm>
                          <a:custGeom>
                            <a:avLst/>
                            <a:gdLst/>
                            <a:ahLst/>
                            <a:cxnLst/>
                            <a:rect l="l" t="t" r="r" b="b"/>
                            <a:pathLst>
                              <a:path w="329565" h="228600">
                                <a:moveTo>
                                  <a:pt x="203822" y="0"/>
                                </a:moveTo>
                                <a:lnTo>
                                  <a:pt x="0" y="0"/>
                                </a:lnTo>
                                <a:lnTo>
                                  <a:pt x="128904" y="228600"/>
                                </a:lnTo>
                                <a:lnTo>
                                  <a:pt x="329539" y="228600"/>
                                </a:lnTo>
                                <a:lnTo>
                                  <a:pt x="203822" y="0"/>
                                </a:lnTo>
                                <a:close/>
                              </a:path>
                            </a:pathLst>
                          </a:custGeom>
                          <a:solidFill>
                            <a:srgbClr val="EB1C22"/>
                          </a:solidFill>
                        </wps:spPr>
                        <wps:bodyPr wrap="square" lIns="0" tIns="0" rIns="0" bIns="0" rtlCol="0">
                          <a:prstTxWarp prst="textNoShape">
                            <a:avLst/>
                          </a:prstTxWarp>
                          <a:noAutofit/>
                        </wps:bodyPr>
                      </wps:wsp>
                      <wps:wsp>
                        <wps:cNvPr id="323" name="Graphic 323"/>
                        <wps:cNvSpPr/>
                        <wps:spPr>
                          <a:xfrm>
                            <a:off x="783526" y="0"/>
                            <a:ext cx="329565" cy="228600"/>
                          </a:xfrm>
                          <a:custGeom>
                            <a:avLst/>
                            <a:gdLst/>
                            <a:ahLst/>
                            <a:cxnLst/>
                            <a:rect l="l" t="t" r="r" b="b"/>
                            <a:pathLst>
                              <a:path w="329565" h="228600">
                                <a:moveTo>
                                  <a:pt x="203822" y="0"/>
                                </a:moveTo>
                                <a:lnTo>
                                  <a:pt x="0" y="0"/>
                                </a:lnTo>
                                <a:lnTo>
                                  <a:pt x="128879" y="228600"/>
                                </a:lnTo>
                                <a:lnTo>
                                  <a:pt x="329539" y="228600"/>
                                </a:lnTo>
                                <a:lnTo>
                                  <a:pt x="203822" y="0"/>
                                </a:lnTo>
                                <a:close/>
                              </a:path>
                            </a:pathLst>
                          </a:custGeom>
                          <a:solidFill>
                            <a:srgbClr val="A7A9AC"/>
                          </a:solidFill>
                        </wps:spPr>
                        <wps:bodyPr wrap="square" lIns="0" tIns="0" rIns="0" bIns="0" rtlCol="0">
                          <a:prstTxWarp prst="textNoShape">
                            <a:avLst/>
                          </a:prstTxWarp>
                          <a:noAutofit/>
                        </wps:bodyPr>
                      </wps:wsp>
                    </wpg:wgp>
                  </a:graphicData>
                </a:graphic>
              </wp:anchor>
            </w:drawing>
          </mc:Choice>
          <mc:Fallback>
            <w:pict>
              <v:group w14:anchorId="21305F4D" id="Group 319" o:spid="_x0000_s1026" style="position:absolute;margin-left:0;margin-top:0;width:595.25pt;height:18pt;z-index:15767040;mso-wrap-distance-left:0;mso-wrap-distance-right:0;mso-position-horizontal-relative:page;mso-position-vertical-relative:page" coordsize="75596,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">
                <v:shape id="Graphic 320" o:spid="_x0000_s1027" style="position:absolute;left:8482;width:67120;height:2286;visibility:visible;mso-wrap-style:square;v-text-anchor:top" coordsize="67119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" path="m6711391,l,,184137,228600r6527254,-5080l6711391,xe" fillcolor="#e6e7e8" stroked="f">
                  <v:path arrowok="t"/>
                </v:shape>
                <v:shape id="Graphic 321" o:spid="_x0000_s1028" style="position:absolute;width:6559;height:2286;visibility:visible;mso-wrap-style:square;v-text-anchor:top" coordsize="65595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" path="m530174,l,,,228600r655904,l530174,xe" fillcolor="#00a650" stroked="f">
                  <v:path arrowok="t"/>
                </v:shape>
                <v:shape id="Graphic 322" o:spid="_x0000_s1029" style="position:absolute;left:5543;width:3295;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" path="m203822,l,,128904,228600r200635,l203822,xe" fillcolor="#eb1c22" stroked="f">
                  <v:path arrowok="t"/>
                </v:shape>
                <v:shape id="Graphic 323" o:spid="_x0000_s1030" style="position:absolute;left:7835;width:3295;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" path="m203822,l,,128879,228600r200660,l203822,xe" fillcolor="#a7a9ac" stroked="f">
                  <v:path arrowok="t"/>
                </v:shape>
                <w10:wrap anchorx="page" anchory="page"/>
              </v:group>
            </w:pict>
          </mc:Fallback>
        </mc:AlternateContent>
      </w:r>
    </w:p>
    <w:p w14:paraId="3F34DAAA" w14:textId="77777777" w:rsidR="00BB77C0" w:rsidRDefault="00BB77C0">
      <w:pPr>
        <w:pStyle w:val="BodyText"/>
      </w:pPr>
    </w:p>
    <w:p w14:paraId="69B579AE" w14:textId="77777777" w:rsidR="00BB77C0" w:rsidRDefault="00BB77C0">
      <w:pPr>
        <w:pStyle w:val="BodyText"/>
        <w:spacing w:before="61"/>
      </w:pPr>
    </w:p>
    <w:p w14:paraId="720A04D0" w14:textId="77777777" w:rsidR="00BB77C0" w:rsidRDefault="00370BAA">
      <w:pPr>
        <w:pStyle w:val="ListParagraph"/>
        <w:numPr>
          <w:ilvl w:val="3"/>
          <w:numId w:val="40"/>
        </w:numPr>
        <w:tabs>
          <w:tab w:val="left" w:pos="2122"/>
        </w:tabs>
        <w:spacing w:line="232" w:lineRule="auto"/>
        <w:ind w:right="866" w:hanging="514"/>
      </w:pPr>
      <w:r>
        <w:rPr>
          <w:color w:val="211F1F"/>
          <w:spacing w:val="-2"/>
        </w:rPr>
        <w:t>“collusive</w:t>
      </w:r>
      <w:r>
        <w:rPr>
          <w:color w:val="211F1F"/>
          <w:spacing w:val="-14"/>
        </w:rPr>
        <w:t xml:space="preserve"> </w:t>
      </w:r>
      <w:r>
        <w:rPr>
          <w:color w:val="211F1F"/>
          <w:spacing w:val="-2"/>
        </w:rPr>
        <w:t>practice”</w:t>
      </w:r>
      <w:r>
        <w:rPr>
          <w:color w:val="211F1F"/>
          <w:spacing w:val="-12"/>
        </w:rPr>
        <w:t xml:space="preserve"> </w:t>
      </w:r>
      <w:r>
        <w:rPr>
          <w:color w:val="211F1F"/>
          <w:spacing w:val="-2"/>
        </w:rPr>
        <w:t>is</w:t>
      </w:r>
      <w:r>
        <w:rPr>
          <w:color w:val="211F1F"/>
          <w:spacing w:val="-12"/>
        </w:rPr>
        <w:t xml:space="preserve"> </w:t>
      </w:r>
      <w:r>
        <w:rPr>
          <w:color w:val="211F1F"/>
          <w:spacing w:val="-2"/>
        </w:rPr>
        <w:t>an</w:t>
      </w:r>
      <w:r>
        <w:rPr>
          <w:color w:val="211F1F"/>
          <w:spacing w:val="-17"/>
        </w:rPr>
        <w:t xml:space="preserve"> </w:t>
      </w:r>
      <w:r>
        <w:rPr>
          <w:color w:val="211F1F"/>
          <w:spacing w:val="-2"/>
        </w:rPr>
        <w:t>arrangement between</w:t>
      </w:r>
      <w:r>
        <w:rPr>
          <w:color w:val="211F1F"/>
          <w:spacing w:val="-12"/>
        </w:rPr>
        <w:t xml:space="preserve"> </w:t>
      </w:r>
      <w:r>
        <w:rPr>
          <w:color w:val="211F1F"/>
          <w:spacing w:val="-2"/>
        </w:rPr>
        <w:t>two</w:t>
      </w:r>
      <w:r>
        <w:rPr>
          <w:color w:val="211F1F"/>
          <w:spacing w:val="-8"/>
        </w:rPr>
        <w:t xml:space="preserve"> </w:t>
      </w:r>
      <w:r>
        <w:rPr>
          <w:color w:val="211F1F"/>
          <w:spacing w:val="-2"/>
        </w:rPr>
        <w:t>or more</w:t>
      </w:r>
      <w:r>
        <w:rPr>
          <w:color w:val="211F1F"/>
          <w:spacing w:val="-14"/>
        </w:rPr>
        <w:t xml:space="preserve"> </w:t>
      </w:r>
      <w:r>
        <w:rPr>
          <w:color w:val="211F1F"/>
          <w:spacing w:val="-2"/>
        </w:rPr>
        <w:t>parties</w:t>
      </w:r>
      <w:r>
        <w:rPr>
          <w:color w:val="211F1F"/>
          <w:spacing w:val="-7"/>
        </w:rPr>
        <w:t xml:space="preserve"> </w:t>
      </w:r>
      <w:r>
        <w:rPr>
          <w:color w:val="211F1F"/>
          <w:spacing w:val="-2"/>
        </w:rPr>
        <w:t>designed</w:t>
      </w:r>
      <w:r>
        <w:rPr>
          <w:color w:val="211F1F"/>
          <w:spacing w:val="-8"/>
        </w:rPr>
        <w:t xml:space="preserve"> </w:t>
      </w:r>
      <w:r>
        <w:rPr>
          <w:color w:val="211F1F"/>
          <w:spacing w:val="-2"/>
        </w:rPr>
        <w:t>to</w:t>
      </w:r>
      <w:r>
        <w:rPr>
          <w:color w:val="211F1F"/>
          <w:spacing w:val="-8"/>
        </w:rPr>
        <w:t xml:space="preserve"> </w:t>
      </w:r>
      <w:r>
        <w:rPr>
          <w:color w:val="211F1F"/>
          <w:spacing w:val="-2"/>
        </w:rPr>
        <w:t>achieve</w:t>
      </w:r>
      <w:r>
        <w:rPr>
          <w:color w:val="211F1F"/>
          <w:spacing w:val="-10"/>
        </w:rPr>
        <w:t xml:space="preserve"> </w:t>
      </w:r>
      <w:r>
        <w:rPr>
          <w:color w:val="211F1F"/>
          <w:spacing w:val="-2"/>
        </w:rPr>
        <w:t>an</w:t>
      </w:r>
      <w:r>
        <w:rPr>
          <w:color w:val="211F1F"/>
          <w:spacing w:val="-12"/>
        </w:rPr>
        <w:t xml:space="preserve"> </w:t>
      </w:r>
      <w:r>
        <w:rPr>
          <w:color w:val="211F1F"/>
          <w:spacing w:val="-2"/>
        </w:rPr>
        <w:t xml:space="preserve">improper </w:t>
      </w:r>
      <w:r>
        <w:rPr>
          <w:color w:val="211F1F"/>
        </w:rPr>
        <w:t>purpose, including to influence improperly the</w:t>
      </w:r>
      <w:r>
        <w:rPr>
          <w:color w:val="211F1F"/>
          <w:spacing w:val="-2"/>
        </w:rPr>
        <w:t xml:space="preserve"> </w:t>
      </w:r>
      <w:r>
        <w:rPr>
          <w:color w:val="211F1F"/>
        </w:rPr>
        <w:t>actions of another party;</w:t>
      </w:r>
    </w:p>
    <w:p w14:paraId="0567A264" w14:textId="77777777" w:rsidR="00BB77C0" w:rsidRDefault="00370BAA">
      <w:pPr>
        <w:pStyle w:val="ListParagraph"/>
        <w:numPr>
          <w:ilvl w:val="3"/>
          <w:numId w:val="40"/>
        </w:numPr>
        <w:tabs>
          <w:tab w:val="left" w:pos="2122"/>
        </w:tabs>
        <w:spacing w:line="232" w:lineRule="auto"/>
        <w:ind w:right="942" w:hanging="514"/>
      </w:pPr>
      <w:r>
        <w:rPr>
          <w:color w:val="211F1F"/>
          <w:spacing w:val="-2"/>
        </w:rPr>
        <w:t>“coercive</w:t>
      </w:r>
      <w:r>
        <w:rPr>
          <w:color w:val="211F1F"/>
          <w:spacing w:val="-14"/>
        </w:rPr>
        <w:t xml:space="preserve"> </w:t>
      </w:r>
      <w:r>
        <w:rPr>
          <w:color w:val="211F1F"/>
          <w:spacing w:val="-2"/>
        </w:rPr>
        <w:t>practice”</w:t>
      </w:r>
      <w:r>
        <w:rPr>
          <w:color w:val="211F1F"/>
          <w:spacing w:val="-10"/>
        </w:rPr>
        <w:t xml:space="preserve"> </w:t>
      </w:r>
      <w:r>
        <w:rPr>
          <w:color w:val="211F1F"/>
          <w:spacing w:val="-2"/>
        </w:rPr>
        <w:t>is</w:t>
      </w:r>
      <w:r>
        <w:rPr>
          <w:color w:val="211F1F"/>
          <w:spacing w:val="-10"/>
        </w:rPr>
        <w:t xml:space="preserve"> </w:t>
      </w:r>
      <w:r>
        <w:rPr>
          <w:color w:val="211F1F"/>
          <w:spacing w:val="-2"/>
        </w:rPr>
        <w:t>impairing</w:t>
      </w:r>
      <w:r>
        <w:rPr>
          <w:color w:val="211F1F"/>
          <w:spacing w:val="-10"/>
        </w:rPr>
        <w:t xml:space="preserve"> </w:t>
      </w:r>
      <w:r>
        <w:rPr>
          <w:color w:val="211F1F"/>
          <w:spacing w:val="-2"/>
        </w:rPr>
        <w:t>or</w:t>
      </w:r>
      <w:r>
        <w:rPr>
          <w:color w:val="211F1F"/>
          <w:spacing w:val="-8"/>
        </w:rPr>
        <w:t xml:space="preserve"> </w:t>
      </w:r>
      <w:r>
        <w:rPr>
          <w:color w:val="211F1F"/>
          <w:spacing w:val="-2"/>
        </w:rPr>
        <w:t>harming,</w:t>
      </w:r>
      <w:r>
        <w:rPr>
          <w:color w:val="211F1F"/>
          <w:spacing w:val="-4"/>
        </w:rPr>
        <w:t xml:space="preserve"> </w:t>
      </w:r>
      <w:r>
        <w:rPr>
          <w:color w:val="211F1F"/>
          <w:spacing w:val="-2"/>
        </w:rPr>
        <w:t>or</w:t>
      </w:r>
      <w:r>
        <w:rPr>
          <w:color w:val="211F1F"/>
          <w:spacing w:val="-8"/>
        </w:rPr>
        <w:t xml:space="preserve"> </w:t>
      </w:r>
      <w:r>
        <w:rPr>
          <w:color w:val="211F1F"/>
          <w:spacing w:val="-2"/>
        </w:rPr>
        <w:t>threatening</w:t>
      </w:r>
      <w:r>
        <w:rPr>
          <w:color w:val="211F1F"/>
          <w:spacing w:val="-9"/>
        </w:rPr>
        <w:t xml:space="preserve"> </w:t>
      </w:r>
      <w:r>
        <w:rPr>
          <w:color w:val="211F1F"/>
          <w:spacing w:val="-2"/>
        </w:rPr>
        <w:t>to</w:t>
      </w:r>
      <w:r>
        <w:rPr>
          <w:color w:val="211F1F"/>
          <w:spacing w:val="-10"/>
        </w:rPr>
        <w:t xml:space="preserve"> </w:t>
      </w:r>
      <w:r>
        <w:rPr>
          <w:color w:val="211F1F"/>
          <w:spacing w:val="-2"/>
        </w:rPr>
        <w:t>impair</w:t>
      </w:r>
      <w:r>
        <w:rPr>
          <w:color w:val="211F1F"/>
          <w:spacing w:val="-4"/>
        </w:rPr>
        <w:t xml:space="preserve"> </w:t>
      </w:r>
      <w:r>
        <w:rPr>
          <w:color w:val="211F1F"/>
          <w:spacing w:val="-2"/>
        </w:rPr>
        <w:t>or</w:t>
      </w:r>
      <w:r>
        <w:rPr>
          <w:color w:val="211F1F"/>
          <w:spacing w:val="-8"/>
        </w:rPr>
        <w:t xml:space="preserve"> </w:t>
      </w:r>
      <w:r>
        <w:rPr>
          <w:color w:val="211F1F"/>
          <w:spacing w:val="-2"/>
        </w:rPr>
        <w:t>harm,</w:t>
      </w:r>
      <w:r>
        <w:rPr>
          <w:color w:val="211F1F"/>
          <w:spacing w:val="-8"/>
        </w:rPr>
        <w:t xml:space="preserve"> </w:t>
      </w:r>
      <w:r>
        <w:rPr>
          <w:color w:val="211F1F"/>
          <w:spacing w:val="-2"/>
        </w:rPr>
        <w:t>directly</w:t>
      </w:r>
      <w:r>
        <w:rPr>
          <w:color w:val="211F1F"/>
          <w:spacing w:val="-10"/>
        </w:rPr>
        <w:t xml:space="preserve"> </w:t>
      </w:r>
      <w:r>
        <w:rPr>
          <w:color w:val="211F1F"/>
          <w:spacing w:val="-2"/>
        </w:rPr>
        <w:t>or</w:t>
      </w:r>
      <w:r>
        <w:rPr>
          <w:color w:val="211F1F"/>
          <w:spacing w:val="-3"/>
        </w:rPr>
        <w:t xml:space="preserve"> </w:t>
      </w:r>
      <w:r>
        <w:rPr>
          <w:color w:val="211F1F"/>
          <w:spacing w:val="-2"/>
        </w:rPr>
        <w:t xml:space="preserve">indirectly, </w:t>
      </w:r>
      <w:r>
        <w:rPr>
          <w:color w:val="211F1F"/>
        </w:rPr>
        <w:t>any</w:t>
      </w:r>
      <w:r>
        <w:rPr>
          <w:color w:val="211F1F"/>
          <w:spacing w:val="-19"/>
        </w:rPr>
        <w:t xml:space="preserve"> </w:t>
      </w:r>
      <w:r>
        <w:rPr>
          <w:color w:val="211F1F"/>
        </w:rPr>
        <w:t>party</w:t>
      </w:r>
      <w:r>
        <w:rPr>
          <w:color w:val="211F1F"/>
          <w:spacing w:val="-18"/>
        </w:rPr>
        <w:t xml:space="preserve"> </w:t>
      </w:r>
      <w:r>
        <w:rPr>
          <w:color w:val="211F1F"/>
        </w:rPr>
        <w:t>or</w:t>
      </w:r>
      <w:r>
        <w:rPr>
          <w:color w:val="211F1F"/>
          <w:spacing w:val="-16"/>
        </w:rPr>
        <w:t xml:space="preserve"> </w:t>
      </w:r>
      <w:r>
        <w:rPr>
          <w:color w:val="211F1F"/>
        </w:rPr>
        <w:t>the</w:t>
      </w:r>
      <w:r>
        <w:rPr>
          <w:color w:val="211F1F"/>
          <w:spacing w:val="-21"/>
        </w:rPr>
        <w:t xml:space="preserve"> </w:t>
      </w:r>
      <w:r>
        <w:rPr>
          <w:color w:val="211F1F"/>
        </w:rPr>
        <w:t>property</w:t>
      </w:r>
      <w:r>
        <w:rPr>
          <w:color w:val="211F1F"/>
          <w:spacing w:val="-18"/>
        </w:rPr>
        <w:t xml:space="preserve"> </w:t>
      </w:r>
      <w:r>
        <w:rPr>
          <w:color w:val="211F1F"/>
        </w:rPr>
        <w:t>of</w:t>
      </w:r>
      <w:r>
        <w:rPr>
          <w:color w:val="211F1F"/>
          <w:spacing w:val="-20"/>
        </w:rPr>
        <w:t xml:space="preserve"> </w:t>
      </w:r>
      <w:r>
        <w:rPr>
          <w:color w:val="211F1F"/>
        </w:rPr>
        <w:t>the</w:t>
      </w:r>
      <w:r>
        <w:rPr>
          <w:color w:val="211F1F"/>
          <w:spacing w:val="-21"/>
        </w:rPr>
        <w:t xml:space="preserve"> </w:t>
      </w:r>
      <w:r>
        <w:rPr>
          <w:color w:val="211F1F"/>
        </w:rPr>
        <w:t>party</w:t>
      </w:r>
      <w:r>
        <w:rPr>
          <w:color w:val="211F1F"/>
          <w:spacing w:val="-18"/>
        </w:rPr>
        <w:t xml:space="preserve"> </w:t>
      </w:r>
      <w:r>
        <w:rPr>
          <w:color w:val="211F1F"/>
        </w:rPr>
        <w:t>to</w:t>
      </w:r>
      <w:r>
        <w:rPr>
          <w:color w:val="211F1F"/>
          <w:spacing w:val="-19"/>
        </w:rPr>
        <w:t xml:space="preserve"> </w:t>
      </w:r>
      <w:r>
        <w:rPr>
          <w:color w:val="211F1F"/>
        </w:rPr>
        <w:t>influence</w:t>
      </w:r>
      <w:r>
        <w:rPr>
          <w:color w:val="211F1F"/>
          <w:spacing w:val="-20"/>
        </w:rPr>
        <w:t xml:space="preserve"> </w:t>
      </w:r>
      <w:r>
        <w:rPr>
          <w:color w:val="211F1F"/>
        </w:rPr>
        <w:t>improperly</w:t>
      </w:r>
      <w:r>
        <w:rPr>
          <w:color w:val="211F1F"/>
          <w:spacing w:val="-24"/>
        </w:rPr>
        <w:t xml:space="preserve"> </w:t>
      </w:r>
      <w:r>
        <w:rPr>
          <w:color w:val="211F1F"/>
        </w:rPr>
        <w:t>the</w:t>
      </w:r>
      <w:r>
        <w:rPr>
          <w:color w:val="211F1F"/>
          <w:spacing w:val="-20"/>
        </w:rPr>
        <w:t xml:space="preserve"> </w:t>
      </w:r>
      <w:r>
        <w:rPr>
          <w:color w:val="211F1F"/>
        </w:rPr>
        <w:t>actions</w:t>
      </w:r>
      <w:r>
        <w:rPr>
          <w:color w:val="211F1F"/>
          <w:spacing w:val="-13"/>
        </w:rPr>
        <w:t xml:space="preserve"> </w:t>
      </w:r>
      <w:r>
        <w:rPr>
          <w:color w:val="211F1F"/>
        </w:rPr>
        <w:t>of</w:t>
      </w:r>
      <w:r>
        <w:rPr>
          <w:color w:val="211F1F"/>
          <w:spacing w:val="-16"/>
        </w:rPr>
        <w:t xml:space="preserve"> </w:t>
      </w:r>
      <w:r>
        <w:rPr>
          <w:color w:val="211F1F"/>
        </w:rPr>
        <w:t>a</w:t>
      </w:r>
      <w:r>
        <w:rPr>
          <w:color w:val="211F1F"/>
          <w:spacing w:val="-16"/>
        </w:rPr>
        <w:t xml:space="preserve"> </w:t>
      </w:r>
      <w:r>
        <w:rPr>
          <w:color w:val="211F1F"/>
        </w:rPr>
        <w:t>party;</w:t>
      </w:r>
    </w:p>
    <w:p w14:paraId="73CD8F7F" w14:textId="77777777" w:rsidR="00BB77C0" w:rsidRDefault="00370BAA">
      <w:pPr>
        <w:pStyle w:val="ListParagraph"/>
        <w:numPr>
          <w:ilvl w:val="3"/>
          <w:numId w:val="40"/>
        </w:numPr>
        <w:tabs>
          <w:tab w:val="left" w:pos="2122"/>
        </w:tabs>
        <w:spacing w:line="250" w:lineRule="exact"/>
        <w:ind w:hanging="514"/>
      </w:pPr>
      <w:r>
        <w:rPr>
          <w:color w:val="211F1F"/>
          <w:spacing w:val="-4"/>
        </w:rPr>
        <w:t>“obstructive</w:t>
      </w:r>
      <w:r>
        <w:rPr>
          <w:color w:val="211F1F"/>
          <w:spacing w:val="-3"/>
        </w:rPr>
        <w:t xml:space="preserve"> </w:t>
      </w:r>
      <w:r>
        <w:rPr>
          <w:color w:val="211F1F"/>
          <w:spacing w:val="-4"/>
        </w:rPr>
        <w:t>practice”</w:t>
      </w:r>
      <w:r>
        <w:rPr>
          <w:color w:val="211F1F"/>
          <w:spacing w:val="10"/>
        </w:rPr>
        <w:t xml:space="preserve"> </w:t>
      </w:r>
      <w:r>
        <w:rPr>
          <w:color w:val="211F1F"/>
          <w:spacing w:val="-5"/>
        </w:rPr>
        <w:t>is:</w:t>
      </w:r>
    </w:p>
    <w:p w14:paraId="3006EBAE" w14:textId="77777777" w:rsidR="00BB77C0" w:rsidRDefault="00370BAA">
      <w:pPr>
        <w:pStyle w:val="ListParagraph"/>
        <w:numPr>
          <w:ilvl w:val="4"/>
          <w:numId w:val="40"/>
        </w:numPr>
        <w:tabs>
          <w:tab w:val="left" w:pos="2525"/>
          <w:tab w:val="left" w:pos="2530"/>
        </w:tabs>
        <w:spacing w:before="61" w:line="230" w:lineRule="auto"/>
        <w:ind w:right="705" w:hanging="408"/>
        <w:jc w:val="both"/>
      </w:pPr>
      <w:r>
        <w:rPr>
          <w:color w:val="211F1F"/>
        </w:rPr>
        <w:t>deliberately destroying, falsifying, altering, or concealing of evidence material to the investigation or making false statements to investigators in order to materially</w:t>
      </w:r>
      <w:r>
        <w:rPr>
          <w:color w:val="211F1F"/>
          <w:spacing w:val="40"/>
        </w:rPr>
        <w:t xml:space="preserve"> </w:t>
      </w:r>
      <w:r>
        <w:rPr>
          <w:color w:val="211F1F"/>
        </w:rPr>
        <w:t>impede investigation by Public Procurement Regulatory Authority (PPRA) or any other appropriate authority</w:t>
      </w:r>
      <w:r>
        <w:rPr>
          <w:color w:val="211F1F"/>
          <w:spacing w:val="-14"/>
        </w:rPr>
        <w:t xml:space="preserve"> </w:t>
      </w:r>
      <w:r>
        <w:rPr>
          <w:color w:val="211F1F"/>
        </w:rPr>
        <w:t>appointed</w:t>
      </w:r>
      <w:r>
        <w:rPr>
          <w:color w:val="211F1F"/>
          <w:spacing w:val="-14"/>
        </w:rPr>
        <w:t xml:space="preserve"> </w:t>
      </w:r>
      <w:r>
        <w:rPr>
          <w:color w:val="211F1F"/>
        </w:rPr>
        <w:t>by</w:t>
      </w:r>
      <w:r>
        <w:rPr>
          <w:color w:val="211F1F"/>
          <w:spacing w:val="-14"/>
        </w:rPr>
        <w:t xml:space="preserve"> </w:t>
      </w:r>
      <w:r>
        <w:rPr>
          <w:color w:val="211F1F"/>
        </w:rPr>
        <w:t>Government</w:t>
      </w:r>
      <w:r>
        <w:rPr>
          <w:color w:val="211F1F"/>
          <w:spacing w:val="-13"/>
        </w:rPr>
        <w:t xml:space="preserve"> </w:t>
      </w:r>
      <w:r>
        <w:rPr>
          <w:color w:val="211F1F"/>
        </w:rPr>
        <w:t>of</w:t>
      </w:r>
      <w:r>
        <w:rPr>
          <w:color w:val="211F1F"/>
          <w:spacing w:val="-14"/>
        </w:rPr>
        <w:t xml:space="preserve"> </w:t>
      </w:r>
      <w:r>
        <w:rPr>
          <w:color w:val="211F1F"/>
        </w:rPr>
        <w:t>Kenya</w:t>
      </w:r>
      <w:r>
        <w:rPr>
          <w:color w:val="211F1F"/>
          <w:spacing w:val="-14"/>
        </w:rPr>
        <w:t xml:space="preserve"> </w:t>
      </w:r>
      <w:r>
        <w:rPr>
          <w:color w:val="211F1F"/>
        </w:rPr>
        <w:t>into</w:t>
      </w:r>
      <w:r>
        <w:rPr>
          <w:color w:val="211F1F"/>
          <w:spacing w:val="-14"/>
        </w:rPr>
        <w:t xml:space="preserve"> </w:t>
      </w:r>
      <w:r>
        <w:rPr>
          <w:color w:val="211F1F"/>
        </w:rPr>
        <w:t>allegations</w:t>
      </w:r>
      <w:r>
        <w:rPr>
          <w:color w:val="211F1F"/>
          <w:spacing w:val="-11"/>
        </w:rPr>
        <w:t xml:space="preserve"> </w:t>
      </w:r>
      <w:r>
        <w:rPr>
          <w:color w:val="211F1F"/>
        </w:rPr>
        <w:t>of</w:t>
      </w:r>
      <w:r>
        <w:rPr>
          <w:color w:val="211F1F"/>
          <w:spacing w:val="-14"/>
        </w:rPr>
        <w:t xml:space="preserve"> </w:t>
      </w:r>
      <w:r>
        <w:rPr>
          <w:color w:val="211F1F"/>
        </w:rPr>
        <w:t>a</w:t>
      </w:r>
      <w:r>
        <w:rPr>
          <w:color w:val="211F1F"/>
          <w:spacing w:val="-10"/>
        </w:rPr>
        <w:t xml:space="preserve"> </w:t>
      </w:r>
      <w:r>
        <w:rPr>
          <w:color w:val="211F1F"/>
        </w:rPr>
        <w:t>corrupt, fraudulent,</w:t>
      </w:r>
      <w:r>
        <w:rPr>
          <w:color w:val="211F1F"/>
          <w:spacing w:val="-9"/>
        </w:rPr>
        <w:t xml:space="preserve"> </w:t>
      </w:r>
      <w:r>
        <w:rPr>
          <w:color w:val="211F1F"/>
        </w:rPr>
        <w:t>coercive, or</w:t>
      </w:r>
      <w:r>
        <w:rPr>
          <w:color w:val="211F1F"/>
          <w:spacing w:val="-2"/>
        </w:rPr>
        <w:t xml:space="preserve"> </w:t>
      </w:r>
      <w:r>
        <w:rPr>
          <w:color w:val="211F1F"/>
        </w:rPr>
        <w:t>collusive</w:t>
      </w:r>
      <w:r>
        <w:rPr>
          <w:color w:val="211F1F"/>
          <w:spacing w:val="-10"/>
        </w:rPr>
        <w:t xml:space="preserve"> </w:t>
      </w:r>
      <w:r>
        <w:rPr>
          <w:color w:val="211F1F"/>
        </w:rPr>
        <w:t>practice;</w:t>
      </w:r>
      <w:r>
        <w:rPr>
          <w:color w:val="211F1F"/>
          <w:spacing w:val="-3"/>
        </w:rPr>
        <w:t xml:space="preserve"> </w:t>
      </w:r>
      <w:r>
        <w:rPr>
          <w:color w:val="211F1F"/>
        </w:rPr>
        <w:t>and/or</w:t>
      </w:r>
      <w:r>
        <w:rPr>
          <w:color w:val="211F1F"/>
          <w:spacing w:val="-6"/>
        </w:rPr>
        <w:t xml:space="preserve"> </w:t>
      </w:r>
      <w:r>
        <w:rPr>
          <w:color w:val="211F1F"/>
        </w:rPr>
        <w:t>threatening,</w:t>
      </w:r>
      <w:r>
        <w:rPr>
          <w:color w:val="211F1F"/>
          <w:spacing w:val="-2"/>
        </w:rPr>
        <w:t xml:space="preserve"> </w:t>
      </w:r>
      <w:r>
        <w:rPr>
          <w:color w:val="211F1F"/>
        </w:rPr>
        <w:t>harassing,</w:t>
      </w:r>
      <w:r>
        <w:rPr>
          <w:color w:val="211F1F"/>
          <w:spacing w:val="-2"/>
        </w:rPr>
        <w:t xml:space="preserve"> </w:t>
      </w:r>
      <w:r>
        <w:rPr>
          <w:color w:val="211F1F"/>
        </w:rPr>
        <w:t>or</w:t>
      </w:r>
      <w:r>
        <w:rPr>
          <w:color w:val="211F1F"/>
          <w:spacing w:val="-6"/>
        </w:rPr>
        <w:t xml:space="preserve"> </w:t>
      </w:r>
      <w:r>
        <w:rPr>
          <w:color w:val="211F1F"/>
        </w:rPr>
        <w:t>intimidating</w:t>
      </w:r>
      <w:r>
        <w:rPr>
          <w:color w:val="211F1F"/>
          <w:spacing w:val="-8"/>
        </w:rPr>
        <w:t xml:space="preserve"> </w:t>
      </w:r>
      <w:r>
        <w:rPr>
          <w:color w:val="211F1F"/>
        </w:rPr>
        <w:t>any</w:t>
      </w:r>
      <w:r>
        <w:rPr>
          <w:color w:val="211F1F"/>
          <w:spacing w:val="-9"/>
        </w:rPr>
        <w:t xml:space="preserve"> </w:t>
      </w:r>
      <w:r>
        <w:rPr>
          <w:color w:val="211F1F"/>
        </w:rPr>
        <w:t>party</w:t>
      </w:r>
      <w:r>
        <w:rPr>
          <w:color w:val="211F1F"/>
          <w:spacing w:val="-9"/>
        </w:rPr>
        <w:t xml:space="preserve"> </w:t>
      </w:r>
      <w:r>
        <w:rPr>
          <w:color w:val="211F1F"/>
        </w:rPr>
        <w:t>to</w:t>
      </w:r>
      <w:r>
        <w:rPr>
          <w:color w:val="211F1F"/>
          <w:spacing w:val="-9"/>
        </w:rPr>
        <w:t xml:space="preserve"> </w:t>
      </w:r>
      <w:r>
        <w:rPr>
          <w:color w:val="211F1F"/>
        </w:rPr>
        <w:t>prevent</w:t>
      </w:r>
      <w:r>
        <w:rPr>
          <w:color w:val="211F1F"/>
          <w:spacing w:val="-3"/>
        </w:rPr>
        <w:t xml:space="preserve"> </w:t>
      </w:r>
      <w:r>
        <w:rPr>
          <w:color w:val="211F1F"/>
        </w:rPr>
        <w:t>it</w:t>
      </w:r>
      <w:r>
        <w:rPr>
          <w:color w:val="211F1F"/>
          <w:spacing w:val="-4"/>
        </w:rPr>
        <w:t xml:space="preserve"> </w:t>
      </w:r>
      <w:r>
        <w:rPr>
          <w:color w:val="211F1F"/>
        </w:rPr>
        <w:t>from disclosing its knowledge of matters relevant to the investigation or from pursuing the investigation;</w:t>
      </w:r>
      <w:r>
        <w:rPr>
          <w:color w:val="211F1F"/>
          <w:spacing w:val="-19"/>
        </w:rPr>
        <w:t xml:space="preserve"> </w:t>
      </w:r>
      <w:r>
        <w:rPr>
          <w:color w:val="211F1F"/>
        </w:rPr>
        <w:t>or</w:t>
      </w:r>
    </w:p>
    <w:p w14:paraId="148C4576" w14:textId="77777777" w:rsidR="00BB77C0" w:rsidRDefault="00370BAA">
      <w:pPr>
        <w:pStyle w:val="ListParagraph"/>
        <w:numPr>
          <w:ilvl w:val="4"/>
          <w:numId w:val="40"/>
        </w:numPr>
        <w:tabs>
          <w:tab w:val="left" w:pos="2519"/>
          <w:tab w:val="left" w:pos="2530"/>
        </w:tabs>
        <w:spacing w:before="66" w:line="237" w:lineRule="auto"/>
        <w:ind w:right="786"/>
        <w:jc w:val="both"/>
      </w:pPr>
      <w:r>
        <w:rPr>
          <w:color w:val="211F1F"/>
        </w:rPr>
        <w:t>acts intended to materially impede the exercise of the PPRA's or the appointed authority's inspection</w:t>
      </w:r>
      <w:r>
        <w:rPr>
          <w:color w:val="211F1F"/>
          <w:spacing w:val="-19"/>
        </w:rPr>
        <w:t xml:space="preserve"> </w:t>
      </w:r>
      <w:r>
        <w:rPr>
          <w:color w:val="211F1F"/>
        </w:rPr>
        <w:t>and</w:t>
      </w:r>
      <w:r>
        <w:rPr>
          <w:color w:val="211F1F"/>
          <w:spacing w:val="-14"/>
        </w:rPr>
        <w:t xml:space="preserve"> </w:t>
      </w:r>
      <w:r>
        <w:rPr>
          <w:color w:val="211F1F"/>
        </w:rPr>
        <w:t>audit</w:t>
      </w:r>
      <w:r>
        <w:rPr>
          <w:color w:val="211F1F"/>
          <w:spacing w:val="-12"/>
        </w:rPr>
        <w:t xml:space="preserve"> </w:t>
      </w:r>
      <w:r>
        <w:rPr>
          <w:color w:val="211F1F"/>
        </w:rPr>
        <w:t>rights</w:t>
      </w:r>
      <w:r>
        <w:rPr>
          <w:color w:val="211F1F"/>
          <w:spacing w:val="-19"/>
        </w:rPr>
        <w:t xml:space="preserve"> </w:t>
      </w:r>
      <w:r>
        <w:rPr>
          <w:color w:val="211F1F"/>
        </w:rPr>
        <w:t>provided</w:t>
      </w:r>
      <w:r>
        <w:rPr>
          <w:color w:val="211F1F"/>
          <w:spacing w:val="-13"/>
        </w:rPr>
        <w:t xml:space="preserve"> </w:t>
      </w:r>
      <w:r>
        <w:rPr>
          <w:color w:val="211F1F"/>
        </w:rPr>
        <w:t>for</w:t>
      </w:r>
      <w:r>
        <w:rPr>
          <w:color w:val="211F1F"/>
          <w:spacing w:val="-6"/>
        </w:rPr>
        <w:t xml:space="preserve"> </w:t>
      </w:r>
      <w:r>
        <w:rPr>
          <w:color w:val="211F1F"/>
        </w:rPr>
        <w:t>under</w:t>
      </w:r>
      <w:r>
        <w:rPr>
          <w:color w:val="211F1F"/>
          <w:spacing w:val="-4"/>
        </w:rPr>
        <w:t xml:space="preserve"> </w:t>
      </w:r>
      <w:r>
        <w:rPr>
          <w:color w:val="211F1F"/>
        </w:rPr>
        <w:t>paragraph</w:t>
      </w:r>
      <w:r>
        <w:rPr>
          <w:color w:val="211F1F"/>
          <w:spacing w:val="-20"/>
        </w:rPr>
        <w:t xml:space="preserve"> </w:t>
      </w:r>
      <w:r>
        <w:rPr>
          <w:color w:val="211F1F"/>
        </w:rPr>
        <w:t>2.3</w:t>
      </w:r>
      <w:r>
        <w:rPr>
          <w:color w:val="211F1F"/>
          <w:spacing w:val="-13"/>
        </w:rPr>
        <w:t xml:space="preserve"> </w:t>
      </w:r>
      <w:r>
        <w:rPr>
          <w:color w:val="211F1F"/>
        </w:rPr>
        <w:t>e.</w:t>
      </w:r>
      <w:r>
        <w:rPr>
          <w:color w:val="211F1F"/>
          <w:spacing w:val="-16"/>
        </w:rPr>
        <w:t xml:space="preserve"> </w:t>
      </w:r>
      <w:r>
        <w:rPr>
          <w:color w:val="211F1F"/>
        </w:rPr>
        <w:t>below.</w:t>
      </w:r>
    </w:p>
    <w:p w14:paraId="64516BC6" w14:textId="77777777" w:rsidR="00BB77C0" w:rsidRDefault="00370BAA">
      <w:pPr>
        <w:pStyle w:val="ListParagraph"/>
        <w:numPr>
          <w:ilvl w:val="2"/>
          <w:numId w:val="40"/>
        </w:numPr>
        <w:tabs>
          <w:tab w:val="left" w:pos="1597"/>
          <w:tab w:val="left" w:pos="1599"/>
        </w:tabs>
        <w:spacing w:before="233" w:line="232" w:lineRule="auto"/>
        <w:ind w:left="1599" w:right="724" w:hanging="548"/>
        <w:jc w:val="both"/>
      </w:pPr>
      <w:r>
        <w:rPr>
          <w:color w:val="211F1F"/>
        </w:rPr>
        <w:t>Defines more specifically, in accordance with the above procurement Act provisions set forth for fraudulent and collusive practices as follows:</w:t>
      </w:r>
    </w:p>
    <w:p w14:paraId="22A075B4" w14:textId="77777777" w:rsidR="00BB77C0" w:rsidRDefault="00370BAA">
      <w:pPr>
        <w:pStyle w:val="BodyText"/>
        <w:spacing w:before="241" w:line="230" w:lineRule="auto"/>
        <w:ind w:left="1599" w:right="704" w:firstLine="9"/>
        <w:jc w:val="both"/>
      </w:pPr>
      <w:r>
        <w:rPr>
          <w:color w:val="211F1F"/>
        </w:rPr>
        <w:t>"fraudulent practice"</w:t>
      </w:r>
      <w:r>
        <w:rPr>
          <w:color w:val="211F1F"/>
          <w:spacing w:val="-1"/>
        </w:rPr>
        <w:t xml:space="preserve"> </w:t>
      </w:r>
      <w:r>
        <w:rPr>
          <w:color w:val="211F1F"/>
        </w:rPr>
        <w:t>includes a misrepresentation</w:t>
      </w:r>
      <w:r>
        <w:rPr>
          <w:color w:val="211F1F"/>
          <w:spacing w:val="-2"/>
        </w:rPr>
        <w:t xml:space="preserve"> </w:t>
      </w:r>
      <w:r>
        <w:rPr>
          <w:color w:val="211F1F"/>
        </w:rPr>
        <w:t>of</w:t>
      </w:r>
      <w:r>
        <w:rPr>
          <w:color w:val="211F1F"/>
          <w:spacing w:val="-1"/>
        </w:rPr>
        <w:t xml:space="preserve"> </w:t>
      </w:r>
      <w:r>
        <w:rPr>
          <w:color w:val="211F1F"/>
        </w:rPr>
        <w:t>fact in</w:t>
      </w:r>
      <w:r>
        <w:rPr>
          <w:color w:val="211F1F"/>
          <w:spacing w:val="-3"/>
        </w:rPr>
        <w:t xml:space="preserve"> </w:t>
      </w:r>
      <w:r>
        <w:rPr>
          <w:color w:val="211F1F"/>
        </w:rPr>
        <w:t>order to</w:t>
      </w:r>
      <w:r>
        <w:rPr>
          <w:color w:val="211F1F"/>
          <w:spacing w:val="-3"/>
        </w:rPr>
        <w:t xml:space="preserve"> </w:t>
      </w:r>
      <w:r>
        <w:rPr>
          <w:color w:val="211F1F"/>
        </w:rPr>
        <w:t>influence</w:t>
      </w:r>
      <w:r>
        <w:rPr>
          <w:color w:val="211F1F"/>
          <w:spacing w:val="-6"/>
        </w:rPr>
        <w:t xml:space="preserve"> </w:t>
      </w:r>
      <w:r>
        <w:rPr>
          <w:color w:val="211F1F"/>
        </w:rPr>
        <w:t xml:space="preserve">a procurement or disposal process or the exercise of a contract to the detriment of the procuring entity or the tenderer or the </w:t>
      </w:r>
      <w:r>
        <w:rPr>
          <w:color w:val="211F1F"/>
          <w:spacing w:val="-2"/>
        </w:rPr>
        <w:t>contractor,</w:t>
      </w:r>
      <w:r>
        <w:rPr>
          <w:color w:val="211F1F"/>
          <w:spacing w:val="-12"/>
        </w:rPr>
        <w:t xml:space="preserve"> </w:t>
      </w:r>
      <w:r>
        <w:rPr>
          <w:color w:val="211F1F"/>
          <w:spacing w:val="-2"/>
        </w:rPr>
        <w:t>and</w:t>
      </w:r>
      <w:r>
        <w:rPr>
          <w:color w:val="211F1F"/>
          <w:spacing w:val="-12"/>
        </w:rPr>
        <w:t xml:space="preserve"> </w:t>
      </w:r>
      <w:r>
        <w:rPr>
          <w:color w:val="211F1F"/>
          <w:spacing w:val="-2"/>
        </w:rPr>
        <w:t>includes</w:t>
      </w:r>
      <w:r>
        <w:rPr>
          <w:color w:val="211F1F"/>
          <w:spacing w:val="-12"/>
        </w:rPr>
        <w:t xml:space="preserve"> </w:t>
      </w:r>
      <w:r>
        <w:rPr>
          <w:color w:val="211F1F"/>
          <w:spacing w:val="-2"/>
        </w:rPr>
        <w:t>collusive</w:t>
      </w:r>
      <w:r>
        <w:rPr>
          <w:color w:val="211F1F"/>
          <w:spacing w:val="-11"/>
        </w:rPr>
        <w:t xml:space="preserve"> </w:t>
      </w:r>
      <w:r>
        <w:rPr>
          <w:color w:val="211F1F"/>
          <w:spacing w:val="-2"/>
        </w:rPr>
        <w:t>practices</w:t>
      </w:r>
      <w:r>
        <w:rPr>
          <w:color w:val="211F1F"/>
          <w:spacing w:val="-7"/>
        </w:rPr>
        <w:t xml:space="preserve"> </w:t>
      </w:r>
      <w:r>
        <w:rPr>
          <w:color w:val="211F1F"/>
          <w:spacing w:val="-2"/>
        </w:rPr>
        <w:t>amongst</w:t>
      </w:r>
      <w:r>
        <w:rPr>
          <w:color w:val="211F1F"/>
          <w:spacing w:val="-7"/>
        </w:rPr>
        <w:t xml:space="preserve"> </w:t>
      </w:r>
      <w:r>
        <w:rPr>
          <w:color w:val="211F1F"/>
          <w:spacing w:val="-2"/>
        </w:rPr>
        <w:t>tenderers</w:t>
      </w:r>
      <w:r>
        <w:rPr>
          <w:color w:val="211F1F"/>
          <w:spacing w:val="-12"/>
        </w:rPr>
        <w:t xml:space="preserve"> </w:t>
      </w:r>
      <w:r>
        <w:rPr>
          <w:color w:val="211F1F"/>
          <w:spacing w:val="-2"/>
        </w:rPr>
        <w:t>prior</w:t>
      </w:r>
      <w:r>
        <w:rPr>
          <w:color w:val="211F1F"/>
          <w:spacing w:val="-9"/>
        </w:rPr>
        <w:t xml:space="preserve"> </w:t>
      </w:r>
      <w:r>
        <w:rPr>
          <w:color w:val="211F1F"/>
          <w:spacing w:val="-2"/>
        </w:rPr>
        <w:t>to</w:t>
      </w:r>
      <w:r>
        <w:rPr>
          <w:color w:val="211F1F"/>
          <w:spacing w:val="-12"/>
        </w:rPr>
        <w:t xml:space="preserve"> </w:t>
      </w:r>
      <w:r>
        <w:rPr>
          <w:color w:val="211F1F"/>
          <w:spacing w:val="-2"/>
        </w:rPr>
        <w:t>or</w:t>
      </w:r>
      <w:r>
        <w:rPr>
          <w:color w:val="211F1F"/>
          <w:spacing w:val="-10"/>
        </w:rPr>
        <w:t xml:space="preserve"> </w:t>
      </w:r>
      <w:r>
        <w:rPr>
          <w:color w:val="211F1F"/>
          <w:spacing w:val="-2"/>
        </w:rPr>
        <w:t>after</w:t>
      </w:r>
      <w:r>
        <w:rPr>
          <w:color w:val="211F1F"/>
          <w:spacing w:val="-10"/>
        </w:rPr>
        <w:t xml:space="preserve"> </w:t>
      </w:r>
      <w:r>
        <w:rPr>
          <w:color w:val="211F1F"/>
          <w:spacing w:val="-2"/>
        </w:rPr>
        <w:t>tendersubmission</w:t>
      </w:r>
      <w:r>
        <w:rPr>
          <w:color w:val="211F1F"/>
          <w:spacing w:val="-12"/>
        </w:rPr>
        <w:t xml:space="preserve"> </w:t>
      </w:r>
      <w:r>
        <w:rPr>
          <w:color w:val="211F1F"/>
          <w:spacing w:val="-2"/>
        </w:rPr>
        <w:t>designed</w:t>
      </w:r>
      <w:r>
        <w:rPr>
          <w:color w:val="211F1F"/>
          <w:spacing w:val="15"/>
        </w:rPr>
        <w:t xml:space="preserve"> </w:t>
      </w:r>
      <w:r>
        <w:rPr>
          <w:color w:val="211F1F"/>
          <w:spacing w:val="-2"/>
        </w:rPr>
        <w:t xml:space="preserve">to </w:t>
      </w:r>
      <w:r>
        <w:rPr>
          <w:color w:val="211F1F"/>
        </w:rPr>
        <w:t>establish</w:t>
      </w:r>
      <w:r>
        <w:rPr>
          <w:color w:val="211F1F"/>
          <w:spacing w:val="-14"/>
        </w:rPr>
        <w:t xml:space="preserve"> </w:t>
      </w:r>
      <w:r>
        <w:rPr>
          <w:color w:val="211F1F"/>
        </w:rPr>
        <w:t>tender</w:t>
      </w:r>
      <w:r>
        <w:rPr>
          <w:color w:val="211F1F"/>
          <w:spacing w:val="-14"/>
        </w:rPr>
        <w:t xml:space="preserve"> </w:t>
      </w:r>
      <w:r>
        <w:rPr>
          <w:color w:val="211F1F"/>
        </w:rPr>
        <w:t>prices</w:t>
      </w:r>
      <w:r>
        <w:rPr>
          <w:color w:val="211F1F"/>
          <w:spacing w:val="-14"/>
        </w:rPr>
        <w:t xml:space="preserve"> </w:t>
      </w:r>
      <w:r>
        <w:rPr>
          <w:color w:val="211F1F"/>
        </w:rPr>
        <w:t>at</w:t>
      </w:r>
      <w:r>
        <w:rPr>
          <w:color w:val="211F1F"/>
          <w:spacing w:val="-13"/>
        </w:rPr>
        <w:t xml:space="preserve"> </w:t>
      </w:r>
      <w:r>
        <w:rPr>
          <w:color w:val="211F1F"/>
        </w:rPr>
        <w:t>artificial</w:t>
      </w:r>
      <w:r>
        <w:rPr>
          <w:color w:val="211F1F"/>
          <w:spacing w:val="-14"/>
        </w:rPr>
        <w:t xml:space="preserve"> </w:t>
      </w:r>
      <w:r>
        <w:rPr>
          <w:color w:val="211F1F"/>
        </w:rPr>
        <w:t>non-competitive</w:t>
      </w:r>
      <w:r>
        <w:rPr>
          <w:color w:val="211F1F"/>
          <w:spacing w:val="-14"/>
        </w:rPr>
        <w:t xml:space="preserve"> </w:t>
      </w:r>
      <w:r>
        <w:rPr>
          <w:color w:val="211F1F"/>
        </w:rPr>
        <w:t>levels</w:t>
      </w:r>
      <w:r>
        <w:rPr>
          <w:color w:val="211F1F"/>
          <w:spacing w:val="-14"/>
        </w:rPr>
        <w:t xml:space="preserve"> </w:t>
      </w:r>
      <w:r>
        <w:rPr>
          <w:color w:val="211F1F"/>
        </w:rPr>
        <w:t>and</w:t>
      </w:r>
      <w:r>
        <w:rPr>
          <w:color w:val="211F1F"/>
          <w:spacing w:val="-13"/>
        </w:rPr>
        <w:t xml:space="preserve"> </w:t>
      </w:r>
      <w:r>
        <w:rPr>
          <w:color w:val="211F1F"/>
        </w:rPr>
        <w:t>to</w:t>
      </w:r>
      <w:r>
        <w:rPr>
          <w:color w:val="211F1F"/>
          <w:spacing w:val="-14"/>
        </w:rPr>
        <w:t xml:space="preserve"> </w:t>
      </w:r>
      <w:r>
        <w:rPr>
          <w:color w:val="211F1F"/>
        </w:rPr>
        <w:t>deprive</w:t>
      </w:r>
      <w:r>
        <w:rPr>
          <w:color w:val="211F1F"/>
          <w:spacing w:val="-14"/>
        </w:rPr>
        <w:t xml:space="preserve"> </w:t>
      </w:r>
      <w:r>
        <w:rPr>
          <w:color w:val="211F1F"/>
        </w:rPr>
        <w:t>the</w:t>
      </w:r>
      <w:r>
        <w:rPr>
          <w:color w:val="211F1F"/>
          <w:spacing w:val="-14"/>
        </w:rPr>
        <w:t xml:space="preserve"> </w:t>
      </w:r>
      <w:r>
        <w:rPr>
          <w:color w:val="211F1F"/>
        </w:rPr>
        <w:t>procuring</w:t>
      </w:r>
      <w:r>
        <w:rPr>
          <w:color w:val="211F1F"/>
          <w:spacing w:val="-13"/>
        </w:rPr>
        <w:t xml:space="preserve"> </w:t>
      </w:r>
      <w:r>
        <w:rPr>
          <w:color w:val="211F1F"/>
        </w:rPr>
        <w:t>entity</w:t>
      </w:r>
      <w:r>
        <w:rPr>
          <w:color w:val="211F1F"/>
          <w:spacing w:val="-14"/>
        </w:rPr>
        <w:t xml:space="preserve"> </w:t>
      </w:r>
      <w:r>
        <w:rPr>
          <w:color w:val="211F1F"/>
        </w:rPr>
        <w:t>of</w:t>
      </w:r>
      <w:r>
        <w:rPr>
          <w:color w:val="211F1F"/>
          <w:spacing w:val="-14"/>
        </w:rPr>
        <w:t xml:space="preserve"> </w:t>
      </w:r>
      <w:r>
        <w:rPr>
          <w:color w:val="211F1F"/>
        </w:rPr>
        <w:t>the</w:t>
      </w:r>
      <w:r>
        <w:rPr>
          <w:color w:val="211F1F"/>
          <w:spacing w:val="-14"/>
        </w:rPr>
        <w:t xml:space="preserve"> </w:t>
      </w:r>
      <w:r>
        <w:rPr>
          <w:color w:val="211F1F"/>
        </w:rPr>
        <w:t>benefits of free and open competition.</w:t>
      </w:r>
    </w:p>
    <w:p w14:paraId="00D04E04" w14:textId="77777777" w:rsidR="00BB77C0" w:rsidRDefault="00370BAA">
      <w:pPr>
        <w:pStyle w:val="ListParagraph"/>
        <w:numPr>
          <w:ilvl w:val="2"/>
          <w:numId w:val="40"/>
        </w:numPr>
        <w:tabs>
          <w:tab w:val="left" w:pos="1592"/>
          <w:tab w:val="left" w:pos="1599"/>
        </w:tabs>
        <w:spacing w:before="238" w:line="230" w:lineRule="auto"/>
        <w:ind w:left="1599" w:right="714" w:hanging="548"/>
        <w:jc w:val="both"/>
      </w:pPr>
      <w:r>
        <w:rPr>
          <w:color w:val="211F1F"/>
        </w:rPr>
        <w:t>Rejects a proposal for award</w:t>
      </w:r>
      <w:r>
        <w:rPr>
          <w:color w:val="211F1F"/>
          <w:position w:val="11"/>
          <w:sz w:val="11"/>
        </w:rPr>
        <w:t>1</w:t>
      </w:r>
      <w:r>
        <w:rPr>
          <w:color w:val="211F1F"/>
          <w:spacing w:val="30"/>
          <w:position w:val="11"/>
          <w:sz w:val="11"/>
        </w:rPr>
        <w:t xml:space="preserve"> </w:t>
      </w:r>
      <w:r>
        <w:rPr>
          <w:color w:val="211F1F"/>
        </w:rPr>
        <w:t>of a contract if PPRA</w:t>
      </w:r>
      <w:r>
        <w:rPr>
          <w:color w:val="211F1F"/>
          <w:spacing w:val="-13"/>
        </w:rPr>
        <w:t xml:space="preserve"> </w:t>
      </w:r>
      <w:r>
        <w:rPr>
          <w:color w:val="211F1F"/>
        </w:rPr>
        <w:t>determines that the</w:t>
      </w:r>
      <w:r>
        <w:rPr>
          <w:color w:val="211F1F"/>
          <w:spacing w:val="-2"/>
        </w:rPr>
        <w:t xml:space="preserve"> </w:t>
      </w:r>
      <w:r>
        <w:rPr>
          <w:color w:val="211F1F"/>
        </w:rPr>
        <w:t>firm</w:t>
      </w:r>
      <w:r>
        <w:rPr>
          <w:color w:val="211F1F"/>
          <w:spacing w:val="-4"/>
        </w:rPr>
        <w:t xml:space="preserve"> </w:t>
      </w:r>
      <w:r>
        <w:rPr>
          <w:color w:val="211F1F"/>
        </w:rPr>
        <w:t>or individual recommended for award, any of its personnel, or its agents, or its sub-consultants, sub-contractors, service providers, suppliers and/ or their employees, has, directly or indirectly, engaged in corrupt, fraudulent, collusive, coercive, or obstructive</w:t>
      </w:r>
      <w:r>
        <w:rPr>
          <w:color w:val="211F1F"/>
          <w:spacing w:val="-3"/>
        </w:rPr>
        <w:t xml:space="preserve"> </w:t>
      </w:r>
      <w:r>
        <w:rPr>
          <w:color w:val="211F1F"/>
        </w:rPr>
        <w:t>practices in competing for the</w:t>
      </w:r>
      <w:r>
        <w:rPr>
          <w:color w:val="211F1F"/>
          <w:spacing w:val="-3"/>
        </w:rPr>
        <w:t xml:space="preserve"> </w:t>
      </w:r>
      <w:r>
        <w:rPr>
          <w:color w:val="211F1F"/>
        </w:rPr>
        <w:t>contract in question;</w:t>
      </w:r>
    </w:p>
    <w:p w14:paraId="524D97D7" w14:textId="77777777" w:rsidR="00BB77C0" w:rsidRDefault="00370BAA">
      <w:pPr>
        <w:pStyle w:val="ListParagraph"/>
        <w:numPr>
          <w:ilvl w:val="2"/>
          <w:numId w:val="40"/>
        </w:numPr>
        <w:tabs>
          <w:tab w:val="left" w:pos="1602"/>
          <w:tab w:val="left" w:pos="1604"/>
        </w:tabs>
        <w:spacing w:before="244" w:line="230" w:lineRule="auto"/>
        <w:ind w:left="1604" w:right="709" w:hanging="553"/>
        <w:jc w:val="both"/>
      </w:pPr>
      <w:r>
        <w:rPr>
          <w:color w:val="211F1F"/>
        </w:rPr>
        <w:t xml:space="preserve">Pursuant to the Kenya's above stated Acts and Regulations, may sanction or recommend to appropriate authority (ies) for sanctioning and debarment of a firm or individual, as applicable under the Acts and </w:t>
      </w:r>
      <w:r>
        <w:rPr>
          <w:color w:val="211F1F"/>
          <w:spacing w:val="-2"/>
        </w:rPr>
        <w:t>Regulations;</w:t>
      </w:r>
    </w:p>
    <w:p w14:paraId="05C6E947" w14:textId="77777777" w:rsidR="00BB77C0" w:rsidRDefault="00370BAA">
      <w:pPr>
        <w:pStyle w:val="ListParagraph"/>
        <w:numPr>
          <w:ilvl w:val="2"/>
          <w:numId w:val="40"/>
        </w:numPr>
        <w:tabs>
          <w:tab w:val="left" w:pos="1602"/>
          <w:tab w:val="left" w:pos="1604"/>
        </w:tabs>
        <w:spacing w:before="241" w:line="230" w:lineRule="auto"/>
        <w:ind w:left="1604" w:right="707" w:hanging="553"/>
        <w:jc w:val="both"/>
      </w:pPr>
      <w:r>
        <w:rPr>
          <w:color w:val="211F1F"/>
        </w:rPr>
        <w:t>Requires</w:t>
      </w:r>
      <w:r>
        <w:rPr>
          <w:color w:val="211F1F"/>
          <w:spacing w:val="-10"/>
        </w:rPr>
        <w:t xml:space="preserve"> </w:t>
      </w:r>
      <w:r>
        <w:rPr>
          <w:color w:val="211F1F"/>
        </w:rPr>
        <w:t>that</w:t>
      </w:r>
      <w:r>
        <w:rPr>
          <w:color w:val="211F1F"/>
          <w:spacing w:val="-7"/>
        </w:rPr>
        <w:t xml:space="preserve"> </w:t>
      </w:r>
      <w:r>
        <w:rPr>
          <w:color w:val="211F1F"/>
        </w:rPr>
        <w:t>a</w:t>
      </w:r>
      <w:r>
        <w:rPr>
          <w:color w:val="211F1F"/>
          <w:spacing w:val="-6"/>
        </w:rPr>
        <w:t xml:space="preserve"> </w:t>
      </w:r>
      <w:r>
        <w:rPr>
          <w:color w:val="211F1F"/>
        </w:rPr>
        <w:t>clause</w:t>
      </w:r>
      <w:r>
        <w:rPr>
          <w:color w:val="211F1F"/>
          <w:spacing w:val="-14"/>
        </w:rPr>
        <w:t xml:space="preserve"> </w:t>
      </w:r>
      <w:r>
        <w:rPr>
          <w:color w:val="211F1F"/>
        </w:rPr>
        <w:t>be</w:t>
      </w:r>
      <w:r>
        <w:rPr>
          <w:color w:val="211F1F"/>
          <w:spacing w:val="-14"/>
        </w:rPr>
        <w:t xml:space="preserve"> </w:t>
      </w:r>
      <w:r>
        <w:rPr>
          <w:color w:val="211F1F"/>
        </w:rPr>
        <w:t>included</w:t>
      </w:r>
      <w:r>
        <w:rPr>
          <w:color w:val="211F1F"/>
          <w:spacing w:val="-7"/>
        </w:rPr>
        <w:t xml:space="preserve"> </w:t>
      </w:r>
      <w:r>
        <w:rPr>
          <w:color w:val="211F1F"/>
        </w:rPr>
        <w:t>in</w:t>
      </w:r>
      <w:r>
        <w:rPr>
          <w:color w:val="211F1F"/>
          <w:spacing w:val="-14"/>
        </w:rPr>
        <w:t xml:space="preserve"> </w:t>
      </w:r>
      <w:r>
        <w:rPr>
          <w:color w:val="211F1F"/>
        </w:rPr>
        <w:t>Tender</w:t>
      </w:r>
      <w:r>
        <w:rPr>
          <w:color w:val="211F1F"/>
          <w:spacing w:val="-5"/>
        </w:rPr>
        <w:t xml:space="preserve"> </w:t>
      </w:r>
      <w:r>
        <w:rPr>
          <w:color w:val="211F1F"/>
        </w:rPr>
        <w:t>documents</w:t>
      </w:r>
      <w:r>
        <w:rPr>
          <w:color w:val="211F1F"/>
          <w:spacing w:val="-3"/>
        </w:rPr>
        <w:t xml:space="preserve"> </w:t>
      </w:r>
      <w:r>
        <w:rPr>
          <w:color w:val="211F1F"/>
        </w:rPr>
        <w:t>and</w:t>
      </w:r>
      <w:r>
        <w:rPr>
          <w:color w:val="211F1F"/>
          <w:spacing w:val="-8"/>
        </w:rPr>
        <w:t xml:space="preserve"> </w:t>
      </w:r>
      <w:r>
        <w:rPr>
          <w:color w:val="211F1F"/>
        </w:rPr>
        <w:t>Request</w:t>
      </w:r>
      <w:r>
        <w:rPr>
          <w:color w:val="211F1F"/>
          <w:spacing w:val="-1"/>
        </w:rPr>
        <w:t xml:space="preserve"> </w:t>
      </w:r>
      <w:r>
        <w:rPr>
          <w:color w:val="211F1F"/>
        </w:rPr>
        <w:t>for</w:t>
      </w:r>
      <w:r>
        <w:rPr>
          <w:color w:val="211F1F"/>
          <w:spacing w:val="-5"/>
        </w:rPr>
        <w:t xml:space="preserve"> </w:t>
      </w:r>
      <w:r>
        <w:rPr>
          <w:color w:val="211F1F"/>
        </w:rPr>
        <w:t>Proposal</w:t>
      </w:r>
      <w:r>
        <w:rPr>
          <w:color w:val="211F1F"/>
          <w:spacing w:val="-10"/>
        </w:rPr>
        <w:t xml:space="preserve"> </w:t>
      </w:r>
      <w:r>
        <w:rPr>
          <w:color w:val="211F1F"/>
        </w:rPr>
        <w:t>documents</w:t>
      </w:r>
      <w:r>
        <w:rPr>
          <w:color w:val="211F1F"/>
          <w:spacing w:val="-3"/>
        </w:rPr>
        <w:t xml:space="preserve"> </w:t>
      </w:r>
      <w:r>
        <w:rPr>
          <w:color w:val="211F1F"/>
        </w:rPr>
        <w:t>requiring</w:t>
      </w:r>
      <w:r>
        <w:rPr>
          <w:color w:val="211F1F"/>
          <w:spacing w:val="-7"/>
        </w:rPr>
        <w:t xml:space="preserve"> </w:t>
      </w:r>
      <w:r>
        <w:rPr>
          <w:color w:val="211F1F"/>
        </w:rPr>
        <w:t>(i) Tenderers (applicants/proposers), Consultants, Contractors, and Suppliers, and their Sub-contractors, Sub-consultants, Service providers, Suppliers, Agents personnel, permit the PPRA or any other appropriate authority appointed by Government of Kenya to inspect</w:t>
      </w:r>
      <w:r>
        <w:rPr>
          <w:color w:val="211F1F"/>
          <w:position w:val="11"/>
          <w:sz w:val="11"/>
        </w:rPr>
        <w:t>2</w:t>
      </w:r>
      <w:r>
        <w:rPr>
          <w:color w:val="211F1F"/>
          <w:spacing w:val="34"/>
          <w:position w:val="11"/>
          <w:sz w:val="11"/>
        </w:rPr>
        <w:t xml:space="preserve"> </w:t>
      </w:r>
      <w:r>
        <w:rPr>
          <w:color w:val="211F1F"/>
        </w:rPr>
        <w:t>all accounts, records and other documents relating to the procurement process, selection and/or contract execution, and to have them audited by auditors appointed by the</w:t>
      </w:r>
      <w:r>
        <w:rPr>
          <w:color w:val="211F1F"/>
          <w:spacing w:val="-1"/>
        </w:rPr>
        <w:t xml:space="preserve"> </w:t>
      </w:r>
      <w:r>
        <w:rPr>
          <w:color w:val="211F1F"/>
        </w:rPr>
        <w:t>PPRA</w:t>
      </w:r>
      <w:r>
        <w:rPr>
          <w:color w:val="211F1F"/>
          <w:spacing w:val="-14"/>
        </w:rPr>
        <w:t xml:space="preserve"> </w:t>
      </w:r>
      <w:r>
        <w:rPr>
          <w:color w:val="211F1F"/>
        </w:rPr>
        <w:t>or any other appropriate</w:t>
      </w:r>
      <w:r>
        <w:rPr>
          <w:color w:val="211F1F"/>
          <w:spacing w:val="-1"/>
        </w:rPr>
        <w:t xml:space="preserve"> </w:t>
      </w:r>
      <w:r>
        <w:rPr>
          <w:color w:val="211F1F"/>
        </w:rPr>
        <w:t>authority appointed by Government of Kenya; and</w:t>
      </w:r>
    </w:p>
    <w:p w14:paraId="3AF00363" w14:textId="77777777" w:rsidR="00BB77C0" w:rsidRDefault="00370BAA">
      <w:pPr>
        <w:pStyle w:val="ListParagraph"/>
        <w:numPr>
          <w:ilvl w:val="2"/>
          <w:numId w:val="40"/>
        </w:numPr>
        <w:tabs>
          <w:tab w:val="left" w:pos="1602"/>
          <w:tab w:val="left" w:pos="1604"/>
        </w:tabs>
        <w:spacing w:before="237" w:line="230" w:lineRule="auto"/>
        <w:ind w:left="1604" w:right="716" w:hanging="553"/>
        <w:jc w:val="both"/>
      </w:pPr>
      <w:r>
        <w:rPr>
          <w:color w:val="211F1F"/>
        </w:rPr>
        <w:t>Pursuant to Section 62 of the above Act, requires Applicants/Tenderers to submit along with their Applications/Tenders/Proposals a “Self-Declaration Form” as included in the procurement document declaring that they and all parties involved in the procurement process and contract execution have not engaged/will not engage in any corrupt or fraudulent practices.</w:t>
      </w:r>
    </w:p>
    <w:p w14:paraId="24BEC874" w14:textId="77777777" w:rsidR="00BB77C0" w:rsidRDefault="00BB77C0">
      <w:pPr>
        <w:pStyle w:val="BodyText"/>
        <w:rPr>
          <w:sz w:val="20"/>
        </w:rPr>
      </w:pPr>
    </w:p>
    <w:p w14:paraId="461CDBAA" w14:textId="77777777" w:rsidR="00BB77C0" w:rsidRDefault="00BB77C0">
      <w:pPr>
        <w:pStyle w:val="BodyText"/>
        <w:rPr>
          <w:sz w:val="20"/>
        </w:rPr>
      </w:pPr>
    </w:p>
    <w:p w14:paraId="5C23D436" w14:textId="77777777" w:rsidR="00BB77C0" w:rsidRDefault="00BB77C0">
      <w:pPr>
        <w:pStyle w:val="BodyText"/>
        <w:rPr>
          <w:sz w:val="20"/>
        </w:rPr>
      </w:pPr>
    </w:p>
    <w:p w14:paraId="6590F215" w14:textId="77777777" w:rsidR="00BB77C0" w:rsidRDefault="00BB77C0">
      <w:pPr>
        <w:pStyle w:val="BodyText"/>
        <w:rPr>
          <w:sz w:val="20"/>
        </w:rPr>
      </w:pPr>
    </w:p>
    <w:p w14:paraId="04A40100" w14:textId="77777777" w:rsidR="00BB77C0" w:rsidRDefault="00BB77C0">
      <w:pPr>
        <w:pStyle w:val="BodyText"/>
        <w:rPr>
          <w:sz w:val="20"/>
        </w:rPr>
      </w:pPr>
    </w:p>
    <w:p w14:paraId="22C709A9" w14:textId="77777777" w:rsidR="00BB77C0" w:rsidRDefault="00370BAA">
      <w:pPr>
        <w:pStyle w:val="BodyText"/>
        <w:spacing w:before="55"/>
        <w:rPr>
          <w:sz w:val="20"/>
        </w:rPr>
      </w:pPr>
      <w:r>
        <w:rPr>
          <w:noProof/>
          <w:sz w:val="20"/>
        </w:rPr>
        <mc:AlternateContent>
          <mc:Choice Requires="wps">
            <w:drawing>
              <wp:anchor distT="0" distB="0" distL="0" distR="0" simplePos="0" relativeHeight="487625216" behindDoc="1" locked="0" layoutInCell="1" allowOverlap="1" wp14:anchorId="723C3B6B" wp14:editId="0BC063FF">
                <wp:simplePos x="0" y="0"/>
                <wp:positionH relativeFrom="page">
                  <wp:posOffset>655319</wp:posOffset>
                </wp:positionH>
                <wp:positionV relativeFrom="paragraph">
                  <wp:posOffset>196278</wp:posOffset>
                </wp:positionV>
                <wp:extent cx="3657600" cy="1270"/>
                <wp:effectExtent l="0" t="0" r="0" b="0"/>
                <wp:wrapTopAndBottom/>
                <wp:docPr id="324" name="Graphic 3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57600" cy="1270"/>
                        </a:xfrm>
                        <a:custGeom>
                          <a:avLst/>
                          <a:gdLst/>
                          <a:ahLst/>
                          <a:cxnLst/>
                          <a:rect l="l" t="t" r="r" b="b"/>
                          <a:pathLst>
                            <a:path w="3657600">
                              <a:moveTo>
                                <a:pt x="0" y="0"/>
                              </a:moveTo>
                              <a:lnTo>
                                <a:pt x="3657600" y="0"/>
                              </a:lnTo>
                            </a:path>
                          </a:pathLst>
                        </a:custGeom>
                        <a:ln w="3051">
                          <a:solidFill>
                            <a:srgbClr val="211F1F"/>
                          </a:solidFill>
                          <a:prstDash val="solid"/>
                        </a:ln>
                      </wps:spPr>
                      <wps:bodyPr wrap="square" lIns="0" tIns="0" rIns="0" bIns="0" rtlCol="0">
                        <a:prstTxWarp prst="textNoShape">
                          <a:avLst/>
                        </a:prstTxWarp>
                        <a:noAutofit/>
                      </wps:bodyPr>
                    </wps:wsp>
                  </a:graphicData>
                </a:graphic>
              </wp:anchor>
            </w:drawing>
          </mc:Choice>
          <mc:Fallback>
            <w:pict>
              <v:shape w14:anchorId="5A658BBE" id="Graphic 324" o:spid="_x0000_s1026" style="position:absolute;margin-left:51.6pt;margin-top:15.45pt;width:4in;height:.1pt;z-index:-15691264;visibility:visible;mso-wrap-style:square;mso-wrap-distance-left:0;mso-wrap-distance-top:0;mso-wrap-distance-right:0;mso-wrap-distance-bottom:0;mso-position-horizontal:absolute;mso-position-horizontal-relative:page;mso-position-vertical:absolute;mso-position-vertical-relative:text;v-text-anchor:top" coordsize="3657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" path="m,l3657600,e" filled="f" strokecolor="#211f1f" strokeweight=".08475mm">
                <v:path arrowok="t"/>
                <w10:wrap type="topAndBottom" anchorx="page"/>
              </v:shape>
            </w:pict>
          </mc:Fallback>
        </mc:AlternateContent>
      </w:r>
    </w:p>
    <w:p w14:paraId="48CA55C3" w14:textId="77777777" w:rsidR="00BB77C0" w:rsidRDefault="00370BAA">
      <w:pPr>
        <w:spacing w:before="155" w:line="216" w:lineRule="auto"/>
        <w:ind w:left="494" w:right="587"/>
        <w:rPr>
          <w:i/>
          <w:sz w:val="18"/>
        </w:rPr>
      </w:pPr>
      <w:r>
        <w:rPr>
          <w:i/>
          <w:color w:val="211F1F"/>
          <w:position w:val="8"/>
          <w:sz w:val="18"/>
        </w:rPr>
        <w:t>1</w:t>
      </w:r>
      <w:r>
        <w:rPr>
          <w:i/>
          <w:color w:val="211F1F"/>
          <w:sz w:val="18"/>
        </w:rPr>
        <w:t>For the</w:t>
      </w:r>
      <w:r>
        <w:rPr>
          <w:i/>
          <w:color w:val="211F1F"/>
          <w:spacing w:val="-4"/>
          <w:sz w:val="18"/>
        </w:rPr>
        <w:t xml:space="preserve"> </w:t>
      </w:r>
      <w:r>
        <w:rPr>
          <w:i/>
          <w:color w:val="211F1F"/>
          <w:sz w:val="18"/>
        </w:rPr>
        <w:t>avoidance</w:t>
      </w:r>
      <w:r>
        <w:rPr>
          <w:i/>
          <w:color w:val="211F1F"/>
          <w:spacing w:val="-2"/>
          <w:sz w:val="18"/>
        </w:rPr>
        <w:t xml:space="preserve"> </w:t>
      </w:r>
      <w:r>
        <w:rPr>
          <w:i/>
          <w:color w:val="211F1F"/>
          <w:sz w:val="18"/>
        </w:rPr>
        <w:t>of</w:t>
      </w:r>
      <w:r>
        <w:rPr>
          <w:i/>
          <w:color w:val="211F1F"/>
          <w:spacing w:val="-2"/>
          <w:sz w:val="18"/>
        </w:rPr>
        <w:t xml:space="preserve"> </w:t>
      </w:r>
      <w:r>
        <w:rPr>
          <w:i/>
          <w:color w:val="211F1F"/>
          <w:sz w:val="18"/>
        </w:rPr>
        <w:t>doubt,</w:t>
      </w:r>
      <w:r>
        <w:rPr>
          <w:i/>
          <w:color w:val="211F1F"/>
          <w:spacing w:val="-1"/>
          <w:sz w:val="18"/>
        </w:rPr>
        <w:t xml:space="preserve"> </w:t>
      </w:r>
      <w:r>
        <w:rPr>
          <w:i/>
          <w:color w:val="211F1F"/>
          <w:sz w:val="18"/>
        </w:rPr>
        <w:t>a</w:t>
      </w:r>
      <w:r>
        <w:rPr>
          <w:i/>
          <w:color w:val="211F1F"/>
          <w:spacing w:val="-9"/>
          <w:sz w:val="18"/>
        </w:rPr>
        <w:t xml:space="preserve"> </w:t>
      </w:r>
      <w:r>
        <w:rPr>
          <w:i/>
          <w:color w:val="211F1F"/>
          <w:sz w:val="18"/>
        </w:rPr>
        <w:t>party's</w:t>
      </w:r>
      <w:r>
        <w:rPr>
          <w:i/>
          <w:color w:val="211F1F"/>
          <w:spacing w:val="-3"/>
          <w:sz w:val="18"/>
        </w:rPr>
        <w:t xml:space="preserve"> </w:t>
      </w:r>
      <w:r>
        <w:rPr>
          <w:i/>
          <w:color w:val="211F1F"/>
          <w:sz w:val="18"/>
        </w:rPr>
        <w:t>ineligibility</w:t>
      </w:r>
      <w:r>
        <w:rPr>
          <w:i/>
          <w:color w:val="211F1F"/>
          <w:spacing w:val="-1"/>
          <w:sz w:val="18"/>
        </w:rPr>
        <w:t xml:space="preserve"> </w:t>
      </w:r>
      <w:r>
        <w:rPr>
          <w:i/>
          <w:color w:val="211F1F"/>
          <w:sz w:val="18"/>
        </w:rPr>
        <w:t>to</w:t>
      </w:r>
      <w:r>
        <w:rPr>
          <w:i/>
          <w:color w:val="211F1F"/>
          <w:spacing w:val="-4"/>
          <w:sz w:val="18"/>
        </w:rPr>
        <w:t xml:space="preserve"> </w:t>
      </w:r>
      <w:r>
        <w:rPr>
          <w:i/>
          <w:color w:val="211F1F"/>
          <w:sz w:val="18"/>
        </w:rPr>
        <w:t>be</w:t>
      </w:r>
      <w:r>
        <w:rPr>
          <w:i/>
          <w:color w:val="211F1F"/>
          <w:spacing w:val="-8"/>
          <w:sz w:val="18"/>
        </w:rPr>
        <w:t xml:space="preserve"> </w:t>
      </w:r>
      <w:r>
        <w:rPr>
          <w:i/>
          <w:color w:val="211F1F"/>
          <w:sz w:val="18"/>
        </w:rPr>
        <w:t>awarded a</w:t>
      </w:r>
      <w:r>
        <w:rPr>
          <w:i/>
          <w:color w:val="211F1F"/>
          <w:spacing w:val="-9"/>
          <w:sz w:val="18"/>
        </w:rPr>
        <w:t xml:space="preserve"> </w:t>
      </w:r>
      <w:r>
        <w:rPr>
          <w:i/>
          <w:color w:val="211F1F"/>
          <w:sz w:val="18"/>
        </w:rPr>
        <w:t>contract</w:t>
      </w:r>
      <w:r>
        <w:rPr>
          <w:i/>
          <w:color w:val="211F1F"/>
          <w:spacing w:val="-2"/>
          <w:sz w:val="18"/>
        </w:rPr>
        <w:t xml:space="preserve"> </w:t>
      </w:r>
      <w:r>
        <w:rPr>
          <w:i/>
          <w:color w:val="211F1F"/>
          <w:sz w:val="18"/>
        </w:rPr>
        <w:t>shall</w:t>
      </w:r>
      <w:r>
        <w:rPr>
          <w:i/>
          <w:color w:val="211F1F"/>
          <w:spacing w:val="-6"/>
          <w:sz w:val="18"/>
        </w:rPr>
        <w:t xml:space="preserve"> </w:t>
      </w:r>
      <w:r>
        <w:rPr>
          <w:i/>
          <w:color w:val="211F1F"/>
          <w:sz w:val="18"/>
        </w:rPr>
        <w:t>include,</w:t>
      </w:r>
      <w:r>
        <w:rPr>
          <w:i/>
          <w:color w:val="211F1F"/>
          <w:spacing w:val="-2"/>
          <w:sz w:val="18"/>
        </w:rPr>
        <w:t xml:space="preserve"> </w:t>
      </w:r>
      <w:r>
        <w:rPr>
          <w:i/>
          <w:color w:val="211F1F"/>
          <w:sz w:val="18"/>
        </w:rPr>
        <w:t>without limitation, (i)</w:t>
      </w:r>
      <w:r>
        <w:rPr>
          <w:i/>
          <w:color w:val="211F1F"/>
          <w:spacing w:val="-5"/>
          <w:sz w:val="18"/>
        </w:rPr>
        <w:t xml:space="preserve"> </w:t>
      </w:r>
      <w:r>
        <w:rPr>
          <w:i/>
          <w:color w:val="211F1F"/>
          <w:sz w:val="18"/>
        </w:rPr>
        <w:t>applying</w:t>
      </w:r>
      <w:r>
        <w:rPr>
          <w:i/>
          <w:color w:val="211F1F"/>
          <w:spacing w:val="-4"/>
          <w:sz w:val="18"/>
        </w:rPr>
        <w:t xml:space="preserve"> </w:t>
      </w:r>
      <w:r>
        <w:rPr>
          <w:i/>
          <w:color w:val="211F1F"/>
          <w:sz w:val="18"/>
        </w:rPr>
        <w:t>for</w:t>
      </w:r>
      <w:r>
        <w:rPr>
          <w:i/>
          <w:color w:val="211F1F"/>
          <w:spacing w:val="-8"/>
          <w:sz w:val="18"/>
        </w:rPr>
        <w:t xml:space="preserve"> </w:t>
      </w:r>
      <w:r>
        <w:rPr>
          <w:i/>
          <w:color w:val="211F1F"/>
          <w:sz w:val="18"/>
        </w:rPr>
        <w:t>pre-qualification, expressing interest in a consultancy, and tendering, either</w:t>
      </w:r>
      <w:r>
        <w:rPr>
          <w:i/>
          <w:color w:val="211F1F"/>
          <w:spacing w:val="-1"/>
          <w:sz w:val="18"/>
        </w:rPr>
        <w:t xml:space="preserve"> </w:t>
      </w:r>
      <w:r>
        <w:rPr>
          <w:i/>
          <w:color w:val="211F1F"/>
          <w:sz w:val="18"/>
        </w:rPr>
        <w:t>directly or as</w:t>
      </w:r>
      <w:r>
        <w:rPr>
          <w:i/>
          <w:color w:val="211F1F"/>
          <w:spacing w:val="-1"/>
          <w:sz w:val="18"/>
        </w:rPr>
        <w:t xml:space="preserve"> </w:t>
      </w:r>
      <w:r>
        <w:rPr>
          <w:i/>
          <w:color w:val="211F1F"/>
          <w:sz w:val="18"/>
        </w:rPr>
        <w:t>a nominated sub-contractor, nominated consultant, nominated manufacturer or supplier, or nominated service provider,</w:t>
      </w:r>
      <w:r>
        <w:rPr>
          <w:i/>
          <w:color w:val="211F1F"/>
          <w:spacing w:val="-5"/>
          <w:sz w:val="18"/>
        </w:rPr>
        <w:t xml:space="preserve"> </w:t>
      </w:r>
      <w:r>
        <w:rPr>
          <w:i/>
          <w:color w:val="211F1F"/>
          <w:sz w:val="18"/>
        </w:rPr>
        <w:t>in</w:t>
      </w:r>
      <w:r>
        <w:rPr>
          <w:i/>
          <w:color w:val="211F1F"/>
          <w:spacing w:val="-11"/>
          <w:sz w:val="18"/>
        </w:rPr>
        <w:t xml:space="preserve"> </w:t>
      </w:r>
      <w:r>
        <w:rPr>
          <w:i/>
          <w:color w:val="211F1F"/>
          <w:sz w:val="18"/>
        </w:rPr>
        <w:t>respect</w:t>
      </w:r>
      <w:r>
        <w:rPr>
          <w:i/>
          <w:color w:val="211F1F"/>
          <w:spacing w:val="-7"/>
          <w:sz w:val="18"/>
        </w:rPr>
        <w:t xml:space="preserve"> </w:t>
      </w:r>
      <w:r>
        <w:rPr>
          <w:i/>
          <w:color w:val="211F1F"/>
          <w:sz w:val="18"/>
        </w:rPr>
        <w:t>of</w:t>
      </w:r>
      <w:r>
        <w:rPr>
          <w:i/>
          <w:color w:val="211F1F"/>
          <w:spacing w:val="-8"/>
          <w:sz w:val="18"/>
        </w:rPr>
        <w:t xml:space="preserve"> </w:t>
      </w:r>
      <w:r>
        <w:rPr>
          <w:i/>
          <w:color w:val="211F1F"/>
          <w:sz w:val="18"/>
        </w:rPr>
        <w:t>such</w:t>
      </w:r>
      <w:r>
        <w:rPr>
          <w:i/>
          <w:color w:val="211F1F"/>
          <w:spacing w:val="-5"/>
          <w:sz w:val="18"/>
        </w:rPr>
        <w:t xml:space="preserve"> </w:t>
      </w:r>
      <w:r>
        <w:rPr>
          <w:i/>
          <w:color w:val="211F1F"/>
          <w:sz w:val="18"/>
        </w:rPr>
        <w:t>contract,</w:t>
      </w:r>
      <w:r>
        <w:rPr>
          <w:i/>
          <w:color w:val="211F1F"/>
          <w:spacing w:val="-6"/>
          <w:sz w:val="18"/>
        </w:rPr>
        <w:t xml:space="preserve"> </w:t>
      </w:r>
      <w:r>
        <w:rPr>
          <w:i/>
          <w:color w:val="211F1F"/>
          <w:sz w:val="18"/>
        </w:rPr>
        <w:t>and (ii)</w:t>
      </w:r>
      <w:r>
        <w:rPr>
          <w:i/>
          <w:color w:val="211F1F"/>
          <w:spacing w:val="-8"/>
          <w:sz w:val="18"/>
        </w:rPr>
        <w:t xml:space="preserve"> </w:t>
      </w:r>
      <w:r>
        <w:rPr>
          <w:i/>
          <w:color w:val="211F1F"/>
          <w:sz w:val="18"/>
        </w:rPr>
        <w:t>entering</w:t>
      </w:r>
      <w:r>
        <w:rPr>
          <w:i/>
          <w:color w:val="211F1F"/>
          <w:spacing w:val="-8"/>
          <w:sz w:val="18"/>
        </w:rPr>
        <w:t xml:space="preserve"> </w:t>
      </w:r>
      <w:r>
        <w:rPr>
          <w:i/>
          <w:color w:val="211F1F"/>
          <w:sz w:val="18"/>
        </w:rPr>
        <w:t>into</w:t>
      </w:r>
      <w:r>
        <w:rPr>
          <w:i/>
          <w:color w:val="211F1F"/>
          <w:spacing w:val="-10"/>
          <w:sz w:val="18"/>
        </w:rPr>
        <w:t xml:space="preserve"> </w:t>
      </w:r>
      <w:r>
        <w:rPr>
          <w:i/>
          <w:color w:val="211F1F"/>
          <w:sz w:val="18"/>
        </w:rPr>
        <w:t>an</w:t>
      </w:r>
      <w:r>
        <w:rPr>
          <w:i/>
          <w:color w:val="211F1F"/>
          <w:spacing w:val="-5"/>
          <w:sz w:val="18"/>
        </w:rPr>
        <w:t xml:space="preserve"> </w:t>
      </w:r>
      <w:r>
        <w:rPr>
          <w:i/>
          <w:color w:val="211F1F"/>
          <w:sz w:val="18"/>
        </w:rPr>
        <w:t>addendum</w:t>
      </w:r>
      <w:r>
        <w:rPr>
          <w:i/>
          <w:color w:val="211F1F"/>
          <w:spacing w:val="-12"/>
          <w:sz w:val="18"/>
        </w:rPr>
        <w:t xml:space="preserve"> </w:t>
      </w:r>
      <w:r>
        <w:rPr>
          <w:i/>
          <w:color w:val="211F1F"/>
          <w:sz w:val="18"/>
        </w:rPr>
        <w:t>oramendment introducing a material modification to any existing contract.</w:t>
      </w:r>
    </w:p>
    <w:p w14:paraId="1548EA9E" w14:textId="77777777" w:rsidR="00BB77C0" w:rsidRDefault="00370BAA">
      <w:pPr>
        <w:spacing w:before="50" w:line="228" w:lineRule="auto"/>
        <w:ind w:left="494" w:right="699"/>
        <w:jc w:val="both"/>
        <w:rPr>
          <w:i/>
          <w:sz w:val="18"/>
        </w:rPr>
      </w:pPr>
      <w:r>
        <w:rPr>
          <w:i/>
          <w:color w:val="211F1F"/>
          <w:position w:val="8"/>
          <w:sz w:val="18"/>
        </w:rPr>
        <w:t>2</w:t>
      </w:r>
      <w:r>
        <w:rPr>
          <w:i/>
          <w:color w:val="211F1F"/>
          <w:spacing w:val="-5"/>
          <w:position w:val="8"/>
          <w:sz w:val="18"/>
        </w:rPr>
        <w:t xml:space="preserve"> </w:t>
      </w:r>
      <w:r>
        <w:rPr>
          <w:i/>
          <w:color w:val="211F1F"/>
          <w:sz w:val="18"/>
        </w:rPr>
        <w:t>Inspections</w:t>
      </w:r>
      <w:r>
        <w:rPr>
          <w:i/>
          <w:color w:val="211F1F"/>
          <w:spacing w:val="-11"/>
          <w:sz w:val="18"/>
        </w:rPr>
        <w:t xml:space="preserve"> </w:t>
      </w:r>
      <w:r>
        <w:rPr>
          <w:i/>
          <w:color w:val="211F1F"/>
          <w:sz w:val="18"/>
        </w:rPr>
        <w:t>in</w:t>
      </w:r>
      <w:r>
        <w:rPr>
          <w:i/>
          <w:color w:val="211F1F"/>
          <w:spacing w:val="-8"/>
          <w:sz w:val="18"/>
        </w:rPr>
        <w:t xml:space="preserve"> </w:t>
      </w:r>
      <w:r>
        <w:rPr>
          <w:i/>
          <w:color w:val="211F1F"/>
          <w:sz w:val="18"/>
        </w:rPr>
        <w:t>this</w:t>
      </w:r>
      <w:r>
        <w:rPr>
          <w:i/>
          <w:color w:val="211F1F"/>
          <w:spacing w:val="-11"/>
          <w:sz w:val="18"/>
        </w:rPr>
        <w:t xml:space="preserve"> </w:t>
      </w:r>
      <w:r>
        <w:rPr>
          <w:i/>
          <w:color w:val="211F1F"/>
          <w:sz w:val="18"/>
        </w:rPr>
        <w:t>context</w:t>
      </w:r>
      <w:r>
        <w:rPr>
          <w:i/>
          <w:color w:val="211F1F"/>
          <w:spacing w:val="-5"/>
          <w:sz w:val="18"/>
        </w:rPr>
        <w:t xml:space="preserve"> </w:t>
      </w:r>
      <w:r>
        <w:rPr>
          <w:i/>
          <w:color w:val="211F1F"/>
          <w:sz w:val="18"/>
        </w:rPr>
        <w:t>usually</w:t>
      </w:r>
      <w:r>
        <w:rPr>
          <w:i/>
          <w:color w:val="211F1F"/>
          <w:spacing w:val="-7"/>
          <w:sz w:val="18"/>
        </w:rPr>
        <w:t xml:space="preserve"> </w:t>
      </w:r>
      <w:r>
        <w:rPr>
          <w:i/>
          <w:color w:val="211F1F"/>
          <w:sz w:val="18"/>
        </w:rPr>
        <w:t>are</w:t>
      </w:r>
      <w:r>
        <w:rPr>
          <w:i/>
          <w:color w:val="211F1F"/>
          <w:spacing w:val="-12"/>
          <w:sz w:val="18"/>
        </w:rPr>
        <w:t xml:space="preserve"> </w:t>
      </w:r>
      <w:r>
        <w:rPr>
          <w:i/>
          <w:color w:val="211F1F"/>
          <w:sz w:val="18"/>
        </w:rPr>
        <w:t>investigative</w:t>
      </w:r>
      <w:r>
        <w:rPr>
          <w:i/>
          <w:color w:val="211F1F"/>
          <w:spacing w:val="-10"/>
          <w:sz w:val="18"/>
        </w:rPr>
        <w:t xml:space="preserve"> </w:t>
      </w:r>
      <w:r>
        <w:rPr>
          <w:i/>
          <w:color w:val="211F1F"/>
          <w:sz w:val="18"/>
        </w:rPr>
        <w:t>(i.e.,</w:t>
      </w:r>
      <w:r>
        <w:rPr>
          <w:i/>
          <w:color w:val="211F1F"/>
          <w:spacing w:val="-5"/>
          <w:sz w:val="18"/>
        </w:rPr>
        <w:t xml:space="preserve"> </w:t>
      </w:r>
      <w:r>
        <w:rPr>
          <w:i/>
          <w:color w:val="211F1F"/>
          <w:sz w:val="18"/>
        </w:rPr>
        <w:t>forensic)</w:t>
      </w:r>
      <w:r>
        <w:rPr>
          <w:i/>
          <w:color w:val="211F1F"/>
          <w:spacing w:val="-10"/>
          <w:sz w:val="18"/>
        </w:rPr>
        <w:t xml:space="preserve"> </w:t>
      </w:r>
      <w:r>
        <w:rPr>
          <w:i/>
          <w:color w:val="211F1F"/>
          <w:sz w:val="18"/>
        </w:rPr>
        <w:t>in</w:t>
      </w:r>
      <w:r>
        <w:rPr>
          <w:i/>
          <w:color w:val="211F1F"/>
          <w:spacing w:val="-4"/>
          <w:sz w:val="18"/>
        </w:rPr>
        <w:t xml:space="preserve"> </w:t>
      </w:r>
      <w:r>
        <w:rPr>
          <w:i/>
          <w:color w:val="211F1F"/>
          <w:sz w:val="18"/>
        </w:rPr>
        <w:t>nature.</w:t>
      </w:r>
      <w:r>
        <w:rPr>
          <w:i/>
          <w:color w:val="211F1F"/>
          <w:spacing w:val="-5"/>
          <w:sz w:val="18"/>
        </w:rPr>
        <w:t xml:space="preserve"> </w:t>
      </w:r>
      <w:r>
        <w:rPr>
          <w:i/>
          <w:color w:val="211F1F"/>
          <w:sz w:val="18"/>
        </w:rPr>
        <w:t>They</w:t>
      </w:r>
      <w:r>
        <w:rPr>
          <w:i/>
          <w:color w:val="211F1F"/>
          <w:spacing w:val="-7"/>
          <w:sz w:val="18"/>
        </w:rPr>
        <w:t xml:space="preserve"> </w:t>
      </w:r>
      <w:r>
        <w:rPr>
          <w:i/>
          <w:color w:val="211F1F"/>
          <w:sz w:val="18"/>
        </w:rPr>
        <w:t>involve</w:t>
      </w:r>
      <w:r>
        <w:rPr>
          <w:i/>
          <w:color w:val="211F1F"/>
          <w:spacing w:val="-11"/>
          <w:sz w:val="18"/>
        </w:rPr>
        <w:t xml:space="preserve"> </w:t>
      </w:r>
      <w:r>
        <w:rPr>
          <w:i/>
          <w:color w:val="211F1F"/>
          <w:sz w:val="18"/>
        </w:rPr>
        <w:t>fact-finding</w:t>
      </w:r>
      <w:r>
        <w:rPr>
          <w:i/>
          <w:color w:val="211F1F"/>
          <w:spacing w:val="-7"/>
          <w:sz w:val="18"/>
        </w:rPr>
        <w:t xml:space="preserve"> </w:t>
      </w:r>
      <w:r>
        <w:rPr>
          <w:i/>
          <w:color w:val="211F1F"/>
          <w:sz w:val="18"/>
        </w:rPr>
        <w:t>activities</w:t>
      </w:r>
      <w:r>
        <w:rPr>
          <w:i/>
          <w:color w:val="211F1F"/>
          <w:spacing w:val="-6"/>
          <w:sz w:val="18"/>
        </w:rPr>
        <w:t xml:space="preserve"> </w:t>
      </w:r>
      <w:r>
        <w:rPr>
          <w:i/>
          <w:color w:val="211F1F"/>
          <w:sz w:val="18"/>
        </w:rPr>
        <w:t>undertaken</w:t>
      </w:r>
      <w:r>
        <w:rPr>
          <w:i/>
          <w:color w:val="211F1F"/>
          <w:spacing w:val="-7"/>
          <w:sz w:val="18"/>
        </w:rPr>
        <w:t xml:space="preserve"> </w:t>
      </w:r>
      <w:r>
        <w:rPr>
          <w:i/>
          <w:color w:val="211F1F"/>
          <w:sz w:val="18"/>
        </w:rPr>
        <w:t>by</w:t>
      </w:r>
      <w:r>
        <w:rPr>
          <w:i/>
          <w:color w:val="211F1F"/>
          <w:spacing w:val="-7"/>
          <w:sz w:val="18"/>
        </w:rPr>
        <w:t xml:space="preserve"> </w:t>
      </w:r>
      <w:r>
        <w:rPr>
          <w:i/>
          <w:color w:val="211F1F"/>
          <w:sz w:val="18"/>
        </w:rPr>
        <w:t>the</w:t>
      </w:r>
      <w:r>
        <w:rPr>
          <w:i/>
          <w:color w:val="211F1F"/>
          <w:spacing w:val="-12"/>
          <w:sz w:val="18"/>
        </w:rPr>
        <w:t xml:space="preserve"> </w:t>
      </w:r>
      <w:r>
        <w:rPr>
          <w:i/>
          <w:color w:val="211F1F"/>
          <w:sz w:val="18"/>
        </w:rPr>
        <w:t>Investigating Authority</w:t>
      </w:r>
      <w:r>
        <w:rPr>
          <w:i/>
          <w:color w:val="211F1F"/>
          <w:spacing w:val="-12"/>
          <w:sz w:val="18"/>
        </w:rPr>
        <w:t xml:space="preserve"> </w:t>
      </w:r>
      <w:r>
        <w:rPr>
          <w:i/>
          <w:color w:val="211F1F"/>
          <w:sz w:val="18"/>
        </w:rPr>
        <w:t>or</w:t>
      </w:r>
      <w:r>
        <w:rPr>
          <w:i/>
          <w:color w:val="211F1F"/>
          <w:spacing w:val="-11"/>
          <w:sz w:val="18"/>
        </w:rPr>
        <w:t xml:space="preserve"> </w:t>
      </w:r>
      <w:r>
        <w:rPr>
          <w:i/>
          <w:color w:val="211F1F"/>
          <w:sz w:val="18"/>
        </w:rPr>
        <w:t>persons</w:t>
      </w:r>
      <w:r>
        <w:rPr>
          <w:i/>
          <w:color w:val="211F1F"/>
          <w:spacing w:val="-11"/>
          <w:sz w:val="18"/>
        </w:rPr>
        <w:t xml:space="preserve"> </w:t>
      </w:r>
      <w:r>
        <w:rPr>
          <w:i/>
          <w:color w:val="211F1F"/>
          <w:sz w:val="18"/>
        </w:rPr>
        <w:t>appointed</w:t>
      </w:r>
      <w:r>
        <w:rPr>
          <w:i/>
          <w:color w:val="211F1F"/>
          <w:spacing w:val="-11"/>
          <w:sz w:val="18"/>
        </w:rPr>
        <w:t xml:space="preserve"> </w:t>
      </w:r>
      <w:r>
        <w:rPr>
          <w:i/>
          <w:color w:val="211F1F"/>
          <w:sz w:val="18"/>
        </w:rPr>
        <w:t>by</w:t>
      </w:r>
      <w:r>
        <w:rPr>
          <w:i/>
          <w:color w:val="211F1F"/>
          <w:spacing w:val="-12"/>
          <w:sz w:val="18"/>
        </w:rPr>
        <w:t xml:space="preserve"> </w:t>
      </w:r>
      <w:r>
        <w:rPr>
          <w:i/>
          <w:color w:val="211F1F"/>
          <w:sz w:val="18"/>
        </w:rPr>
        <w:t>the</w:t>
      </w:r>
      <w:r>
        <w:rPr>
          <w:i/>
          <w:color w:val="211F1F"/>
          <w:spacing w:val="-11"/>
          <w:sz w:val="18"/>
        </w:rPr>
        <w:t xml:space="preserve"> </w:t>
      </w:r>
      <w:r>
        <w:rPr>
          <w:i/>
          <w:color w:val="211F1F"/>
          <w:sz w:val="18"/>
        </w:rPr>
        <w:t>Procuring</w:t>
      </w:r>
      <w:r>
        <w:rPr>
          <w:i/>
          <w:color w:val="211F1F"/>
          <w:spacing w:val="-11"/>
          <w:sz w:val="18"/>
        </w:rPr>
        <w:t xml:space="preserve"> </w:t>
      </w:r>
      <w:r>
        <w:rPr>
          <w:i/>
          <w:color w:val="211F1F"/>
          <w:sz w:val="18"/>
        </w:rPr>
        <w:t>Entity</w:t>
      </w:r>
      <w:r>
        <w:rPr>
          <w:i/>
          <w:color w:val="211F1F"/>
          <w:spacing w:val="-11"/>
          <w:sz w:val="18"/>
        </w:rPr>
        <w:t xml:space="preserve"> </w:t>
      </w:r>
      <w:r>
        <w:rPr>
          <w:i/>
          <w:color w:val="211F1F"/>
          <w:sz w:val="18"/>
        </w:rPr>
        <w:t>to</w:t>
      </w:r>
      <w:r>
        <w:rPr>
          <w:i/>
          <w:color w:val="211F1F"/>
          <w:spacing w:val="-12"/>
          <w:sz w:val="18"/>
        </w:rPr>
        <w:t xml:space="preserve"> </w:t>
      </w:r>
      <w:r>
        <w:rPr>
          <w:i/>
          <w:color w:val="211F1F"/>
          <w:sz w:val="18"/>
        </w:rPr>
        <w:t>address</w:t>
      </w:r>
      <w:r>
        <w:rPr>
          <w:i/>
          <w:color w:val="211F1F"/>
          <w:spacing w:val="-11"/>
          <w:sz w:val="18"/>
        </w:rPr>
        <w:t xml:space="preserve"> </w:t>
      </w:r>
      <w:r>
        <w:rPr>
          <w:i/>
          <w:color w:val="211F1F"/>
          <w:sz w:val="18"/>
        </w:rPr>
        <w:t>specific</w:t>
      </w:r>
      <w:r>
        <w:rPr>
          <w:i/>
          <w:color w:val="211F1F"/>
          <w:spacing w:val="-11"/>
          <w:sz w:val="18"/>
        </w:rPr>
        <w:t xml:space="preserve"> </w:t>
      </w:r>
      <w:r>
        <w:rPr>
          <w:i/>
          <w:color w:val="211F1F"/>
          <w:sz w:val="18"/>
        </w:rPr>
        <w:t>matters</w:t>
      </w:r>
      <w:r>
        <w:rPr>
          <w:i/>
          <w:color w:val="211F1F"/>
          <w:spacing w:val="-11"/>
          <w:sz w:val="18"/>
        </w:rPr>
        <w:t xml:space="preserve"> </w:t>
      </w:r>
      <w:r>
        <w:rPr>
          <w:i/>
          <w:color w:val="211F1F"/>
          <w:sz w:val="18"/>
        </w:rPr>
        <w:t>related</w:t>
      </w:r>
      <w:r>
        <w:rPr>
          <w:i/>
          <w:color w:val="211F1F"/>
          <w:spacing w:val="-12"/>
          <w:sz w:val="18"/>
        </w:rPr>
        <w:t xml:space="preserve"> </w:t>
      </w:r>
      <w:r>
        <w:rPr>
          <w:i/>
          <w:color w:val="211F1F"/>
          <w:sz w:val="18"/>
        </w:rPr>
        <w:t>to</w:t>
      </w:r>
      <w:r>
        <w:rPr>
          <w:i/>
          <w:color w:val="211F1F"/>
          <w:spacing w:val="-11"/>
          <w:sz w:val="18"/>
        </w:rPr>
        <w:t xml:space="preserve"> </w:t>
      </w:r>
      <w:r>
        <w:rPr>
          <w:i/>
          <w:color w:val="211F1F"/>
          <w:sz w:val="18"/>
        </w:rPr>
        <w:t>investigations/audits,</w:t>
      </w:r>
      <w:r>
        <w:rPr>
          <w:i/>
          <w:color w:val="211F1F"/>
          <w:spacing w:val="-11"/>
          <w:sz w:val="18"/>
        </w:rPr>
        <w:t xml:space="preserve"> </w:t>
      </w:r>
      <w:r>
        <w:rPr>
          <w:i/>
          <w:color w:val="211F1F"/>
          <w:sz w:val="18"/>
        </w:rPr>
        <w:t>such</w:t>
      </w:r>
      <w:r>
        <w:rPr>
          <w:i/>
          <w:color w:val="211F1F"/>
          <w:spacing w:val="-11"/>
          <w:sz w:val="18"/>
        </w:rPr>
        <w:t xml:space="preserve"> </w:t>
      </w:r>
      <w:r>
        <w:rPr>
          <w:i/>
          <w:color w:val="211F1F"/>
          <w:sz w:val="18"/>
        </w:rPr>
        <w:t>as</w:t>
      </w:r>
      <w:r>
        <w:rPr>
          <w:i/>
          <w:color w:val="211F1F"/>
          <w:spacing w:val="-12"/>
          <w:sz w:val="18"/>
        </w:rPr>
        <w:t xml:space="preserve"> </w:t>
      </w:r>
      <w:r>
        <w:rPr>
          <w:i/>
          <w:color w:val="211F1F"/>
          <w:sz w:val="18"/>
        </w:rPr>
        <w:t>evaluating</w:t>
      </w:r>
      <w:r>
        <w:rPr>
          <w:i/>
          <w:color w:val="211F1F"/>
          <w:spacing w:val="-11"/>
          <w:sz w:val="18"/>
        </w:rPr>
        <w:t xml:space="preserve"> </w:t>
      </w:r>
      <w:r>
        <w:rPr>
          <w:i/>
          <w:color w:val="211F1F"/>
          <w:sz w:val="18"/>
        </w:rPr>
        <w:t>the</w:t>
      </w:r>
      <w:r>
        <w:rPr>
          <w:i/>
          <w:color w:val="211F1F"/>
          <w:spacing w:val="-11"/>
          <w:sz w:val="18"/>
        </w:rPr>
        <w:t xml:space="preserve"> </w:t>
      </w:r>
      <w:r>
        <w:rPr>
          <w:i/>
          <w:color w:val="211F1F"/>
          <w:sz w:val="18"/>
        </w:rPr>
        <w:t xml:space="preserve">veracity </w:t>
      </w:r>
      <w:r>
        <w:rPr>
          <w:i/>
          <w:color w:val="211F1F"/>
          <w:spacing w:val="-2"/>
          <w:sz w:val="18"/>
        </w:rPr>
        <w:t>of an allegation of possible</w:t>
      </w:r>
      <w:r>
        <w:rPr>
          <w:i/>
          <w:color w:val="211F1F"/>
          <w:spacing w:val="11"/>
          <w:sz w:val="18"/>
        </w:rPr>
        <w:t xml:space="preserve"> </w:t>
      </w:r>
      <w:r>
        <w:rPr>
          <w:i/>
          <w:color w:val="211F1F"/>
          <w:spacing w:val="-2"/>
          <w:sz w:val="18"/>
        </w:rPr>
        <w:t>Fraud</w:t>
      </w:r>
      <w:r>
        <w:rPr>
          <w:i/>
          <w:color w:val="211F1F"/>
          <w:spacing w:val="-10"/>
          <w:sz w:val="18"/>
        </w:rPr>
        <w:t xml:space="preserve"> </w:t>
      </w:r>
      <w:r>
        <w:rPr>
          <w:i/>
          <w:color w:val="211F1F"/>
          <w:spacing w:val="-2"/>
          <w:sz w:val="18"/>
        </w:rPr>
        <w:t>and</w:t>
      </w:r>
      <w:r>
        <w:rPr>
          <w:i/>
          <w:color w:val="211F1F"/>
          <w:spacing w:val="-5"/>
          <w:sz w:val="18"/>
        </w:rPr>
        <w:t xml:space="preserve"> </w:t>
      </w:r>
      <w:r>
        <w:rPr>
          <w:i/>
          <w:color w:val="211F1F"/>
          <w:spacing w:val="-2"/>
          <w:sz w:val="18"/>
        </w:rPr>
        <w:t>Corruption,</w:t>
      </w:r>
      <w:r>
        <w:rPr>
          <w:i/>
          <w:color w:val="211F1F"/>
          <w:spacing w:val="-8"/>
          <w:sz w:val="18"/>
        </w:rPr>
        <w:t xml:space="preserve"> </w:t>
      </w:r>
      <w:r>
        <w:rPr>
          <w:i/>
          <w:color w:val="211F1F"/>
          <w:spacing w:val="-2"/>
          <w:sz w:val="18"/>
        </w:rPr>
        <w:t>through the</w:t>
      </w:r>
      <w:r>
        <w:rPr>
          <w:i/>
          <w:color w:val="211F1F"/>
          <w:spacing w:val="-10"/>
          <w:sz w:val="18"/>
        </w:rPr>
        <w:t xml:space="preserve"> </w:t>
      </w:r>
      <w:r>
        <w:rPr>
          <w:i/>
          <w:color w:val="211F1F"/>
          <w:spacing w:val="-2"/>
          <w:sz w:val="18"/>
        </w:rPr>
        <w:t>appropriate</w:t>
      </w:r>
      <w:r>
        <w:rPr>
          <w:i/>
          <w:color w:val="211F1F"/>
          <w:spacing w:val="-9"/>
          <w:sz w:val="18"/>
        </w:rPr>
        <w:t xml:space="preserve"> </w:t>
      </w:r>
      <w:r>
        <w:rPr>
          <w:i/>
          <w:color w:val="211F1F"/>
          <w:spacing w:val="-2"/>
          <w:sz w:val="18"/>
        </w:rPr>
        <w:t>mechanisms.</w:t>
      </w:r>
      <w:r>
        <w:rPr>
          <w:i/>
          <w:color w:val="211F1F"/>
          <w:spacing w:val="40"/>
          <w:sz w:val="18"/>
        </w:rPr>
        <w:t xml:space="preserve"> </w:t>
      </w:r>
      <w:r>
        <w:rPr>
          <w:i/>
          <w:color w:val="211F1F"/>
          <w:spacing w:val="-2"/>
          <w:sz w:val="18"/>
        </w:rPr>
        <w:t>Such</w:t>
      </w:r>
      <w:r>
        <w:rPr>
          <w:i/>
          <w:color w:val="211F1F"/>
          <w:spacing w:val="-6"/>
          <w:sz w:val="18"/>
        </w:rPr>
        <w:t xml:space="preserve"> </w:t>
      </w:r>
      <w:r>
        <w:rPr>
          <w:i/>
          <w:color w:val="211F1F"/>
          <w:spacing w:val="-2"/>
          <w:sz w:val="18"/>
        </w:rPr>
        <w:t>activity</w:t>
      </w:r>
      <w:r>
        <w:rPr>
          <w:i/>
          <w:color w:val="211F1F"/>
          <w:spacing w:val="-9"/>
          <w:sz w:val="18"/>
        </w:rPr>
        <w:t xml:space="preserve"> </w:t>
      </w:r>
      <w:r>
        <w:rPr>
          <w:i/>
          <w:color w:val="211F1F"/>
          <w:spacing w:val="-2"/>
          <w:sz w:val="18"/>
        </w:rPr>
        <w:t>includes</w:t>
      </w:r>
      <w:r>
        <w:rPr>
          <w:i/>
          <w:color w:val="211F1F"/>
          <w:spacing w:val="-5"/>
          <w:sz w:val="18"/>
        </w:rPr>
        <w:t xml:space="preserve"> </w:t>
      </w:r>
      <w:r>
        <w:rPr>
          <w:i/>
          <w:color w:val="211F1F"/>
          <w:spacing w:val="-2"/>
          <w:sz w:val="18"/>
        </w:rPr>
        <w:t>but</w:t>
      </w:r>
      <w:r>
        <w:rPr>
          <w:i/>
          <w:color w:val="211F1F"/>
          <w:spacing w:val="-4"/>
          <w:sz w:val="18"/>
        </w:rPr>
        <w:t xml:space="preserve"> </w:t>
      </w:r>
      <w:r>
        <w:rPr>
          <w:i/>
          <w:color w:val="211F1F"/>
          <w:spacing w:val="-2"/>
          <w:sz w:val="18"/>
        </w:rPr>
        <w:t>is</w:t>
      </w:r>
      <w:r>
        <w:rPr>
          <w:i/>
          <w:color w:val="211F1F"/>
          <w:spacing w:val="-5"/>
          <w:sz w:val="18"/>
        </w:rPr>
        <w:t xml:space="preserve"> </w:t>
      </w:r>
      <w:r>
        <w:rPr>
          <w:i/>
          <w:color w:val="211F1F"/>
          <w:spacing w:val="-2"/>
          <w:sz w:val="18"/>
        </w:rPr>
        <w:t>not</w:t>
      </w:r>
      <w:r>
        <w:rPr>
          <w:i/>
          <w:color w:val="211F1F"/>
          <w:spacing w:val="-4"/>
          <w:sz w:val="18"/>
        </w:rPr>
        <w:t xml:space="preserve"> </w:t>
      </w:r>
      <w:r>
        <w:rPr>
          <w:i/>
          <w:color w:val="211F1F"/>
          <w:spacing w:val="-2"/>
          <w:sz w:val="18"/>
        </w:rPr>
        <w:t>limited</w:t>
      </w:r>
      <w:r>
        <w:rPr>
          <w:i/>
          <w:color w:val="211F1F"/>
          <w:spacing w:val="-6"/>
          <w:sz w:val="18"/>
        </w:rPr>
        <w:t xml:space="preserve"> </w:t>
      </w:r>
      <w:r>
        <w:rPr>
          <w:i/>
          <w:color w:val="211F1F"/>
          <w:spacing w:val="-2"/>
          <w:sz w:val="18"/>
        </w:rPr>
        <w:t>to:</w:t>
      </w:r>
      <w:r>
        <w:rPr>
          <w:i/>
          <w:color w:val="211F1F"/>
          <w:spacing w:val="-4"/>
          <w:sz w:val="18"/>
        </w:rPr>
        <w:t xml:space="preserve"> </w:t>
      </w:r>
      <w:r>
        <w:rPr>
          <w:i/>
          <w:color w:val="211F1F"/>
          <w:spacing w:val="-2"/>
          <w:sz w:val="18"/>
        </w:rPr>
        <w:t>accessing</w:t>
      </w:r>
      <w:r>
        <w:rPr>
          <w:i/>
          <w:color w:val="211F1F"/>
          <w:spacing w:val="-5"/>
          <w:sz w:val="18"/>
        </w:rPr>
        <w:t xml:space="preserve"> </w:t>
      </w:r>
      <w:r>
        <w:rPr>
          <w:i/>
          <w:color w:val="211F1F"/>
          <w:spacing w:val="-2"/>
          <w:sz w:val="18"/>
        </w:rPr>
        <w:t xml:space="preserve">and </w:t>
      </w:r>
      <w:r>
        <w:rPr>
          <w:i/>
          <w:color w:val="211F1F"/>
          <w:sz w:val="18"/>
        </w:rPr>
        <w:t>examining</w:t>
      </w:r>
      <w:r>
        <w:rPr>
          <w:i/>
          <w:color w:val="211F1F"/>
          <w:spacing w:val="-12"/>
          <w:sz w:val="18"/>
        </w:rPr>
        <w:t xml:space="preserve"> </w:t>
      </w:r>
      <w:r>
        <w:rPr>
          <w:i/>
          <w:color w:val="211F1F"/>
          <w:sz w:val="18"/>
        </w:rPr>
        <w:t>a</w:t>
      </w:r>
      <w:r>
        <w:rPr>
          <w:i/>
          <w:color w:val="211F1F"/>
          <w:spacing w:val="-11"/>
          <w:sz w:val="18"/>
        </w:rPr>
        <w:t xml:space="preserve"> </w:t>
      </w:r>
      <w:r>
        <w:rPr>
          <w:i/>
          <w:color w:val="211F1F"/>
          <w:sz w:val="18"/>
        </w:rPr>
        <w:t>firm's</w:t>
      </w:r>
      <w:r>
        <w:rPr>
          <w:i/>
          <w:color w:val="211F1F"/>
          <w:spacing w:val="-11"/>
          <w:sz w:val="18"/>
        </w:rPr>
        <w:t xml:space="preserve"> </w:t>
      </w:r>
      <w:r>
        <w:rPr>
          <w:i/>
          <w:color w:val="211F1F"/>
          <w:sz w:val="18"/>
        </w:rPr>
        <w:t>or</w:t>
      </w:r>
      <w:r>
        <w:rPr>
          <w:i/>
          <w:color w:val="211F1F"/>
          <w:spacing w:val="-11"/>
          <w:sz w:val="18"/>
        </w:rPr>
        <w:t xml:space="preserve"> </w:t>
      </w:r>
      <w:r>
        <w:rPr>
          <w:i/>
          <w:color w:val="211F1F"/>
          <w:sz w:val="18"/>
        </w:rPr>
        <w:t>individual's</w:t>
      </w:r>
      <w:r>
        <w:rPr>
          <w:i/>
          <w:color w:val="211F1F"/>
          <w:spacing w:val="-12"/>
          <w:sz w:val="18"/>
        </w:rPr>
        <w:t xml:space="preserve"> </w:t>
      </w:r>
      <w:r>
        <w:rPr>
          <w:i/>
          <w:color w:val="211F1F"/>
          <w:sz w:val="18"/>
        </w:rPr>
        <w:t>financial</w:t>
      </w:r>
      <w:r>
        <w:rPr>
          <w:i/>
          <w:color w:val="211F1F"/>
          <w:spacing w:val="-11"/>
          <w:sz w:val="18"/>
        </w:rPr>
        <w:t xml:space="preserve"> </w:t>
      </w:r>
      <w:r>
        <w:rPr>
          <w:i/>
          <w:color w:val="211F1F"/>
          <w:sz w:val="18"/>
        </w:rPr>
        <w:t>records</w:t>
      </w:r>
      <w:r>
        <w:rPr>
          <w:i/>
          <w:color w:val="211F1F"/>
          <w:spacing w:val="-6"/>
          <w:sz w:val="18"/>
        </w:rPr>
        <w:t xml:space="preserve"> </w:t>
      </w:r>
      <w:r>
        <w:rPr>
          <w:i/>
          <w:color w:val="211F1F"/>
          <w:sz w:val="18"/>
        </w:rPr>
        <w:t>and</w:t>
      </w:r>
      <w:r>
        <w:rPr>
          <w:i/>
          <w:color w:val="211F1F"/>
          <w:spacing w:val="-4"/>
          <w:sz w:val="18"/>
        </w:rPr>
        <w:t xml:space="preserve"> </w:t>
      </w:r>
      <w:r>
        <w:rPr>
          <w:i/>
          <w:color w:val="211F1F"/>
          <w:sz w:val="18"/>
        </w:rPr>
        <w:t>information,</w:t>
      </w:r>
      <w:r>
        <w:rPr>
          <w:i/>
          <w:color w:val="211F1F"/>
          <w:spacing w:val="-2"/>
          <w:sz w:val="18"/>
        </w:rPr>
        <w:t xml:space="preserve"> </w:t>
      </w:r>
      <w:r>
        <w:rPr>
          <w:i/>
          <w:color w:val="211F1F"/>
          <w:sz w:val="18"/>
        </w:rPr>
        <w:t>and making</w:t>
      </w:r>
      <w:r>
        <w:rPr>
          <w:i/>
          <w:color w:val="211F1F"/>
          <w:spacing w:val="-4"/>
          <w:sz w:val="18"/>
        </w:rPr>
        <w:t xml:space="preserve"> </w:t>
      </w:r>
      <w:r>
        <w:rPr>
          <w:i/>
          <w:color w:val="211F1F"/>
          <w:sz w:val="18"/>
        </w:rPr>
        <w:t>copies thereof as</w:t>
      </w:r>
      <w:r>
        <w:rPr>
          <w:i/>
          <w:color w:val="211F1F"/>
          <w:spacing w:val="-3"/>
          <w:sz w:val="18"/>
        </w:rPr>
        <w:t xml:space="preserve"> </w:t>
      </w:r>
      <w:r>
        <w:rPr>
          <w:i/>
          <w:color w:val="211F1F"/>
          <w:sz w:val="18"/>
        </w:rPr>
        <w:t>relevant;</w:t>
      </w:r>
      <w:r>
        <w:rPr>
          <w:i/>
          <w:color w:val="211F1F"/>
          <w:spacing w:val="-2"/>
          <w:sz w:val="18"/>
        </w:rPr>
        <w:t xml:space="preserve"> </w:t>
      </w:r>
      <w:r>
        <w:rPr>
          <w:i/>
          <w:color w:val="211F1F"/>
          <w:sz w:val="18"/>
        </w:rPr>
        <w:t>accessing and examining any other documents, data and information (whether in hard copy or electronic format) deemed relevant for the investigation/audit, and making copies thereof as</w:t>
      </w:r>
      <w:r>
        <w:rPr>
          <w:i/>
          <w:color w:val="211F1F"/>
          <w:spacing w:val="-3"/>
          <w:sz w:val="18"/>
        </w:rPr>
        <w:t xml:space="preserve"> </w:t>
      </w:r>
      <w:r>
        <w:rPr>
          <w:i/>
          <w:color w:val="211F1F"/>
          <w:sz w:val="18"/>
        </w:rPr>
        <w:t>relevant; interviewing staff and other relevant individuals; performing</w:t>
      </w:r>
      <w:r>
        <w:rPr>
          <w:i/>
          <w:color w:val="211F1F"/>
          <w:spacing w:val="32"/>
          <w:sz w:val="18"/>
        </w:rPr>
        <w:t xml:space="preserve"> </w:t>
      </w:r>
      <w:r>
        <w:rPr>
          <w:i/>
          <w:color w:val="211F1F"/>
          <w:sz w:val="18"/>
        </w:rPr>
        <w:t>physical</w:t>
      </w:r>
      <w:r>
        <w:rPr>
          <w:i/>
          <w:color w:val="211F1F"/>
          <w:spacing w:val="-5"/>
          <w:sz w:val="18"/>
        </w:rPr>
        <w:t xml:space="preserve"> </w:t>
      </w:r>
      <w:r>
        <w:rPr>
          <w:i/>
          <w:color w:val="211F1F"/>
          <w:sz w:val="18"/>
        </w:rPr>
        <w:t>inspections</w:t>
      </w:r>
      <w:r>
        <w:rPr>
          <w:i/>
          <w:color w:val="211F1F"/>
          <w:spacing w:val="-1"/>
          <w:sz w:val="18"/>
        </w:rPr>
        <w:t xml:space="preserve"> </w:t>
      </w:r>
      <w:r>
        <w:rPr>
          <w:i/>
          <w:color w:val="211F1F"/>
          <w:sz w:val="18"/>
        </w:rPr>
        <w:t>and</w:t>
      </w:r>
      <w:r>
        <w:rPr>
          <w:i/>
          <w:color w:val="211F1F"/>
          <w:spacing w:val="-3"/>
          <w:sz w:val="18"/>
        </w:rPr>
        <w:t xml:space="preserve"> </w:t>
      </w:r>
      <w:r>
        <w:rPr>
          <w:i/>
          <w:color w:val="211F1F"/>
          <w:sz w:val="18"/>
        </w:rPr>
        <w:t>site</w:t>
      </w:r>
      <w:r>
        <w:rPr>
          <w:i/>
          <w:color w:val="211F1F"/>
          <w:spacing w:val="-7"/>
          <w:sz w:val="18"/>
        </w:rPr>
        <w:t xml:space="preserve"> </w:t>
      </w:r>
      <w:r>
        <w:rPr>
          <w:i/>
          <w:color w:val="211F1F"/>
          <w:sz w:val="18"/>
        </w:rPr>
        <w:t>visits; and</w:t>
      </w:r>
      <w:r>
        <w:rPr>
          <w:i/>
          <w:color w:val="211F1F"/>
          <w:spacing w:val="-3"/>
          <w:sz w:val="18"/>
        </w:rPr>
        <w:t xml:space="preserve"> </w:t>
      </w:r>
      <w:r>
        <w:rPr>
          <w:i/>
          <w:color w:val="211F1F"/>
          <w:sz w:val="18"/>
        </w:rPr>
        <w:t>obtaining</w:t>
      </w:r>
      <w:r>
        <w:rPr>
          <w:i/>
          <w:color w:val="211F1F"/>
          <w:spacing w:val="-2"/>
          <w:sz w:val="18"/>
        </w:rPr>
        <w:t xml:space="preserve"> </w:t>
      </w:r>
      <w:r>
        <w:rPr>
          <w:i/>
          <w:color w:val="211F1F"/>
          <w:sz w:val="18"/>
        </w:rPr>
        <w:t>third party verification</w:t>
      </w:r>
      <w:r>
        <w:rPr>
          <w:i/>
          <w:color w:val="211F1F"/>
          <w:spacing w:val="-5"/>
          <w:sz w:val="18"/>
        </w:rPr>
        <w:t xml:space="preserve"> </w:t>
      </w:r>
      <w:r>
        <w:rPr>
          <w:i/>
          <w:color w:val="211F1F"/>
          <w:sz w:val="18"/>
        </w:rPr>
        <w:t>of</w:t>
      </w:r>
      <w:r>
        <w:rPr>
          <w:i/>
          <w:color w:val="211F1F"/>
          <w:spacing w:val="-4"/>
          <w:sz w:val="18"/>
        </w:rPr>
        <w:t xml:space="preserve"> </w:t>
      </w:r>
      <w:r>
        <w:rPr>
          <w:i/>
          <w:color w:val="211F1F"/>
          <w:sz w:val="18"/>
        </w:rPr>
        <w:t>information.</w:t>
      </w:r>
    </w:p>
    <w:p w14:paraId="295D5B88" w14:textId="77777777" w:rsidR="00BB77C0" w:rsidRDefault="00BB77C0">
      <w:pPr>
        <w:spacing w:line="228" w:lineRule="auto"/>
        <w:jc w:val="both"/>
        <w:rPr>
          <w:i/>
          <w:sz w:val="18"/>
        </w:rPr>
        <w:sectPr w:rsidR="00BB77C0">
          <w:pgSz w:w="11920" w:h="16850"/>
          <w:pgMar w:top="0" w:right="0" w:bottom="0" w:left="360" w:header="720" w:footer="720" w:gutter="0"/>
          <w:cols w:space="720"/>
        </w:sectPr>
      </w:pPr>
    </w:p>
    <w:p w14:paraId="7D8D49B8" w14:textId="77777777" w:rsidR="00BB77C0" w:rsidRDefault="00370BAA">
      <w:pPr>
        <w:pStyle w:val="BodyText"/>
        <w:rPr>
          <w:i/>
        </w:rPr>
      </w:pPr>
      <w:r>
        <w:rPr>
          <w:i/>
          <w:noProof/>
        </w:rPr>
        <w:lastRenderedPageBreak/>
        <mc:AlternateContent>
          <mc:Choice Requires="wpg">
            <w:drawing>
              <wp:anchor distT="0" distB="0" distL="0" distR="0" simplePos="0" relativeHeight="15769088" behindDoc="0" locked="0" layoutInCell="1" allowOverlap="1" wp14:anchorId="6EC8E54E" wp14:editId="2C11DFF7">
                <wp:simplePos x="0" y="0"/>
                <wp:positionH relativeFrom="page">
                  <wp:posOffset>0</wp:posOffset>
                </wp:positionH>
                <wp:positionV relativeFrom="page">
                  <wp:posOffset>10234295</wp:posOffset>
                </wp:positionV>
                <wp:extent cx="7561580" cy="459105"/>
                <wp:effectExtent l="0" t="0" r="0" b="0"/>
                <wp:wrapNone/>
                <wp:docPr id="325" name="Group 3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1580" cy="459105"/>
                          <a:chOff x="0" y="0"/>
                          <a:chExt cx="7561580" cy="459105"/>
                        </a:xfrm>
                      </wpg:grpSpPr>
                      <wps:wsp>
                        <wps:cNvPr id="326" name="Graphic 326"/>
                        <wps:cNvSpPr/>
                        <wps:spPr>
                          <a:xfrm>
                            <a:off x="6449059" y="5714"/>
                            <a:ext cx="1110615" cy="451484"/>
                          </a:xfrm>
                          <a:custGeom>
                            <a:avLst/>
                            <a:gdLst/>
                            <a:ahLst/>
                            <a:cxnLst/>
                            <a:rect l="l" t="t" r="r" b="b"/>
                            <a:pathLst>
                              <a:path w="1110615" h="451484">
                                <a:moveTo>
                                  <a:pt x="1110614" y="0"/>
                                </a:moveTo>
                                <a:lnTo>
                                  <a:pt x="0" y="0"/>
                                </a:lnTo>
                                <a:lnTo>
                                  <a:pt x="260349" y="451483"/>
                                </a:lnTo>
                                <a:lnTo>
                                  <a:pt x="1110614" y="451483"/>
                                </a:lnTo>
                                <a:lnTo>
                                  <a:pt x="1110614" y="0"/>
                                </a:lnTo>
                                <a:close/>
                              </a:path>
                            </a:pathLst>
                          </a:custGeom>
                          <a:solidFill>
                            <a:srgbClr val="FAD2C1"/>
                          </a:solidFill>
                        </wps:spPr>
                        <wps:bodyPr wrap="square" lIns="0" tIns="0" rIns="0" bIns="0" rtlCol="0">
                          <a:prstTxWarp prst="textNoShape">
                            <a:avLst/>
                          </a:prstTxWarp>
                          <a:noAutofit/>
                        </wps:bodyPr>
                      </wps:wsp>
                      <wps:wsp>
                        <wps:cNvPr id="327" name="Graphic 327"/>
                        <wps:cNvSpPr/>
                        <wps:spPr>
                          <a:xfrm>
                            <a:off x="6449059" y="5714"/>
                            <a:ext cx="1110615" cy="451484"/>
                          </a:xfrm>
                          <a:custGeom>
                            <a:avLst/>
                            <a:gdLst/>
                            <a:ahLst/>
                            <a:cxnLst/>
                            <a:rect l="l" t="t" r="r" b="b"/>
                            <a:pathLst>
                              <a:path w="1110615" h="451484">
                                <a:moveTo>
                                  <a:pt x="0" y="0"/>
                                </a:moveTo>
                                <a:lnTo>
                                  <a:pt x="1110614" y="0"/>
                                </a:lnTo>
                                <a:lnTo>
                                  <a:pt x="1110614" y="451483"/>
                                </a:lnTo>
                                <a:lnTo>
                                  <a:pt x="260349" y="451483"/>
                                </a:lnTo>
                                <a:lnTo>
                                  <a:pt x="0" y="0"/>
                                </a:lnTo>
                              </a:path>
                            </a:pathLst>
                          </a:custGeom>
                          <a:ln w="3051">
                            <a:solidFill>
                              <a:srgbClr val="FAD2C1"/>
                            </a:solidFill>
                            <a:prstDash val="solid"/>
                          </a:ln>
                        </wps:spPr>
                        <wps:bodyPr wrap="square" lIns="0" tIns="0" rIns="0" bIns="0" rtlCol="0">
                          <a:prstTxWarp prst="textNoShape">
                            <a:avLst/>
                          </a:prstTxWarp>
                          <a:noAutofit/>
                        </wps:bodyPr>
                      </wps:wsp>
                      <wps:wsp>
                        <wps:cNvPr id="328" name="Graphic 328"/>
                        <wps:cNvSpPr/>
                        <wps:spPr>
                          <a:xfrm>
                            <a:off x="0" y="6350"/>
                            <a:ext cx="7560309" cy="1270"/>
                          </a:xfrm>
                          <a:custGeom>
                            <a:avLst/>
                            <a:gdLst/>
                            <a:ahLst/>
                            <a:cxnLst/>
                            <a:rect l="l" t="t" r="r" b="b"/>
                            <a:pathLst>
                              <a:path w="7560309">
                                <a:moveTo>
                                  <a:pt x="0" y="0"/>
                                </a:moveTo>
                                <a:lnTo>
                                  <a:pt x="7560309" y="0"/>
                                </a:lnTo>
                              </a:path>
                            </a:pathLst>
                          </a:custGeom>
                          <a:ln w="12700">
                            <a:solidFill>
                              <a:srgbClr val="FAD2C1"/>
                            </a:solidFill>
                            <a:prstDash val="solid"/>
                          </a:ln>
                        </wps:spPr>
                        <wps:bodyPr wrap="square" lIns="0" tIns="0" rIns="0" bIns="0" rtlCol="0">
                          <a:prstTxWarp prst="textNoShape">
                            <a:avLst/>
                          </a:prstTxWarp>
                          <a:noAutofit/>
                        </wps:bodyPr>
                      </wps:wsp>
                      <wps:wsp>
                        <wps:cNvPr id="329" name="Textbox 329"/>
                        <wps:cNvSpPr txBox="1"/>
                        <wps:spPr>
                          <a:xfrm>
                            <a:off x="6882130" y="37491"/>
                            <a:ext cx="147320" cy="155575"/>
                          </a:xfrm>
                          <a:prstGeom prst="rect">
                            <a:avLst/>
                          </a:prstGeom>
                        </wps:spPr>
                        <wps:txbx>
                          <w:txbxContent>
                            <w:p w14:paraId="18D774E5" w14:textId="77777777" w:rsidR="00BB77C0" w:rsidRDefault="00370BAA">
                              <w:pPr>
                                <w:spacing w:line="244" w:lineRule="exact"/>
                              </w:pPr>
                              <w:r>
                                <w:rPr>
                                  <w:spacing w:val="-5"/>
                                </w:rPr>
                                <w:t>61</w:t>
                              </w:r>
                            </w:p>
                          </w:txbxContent>
                        </wps:txbx>
                        <wps:bodyPr wrap="square" lIns="0" tIns="0" rIns="0" bIns="0" rtlCol="0">
                          <a:noAutofit/>
                        </wps:bodyPr>
                      </wps:wsp>
                    </wpg:wgp>
                  </a:graphicData>
                </a:graphic>
              </wp:anchor>
            </w:drawing>
          </mc:Choice>
          <mc:Fallback>
            <w:pict>
              <v:group w14:anchorId="6EC8E54E" id="Group 325" o:spid="_x0000_s1171" style="position:absolute;margin-left:0;margin-top:805.85pt;width:595.4pt;height:36.15pt;z-index:15769088;mso-wrap-distance-left:0;mso-wrap-distance-right:0;mso-position-horizontal-relative:page;mso-position-vertical-relative:page" coordsize="75615,4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">
                <v:shape id="Graphic 326" o:spid="_x0000_s1172" style="position:absolute;left:64490;top:57;width:11106;height:4514;visibility:visible;mso-wrap-style:square;v-text-anchor:top" coordsize="1110615,4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" path="m1110614,l,,260349,451483r850265,l1110614,xe" fillcolor="#fad2c1" stroked="f">
                  <v:path arrowok="t"/>
                </v:shape>
                <v:shape id="Graphic 327" o:spid="_x0000_s1173" style="position:absolute;left:64490;top:57;width:11106;height:4514;visibility:visible;mso-wrap-style:square;v-text-anchor:top" coordsize="1110615,4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" path="m,l1110614,r,451483l260349,451483,,e" filled="f" strokecolor="#fad2c1" strokeweight=".08475mm">
                  <v:path arrowok="t"/>
                </v:shape>
                <v:shape id="Graphic 328" o:spid="_x0000_s1174" style="position:absolute;top:63;width:75603;height:13;visibility:visible;mso-wrap-style:square;v-text-anchor:top" coordsize="756030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" path="m,l7560309,e" filled="f" strokecolor="#fad2c1" strokeweight="1pt">
                  <v:path arrowok="t"/>
                </v:shape>
                <v:shape id="Textbox 329" o:spid="_x0000_s1175" type="#_x0000_t202" style="position:absolute;left:68821;top:374;width:1473;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" filled="f" stroked="f">
                  <v:textbox inset="0,0,0,0">
                    <w:txbxContent>
                      <w:p w14:paraId="18D774E5" w14:textId="77777777" w:rsidR="00BB77C0" w:rsidRDefault="00370BAA">
                        <w:pPr>
                          <w:spacing w:line="244" w:lineRule="exact"/>
                        </w:pPr>
                        <w:r>
                          <w:rPr>
                            <w:spacing w:val="-5"/>
                          </w:rPr>
                          <w:t>61</w:t>
                        </w:r>
                      </w:p>
                    </w:txbxContent>
                  </v:textbox>
                </v:shape>
                <w10:wrap anchorx="page" anchory="page"/>
              </v:group>
            </w:pict>
          </mc:Fallback>
        </mc:AlternateContent>
      </w:r>
      <w:r>
        <w:rPr>
          <w:i/>
          <w:noProof/>
        </w:rPr>
        <mc:AlternateContent>
          <mc:Choice Requires="wpg">
            <w:drawing>
              <wp:anchor distT="0" distB="0" distL="0" distR="0" simplePos="0" relativeHeight="15769600" behindDoc="0" locked="0" layoutInCell="1" allowOverlap="1" wp14:anchorId="44C9DFAC" wp14:editId="0F969444">
                <wp:simplePos x="0" y="0"/>
                <wp:positionH relativeFrom="page">
                  <wp:posOffset>0</wp:posOffset>
                </wp:positionH>
                <wp:positionV relativeFrom="page">
                  <wp:posOffset>0</wp:posOffset>
                </wp:positionV>
                <wp:extent cx="7559675" cy="228600"/>
                <wp:effectExtent l="0" t="0" r="0" b="0"/>
                <wp:wrapNone/>
                <wp:docPr id="330" name="Group 3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675" cy="228600"/>
                          <a:chOff x="0" y="0"/>
                          <a:chExt cx="7559675" cy="228600"/>
                        </a:xfrm>
                      </wpg:grpSpPr>
                      <wps:wsp>
                        <wps:cNvPr id="331" name="Graphic 331"/>
                        <wps:cNvSpPr/>
                        <wps:spPr>
                          <a:xfrm>
                            <a:off x="848283" y="0"/>
                            <a:ext cx="6711950" cy="228600"/>
                          </a:xfrm>
                          <a:custGeom>
                            <a:avLst/>
                            <a:gdLst/>
                            <a:ahLst/>
                            <a:cxnLst/>
                            <a:rect l="l" t="t" r="r" b="b"/>
                            <a:pathLst>
                              <a:path w="6711950" h="228600">
                                <a:moveTo>
                                  <a:pt x="6711391" y="0"/>
                                </a:moveTo>
                                <a:lnTo>
                                  <a:pt x="0" y="0"/>
                                </a:lnTo>
                                <a:lnTo>
                                  <a:pt x="184137" y="228600"/>
                                </a:lnTo>
                                <a:lnTo>
                                  <a:pt x="6711391" y="223520"/>
                                </a:lnTo>
                                <a:lnTo>
                                  <a:pt x="6711391" y="0"/>
                                </a:lnTo>
                                <a:close/>
                              </a:path>
                            </a:pathLst>
                          </a:custGeom>
                          <a:solidFill>
                            <a:srgbClr val="E6E7E8"/>
                          </a:solidFill>
                        </wps:spPr>
                        <wps:bodyPr wrap="square" lIns="0" tIns="0" rIns="0" bIns="0" rtlCol="0">
                          <a:prstTxWarp prst="textNoShape">
                            <a:avLst/>
                          </a:prstTxWarp>
                          <a:noAutofit/>
                        </wps:bodyPr>
                      </wps:wsp>
                      <wps:wsp>
                        <wps:cNvPr id="332" name="Graphic 332"/>
                        <wps:cNvSpPr/>
                        <wps:spPr>
                          <a:xfrm>
                            <a:off x="0" y="0"/>
                            <a:ext cx="655955" cy="228600"/>
                          </a:xfrm>
                          <a:custGeom>
                            <a:avLst/>
                            <a:gdLst/>
                            <a:ahLst/>
                            <a:cxnLst/>
                            <a:rect l="l" t="t" r="r" b="b"/>
                            <a:pathLst>
                              <a:path w="655955" h="228600">
                                <a:moveTo>
                                  <a:pt x="530174" y="0"/>
                                </a:moveTo>
                                <a:lnTo>
                                  <a:pt x="0" y="0"/>
                                </a:lnTo>
                                <a:lnTo>
                                  <a:pt x="0" y="228600"/>
                                </a:lnTo>
                                <a:lnTo>
                                  <a:pt x="655904" y="228600"/>
                                </a:lnTo>
                                <a:lnTo>
                                  <a:pt x="530174" y="0"/>
                                </a:lnTo>
                                <a:close/>
                              </a:path>
                            </a:pathLst>
                          </a:custGeom>
                          <a:solidFill>
                            <a:srgbClr val="00A650"/>
                          </a:solidFill>
                        </wps:spPr>
                        <wps:bodyPr wrap="square" lIns="0" tIns="0" rIns="0" bIns="0" rtlCol="0">
                          <a:prstTxWarp prst="textNoShape">
                            <a:avLst/>
                          </a:prstTxWarp>
                          <a:noAutofit/>
                        </wps:bodyPr>
                      </wps:wsp>
                      <wps:wsp>
                        <wps:cNvPr id="333" name="Graphic 333"/>
                        <wps:cNvSpPr/>
                        <wps:spPr>
                          <a:xfrm>
                            <a:off x="554304" y="0"/>
                            <a:ext cx="329565" cy="228600"/>
                          </a:xfrm>
                          <a:custGeom>
                            <a:avLst/>
                            <a:gdLst/>
                            <a:ahLst/>
                            <a:cxnLst/>
                            <a:rect l="l" t="t" r="r" b="b"/>
                            <a:pathLst>
                              <a:path w="329565" h="228600">
                                <a:moveTo>
                                  <a:pt x="203822" y="0"/>
                                </a:moveTo>
                                <a:lnTo>
                                  <a:pt x="0" y="0"/>
                                </a:lnTo>
                                <a:lnTo>
                                  <a:pt x="128904" y="228600"/>
                                </a:lnTo>
                                <a:lnTo>
                                  <a:pt x="329539" y="228600"/>
                                </a:lnTo>
                                <a:lnTo>
                                  <a:pt x="203822" y="0"/>
                                </a:lnTo>
                                <a:close/>
                              </a:path>
                            </a:pathLst>
                          </a:custGeom>
                          <a:solidFill>
                            <a:srgbClr val="EB1C22"/>
                          </a:solidFill>
                        </wps:spPr>
                        <wps:bodyPr wrap="square" lIns="0" tIns="0" rIns="0" bIns="0" rtlCol="0">
                          <a:prstTxWarp prst="textNoShape">
                            <a:avLst/>
                          </a:prstTxWarp>
                          <a:noAutofit/>
                        </wps:bodyPr>
                      </wps:wsp>
                      <wps:wsp>
                        <wps:cNvPr id="334" name="Graphic 334"/>
                        <wps:cNvSpPr/>
                        <wps:spPr>
                          <a:xfrm>
                            <a:off x="783526" y="0"/>
                            <a:ext cx="329565" cy="228600"/>
                          </a:xfrm>
                          <a:custGeom>
                            <a:avLst/>
                            <a:gdLst/>
                            <a:ahLst/>
                            <a:cxnLst/>
                            <a:rect l="l" t="t" r="r" b="b"/>
                            <a:pathLst>
                              <a:path w="329565" h="228600">
                                <a:moveTo>
                                  <a:pt x="203822" y="0"/>
                                </a:moveTo>
                                <a:lnTo>
                                  <a:pt x="0" y="0"/>
                                </a:lnTo>
                                <a:lnTo>
                                  <a:pt x="128879" y="228600"/>
                                </a:lnTo>
                                <a:lnTo>
                                  <a:pt x="329539" y="228600"/>
                                </a:lnTo>
                                <a:lnTo>
                                  <a:pt x="203822" y="0"/>
                                </a:lnTo>
                                <a:close/>
                              </a:path>
                            </a:pathLst>
                          </a:custGeom>
                          <a:solidFill>
                            <a:srgbClr val="A7A9AC"/>
                          </a:solidFill>
                        </wps:spPr>
                        <wps:bodyPr wrap="square" lIns="0" tIns="0" rIns="0" bIns="0" rtlCol="0">
                          <a:prstTxWarp prst="textNoShape">
                            <a:avLst/>
                          </a:prstTxWarp>
                          <a:noAutofit/>
                        </wps:bodyPr>
                      </wps:wsp>
                    </wpg:wgp>
                  </a:graphicData>
                </a:graphic>
              </wp:anchor>
            </w:drawing>
          </mc:Choice>
          <mc:Fallback>
            <w:pict>
              <v:group w14:anchorId="698A9124" id="Group 330" o:spid="_x0000_s1026" style="position:absolute;margin-left:0;margin-top:0;width:595.25pt;height:18pt;z-index:15769600;mso-wrap-distance-left:0;mso-wrap-distance-right:0;mso-position-horizontal-relative:page;mso-position-vertical-relative:page" coordsize="75596,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">
                <v:shape id="Graphic 331" o:spid="_x0000_s1027" style="position:absolute;left:8482;width:67120;height:2286;visibility:visible;mso-wrap-style:square;v-text-anchor:top" coordsize="67119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" path="m6711391,l,,184137,228600r6527254,-5080l6711391,xe" fillcolor="#e6e7e8" stroked="f">
                  <v:path arrowok="t"/>
                </v:shape>
                <v:shape id="Graphic 332" o:spid="_x0000_s1028" style="position:absolute;width:6559;height:2286;visibility:visible;mso-wrap-style:square;v-text-anchor:top" coordsize="65595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" path="m530174,l,,,228600r655904,l530174,xe" fillcolor="#00a650" stroked="f">
                  <v:path arrowok="t"/>
                </v:shape>
                <v:shape id="Graphic 333" o:spid="_x0000_s1029" style="position:absolute;left:5543;width:3295;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" path="m203822,l,,128904,228600r200635,l203822,xe" fillcolor="#eb1c22" stroked="f">
                  <v:path arrowok="t"/>
                </v:shape>
                <v:shape id="Graphic 334" o:spid="_x0000_s1030" style="position:absolute;left:7835;width:3295;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" path="m203822,l,,128879,228600r200660,l203822,xe" fillcolor="#a7a9ac" stroked="f">
                  <v:path arrowok="t"/>
                </v:shape>
                <w10:wrap anchorx="page" anchory="page"/>
              </v:group>
            </w:pict>
          </mc:Fallback>
        </mc:AlternateContent>
      </w:r>
    </w:p>
    <w:p w14:paraId="30520577" w14:textId="77777777" w:rsidR="00BB77C0" w:rsidRDefault="00BB77C0">
      <w:pPr>
        <w:pStyle w:val="BodyText"/>
        <w:spacing w:before="197"/>
        <w:rPr>
          <w:i/>
        </w:rPr>
      </w:pPr>
    </w:p>
    <w:p w14:paraId="55A8762E" w14:textId="77777777" w:rsidR="00BB77C0" w:rsidRDefault="00370BAA">
      <w:pPr>
        <w:spacing w:before="1"/>
        <w:ind w:left="494"/>
      </w:pPr>
      <w:r>
        <w:rPr>
          <w:b/>
          <w:color w:val="211F1F"/>
        </w:rPr>
        <w:t>FORM</w:t>
      </w:r>
      <w:r>
        <w:rPr>
          <w:b/>
          <w:color w:val="211F1F"/>
          <w:spacing w:val="-16"/>
        </w:rPr>
        <w:t xml:space="preserve"> </w:t>
      </w:r>
      <w:r>
        <w:rPr>
          <w:b/>
          <w:color w:val="211F1F"/>
        </w:rPr>
        <w:t>OF</w:t>
      </w:r>
      <w:r>
        <w:rPr>
          <w:b/>
          <w:color w:val="211F1F"/>
          <w:spacing w:val="-14"/>
        </w:rPr>
        <w:t xml:space="preserve"> </w:t>
      </w:r>
      <w:r>
        <w:rPr>
          <w:b/>
          <w:color w:val="211F1F"/>
        </w:rPr>
        <w:t>TENDER</w:t>
      </w:r>
      <w:r>
        <w:rPr>
          <w:b/>
          <w:color w:val="211F1F"/>
          <w:spacing w:val="-14"/>
        </w:rPr>
        <w:t xml:space="preserve"> </w:t>
      </w:r>
      <w:r>
        <w:rPr>
          <w:b/>
          <w:color w:val="211F1F"/>
        </w:rPr>
        <w:t>SECURITY-</w:t>
      </w:r>
      <w:r>
        <w:rPr>
          <w:color w:val="211F1F"/>
        </w:rPr>
        <w:t>[</w:t>
      </w:r>
      <w:r>
        <w:rPr>
          <w:b/>
          <w:color w:val="211F1F"/>
        </w:rPr>
        <w:t>Option</w:t>
      </w:r>
      <w:r>
        <w:rPr>
          <w:b/>
          <w:color w:val="211F1F"/>
          <w:spacing w:val="-13"/>
        </w:rPr>
        <w:t xml:space="preserve"> </w:t>
      </w:r>
      <w:r>
        <w:rPr>
          <w:b/>
          <w:color w:val="211F1F"/>
        </w:rPr>
        <w:t>1–Demand</w:t>
      </w:r>
      <w:r>
        <w:rPr>
          <w:b/>
          <w:color w:val="211F1F"/>
          <w:spacing w:val="-13"/>
        </w:rPr>
        <w:t xml:space="preserve"> </w:t>
      </w:r>
      <w:r>
        <w:rPr>
          <w:b/>
          <w:color w:val="211F1F"/>
        </w:rPr>
        <w:t>Bank</w:t>
      </w:r>
      <w:r>
        <w:rPr>
          <w:b/>
          <w:color w:val="211F1F"/>
          <w:spacing w:val="-13"/>
        </w:rPr>
        <w:t xml:space="preserve"> </w:t>
      </w:r>
      <w:r>
        <w:rPr>
          <w:b/>
          <w:color w:val="211F1F"/>
          <w:spacing w:val="-2"/>
        </w:rPr>
        <w:t>Guarantee</w:t>
      </w:r>
      <w:r>
        <w:rPr>
          <w:spacing w:val="-2"/>
        </w:rPr>
        <w:t>]</w:t>
      </w:r>
    </w:p>
    <w:p w14:paraId="3ACA9548" w14:textId="77777777" w:rsidR="00BB77C0" w:rsidRDefault="00BB77C0">
      <w:pPr>
        <w:pStyle w:val="BodyText"/>
        <w:spacing w:before="156"/>
      </w:pPr>
    </w:p>
    <w:p w14:paraId="08CDCB71" w14:textId="77777777" w:rsidR="00BB77C0" w:rsidRDefault="00370BAA">
      <w:pPr>
        <w:tabs>
          <w:tab w:val="left" w:pos="7325"/>
        </w:tabs>
        <w:spacing w:line="300" w:lineRule="auto"/>
        <w:ind w:left="494" w:right="4231"/>
        <w:rPr>
          <w:b/>
        </w:rPr>
      </w:pPr>
      <w:r>
        <w:rPr>
          <w:b/>
          <w:color w:val="211F1F"/>
          <w:spacing w:val="-2"/>
        </w:rPr>
        <w:t>Beneficiary:</w:t>
      </w:r>
      <w:r>
        <w:rPr>
          <w:b/>
          <w:color w:val="211F1F"/>
          <w:u w:val="single" w:color="201E1F"/>
        </w:rPr>
        <w:tab/>
      </w:r>
      <w:r>
        <w:rPr>
          <w:b/>
          <w:color w:val="211F1F"/>
        </w:rPr>
        <w:t xml:space="preserve"> Request forTenders No:</w:t>
      </w:r>
    </w:p>
    <w:p w14:paraId="5A02712F" w14:textId="77777777" w:rsidR="00BB77C0" w:rsidRDefault="00370BAA">
      <w:pPr>
        <w:pStyle w:val="BodyText"/>
        <w:spacing w:before="3"/>
        <w:rPr>
          <w:b/>
          <w:sz w:val="18"/>
        </w:rPr>
      </w:pPr>
      <w:r>
        <w:rPr>
          <w:b/>
          <w:noProof/>
          <w:sz w:val="18"/>
        </w:rPr>
        <mc:AlternateContent>
          <mc:Choice Requires="wps">
            <w:drawing>
              <wp:anchor distT="0" distB="0" distL="0" distR="0" simplePos="0" relativeHeight="487626752" behindDoc="1" locked="0" layoutInCell="1" allowOverlap="1" wp14:anchorId="1EC2B2D2" wp14:editId="2E52EC05">
                <wp:simplePos x="0" y="0"/>
                <wp:positionH relativeFrom="page">
                  <wp:posOffset>543559</wp:posOffset>
                </wp:positionH>
                <wp:positionV relativeFrom="paragraph">
                  <wp:posOffset>148984</wp:posOffset>
                </wp:positionV>
                <wp:extent cx="4257040" cy="6350"/>
                <wp:effectExtent l="0" t="0" r="0" b="0"/>
                <wp:wrapTopAndBottom/>
                <wp:docPr id="335" name="Graphic 3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57040" cy="6350"/>
                        </a:xfrm>
                        <a:custGeom>
                          <a:avLst/>
                          <a:gdLst/>
                          <a:ahLst/>
                          <a:cxnLst/>
                          <a:rect l="l" t="t" r="r" b="b"/>
                          <a:pathLst>
                            <a:path w="4257040" h="6350">
                              <a:moveTo>
                                <a:pt x="4256532" y="0"/>
                              </a:moveTo>
                              <a:lnTo>
                                <a:pt x="0" y="0"/>
                              </a:lnTo>
                              <a:lnTo>
                                <a:pt x="0" y="6107"/>
                              </a:lnTo>
                              <a:lnTo>
                                <a:pt x="4256532" y="6107"/>
                              </a:lnTo>
                              <a:lnTo>
                                <a:pt x="4256532" y="0"/>
                              </a:lnTo>
                              <a:close/>
                            </a:path>
                          </a:pathLst>
                        </a:custGeom>
                        <a:solidFill>
                          <a:srgbClr val="201E1F"/>
                        </a:solidFill>
                      </wps:spPr>
                      <wps:bodyPr wrap="square" lIns="0" tIns="0" rIns="0" bIns="0" rtlCol="0">
                        <a:prstTxWarp prst="textNoShape">
                          <a:avLst/>
                        </a:prstTxWarp>
                        <a:noAutofit/>
                      </wps:bodyPr>
                    </wps:wsp>
                  </a:graphicData>
                </a:graphic>
              </wp:anchor>
            </w:drawing>
          </mc:Choice>
          <mc:Fallback>
            <w:pict>
              <v:shape w14:anchorId="44F227D0" id="Graphic 335" o:spid="_x0000_s1026" style="position:absolute;margin-left:42.8pt;margin-top:11.75pt;width:335.2pt;height:.5pt;z-index:-15689728;visibility:visible;mso-wrap-style:square;mso-wrap-distance-left:0;mso-wrap-distance-top:0;mso-wrap-distance-right:0;mso-wrap-distance-bottom:0;mso-position-horizontal:absolute;mso-position-horizontal-relative:page;mso-position-vertical:absolute;mso-position-vertical-relative:text;v-text-anchor:top" coordsize="42570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" path="m4256532,l,,,6107r4256532,l4256532,xe" fillcolor="#201e1f" stroked="f">
                <v:path arrowok="t"/>
                <w10:wrap type="topAndBottom" anchorx="page"/>
              </v:shape>
            </w:pict>
          </mc:Fallback>
        </mc:AlternateContent>
      </w:r>
    </w:p>
    <w:p w14:paraId="2ABD0EB0" w14:textId="77777777" w:rsidR="00BB77C0" w:rsidRDefault="00370BAA">
      <w:pPr>
        <w:tabs>
          <w:tab w:val="left" w:pos="7358"/>
        </w:tabs>
        <w:spacing w:before="79" w:line="300" w:lineRule="auto"/>
        <w:ind w:left="494" w:right="4197"/>
        <w:rPr>
          <w:b/>
        </w:rPr>
      </w:pPr>
      <w:r>
        <w:rPr>
          <w:b/>
          <w:color w:val="211F1F"/>
          <w:spacing w:val="-2"/>
        </w:rPr>
        <w:t>Date:</w:t>
      </w:r>
      <w:r>
        <w:rPr>
          <w:b/>
          <w:color w:val="211F1F"/>
          <w:u w:val="single" w:color="201E1F"/>
        </w:rPr>
        <w:tab/>
      </w:r>
      <w:r>
        <w:rPr>
          <w:b/>
          <w:color w:val="211F1F"/>
        </w:rPr>
        <w:t xml:space="preserve"> </w:t>
      </w:r>
      <w:r>
        <w:rPr>
          <w:b/>
          <w:color w:val="211F1F"/>
          <w:spacing w:val="-2"/>
        </w:rPr>
        <w:t>TENDER</w:t>
      </w:r>
      <w:r>
        <w:rPr>
          <w:b/>
          <w:color w:val="211F1F"/>
          <w:spacing w:val="-5"/>
        </w:rPr>
        <w:t xml:space="preserve"> </w:t>
      </w:r>
      <w:r>
        <w:rPr>
          <w:b/>
          <w:color w:val="211F1F"/>
          <w:spacing w:val="-2"/>
        </w:rPr>
        <w:t>GUARANTEE</w:t>
      </w:r>
      <w:r>
        <w:rPr>
          <w:b/>
          <w:color w:val="211F1F"/>
          <w:spacing w:val="4"/>
        </w:rPr>
        <w:t xml:space="preserve"> </w:t>
      </w:r>
      <w:r>
        <w:rPr>
          <w:b/>
          <w:color w:val="211F1F"/>
          <w:spacing w:val="-4"/>
        </w:rPr>
        <w:t>No.:</w:t>
      </w:r>
      <w:r>
        <w:rPr>
          <w:b/>
          <w:color w:val="211F1F"/>
          <w:u w:val="single" w:color="201E1F"/>
        </w:rPr>
        <w:tab/>
      </w:r>
    </w:p>
    <w:p w14:paraId="31E93E05" w14:textId="77777777" w:rsidR="00BB77C0" w:rsidRDefault="00370BAA">
      <w:pPr>
        <w:tabs>
          <w:tab w:val="left" w:pos="7382"/>
        </w:tabs>
        <w:spacing w:before="6"/>
        <w:ind w:left="494"/>
        <w:rPr>
          <w:b/>
        </w:rPr>
      </w:pPr>
      <w:r>
        <w:rPr>
          <w:b/>
          <w:color w:val="211F1F"/>
        </w:rPr>
        <w:t xml:space="preserve">Guarantor: </w:t>
      </w:r>
      <w:r>
        <w:rPr>
          <w:b/>
          <w:color w:val="211F1F"/>
          <w:u w:val="single" w:color="201E1F"/>
        </w:rPr>
        <w:tab/>
      </w:r>
    </w:p>
    <w:p w14:paraId="5BFD159D" w14:textId="77777777" w:rsidR="00BB77C0" w:rsidRDefault="00BB77C0">
      <w:pPr>
        <w:pStyle w:val="BodyText"/>
        <w:spacing w:before="150"/>
        <w:rPr>
          <w:b/>
        </w:rPr>
      </w:pPr>
    </w:p>
    <w:p w14:paraId="17331309" w14:textId="77777777" w:rsidR="00BB77C0" w:rsidRDefault="00370BAA">
      <w:pPr>
        <w:pStyle w:val="ListParagraph"/>
        <w:numPr>
          <w:ilvl w:val="0"/>
          <w:numId w:val="39"/>
        </w:numPr>
        <w:tabs>
          <w:tab w:val="left" w:pos="881"/>
          <w:tab w:val="left" w:pos="888"/>
          <w:tab w:val="left" w:pos="4773"/>
          <w:tab w:val="left" w:pos="6213"/>
          <w:tab w:val="left" w:pos="10950"/>
        </w:tabs>
        <w:spacing w:line="230" w:lineRule="auto"/>
        <w:ind w:right="605" w:hanging="394"/>
        <w:jc w:val="both"/>
      </w:pPr>
      <w:r>
        <w:rPr>
          <w:color w:val="211F1F"/>
        </w:rPr>
        <w:t>We have been informed that</w:t>
      </w:r>
      <w:r>
        <w:rPr>
          <w:color w:val="211F1F"/>
          <w:u w:val="single" w:color="201E1F"/>
        </w:rPr>
        <w:tab/>
      </w:r>
      <w:r>
        <w:rPr>
          <w:color w:val="211F1F"/>
          <w:u w:val="single" w:color="201E1F"/>
        </w:rPr>
        <w:tab/>
      </w:r>
      <w:r>
        <w:rPr>
          <w:color w:val="211F1F"/>
        </w:rPr>
        <w:t>(here</w:t>
      </w:r>
      <w:r>
        <w:rPr>
          <w:color w:val="211F1F"/>
          <w:spacing w:val="-2"/>
        </w:rPr>
        <w:t xml:space="preserve"> </w:t>
      </w:r>
      <w:r>
        <w:rPr>
          <w:color w:val="211F1F"/>
        </w:rPr>
        <w:t>inafter called "the Applicant") has submitted or will submit to the Beneficiary its Tender (here inafter called" the Tender") for the execution of</w:t>
      </w:r>
      <w:r>
        <w:rPr>
          <w:color w:val="211F1F"/>
          <w:u w:val="single" w:color="201E1F"/>
        </w:rPr>
        <w:tab/>
      </w:r>
      <w:r>
        <w:rPr>
          <w:color w:val="211F1F"/>
        </w:rPr>
        <w:t xml:space="preserve"> under Request for Tenders No.</w:t>
      </w:r>
      <w:r>
        <w:rPr>
          <w:color w:val="211F1F"/>
        </w:rPr>
        <w:tab/>
        <w:t>(“the ITT”).</w:t>
      </w:r>
    </w:p>
    <w:p w14:paraId="1D6E026F" w14:textId="77777777" w:rsidR="00BB77C0" w:rsidRDefault="00370BAA">
      <w:pPr>
        <w:pStyle w:val="BodyText"/>
        <w:spacing w:line="20" w:lineRule="exact"/>
        <w:ind w:left="3583"/>
        <w:rPr>
          <w:sz w:val="2"/>
        </w:rPr>
      </w:pPr>
      <w:r>
        <w:rPr>
          <w:noProof/>
          <w:sz w:val="2"/>
        </w:rPr>
        <mc:AlternateContent>
          <mc:Choice Requires="wpg">
            <w:drawing>
              <wp:inline distT="0" distB="0" distL="0" distR="0" wp14:anchorId="3E354B77" wp14:editId="1D9CF14B">
                <wp:extent cx="756285" cy="6350"/>
                <wp:effectExtent l="0" t="0" r="0" b="0"/>
                <wp:docPr id="336" name="Group 3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285" cy="6350"/>
                          <a:chOff x="0" y="0"/>
                          <a:chExt cx="756285" cy="6350"/>
                        </a:xfrm>
                      </wpg:grpSpPr>
                      <wps:wsp>
                        <wps:cNvPr id="337" name="Graphic 337"/>
                        <wps:cNvSpPr/>
                        <wps:spPr>
                          <a:xfrm>
                            <a:off x="0" y="0"/>
                            <a:ext cx="756285" cy="6350"/>
                          </a:xfrm>
                          <a:custGeom>
                            <a:avLst/>
                            <a:gdLst/>
                            <a:ahLst/>
                            <a:cxnLst/>
                            <a:rect l="l" t="t" r="r" b="b"/>
                            <a:pathLst>
                              <a:path w="756285" h="6350">
                                <a:moveTo>
                                  <a:pt x="755904" y="0"/>
                                </a:moveTo>
                                <a:lnTo>
                                  <a:pt x="0" y="0"/>
                                </a:lnTo>
                                <a:lnTo>
                                  <a:pt x="0" y="6096"/>
                                </a:lnTo>
                                <a:lnTo>
                                  <a:pt x="755904" y="6096"/>
                                </a:lnTo>
                                <a:lnTo>
                                  <a:pt x="755904" y="0"/>
                                </a:lnTo>
                                <a:close/>
                              </a:path>
                            </a:pathLst>
                          </a:custGeom>
                          <a:solidFill>
                            <a:srgbClr val="201E1F"/>
                          </a:solidFill>
                        </wps:spPr>
                        <wps:bodyPr wrap="square" lIns="0" tIns="0" rIns="0" bIns="0" rtlCol="0">
                          <a:prstTxWarp prst="textNoShape">
                            <a:avLst/>
                          </a:prstTxWarp>
                          <a:noAutofit/>
                        </wps:bodyPr>
                      </wps:wsp>
                    </wpg:wgp>
                  </a:graphicData>
                </a:graphic>
              </wp:inline>
            </w:drawing>
          </mc:Choice>
          <mc:Fallback>
            <w:pict>
              <v:group w14:anchorId="349D5F9B" id="Group 336" o:spid="_x0000_s1026" style="width:59.55pt;height:.5pt;mso-position-horizontal-relative:char;mso-position-vertical-relative:line" coordsize="756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">
                <v:shape id="Graphic 337" o:spid="_x0000_s1027" style="position:absolute;width:7562;height:63;visibility:visible;mso-wrap-style:square;v-text-anchor:top" coordsize="75628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" path="m755904,l,,,6096r755904,l755904,xe" fillcolor="#201e1f" stroked="f">
                  <v:path arrowok="t"/>
                </v:shape>
                <w10:anchorlock/>
              </v:group>
            </w:pict>
          </mc:Fallback>
        </mc:AlternateContent>
      </w:r>
    </w:p>
    <w:p w14:paraId="20601EB7" w14:textId="77777777" w:rsidR="00BB77C0" w:rsidRDefault="00BB77C0">
      <w:pPr>
        <w:pStyle w:val="BodyText"/>
        <w:spacing w:before="135"/>
      </w:pPr>
    </w:p>
    <w:p w14:paraId="22870369" w14:textId="77777777" w:rsidR="00BB77C0" w:rsidRDefault="00370BAA">
      <w:pPr>
        <w:pStyle w:val="ListParagraph"/>
        <w:numPr>
          <w:ilvl w:val="0"/>
          <w:numId w:val="39"/>
        </w:numPr>
        <w:tabs>
          <w:tab w:val="left" w:pos="881"/>
          <w:tab w:val="left" w:pos="888"/>
        </w:tabs>
        <w:spacing w:line="232" w:lineRule="auto"/>
        <w:ind w:right="841" w:hanging="394"/>
        <w:jc w:val="both"/>
      </w:pPr>
      <w:r>
        <w:rPr>
          <w:color w:val="211F1F"/>
        </w:rPr>
        <w:t>Furthermore, we understand that, according to the Beneficiary's conditions, Tenders must be supported by a Tender guarantee.</w:t>
      </w:r>
    </w:p>
    <w:p w14:paraId="309A9E13" w14:textId="77777777" w:rsidR="00BB77C0" w:rsidRDefault="00BB77C0">
      <w:pPr>
        <w:pStyle w:val="BodyText"/>
        <w:spacing w:before="155"/>
      </w:pPr>
    </w:p>
    <w:p w14:paraId="36AF0AF5" w14:textId="77777777" w:rsidR="00BB77C0" w:rsidRDefault="00370BAA">
      <w:pPr>
        <w:pStyle w:val="ListParagraph"/>
        <w:numPr>
          <w:ilvl w:val="0"/>
          <w:numId w:val="39"/>
        </w:numPr>
        <w:tabs>
          <w:tab w:val="left" w:pos="881"/>
          <w:tab w:val="left" w:pos="888"/>
          <w:tab w:val="left" w:pos="5815"/>
          <w:tab w:val="left" w:pos="7207"/>
        </w:tabs>
        <w:spacing w:before="1" w:line="230" w:lineRule="auto"/>
        <w:ind w:right="830" w:hanging="394"/>
        <w:jc w:val="both"/>
      </w:pPr>
      <w:r>
        <w:rPr>
          <w:noProof/>
        </w:rPr>
        <mc:AlternateContent>
          <mc:Choice Requires="wps">
            <w:drawing>
              <wp:anchor distT="0" distB="0" distL="0" distR="0" simplePos="0" relativeHeight="15770112" behindDoc="0" locked="0" layoutInCell="1" allowOverlap="1" wp14:anchorId="28E194A7" wp14:editId="71108C4D">
                <wp:simplePos x="0" y="0"/>
                <wp:positionH relativeFrom="page">
                  <wp:posOffset>3244214</wp:posOffset>
                </wp:positionH>
                <wp:positionV relativeFrom="paragraph">
                  <wp:posOffset>299391</wp:posOffset>
                </wp:positionV>
                <wp:extent cx="675640" cy="6350"/>
                <wp:effectExtent l="0" t="0" r="0" b="0"/>
                <wp:wrapNone/>
                <wp:docPr id="338" name="Graphic 3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5640" cy="6350"/>
                        </a:xfrm>
                        <a:custGeom>
                          <a:avLst/>
                          <a:gdLst/>
                          <a:ahLst/>
                          <a:cxnLst/>
                          <a:rect l="l" t="t" r="r" b="b"/>
                          <a:pathLst>
                            <a:path w="675640" h="6350">
                              <a:moveTo>
                                <a:pt x="675119" y="0"/>
                              </a:moveTo>
                              <a:lnTo>
                                <a:pt x="0" y="0"/>
                              </a:lnTo>
                              <a:lnTo>
                                <a:pt x="0" y="6096"/>
                              </a:lnTo>
                              <a:lnTo>
                                <a:pt x="675119" y="6096"/>
                              </a:lnTo>
                              <a:lnTo>
                                <a:pt x="675119" y="0"/>
                              </a:lnTo>
                              <a:close/>
                            </a:path>
                          </a:pathLst>
                        </a:custGeom>
                        <a:solidFill>
                          <a:srgbClr val="201E1F"/>
                        </a:solidFill>
                      </wps:spPr>
                      <wps:bodyPr wrap="square" lIns="0" tIns="0" rIns="0" bIns="0" rtlCol="0">
                        <a:prstTxWarp prst="textNoShape">
                          <a:avLst/>
                        </a:prstTxWarp>
                        <a:noAutofit/>
                      </wps:bodyPr>
                    </wps:wsp>
                  </a:graphicData>
                </a:graphic>
              </wp:anchor>
            </w:drawing>
          </mc:Choice>
          <mc:Fallback>
            <w:pict>
              <v:shape w14:anchorId="2AB0AC9B" id="Graphic 338" o:spid="_x0000_s1026" style="position:absolute;margin-left:255.45pt;margin-top:23.55pt;width:53.2pt;height:.5pt;z-index:15770112;visibility:visible;mso-wrap-style:square;mso-wrap-distance-left:0;mso-wrap-distance-top:0;mso-wrap-distance-right:0;mso-wrap-distance-bottom:0;mso-position-horizontal:absolute;mso-position-horizontal-relative:page;mso-position-vertical:absolute;mso-position-vertical-relative:text;v-text-anchor:top" coordsize="6756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" path="m675119,l,,,6096r675119,l675119,xe" fillcolor="#201e1f" stroked="f">
                <v:path arrowok="t"/>
                <w10:wrap anchorx="page"/>
              </v:shape>
            </w:pict>
          </mc:Fallback>
        </mc:AlternateContent>
      </w:r>
      <w:r>
        <w:rPr>
          <w:color w:val="211F1F"/>
        </w:rPr>
        <w:t>At the</w:t>
      </w:r>
      <w:r>
        <w:rPr>
          <w:color w:val="211F1F"/>
          <w:spacing w:val="-3"/>
        </w:rPr>
        <w:t xml:space="preserve"> </w:t>
      </w:r>
      <w:r>
        <w:rPr>
          <w:color w:val="211F1F"/>
        </w:rPr>
        <w:t>request of the</w:t>
      </w:r>
      <w:r>
        <w:rPr>
          <w:color w:val="211F1F"/>
          <w:spacing w:val="-3"/>
        </w:rPr>
        <w:t xml:space="preserve"> </w:t>
      </w:r>
      <w:r>
        <w:rPr>
          <w:color w:val="211F1F"/>
        </w:rPr>
        <w:t>Applicant, we, as</w:t>
      </w:r>
      <w:r>
        <w:rPr>
          <w:color w:val="211F1F"/>
          <w:spacing w:val="-1"/>
        </w:rPr>
        <w:t xml:space="preserve"> </w:t>
      </w:r>
      <w:r>
        <w:rPr>
          <w:color w:val="211F1F"/>
        </w:rPr>
        <w:t>Guarantor, hereby</w:t>
      </w:r>
      <w:r>
        <w:rPr>
          <w:color w:val="211F1F"/>
          <w:spacing w:val="-2"/>
        </w:rPr>
        <w:t xml:space="preserve"> </w:t>
      </w:r>
      <w:r>
        <w:rPr>
          <w:color w:val="211F1F"/>
        </w:rPr>
        <w:t>irrevocably</w:t>
      </w:r>
      <w:r>
        <w:rPr>
          <w:color w:val="211F1F"/>
          <w:spacing w:val="-1"/>
        </w:rPr>
        <w:t xml:space="preserve"> </w:t>
      </w:r>
      <w:r>
        <w:rPr>
          <w:color w:val="211F1F"/>
        </w:rPr>
        <w:t>undertake</w:t>
      </w:r>
      <w:r>
        <w:rPr>
          <w:color w:val="211F1F"/>
          <w:spacing w:val="-3"/>
        </w:rPr>
        <w:t xml:space="preserve"> </w:t>
      </w:r>
      <w:r>
        <w:rPr>
          <w:color w:val="211F1F"/>
        </w:rPr>
        <w:t>to</w:t>
      </w:r>
      <w:r>
        <w:rPr>
          <w:color w:val="211F1F"/>
          <w:spacing w:val="-7"/>
        </w:rPr>
        <w:t xml:space="preserve"> </w:t>
      </w:r>
      <w:r>
        <w:rPr>
          <w:color w:val="211F1F"/>
        </w:rPr>
        <w:t>pay</w:t>
      </w:r>
      <w:r>
        <w:rPr>
          <w:color w:val="211F1F"/>
          <w:spacing w:val="-2"/>
        </w:rPr>
        <w:t xml:space="preserve"> </w:t>
      </w:r>
      <w:r>
        <w:rPr>
          <w:color w:val="211F1F"/>
        </w:rPr>
        <w:t>the</w:t>
      </w:r>
      <w:r>
        <w:rPr>
          <w:color w:val="211F1F"/>
          <w:spacing w:val="-3"/>
        </w:rPr>
        <w:t xml:space="preserve"> </w:t>
      </w:r>
      <w:r>
        <w:rPr>
          <w:color w:val="211F1F"/>
        </w:rPr>
        <w:t>Beneficiary any</w:t>
      </w:r>
      <w:r>
        <w:rPr>
          <w:color w:val="211F1F"/>
          <w:spacing w:val="-2"/>
        </w:rPr>
        <w:t xml:space="preserve"> </w:t>
      </w:r>
      <w:r>
        <w:rPr>
          <w:color w:val="211F1F"/>
        </w:rPr>
        <w:t>sum or sums not exceeding in total an amount of</w:t>
      </w:r>
      <w:r>
        <w:rPr>
          <w:color w:val="211F1F"/>
        </w:rPr>
        <w:tab/>
      </w:r>
      <w:r>
        <w:rPr>
          <w:color w:val="211F1F"/>
          <w:spacing w:val="-10"/>
        </w:rPr>
        <w:t>(</w:t>
      </w:r>
      <w:r>
        <w:rPr>
          <w:color w:val="211F1F"/>
          <w:u w:val="single" w:color="201E1F"/>
        </w:rPr>
        <w:tab/>
      </w:r>
      <w:r>
        <w:rPr>
          <w:color w:val="211F1F"/>
        </w:rPr>
        <w:t>)</w:t>
      </w:r>
      <w:r>
        <w:rPr>
          <w:color w:val="211F1F"/>
          <w:spacing w:val="-4"/>
        </w:rPr>
        <w:t xml:space="preserve"> </w:t>
      </w:r>
      <w:r>
        <w:rPr>
          <w:color w:val="211F1F"/>
        </w:rPr>
        <w:t>upon</w:t>
      </w:r>
      <w:r>
        <w:rPr>
          <w:color w:val="211F1F"/>
          <w:spacing w:val="-6"/>
        </w:rPr>
        <w:t xml:space="preserve"> </w:t>
      </w:r>
      <w:r>
        <w:rPr>
          <w:color w:val="211F1F"/>
        </w:rPr>
        <w:t>receipt</w:t>
      </w:r>
      <w:r>
        <w:rPr>
          <w:color w:val="211F1F"/>
          <w:spacing w:val="-1"/>
        </w:rPr>
        <w:t xml:space="preserve"> </w:t>
      </w:r>
      <w:r>
        <w:rPr>
          <w:color w:val="211F1F"/>
        </w:rPr>
        <w:t>by</w:t>
      </w:r>
      <w:r>
        <w:rPr>
          <w:color w:val="211F1F"/>
          <w:spacing w:val="-11"/>
        </w:rPr>
        <w:t xml:space="preserve"> </w:t>
      </w:r>
      <w:r>
        <w:rPr>
          <w:color w:val="211F1F"/>
        </w:rPr>
        <w:t>us</w:t>
      </w:r>
      <w:r>
        <w:rPr>
          <w:color w:val="211F1F"/>
          <w:spacing w:val="-2"/>
        </w:rPr>
        <w:t xml:space="preserve"> </w:t>
      </w:r>
      <w:r>
        <w:rPr>
          <w:color w:val="211F1F"/>
        </w:rPr>
        <w:t>of</w:t>
      </w:r>
      <w:r>
        <w:rPr>
          <w:color w:val="211F1F"/>
          <w:spacing w:val="-4"/>
        </w:rPr>
        <w:t xml:space="preserve"> </w:t>
      </w:r>
      <w:r>
        <w:rPr>
          <w:color w:val="211F1F"/>
        </w:rPr>
        <w:t>the</w:t>
      </w:r>
      <w:r>
        <w:rPr>
          <w:color w:val="211F1F"/>
          <w:spacing w:val="-9"/>
        </w:rPr>
        <w:t xml:space="preserve"> </w:t>
      </w:r>
      <w:r>
        <w:rPr>
          <w:color w:val="211F1F"/>
        </w:rPr>
        <w:t>Beneficiary's complying</w:t>
      </w:r>
      <w:r>
        <w:rPr>
          <w:color w:val="211F1F"/>
          <w:spacing w:val="-2"/>
        </w:rPr>
        <w:t xml:space="preserve"> </w:t>
      </w:r>
      <w:r>
        <w:rPr>
          <w:color w:val="211F1F"/>
        </w:rPr>
        <w:t>demand, supported</w:t>
      </w:r>
      <w:r>
        <w:rPr>
          <w:color w:val="211F1F"/>
          <w:spacing w:val="-2"/>
        </w:rPr>
        <w:t xml:space="preserve"> </w:t>
      </w:r>
      <w:r>
        <w:rPr>
          <w:color w:val="211F1F"/>
        </w:rPr>
        <w:t>by the</w:t>
      </w:r>
      <w:r>
        <w:rPr>
          <w:color w:val="211F1F"/>
          <w:spacing w:val="-4"/>
        </w:rPr>
        <w:t xml:space="preserve"> </w:t>
      </w:r>
      <w:r>
        <w:rPr>
          <w:color w:val="211F1F"/>
        </w:rPr>
        <w:t>Beneficiary's statement, whether in the</w:t>
      </w:r>
      <w:r>
        <w:rPr>
          <w:color w:val="211F1F"/>
          <w:spacing w:val="-4"/>
        </w:rPr>
        <w:t xml:space="preserve"> </w:t>
      </w:r>
      <w:r>
        <w:rPr>
          <w:color w:val="211F1F"/>
        </w:rPr>
        <w:t>demand</w:t>
      </w:r>
      <w:r>
        <w:rPr>
          <w:color w:val="211F1F"/>
          <w:spacing w:val="-2"/>
        </w:rPr>
        <w:t xml:space="preserve"> </w:t>
      </w:r>
      <w:r>
        <w:rPr>
          <w:color w:val="211F1F"/>
        </w:rPr>
        <w:t>itself or a</w:t>
      </w:r>
      <w:r>
        <w:rPr>
          <w:color w:val="211F1F"/>
          <w:spacing w:val="-1"/>
        </w:rPr>
        <w:t xml:space="preserve"> </w:t>
      </w:r>
      <w:r>
        <w:rPr>
          <w:color w:val="211F1F"/>
        </w:rPr>
        <w:t>separate</w:t>
      </w:r>
      <w:r>
        <w:rPr>
          <w:color w:val="211F1F"/>
          <w:spacing w:val="-4"/>
        </w:rPr>
        <w:t xml:space="preserve"> </w:t>
      </w:r>
      <w:r>
        <w:rPr>
          <w:color w:val="211F1F"/>
        </w:rPr>
        <w:t>signed document accompanying or identifying the demand, stating that either the Applicant:</w:t>
      </w:r>
    </w:p>
    <w:p w14:paraId="74441A7D" w14:textId="77777777" w:rsidR="00BB77C0" w:rsidRDefault="00BB77C0">
      <w:pPr>
        <w:pStyle w:val="BodyText"/>
        <w:spacing w:before="156"/>
      </w:pPr>
    </w:p>
    <w:p w14:paraId="73B9242B" w14:textId="77777777" w:rsidR="00BB77C0" w:rsidRDefault="00370BAA">
      <w:pPr>
        <w:pStyle w:val="BodyText"/>
        <w:spacing w:line="232" w:lineRule="auto"/>
        <w:ind w:left="888" w:right="831" w:hanging="394"/>
        <w:jc w:val="both"/>
      </w:pPr>
      <w:r>
        <w:rPr>
          <w:color w:val="211F1F"/>
        </w:rPr>
        <w:t>(a)</w:t>
      </w:r>
      <w:r>
        <w:rPr>
          <w:color w:val="211F1F"/>
          <w:spacing w:val="40"/>
        </w:rPr>
        <w:t xml:space="preserve"> </w:t>
      </w:r>
      <w:r>
        <w:rPr>
          <w:color w:val="211F1F"/>
        </w:rPr>
        <w:t>has</w:t>
      </w:r>
      <w:r>
        <w:rPr>
          <w:color w:val="211F1F"/>
          <w:spacing w:val="-1"/>
        </w:rPr>
        <w:t xml:space="preserve"> </w:t>
      </w:r>
      <w:r>
        <w:rPr>
          <w:color w:val="211F1F"/>
        </w:rPr>
        <w:t>withdrawn</w:t>
      </w:r>
      <w:r>
        <w:rPr>
          <w:color w:val="211F1F"/>
          <w:spacing w:val="-1"/>
        </w:rPr>
        <w:t xml:space="preserve"> </w:t>
      </w:r>
      <w:r>
        <w:rPr>
          <w:color w:val="211F1F"/>
        </w:rPr>
        <w:t>its</w:t>
      </w:r>
      <w:r>
        <w:rPr>
          <w:color w:val="211F1F"/>
          <w:spacing w:val="-1"/>
        </w:rPr>
        <w:t xml:space="preserve"> </w:t>
      </w:r>
      <w:r>
        <w:rPr>
          <w:color w:val="211F1F"/>
        </w:rPr>
        <w:t>Tender during</w:t>
      </w:r>
      <w:r>
        <w:rPr>
          <w:color w:val="211F1F"/>
          <w:spacing w:val="-5"/>
        </w:rPr>
        <w:t xml:space="preserve"> </w:t>
      </w:r>
      <w:r>
        <w:rPr>
          <w:color w:val="211F1F"/>
        </w:rPr>
        <w:t>the</w:t>
      </w:r>
      <w:r>
        <w:rPr>
          <w:color w:val="211F1F"/>
          <w:spacing w:val="-3"/>
        </w:rPr>
        <w:t xml:space="preserve"> </w:t>
      </w:r>
      <w:r>
        <w:rPr>
          <w:color w:val="211F1F"/>
        </w:rPr>
        <w:t>period</w:t>
      </w:r>
      <w:r>
        <w:rPr>
          <w:color w:val="211F1F"/>
          <w:spacing w:val="-6"/>
        </w:rPr>
        <w:t xml:space="preserve"> </w:t>
      </w:r>
      <w:r>
        <w:rPr>
          <w:color w:val="211F1F"/>
        </w:rPr>
        <w:t>of Tender validity</w:t>
      </w:r>
      <w:r>
        <w:rPr>
          <w:color w:val="211F1F"/>
          <w:spacing w:val="-1"/>
        </w:rPr>
        <w:t xml:space="preserve"> </w:t>
      </w:r>
      <w:r>
        <w:rPr>
          <w:color w:val="211F1F"/>
        </w:rPr>
        <w:t>set</w:t>
      </w:r>
      <w:r>
        <w:rPr>
          <w:color w:val="211F1F"/>
          <w:spacing w:val="-1"/>
        </w:rPr>
        <w:t xml:space="preserve"> </w:t>
      </w:r>
      <w:r>
        <w:rPr>
          <w:color w:val="211F1F"/>
        </w:rPr>
        <w:t>forth</w:t>
      </w:r>
      <w:r>
        <w:rPr>
          <w:color w:val="211F1F"/>
          <w:spacing w:val="-1"/>
        </w:rPr>
        <w:t xml:space="preserve"> </w:t>
      </w:r>
      <w:r>
        <w:rPr>
          <w:color w:val="211F1F"/>
        </w:rPr>
        <w:t>in</w:t>
      </w:r>
      <w:r>
        <w:rPr>
          <w:color w:val="211F1F"/>
          <w:spacing w:val="-2"/>
        </w:rPr>
        <w:t xml:space="preserve"> </w:t>
      </w:r>
      <w:r>
        <w:rPr>
          <w:color w:val="211F1F"/>
        </w:rPr>
        <w:t>the</w:t>
      </w:r>
      <w:r>
        <w:rPr>
          <w:color w:val="211F1F"/>
          <w:spacing w:val="-3"/>
        </w:rPr>
        <w:t xml:space="preserve"> </w:t>
      </w:r>
      <w:r>
        <w:rPr>
          <w:color w:val="211F1F"/>
        </w:rPr>
        <w:t>Applicant's Letter of Tender (“the Tender Validity Period”), or any extension thereto provided by the Applicant; or</w:t>
      </w:r>
    </w:p>
    <w:p w14:paraId="20AD8214" w14:textId="77777777" w:rsidR="00BB77C0" w:rsidRDefault="00BB77C0">
      <w:pPr>
        <w:pStyle w:val="BodyText"/>
        <w:spacing w:before="156"/>
      </w:pPr>
    </w:p>
    <w:p w14:paraId="3B6407DE" w14:textId="77777777" w:rsidR="00BB77C0" w:rsidRDefault="00370BAA">
      <w:pPr>
        <w:pStyle w:val="BodyText"/>
        <w:spacing w:line="230" w:lineRule="auto"/>
        <w:ind w:left="883" w:right="833" w:hanging="389"/>
        <w:jc w:val="both"/>
      </w:pPr>
      <w:r>
        <w:rPr>
          <w:color w:val="211F1F"/>
        </w:rPr>
        <w:t>b)</w:t>
      </w:r>
      <w:r>
        <w:rPr>
          <w:color w:val="211F1F"/>
          <w:spacing w:val="80"/>
        </w:rPr>
        <w:t xml:space="preserve"> </w:t>
      </w:r>
      <w:r>
        <w:rPr>
          <w:color w:val="211F1F"/>
        </w:rPr>
        <w:t>having</w:t>
      </w:r>
      <w:r>
        <w:rPr>
          <w:color w:val="211F1F"/>
          <w:spacing w:val="-4"/>
        </w:rPr>
        <w:t xml:space="preserve"> </w:t>
      </w:r>
      <w:r>
        <w:rPr>
          <w:color w:val="211F1F"/>
        </w:rPr>
        <w:t>been notified of</w:t>
      </w:r>
      <w:r>
        <w:rPr>
          <w:color w:val="211F1F"/>
          <w:spacing w:val="-1"/>
        </w:rPr>
        <w:t xml:space="preserve"> </w:t>
      </w:r>
      <w:r>
        <w:rPr>
          <w:color w:val="211F1F"/>
        </w:rPr>
        <w:t>the</w:t>
      </w:r>
      <w:r>
        <w:rPr>
          <w:color w:val="211F1F"/>
          <w:spacing w:val="-7"/>
        </w:rPr>
        <w:t xml:space="preserve"> </w:t>
      </w:r>
      <w:r>
        <w:rPr>
          <w:color w:val="211F1F"/>
        </w:rPr>
        <w:t>acceptance of</w:t>
      </w:r>
      <w:r>
        <w:rPr>
          <w:color w:val="211F1F"/>
          <w:spacing w:val="-1"/>
        </w:rPr>
        <w:t xml:space="preserve"> </w:t>
      </w:r>
      <w:r>
        <w:rPr>
          <w:color w:val="211F1F"/>
        </w:rPr>
        <w:t>its Tender by</w:t>
      </w:r>
      <w:r>
        <w:rPr>
          <w:color w:val="211F1F"/>
          <w:spacing w:val="-5"/>
        </w:rPr>
        <w:t xml:space="preserve"> </w:t>
      </w:r>
      <w:r>
        <w:rPr>
          <w:color w:val="211F1F"/>
        </w:rPr>
        <w:t>the</w:t>
      </w:r>
      <w:r>
        <w:rPr>
          <w:color w:val="211F1F"/>
          <w:spacing w:val="-2"/>
        </w:rPr>
        <w:t xml:space="preserve"> </w:t>
      </w:r>
      <w:r>
        <w:rPr>
          <w:color w:val="211F1F"/>
        </w:rPr>
        <w:t>Beneficiary</w:t>
      </w:r>
      <w:r>
        <w:rPr>
          <w:color w:val="211F1F"/>
          <w:spacing w:val="-3"/>
        </w:rPr>
        <w:t xml:space="preserve"> </w:t>
      </w:r>
      <w:r>
        <w:rPr>
          <w:color w:val="211F1F"/>
        </w:rPr>
        <w:t>during</w:t>
      </w:r>
      <w:r>
        <w:rPr>
          <w:color w:val="211F1F"/>
          <w:spacing w:val="-4"/>
        </w:rPr>
        <w:t xml:space="preserve"> </w:t>
      </w:r>
      <w:r>
        <w:rPr>
          <w:color w:val="211F1F"/>
        </w:rPr>
        <w:t>the</w:t>
      </w:r>
      <w:r>
        <w:rPr>
          <w:color w:val="211F1F"/>
          <w:spacing w:val="-7"/>
        </w:rPr>
        <w:t xml:space="preserve"> </w:t>
      </w:r>
      <w:r>
        <w:rPr>
          <w:color w:val="211F1F"/>
        </w:rPr>
        <w:t>Tender</w:t>
      </w:r>
      <w:r>
        <w:rPr>
          <w:color w:val="211F1F"/>
          <w:spacing w:val="-1"/>
        </w:rPr>
        <w:t xml:space="preserve"> </w:t>
      </w:r>
      <w:r>
        <w:rPr>
          <w:color w:val="211F1F"/>
        </w:rPr>
        <w:t>Validity</w:t>
      </w:r>
      <w:r>
        <w:rPr>
          <w:color w:val="211F1F"/>
          <w:spacing w:val="-9"/>
        </w:rPr>
        <w:t xml:space="preserve"> </w:t>
      </w:r>
      <w:r>
        <w:rPr>
          <w:color w:val="211F1F"/>
        </w:rPr>
        <w:t>Period or any extension there to provided by the Applicant, (i) has failed to execute the contract agreement, or (ii) has failed to furnish the Performance.</w:t>
      </w:r>
    </w:p>
    <w:p w14:paraId="078E97E2" w14:textId="77777777" w:rsidR="00BB77C0" w:rsidRDefault="00BB77C0">
      <w:pPr>
        <w:pStyle w:val="BodyText"/>
        <w:spacing w:before="156"/>
      </w:pPr>
    </w:p>
    <w:p w14:paraId="0465707A" w14:textId="77777777" w:rsidR="00BB77C0" w:rsidRDefault="00370BAA">
      <w:pPr>
        <w:pStyle w:val="ListParagraph"/>
        <w:numPr>
          <w:ilvl w:val="0"/>
          <w:numId w:val="39"/>
        </w:numPr>
        <w:tabs>
          <w:tab w:val="left" w:pos="881"/>
          <w:tab w:val="left" w:pos="883"/>
        </w:tabs>
        <w:spacing w:line="230" w:lineRule="auto"/>
        <w:ind w:left="883" w:right="833"/>
        <w:jc w:val="both"/>
      </w:pPr>
      <w:r>
        <w:rPr>
          <w:color w:val="211F1F"/>
        </w:rPr>
        <w:t>This guarantee will expire: (a) if the Applicant is the successful Tenderer, upon our receipt of copies of the contract</w:t>
      </w:r>
      <w:r>
        <w:rPr>
          <w:color w:val="211F1F"/>
          <w:spacing w:val="-1"/>
        </w:rPr>
        <w:t xml:space="preserve"> </w:t>
      </w:r>
      <w:r>
        <w:rPr>
          <w:color w:val="211F1F"/>
        </w:rPr>
        <w:t>agreement signed by</w:t>
      </w:r>
      <w:r>
        <w:rPr>
          <w:color w:val="211F1F"/>
          <w:spacing w:val="-2"/>
        </w:rPr>
        <w:t xml:space="preserve"> </w:t>
      </w:r>
      <w:r>
        <w:rPr>
          <w:color w:val="211F1F"/>
        </w:rPr>
        <w:t>the Applicant and the</w:t>
      </w:r>
      <w:r>
        <w:rPr>
          <w:color w:val="211F1F"/>
          <w:spacing w:val="-3"/>
        </w:rPr>
        <w:t xml:space="preserve"> </w:t>
      </w:r>
      <w:r>
        <w:rPr>
          <w:color w:val="211F1F"/>
        </w:rPr>
        <w:t>Performance</w:t>
      </w:r>
      <w:r>
        <w:rPr>
          <w:color w:val="211F1F"/>
          <w:spacing w:val="-3"/>
        </w:rPr>
        <w:t xml:space="preserve"> </w:t>
      </w:r>
      <w:r>
        <w:rPr>
          <w:color w:val="211F1F"/>
        </w:rPr>
        <w:t>Security</w:t>
      </w:r>
      <w:r>
        <w:rPr>
          <w:color w:val="211F1F"/>
          <w:spacing w:val="-2"/>
        </w:rPr>
        <w:t xml:space="preserve"> </w:t>
      </w:r>
      <w:r>
        <w:rPr>
          <w:color w:val="211F1F"/>
        </w:rPr>
        <w:t>and, or (b) if the</w:t>
      </w:r>
      <w:r>
        <w:rPr>
          <w:color w:val="211F1F"/>
          <w:spacing w:val="-3"/>
        </w:rPr>
        <w:t xml:space="preserve"> </w:t>
      </w:r>
      <w:r>
        <w:rPr>
          <w:color w:val="211F1F"/>
        </w:rPr>
        <w:t>Applicant is not the successful</w:t>
      </w:r>
      <w:r>
        <w:rPr>
          <w:color w:val="211F1F"/>
          <w:spacing w:val="-10"/>
        </w:rPr>
        <w:t xml:space="preserve"> </w:t>
      </w:r>
      <w:r>
        <w:rPr>
          <w:color w:val="211F1F"/>
        </w:rPr>
        <w:t>Tenderer,</w:t>
      </w:r>
      <w:r>
        <w:rPr>
          <w:color w:val="211F1F"/>
          <w:spacing w:val="-13"/>
        </w:rPr>
        <w:t xml:space="preserve"> </w:t>
      </w:r>
      <w:r>
        <w:rPr>
          <w:color w:val="211F1F"/>
        </w:rPr>
        <w:t>upon</w:t>
      </w:r>
      <w:r>
        <w:rPr>
          <w:color w:val="211F1F"/>
          <w:spacing w:val="-11"/>
        </w:rPr>
        <w:t xml:space="preserve"> </w:t>
      </w:r>
      <w:r>
        <w:rPr>
          <w:color w:val="211F1F"/>
        </w:rPr>
        <w:t>the</w:t>
      </w:r>
      <w:r>
        <w:rPr>
          <w:color w:val="211F1F"/>
          <w:spacing w:val="-9"/>
        </w:rPr>
        <w:t xml:space="preserve"> </w:t>
      </w:r>
      <w:r>
        <w:rPr>
          <w:color w:val="211F1F"/>
        </w:rPr>
        <w:t>earlier of</w:t>
      </w:r>
      <w:r>
        <w:rPr>
          <w:color w:val="211F1F"/>
          <w:spacing w:val="-8"/>
        </w:rPr>
        <w:t xml:space="preserve"> </w:t>
      </w:r>
      <w:r>
        <w:rPr>
          <w:color w:val="211F1F"/>
        </w:rPr>
        <w:t>(i)</w:t>
      </w:r>
      <w:r>
        <w:rPr>
          <w:color w:val="211F1F"/>
          <w:spacing w:val="-3"/>
        </w:rPr>
        <w:t xml:space="preserve"> </w:t>
      </w:r>
      <w:r>
        <w:rPr>
          <w:color w:val="211F1F"/>
        </w:rPr>
        <w:t>our</w:t>
      </w:r>
      <w:r>
        <w:rPr>
          <w:color w:val="211F1F"/>
          <w:spacing w:val="-3"/>
        </w:rPr>
        <w:t xml:space="preserve"> </w:t>
      </w:r>
      <w:r>
        <w:rPr>
          <w:color w:val="211F1F"/>
        </w:rPr>
        <w:t>receipt</w:t>
      </w:r>
      <w:r>
        <w:rPr>
          <w:color w:val="211F1F"/>
          <w:spacing w:val="-5"/>
        </w:rPr>
        <w:t xml:space="preserve"> </w:t>
      </w:r>
      <w:r>
        <w:rPr>
          <w:color w:val="211F1F"/>
        </w:rPr>
        <w:t>of</w:t>
      </w:r>
      <w:r>
        <w:rPr>
          <w:color w:val="211F1F"/>
          <w:spacing w:val="-8"/>
        </w:rPr>
        <w:t xml:space="preserve"> </w:t>
      </w:r>
      <w:r>
        <w:rPr>
          <w:color w:val="211F1F"/>
        </w:rPr>
        <w:t>a</w:t>
      </w:r>
      <w:r>
        <w:rPr>
          <w:color w:val="211F1F"/>
          <w:spacing w:val="-9"/>
        </w:rPr>
        <w:t xml:space="preserve"> </w:t>
      </w:r>
      <w:r>
        <w:rPr>
          <w:color w:val="211F1F"/>
        </w:rPr>
        <w:t>copy</w:t>
      </w:r>
      <w:r>
        <w:rPr>
          <w:color w:val="211F1F"/>
          <w:spacing w:val="-6"/>
        </w:rPr>
        <w:t xml:space="preserve"> </w:t>
      </w:r>
      <w:r>
        <w:rPr>
          <w:color w:val="211F1F"/>
        </w:rPr>
        <w:t>of</w:t>
      </w:r>
      <w:r>
        <w:rPr>
          <w:color w:val="211F1F"/>
          <w:spacing w:val="-8"/>
        </w:rPr>
        <w:t xml:space="preserve"> </w:t>
      </w:r>
      <w:r>
        <w:rPr>
          <w:color w:val="211F1F"/>
        </w:rPr>
        <w:t>the</w:t>
      </w:r>
      <w:r>
        <w:rPr>
          <w:color w:val="211F1F"/>
          <w:spacing w:val="-9"/>
        </w:rPr>
        <w:t xml:space="preserve"> </w:t>
      </w:r>
      <w:r>
        <w:rPr>
          <w:color w:val="211F1F"/>
        </w:rPr>
        <w:t>Beneficiary's</w:t>
      </w:r>
      <w:r>
        <w:rPr>
          <w:color w:val="211F1F"/>
          <w:spacing w:val="-1"/>
        </w:rPr>
        <w:t xml:space="preserve"> </w:t>
      </w:r>
      <w:r>
        <w:rPr>
          <w:color w:val="211F1F"/>
        </w:rPr>
        <w:t>notification</w:t>
      </w:r>
      <w:r>
        <w:rPr>
          <w:color w:val="211F1F"/>
          <w:spacing w:val="-10"/>
        </w:rPr>
        <w:t xml:space="preserve"> </w:t>
      </w:r>
      <w:r>
        <w:rPr>
          <w:color w:val="211F1F"/>
        </w:rPr>
        <w:t>to</w:t>
      </w:r>
      <w:r>
        <w:rPr>
          <w:color w:val="211F1F"/>
          <w:spacing w:val="-11"/>
        </w:rPr>
        <w:t xml:space="preserve"> </w:t>
      </w:r>
      <w:r>
        <w:rPr>
          <w:color w:val="211F1F"/>
        </w:rPr>
        <w:t>the</w:t>
      </w:r>
      <w:r>
        <w:rPr>
          <w:color w:val="211F1F"/>
          <w:spacing w:val="-13"/>
        </w:rPr>
        <w:t xml:space="preserve"> </w:t>
      </w:r>
      <w:r>
        <w:rPr>
          <w:color w:val="211F1F"/>
        </w:rPr>
        <w:t>Applicant of the results of the Tendering process; or (ii) thirty days after the end of the Tender Validity</w:t>
      </w:r>
      <w:r>
        <w:rPr>
          <w:color w:val="211F1F"/>
          <w:spacing w:val="-2"/>
        </w:rPr>
        <w:t xml:space="preserve"> </w:t>
      </w:r>
      <w:r>
        <w:rPr>
          <w:color w:val="211F1F"/>
        </w:rPr>
        <w:t>Period.</w:t>
      </w:r>
    </w:p>
    <w:p w14:paraId="4298B4B6" w14:textId="77777777" w:rsidR="00BB77C0" w:rsidRDefault="00BB77C0">
      <w:pPr>
        <w:pStyle w:val="BodyText"/>
        <w:spacing w:before="157"/>
      </w:pPr>
    </w:p>
    <w:p w14:paraId="77599363" w14:textId="77777777" w:rsidR="00BB77C0" w:rsidRDefault="00370BAA">
      <w:pPr>
        <w:pStyle w:val="ListParagraph"/>
        <w:numPr>
          <w:ilvl w:val="0"/>
          <w:numId w:val="39"/>
        </w:numPr>
        <w:tabs>
          <w:tab w:val="left" w:pos="886"/>
          <w:tab w:val="left" w:pos="902"/>
        </w:tabs>
        <w:spacing w:before="1" w:line="237" w:lineRule="auto"/>
        <w:ind w:left="902" w:right="913" w:hanging="408"/>
        <w:jc w:val="both"/>
      </w:pPr>
      <w:r>
        <w:rPr>
          <w:color w:val="211F1F"/>
        </w:rPr>
        <w:t>Consequently,</w:t>
      </w:r>
      <w:r>
        <w:rPr>
          <w:color w:val="211F1F"/>
          <w:spacing w:val="-14"/>
        </w:rPr>
        <w:t xml:space="preserve"> </w:t>
      </w:r>
      <w:r>
        <w:rPr>
          <w:color w:val="211F1F"/>
        </w:rPr>
        <w:t>any</w:t>
      </w:r>
      <w:r>
        <w:rPr>
          <w:color w:val="211F1F"/>
          <w:spacing w:val="-14"/>
        </w:rPr>
        <w:t xml:space="preserve"> </w:t>
      </w:r>
      <w:r>
        <w:rPr>
          <w:color w:val="211F1F"/>
        </w:rPr>
        <w:t>demand</w:t>
      </w:r>
      <w:r>
        <w:rPr>
          <w:color w:val="211F1F"/>
          <w:spacing w:val="-14"/>
        </w:rPr>
        <w:t xml:space="preserve"> </w:t>
      </w:r>
      <w:r>
        <w:rPr>
          <w:color w:val="211F1F"/>
        </w:rPr>
        <w:t>for</w:t>
      </w:r>
      <w:r>
        <w:rPr>
          <w:color w:val="211F1F"/>
          <w:spacing w:val="-13"/>
        </w:rPr>
        <w:t xml:space="preserve"> </w:t>
      </w:r>
      <w:r>
        <w:rPr>
          <w:color w:val="211F1F"/>
        </w:rPr>
        <w:t>payment</w:t>
      </w:r>
      <w:r>
        <w:rPr>
          <w:color w:val="211F1F"/>
          <w:spacing w:val="-14"/>
        </w:rPr>
        <w:t xml:space="preserve"> </w:t>
      </w:r>
      <w:r>
        <w:rPr>
          <w:color w:val="211F1F"/>
        </w:rPr>
        <w:t>under</w:t>
      </w:r>
      <w:r>
        <w:rPr>
          <w:color w:val="211F1F"/>
          <w:spacing w:val="-14"/>
        </w:rPr>
        <w:t xml:space="preserve"> </w:t>
      </w:r>
      <w:r>
        <w:rPr>
          <w:color w:val="211F1F"/>
        </w:rPr>
        <w:t>this</w:t>
      </w:r>
      <w:r>
        <w:rPr>
          <w:color w:val="211F1F"/>
          <w:spacing w:val="-14"/>
        </w:rPr>
        <w:t xml:space="preserve"> </w:t>
      </w:r>
      <w:r>
        <w:rPr>
          <w:color w:val="211F1F"/>
        </w:rPr>
        <w:t>guarantee</w:t>
      </w:r>
      <w:r>
        <w:rPr>
          <w:color w:val="211F1F"/>
          <w:spacing w:val="-13"/>
        </w:rPr>
        <w:t xml:space="preserve"> </w:t>
      </w:r>
      <w:r>
        <w:rPr>
          <w:color w:val="211F1F"/>
        </w:rPr>
        <w:t>must</w:t>
      </w:r>
      <w:r>
        <w:rPr>
          <w:color w:val="211F1F"/>
          <w:spacing w:val="-14"/>
        </w:rPr>
        <w:t xml:space="preserve"> </w:t>
      </w:r>
      <w:r>
        <w:rPr>
          <w:color w:val="211F1F"/>
        </w:rPr>
        <w:t>be</w:t>
      </w:r>
      <w:r>
        <w:rPr>
          <w:color w:val="211F1F"/>
          <w:spacing w:val="-14"/>
        </w:rPr>
        <w:t xml:space="preserve"> </w:t>
      </w:r>
      <w:r>
        <w:rPr>
          <w:color w:val="211F1F"/>
        </w:rPr>
        <w:t>received</w:t>
      </w:r>
      <w:r>
        <w:rPr>
          <w:color w:val="211F1F"/>
          <w:spacing w:val="-14"/>
        </w:rPr>
        <w:t xml:space="preserve"> </w:t>
      </w:r>
      <w:r>
        <w:rPr>
          <w:color w:val="211F1F"/>
        </w:rPr>
        <w:t>by</w:t>
      </w:r>
      <w:r>
        <w:rPr>
          <w:color w:val="211F1F"/>
          <w:spacing w:val="-13"/>
        </w:rPr>
        <w:t xml:space="preserve"> </w:t>
      </w:r>
      <w:r>
        <w:rPr>
          <w:color w:val="211F1F"/>
        </w:rPr>
        <w:t>us</w:t>
      </w:r>
      <w:r>
        <w:rPr>
          <w:color w:val="211F1F"/>
          <w:spacing w:val="-14"/>
        </w:rPr>
        <w:t xml:space="preserve"> </w:t>
      </w:r>
      <w:r>
        <w:rPr>
          <w:color w:val="211F1F"/>
        </w:rPr>
        <w:t>at</w:t>
      </w:r>
      <w:r>
        <w:rPr>
          <w:color w:val="211F1F"/>
          <w:spacing w:val="-14"/>
        </w:rPr>
        <w:t xml:space="preserve"> </w:t>
      </w:r>
      <w:r>
        <w:rPr>
          <w:color w:val="211F1F"/>
        </w:rPr>
        <w:t>the</w:t>
      </w:r>
      <w:r>
        <w:rPr>
          <w:color w:val="211F1F"/>
          <w:spacing w:val="-14"/>
        </w:rPr>
        <w:t xml:space="preserve"> </w:t>
      </w:r>
      <w:r>
        <w:rPr>
          <w:color w:val="211F1F"/>
        </w:rPr>
        <w:t>office</w:t>
      </w:r>
      <w:r>
        <w:rPr>
          <w:color w:val="211F1F"/>
          <w:spacing w:val="-13"/>
        </w:rPr>
        <w:t xml:space="preserve"> </w:t>
      </w:r>
      <w:r>
        <w:rPr>
          <w:color w:val="211F1F"/>
        </w:rPr>
        <w:t>indicated</w:t>
      </w:r>
      <w:r>
        <w:rPr>
          <w:color w:val="211F1F"/>
          <w:spacing w:val="-14"/>
        </w:rPr>
        <w:t xml:space="preserve"> </w:t>
      </w:r>
      <w:r>
        <w:rPr>
          <w:color w:val="211F1F"/>
        </w:rPr>
        <w:t>above onor before that date.</w:t>
      </w:r>
    </w:p>
    <w:p w14:paraId="42784509" w14:textId="77777777" w:rsidR="00BB77C0" w:rsidRDefault="00BB77C0">
      <w:pPr>
        <w:pStyle w:val="BodyText"/>
        <w:rPr>
          <w:sz w:val="20"/>
        </w:rPr>
      </w:pPr>
    </w:p>
    <w:p w14:paraId="1AFD3EB7" w14:textId="77777777" w:rsidR="00BB77C0" w:rsidRDefault="00BB77C0">
      <w:pPr>
        <w:pStyle w:val="BodyText"/>
        <w:rPr>
          <w:sz w:val="20"/>
        </w:rPr>
      </w:pPr>
    </w:p>
    <w:p w14:paraId="005BC129" w14:textId="77777777" w:rsidR="00BB77C0" w:rsidRDefault="00BB77C0">
      <w:pPr>
        <w:pStyle w:val="BodyText"/>
        <w:rPr>
          <w:sz w:val="20"/>
        </w:rPr>
      </w:pPr>
    </w:p>
    <w:p w14:paraId="5B0DEABB" w14:textId="77777777" w:rsidR="00BB77C0" w:rsidRDefault="00370BAA">
      <w:pPr>
        <w:pStyle w:val="BodyText"/>
        <w:spacing w:before="33"/>
        <w:rPr>
          <w:sz w:val="20"/>
        </w:rPr>
      </w:pPr>
      <w:r>
        <w:rPr>
          <w:noProof/>
          <w:sz w:val="20"/>
        </w:rPr>
        <mc:AlternateContent>
          <mc:Choice Requires="wps">
            <w:drawing>
              <wp:anchor distT="0" distB="0" distL="0" distR="0" simplePos="0" relativeHeight="487627776" behindDoc="1" locked="0" layoutInCell="1" allowOverlap="1" wp14:anchorId="22E36AAC" wp14:editId="09801657">
                <wp:simplePos x="0" y="0"/>
                <wp:positionH relativeFrom="page">
                  <wp:posOffset>791209</wp:posOffset>
                </wp:positionH>
                <wp:positionV relativeFrom="paragraph">
                  <wp:posOffset>182688</wp:posOffset>
                </wp:positionV>
                <wp:extent cx="2025650" cy="1270"/>
                <wp:effectExtent l="0" t="0" r="0" b="0"/>
                <wp:wrapTopAndBottom/>
                <wp:docPr id="339" name="Graphic 3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25650" cy="1270"/>
                        </a:xfrm>
                        <a:custGeom>
                          <a:avLst/>
                          <a:gdLst/>
                          <a:ahLst/>
                          <a:cxnLst/>
                          <a:rect l="l" t="t" r="r" b="b"/>
                          <a:pathLst>
                            <a:path w="2025650">
                              <a:moveTo>
                                <a:pt x="0" y="0"/>
                              </a:moveTo>
                              <a:lnTo>
                                <a:pt x="2025650" y="0"/>
                              </a:lnTo>
                            </a:path>
                          </a:pathLst>
                        </a:custGeom>
                        <a:ln w="8800">
                          <a:solidFill>
                            <a:srgbClr val="201E1F"/>
                          </a:solidFill>
                          <a:prstDash val="solid"/>
                        </a:ln>
                      </wps:spPr>
                      <wps:bodyPr wrap="square" lIns="0" tIns="0" rIns="0" bIns="0" rtlCol="0">
                        <a:prstTxWarp prst="textNoShape">
                          <a:avLst/>
                        </a:prstTxWarp>
                        <a:noAutofit/>
                      </wps:bodyPr>
                    </wps:wsp>
                  </a:graphicData>
                </a:graphic>
              </wp:anchor>
            </w:drawing>
          </mc:Choice>
          <mc:Fallback>
            <w:pict>
              <v:shape w14:anchorId="719862F2" id="Graphic 339" o:spid="_x0000_s1026" style="position:absolute;margin-left:62.3pt;margin-top:14.4pt;width:159.5pt;height:.1pt;z-index:-15688704;visibility:visible;mso-wrap-style:square;mso-wrap-distance-left:0;mso-wrap-distance-top:0;mso-wrap-distance-right:0;mso-wrap-distance-bottom:0;mso-position-horizontal:absolute;mso-position-horizontal-relative:page;mso-position-vertical:absolute;mso-position-vertical-relative:text;v-text-anchor:top" coordsize="20256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" path="m,l2025650,e" filled="f" strokecolor="#201e1f" strokeweight=".24444mm">
                <v:path arrowok="t"/>
                <w10:wrap type="topAndBottom" anchorx="page"/>
              </v:shape>
            </w:pict>
          </mc:Fallback>
        </mc:AlternateContent>
      </w:r>
    </w:p>
    <w:p w14:paraId="3FF2E18D" w14:textId="77777777" w:rsidR="00BB77C0" w:rsidRDefault="00370BAA">
      <w:pPr>
        <w:ind w:left="883"/>
        <w:rPr>
          <w:i/>
        </w:rPr>
      </w:pPr>
      <w:r>
        <w:rPr>
          <w:i/>
          <w:color w:val="211F1F"/>
          <w:spacing w:val="-2"/>
        </w:rPr>
        <w:t>[signature(s)]</w:t>
      </w:r>
    </w:p>
    <w:p w14:paraId="63C3A960" w14:textId="77777777" w:rsidR="00BB77C0" w:rsidRDefault="00BB77C0">
      <w:pPr>
        <w:pStyle w:val="BodyText"/>
        <w:rPr>
          <w:i/>
        </w:rPr>
      </w:pPr>
    </w:p>
    <w:p w14:paraId="6445A8D5" w14:textId="77777777" w:rsidR="00BB77C0" w:rsidRDefault="00BB77C0">
      <w:pPr>
        <w:pStyle w:val="BodyText"/>
        <w:rPr>
          <w:i/>
        </w:rPr>
      </w:pPr>
    </w:p>
    <w:p w14:paraId="5F6ACEDD" w14:textId="77777777" w:rsidR="00BB77C0" w:rsidRDefault="00BB77C0">
      <w:pPr>
        <w:pStyle w:val="BodyText"/>
        <w:spacing w:before="213"/>
        <w:rPr>
          <w:i/>
        </w:rPr>
      </w:pPr>
    </w:p>
    <w:p w14:paraId="1F8EEC2C" w14:textId="77777777" w:rsidR="00BB77C0" w:rsidRDefault="00370BAA">
      <w:pPr>
        <w:ind w:left="1224"/>
        <w:rPr>
          <w:b/>
          <w:i/>
        </w:rPr>
      </w:pPr>
      <w:r>
        <w:rPr>
          <w:b/>
          <w:i/>
          <w:color w:val="211F1F"/>
        </w:rPr>
        <w:t>Note:</w:t>
      </w:r>
      <w:r>
        <w:rPr>
          <w:b/>
          <w:i/>
          <w:color w:val="211F1F"/>
          <w:spacing w:val="-8"/>
        </w:rPr>
        <w:t xml:space="preserve"> </w:t>
      </w:r>
      <w:r>
        <w:rPr>
          <w:b/>
          <w:i/>
          <w:color w:val="211F1F"/>
        </w:rPr>
        <w:t>All</w:t>
      </w:r>
      <w:r>
        <w:rPr>
          <w:b/>
          <w:i/>
          <w:color w:val="211F1F"/>
          <w:spacing w:val="-9"/>
        </w:rPr>
        <w:t xml:space="preserve"> </w:t>
      </w:r>
      <w:r>
        <w:rPr>
          <w:b/>
          <w:i/>
          <w:color w:val="211F1F"/>
        </w:rPr>
        <w:t>italicized</w:t>
      </w:r>
      <w:r>
        <w:rPr>
          <w:b/>
          <w:i/>
          <w:color w:val="211F1F"/>
          <w:spacing w:val="-5"/>
        </w:rPr>
        <w:t xml:space="preserve"> </w:t>
      </w:r>
      <w:r>
        <w:rPr>
          <w:b/>
          <w:i/>
          <w:color w:val="211F1F"/>
        </w:rPr>
        <w:t>text</w:t>
      </w:r>
      <w:r>
        <w:rPr>
          <w:b/>
          <w:i/>
          <w:color w:val="211F1F"/>
          <w:spacing w:val="-8"/>
        </w:rPr>
        <w:t xml:space="preserve"> </w:t>
      </w:r>
      <w:r>
        <w:rPr>
          <w:b/>
          <w:i/>
          <w:color w:val="211F1F"/>
        </w:rPr>
        <w:t>is</w:t>
      </w:r>
      <w:r>
        <w:rPr>
          <w:b/>
          <w:i/>
          <w:color w:val="211F1F"/>
          <w:spacing w:val="-5"/>
        </w:rPr>
        <w:t xml:space="preserve"> </w:t>
      </w:r>
      <w:r>
        <w:rPr>
          <w:b/>
          <w:i/>
          <w:color w:val="211F1F"/>
        </w:rPr>
        <w:t>for</w:t>
      </w:r>
      <w:r>
        <w:rPr>
          <w:b/>
          <w:i/>
          <w:color w:val="211F1F"/>
          <w:spacing w:val="-9"/>
        </w:rPr>
        <w:t xml:space="preserve"> </w:t>
      </w:r>
      <w:r>
        <w:rPr>
          <w:b/>
          <w:i/>
          <w:color w:val="211F1F"/>
        </w:rPr>
        <w:t>use</w:t>
      </w:r>
      <w:r>
        <w:rPr>
          <w:b/>
          <w:i/>
          <w:color w:val="211F1F"/>
          <w:spacing w:val="-11"/>
        </w:rPr>
        <w:t xml:space="preserve"> </w:t>
      </w:r>
      <w:r>
        <w:rPr>
          <w:b/>
          <w:i/>
          <w:color w:val="211F1F"/>
        </w:rPr>
        <w:t>in</w:t>
      </w:r>
      <w:r>
        <w:rPr>
          <w:b/>
          <w:i/>
          <w:color w:val="211F1F"/>
          <w:spacing w:val="-8"/>
        </w:rPr>
        <w:t xml:space="preserve"> </w:t>
      </w:r>
      <w:r>
        <w:rPr>
          <w:b/>
          <w:i/>
          <w:color w:val="211F1F"/>
        </w:rPr>
        <w:t>preparing</w:t>
      </w:r>
      <w:r>
        <w:rPr>
          <w:b/>
          <w:i/>
          <w:color w:val="211F1F"/>
          <w:spacing w:val="-9"/>
        </w:rPr>
        <w:t xml:space="preserve"> </w:t>
      </w:r>
      <w:r>
        <w:rPr>
          <w:b/>
          <w:i/>
          <w:color w:val="211F1F"/>
        </w:rPr>
        <w:t>this</w:t>
      </w:r>
      <w:r>
        <w:rPr>
          <w:b/>
          <w:i/>
          <w:color w:val="211F1F"/>
          <w:spacing w:val="-5"/>
        </w:rPr>
        <w:t xml:space="preserve"> </w:t>
      </w:r>
      <w:r>
        <w:rPr>
          <w:b/>
          <w:i/>
          <w:color w:val="211F1F"/>
        </w:rPr>
        <w:t>form</w:t>
      </w:r>
      <w:r>
        <w:rPr>
          <w:b/>
          <w:i/>
          <w:color w:val="211F1F"/>
          <w:spacing w:val="-8"/>
        </w:rPr>
        <w:t xml:space="preserve"> </w:t>
      </w:r>
      <w:r>
        <w:rPr>
          <w:b/>
          <w:i/>
          <w:color w:val="211F1F"/>
        </w:rPr>
        <w:t>and</w:t>
      </w:r>
      <w:r>
        <w:rPr>
          <w:b/>
          <w:i/>
          <w:color w:val="211F1F"/>
          <w:spacing w:val="-6"/>
        </w:rPr>
        <w:t xml:space="preserve"> </w:t>
      </w:r>
      <w:r>
        <w:rPr>
          <w:b/>
          <w:i/>
          <w:color w:val="211F1F"/>
        </w:rPr>
        <w:t>shall be</w:t>
      </w:r>
      <w:r>
        <w:rPr>
          <w:b/>
          <w:i/>
          <w:color w:val="211F1F"/>
          <w:spacing w:val="-12"/>
        </w:rPr>
        <w:t xml:space="preserve"> </w:t>
      </w:r>
      <w:r>
        <w:rPr>
          <w:b/>
          <w:i/>
          <w:color w:val="211F1F"/>
        </w:rPr>
        <w:t>deleted</w:t>
      </w:r>
      <w:r>
        <w:rPr>
          <w:b/>
          <w:i/>
          <w:color w:val="211F1F"/>
          <w:spacing w:val="-4"/>
        </w:rPr>
        <w:t xml:space="preserve"> </w:t>
      </w:r>
      <w:r>
        <w:rPr>
          <w:b/>
          <w:i/>
          <w:color w:val="211F1F"/>
        </w:rPr>
        <w:t>from</w:t>
      </w:r>
      <w:r>
        <w:rPr>
          <w:b/>
          <w:i/>
          <w:color w:val="211F1F"/>
          <w:spacing w:val="-4"/>
        </w:rPr>
        <w:t xml:space="preserve"> </w:t>
      </w:r>
      <w:r>
        <w:rPr>
          <w:b/>
          <w:i/>
          <w:color w:val="211F1F"/>
        </w:rPr>
        <w:t>the</w:t>
      </w:r>
      <w:r>
        <w:rPr>
          <w:b/>
          <w:i/>
          <w:color w:val="211F1F"/>
          <w:spacing w:val="-7"/>
        </w:rPr>
        <w:t xml:space="preserve"> </w:t>
      </w:r>
      <w:r>
        <w:rPr>
          <w:b/>
          <w:i/>
          <w:color w:val="211F1F"/>
        </w:rPr>
        <w:t>final</w:t>
      </w:r>
      <w:r>
        <w:rPr>
          <w:b/>
          <w:i/>
          <w:color w:val="211F1F"/>
          <w:spacing w:val="-8"/>
        </w:rPr>
        <w:t xml:space="preserve"> </w:t>
      </w:r>
      <w:r>
        <w:rPr>
          <w:b/>
          <w:i/>
          <w:color w:val="211F1F"/>
          <w:spacing w:val="-2"/>
        </w:rPr>
        <w:t>product.</w:t>
      </w:r>
    </w:p>
    <w:p w14:paraId="49071F70" w14:textId="77777777" w:rsidR="00BB77C0" w:rsidRDefault="00BB77C0">
      <w:pPr>
        <w:rPr>
          <w:b/>
          <w:i/>
        </w:rPr>
        <w:sectPr w:rsidR="00BB77C0">
          <w:pgSz w:w="11920" w:h="16850"/>
          <w:pgMar w:top="0" w:right="0" w:bottom="0" w:left="360" w:header="720" w:footer="720" w:gutter="0"/>
          <w:cols w:space="720"/>
        </w:sectPr>
      </w:pPr>
    </w:p>
    <w:p w14:paraId="314DE228" w14:textId="77777777" w:rsidR="00BB77C0" w:rsidRDefault="00370BAA">
      <w:pPr>
        <w:pStyle w:val="BodyText"/>
        <w:rPr>
          <w:b/>
          <w:i/>
        </w:rPr>
      </w:pPr>
      <w:r>
        <w:rPr>
          <w:b/>
          <w:i/>
          <w:noProof/>
        </w:rPr>
        <w:lastRenderedPageBreak/>
        <mc:AlternateContent>
          <mc:Choice Requires="wpg">
            <w:drawing>
              <wp:anchor distT="0" distB="0" distL="0" distR="0" simplePos="0" relativeHeight="15771648" behindDoc="0" locked="0" layoutInCell="1" allowOverlap="1" wp14:anchorId="11E5B085" wp14:editId="33B19889">
                <wp:simplePos x="0" y="0"/>
                <wp:positionH relativeFrom="page">
                  <wp:posOffset>0</wp:posOffset>
                </wp:positionH>
                <wp:positionV relativeFrom="page">
                  <wp:posOffset>10234295</wp:posOffset>
                </wp:positionV>
                <wp:extent cx="7561580" cy="459105"/>
                <wp:effectExtent l="0" t="0" r="0" b="0"/>
                <wp:wrapNone/>
                <wp:docPr id="340" name="Group 3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1580" cy="459105"/>
                          <a:chOff x="0" y="0"/>
                          <a:chExt cx="7561580" cy="459105"/>
                        </a:xfrm>
                      </wpg:grpSpPr>
                      <wps:wsp>
                        <wps:cNvPr id="341" name="Graphic 341"/>
                        <wps:cNvSpPr/>
                        <wps:spPr>
                          <a:xfrm>
                            <a:off x="6449059" y="5714"/>
                            <a:ext cx="1110615" cy="451484"/>
                          </a:xfrm>
                          <a:custGeom>
                            <a:avLst/>
                            <a:gdLst/>
                            <a:ahLst/>
                            <a:cxnLst/>
                            <a:rect l="l" t="t" r="r" b="b"/>
                            <a:pathLst>
                              <a:path w="1110615" h="451484">
                                <a:moveTo>
                                  <a:pt x="1110614" y="0"/>
                                </a:moveTo>
                                <a:lnTo>
                                  <a:pt x="0" y="0"/>
                                </a:lnTo>
                                <a:lnTo>
                                  <a:pt x="260349" y="451483"/>
                                </a:lnTo>
                                <a:lnTo>
                                  <a:pt x="1110614" y="451483"/>
                                </a:lnTo>
                                <a:lnTo>
                                  <a:pt x="1110614" y="0"/>
                                </a:lnTo>
                                <a:close/>
                              </a:path>
                            </a:pathLst>
                          </a:custGeom>
                          <a:solidFill>
                            <a:srgbClr val="FAD2C1"/>
                          </a:solidFill>
                        </wps:spPr>
                        <wps:bodyPr wrap="square" lIns="0" tIns="0" rIns="0" bIns="0" rtlCol="0">
                          <a:prstTxWarp prst="textNoShape">
                            <a:avLst/>
                          </a:prstTxWarp>
                          <a:noAutofit/>
                        </wps:bodyPr>
                      </wps:wsp>
                      <wps:wsp>
                        <wps:cNvPr id="342" name="Graphic 342"/>
                        <wps:cNvSpPr/>
                        <wps:spPr>
                          <a:xfrm>
                            <a:off x="6449059" y="5714"/>
                            <a:ext cx="1110615" cy="451484"/>
                          </a:xfrm>
                          <a:custGeom>
                            <a:avLst/>
                            <a:gdLst/>
                            <a:ahLst/>
                            <a:cxnLst/>
                            <a:rect l="l" t="t" r="r" b="b"/>
                            <a:pathLst>
                              <a:path w="1110615" h="451484">
                                <a:moveTo>
                                  <a:pt x="0" y="0"/>
                                </a:moveTo>
                                <a:lnTo>
                                  <a:pt x="1110614" y="0"/>
                                </a:lnTo>
                                <a:lnTo>
                                  <a:pt x="1110614" y="451483"/>
                                </a:lnTo>
                                <a:lnTo>
                                  <a:pt x="260349" y="451483"/>
                                </a:lnTo>
                                <a:lnTo>
                                  <a:pt x="0" y="0"/>
                                </a:lnTo>
                              </a:path>
                            </a:pathLst>
                          </a:custGeom>
                          <a:ln w="3051">
                            <a:solidFill>
                              <a:srgbClr val="FAD2C1"/>
                            </a:solidFill>
                            <a:prstDash val="solid"/>
                          </a:ln>
                        </wps:spPr>
                        <wps:bodyPr wrap="square" lIns="0" tIns="0" rIns="0" bIns="0" rtlCol="0">
                          <a:prstTxWarp prst="textNoShape">
                            <a:avLst/>
                          </a:prstTxWarp>
                          <a:noAutofit/>
                        </wps:bodyPr>
                      </wps:wsp>
                      <wps:wsp>
                        <wps:cNvPr id="343" name="Graphic 343"/>
                        <wps:cNvSpPr/>
                        <wps:spPr>
                          <a:xfrm>
                            <a:off x="0" y="6350"/>
                            <a:ext cx="7560309" cy="1270"/>
                          </a:xfrm>
                          <a:custGeom>
                            <a:avLst/>
                            <a:gdLst/>
                            <a:ahLst/>
                            <a:cxnLst/>
                            <a:rect l="l" t="t" r="r" b="b"/>
                            <a:pathLst>
                              <a:path w="7560309">
                                <a:moveTo>
                                  <a:pt x="0" y="0"/>
                                </a:moveTo>
                                <a:lnTo>
                                  <a:pt x="7560309" y="0"/>
                                </a:lnTo>
                              </a:path>
                            </a:pathLst>
                          </a:custGeom>
                          <a:ln w="12700">
                            <a:solidFill>
                              <a:srgbClr val="FAD2C1"/>
                            </a:solidFill>
                            <a:prstDash val="solid"/>
                          </a:ln>
                        </wps:spPr>
                        <wps:bodyPr wrap="square" lIns="0" tIns="0" rIns="0" bIns="0" rtlCol="0">
                          <a:prstTxWarp prst="textNoShape">
                            <a:avLst/>
                          </a:prstTxWarp>
                          <a:noAutofit/>
                        </wps:bodyPr>
                      </wps:wsp>
                      <wps:wsp>
                        <wps:cNvPr id="344" name="Textbox 344"/>
                        <wps:cNvSpPr txBox="1"/>
                        <wps:spPr>
                          <a:xfrm>
                            <a:off x="6882130" y="37491"/>
                            <a:ext cx="147320" cy="155575"/>
                          </a:xfrm>
                          <a:prstGeom prst="rect">
                            <a:avLst/>
                          </a:prstGeom>
                        </wps:spPr>
                        <wps:txbx>
                          <w:txbxContent>
                            <w:p w14:paraId="1305C0C8" w14:textId="77777777" w:rsidR="00BB77C0" w:rsidRDefault="00370BAA">
                              <w:pPr>
                                <w:spacing w:line="244" w:lineRule="exact"/>
                              </w:pPr>
                              <w:r>
                                <w:rPr>
                                  <w:spacing w:val="-5"/>
                                </w:rPr>
                                <w:t>61</w:t>
                              </w:r>
                            </w:p>
                          </w:txbxContent>
                        </wps:txbx>
                        <wps:bodyPr wrap="square" lIns="0" tIns="0" rIns="0" bIns="0" rtlCol="0">
                          <a:noAutofit/>
                        </wps:bodyPr>
                      </wps:wsp>
                    </wpg:wgp>
                  </a:graphicData>
                </a:graphic>
              </wp:anchor>
            </w:drawing>
          </mc:Choice>
          <mc:Fallback>
            <w:pict>
              <v:group w14:anchorId="11E5B085" id="Group 340" o:spid="_x0000_s1176" style="position:absolute;margin-left:0;margin-top:805.85pt;width:595.4pt;height:36.15pt;z-index:15771648;mso-wrap-distance-left:0;mso-wrap-distance-right:0;mso-position-horizontal-relative:page;mso-position-vertical-relative:page" coordsize="75615,4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">
                <v:shape id="Graphic 341" o:spid="_x0000_s1177" style="position:absolute;left:64490;top:57;width:11106;height:4514;visibility:visible;mso-wrap-style:square;v-text-anchor:top" coordsize="1110615,4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" path="m1110614,l,,260349,451483r850265,l1110614,xe" fillcolor="#fad2c1" stroked="f">
                  <v:path arrowok="t"/>
                </v:shape>
                <v:shape id="Graphic 342" o:spid="_x0000_s1178" style="position:absolute;left:64490;top:57;width:11106;height:4514;visibility:visible;mso-wrap-style:square;v-text-anchor:top" coordsize="1110615,4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" path="m,l1110614,r,451483l260349,451483,,e" filled="f" strokecolor="#fad2c1" strokeweight=".08475mm">
                  <v:path arrowok="t"/>
                </v:shape>
                <v:shape id="Graphic 343" o:spid="_x0000_s1179" style="position:absolute;top:63;width:75603;height:13;visibility:visible;mso-wrap-style:square;v-text-anchor:top" coordsize="756030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" path="m,l7560309,e" filled="f" strokecolor="#fad2c1" strokeweight="1pt">
                  <v:path arrowok="t"/>
                </v:shape>
                <v:shape id="Textbox 344" o:spid="_x0000_s1180" type="#_x0000_t202" style="position:absolute;left:68821;top:374;width:1473;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" filled="f" stroked="f">
                  <v:textbox inset="0,0,0,0">
                    <w:txbxContent>
                      <w:p w14:paraId="1305C0C8" w14:textId="77777777" w:rsidR="00BB77C0" w:rsidRDefault="00370BAA">
                        <w:pPr>
                          <w:spacing w:line="244" w:lineRule="exact"/>
                        </w:pPr>
                        <w:r>
                          <w:rPr>
                            <w:spacing w:val="-5"/>
                          </w:rPr>
                          <w:t>61</w:t>
                        </w:r>
                      </w:p>
                    </w:txbxContent>
                  </v:textbox>
                </v:shape>
                <w10:wrap anchorx="page" anchory="page"/>
              </v:group>
            </w:pict>
          </mc:Fallback>
        </mc:AlternateContent>
      </w:r>
      <w:r>
        <w:rPr>
          <w:b/>
          <w:i/>
          <w:noProof/>
        </w:rPr>
        <mc:AlternateContent>
          <mc:Choice Requires="wpg">
            <w:drawing>
              <wp:anchor distT="0" distB="0" distL="0" distR="0" simplePos="0" relativeHeight="15772160" behindDoc="0" locked="0" layoutInCell="1" allowOverlap="1" wp14:anchorId="3F359EC7" wp14:editId="07191E6D">
                <wp:simplePos x="0" y="0"/>
                <wp:positionH relativeFrom="page">
                  <wp:posOffset>0</wp:posOffset>
                </wp:positionH>
                <wp:positionV relativeFrom="page">
                  <wp:posOffset>0</wp:posOffset>
                </wp:positionV>
                <wp:extent cx="7559675" cy="228600"/>
                <wp:effectExtent l="0" t="0" r="0" b="0"/>
                <wp:wrapNone/>
                <wp:docPr id="345" name="Group 3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675" cy="228600"/>
                          <a:chOff x="0" y="0"/>
                          <a:chExt cx="7559675" cy="228600"/>
                        </a:xfrm>
                      </wpg:grpSpPr>
                      <wps:wsp>
                        <wps:cNvPr id="346" name="Graphic 346"/>
                        <wps:cNvSpPr/>
                        <wps:spPr>
                          <a:xfrm>
                            <a:off x="848283" y="0"/>
                            <a:ext cx="6711950" cy="228600"/>
                          </a:xfrm>
                          <a:custGeom>
                            <a:avLst/>
                            <a:gdLst/>
                            <a:ahLst/>
                            <a:cxnLst/>
                            <a:rect l="l" t="t" r="r" b="b"/>
                            <a:pathLst>
                              <a:path w="6711950" h="228600">
                                <a:moveTo>
                                  <a:pt x="6711391" y="0"/>
                                </a:moveTo>
                                <a:lnTo>
                                  <a:pt x="0" y="0"/>
                                </a:lnTo>
                                <a:lnTo>
                                  <a:pt x="184137" y="228600"/>
                                </a:lnTo>
                                <a:lnTo>
                                  <a:pt x="6711391" y="223520"/>
                                </a:lnTo>
                                <a:lnTo>
                                  <a:pt x="6711391" y="0"/>
                                </a:lnTo>
                                <a:close/>
                              </a:path>
                            </a:pathLst>
                          </a:custGeom>
                          <a:solidFill>
                            <a:srgbClr val="E6E7E8"/>
                          </a:solidFill>
                        </wps:spPr>
                        <wps:bodyPr wrap="square" lIns="0" tIns="0" rIns="0" bIns="0" rtlCol="0">
                          <a:prstTxWarp prst="textNoShape">
                            <a:avLst/>
                          </a:prstTxWarp>
                          <a:noAutofit/>
                        </wps:bodyPr>
                      </wps:wsp>
                      <wps:wsp>
                        <wps:cNvPr id="347" name="Graphic 347"/>
                        <wps:cNvSpPr/>
                        <wps:spPr>
                          <a:xfrm>
                            <a:off x="0" y="0"/>
                            <a:ext cx="655955" cy="228600"/>
                          </a:xfrm>
                          <a:custGeom>
                            <a:avLst/>
                            <a:gdLst/>
                            <a:ahLst/>
                            <a:cxnLst/>
                            <a:rect l="l" t="t" r="r" b="b"/>
                            <a:pathLst>
                              <a:path w="655955" h="228600">
                                <a:moveTo>
                                  <a:pt x="530174" y="0"/>
                                </a:moveTo>
                                <a:lnTo>
                                  <a:pt x="0" y="0"/>
                                </a:lnTo>
                                <a:lnTo>
                                  <a:pt x="0" y="228600"/>
                                </a:lnTo>
                                <a:lnTo>
                                  <a:pt x="655904" y="228600"/>
                                </a:lnTo>
                                <a:lnTo>
                                  <a:pt x="530174" y="0"/>
                                </a:lnTo>
                                <a:close/>
                              </a:path>
                            </a:pathLst>
                          </a:custGeom>
                          <a:solidFill>
                            <a:srgbClr val="00A650"/>
                          </a:solidFill>
                        </wps:spPr>
                        <wps:bodyPr wrap="square" lIns="0" tIns="0" rIns="0" bIns="0" rtlCol="0">
                          <a:prstTxWarp prst="textNoShape">
                            <a:avLst/>
                          </a:prstTxWarp>
                          <a:noAutofit/>
                        </wps:bodyPr>
                      </wps:wsp>
                      <wps:wsp>
                        <wps:cNvPr id="348" name="Graphic 348"/>
                        <wps:cNvSpPr/>
                        <wps:spPr>
                          <a:xfrm>
                            <a:off x="554304" y="0"/>
                            <a:ext cx="329565" cy="228600"/>
                          </a:xfrm>
                          <a:custGeom>
                            <a:avLst/>
                            <a:gdLst/>
                            <a:ahLst/>
                            <a:cxnLst/>
                            <a:rect l="l" t="t" r="r" b="b"/>
                            <a:pathLst>
                              <a:path w="329565" h="228600">
                                <a:moveTo>
                                  <a:pt x="203822" y="0"/>
                                </a:moveTo>
                                <a:lnTo>
                                  <a:pt x="0" y="0"/>
                                </a:lnTo>
                                <a:lnTo>
                                  <a:pt x="128904" y="228600"/>
                                </a:lnTo>
                                <a:lnTo>
                                  <a:pt x="329539" y="228600"/>
                                </a:lnTo>
                                <a:lnTo>
                                  <a:pt x="203822" y="0"/>
                                </a:lnTo>
                                <a:close/>
                              </a:path>
                            </a:pathLst>
                          </a:custGeom>
                          <a:solidFill>
                            <a:srgbClr val="EB1C22"/>
                          </a:solidFill>
                        </wps:spPr>
                        <wps:bodyPr wrap="square" lIns="0" tIns="0" rIns="0" bIns="0" rtlCol="0">
                          <a:prstTxWarp prst="textNoShape">
                            <a:avLst/>
                          </a:prstTxWarp>
                          <a:noAutofit/>
                        </wps:bodyPr>
                      </wps:wsp>
                      <wps:wsp>
                        <wps:cNvPr id="349" name="Graphic 349"/>
                        <wps:cNvSpPr/>
                        <wps:spPr>
                          <a:xfrm>
                            <a:off x="783526" y="0"/>
                            <a:ext cx="329565" cy="228600"/>
                          </a:xfrm>
                          <a:custGeom>
                            <a:avLst/>
                            <a:gdLst/>
                            <a:ahLst/>
                            <a:cxnLst/>
                            <a:rect l="l" t="t" r="r" b="b"/>
                            <a:pathLst>
                              <a:path w="329565" h="228600">
                                <a:moveTo>
                                  <a:pt x="203822" y="0"/>
                                </a:moveTo>
                                <a:lnTo>
                                  <a:pt x="0" y="0"/>
                                </a:lnTo>
                                <a:lnTo>
                                  <a:pt x="128879" y="228600"/>
                                </a:lnTo>
                                <a:lnTo>
                                  <a:pt x="329539" y="228600"/>
                                </a:lnTo>
                                <a:lnTo>
                                  <a:pt x="203822" y="0"/>
                                </a:lnTo>
                                <a:close/>
                              </a:path>
                            </a:pathLst>
                          </a:custGeom>
                          <a:solidFill>
                            <a:srgbClr val="A7A9AC"/>
                          </a:solidFill>
                        </wps:spPr>
                        <wps:bodyPr wrap="square" lIns="0" tIns="0" rIns="0" bIns="0" rtlCol="0">
                          <a:prstTxWarp prst="textNoShape">
                            <a:avLst/>
                          </a:prstTxWarp>
                          <a:noAutofit/>
                        </wps:bodyPr>
                      </wps:wsp>
                    </wpg:wgp>
                  </a:graphicData>
                </a:graphic>
              </wp:anchor>
            </w:drawing>
          </mc:Choice>
          <mc:Fallback>
            <w:pict>
              <v:group w14:anchorId="47B04DBF" id="Group 345" o:spid="_x0000_s1026" style="position:absolute;margin-left:0;margin-top:0;width:595.25pt;height:18pt;z-index:15772160;mso-wrap-distance-left:0;mso-wrap-distance-right:0;mso-position-horizontal-relative:page;mso-position-vertical-relative:page" coordsize="75596,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">
                <v:shape id="Graphic 346" o:spid="_x0000_s1027" style="position:absolute;left:8482;width:67120;height:2286;visibility:visible;mso-wrap-style:square;v-text-anchor:top" coordsize="67119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" path="m6711391,l,,184137,228600r6527254,-5080l6711391,xe" fillcolor="#e6e7e8" stroked="f">
                  <v:path arrowok="t"/>
                </v:shape>
                <v:shape id="Graphic 347" o:spid="_x0000_s1028" style="position:absolute;width:6559;height:2286;visibility:visible;mso-wrap-style:square;v-text-anchor:top" coordsize="65595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" path="m530174,l,,,228600r655904,l530174,xe" fillcolor="#00a650" stroked="f">
                  <v:path arrowok="t"/>
                </v:shape>
                <v:shape id="Graphic 348" o:spid="_x0000_s1029" style="position:absolute;left:5543;width:3295;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" path="m203822,l,,128904,228600r200635,l203822,xe" fillcolor="#eb1c22" stroked="f">
                  <v:path arrowok="t"/>
                </v:shape>
                <v:shape id="Graphic 349" o:spid="_x0000_s1030" style="position:absolute;left:7835;width:3295;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" path="m203822,l,,128879,228600r200660,l203822,xe" fillcolor="#a7a9ac" stroked="f">
                  <v:path arrowok="t"/>
                </v:shape>
                <w10:wrap anchorx="page" anchory="page"/>
              </v:group>
            </w:pict>
          </mc:Fallback>
        </mc:AlternateContent>
      </w:r>
    </w:p>
    <w:p w14:paraId="13E9E38A" w14:textId="77777777" w:rsidR="00BB77C0" w:rsidRDefault="00BB77C0">
      <w:pPr>
        <w:pStyle w:val="BodyText"/>
        <w:rPr>
          <w:b/>
          <w:i/>
        </w:rPr>
      </w:pPr>
    </w:p>
    <w:p w14:paraId="0ECAD1CB" w14:textId="77777777" w:rsidR="00BB77C0" w:rsidRDefault="00BB77C0">
      <w:pPr>
        <w:pStyle w:val="BodyText"/>
        <w:rPr>
          <w:b/>
          <w:i/>
        </w:rPr>
      </w:pPr>
    </w:p>
    <w:p w14:paraId="15DF161E" w14:textId="77777777" w:rsidR="00BB77C0" w:rsidRDefault="00BB77C0">
      <w:pPr>
        <w:pStyle w:val="BodyText"/>
        <w:rPr>
          <w:b/>
          <w:i/>
        </w:rPr>
      </w:pPr>
    </w:p>
    <w:p w14:paraId="2A60274F" w14:textId="77777777" w:rsidR="00BB77C0" w:rsidRDefault="00BB77C0">
      <w:pPr>
        <w:pStyle w:val="BodyText"/>
        <w:spacing w:before="149"/>
        <w:rPr>
          <w:b/>
          <w:i/>
        </w:rPr>
      </w:pPr>
    </w:p>
    <w:p w14:paraId="45D0D432" w14:textId="77777777" w:rsidR="00BB77C0" w:rsidRDefault="00370BAA">
      <w:pPr>
        <w:pStyle w:val="Heading7"/>
        <w:tabs>
          <w:tab w:val="left" w:pos="3992"/>
        </w:tabs>
        <w:ind w:left="341"/>
      </w:pPr>
      <w:bookmarkStart w:id="172" w:name="TENDER_GUARANTEE_No.:"/>
      <w:bookmarkEnd w:id="172"/>
      <w:r>
        <w:rPr>
          <w:color w:val="211F1F"/>
        </w:rPr>
        <w:t>TENDER GUARANTEE No.:</w:t>
      </w:r>
      <w:r>
        <w:rPr>
          <w:color w:val="211F1F"/>
          <w:spacing w:val="56"/>
        </w:rPr>
        <w:t xml:space="preserve"> </w:t>
      </w:r>
      <w:r>
        <w:rPr>
          <w:color w:val="211F1F"/>
          <w:u w:val="single" w:color="201E1F"/>
        </w:rPr>
        <w:tab/>
      </w:r>
    </w:p>
    <w:p w14:paraId="77695B7A" w14:textId="77777777" w:rsidR="00BB77C0" w:rsidRDefault="00BB77C0">
      <w:pPr>
        <w:pStyle w:val="BodyText"/>
        <w:spacing w:before="252"/>
        <w:rPr>
          <w:b/>
        </w:rPr>
      </w:pPr>
    </w:p>
    <w:p w14:paraId="1FE744F1" w14:textId="77777777" w:rsidR="00BB77C0" w:rsidRDefault="00370BAA">
      <w:pPr>
        <w:pStyle w:val="ListParagraph"/>
        <w:numPr>
          <w:ilvl w:val="0"/>
          <w:numId w:val="38"/>
        </w:numPr>
        <w:tabs>
          <w:tab w:val="left" w:pos="1022"/>
          <w:tab w:val="left" w:pos="5383"/>
        </w:tabs>
        <w:spacing w:line="252" w:lineRule="exact"/>
        <w:ind w:hanging="571"/>
      </w:pPr>
      <w:r>
        <w:t>Whereas</w:t>
      </w:r>
      <w:r>
        <w:rPr>
          <w:spacing w:val="-4"/>
        </w:rPr>
        <w:t xml:space="preserve"> </w:t>
      </w:r>
      <w:r>
        <w:t>…………</w:t>
      </w:r>
      <w:r>
        <w:rPr>
          <w:spacing w:val="-4"/>
        </w:rPr>
        <w:t xml:space="preserve"> </w:t>
      </w:r>
      <w:r>
        <w:t>[</w:t>
      </w:r>
      <w:r>
        <w:rPr>
          <w:i/>
        </w:rPr>
        <w:t>Name</w:t>
      </w:r>
      <w:r>
        <w:rPr>
          <w:i/>
          <w:spacing w:val="-11"/>
        </w:rPr>
        <w:t xml:space="preserve"> </w:t>
      </w:r>
      <w:r>
        <w:rPr>
          <w:i/>
        </w:rPr>
        <w:t>of</w:t>
      </w:r>
      <w:r>
        <w:rPr>
          <w:i/>
          <w:spacing w:val="-4"/>
        </w:rPr>
        <w:t xml:space="preserve"> </w:t>
      </w:r>
      <w:r>
        <w:rPr>
          <w:i/>
        </w:rPr>
        <w:t>the</w:t>
      </w:r>
      <w:r>
        <w:rPr>
          <w:i/>
          <w:spacing w:val="-10"/>
        </w:rPr>
        <w:t xml:space="preserve"> </w:t>
      </w:r>
      <w:r>
        <w:rPr>
          <w:i/>
          <w:spacing w:val="-2"/>
        </w:rPr>
        <w:t>tenderer]</w:t>
      </w:r>
      <w:r>
        <w:rPr>
          <w:i/>
        </w:rPr>
        <w:tab/>
      </w:r>
      <w:r>
        <w:t>(hereinafter</w:t>
      </w:r>
      <w:r>
        <w:rPr>
          <w:spacing w:val="-16"/>
        </w:rPr>
        <w:t xml:space="preserve"> </w:t>
      </w:r>
      <w:r>
        <w:t>called</w:t>
      </w:r>
      <w:r>
        <w:rPr>
          <w:spacing w:val="-14"/>
        </w:rPr>
        <w:t xml:space="preserve"> </w:t>
      </w:r>
      <w:r>
        <w:t>“the</w:t>
      </w:r>
      <w:r>
        <w:rPr>
          <w:spacing w:val="-14"/>
        </w:rPr>
        <w:t xml:space="preserve"> </w:t>
      </w:r>
      <w:r>
        <w:t>tenderer”)</w:t>
      </w:r>
      <w:r>
        <w:rPr>
          <w:spacing w:val="-12"/>
        </w:rPr>
        <w:t xml:space="preserve"> </w:t>
      </w:r>
      <w:r>
        <w:t>has</w:t>
      </w:r>
      <w:r>
        <w:rPr>
          <w:spacing w:val="-8"/>
        </w:rPr>
        <w:t xml:space="preserve"> </w:t>
      </w:r>
      <w:r>
        <w:t>submitted</w:t>
      </w:r>
      <w:r>
        <w:rPr>
          <w:spacing w:val="-13"/>
        </w:rPr>
        <w:t xml:space="preserve"> </w:t>
      </w:r>
      <w:r>
        <w:t>its</w:t>
      </w:r>
      <w:r>
        <w:rPr>
          <w:spacing w:val="-12"/>
        </w:rPr>
        <w:t xml:space="preserve"> </w:t>
      </w:r>
      <w:r>
        <w:t>tender</w:t>
      </w:r>
      <w:r>
        <w:rPr>
          <w:spacing w:val="-5"/>
        </w:rPr>
        <w:t xml:space="preserve"> </w:t>
      </w:r>
      <w:r>
        <w:rPr>
          <w:spacing w:val="-2"/>
        </w:rPr>
        <w:t>dated</w:t>
      </w:r>
    </w:p>
    <w:p w14:paraId="064CA181" w14:textId="77777777" w:rsidR="00BB77C0" w:rsidRDefault="00370BAA">
      <w:pPr>
        <w:tabs>
          <w:tab w:val="left" w:leader="dot" w:pos="6343"/>
        </w:tabs>
        <w:spacing w:line="252" w:lineRule="exact"/>
        <w:ind w:left="1022"/>
      </w:pPr>
      <w:r>
        <w:t>………</w:t>
      </w:r>
      <w:r>
        <w:rPr>
          <w:spacing w:val="-1"/>
        </w:rPr>
        <w:t xml:space="preserve"> </w:t>
      </w:r>
      <w:r>
        <w:t>[</w:t>
      </w:r>
      <w:r>
        <w:rPr>
          <w:i/>
        </w:rPr>
        <w:t>Date</w:t>
      </w:r>
      <w:r>
        <w:rPr>
          <w:i/>
          <w:spacing w:val="1"/>
        </w:rPr>
        <w:t xml:space="preserve"> </w:t>
      </w:r>
      <w:r>
        <w:rPr>
          <w:i/>
        </w:rPr>
        <w:t>of submission of</w:t>
      </w:r>
      <w:r>
        <w:rPr>
          <w:i/>
          <w:spacing w:val="-1"/>
        </w:rPr>
        <w:t xml:space="preserve"> </w:t>
      </w:r>
      <w:r>
        <w:rPr>
          <w:i/>
        </w:rPr>
        <w:t>tender]</w:t>
      </w:r>
      <w:r>
        <w:rPr>
          <w:i/>
          <w:spacing w:val="4"/>
        </w:rPr>
        <w:t xml:space="preserve"> </w:t>
      </w:r>
      <w:r>
        <w:t>for</w:t>
      </w:r>
      <w:r>
        <w:rPr>
          <w:spacing w:val="7"/>
        </w:rPr>
        <w:t xml:space="preserve"> </w:t>
      </w:r>
      <w:r>
        <w:rPr>
          <w:spacing w:val="-5"/>
        </w:rPr>
        <w:t>the</w:t>
      </w:r>
      <w:r>
        <w:tab/>
      </w:r>
      <w:r>
        <w:rPr>
          <w:i/>
        </w:rPr>
        <w:t>[Name</w:t>
      </w:r>
      <w:r>
        <w:rPr>
          <w:i/>
          <w:spacing w:val="-1"/>
        </w:rPr>
        <w:t xml:space="preserve"> </w:t>
      </w:r>
      <w:r>
        <w:rPr>
          <w:i/>
        </w:rPr>
        <w:t>and/or</w:t>
      </w:r>
      <w:r>
        <w:rPr>
          <w:i/>
          <w:spacing w:val="-1"/>
        </w:rPr>
        <w:t xml:space="preserve"> </w:t>
      </w:r>
      <w:r>
        <w:rPr>
          <w:i/>
        </w:rPr>
        <w:t>description</w:t>
      </w:r>
      <w:r>
        <w:rPr>
          <w:i/>
          <w:spacing w:val="-1"/>
        </w:rPr>
        <w:t xml:space="preserve"> </w:t>
      </w:r>
      <w:r>
        <w:rPr>
          <w:i/>
        </w:rPr>
        <w:t>of</w:t>
      </w:r>
      <w:r>
        <w:rPr>
          <w:i/>
          <w:spacing w:val="-1"/>
        </w:rPr>
        <w:t xml:space="preserve"> </w:t>
      </w:r>
      <w:r>
        <w:rPr>
          <w:i/>
        </w:rPr>
        <w:t>the</w:t>
      </w:r>
      <w:r>
        <w:rPr>
          <w:i/>
          <w:spacing w:val="2"/>
        </w:rPr>
        <w:t xml:space="preserve"> </w:t>
      </w:r>
      <w:r>
        <w:rPr>
          <w:i/>
        </w:rPr>
        <w:t>tender]</w:t>
      </w:r>
      <w:r>
        <w:rPr>
          <w:i/>
          <w:spacing w:val="4"/>
        </w:rPr>
        <w:t xml:space="preserve"> </w:t>
      </w:r>
      <w:r>
        <w:rPr>
          <w:spacing w:val="-2"/>
        </w:rPr>
        <w:t>(hereinafter</w:t>
      </w:r>
    </w:p>
    <w:p w14:paraId="44DC7E12" w14:textId="77777777" w:rsidR="00BB77C0" w:rsidRDefault="00370BAA">
      <w:pPr>
        <w:pStyle w:val="BodyText"/>
        <w:tabs>
          <w:tab w:val="left" w:pos="5383"/>
          <w:tab w:val="left" w:pos="9704"/>
        </w:tabs>
        <w:spacing w:before="2"/>
        <w:ind w:left="1022"/>
      </w:pPr>
      <w:r>
        <w:t>called</w:t>
      </w:r>
      <w:r>
        <w:rPr>
          <w:spacing w:val="-10"/>
        </w:rPr>
        <w:t xml:space="preserve"> </w:t>
      </w:r>
      <w:r>
        <w:t>“the</w:t>
      </w:r>
      <w:r>
        <w:rPr>
          <w:spacing w:val="-6"/>
        </w:rPr>
        <w:t xml:space="preserve"> </w:t>
      </w:r>
      <w:r>
        <w:t>Tender”)</w:t>
      </w:r>
      <w:r>
        <w:rPr>
          <w:spacing w:val="-1"/>
        </w:rPr>
        <w:t xml:space="preserve"> </w:t>
      </w:r>
      <w:r>
        <w:rPr>
          <w:color w:val="211F1F"/>
        </w:rPr>
        <w:t>for</w:t>
      </w:r>
      <w:r>
        <w:rPr>
          <w:color w:val="211F1F"/>
          <w:spacing w:val="48"/>
        </w:rPr>
        <w:t xml:space="preserve"> </w:t>
      </w:r>
      <w:r>
        <w:rPr>
          <w:color w:val="211F1F"/>
        </w:rPr>
        <w:t>the</w:t>
      </w:r>
      <w:r>
        <w:rPr>
          <w:color w:val="211F1F"/>
          <w:spacing w:val="43"/>
        </w:rPr>
        <w:t xml:space="preserve"> </w:t>
      </w:r>
      <w:r>
        <w:rPr>
          <w:color w:val="211F1F"/>
        </w:rPr>
        <w:t>execution</w:t>
      </w:r>
      <w:r>
        <w:rPr>
          <w:color w:val="211F1F"/>
          <w:spacing w:val="46"/>
        </w:rPr>
        <w:t xml:space="preserve"> </w:t>
      </w:r>
      <w:r>
        <w:rPr>
          <w:color w:val="211F1F"/>
          <w:spacing w:val="-5"/>
        </w:rPr>
        <w:t>of</w:t>
      </w:r>
      <w:r>
        <w:rPr>
          <w:color w:val="211F1F"/>
          <w:u w:val="single" w:color="201E1F"/>
        </w:rPr>
        <w:tab/>
      </w:r>
      <w:r>
        <w:rPr>
          <w:color w:val="211F1F"/>
        </w:rPr>
        <w:t>under</w:t>
      </w:r>
      <w:r>
        <w:rPr>
          <w:color w:val="211F1F"/>
          <w:spacing w:val="48"/>
        </w:rPr>
        <w:t xml:space="preserve"> </w:t>
      </w:r>
      <w:r>
        <w:rPr>
          <w:color w:val="211F1F"/>
        </w:rPr>
        <w:t>Request</w:t>
      </w:r>
      <w:r>
        <w:rPr>
          <w:color w:val="211F1F"/>
          <w:spacing w:val="49"/>
        </w:rPr>
        <w:t xml:space="preserve"> </w:t>
      </w:r>
      <w:r>
        <w:rPr>
          <w:color w:val="211F1F"/>
        </w:rPr>
        <w:t>for</w:t>
      </w:r>
      <w:r>
        <w:rPr>
          <w:color w:val="211F1F"/>
          <w:spacing w:val="45"/>
        </w:rPr>
        <w:t xml:space="preserve"> </w:t>
      </w:r>
      <w:r>
        <w:rPr>
          <w:color w:val="211F1F"/>
        </w:rPr>
        <w:t>Tenders</w:t>
      </w:r>
      <w:r>
        <w:rPr>
          <w:color w:val="211F1F"/>
          <w:spacing w:val="50"/>
        </w:rPr>
        <w:t xml:space="preserve"> </w:t>
      </w:r>
      <w:r>
        <w:rPr>
          <w:color w:val="211F1F"/>
          <w:spacing w:val="-5"/>
        </w:rPr>
        <w:t>No.</w:t>
      </w:r>
      <w:r>
        <w:rPr>
          <w:color w:val="211F1F"/>
          <w:u w:val="single" w:color="201E1F"/>
        </w:rPr>
        <w:tab/>
      </w:r>
      <w:r>
        <w:rPr>
          <w:color w:val="211F1F"/>
        </w:rPr>
        <w:t>(“the</w:t>
      </w:r>
      <w:r>
        <w:rPr>
          <w:color w:val="211F1F"/>
          <w:spacing w:val="-6"/>
        </w:rPr>
        <w:t xml:space="preserve"> </w:t>
      </w:r>
      <w:r>
        <w:rPr>
          <w:color w:val="211F1F"/>
          <w:spacing w:val="-2"/>
        </w:rPr>
        <w:t>ITT”).</w:t>
      </w:r>
    </w:p>
    <w:p w14:paraId="59DD58D2" w14:textId="77777777" w:rsidR="00BB77C0" w:rsidRDefault="00370BAA">
      <w:pPr>
        <w:pStyle w:val="ListParagraph"/>
        <w:numPr>
          <w:ilvl w:val="0"/>
          <w:numId w:val="38"/>
        </w:numPr>
        <w:tabs>
          <w:tab w:val="left" w:pos="1021"/>
          <w:tab w:val="left" w:leader="dot" w:pos="8134"/>
        </w:tabs>
        <w:spacing w:before="246"/>
        <w:ind w:left="1021" w:hanging="570"/>
        <w:jc w:val="both"/>
      </w:pPr>
      <w:r>
        <w:rPr>
          <w:spacing w:val="-2"/>
        </w:rPr>
        <w:t>KNOW</w:t>
      </w:r>
      <w:r>
        <w:rPr>
          <w:spacing w:val="-6"/>
        </w:rPr>
        <w:t xml:space="preserve"> </w:t>
      </w:r>
      <w:r>
        <w:rPr>
          <w:spacing w:val="-2"/>
        </w:rPr>
        <w:t>ALL</w:t>
      </w:r>
      <w:r>
        <w:rPr>
          <w:spacing w:val="-3"/>
        </w:rPr>
        <w:t xml:space="preserve"> </w:t>
      </w:r>
      <w:r>
        <w:rPr>
          <w:spacing w:val="-2"/>
        </w:rPr>
        <w:t>PEOPLE</w:t>
      </w:r>
      <w:r>
        <w:rPr>
          <w:spacing w:val="-6"/>
        </w:rPr>
        <w:t xml:space="preserve"> </w:t>
      </w:r>
      <w:r>
        <w:rPr>
          <w:spacing w:val="-2"/>
        </w:rPr>
        <w:t>by</w:t>
      </w:r>
      <w:r>
        <w:rPr>
          <w:spacing w:val="-7"/>
        </w:rPr>
        <w:t xml:space="preserve"> </w:t>
      </w:r>
      <w:r>
        <w:rPr>
          <w:spacing w:val="-2"/>
        </w:rPr>
        <w:t>these</w:t>
      </w:r>
      <w:r>
        <w:rPr>
          <w:spacing w:val="-13"/>
        </w:rPr>
        <w:t xml:space="preserve"> </w:t>
      </w:r>
      <w:r>
        <w:rPr>
          <w:spacing w:val="-2"/>
        </w:rPr>
        <w:t>presents</w:t>
      </w:r>
      <w:r>
        <w:rPr>
          <w:spacing w:val="-6"/>
        </w:rPr>
        <w:t xml:space="preserve"> </w:t>
      </w:r>
      <w:r>
        <w:rPr>
          <w:spacing w:val="-2"/>
        </w:rPr>
        <w:t>that</w:t>
      </w:r>
      <w:r>
        <w:rPr>
          <w:spacing w:val="1"/>
        </w:rPr>
        <w:t xml:space="preserve"> </w:t>
      </w:r>
      <w:r>
        <w:rPr>
          <w:spacing w:val="-2"/>
        </w:rPr>
        <w:t>WE</w:t>
      </w:r>
      <w:r>
        <w:rPr>
          <w:spacing w:val="-7"/>
        </w:rPr>
        <w:t xml:space="preserve"> </w:t>
      </w:r>
      <w:r>
        <w:rPr>
          <w:spacing w:val="-2"/>
        </w:rPr>
        <w:t>…………………</w:t>
      </w:r>
      <w:r>
        <w:rPr>
          <w:spacing w:val="-6"/>
        </w:rPr>
        <w:t xml:space="preserve"> </w:t>
      </w:r>
      <w:r>
        <w:rPr>
          <w:spacing w:val="-5"/>
        </w:rPr>
        <w:t>of</w:t>
      </w:r>
      <w:r>
        <w:tab/>
      </w:r>
      <w:r>
        <w:rPr>
          <w:spacing w:val="-2"/>
        </w:rPr>
        <w:t>[</w:t>
      </w:r>
      <w:r>
        <w:rPr>
          <w:b/>
          <w:spacing w:val="-2"/>
        </w:rPr>
        <w:t>Name</w:t>
      </w:r>
      <w:r>
        <w:rPr>
          <w:b/>
          <w:spacing w:val="-10"/>
        </w:rPr>
        <w:t xml:space="preserve"> </w:t>
      </w:r>
      <w:r>
        <w:rPr>
          <w:b/>
          <w:spacing w:val="-2"/>
        </w:rPr>
        <w:t>of</w:t>
      </w:r>
      <w:r>
        <w:rPr>
          <w:b/>
          <w:spacing w:val="-8"/>
        </w:rPr>
        <w:t xml:space="preserve"> </w:t>
      </w:r>
      <w:r>
        <w:rPr>
          <w:b/>
          <w:spacing w:val="-2"/>
        </w:rPr>
        <w:t>Insurance</w:t>
      </w:r>
      <w:r>
        <w:rPr>
          <w:b/>
        </w:rPr>
        <w:t xml:space="preserve"> </w:t>
      </w:r>
      <w:r>
        <w:rPr>
          <w:b/>
          <w:spacing w:val="-2"/>
        </w:rPr>
        <w:t>Company</w:t>
      </w:r>
      <w:r>
        <w:rPr>
          <w:spacing w:val="-2"/>
        </w:rPr>
        <w:t>]</w:t>
      </w:r>
    </w:p>
    <w:p w14:paraId="1BA559CA" w14:textId="77777777" w:rsidR="00BB77C0" w:rsidRDefault="00370BAA">
      <w:pPr>
        <w:pStyle w:val="BodyText"/>
        <w:spacing w:before="2"/>
        <w:ind w:left="1022" w:right="528"/>
        <w:jc w:val="both"/>
      </w:pPr>
      <w:r>
        <w:t>having our registered office at …………… (hereinafter called “the Guarantor”), are bound unto …………….. [</w:t>
      </w:r>
      <w:r>
        <w:rPr>
          <w:i/>
        </w:rPr>
        <w:t>Name of Procuring Entity</w:t>
      </w:r>
      <w:r>
        <w:t>] (hereinafter called “the</w:t>
      </w:r>
      <w:r>
        <w:rPr>
          <w:spacing w:val="80"/>
          <w:w w:val="150"/>
        </w:rPr>
        <w:t xml:space="preserve"> </w:t>
      </w:r>
      <w:r>
        <w:t>Procuring</w:t>
      </w:r>
      <w:r>
        <w:rPr>
          <w:spacing w:val="40"/>
        </w:rPr>
        <w:t xml:space="preserve"> </w:t>
      </w:r>
      <w:r>
        <w:t>Entity”)</w:t>
      </w:r>
      <w:r>
        <w:rPr>
          <w:spacing w:val="40"/>
        </w:rPr>
        <w:t xml:space="preserve"> </w:t>
      </w:r>
      <w:r>
        <w:t>in the sum</w:t>
      </w:r>
      <w:r>
        <w:rPr>
          <w:spacing w:val="40"/>
        </w:rPr>
        <w:t xml:space="preserve"> </w:t>
      </w:r>
      <w:r>
        <w:t>of</w:t>
      </w:r>
      <w:r>
        <w:rPr>
          <w:spacing w:val="40"/>
        </w:rPr>
        <w:t xml:space="preserve"> </w:t>
      </w:r>
      <w:r>
        <w:t>………………… (Currency and guarantee amount) for which payment well and truly to be made to the said Procuring Entity, the Guarantor binds itself, its successors and assigns, jointly and severally, firmly by these presents.</w:t>
      </w:r>
    </w:p>
    <w:p w14:paraId="31726AA2" w14:textId="77777777" w:rsidR="00BB77C0" w:rsidRDefault="00BB77C0">
      <w:pPr>
        <w:pStyle w:val="BodyText"/>
        <w:spacing w:before="2"/>
      </w:pPr>
    </w:p>
    <w:p w14:paraId="0D7190F0" w14:textId="77777777" w:rsidR="00BB77C0" w:rsidRDefault="00370BAA">
      <w:pPr>
        <w:pStyle w:val="BodyText"/>
        <w:tabs>
          <w:tab w:val="left" w:pos="7723"/>
        </w:tabs>
        <w:ind w:left="1061"/>
        <w:jc w:val="both"/>
      </w:pPr>
      <w:r>
        <w:t>Sealed</w:t>
      </w:r>
      <w:r>
        <w:rPr>
          <w:spacing w:val="-3"/>
        </w:rPr>
        <w:t xml:space="preserve"> </w:t>
      </w:r>
      <w:r>
        <w:t>with</w:t>
      </w:r>
      <w:r>
        <w:rPr>
          <w:spacing w:val="-3"/>
        </w:rPr>
        <w:t xml:space="preserve"> </w:t>
      </w:r>
      <w:r>
        <w:t>the</w:t>
      </w:r>
      <w:r>
        <w:rPr>
          <w:spacing w:val="-6"/>
        </w:rPr>
        <w:t xml:space="preserve"> </w:t>
      </w:r>
      <w:r>
        <w:t>Common</w:t>
      </w:r>
      <w:r>
        <w:rPr>
          <w:spacing w:val="-3"/>
        </w:rPr>
        <w:t xml:space="preserve"> </w:t>
      </w:r>
      <w:r>
        <w:t>Seal</w:t>
      </w:r>
      <w:r>
        <w:rPr>
          <w:spacing w:val="-2"/>
        </w:rPr>
        <w:t xml:space="preserve"> </w:t>
      </w:r>
      <w:r>
        <w:t>of the</w:t>
      </w:r>
      <w:r>
        <w:rPr>
          <w:spacing w:val="-6"/>
        </w:rPr>
        <w:t xml:space="preserve"> </w:t>
      </w:r>
      <w:r>
        <w:t>said</w:t>
      </w:r>
      <w:r>
        <w:rPr>
          <w:spacing w:val="-4"/>
        </w:rPr>
        <w:t xml:space="preserve"> </w:t>
      </w:r>
      <w:r>
        <w:t>Guarantor</w:t>
      </w:r>
      <w:r>
        <w:rPr>
          <w:spacing w:val="4"/>
        </w:rPr>
        <w:t xml:space="preserve"> </w:t>
      </w:r>
      <w:r>
        <w:t>this</w:t>
      </w:r>
      <w:r>
        <w:rPr>
          <w:spacing w:val="2"/>
        </w:rPr>
        <w:t xml:space="preserve"> </w:t>
      </w:r>
      <w:r>
        <w:rPr>
          <w:spacing w:val="73"/>
          <w:w w:val="150"/>
          <w:u w:val="single"/>
        </w:rPr>
        <w:t xml:space="preserve">  </w:t>
      </w:r>
      <w:r>
        <w:t>day</w:t>
      </w:r>
      <w:r>
        <w:rPr>
          <w:spacing w:val="-3"/>
        </w:rPr>
        <w:t xml:space="preserve"> </w:t>
      </w:r>
      <w:r>
        <w:t xml:space="preserve">of </w:t>
      </w:r>
      <w:r>
        <w:rPr>
          <w:u w:val="double"/>
        </w:rPr>
        <w:tab/>
      </w:r>
      <w:r>
        <w:t>20</w:t>
      </w:r>
      <w:r>
        <w:rPr>
          <w:spacing w:val="-3"/>
        </w:rPr>
        <w:t xml:space="preserve"> </w:t>
      </w:r>
      <w:r>
        <w:rPr>
          <w:spacing w:val="57"/>
          <w:u w:val="single"/>
        </w:rPr>
        <w:t xml:space="preserve">  </w:t>
      </w:r>
      <w:r>
        <w:rPr>
          <w:spacing w:val="-10"/>
        </w:rPr>
        <w:t>.</w:t>
      </w:r>
    </w:p>
    <w:p w14:paraId="58D1F09F" w14:textId="77777777" w:rsidR="00BB77C0" w:rsidRDefault="00BB77C0">
      <w:pPr>
        <w:pStyle w:val="BodyText"/>
        <w:spacing w:before="252"/>
      </w:pPr>
    </w:p>
    <w:p w14:paraId="0908EEC3" w14:textId="77777777" w:rsidR="00BB77C0" w:rsidRDefault="00370BAA">
      <w:pPr>
        <w:pStyle w:val="ListParagraph"/>
        <w:numPr>
          <w:ilvl w:val="0"/>
          <w:numId w:val="38"/>
        </w:numPr>
        <w:tabs>
          <w:tab w:val="left" w:pos="1022"/>
        </w:tabs>
        <w:spacing w:before="1"/>
        <w:ind w:hanging="571"/>
      </w:pPr>
      <w:r>
        <w:rPr>
          <w:color w:val="211F1F"/>
        </w:rPr>
        <w:t>NOW,</w:t>
      </w:r>
      <w:r>
        <w:rPr>
          <w:color w:val="211F1F"/>
          <w:spacing w:val="44"/>
        </w:rPr>
        <w:t xml:space="preserve"> </w:t>
      </w:r>
      <w:r>
        <w:rPr>
          <w:color w:val="211F1F"/>
        </w:rPr>
        <w:t>THEREFORE,</w:t>
      </w:r>
      <w:r>
        <w:rPr>
          <w:color w:val="211F1F"/>
          <w:spacing w:val="45"/>
        </w:rPr>
        <w:t xml:space="preserve"> </w:t>
      </w:r>
      <w:r>
        <w:rPr>
          <w:color w:val="211F1F"/>
        </w:rPr>
        <w:t>THE</w:t>
      </w:r>
      <w:r>
        <w:rPr>
          <w:color w:val="211F1F"/>
          <w:spacing w:val="41"/>
        </w:rPr>
        <w:t xml:space="preserve"> </w:t>
      </w:r>
      <w:r>
        <w:rPr>
          <w:color w:val="211F1F"/>
        </w:rPr>
        <w:t>CONDITION</w:t>
      </w:r>
      <w:r>
        <w:rPr>
          <w:color w:val="211F1F"/>
          <w:spacing w:val="46"/>
        </w:rPr>
        <w:t xml:space="preserve"> </w:t>
      </w:r>
      <w:r>
        <w:rPr>
          <w:color w:val="211F1F"/>
        </w:rPr>
        <w:t>OF</w:t>
      </w:r>
      <w:r>
        <w:rPr>
          <w:color w:val="211F1F"/>
          <w:spacing w:val="39"/>
        </w:rPr>
        <w:t xml:space="preserve"> </w:t>
      </w:r>
      <w:r>
        <w:rPr>
          <w:color w:val="211F1F"/>
        </w:rPr>
        <w:t>THIS</w:t>
      </w:r>
      <w:r>
        <w:rPr>
          <w:color w:val="211F1F"/>
          <w:spacing w:val="49"/>
        </w:rPr>
        <w:t xml:space="preserve"> </w:t>
      </w:r>
      <w:r>
        <w:rPr>
          <w:color w:val="211F1F"/>
        </w:rPr>
        <w:t>OBLIGATION</w:t>
      </w:r>
      <w:r>
        <w:rPr>
          <w:color w:val="211F1F"/>
          <w:spacing w:val="46"/>
        </w:rPr>
        <w:t xml:space="preserve"> </w:t>
      </w:r>
      <w:r>
        <w:rPr>
          <w:color w:val="211F1F"/>
        </w:rPr>
        <w:t>is</w:t>
      </w:r>
      <w:r>
        <w:rPr>
          <w:color w:val="211F1F"/>
          <w:spacing w:val="47"/>
        </w:rPr>
        <w:t xml:space="preserve"> </w:t>
      </w:r>
      <w:r>
        <w:rPr>
          <w:color w:val="211F1F"/>
        </w:rPr>
        <w:t>such</w:t>
      </w:r>
      <w:r>
        <w:rPr>
          <w:color w:val="211F1F"/>
          <w:spacing w:val="41"/>
        </w:rPr>
        <w:t xml:space="preserve"> </w:t>
      </w:r>
      <w:r>
        <w:rPr>
          <w:color w:val="211F1F"/>
        </w:rPr>
        <w:t>that</w:t>
      </w:r>
      <w:r>
        <w:rPr>
          <w:color w:val="211F1F"/>
          <w:spacing w:val="53"/>
        </w:rPr>
        <w:t xml:space="preserve"> </w:t>
      </w:r>
      <w:r>
        <w:rPr>
          <w:color w:val="211F1F"/>
        </w:rPr>
        <w:t>if</w:t>
      </w:r>
      <w:r>
        <w:rPr>
          <w:color w:val="211F1F"/>
          <w:spacing w:val="-2"/>
        </w:rPr>
        <w:t xml:space="preserve"> </w:t>
      </w:r>
      <w:r>
        <w:rPr>
          <w:color w:val="211F1F"/>
        </w:rPr>
        <w:t>the</w:t>
      </w:r>
      <w:r>
        <w:rPr>
          <w:color w:val="211F1F"/>
          <w:spacing w:val="45"/>
        </w:rPr>
        <w:t xml:space="preserve"> </w:t>
      </w:r>
      <w:r>
        <w:rPr>
          <w:color w:val="211F1F"/>
          <w:spacing w:val="-2"/>
        </w:rPr>
        <w:t>Applicant:</w:t>
      </w:r>
    </w:p>
    <w:p w14:paraId="36BC7101" w14:textId="77777777" w:rsidR="00BB77C0" w:rsidRDefault="00370BAA">
      <w:pPr>
        <w:pStyle w:val="ListParagraph"/>
        <w:numPr>
          <w:ilvl w:val="1"/>
          <w:numId w:val="38"/>
        </w:numPr>
        <w:tabs>
          <w:tab w:val="left" w:pos="1582"/>
          <w:tab w:val="left" w:pos="1594"/>
        </w:tabs>
        <w:spacing w:before="251"/>
        <w:ind w:right="529" w:hanging="356"/>
        <w:jc w:val="both"/>
      </w:pPr>
      <w:r>
        <w:rPr>
          <w:color w:val="211F1F"/>
        </w:rPr>
        <w:t>has</w:t>
      </w:r>
      <w:r>
        <w:rPr>
          <w:color w:val="211F1F"/>
          <w:spacing w:val="40"/>
        </w:rPr>
        <w:t xml:space="preserve"> </w:t>
      </w:r>
      <w:r>
        <w:rPr>
          <w:color w:val="211F1F"/>
        </w:rPr>
        <w:t>withdrawn</w:t>
      </w:r>
      <w:r>
        <w:rPr>
          <w:color w:val="211F1F"/>
          <w:spacing w:val="40"/>
        </w:rPr>
        <w:t xml:space="preserve"> </w:t>
      </w:r>
      <w:r>
        <w:rPr>
          <w:color w:val="211F1F"/>
        </w:rPr>
        <w:t>its</w:t>
      </w:r>
      <w:r>
        <w:rPr>
          <w:color w:val="211F1F"/>
          <w:spacing w:val="40"/>
        </w:rPr>
        <w:t xml:space="preserve"> </w:t>
      </w:r>
      <w:r>
        <w:rPr>
          <w:color w:val="211F1F"/>
        </w:rPr>
        <w:t>Tender</w:t>
      </w:r>
      <w:r>
        <w:rPr>
          <w:color w:val="211F1F"/>
          <w:spacing w:val="40"/>
        </w:rPr>
        <w:t xml:space="preserve"> </w:t>
      </w:r>
      <w:r>
        <w:rPr>
          <w:color w:val="211F1F"/>
        </w:rPr>
        <w:t>during</w:t>
      </w:r>
      <w:r>
        <w:rPr>
          <w:color w:val="211F1F"/>
          <w:spacing w:val="40"/>
        </w:rPr>
        <w:t xml:space="preserve"> </w:t>
      </w:r>
      <w:r>
        <w:rPr>
          <w:color w:val="211F1F"/>
        </w:rPr>
        <w:t>the</w:t>
      </w:r>
      <w:r>
        <w:rPr>
          <w:color w:val="211F1F"/>
          <w:spacing w:val="40"/>
        </w:rPr>
        <w:t xml:space="preserve"> </w:t>
      </w:r>
      <w:r>
        <w:rPr>
          <w:color w:val="211F1F"/>
        </w:rPr>
        <w:t>period</w:t>
      </w:r>
      <w:r>
        <w:rPr>
          <w:color w:val="211F1F"/>
          <w:spacing w:val="40"/>
        </w:rPr>
        <w:t xml:space="preserve"> </w:t>
      </w:r>
      <w:r>
        <w:rPr>
          <w:color w:val="211F1F"/>
        </w:rPr>
        <w:t>of</w:t>
      </w:r>
      <w:r>
        <w:rPr>
          <w:color w:val="211F1F"/>
          <w:spacing w:val="40"/>
        </w:rPr>
        <w:t xml:space="preserve"> </w:t>
      </w:r>
      <w:r>
        <w:rPr>
          <w:color w:val="211F1F"/>
        </w:rPr>
        <w:t>Tender</w:t>
      </w:r>
      <w:r>
        <w:rPr>
          <w:color w:val="211F1F"/>
          <w:spacing w:val="40"/>
        </w:rPr>
        <w:t xml:space="preserve"> </w:t>
      </w:r>
      <w:r>
        <w:rPr>
          <w:color w:val="211F1F"/>
        </w:rPr>
        <w:t>validity</w:t>
      </w:r>
      <w:r>
        <w:rPr>
          <w:color w:val="211F1F"/>
          <w:spacing w:val="40"/>
        </w:rPr>
        <w:t xml:space="preserve"> </w:t>
      </w:r>
      <w:r>
        <w:rPr>
          <w:color w:val="211F1F"/>
        </w:rPr>
        <w:t>set</w:t>
      </w:r>
      <w:r>
        <w:rPr>
          <w:color w:val="211F1F"/>
          <w:spacing w:val="40"/>
        </w:rPr>
        <w:t xml:space="preserve"> </w:t>
      </w:r>
      <w:r>
        <w:rPr>
          <w:color w:val="211F1F"/>
        </w:rPr>
        <w:t>forth</w:t>
      </w:r>
      <w:r>
        <w:rPr>
          <w:color w:val="211F1F"/>
          <w:spacing w:val="40"/>
        </w:rPr>
        <w:t xml:space="preserve"> </w:t>
      </w:r>
      <w:r>
        <w:rPr>
          <w:color w:val="211F1F"/>
        </w:rPr>
        <w:t>in</w:t>
      </w:r>
      <w:r>
        <w:rPr>
          <w:color w:val="211F1F"/>
          <w:spacing w:val="40"/>
        </w:rPr>
        <w:t xml:space="preserve"> </w:t>
      </w:r>
      <w:r>
        <w:rPr>
          <w:color w:val="211F1F"/>
        </w:rPr>
        <w:t>the</w:t>
      </w:r>
      <w:r>
        <w:rPr>
          <w:color w:val="211F1F"/>
          <w:spacing w:val="40"/>
        </w:rPr>
        <w:t xml:space="preserve"> </w:t>
      </w:r>
      <w:r>
        <w:rPr>
          <w:color w:val="211F1F"/>
        </w:rPr>
        <w:t>Principal's</w:t>
      </w:r>
      <w:r>
        <w:rPr>
          <w:color w:val="211F1F"/>
          <w:spacing w:val="40"/>
        </w:rPr>
        <w:t xml:space="preserve"> </w:t>
      </w:r>
      <w:r>
        <w:rPr>
          <w:color w:val="211F1F"/>
        </w:rPr>
        <w:t>Letter</w:t>
      </w:r>
      <w:r>
        <w:rPr>
          <w:color w:val="211F1F"/>
          <w:spacing w:val="40"/>
        </w:rPr>
        <w:t xml:space="preserve"> </w:t>
      </w:r>
      <w:r>
        <w:rPr>
          <w:color w:val="211F1F"/>
        </w:rPr>
        <w:t>of Tender</w:t>
      </w:r>
      <w:r>
        <w:rPr>
          <w:color w:val="211F1F"/>
          <w:spacing w:val="40"/>
        </w:rPr>
        <w:t xml:space="preserve"> </w:t>
      </w:r>
      <w:r>
        <w:rPr>
          <w:color w:val="211F1F"/>
        </w:rPr>
        <w:t>(“the</w:t>
      </w:r>
      <w:r>
        <w:rPr>
          <w:color w:val="211F1F"/>
          <w:spacing w:val="40"/>
        </w:rPr>
        <w:t xml:space="preserve"> </w:t>
      </w:r>
      <w:r>
        <w:rPr>
          <w:color w:val="211F1F"/>
        </w:rPr>
        <w:t>Tender</w:t>
      </w:r>
      <w:r>
        <w:rPr>
          <w:color w:val="211F1F"/>
          <w:spacing w:val="40"/>
        </w:rPr>
        <w:t xml:space="preserve"> </w:t>
      </w:r>
      <w:r>
        <w:rPr>
          <w:color w:val="211F1F"/>
        </w:rPr>
        <w:t>Validity</w:t>
      </w:r>
      <w:r>
        <w:rPr>
          <w:color w:val="211F1F"/>
          <w:spacing w:val="40"/>
        </w:rPr>
        <w:t xml:space="preserve"> </w:t>
      </w:r>
      <w:r>
        <w:rPr>
          <w:color w:val="211F1F"/>
        </w:rPr>
        <w:t>Period”),</w:t>
      </w:r>
      <w:r>
        <w:rPr>
          <w:color w:val="211F1F"/>
          <w:spacing w:val="40"/>
        </w:rPr>
        <w:t xml:space="preserve"> </w:t>
      </w:r>
      <w:r>
        <w:rPr>
          <w:color w:val="211F1F"/>
        </w:rPr>
        <w:t>or</w:t>
      </w:r>
      <w:r>
        <w:rPr>
          <w:color w:val="211F1F"/>
          <w:spacing w:val="40"/>
        </w:rPr>
        <w:t xml:space="preserve"> </w:t>
      </w:r>
      <w:r>
        <w:rPr>
          <w:color w:val="211F1F"/>
        </w:rPr>
        <w:t>any</w:t>
      </w:r>
      <w:r>
        <w:rPr>
          <w:color w:val="211F1F"/>
          <w:spacing w:val="40"/>
        </w:rPr>
        <w:t xml:space="preserve"> </w:t>
      </w:r>
      <w:r>
        <w:rPr>
          <w:color w:val="211F1F"/>
        </w:rPr>
        <w:t>extension</w:t>
      </w:r>
      <w:r>
        <w:rPr>
          <w:color w:val="211F1F"/>
          <w:spacing w:val="40"/>
        </w:rPr>
        <w:t xml:space="preserve"> </w:t>
      </w:r>
      <w:r>
        <w:rPr>
          <w:color w:val="211F1F"/>
        </w:rPr>
        <w:t>thereto</w:t>
      </w:r>
      <w:r>
        <w:rPr>
          <w:color w:val="211F1F"/>
          <w:spacing w:val="40"/>
        </w:rPr>
        <w:t xml:space="preserve"> </w:t>
      </w:r>
      <w:r>
        <w:rPr>
          <w:color w:val="211F1F"/>
        </w:rPr>
        <w:t>provided</w:t>
      </w:r>
      <w:r>
        <w:rPr>
          <w:color w:val="211F1F"/>
          <w:spacing w:val="40"/>
        </w:rPr>
        <w:t xml:space="preserve"> </w:t>
      </w:r>
      <w:r>
        <w:rPr>
          <w:color w:val="211F1F"/>
        </w:rPr>
        <w:t>by</w:t>
      </w:r>
      <w:r>
        <w:rPr>
          <w:color w:val="211F1F"/>
          <w:spacing w:val="40"/>
        </w:rPr>
        <w:t xml:space="preserve"> </w:t>
      </w:r>
      <w:r>
        <w:rPr>
          <w:color w:val="211F1F"/>
        </w:rPr>
        <w:t>the</w:t>
      </w:r>
      <w:r>
        <w:rPr>
          <w:color w:val="211F1F"/>
          <w:spacing w:val="40"/>
        </w:rPr>
        <w:t xml:space="preserve"> </w:t>
      </w:r>
      <w:r>
        <w:rPr>
          <w:color w:val="211F1F"/>
        </w:rPr>
        <w:t>Principal;</w:t>
      </w:r>
      <w:r>
        <w:rPr>
          <w:color w:val="211F1F"/>
          <w:spacing w:val="40"/>
        </w:rPr>
        <w:t xml:space="preserve"> </w:t>
      </w:r>
      <w:r>
        <w:rPr>
          <w:color w:val="211F1F"/>
        </w:rPr>
        <w:t>or</w:t>
      </w:r>
    </w:p>
    <w:p w14:paraId="7647F5BF" w14:textId="77777777" w:rsidR="00BB77C0" w:rsidRDefault="00BB77C0">
      <w:pPr>
        <w:pStyle w:val="BodyText"/>
      </w:pPr>
    </w:p>
    <w:p w14:paraId="41AB9E0B" w14:textId="77777777" w:rsidR="00BB77C0" w:rsidRDefault="00370BAA">
      <w:pPr>
        <w:pStyle w:val="ListParagraph"/>
        <w:numPr>
          <w:ilvl w:val="1"/>
          <w:numId w:val="38"/>
        </w:numPr>
        <w:tabs>
          <w:tab w:val="left" w:pos="1583"/>
          <w:tab w:val="left" w:pos="1594"/>
        </w:tabs>
        <w:ind w:right="530" w:hanging="356"/>
        <w:jc w:val="both"/>
      </w:pPr>
      <w:r>
        <w:rPr>
          <w:color w:val="211F1F"/>
        </w:rPr>
        <w:t>having</w:t>
      </w:r>
      <w:r>
        <w:rPr>
          <w:color w:val="211F1F"/>
          <w:spacing w:val="40"/>
        </w:rPr>
        <w:t xml:space="preserve"> </w:t>
      </w:r>
      <w:r>
        <w:rPr>
          <w:color w:val="211F1F"/>
        </w:rPr>
        <w:t>been</w:t>
      </w:r>
      <w:r>
        <w:rPr>
          <w:color w:val="211F1F"/>
          <w:spacing w:val="40"/>
        </w:rPr>
        <w:t xml:space="preserve"> </w:t>
      </w:r>
      <w:r>
        <w:rPr>
          <w:color w:val="211F1F"/>
        </w:rPr>
        <w:t>notified</w:t>
      </w:r>
      <w:r>
        <w:rPr>
          <w:color w:val="211F1F"/>
          <w:spacing w:val="40"/>
        </w:rPr>
        <w:t xml:space="preserve"> </w:t>
      </w:r>
      <w:r>
        <w:rPr>
          <w:color w:val="211F1F"/>
        </w:rPr>
        <w:t>of</w:t>
      </w:r>
      <w:r>
        <w:rPr>
          <w:color w:val="211F1F"/>
          <w:spacing w:val="40"/>
        </w:rPr>
        <w:t xml:space="preserve"> </w:t>
      </w:r>
      <w:r>
        <w:rPr>
          <w:color w:val="211F1F"/>
        </w:rPr>
        <w:t>the</w:t>
      </w:r>
      <w:r>
        <w:rPr>
          <w:color w:val="211F1F"/>
          <w:spacing w:val="40"/>
        </w:rPr>
        <w:t xml:space="preserve"> </w:t>
      </w:r>
      <w:r>
        <w:rPr>
          <w:color w:val="211F1F"/>
        </w:rPr>
        <w:t>acceptance</w:t>
      </w:r>
      <w:r>
        <w:rPr>
          <w:color w:val="211F1F"/>
          <w:spacing w:val="40"/>
        </w:rPr>
        <w:t xml:space="preserve"> </w:t>
      </w:r>
      <w:r>
        <w:rPr>
          <w:color w:val="211F1F"/>
        </w:rPr>
        <w:t>of</w:t>
      </w:r>
      <w:r>
        <w:rPr>
          <w:color w:val="211F1F"/>
          <w:spacing w:val="40"/>
        </w:rPr>
        <w:t xml:space="preserve"> </w:t>
      </w:r>
      <w:r>
        <w:rPr>
          <w:color w:val="211F1F"/>
        </w:rPr>
        <w:t>its</w:t>
      </w:r>
      <w:r>
        <w:rPr>
          <w:color w:val="211F1F"/>
          <w:spacing w:val="40"/>
        </w:rPr>
        <w:t xml:space="preserve"> </w:t>
      </w:r>
      <w:r>
        <w:rPr>
          <w:color w:val="211F1F"/>
        </w:rPr>
        <w:t>Tender</w:t>
      </w:r>
      <w:r>
        <w:rPr>
          <w:color w:val="211F1F"/>
          <w:spacing w:val="40"/>
        </w:rPr>
        <w:t xml:space="preserve"> </w:t>
      </w:r>
      <w:r>
        <w:rPr>
          <w:color w:val="211F1F"/>
        </w:rPr>
        <w:t>by</w:t>
      </w:r>
      <w:r>
        <w:rPr>
          <w:color w:val="211F1F"/>
          <w:spacing w:val="40"/>
        </w:rPr>
        <w:t xml:space="preserve"> </w:t>
      </w:r>
      <w:r>
        <w:rPr>
          <w:color w:val="211F1F"/>
        </w:rPr>
        <w:t>the</w:t>
      </w:r>
      <w:r>
        <w:rPr>
          <w:color w:val="211F1F"/>
          <w:spacing w:val="40"/>
        </w:rPr>
        <w:t xml:space="preserve"> </w:t>
      </w:r>
      <w:r>
        <w:rPr>
          <w:color w:val="211F1F"/>
        </w:rPr>
        <w:t>Procuring</w:t>
      </w:r>
      <w:r>
        <w:rPr>
          <w:color w:val="211F1F"/>
          <w:spacing w:val="40"/>
        </w:rPr>
        <w:t xml:space="preserve"> </w:t>
      </w:r>
      <w:r>
        <w:rPr>
          <w:color w:val="211F1F"/>
        </w:rPr>
        <w:t>Entity</w:t>
      </w:r>
      <w:r>
        <w:rPr>
          <w:color w:val="211F1F"/>
          <w:spacing w:val="40"/>
        </w:rPr>
        <w:t xml:space="preserve"> </w:t>
      </w:r>
      <w:r>
        <w:rPr>
          <w:color w:val="211F1F"/>
        </w:rPr>
        <w:t>during</w:t>
      </w:r>
      <w:r>
        <w:rPr>
          <w:color w:val="211F1F"/>
          <w:spacing w:val="40"/>
        </w:rPr>
        <w:t xml:space="preserve"> </w:t>
      </w:r>
      <w:r>
        <w:rPr>
          <w:color w:val="211F1F"/>
        </w:rPr>
        <w:t>the</w:t>
      </w:r>
      <w:r>
        <w:rPr>
          <w:color w:val="211F1F"/>
          <w:spacing w:val="40"/>
        </w:rPr>
        <w:t xml:space="preserve"> </w:t>
      </w:r>
      <w:r>
        <w:rPr>
          <w:color w:val="211F1F"/>
        </w:rPr>
        <w:t>Tender Validity Period or any extension thereto provided by the Principal; (i) failed to execute the Contract agreement;</w:t>
      </w:r>
      <w:r>
        <w:rPr>
          <w:color w:val="211F1F"/>
          <w:spacing w:val="40"/>
        </w:rPr>
        <w:t xml:space="preserve"> </w:t>
      </w:r>
      <w:r>
        <w:rPr>
          <w:color w:val="211F1F"/>
        </w:rPr>
        <w:t>or</w:t>
      </w:r>
      <w:r>
        <w:rPr>
          <w:color w:val="211F1F"/>
          <w:spacing w:val="40"/>
        </w:rPr>
        <w:t xml:space="preserve"> </w:t>
      </w:r>
      <w:r>
        <w:rPr>
          <w:color w:val="211F1F"/>
        </w:rPr>
        <w:t>(ii)</w:t>
      </w:r>
      <w:r>
        <w:rPr>
          <w:color w:val="211F1F"/>
          <w:spacing w:val="40"/>
        </w:rPr>
        <w:t xml:space="preserve"> </w:t>
      </w:r>
      <w:r>
        <w:rPr>
          <w:color w:val="211F1F"/>
        </w:rPr>
        <w:t>has</w:t>
      </w:r>
      <w:r>
        <w:rPr>
          <w:color w:val="211F1F"/>
          <w:spacing w:val="40"/>
        </w:rPr>
        <w:t xml:space="preserve"> </w:t>
      </w:r>
      <w:r>
        <w:rPr>
          <w:color w:val="211F1F"/>
        </w:rPr>
        <w:t>failed</w:t>
      </w:r>
      <w:r>
        <w:rPr>
          <w:color w:val="211F1F"/>
          <w:spacing w:val="38"/>
        </w:rPr>
        <w:t xml:space="preserve"> </w:t>
      </w:r>
      <w:r>
        <w:rPr>
          <w:color w:val="211F1F"/>
        </w:rPr>
        <w:t>to</w:t>
      </w:r>
      <w:r>
        <w:rPr>
          <w:color w:val="211F1F"/>
          <w:spacing w:val="38"/>
        </w:rPr>
        <w:t xml:space="preserve"> </w:t>
      </w:r>
      <w:r>
        <w:rPr>
          <w:color w:val="211F1F"/>
        </w:rPr>
        <w:t>furnish</w:t>
      </w:r>
      <w:r>
        <w:rPr>
          <w:color w:val="211F1F"/>
          <w:spacing w:val="39"/>
        </w:rPr>
        <w:t xml:space="preserve"> </w:t>
      </w:r>
      <w:r>
        <w:rPr>
          <w:color w:val="211F1F"/>
        </w:rPr>
        <w:t>the</w:t>
      </w:r>
      <w:r>
        <w:rPr>
          <w:color w:val="211F1F"/>
          <w:spacing w:val="36"/>
        </w:rPr>
        <w:t xml:space="preserve"> </w:t>
      </w:r>
      <w:r>
        <w:rPr>
          <w:color w:val="211F1F"/>
        </w:rPr>
        <w:t>Performance</w:t>
      </w:r>
      <w:r>
        <w:rPr>
          <w:color w:val="211F1F"/>
          <w:spacing w:val="37"/>
        </w:rPr>
        <w:t xml:space="preserve"> </w:t>
      </w:r>
      <w:r>
        <w:rPr>
          <w:color w:val="211F1F"/>
        </w:rPr>
        <w:t>Security,</w:t>
      </w:r>
      <w:r>
        <w:rPr>
          <w:color w:val="211F1F"/>
          <w:spacing w:val="40"/>
        </w:rPr>
        <w:t xml:space="preserve"> </w:t>
      </w:r>
      <w:r>
        <w:rPr>
          <w:color w:val="211F1F"/>
        </w:rPr>
        <w:t>in</w:t>
      </w:r>
      <w:r>
        <w:rPr>
          <w:color w:val="211F1F"/>
          <w:spacing w:val="38"/>
        </w:rPr>
        <w:t xml:space="preserve"> </w:t>
      </w:r>
      <w:r>
        <w:rPr>
          <w:color w:val="211F1F"/>
        </w:rPr>
        <w:t>accordance</w:t>
      </w:r>
      <w:r>
        <w:rPr>
          <w:color w:val="211F1F"/>
          <w:spacing w:val="40"/>
        </w:rPr>
        <w:t xml:space="preserve"> </w:t>
      </w:r>
      <w:r>
        <w:rPr>
          <w:color w:val="211F1F"/>
        </w:rPr>
        <w:t>with</w:t>
      </w:r>
      <w:r>
        <w:rPr>
          <w:color w:val="211F1F"/>
          <w:spacing w:val="38"/>
        </w:rPr>
        <w:t xml:space="preserve"> </w:t>
      </w:r>
      <w:r>
        <w:rPr>
          <w:color w:val="211F1F"/>
        </w:rPr>
        <w:t>the</w:t>
      </w:r>
      <w:r>
        <w:rPr>
          <w:color w:val="211F1F"/>
          <w:spacing w:val="36"/>
        </w:rPr>
        <w:t xml:space="preserve"> </w:t>
      </w:r>
      <w:r>
        <w:rPr>
          <w:color w:val="211F1F"/>
        </w:rPr>
        <w:t>Instructions to</w:t>
      </w:r>
      <w:r>
        <w:rPr>
          <w:color w:val="211F1F"/>
          <w:spacing w:val="40"/>
        </w:rPr>
        <w:t xml:space="preserve"> </w:t>
      </w:r>
      <w:r>
        <w:rPr>
          <w:color w:val="211F1F"/>
        </w:rPr>
        <w:t>tenderers</w:t>
      </w:r>
      <w:r>
        <w:rPr>
          <w:color w:val="211F1F"/>
          <w:spacing w:val="40"/>
        </w:rPr>
        <w:t xml:space="preserve"> </w:t>
      </w:r>
      <w:r>
        <w:rPr>
          <w:color w:val="211F1F"/>
        </w:rPr>
        <w:t>(“ITT”)</w:t>
      </w:r>
      <w:r>
        <w:rPr>
          <w:color w:val="211F1F"/>
          <w:spacing w:val="40"/>
        </w:rPr>
        <w:t xml:space="preserve"> </w:t>
      </w:r>
      <w:r>
        <w:rPr>
          <w:color w:val="211F1F"/>
        </w:rPr>
        <w:t>of</w:t>
      </w:r>
      <w:r>
        <w:rPr>
          <w:color w:val="211F1F"/>
          <w:spacing w:val="40"/>
        </w:rPr>
        <w:t xml:space="preserve"> </w:t>
      </w:r>
      <w:r>
        <w:rPr>
          <w:color w:val="211F1F"/>
        </w:rPr>
        <w:t>the</w:t>
      </w:r>
      <w:r>
        <w:rPr>
          <w:color w:val="211F1F"/>
          <w:spacing w:val="40"/>
        </w:rPr>
        <w:t xml:space="preserve"> </w:t>
      </w:r>
      <w:r>
        <w:rPr>
          <w:color w:val="211F1F"/>
        </w:rPr>
        <w:t>Procuring</w:t>
      </w:r>
      <w:r>
        <w:rPr>
          <w:color w:val="211F1F"/>
          <w:spacing w:val="40"/>
        </w:rPr>
        <w:t xml:space="preserve"> </w:t>
      </w:r>
      <w:r>
        <w:rPr>
          <w:color w:val="211F1F"/>
        </w:rPr>
        <w:t>Entity's</w:t>
      </w:r>
      <w:r>
        <w:rPr>
          <w:color w:val="211F1F"/>
          <w:spacing w:val="40"/>
        </w:rPr>
        <w:t xml:space="preserve"> </w:t>
      </w:r>
      <w:r>
        <w:rPr>
          <w:color w:val="211F1F"/>
        </w:rPr>
        <w:t>Tendering</w:t>
      </w:r>
      <w:r>
        <w:rPr>
          <w:color w:val="211F1F"/>
          <w:spacing w:val="40"/>
        </w:rPr>
        <w:t xml:space="preserve"> </w:t>
      </w:r>
      <w:r>
        <w:rPr>
          <w:color w:val="211F1F"/>
        </w:rPr>
        <w:t>document.</w:t>
      </w:r>
    </w:p>
    <w:p w14:paraId="6FDAD6FF" w14:textId="77777777" w:rsidR="00BB77C0" w:rsidRDefault="00BB77C0">
      <w:pPr>
        <w:pStyle w:val="BodyText"/>
        <w:spacing w:before="2"/>
      </w:pPr>
    </w:p>
    <w:p w14:paraId="3976EE05" w14:textId="77777777" w:rsidR="00BB77C0" w:rsidRDefault="00370BAA">
      <w:pPr>
        <w:pStyle w:val="BodyText"/>
        <w:ind w:left="1032" w:right="520" w:hanging="10"/>
        <w:jc w:val="both"/>
      </w:pPr>
      <w:r>
        <w:rPr>
          <w:color w:val="211F1F"/>
        </w:rPr>
        <w:t>then</w:t>
      </w:r>
      <w:r>
        <w:rPr>
          <w:color w:val="211F1F"/>
          <w:spacing w:val="40"/>
        </w:rPr>
        <w:t xml:space="preserve"> </w:t>
      </w:r>
      <w:r>
        <w:rPr>
          <w:color w:val="211F1F"/>
        </w:rPr>
        <w:t>the</w:t>
      </w:r>
      <w:r>
        <w:rPr>
          <w:color w:val="211F1F"/>
          <w:spacing w:val="40"/>
        </w:rPr>
        <w:t xml:space="preserve"> </w:t>
      </w:r>
      <w:r>
        <w:rPr>
          <w:color w:val="211F1F"/>
        </w:rPr>
        <w:t>guarantee</w:t>
      </w:r>
      <w:r>
        <w:rPr>
          <w:color w:val="211F1F"/>
          <w:spacing w:val="40"/>
        </w:rPr>
        <w:t xml:space="preserve"> </w:t>
      </w:r>
      <w:r>
        <w:rPr>
          <w:color w:val="211F1F"/>
        </w:rPr>
        <w:t>undertakes</w:t>
      </w:r>
      <w:r>
        <w:rPr>
          <w:color w:val="211F1F"/>
          <w:spacing w:val="40"/>
        </w:rPr>
        <w:t xml:space="preserve"> </w:t>
      </w:r>
      <w:r>
        <w:rPr>
          <w:color w:val="211F1F"/>
        </w:rPr>
        <w:t>to</w:t>
      </w:r>
      <w:r>
        <w:rPr>
          <w:color w:val="211F1F"/>
          <w:spacing w:val="40"/>
        </w:rPr>
        <w:t xml:space="preserve"> </w:t>
      </w:r>
      <w:r>
        <w:rPr>
          <w:color w:val="211F1F"/>
        </w:rPr>
        <w:t>immediately</w:t>
      </w:r>
      <w:r>
        <w:rPr>
          <w:color w:val="211F1F"/>
          <w:spacing w:val="40"/>
        </w:rPr>
        <w:t xml:space="preserve"> </w:t>
      </w:r>
      <w:r>
        <w:rPr>
          <w:color w:val="211F1F"/>
        </w:rPr>
        <w:t>pay</w:t>
      </w:r>
      <w:r>
        <w:rPr>
          <w:color w:val="211F1F"/>
          <w:spacing w:val="40"/>
        </w:rPr>
        <w:t xml:space="preserve"> </w:t>
      </w:r>
      <w:r>
        <w:rPr>
          <w:color w:val="211F1F"/>
        </w:rPr>
        <w:t>to</w:t>
      </w:r>
      <w:r>
        <w:rPr>
          <w:color w:val="211F1F"/>
          <w:spacing w:val="40"/>
        </w:rPr>
        <w:t xml:space="preserve"> </w:t>
      </w:r>
      <w:r>
        <w:rPr>
          <w:color w:val="211F1F"/>
        </w:rPr>
        <w:t>the</w:t>
      </w:r>
      <w:r>
        <w:rPr>
          <w:color w:val="211F1F"/>
          <w:spacing w:val="40"/>
        </w:rPr>
        <w:t xml:space="preserve"> </w:t>
      </w:r>
      <w:r>
        <w:rPr>
          <w:color w:val="211F1F"/>
        </w:rPr>
        <w:t>Procuring</w:t>
      </w:r>
      <w:r>
        <w:rPr>
          <w:color w:val="211F1F"/>
          <w:spacing w:val="40"/>
        </w:rPr>
        <w:t xml:space="preserve"> </w:t>
      </w:r>
      <w:r>
        <w:rPr>
          <w:color w:val="211F1F"/>
        </w:rPr>
        <w:t>Entity</w:t>
      </w:r>
      <w:r>
        <w:rPr>
          <w:color w:val="211F1F"/>
          <w:spacing w:val="40"/>
        </w:rPr>
        <w:t xml:space="preserve"> </w:t>
      </w:r>
      <w:r>
        <w:rPr>
          <w:color w:val="211F1F"/>
        </w:rPr>
        <w:t>up</w:t>
      </w:r>
      <w:r>
        <w:rPr>
          <w:color w:val="211F1F"/>
          <w:spacing w:val="40"/>
        </w:rPr>
        <w:t xml:space="preserve"> </w:t>
      </w:r>
      <w:r>
        <w:rPr>
          <w:color w:val="211F1F"/>
        </w:rPr>
        <w:t>to</w:t>
      </w:r>
      <w:r>
        <w:rPr>
          <w:color w:val="211F1F"/>
          <w:spacing w:val="40"/>
        </w:rPr>
        <w:t xml:space="preserve"> </w:t>
      </w:r>
      <w:r>
        <w:rPr>
          <w:color w:val="211F1F"/>
        </w:rPr>
        <w:t>the</w:t>
      </w:r>
      <w:r>
        <w:rPr>
          <w:color w:val="211F1F"/>
          <w:spacing w:val="40"/>
        </w:rPr>
        <w:t xml:space="preserve"> </w:t>
      </w:r>
      <w:r>
        <w:rPr>
          <w:color w:val="211F1F"/>
        </w:rPr>
        <w:t>above</w:t>
      </w:r>
      <w:r>
        <w:rPr>
          <w:color w:val="211F1F"/>
          <w:spacing w:val="40"/>
        </w:rPr>
        <w:t xml:space="preserve"> </w:t>
      </w:r>
      <w:r>
        <w:rPr>
          <w:color w:val="211F1F"/>
        </w:rPr>
        <w:t>amount</w:t>
      </w:r>
      <w:r>
        <w:rPr>
          <w:color w:val="211F1F"/>
          <w:spacing w:val="40"/>
        </w:rPr>
        <w:t xml:space="preserve"> </w:t>
      </w:r>
      <w:r>
        <w:rPr>
          <w:color w:val="211F1F"/>
        </w:rPr>
        <w:t>upon receipt</w:t>
      </w:r>
      <w:r>
        <w:rPr>
          <w:color w:val="211F1F"/>
          <w:spacing w:val="40"/>
        </w:rPr>
        <w:t xml:space="preserve"> </w:t>
      </w:r>
      <w:r>
        <w:rPr>
          <w:color w:val="211F1F"/>
        </w:rPr>
        <w:t>of</w:t>
      </w:r>
      <w:r>
        <w:rPr>
          <w:color w:val="211F1F"/>
          <w:spacing w:val="40"/>
        </w:rPr>
        <w:t xml:space="preserve"> </w:t>
      </w:r>
      <w:r>
        <w:rPr>
          <w:color w:val="211F1F"/>
        </w:rPr>
        <w:t>the</w:t>
      </w:r>
      <w:r>
        <w:rPr>
          <w:color w:val="211F1F"/>
          <w:spacing w:val="40"/>
        </w:rPr>
        <w:t xml:space="preserve"> </w:t>
      </w:r>
      <w:r>
        <w:rPr>
          <w:color w:val="211F1F"/>
        </w:rPr>
        <w:t>Procuring</w:t>
      </w:r>
      <w:r>
        <w:rPr>
          <w:color w:val="211F1F"/>
          <w:spacing w:val="40"/>
        </w:rPr>
        <w:t xml:space="preserve"> </w:t>
      </w:r>
      <w:r>
        <w:rPr>
          <w:color w:val="211F1F"/>
        </w:rPr>
        <w:t>Entity's</w:t>
      </w:r>
      <w:r>
        <w:rPr>
          <w:color w:val="211F1F"/>
          <w:spacing w:val="40"/>
        </w:rPr>
        <w:t xml:space="preserve"> </w:t>
      </w:r>
      <w:r>
        <w:rPr>
          <w:color w:val="211F1F"/>
        </w:rPr>
        <w:t>first</w:t>
      </w:r>
      <w:r>
        <w:rPr>
          <w:color w:val="211F1F"/>
          <w:spacing w:val="40"/>
        </w:rPr>
        <w:t xml:space="preserve"> </w:t>
      </w:r>
      <w:r>
        <w:rPr>
          <w:color w:val="211F1F"/>
        </w:rPr>
        <w:t>written</w:t>
      </w:r>
      <w:r>
        <w:rPr>
          <w:color w:val="211F1F"/>
          <w:spacing w:val="40"/>
        </w:rPr>
        <w:t xml:space="preserve"> </w:t>
      </w:r>
      <w:r>
        <w:rPr>
          <w:color w:val="211F1F"/>
        </w:rPr>
        <w:t>demand,</w:t>
      </w:r>
      <w:r>
        <w:rPr>
          <w:color w:val="211F1F"/>
          <w:spacing w:val="40"/>
        </w:rPr>
        <w:t xml:space="preserve"> </w:t>
      </w:r>
      <w:r>
        <w:rPr>
          <w:color w:val="211F1F"/>
        </w:rPr>
        <w:t>without</w:t>
      </w:r>
      <w:r>
        <w:rPr>
          <w:color w:val="211F1F"/>
          <w:spacing w:val="40"/>
        </w:rPr>
        <w:t xml:space="preserve"> </w:t>
      </w:r>
      <w:r>
        <w:rPr>
          <w:color w:val="211F1F"/>
        </w:rPr>
        <w:t>the</w:t>
      </w:r>
      <w:r>
        <w:rPr>
          <w:color w:val="211F1F"/>
          <w:spacing w:val="40"/>
        </w:rPr>
        <w:t xml:space="preserve"> </w:t>
      </w:r>
      <w:r>
        <w:rPr>
          <w:color w:val="211F1F"/>
        </w:rPr>
        <w:t>Procuring</w:t>
      </w:r>
      <w:r>
        <w:rPr>
          <w:color w:val="211F1F"/>
          <w:spacing w:val="40"/>
        </w:rPr>
        <w:t xml:space="preserve"> </w:t>
      </w:r>
      <w:r>
        <w:rPr>
          <w:color w:val="211F1F"/>
        </w:rPr>
        <w:t>Entity</w:t>
      </w:r>
      <w:r>
        <w:rPr>
          <w:color w:val="211F1F"/>
          <w:spacing w:val="40"/>
        </w:rPr>
        <w:t xml:space="preserve"> </w:t>
      </w:r>
      <w:r>
        <w:rPr>
          <w:color w:val="211F1F"/>
        </w:rPr>
        <w:t>having</w:t>
      </w:r>
      <w:r>
        <w:rPr>
          <w:color w:val="211F1F"/>
          <w:spacing w:val="40"/>
        </w:rPr>
        <w:t xml:space="preserve"> </w:t>
      </w:r>
      <w:r>
        <w:rPr>
          <w:color w:val="211F1F"/>
        </w:rPr>
        <w:t>to</w:t>
      </w:r>
      <w:r>
        <w:rPr>
          <w:color w:val="211F1F"/>
          <w:spacing w:val="40"/>
        </w:rPr>
        <w:t xml:space="preserve"> </w:t>
      </w:r>
      <w:r>
        <w:rPr>
          <w:color w:val="211F1F"/>
        </w:rPr>
        <w:t>substantiate its demand, provided that in its demand the Procuring Entity shall state that the demand arises from the occurrence</w:t>
      </w:r>
      <w:r>
        <w:rPr>
          <w:color w:val="211F1F"/>
          <w:spacing w:val="40"/>
        </w:rPr>
        <w:t xml:space="preserve"> </w:t>
      </w:r>
      <w:r>
        <w:rPr>
          <w:color w:val="211F1F"/>
        </w:rPr>
        <w:t>of</w:t>
      </w:r>
      <w:r>
        <w:rPr>
          <w:color w:val="211F1F"/>
          <w:spacing w:val="40"/>
        </w:rPr>
        <w:t xml:space="preserve"> </w:t>
      </w:r>
      <w:r>
        <w:rPr>
          <w:color w:val="211F1F"/>
        </w:rPr>
        <w:t>any</w:t>
      </w:r>
      <w:r>
        <w:rPr>
          <w:color w:val="211F1F"/>
          <w:spacing w:val="40"/>
        </w:rPr>
        <w:t xml:space="preserve"> </w:t>
      </w:r>
      <w:r>
        <w:rPr>
          <w:color w:val="211F1F"/>
        </w:rPr>
        <w:t>of</w:t>
      </w:r>
      <w:r>
        <w:rPr>
          <w:color w:val="211F1F"/>
          <w:spacing w:val="40"/>
        </w:rPr>
        <w:t xml:space="preserve"> </w:t>
      </w:r>
      <w:r>
        <w:rPr>
          <w:color w:val="211F1F"/>
        </w:rPr>
        <w:t>the</w:t>
      </w:r>
      <w:r>
        <w:rPr>
          <w:color w:val="211F1F"/>
          <w:spacing w:val="40"/>
        </w:rPr>
        <w:t xml:space="preserve"> </w:t>
      </w:r>
      <w:r>
        <w:rPr>
          <w:color w:val="211F1F"/>
        </w:rPr>
        <w:t>above</w:t>
      </w:r>
      <w:r>
        <w:rPr>
          <w:color w:val="211F1F"/>
          <w:spacing w:val="40"/>
        </w:rPr>
        <w:t xml:space="preserve"> </w:t>
      </w:r>
      <w:r>
        <w:rPr>
          <w:color w:val="211F1F"/>
        </w:rPr>
        <w:t>events,</w:t>
      </w:r>
      <w:r>
        <w:rPr>
          <w:color w:val="211F1F"/>
          <w:spacing w:val="40"/>
        </w:rPr>
        <w:t xml:space="preserve"> </w:t>
      </w:r>
      <w:r>
        <w:rPr>
          <w:color w:val="211F1F"/>
        </w:rPr>
        <w:t>specifying</w:t>
      </w:r>
      <w:r>
        <w:rPr>
          <w:color w:val="211F1F"/>
          <w:spacing w:val="40"/>
        </w:rPr>
        <w:t xml:space="preserve"> </w:t>
      </w:r>
      <w:r>
        <w:rPr>
          <w:color w:val="211F1F"/>
        </w:rPr>
        <w:t>which</w:t>
      </w:r>
      <w:r>
        <w:rPr>
          <w:color w:val="211F1F"/>
          <w:spacing w:val="40"/>
        </w:rPr>
        <w:t xml:space="preserve"> </w:t>
      </w:r>
      <w:r>
        <w:rPr>
          <w:color w:val="211F1F"/>
        </w:rPr>
        <w:t>event(s)</w:t>
      </w:r>
      <w:r>
        <w:rPr>
          <w:color w:val="211F1F"/>
          <w:spacing w:val="40"/>
        </w:rPr>
        <w:t xml:space="preserve"> </w:t>
      </w:r>
      <w:r>
        <w:rPr>
          <w:color w:val="211F1F"/>
        </w:rPr>
        <w:t>has</w:t>
      </w:r>
      <w:r>
        <w:rPr>
          <w:color w:val="211F1F"/>
          <w:spacing w:val="40"/>
        </w:rPr>
        <w:t xml:space="preserve"> </w:t>
      </w:r>
      <w:r>
        <w:rPr>
          <w:color w:val="211F1F"/>
        </w:rPr>
        <w:t>occurred.</w:t>
      </w:r>
    </w:p>
    <w:p w14:paraId="2296198C" w14:textId="77777777" w:rsidR="00BB77C0" w:rsidRDefault="00370BAA">
      <w:pPr>
        <w:pStyle w:val="ListParagraph"/>
        <w:numPr>
          <w:ilvl w:val="0"/>
          <w:numId w:val="38"/>
        </w:numPr>
        <w:tabs>
          <w:tab w:val="left" w:pos="1020"/>
          <w:tab w:val="left" w:pos="1022"/>
        </w:tabs>
        <w:spacing w:before="251"/>
        <w:ind w:right="524"/>
        <w:jc w:val="both"/>
      </w:pPr>
      <w:r>
        <w:rPr>
          <w:color w:val="211F1F"/>
        </w:rPr>
        <w:t>This</w:t>
      </w:r>
      <w:r>
        <w:rPr>
          <w:color w:val="211F1F"/>
          <w:spacing w:val="40"/>
        </w:rPr>
        <w:t xml:space="preserve"> </w:t>
      </w:r>
      <w:r>
        <w:rPr>
          <w:color w:val="211F1F"/>
        </w:rPr>
        <w:t>guarantee</w:t>
      </w:r>
      <w:r>
        <w:rPr>
          <w:color w:val="211F1F"/>
          <w:spacing w:val="40"/>
        </w:rPr>
        <w:t xml:space="preserve"> </w:t>
      </w:r>
      <w:r>
        <w:rPr>
          <w:color w:val="211F1F"/>
        </w:rPr>
        <w:t>will</w:t>
      </w:r>
      <w:r>
        <w:rPr>
          <w:color w:val="211F1F"/>
          <w:spacing w:val="40"/>
        </w:rPr>
        <w:t xml:space="preserve"> </w:t>
      </w:r>
      <w:r>
        <w:rPr>
          <w:color w:val="211F1F"/>
        </w:rPr>
        <w:t>expire:</w:t>
      </w:r>
      <w:r>
        <w:rPr>
          <w:color w:val="211F1F"/>
          <w:spacing w:val="40"/>
        </w:rPr>
        <w:t xml:space="preserve"> </w:t>
      </w:r>
      <w:r>
        <w:rPr>
          <w:color w:val="211F1F"/>
        </w:rPr>
        <w:t>(a)</w:t>
      </w:r>
      <w:r>
        <w:rPr>
          <w:color w:val="211F1F"/>
          <w:spacing w:val="40"/>
        </w:rPr>
        <w:t xml:space="preserve"> </w:t>
      </w:r>
      <w:r>
        <w:rPr>
          <w:color w:val="211F1F"/>
        </w:rPr>
        <w:t>if</w:t>
      </w:r>
      <w:r>
        <w:rPr>
          <w:color w:val="211F1F"/>
          <w:spacing w:val="40"/>
        </w:rPr>
        <w:t xml:space="preserve"> </w:t>
      </w:r>
      <w:r>
        <w:rPr>
          <w:color w:val="211F1F"/>
        </w:rPr>
        <w:t>the</w:t>
      </w:r>
      <w:r>
        <w:rPr>
          <w:color w:val="211F1F"/>
          <w:spacing w:val="40"/>
        </w:rPr>
        <w:t xml:space="preserve"> </w:t>
      </w:r>
      <w:r>
        <w:rPr>
          <w:color w:val="211F1F"/>
        </w:rPr>
        <w:t>Applicant</w:t>
      </w:r>
      <w:r>
        <w:rPr>
          <w:color w:val="211F1F"/>
          <w:spacing w:val="40"/>
        </w:rPr>
        <w:t xml:space="preserve"> </w:t>
      </w:r>
      <w:r>
        <w:rPr>
          <w:color w:val="211F1F"/>
        </w:rPr>
        <w:t>is</w:t>
      </w:r>
      <w:r>
        <w:rPr>
          <w:color w:val="211F1F"/>
          <w:spacing w:val="40"/>
        </w:rPr>
        <w:t xml:space="preserve"> </w:t>
      </w:r>
      <w:r>
        <w:rPr>
          <w:color w:val="211F1F"/>
        </w:rPr>
        <w:t>the</w:t>
      </w:r>
      <w:r>
        <w:rPr>
          <w:color w:val="211F1F"/>
          <w:spacing w:val="40"/>
        </w:rPr>
        <w:t xml:space="preserve"> </w:t>
      </w:r>
      <w:r>
        <w:rPr>
          <w:color w:val="211F1F"/>
        </w:rPr>
        <w:t>successful</w:t>
      </w:r>
      <w:r>
        <w:rPr>
          <w:color w:val="211F1F"/>
          <w:spacing w:val="40"/>
        </w:rPr>
        <w:t xml:space="preserve"> </w:t>
      </w:r>
      <w:r>
        <w:rPr>
          <w:color w:val="211F1F"/>
        </w:rPr>
        <w:t>Tenderer,</w:t>
      </w:r>
      <w:r>
        <w:rPr>
          <w:color w:val="211F1F"/>
          <w:spacing w:val="40"/>
        </w:rPr>
        <w:t xml:space="preserve"> </w:t>
      </w:r>
      <w:r>
        <w:rPr>
          <w:color w:val="211F1F"/>
        </w:rPr>
        <w:t>upon</w:t>
      </w:r>
      <w:r>
        <w:rPr>
          <w:color w:val="211F1F"/>
          <w:spacing w:val="40"/>
        </w:rPr>
        <w:t xml:space="preserve"> </w:t>
      </w:r>
      <w:r>
        <w:rPr>
          <w:color w:val="211F1F"/>
        </w:rPr>
        <w:t>our</w:t>
      </w:r>
      <w:r>
        <w:rPr>
          <w:color w:val="211F1F"/>
          <w:spacing w:val="40"/>
        </w:rPr>
        <w:t xml:space="preserve"> </w:t>
      </w:r>
      <w:r>
        <w:rPr>
          <w:color w:val="211F1F"/>
        </w:rPr>
        <w:t>receipt</w:t>
      </w:r>
      <w:r>
        <w:rPr>
          <w:color w:val="211F1F"/>
          <w:spacing w:val="40"/>
        </w:rPr>
        <w:t xml:space="preserve"> </w:t>
      </w:r>
      <w:r>
        <w:rPr>
          <w:color w:val="211F1F"/>
        </w:rPr>
        <w:t>of</w:t>
      </w:r>
      <w:r>
        <w:rPr>
          <w:color w:val="211F1F"/>
          <w:spacing w:val="40"/>
        </w:rPr>
        <w:t xml:space="preserve"> </w:t>
      </w:r>
      <w:r>
        <w:rPr>
          <w:color w:val="211F1F"/>
        </w:rPr>
        <w:t>copies</w:t>
      </w:r>
      <w:r>
        <w:rPr>
          <w:color w:val="211F1F"/>
          <w:spacing w:val="40"/>
        </w:rPr>
        <w:t xml:space="preserve"> </w:t>
      </w:r>
      <w:r>
        <w:rPr>
          <w:color w:val="211F1F"/>
        </w:rPr>
        <w:t>of the</w:t>
      </w:r>
      <w:r>
        <w:rPr>
          <w:color w:val="211F1F"/>
          <w:spacing w:val="40"/>
        </w:rPr>
        <w:t xml:space="preserve"> </w:t>
      </w:r>
      <w:r>
        <w:rPr>
          <w:color w:val="211F1F"/>
        </w:rPr>
        <w:t>contract</w:t>
      </w:r>
      <w:r>
        <w:rPr>
          <w:color w:val="211F1F"/>
          <w:spacing w:val="40"/>
        </w:rPr>
        <w:t xml:space="preserve"> </w:t>
      </w:r>
      <w:r>
        <w:rPr>
          <w:color w:val="211F1F"/>
        </w:rPr>
        <w:t>agreement</w:t>
      </w:r>
      <w:r>
        <w:rPr>
          <w:color w:val="211F1F"/>
          <w:spacing w:val="40"/>
        </w:rPr>
        <w:t xml:space="preserve"> </w:t>
      </w:r>
      <w:r>
        <w:rPr>
          <w:color w:val="211F1F"/>
        </w:rPr>
        <w:t>signed</w:t>
      </w:r>
      <w:r>
        <w:rPr>
          <w:color w:val="211F1F"/>
          <w:spacing w:val="40"/>
        </w:rPr>
        <w:t xml:space="preserve"> </w:t>
      </w:r>
      <w:r>
        <w:rPr>
          <w:color w:val="211F1F"/>
        </w:rPr>
        <w:t>by</w:t>
      </w:r>
      <w:r>
        <w:rPr>
          <w:color w:val="211F1F"/>
          <w:spacing w:val="40"/>
        </w:rPr>
        <w:t xml:space="preserve"> </w:t>
      </w:r>
      <w:r>
        <w:rPr>
          <w:color w:val="211F1F"/>
        </w:rPr>
        <w:t>the</w:t>
      </w:r>
      <w:r>
        <w:rPr>
          <w:color w:val="211F1F"/>
          <w:spacing w:val="40"/>
        </w:rPr>
        <w:t xml:space="preserve"> </w:t>
      </w:r>
      <w:r>
        <w:rPr>
          <w:color w:val="211F1F"/>
        </w:rPr>
        <w:t>Applicant</w:t>
      </w:r>
      <w:r>
        <w:rPr>
          <w:color w:val="211F1F"/>
          <w:spacing w:val="40"/>
        </w:rPr>
        <w:t xml:space="preserve"> </w:t>
      </w:r>
      <w:r>
        <w:rPr>
          <w:color w:val="211F1F"/>
        </w:rPr>
        <w:t>and</w:t>
      </w:r>
      <w:r>
        <w:rPr>
          <w:color w:val="211F1F"/>
          <w:spacing w:val="40"/>
        </w:rPr>
        <w:t xml:space="preserve"> </w:t>
      </w:r>
      <w:r>
        <w:rPr>
          <w:color w:val="211F1F"/>
        </w:rPr>
        <w:t>the</w:t>
      </w:r>
      <w:r>
        <w:rPr>
          <w:color w:val="211F1F"/>
          <w:spacing w:val="40"/>
        </w:rPr>
        <w:t xml:space="preserve"> </w:t>
      </w:r>
      <w:r>
        <w:rPr>
          <w:color w:val="211F1F"/>
        </w:rPr>
        <w:t>Performance</w:t>
      </w:r>
      <w:r>
        <w:rPr>
          <w:color w:val="211F1F"/>
          <w:spacing w:val="40"/>
        </w:rPr>
        <w:t xml:space="preserve"> </w:t>
      </w:r>
      <w:r>
        <w:rPr>
          <w:color w:val="211F1F"/>
        </w:rPr>
        <w:t>Security</w:t>
      </w:r>
      <w:r>
        <w:rPr>
          <w:color w:val="211F1F"/>
          <w:spacing w:val="40"/>
        </w:rPr>
        <w:t xml:space="preserve"> </w:t>
      </w:r>
      <w:r>
        <w:rPr>
          <w:color w:val="211F1F"/>
        </w:rPr>
        <w:t>and,</w:t>
      </w:r>
      <w:r>
        <w:rPr>
          <w:color w:val="211F1F"/>
          <w:spacing w:val="40"/>
        </w:rPr>
        <w:t xml:space="preserve"> </w:t>
      </w:r>
      <w:r>
        <w:rPr>
          <w:color w:val="211F1F"/>
        </w:rPr>
        <w:t>or</w:t>
      </w:r>
      <w:r>
        <w:rPr>
          <w:color w:val="211F1F"/>
          <w:spacing w:val="40"/>
        </w:rPr>
        <w:t xml:space="preserve"> </w:t>
      </w:r>
      <w:r>
        <w:rPr>
          <w:color w:val="211F1F"/>
        </w:rPr>
        <w:t>(b)</w:t>
      </w:r>
      <w:r>
        <w:rPr>
          <w:color w:val="211F1F"/>
          <w:spacing w:val="40"/>
        </w:rPr>
        <w:t xml:space="preserve"> </w:t>
      </w:r>
      <w:r>
        <w:rPr>
          <w:color w:val="211F1F"/>
        </w:rPr>
        <w:t>if</w:t>
      </w:r>
      <w:r>
        <w:rPr>
          <w:color w:val="211F1F"/>
          <w:spacing w:val="40"/>
        </w:rPr>
        <w:t xml:space="preserve"> </w:t>
      </w:r>
      <w:r>
        <w:rPr>
          <w:color w:val="211F1F"/>
        </w:rPr>
        <w:t>the</w:t>
      </w:r>
      <w:r>
        <w:rPr>
          <w:color w:val="211F1F"/>
          <w:spacing w:val="40"/>
        </w:rPr>
        <w:t xml:space="preserve"> </w:t>
      </w:r>
      <w:r>
        <w:rPr>
          <w:color w:val="211F1F"/>
        </w:rPr>
        <w:t>Applicant is</w:t>
      </w:r>
      <w:r>
        <w:rPr>
          <w:color w:val="211F1F"/>
          <w:spacing w:val="40"/>
        </w:rPr>
        <w:t xml:space="preserve"> </w:t>
      </w:r>
      <w:r>
        <w:rPr>
          <w:color w:val="211F1F"/>
        </w:rPr>
        <w:t>not</w:t>
      </w:r>
      <w:r>
        <w:rPr>
          <w:color w:val="211F1F"/>
          <w:spacing w:val="40"/>
        </w:rPr>
        <w:t xml:space="preserve"> </w:t>
      </w:r>
      <w:r>
        <w:rPr>
          <w:color w:val="211F1F"/>
        </w:rPr>
        <w:t>the</w:t>
      </w:r>
      <w:r>
        <w:rPr>
          <w:color w:val="211F1F"/>
          <w:spacing w:val="34"/>
        </w:rPr>
        <w:t xml:space="preserve"> </w:t>
      </w:r>
      <w:r>
        <w:rPr>
          <w:color w:val="211F1F"/>
        </w:rPr>
        <w:t>successful</w:t>
      </w:r>
      <w:r>
        <w:rPr>
          <w:color w:val="211F1F"/>
          <w:spacing w:val="36"/>
        </w:rPr>
        <w:t xml:space="preserve"> </w:t>
      </w:r>
      <w:r>
        <w:rPr>
          <w:color w:val="211F1F"/>
        </w:rPr>
        <w:t>Tenderer,</w:t>
      </w:r>
      <w:r>
        <w:rPr>
          <w:color w:val="211F1F"/>
          <w:spacing w:val="38"/>
        </w:rPr>
        <w:t xml:space="preserve"> </w:t>
      </w:r>
      <w:r>
        <w:rPr>
          <w:color w:val="211F1F"/>
        </w:rPr>
        <w:t>upon</w:t>
      </w:r>
      <w:r>
        <w:rPr>
          <w:color w:val="211F1F"/>
          <w:spacing w:val="31"/>
        </w:rPr>
        <w:t xml:space="preserve"> </w:t>
      </w:r>
      <w:r>
        <w:rPr>
          <w:color w:val="211F1F"/>
        </w:rPr>
        <w:t>the</w:t>
      </w:r>
      <w:r>
        <w:rPr>
          <w:color w:val="211F1F"/>
          <w:spacing w:val="34"/>
        </w:rPr>
        <w:t xml:space="preserve"> </w:t>
      </w:r>
      <w:r>
        <w:rPr>
          <w:color w:val="211F1F"/>
        </w:rPr>
        <w:t>earlier</w:t>
      </w:r>
      <w:r>
        <w:rPr>
          <w:color w:val="211F1F"/>
          <w:spacing w:val="39"/>
        </w:rPr>
        <w:t xml:space="preserve"> </w:t>
      </w:r>
      <w:r>
        <w:rPr>
          <w:color w:val="211F1F"/>
        </w:rPr>
        <w:t>of</w:t>
      </w:r>
      <w:r>
        <w:rPr>
          <w:color w:val="211F1F"/>
          <w:spacing w:val="34"/>
        </w:rPr>
        <w:t xml:space="preserve"> </w:t>
      </w:r>
      <w:r>
        <w:rPr>
          <w:color w:val="211F1F"/>
        </w:rPr>
        <w:t>(i)</w:t>
      </w:r>
      <w:r>
        <w:rPr>
          <w:color w:val="211F1F"/>
          <w:spacing w:val="38"/>
        </w:rPr>
        <w:t xml:space="preserve"> </w:t>
      </w:r>
      <w:r>
        <w:rPr>
          <w:color w:val="211F1F"/>
        </w:rPr>
        <w:t>our</w:t>
      </w:r>
      <w:r>
        <w:rPr>
          <w:color w:val="211F1F"/>
          <w:spacing w:val="30"/>
        </w:rPr>
        <w:t xml:space="preserve"> </w:t>
      </w:r>
      <w:r>
        <w:rPr>
          <w:color w:val="211F1F"/>
        </w:rPr>
        <w:t>receipt</w:t>
      </w:r>
      <w:r>
        <w:rPr>
          <w:color w:val="211F1F"/>
          <w:spacing w:val="40"/>
        </w:rPr>
        <w:t xml:space="preserve"> </w:t>
      </w:r>
      <w:r>
        <w:rPr>
          <w:color w:val="211F1F"/>
        </w:rPr>
        <w:t>of</w:t>
      </w:r>
      <w:r>
        <w:rPr>
          <w:color w:val="211F1F"/>
          <w:spacing w:val="34"/>
        </w:rPr>
        <w:t xml:space="preserve"> </w:t>
      </w:r>
      <w:r>
        <w:rPr>
          <w:color w:val="211F1F"/>
        </w:rPr>
        <w:t>a</w:t>
      </w:r>
      <w:r>
        <w:rPr>
          <w:color w:val="211F1F"/>
          <w:spacing w:val="37"/>
        </w:rPr>
        <w:t xml:space="preserve"> </w:t>
      </w:r>
      <w:r>
        <w:rPr>
          <w:color w:val="211F1F"/>
        </w:rPr>
        <w:t>copy</w:t>
      </w:r>
      <w:r>
        <w:rPr>
          <w:color w:val="211F1F"/>
          <w:spacing w:val="31"/>
        </w:rPr>
        <w:t xml:space="preserve"> </w:t>
      </w:r>
      <w:r>
        <w:rPr>
          <w:color w:val="211F1F"/>
        </w:rPr>
        <w:t>of</w:t>
      </w:r>
      <w:r>
        <w:rPr>
          <w:color w:val="211F1F"/>
          <w:spacing w:val="34"/>
        </w:rPr>
        <w:t xml:space="preserve"> </w:t>
      </w:r>
      <w:r>
        <w:rPr>
          <w:color w:val="211F1F"/>
        </w:rPr>
        <w:t>the</w:t>
      </w:r>
      <w:r>
        <w:rPr>
          <w:color w:val="211F1F"/>
          <w:spacing w:val="34"/>
        </w:rPr>
        <w:t xml:space="preserve"> </w:t>
      </w:r>
      <w:r>
        <w:rPr>
          <w:color w:val="211F1F"/>
        </w:rPr>
        <w:t>Beneficiary's</w:t>
      </w:r>
      <w:r>
        <w:rPr>
          <w:color w:val="211F1F"/>
          <w:spacing w:val="40"/>
        </w:rPr>
        <w:t xml:space="preserve"> </w:t>
      </w:r>
      <w:r>
        <w:rPr>
          <w:color w:val="211F1F"/>
        </w:rPr>
        <w:t>notification to</w:t>
      </w:r>
      <w:r>
        <w:rPr>
          <w:color w:val="211F1F"/>
          <w:spacing w:val="40"/>
        </w:rPr>
        <w:t xml:space="preserve"> </w:t>
      </w:r>
      <w:r>
        <w:rPr>
          <w:color w:val="211F1F"/>
        </w:rPr>
        <w:t>the</w:t>
      </w:r>
      <w:r>
        <w:rPr>
          <w:color w:val="211F1F"/>
          <w:spacing w:val="40"/>
        </w:rPr>
        <w:t xml:space="preserve"> </w:t>
      </w:r>
      <w:r>
        <w:rPr>
          <w:color w:val="211F1F"/>
        </w:rPr>
        <w:t>Applicant</w:t>
      </w:r>
      <w:r>
        <w:rPr>
          <w:color w:val="211F1F"/>
          <w:spacing w:val="40"/>
        </w:rPr>
        <w:t xml:space="preserve"> </w:t>
      </w:r>
      <w:r>
        <w:rPr>
          <w:color w:val="211F1F"/>
        </w:rPr>
        <w:t>of</w:t>
      </w:r>
      <w:r>
        <w:rPr>
          <w:color w:val="211F1F"/>
          <w:spacing w:val="40"/>
        </w:rPr>
        <w:t xml:space="preserve"> </w:t>
      </w:r>
      <w:r>
        <w:rPr>
          <w:color w:val="211F1F"/>
        </w:rPr>
        <w:t>the</w:t>
      </w:r>
      <w:r>
        <w:rPr>
          <w:color w:val="211F1F"/>
          <w:spacing w:val="40"/>
        </w:rPr>
        <w:t xml:space="preserve"> </w:t>
      </w:r>
      <w:r>
        <w:rPr>
          <w:color w:val="211F1F"/>
        </w:rPr>
        <w:t>results</w:t>
      </w:r>
      <w:r>
        <w:rPr>
          <w:color w:val="211F1F"/>
          <w:spacing w:val="40"/>
        </w:rPr>
        <w:t xml:space="preserve"> </w:t>
      </w:r>
      <w:r>
        <w:rPr>
          <w:color w:val="211F1F"/>
        </w:rPr>
        <w:t>of</w:t>
      </w:r>
      <w:r>
        <w:rPr>
          <w:color w:val="211F1F"/>
          <w:spacing w:val="40"/>
        </w:rPr>
        <w:t xml:space="preserve"> </w:t>
      </w:r>
      <w:r>
        <w:rPr>
          <w:color w:val="211F1F"/>
        </w:rPr>
        <w:t>the</w:t>
      </w:r>
      <w:r>
        <w:rPr>
          <w:color w:val="211F1F"/>
          <w:spacing w:val="40"/>
        </w:rPr>
        <w:t xml:space="preserve"> </w:t>
      </w:r>
      <w:r>
        <w:rPr>
          <w:color w:val="211F1F"/>
        </w:rPr>
        <w:t>Tendering</w:t>
      </w:r>
      <w:r>
        <w:rPr>
          <w:color w:val="211F1F"/>
          <w:spacing w:val="40"/>
        </w:rPr>
        <w:t xml:space="preserve"> </w:t>
      </w:r>
      <w:r>
        <w:rPr>
          <w:color w:val="211F1F"/>
        </w:rPr>
        <w:t>process;</w:t>
      </w:r>
      <w:r>
        <w:rPr>
          <w:color w:val="211F1F"/>
          <w:spacing w:val="40"/>
        </w:rPr>
        <w:t xml:space="preserve"> </w:t>
      </w:r>
      <w:r>
        <w:rPr>
          <w:color w:val="211F1F"/>
        </w:rPr>
        <w:t>or</w:t>
      </w:r>
      <w:r>
        <w:rPr>
          <w:color w:val="211F1F"/>
          <w:spacing w:val="40"/>
        </w:rPr>
        <w:t xml:space="preserve"> </w:t>
      </w:r>
      <w:r>
        <w:rPr>
          <w:color w:val="211F1F"/>
        </w:rPr>
        <w:t>(ii)twenty-eight</w:t>
      </w:r>
      <w:r>
        <w:rPr>
          <w:color w:val="211F1F"/>
          <w:spacing w:val="40"/>
        </w:rPr>
        <w:t xml:space="preserve"> </w:t>
      </w:r>
      <w:r>
        <w:rPr>
          <w:color w:val="211F1F"/>
        </w:rPr>
        <w:t>days</w:t>
      </w:r>
      <w:r>
        <w:rPr>
          <w:color w:val="211F1F"/>
          <w:spacing w:val="40"/>
        </w:rPr>
        <w:t xml:space="preserve"> </w:t>
      </w:r>
      <w:r>
        <w:rPr>
          <w:color w:val="211F1F"/>
        </w:rPr>
        <w:t>after</w:t>
      </w:r>
      <w:r>
        <w:rPr>
          <w:color w:val="211F1F"/>
          <w:spacing w:val="40"/>
        </w:rPr>
        <w:t xml:space="preserve"> </w:t>
      </w:r>
      <w:r>
        <w:rPr>
          <w:color w:val="211F1F"/>
        </w:rPr>
        <w:t>the</w:t>
      </w:r>
      <w:r>
        <w:rPr>
          <w:color w:val="211F1F"/>
          <w:spacing w:val="40"/>
        </w:rPr>
        <w:t xml:space="preserve"> </w:t>
      </w:r>
      <w:r>
        <w:rPr>
          <w:color w:val="211F1F"/>
        </w:rPr>
        <w:t>end</w:t>
      </w:r>
      <w:r>
        <w:rPr>
          <w:color w:val="211F1F"/>
          <w:spacing w:val="40"/>
        </w:rPr>
        <w:t xml:space="preserve"> </w:t>
      </w:r>
      <w:r>
        <w:rPr>
          <w:color w:val="211F1F"/>
        </w:rPr>
        <w:t>of</w:t>
      </w:r>
      <w:r>
        <w:rPr>
          <w:color w:val="211F1F"/>
          <w:spacing w:val="40"/>
        </w:rPr>
        <w:t xml:space="preserve"> </w:t>
      </w:r>
      <w:r>
        <w:rPr>
          <w:color w:val="211F1F"/>
        </w:rPr>
        <w:t>the Tender</w:t>
      </w:r>
      <w:r>
        <w:rPr>
          <w:color w:val="211F1F"/>
          <w:spacing w:val="40"/>
        </w:rPr>
        <w:t xml:space="preserve"> </w:t>
      </w:r>
      <w:r>
        <w:rPr>
          <w:color w:val="211F1F"/>
        </w:rPr>
        <w:t>Validity</w:t>
      </w:r>
      <w:r>
        <w:rPr>
          <w:color w:val="211F1F"/>
          <w:spacing w:val="40"/>
        </w:rPr>
        <w:t xml:space="preserve"> </w:t>
      </w:r>
      <w:r>
        <w:rPr>
          <w:color w:val="211F1F"/>
        </w:rPr>
        <w:t>Period.</w:t>
      </w:r>
    </w:p>
    <w:p w14:paraId="735EE0A1" w14:textId="77777777" w:rsidR="00BB77C0" w:rsidRDefault="00BB77C0">
      <w:pPr>
        <w:pStyle w:val="BodyText"/>
      </w:pPr>
    </w:p>
    <w:p w14:paraId="19DC795A" w14:textId="77777777" w:rsidR="00BB77C0" w:rsidRDefault="00370BAA">
      <w:pPr>
        <w:pStyle w:val="ListParagraph"/>
        <w:numPr>
          <w:ilvl w:val="0"/>
          <w:numId w:val="38"/>
        </w:numPr>
        <w:tabs>
          <w:tab w:val="left" w:pos="1015"/>
          <w:tab w:val="left" w:pos="1022"/>
        </w:tabs>
        <w:ind w:right="622"/>
        <w:jc w:val="both"/>
      </w:pPr>
      <w:r>
        <w:rPr>
          <w:noProof/>
        </w:rPr>
        <mc:AlternateContent>
          <mc:Choice Requires="wps">
            <w:drawing>
              <wp:anchor distT="0" distB="0" distL="0" distR="0" simplePos="0" relativeHeight="15772672" behindDoc="0" locked="0" layoutInCell="1" allowOverlap="1" wp14:anchorId="69B0DED0" wp14:editId="4160B9A3">
                <wp:simplePos x="0" y="0"/>
                <wp:positionH relativeFrom="page">
                  <wp:posOffset>902335</wp:posOffset>
                </wp:positionH>
                <wp:positionV relativeFrom="paragraph">
                  <wp:posOffset>1122409</wp:posOffset>
                </wp:positionV>
                <wp:extent cx="1746885" cy="1270"/>
                <wp:effectExtent l="0" t="0" r="0" b="0"/>
                <wp:wrapNone/>
                <wp:docPr id="350" name="Graphic 3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46885" cy="1270"/>
                        </a:xfrm>
                        <a:custGeom>
                          <a:avLst/>
                          <a:gdLst/>
                          <a:ahLst/>
                          <a:cxnLst/>
                          <a:rect l="l" t="t" r="r" b="b"/>
                          <a:pathLst>
                            <a:path w="1746885">
                              <a:moveTo>
                                <a:pt x="0" y="0"/>
                              </a:moveTo>
                              <a:lnTo>
                                <a:pt x="1746503" y="0"/>
                              </a:lnTo>
                            </a:path>
                          </a:pathLst>
                        </a:custGeom>
                        <a:ln w="574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53B8D91" id="Graphic 350" o:spid="_x0000_s1026" style="position:absolute;margin-left:71.05pt;margin-top:88.4pt;width:137.55pt;height:.1pt;z-index:15772672;visibility:visible;mso-wrap-style:square;mso-wrap-distance-left:0;mso-wrap-distance-top:0;mso-wrap-distance-right:0;mso-wrap-distance-bottom:0;mso-position-horizontal:absolute;mso-position-horizontal-relative:page;mso-position-vertical:absolute;mso-position-vertical-relative:text;v-text-anchor:top" coordsize="17468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" path="m,l1746503,e" filled="f" strokeweight=".15967mm">
                <v:path arrowok="t"/>
                <w10:wrap anchorx="page"/>
              </v:shape>
            </w:pict>
          </mc:Fallback>
        </mc:AlternateContent>
      </w:r>
      <w:r>
        <w:rPr>
          <w:noProof/>
        </w:rPr>
        <mc:AlternateContent>
          <mc:Choice Requires="wps">
            <w:drawing>
              <wp:anchor distT="0" distB="0" distL="0" distR="0" simplePos="0" relativeHeight="15773184" behindDoc="0" locked="0" layoutInCell="1" allowOverlap="1" wp14:anchorId="36BE8785" wp14:editId="4661C2F9">
                <wp:simplePos x="0" y="0"/>
                <wp:positionH relativeFrom="page">
                  <wp:posOffset>3188335</wp:posOffset>
                </wp:positionH>
                <wp:positionV relativeFrom="paragraph">
                  <wp:posOffset>1122409</wp:posOffset>
                </wp:positionV>
                <wp:extent cx="2097405" cy="1270"/>
                <wp:effectExtent l="0" t="0" r="0" b="0"/>
                <wp:wrapNone/>
                <wp:docPr id="351" name="Graphic 3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7405" cy="1270"/>
                        </a:xfrm>
                        <a:custGeom>
                          <a:avLst/>
                          <a:gdLst/>
                          <a:ahLst/>
                          <a:cxnLst/>
                          <a:rect l="l" t="t" r="r" b="b"/>
                          <a:pathLst>
                            <a:path w="2097405">
                              <a:moveTo>
                                <a:pt x="0" y="0"/>
                              </a:moveTo>
                              <a:lnTo>
                                <a:pt x="2097024" y="0"/>
                              </a:lnTo>
                            </a:path>
                          </a:pathLst>
                        </a:custGeom>
                        <a:ln w="574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691B9E0" id="Graphic 351" o:spid="_x0000_s1026" style="position:absolute;margin-left:251.05pt;margin-top:88.4pt;width:165.15pt;height:.1pt;z-index:15773184;visibility:visible;mso-wrap-style:square;mso-wrap-distance-left:0;mso-wrap-distance-top:0;mso-wrap-distance-right:0;mso-wrap-distance-bottom:0;mso-position-horizontal:absolute;mso-position-horizontal-relative:page;mso-position-vertical:absolute;mso-position-vertical-relative:text;v-text-anchor:top" coordsize="20974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" path="m,l2097024,e" filled="f" strokeweight=".15967mm">
                <v:path arrowok="t"/>
                <w10:wrap anchorx="page"/>
              </v:shape>
            </w:pict>
          </mc:Fallback>
        </mc:AlternateContent>
      </w:r>
      <w:r>
        <w:rPr>
          <w:color w:val="211F1F"/>
        </w:rPr>
        <w:t>Consequently, any demand for payment under this guarantee must be received by us at the office indicated above</w:t>
      </w:r>
      <w:r>
        <w:rPr>
          <w:color w:val="211F1F"/>
          <w:spacing w:val="40"/>
        </w:rPr>
        <w:t xml:space="preserve"> </w:t>
      </w:r>
      <w:r>
        <w:rPr>
          <w:color w:val="211F1F"/>
        </w:rPr>
        <w:t>on</w:t>
      </w:r>
      <w:r>
        <w:rPr>
          <w:color w:val="211F1F"/>
          <w:spacing w:val="40"/>
        </w:rPr>
        <w:t xml:space="preserve"> </w:t>
      </w:r>
      <w:r>
        <w:rPr>
          <w:color w:val="211F1F"/>
        </w:rPr>
        <w:t>or</w:t>
      </w:r>
      <w:r>
        <w:rPr>
          <w:color w:val="211F1F"/>
          <w:spacing w:val="40"/>
        </w:rPr>
        <w:t xml:space="preserve"> </w:t>
      </w:r>
      <w:r>
        <w:rPr>
          <w:color w:val="211F1F"/>
        </w:rPr>
        <w:t>before</w:t>
      </w:r>
      <w:r>
        <w:rPr>
          <w:color w:val="211F1F"/>
          <w:spacing w:val="40"/>
        </w:rPr>
        <w:t xml:space="preserve"> </w:t>
      </w:r>
      <w:r>
        <w:rPr>
          <w:color w:val="211F1F"/>
        </w:rPr>
        <w:t>that</w:t>
      </w:r>
      <w:r>
        <w:rPr>
          <w:color w:val="211F1F"/>
          <w:spacing w:val="40"/>
        </w:rPr>
        <w:t xml:space="preserve"> </w:t>
      </w:r>
      <w:r>
        <w:rPr>
          <w:color w:val="211F1F"/>
        </w:rPr>
        <w:t>date.</w:t>
      </w:r>
    </w:p>
    <w:p w14:paraId="3A2824B9" w14:textId="77777777" w:rsidR="00BB77C0" w:rsidRDefault="00BB77C0">
      <w:pPr>
        <w:pStyle w:val="BodyText"/>
        <w:rPr>
          <w:sz w:val="20"/>
        </w:rPr>
      </w:pPr>
    </w:p>
    <w:p w14:paraId="31159B6F" w14:textId="77777777" w:rsidR="00BB77C0" w:rsidRDefault="00BB77C0">
      <w:pPr>
        <w:pStyle w:val="BodyText"/>
        <w:rPr>
          <w:sz w:val="20"/>
        </w:rPr>
      </w:pPr>
    </w:p>
    <w:p w14:paraId="24F8BD14" w14:textId="77777777" w:rsidR="00BB77C0" w:rsidRDefault="00370BAA">
      <w:pPr>
        <w:pStyle w:val="BodyText"/>
        <w:spacing w:before="44"/>
        <w:rPr>
          <w:sz w:val="20"/>
        </w:rPr>
      </w:pPr>
      <w:r>
        <w:rPr>
          <w:noProof/>
          <w:sz w:val="20"/>
        </w:rPr>
        <mc:AlternateContent>
          <mc:Choice Requires="wps">
            <w:drawing>
              <wp:anchor distT="0" distB="0" distL="0" distR="0" simplePos="0" relativeHeight="487629824" behindDoc="1" locked="0" layoutInCell="1" allowOverlap="1" wp14:anchorId="2F819324" wp14:editId="18F686E6">
                <wp:simplePos x="0" y="0"/>
                <wp:positionH relativeFrom="page">
                  <wp:posOffset>901700</wp:posOffset>
                </wp:positionH>
                <wp:positionV relativeFrom="paragraph">
                  <wp:posOffset>189646</wp:posOffset>
                </wp:positionV>
                <wp:extent cx="1746885" cy="1270"/>
                <wp:effectExtent l="0" t="0" r="0" b="0"/>
                <wp:wrapTopAndBottom/>
                <wp:docPr id="352" name="Graphic 3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46885" cy="1270"/>
                        </a:xfrm>
                        <a:custGeom>
                          <a:avLst/>
                          <a:gdLst/>
                          <a:ahLst/>
                          <a:cxnLst/>
                          <a:rect l="l" t="t" r="r" b="b"/>
                          <a:pathLst>
                            <a:path w="1746885">
                              <a:moveTo>
                                <a:pt x="0" y="0"/>
                              </a:moveTo>
                              <a:lnTo>
                                <a:pt x="1746504" y="0"/>
                              </a:lnTo>
                            </a:path>
                          </a:pathLst>
                        </a:custGeom>
                        <a:ln w="56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3261DE1" id="Graphic 352" o:spid="_x0000_s1026" style="position:absolute;margin-left:71pt;margin-top:14.95pt;width:137.55pt;height:.1pt;z-index:-15686656;visibility:visible;mso-wrap-style:square;mso-wrap-distance-left:0;mso-wrap-distance-top:0;mso-wrap-distance-right:0;mso-wrap-distance-bottom:0;mso-position-horizontal:absolute;mso-position-horizontal-relative:page;mso-position-vertical:absolute;mso-position-vertical-relative:text;v-text-anchor:top" coordsize="17468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" path="m,l1746504,e" filled="f" strokeweight=".15806mm">
                <v:path arrowok="t"/>
                <w10:wrap type="topAndBottom" anchorx="page"/>
              </v:shape>
            </w:pict>
          </mc:Fallback>
        </mc:AlternateContent>
      </w:r>
      <w:r>
        <w:rPr>
          <w:noProof/>
          <w:sz w:val="20"/>
        </w:rPr>
        <mc:AlternateContent>
          <mc:Choice Requires="wps">
            <w:drawing>
              <wp:anchor distT="0" distB="0" distL="0" distR="0" simplePos="0" relativeHeight="487630336" behindDoc="1" locked="0" layoutInCell="1" allowOverlap="1" wp14:anchorId="44A1EF95" wp14:editId="137112A7">
                <wp:simplePos x="0" y="0"/>
                <wp:positionH relativeFrom="page">
                  <wp:posOffset>3187700</wp:posOffset>
                </wp:positionH>
                <wp:positionV relativeFrom="paragraph">
                  <wp:posOffset>189646</wp:posOffset>
                </wp:positionV>
                <wp:extent cx="2097405" cy="1270"/>
                <wp:effectExtent l="0" t="0" r="0" b="0"/>
                <wp:wrapTopAndBottom/>
                <wp:docPr id="353" name="Graphic 3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7405" cy="1270"/>
                        </a:xfrm>
                        <a:custGeom>
                          <a:avLst/>
                          <a:gdLst/>
                          <a:ahLst/>
                          <a:cxnLst/>
                          <a:rect l="l" t="t" r="r" b="b"/>
                          <a:pathLst>
                            <a:path w="2097405">
                              <a:moveTo>
                                <a:pt x="0" y="0"/>
                              </a:moveTo>
                              <a:lnTo>
                                <a:pt x="2097024" y="0"/>
                              </a:lnTo>
                            </a:path>
                          </a:pathLst>
                        </a:custGeom>
                        <a:ln w="56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2788E25" id="Graphic 353" o:spid="_x0000_s1026" style="position:absolute;margin-left:251pt;margin-top:14.95pt;width:165.15pt;height:.1pt;z-index:-15686144;visibility:visible;mso-wrap-style:square;mso-wrap-distance-left:0;mso-wrap-distance-top:0;mso-wrap-distance-right:0;mso-wrap-distance-bottom:0;mso-position-horizontal:absolute;mso-position-horizontal-relative:page;mso-position-vertical:absolute;mso-position-vertical-relative:text;v-text-anchor:top" coordsize="20974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" path="m,l2097024,e" filled="f" strokeweight=".15806mm">
                <v:path arrowok="t"/>
                <w10:wrap type="topAndBottom" anchorx="page"/>
              </v:shape>
            </w:pict>
          </mc:Fallback>
        </mc:AlternateContent>
      </w:r>
    </w:p>
    <w:p w14:paraId="757A743D" w14:textId="77777777" w:rsidR="00BB77C0" w:rsidRDefault="00370BAA">
      <w:pPr>
        <w:tabs>
          <w:tab w:val="left" w:pos="5383"/>
          <w:tab w:val="left" w:pos="6103"/>
        </w:tabs>
        <w:spacing w:line="472" w:lineRule="auto"/>
        <w:ind w:left="1781" w:right="3629"/>
        <w:rPr>
          <w:i/>
        </w:rPr>
      </w:pPr>
      <w:r>
        <w:rPr>
          <w:i/>
        </w:rPr>
        <w:t>[Date</w:t>
      </w:r>
      <w:r>
        <w:rPr>
          <w:i/>
          <w:spacing w:val="-14"/>
        </w:rPr>
        <w:t xml:space="preserve"> </w:t>
      </w:r>
      <w:r>
        <w:rPr>
          <w:i/>
        </w:rPr>
        <w:t>]</w:t>
      </w:r>
      <w:r>
        <w:rPr>
          <w:i/>
        </w:rPr>
        <w:tab/>
        <w:t>[Signature</w:t>
      </w:r>
      <w:r>
        <w:rPr>
          <w:i/>
          <w:spacing w:val="-14"/>
        </w:rPr>
        <w:t xml:space="preserve"> </w:t>
      </w:r>
      <w:r>
        <w:rPr>
          <w:i/>
        </w:rPr>
        <w:t>of</w:t>
      </w:r>
      <w:r>
        <w:rPr>
          <w:i/>
          <w:spacing w:val="-14"/>
        </w:rPr>
        <w:t xml:space="preserve"> </w:t>
      </w:r>
      <w:r>
        <w:rPr>
          <w:i/>
        </w:rPr>
        <w:t>the</w:t>
      </w:r>
      <w:r>
        <w:rPr>
          <w:i/>
          <w:spacing w:val="-14"/>
        </w:rPr>
        <w:t xml:space="preserve"> </w:t>
      </w:r>
      <w:r>
        <w:rPr>
          <w:i/>
        </w:rPr>
        <w:t xml:space="preserve">Guarantor] </w:t>
      </w:r>
      <w:r>
        <w:rPr>
          <w:i/>
          <w:spacing w:val="-2"/>
        </w:rPr>
        <w:t>[Witness]</w:t>
      </w:r>
      <w:r>
        <w:rPr>
          <w:i/>
        </w:rPr>
        <w:tab/>
      </w:r>
      <w:r>
        <w:rPr>
          <w:i/>
        </w:rPr>
        <w:tab/>
      </w:r>
      <w:r>
        <w:rPr>
          <w:i/>
          <w:spacing w:val="-2"/>
        </w:rPr>
        <w:t>[Seal]</w:t>
      </w:r>
    </w:p>
    <w:p w14:paraId="75CA4F67" w14:textId="77777777" w:rsidR="00BB77C0" w:rsidRDefault="00BB77C0">
      <w:pPr>
        <w:pStyle w:val="BodyText"/>
        <w:rPr>
          <w:i/>
        </w:rPr>
      </w:pPr>
    </w:p>
    <w:p w14:paraId="6D551D5F" w14:textId="77777777" w:rsidR="00BB77C0" w:rsidRDefault="00BB77C0">
      <w:pPr>
        <w:pStyle w:val="BodyText"/>
        <w:rPr>
          <w:i/>
        </w:rPr>
      </w:pPr>
    </w:p>
    <w:p w14:paraId="7554C88F" w14:textId="77777777" w:rsidR="00BB77C0" w:rsidRDefault="00BB77C0">
      <w:pPr>
        <w:pStyle w:val="BodyText"/>
        <w:spacing w:before="14"/>
        <w:rPr>
          <w:i/>
        </w:rPr>
      </w:pPr>
    </w:p>
    <w:p w14:paraId="509F0A50" w14:textId="77777777" w:rsidR="00BB77C0" w:rsidRDefault="00370BAA">
      <w:pPr>
        <w:pStyle w:val="Heading8"/>
        <w:ind w:left="1224"/>
      </w:pPr>
      <w:bookmarkStart w:id="173" w:name="Note:_All_italicized_text_is_for_use_in_"/>
      <w:bookmarkEnd w:id="173"/>
      <w:r>
        <w:rPr>
          <w:color w:val="211F1F"/>
        </w:rPr>
        <w:t>Note:</w:t>
      </w:r>
      <w:r>
        <w:rPr>
          <w:color w:val="211F1F"/>
          <w:spacing w:val="-8"/>
        </w:rPr>
        <w:t xml:space="preserve"> </w:t>
      </w:r>
      <w:r>
        <w:rPr>
          <w:color w:val="211F1F"/>
        </w:rPr>
        <w:t>All</w:t>
      </w:r>
      <w:r>
        <w:rPr>
          <w:color w:val="211F1F"/>
          <w:spacing w:val="-9"/>
        </w:rPr>
        <w:t xml:space="preserve"> </w:t>
      </w:r>
      <w:r>
        <w:rPr>
          <w:color w:val="211F1F"/>
        </w:rPr>
        <w:t>italicized</w:t>
      </w:r>
      <w:r>
        <w:rPr>
          <w:color w:val="211F1F"/>
          <w:spacing w:val="-5"/>
        </w:rPr>
        <w:t xml:space="preserve"> </w:t>
      </w:r>
      <w:r>
        <w:rPr>
          <w:color w:val="211F1F"/>
        </w:rPr>
        <w:t>text</w:t>
      </w:r>
      <w:r>
        <w:rPr>
          <w:color w:val="211F1F"/>
          <w:spacing w:val="-8"/>
        </w:rPr>
        <w:t xml:space="preserve"> </w:t>
      </w:r>
      <w:r>
        <w:rPr>
          <w:color w:val="211F1F"/>
        </w:rPr>
        <w:t>is</w:t>
      </w:r>
      <w:r>
        <w:rPr>
          <w:color w:val="211F1F"/>
          <w:spacing w:val="-5"/>
        </w:rPr>
        <w:t xml:space="preserve"> </w:t>
      </w:r>
      <w:r>
        <w:rPr>
          <w:color w:val="211F1F"/>
        </w:rPr>
        <w:t>for</w:t>
      </w:r>
      <w:r>
        <w:rPr>
          <w:color w:val="211F1F"/>
          <w:spacing w:val="-9"/>
        </w:rPr>
        <w:t xml:space="preserve"> </w:t>
      </w:r>
      <w:r>
        <w:rPr>
          <w:color w:val="211F1F"/>
        </w:rPr>
        <w:t>use</w:t>
      </w:r>
      <w:r>
        <w:rPr>
          <w:color w:val="211F1F"/>
          <w:spacing w:val="-11"/>
        </w:rPr>
        <w:t xml:space="preserve"> </w:t>
      </w:r>
      <w:r>
        <w:rPr>
          <w:color w:val="211F1F"/>
        </w:rPr>
        <w:t>in</w:t>
      </w:r>
      <w:r>
        <w:rPr>
          <w:color w:val="211F1F"/>
          <w:spacing w:val="-8"/>
        </w:rPr>
        <w:t xml:space="preserve"> </w:t>
      </w:r>
      <w:r>
        <w:rPr>
          <w:color w:val="211F1F"/>
        </w:rPr>
        <w:t>preparing</w:t>
      </w:r>
      <w:r>
        <w:rPr>
          <w:color w:val="211F1F"/>
          <w:spacing w:val="-9"/>
        </w:rPr>
        <w:t xml:space="preserve"> </w:t>
      </w:r>
      <w:r>
        <w:rPr>
          <w:color w:val="211F1F"/>
        </w:rPr>
        <w:t>this</w:t>
      </w:r>
      <w:r>
        <w:rPr>
          <w:color w:val="211F1F"/>
          <w:spacing w:val="-5"/>
        </w:rPr>
        <w:t xml:space="preserve"> </w:t>
      </w:r>
      <w:r>
        <w:rPr>
          <w:color w:val="211F1F"/>
        </w:rPr>
        <w:t>form</w:t>
      </w:r>
      <w:r>
        <w:rPr>
          <w:color w:val="211F1F"/>
          <w:spacing w:val="-8"/>
        </w:rPr>
        <w:t xml:space="preserve"> </w:t>
      </w:r>
      <w:r>
        <w:rPr>
          <w:color w:val="211F1F"/>
        </w:rPr>
        <w:t>and</w:t>
      </w:r>
      <w:r>
        <w:rPr>
          <w:color w:val="211F1F"/>
          <w:spacing w:val="-6"/>
        </w:rPr>
        <w:t xml:space="preserve"> </w:t>
      </w:r>
      <w:r>
        <w:rPr>
          <w:color w:val="211F1F"/>
        </w:rPr>
        <w:t>shall be</w:t>
      </w:r>
      <w:r>
        <w:rPr>
          <w:color w:val="211F1F"/>
          <w:spacing w:val="-12"/>
        </w:rPr>
        <w:t xml:space="preserve"> </w:t>
      </w:r>
      <w:r>
        <w:rPr>
          <w:color w:val="211F1F"/>
        </w:rPr>
        <w:t>deleted</w:t>
      </w:r>
      <w:r>
        <w:rPr>
          <w:color w:val="211F1F"/>
          <w:spacing w:val="-4"/>
        </w:rPr>
        <w:t xml:space="preserve"> </w:t>
      </w:r>
      <w:r>
        <w:rPr>
          <w:color w:val="211F1F"/>
        </w:rPr>
        <w:t>from</w:t>
      </w:r>
      <w:r>
        <w:rPr>
          <w:color w:val="211F1F"/>
          <w:spacing w:val="-4"/>
        </w:rPr>
        <w:t xml:space="preserve"> </w:t>
      </w:r>
      <w:r>
        <w:rPr>
          <w:color w:val="211F1F"/>
        </w:rPr>
        <w:t>the</w:t>
      </w:r>
      <w:r>
        <w:rPr>
          <w:color w:val="211F1F"/>
          <w:spacing w:val="-7"/>
        </w:rPr>
        <w:t xml:space="preserve"> </w:t>
      </w:r>
      <w:r>
        <w:rPr>
          <w:color w:val="211F1F"/>
        </w:rPr>
        <w:t>final</w:t>
      </w:r>
      <w:r>
        <w:rPr>
          <w:color w:val="211F1F"/>
          <w:spacing w:val="-8"/>
        </w:rPr>
        <w:t xml:space="preserve"> </w:t>
      </w:r>
      <w:r>
        <w:rPr>
          <w:color w:val="211F1F"/>
          <w:spacing w:val="-2"/>
        </w:rPr>
        <w:t>product.</w:t>
      </w:r>
    </w:p>
    <w:p w14:paraId="005B7C5A" w14:textId="77777777" w:rsidR="00BB77C0" w:rsidRDefault="00BB77C0">
      <w:pPr>
        <w:pStyle w:val="Heading8"/>
        <w:sectPr w:rsidR="00BB77C0">
          <w:pgSz w:w="11920" w:h="16850"/>
          <w:pgMar w:top="0" w:right="0" w:bottom="0" w:left="360" w:header="720" w:footer="720" w:gutter="0"/>
          <w:cols w:space="720"/>
        </w:sectPr>
      </w:pPr>
    </w:p>
    <w:p w14:paraId="50BE41A4" w14:textId="77777777" w:rsidR="00BB77C0" w:rsidRDefault="00370BAA">
      <w:pPr>
        <w:pStyle w:val="BodyText"/>
        <w:rPr>
          <w:b/>
          <w:i/>
        </w:rPr>
      </w:pPr>
      <w:r>
        <w:rPr>
          <w:b/>
          <w:i/>
          <w:noProof/>
        </w:rPr>
        <w:lastRenderedPageBreak/>
        <mc:AlternateContent>
          <mc:Choice Requires="wpg">
            <w:drawing>
              <wp:anchor distT="0" distB="0" distL="0" distR="0" simplePos="0" relativeHeight="15773696" behindDoc="0" locked="0" layoutInCell="1" allowOverlap="1" wp14:anchorId="73E55D3E" wp14:editId="413705CA">
                <wp:simplePos x="0" y="0"/>
                <wp:positionH relativeFrom="page">
                  <wp:posOffset>0</wp:posOffset>
                </wp:positionH>
                <wp:positionV relativeFrom="page">
                  <wp:posOffset>10234295</wp:posOffset>
                </wp:positionV>
                <wp:extent cx="7561580" cy="459105"/>
                <wp:effectExtent l="0" t="0" r="0" b="0"/>
                <wp:wrapNone/>
                <wp:docPr id="354" name="Group 3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1580" cy="459105"/>
                          <a:chOff x="0" y="0"/>
                          <a:chExt cx="7561580" cy="459105"/>
                        </a:xfrm>
                      </wpg:grpSpPr>
                      <wps:wsp>
                        <wps:cNvPr id="355" name="Graphic 355"/>
                        <wps:cNvSpPr/>
                        <wps:spPr>
                          <a:xfrm>
                            <a:off x="6449059" y="5714"/>
                            <a:ext cx="1110615" cy="451484"/>
                          </a:xfrm>
                          <a:custGeom>
                            <a:avLst/>
                            <a:gdLst/>
                            <a:ahLst/>
                            <a:cxnLst/>
                            <a:rect l="l" t="t" r="r" b="b"/>
                            <a:pathLst>
                              <a:path w="1110615" h="451484">
                                <a:moveTo>
                                  <a:pt x="1110614" y="0"/>
                                </a:moveTo>
                                <a:lnTo>
                                  <a:pt x="0" y="0"/>
                                </a:lnTo>
                                <a:lnTo>
                                  <a:pt x="260349" y="451483"/>
                                </a:lnTo>
                                <a:lnTo>
                                  <a:pt x="1110614" y="451483"/>
                                </a:lnTo>
                                <a:lnTo>
                                  <a:pt x="1110614" y="0"/>
                                </a:lnTo>
                                <a:close/>
                              </a:path>
                            </a:pathLst>
                          </a:custGeom>
                          <a:solidFill>
                            <a:srgbClr val="FAD2C1"/>
                          </a:solidFill>
                        </wps:spPr>
                        <wps:bodyPr wrap="square" lIns="0" tIns="0" rIns="0" bIns="0" rtlCol="0">
                          <a:prstTxWarp prst="textNoShape">
                            <a:avLst/>
                          </a:prstTxWarp>
                          <a:noAutofit/>
                        </wps:bodyPr>
                      </wps:wsp>
                      <wps:wsp>
                        <wps:cNvPr id="356" name="Graphic 356"/>
                        <wps:cNvSpPr/>
                        <wps:spPr>
                          <a:xfrm>
                            <a:off x="6449059" y="5714"/>
                            <a:ext cx="1110615" cy="451484"/>
                          </a:xfrm>
                          <a:custGeom>
                            <a:avLst/>
                            <a:gdLst/>
                            <a:ahLst/>
                            <a:cxnLst/>
                            <a:rect l="l" t="t" r="r" b="b"/>
                            <a:pathLst>
                              <a:path w="1110615" h="451484">
                                <a:moveTo>
                                  <a:pt x="0" y="0"/>
                                </a:moveTo>
                                <a:lnTo>
                                  <a:pt x="1110614" y="0"/>
                                </a:lnTo>
                                <a:lnTo>
                                  <a:pt x="1110614" y="451483"/>
                                </a:lnTo>
                                <a:lnTo>
                                  <a:pt x="260349" y="451483"/>
                                </a:lnTo>
                                <a:lnTo>
                                  <a:pt x="0" y="0"/>
                                </a:lnTo>
                              </a:path>
                            </a:pathLst>
                          </a:custGeom>
                          <a:ln w="3051">
                            <a:solidFill>
                              <a:srgbClr val="FAD2C1"/>
                            </a:solidFill>
                            <a:prstDash val="solid"/>
                          </a:ln>
                        </wps:spPr>
                        <wps:bodyPr wrap="square" lIns="0" tIns="0" rIns="0" bIns="0" rtlCol="0">
                          <a:prstTxWarp prst="textNoShape">
                            <a:avLst/>
                          </a:prstTxWarp>
                          <a:noAutofit/>
                        </wps:bodyPr>
                      </wps:wsp>
                      <wps:wsp>
                        <wps:cNvPr id="357" name="Graphic 357"/>
                        <wps:cNvSpPr/>
                        <wps:spPr>
                          <a:xfrm>
                            <a:off x="0" y="6350"/>
                            <a:ext cx="7560309" cy="1270"/>
                          </a:xfrm>
                          <a:custGeom>
                            <a:avLst/>
                            <a:gdLst/>
                            <a:ahLst/>
                            <a:cxnLst/>
                            <a:rect l="l" t="t" r="r" b="b"/>
                            <a:pathLst>
                              <a:path w="7560309">
                                <a:moveTo>
                                  <a:pt x="0" y="0"/>
                                </a:moveTo>
                                <a:lnTo>
                                  <a:pt x="7560309" y="0"/>
                                </a:lnTo>
                              </a:path>
                            </a:pathLst>
                          </a:custGeom>
                          <a:ln w="12700">
                            <a:solidFill>
                              <a:srgbClr val="FAD2C1"/>
                            </a:solidFill>
                            <a:prstDash val="solid"/>
                          </a:ln>
                        </wps:spPr>
                        <wps:bodyPr wrap="square" lIns="0" tIns="0" rIns="0" bIns="0" rtlCol="0">
                          <a:prstTxWarp prst="textNoShape">
                            <a:avLst/>
                          </a:prstTxWarp>
                          <a:noAutofit/>
                        </wps:bodyPr>
                      </wps:wsp>
                      <wps:wsp>
                        <wps:cNvPr id="358" name="Textbox 358"/>
                        <wps:cNvSpPr txBox="1"/>
                        <wps:spPr>
                          <a:xfrm>
                            <a:off x="6882130" y="37491"/>
                            <a:ext cx="147320" cy="155575"/>
                          </a:xfrm>
                          <a:prstGeom prst="rect">
                            <a:avLst/>
                          </a:prstGeom>
                        </wps:spPr>
                        <wps:txbx>
                          <w:txbxContent>
                            <w:p w14:paraId="3C27B3FE" w14:textId="77777777" w:rsidR="00BB77C0" w:rsidRDefault="00370BAA">
                              <w:pPr>
                                <w:spacing w:line="244" w:lineRule="exact"/>
                              </w:pPr>
                              <w:r>
                                <w:rPr>
                                  <w:spacing w:val="-5"/>
                                </w:rPr>
                                <w:t>61</w:t>
                              </w:r>
                            </w:p>
                          </w:txbxContent>
                        </wps:txbx>
                        <wps:bodyPr wrap="square" lIns="0" tIns="0" rIns="0" bIns="0" rtlCol="0">
                          <a:noAutofit/>
                        </wps:bodyPr>
                      </wps:wsp>
                    </wpg:wgp>
                  </a:graphicData>
                </a:graphic>
              </wp:anchor>
            </w:drawing>
          </mc:Choice>
          <mc:Fallback>
            <w:pict>
              <v:group w14:anchorId="73E55D3E" id="Group 354" o:spid="_x0000_s1181" style="position:absolute;margin-left:0;margin-top:805.85pt;width:595.4pt;height:36.15pt;z-index:15773696;mso-wrap-distance-left:0;mso-wrap-distance-right:0;mso-position-horizontal-relative:page;mso-position-vertical-relative:page" coordsize="75615,4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">
                <v:shape id="Graphic 355" o:spid="_x0000_s1182" style="position:absolute;left:64490;top:57;width:11106;height:4514;visibility:visible;mso-wrap-style:square;v-text-anchor:top" coordsize="1110615,4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" path="m1110614,l,,260349,451483r850265,l1110614,xe" fillcolor="#fad2c1" stroked="f">
                  <v:path arrowok="t"/>
                </v:shape>
                <v:shape id="Graphic 356" o:spid="_x0000_s1183" style="position:absolute;left:64490;top:57;width:11106;height:4514;visibility:visible;mso-wrap-style:square;v-text-anchor:top" coordsize="1110615,4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" path="m,l1110614,r,451483l260349,451483,,e" filled="f" strokecolor="#fad2c1" strokeweight=".08475mm">
                  <v:path arrowok="t"/>
                </v:shape>
                <v:shape id="Graphic 357" o:spid="_x0000_s1184" style="position:absolute;top:63;width:75603;height:13;visibility:visible;mso-wrap-style:square;v-text-anchor:top" coordsize="756030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" path="m,l7560309,e" filled="f" strokecolor="#fad2c1" strokeweight="1pt">
                  <v:path arrowok="t"/>
                </v:shape>
                <v:shape id="Textbox 358" o:spid="_x0000_s1185" type="#_x0000_t202" style="position:absolute;left:68821;top:374;width:1473;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" filled="f" stroked="f">
                  <v:textbox inset="0,0,0,0">
                    <w:txbxContent>
                      <w:p w14:paraId="3C27B3FE" w14:textId="77777777" w:rsidR="00BB77C0" w:rsidRDefault="00370BAA">
                        <w:pPr>
                          <w:spacing w:line="244" w:lineRule="exact"/>
                        </w:pPr>
                        <w:r>
                          <w:rPr>
                            <w:spacing w:val="-5"/>
                          </w:rPr>
                          <w:t>61</w:t>
                        </w:r>
                      </w:p>
                    </w:txbxContent>
                  </v:textbox>
                </v:shape>
                <w10:wrap anchorx="page" anchory="page"/>
              </v:group>
            </w:pict>
          </mc:Fallback>
        </mc:AlternateContent>
      </w:r>
      <w:r>
        <w:rPr>
          <w:b/>
          <w:i/>
          <w:noProof/>
        </w:rPr>
        <mc:AlternateContent>
          <mc:Choice Requires="wpg">
            <w:drawing>
              <wp:anchor distT="0" distB="0" distL="0" distR="0" simplePos="0" relativeHeight="15774208" behindDoc="0" locked="0" layoutInCell="1" allowOverlap="1" wp14:anchorId="76E5F05E" wp14:editId="6E434C1E">
                <wp:simplePos x="0" y="0"/>
                <wp:positionH relativeFrom="page">
                  <wp:posOffset>0</wp:posOffset>
                </wp:positionH>
                <wp:positionV relativeFrom="page">
                  <wp:posOffset>0</wp:posOffset>
                </wp:positionV>
                <wp:extent cx="7559675" cy="228600"/>
                <wp:effectExtent l="0" t="0" r="0" b="0"/>
                <wp:wrapNone/>
                <wp:docPr id="359" name="Group 3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675" cy="228600"/>
                          <a:chOff x="0" y="0"/>
                          <a:chExt cx="7559675" cy="228600"/>
                        </a:xfrm>
                      </wpg:grpSpPr>
                      <wps:wsp>
                        <wps:cNvPr id="360" name="Graphic 360"/>
                        <wps:cNvSpPr/>
                        <wps:spPr>
                          <a:xfrm>
                            <a:off x="848283" y="0"/>
                            <a:ext cx="6711950" cy="228600"/>
                          </a:xfrm>
                          <a:custGeom>
                            <a:avLst/>
                            <a:gdLst/>
                            <a:ahLst/>
                            <a:cxnLst/>
                            <a:rect l="l" t="t" r="r" b="b"/>
                            <a:pathLst>
                              <a:path w="6711950" h="228600">
                                <a:moveTo>
                                  <a:pt x="6711391" y="0"/>
                                </a:moveTo>
                                <a:lnTo>
                                  <a:pt x="0" y="0"/>
                                </a:lnTo>
                                <a:lnTo>
                                  <a:pt x="184137" y="228600"/>
                                </a:lnTo>
                                <a:lnTo>
                                  <a:pt x="6711391" y="223520"/>
                                </a:lnTo>
                                <a:lnTo>
                                  <a:pt x="6711391" y="0"/>
                                </a:lnTo>
                                <a:close/>
                              </a:path>
                            </a:pathLst>
                          </a:custGeom>
                          <a:solidFill>
                            <a:srgbClr val="E6E7E8"/>
                          </a:solidFill>
                        </wps:spPr>
                        <wps:bodyPr wrap="square" lIns="0" tIns="0" rIns="0" bIns="0" rtlCol="0">
                          <a:prstTxWarp prst="textNoShape">
                            <a:avLst/>
                          </a:prstTxWarp>
                          <a:noAutofit/>
                        </wps:bodyPr>
                      </wps:wsp>
                      <wps:wsp>
                        <wps:cNvPr id="361" name="Graphic 361"/>
                        <wps:cNvSpPr/>
                        <wps:spPr>
                          <a:xfrm>
                            <a:off x="0" y="0"/>
                            <a:ext cx="655955" cy="228600"/>
                          </a:xfrm>
                          <a:custGeom>
                            <a:avLst/>
                            <a:gdLst/>
                            <a:ahLst/>
                            <a:cxnLst/>
                            <a:rect l="l" t="t" r="r" b="b"/>
                            <a:pathLst>
                              <a:path w="655955" h="228600">
                                <a:moveTo>
                                  <a:pt x="530174" y="0"/>
                                </a:moveTo>
                                <a:lnTo>
                                  <a:pt x="0" y="0"/>
                                </a:lnTo>
                                <a:lnTo>
                                  <a:pt x="0" y="228600"/>
                                </a:lnTo>
                                <a:lnTo>
                                  <a:pt x="655904" y="228600"/>
                                </a:lnTo>
                                <a:lnTo>
                                  <a:pt x="530174" y="0"/>
                                </a:lnTo>
                                <a:close/>
                              </a:path>
                            </a:pathLst>
                          </a:custGeom>
                          <a:solidFill>
                            <a:srgbClr val="00A650"/>
                          </a:solidFill>
                        </wps:spPr>
                        <wps:bodyPr wrap="square" lIns="0" tIns="0" rIns="0" bIns="0" rtlCol="0">
                          <a:prstTxWarp prst="textNoShape">
                            <a:avLst/>
                          </a:prstTxWarp>
                          <a:noAutofit/>
                        </wps:bodyPr>
                      </wps:wsp>
                      <wps:wsp>
                        <wps:cNvPr id="362" name="Graphic 362"/>
                        <wps:cNvSpPr/>
                        <wps:spPr>
                          <a:xfrm>
                            <a:off x="554304" y="0"/>
                            <a:ext cx="329565" cy="228600"/>
                          </a:xfrm>
                          <a:custGeom>
                            <a:avLst/>
                            <a:gdLst/>
                            <a:ahLst/>
                            <a:cxnLst/>
                            <a:rect l="l" t="t" r="r" b="b"/>
                            <a:pathLst>
                              <a:path w="329565" h="228600">
                                <a:moveTo>
                                  <a:pt x="203822" y="0"/>
                                </a:moveTo>
                                <a:lnTo>
                                  <a:pt x="0" y="0"/>
                                </a:lnTo>
                                <a:lnTo>
                                  <a:pt x="128904" y="228600"/>
                                </a:lnTo>
                                <a:lnTo>
                                  <a:pt x="329539" y="228600"/>
                                </a:lnTo>
                                <a:lnTo>
                                  <a:pt x="203822" y="0"/>
                                </a:lnTo>
                                <a:close/>
                              </a:path>
                            </a:pathLst>
                          </a:custGeom>
                          <a:solidFill>
                            <a:srgbClr val="EB1C22"/>
                          </a:solidFill>
                        </wps:spPr>
                        <wps:bodyPr wrap="square" lIns="0" tIns="0" rIns="0" bIns="0" rtlCol="0">
                          <a:prstTxWarp prst="textNoShape">
                            <a:avLst/>
                          </a:prstTxWarp>
                          <a:noAutofit/>
                        </wps:bodyPr>
                      </wps:wsp>
                      <wps:wsp>
                        <wps:cNvPr id="363" name="Graphic 363"/>
                        <wps:cNvSpPr/>
                        <wps:spPr>
                          <a:xfrm>
                            <a:off x="783526" y="0"/>
                            <a:ext cx="329565" cy="228600"/>
                          </a:xfrm>
                          <a:custGeom>
                            <a:avLst/>
                            <a:gdLst/>
                            <a:ahLst/>
                            <a:cxnLst/>
                            <a:rect l="l" t="t" r="r" b="b"/>
                            <a:pathLst>
                              <a:path w="329565" h="228600">
                                <a:moveTo>
                                  <a:pt x="203822" y="0"/>
                                </a:moveTo>
                                <a:lnTo>
                                  <a:pt x="0" y="0"/>
                                </a:lnTo>
                                <a:lnTo>
                                  <a:pt x="128879" y="228600"/>
                                </a:lnTo>
                                <a:lnTo>
                                  <a:pt x="329539" y="228600"/>
                                </a:lnTo>
                                <a:lnTo>
                                  <a:pt x="203822" y="0"/>
                                </a:lnTo>
                                <a:close/>
                              </a:path>
                            </a:pathLst>
                          </a:custGeom>
                          <a:solidFill>
                            <a:srgbClr val="A7A9AC"/>
                          </a:solidFill>
                        </wps:spPr>
                        <wps:bodyPr wrap="square" lIns="0" tIns="0" rIns="0" bIns="0" rtlCol="0">
                          <a:prstTxWarp prst="textNoShape">
                            <a:avLst/>
                          </a:prstTxWarp>
                          <a:noAutofit/>
                        </wps:bodyPr>
                      </wps:wsp>
                    </wpg:wgp>
                  </a:graphicData>
                </a:graphic>
              </wp:anchor>
            </w:drawing>
          </mc:Choice>
          <mc:Fallback>
            <w:pict>
              <v:group w14:anchorId="18422504" id="Group 359" o:spid="_x0000_s1026" style="position:absolute;margin-left:0;margin-top:0;width:595.25pt;height:18pt;z-index:15774208;mso-wrap-distance-left:0;mso-wrap-distance-right:0;mso-position-horizontal-relative:page;mso-position-vertical-relative:page" coordsize="75596,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">
                <v:shape id="Graphic 360" o:spid="_x0000_s1027" style="position:absolute;left:8482;width:67120;height:2286;visibility:visible;mso-wrap-style:square;v-text-anchor:top" coordsize="67119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" path="m6711391,l,,184137,228600r6527254,-5080l6711391,xe" fillcolor="#e6e7e8" stroked="f">
                  <v:path arrowok="t"/>
                </v:shape>
                <v:shape id="Graphic 361" o:spid="_x0000_s1028" style="position:absolute;width:6559;height:2286;visibility:visible;mso-wrap-style:square;v-text-anchor:top" coordsize="65595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" path="m530174,l,,,228600r655904,l530174,xe" fillcolor="#00a650" stroked="f">
                  <v:path arrowok="t"/>
                </v:shape>
                <v:shape id="Graphic 362" o:spid="_x0000_s1029" style="position:absolute;left:5543;width:3295;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" path="m203822,l,,128904,228600r200635,l203822,xe" fillcolor="#eb1c22" stroked="f">
                  <v:path arrowok="t"/>
                </v:shape>
                <v:shape id="Graphic 363" o:spid="_x0000_s1030" style="position:absolute;left:7835;width:3295;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" path="m203822,l,,128879,228600r200660,l203822,xe" fillcolor="#a7a9ac" stroked="f">
                  <v:path arrowok="t"/>
                </v:shape>
                <w10:wrap anchorx="page" anchory="page"/>
              </v:group>
            </w:pict>
          </mc:Fallback>
        </mc:AlternateContent>
      </w:r>
    </w:p>
    <w:p w14:paraId="2DE90C38" w14:textId="77777777" w:rsidR="00BB77C0" w:rsidRDefault="00BB77C0">
      <w:pPr>
        <w:pStyle w:val="BodyText"/>
        <w:rPr>
          <w:b/>
          <w:i/>
        </w:rPr>
      </w:pPr>
    </w:p>
    <w:p w14:paraId="608687D3" w14:textId="77777777" w:rsidR="00BB77C0" w:rsidRDefault="00BB77C0">
      <w:pPr>
        <w:pStyle w:val="BodyText"/>
        <w:rPr>
          <w:b/>
          <w:i/>
        </w:rPr>
      </w:pPr>
    </w:p>
    <w:p w14:paraId="24158E6F" w14:textId="77777777" w:rsidR="00BB77C0" w:rsidRDefault="00BB77C0">
      <w:pPr>
        <w:pStyle w:val="BodyText"/>
        <w:rPr>
          <w:b/>
          <w:i/>
        </w:rPr>
      </w:pPr>
    </w:p>
    <w:p w14:paraId="6A05F790" w14:textId="77777777" w:rsidR="00BB77C0" w:rsidRDefault="00BB77C0">
      <w:pPr>
        <w:pStyle w:val="BodyText"/>
        <w:spacing w:before="38"/>
        <w:rPr>
          <w:b/>
          <w:i/>
        </w:rPr>
      </w:pPr>
    </w:p>
    <w:p w14:paraId="01F734D8" w14:textId="77777777" w:rsidR="00BB77C0" w:rsidRDefault="00370BAA">
      <w:pPr>
        <w:spacing w:before="1"/>
        <w:ind w:left="485"/>
        <w:rPr>
          <w:i/>
        </w:rPr>
      </w:pPr>
      <w:r>
        <w:rPr>
          <w:i/>
          <w:color w:val="211F1F"/>
        </w:rPr>
        <w:t>[The</w:t>
      </w:r>
      <w:r>
        <w:rPr>
          <w:i/>
          <w:color w:val="211F1F"/>
          <w:spacing w:val="-11"/>
        </w:rPr>
        <w:t xml:space="preserve"> </w:t>
      </w:r>
      <w:r>
        <w:rPr>
          <w:i/>
          <w:color w:val="211F1F"/>
        </w:rPr>
        <w:t>Bidder</w:t>
      </w:r>
      <w:r>
        <w:rPr>
          <w:i/>
          <w:color w:val="211F1F"/>
          <w:spacing w:val="-9"/>
        </w:rPr>
        <w:t xml:space="preserve"> </w:t>
      </w:r>
      <w:r>
        <w:rPr>
          <w:i/>
          <w:color w:val="211F1F"/>
        </w:rPr>
        <w:t>shall</w:t>
      </w:r>
      <w:r>
        <w:rPr>
          <w:i/>
          <w:color w:val="211F1F"/>
          <w:spacing w:val="-5"/>
        </w:rPr>
        <w:t xml:space="preserve"> </w:t>
      </w:r>
      <w:r>
        <w:rPr>
          <w:i/>
          <w:color w:val="211F1F"/>
        </w:rPr>
        <w:t>complete</w:t>
      </w:r>
      <w:r>
        <w:rPr>
          <w:i/>
          <w:color w:val="211F1F"/>
          <w:spacing w:val="-7"/>
        </w:rPr>
        <w:t xml:space="preserve"> </w:t>
      </w:r>
      <w:r>
        <w:rPr>
          <w:i/>
          <w:color w:val="211F1F"/>
        </w:rPr>
        <w:t>this</w:t>
      </w:r>
      <w:r>
        <w:rPr>
          <w:i/>
          <w:color w:val="211F1F"/>
          <w:spacing w:val="-6"/>
        </w:rPr>
        <w:t xml:space="preserve"> </w:t>
      </w:r>
      <w:r>
        <w:rPr>
          <w:i/>
          <w:color w:val="211F1F"/>
        </w:rPr>
        <w:t>Form</w:t>
      </w:r>
      <w:r>
        <w:rPr>
          <w:i/>
          <w:color w:val="211F1F"/>
          <w:spacing w:val="-6"/>
        </w:rPr>
        <w:t xml:space="preserve"> </w:t>
      </w:r>
      <w:r>
        <w:rPr>
          <w:i/>
          <w:color w:val="211F1F"/>
        </w:rPr>
        <w:t>in</w:t>
      </w:r>
      <w:r>
        <w:rPr>
          <w:i/>
          <w:color w:val="211F1F"/>
          <w:spacing w:val="-6"/>
        </w:rPr>
        <w:t xml:space="preserve"> </w:t>
      </w:r>
      <w:r>
        <w:rPr>
          <w:i/>
          <w:color w:val="211F1F"/>
        </w:rPr>
        <w:t>accordance</w:t>
      </w:r>
      <w:r>
        <w:rPr>
          <w:i/>
          <w:color w:val="211F1F"/>
          <w:spacing w:val="-7"/>
        </w:rPr>
        <w:t xml:space="preserve"> </w:t>
      </w:r>
      <w:r>
        <w:rPr>
          <w:i/>
          <w:color w:val="211F1F"/>
        </w:rPr>
        <w:t>with</w:t>
      </w:r>
      <w:r>
        <w:rPr>
          <w:i/>
          <w:color w:val="211F1F"/>
          <w:spacing w:val="-6"/>
        </w:rPr>
        <w:t xml:space="preserve"> </w:t>
      </w:r>
      <w:r>
        <w:rPr>
          <w:i/>
          <w:color w:val="211F1F"/>
        </w:rPr>
        <w:t>the</w:t>
      </w:r>
      <w:r>
        <w:rPr>
          <w:i/>
          <w:color w:val="211F1F"/>
          <w:spacing w:val="-11"/>
        </w:rPr>
        <w:t xml:space="preserve"> </w:t>
      </w:r>
      <w:r>
        <w:rPr>
          <w:i/>
          <w:color w:val="211F1F"/>
        </w:rPr>
        <w:t>instructions</w:t>
      </w:r>
      <w:r>
        <w:rPr>
          <w:i/>
          <w:color w:val="211F1F"/>
          <w:spacing w:val="-9"/>
        </w:rPr>
        <w:t xml:space="preserve"> </w:t>
      </w:r>
      <w:r>
        <w:rPr>
          <w:i/>
          <w:color w:val="211F1F"/>
          <w:spacing w:val="-2"/>
        </w:rPr>
        <w:t>indicated]</w:t>
      </w:r>
    </w:p>
    <w:p w14:paraId="03B2FAAB" w14:textId="77777777" w:rsidR="00BB77C0" w:rsidRDefault="00370BAA">
      <w:pPr>
        <w:tabs>
          <w:tab w:val="left" w:leader="dot" w:pos="2833"/>
        </w:tabs>
        <w:spacing w:before="227" w:line="251" w:lineRule="exact"/>
        <w:ind w:left="485"/>
        <w:rPr>
          <w:i/>
        </w:rPr>
      </w:pPr>
      <w:r>
        <w:rPr>
          <w:color w:val="211F1F"/>
          <w:spacing w:val="-4"/>
        </w:rPr>
        <w:t>Date</w:t>
      </w:r>
      <w:r>
        <w:rPr>
          <w:color w:val="211F1F"/>
        </w:rPr>
        <w:tab/>
      </w:r>
      <w:r>
        <w:rPr>
          <w:i/>
          <w:color w:val="211F1F"/>
        </w:rPr>
        <w:t>[insert</w:t>
      </w:r>
      <w:r>
        <w:rPr>
          <w:i/>
          <w:color w:val="211F1F"/>
          <w:spacing w:val="-6"/>
        </w:rPr>
        <w:t xml:space="preserve"> </w:t>
      </w:r>
      <w:r>
        <w:rPr>
          <w:i/>
          <w:color w:val="211F1F"/>
        </w:rPr>
        <w:t>date</w:t>
      </w:r>
      <w:r>
        <w:rPr>
          <w:i/>
          <w:color w:val="211F1F"/>
          <w:spacing w:val="-7"/>
        </w:rPr>
        <w:t xml:space="preserve"> </w:t>
      </w:r>
      <w:r>
        <w:rPr>
          <w:i/>
          <w:color w:val="211F1F"/>
        </w:rPr>
        <w:t>(as</w:t>
      </w:r>
      <w:r>
        <w:rPr>
          <w:i/>
          <w:color w:val="211F1F"/>
          <w:spacing w:val="-9"/>
        </w:rPr>
        <w:t xml:space="preserve"> </w:t>
      </w:r>
      <w:r>
        <w:rPr>
          <w:i/>
          <w:color w:val="211F1F"/>
        </w:rPr>
        <w:t>day,</w:t>
      </w:r>
      <w:r>
        <w:rPr>
          <w:i/>
          <w:color w:val="211F1F"/>
          <w:spacing w:val="-3"/>
        </w:rPr>
        <w:t xml:space="preserve"> </w:t>
      </w:r>
      <w:r>
        <w:rPr>
          <w:i/>
          <w:color w:val="211F1F"/>
        </w:rPr>
        <w:t>month</w:t>
      </w:r>
      <w:r>
        <w:rPr>
          <w:i/>
          <w:color w:val="211F1F"/>
          <w:spacing w:val="-4"/>
        </w:rPr>
        <w:t xml:space="preserve"> </w:t>
      </w:r>
      <w:r>
        <w:rPr>
          <w:i/>
          <w:color w:val="211F1F"/>
        </w:rPr>
        <w:t>and</w:t>
      </w:r>
      <w:r>
        <w:rPr>
          <w:i/>
          <w:color w:val="211F1F"/>
          <w:spacing w:val="-6"/>
        </w:rPr>
        <w:t xml:space="preserve"> </w:t>
      </w:r>
      <w:r>
        <w:rPr>
          <w:i/>
          <w:color w:val="211F1F"/>
        </w:rPr>
        <w:t>year)</w:t>
      </w:r>
      <w:r>
        <w:rPr>
          <w:i/>
          <w:color w:val="211F1F"/>
          <w:spacing w:val="-2"/>
        </w:rPr>
        <w:t xml:space="preserve"> </w:t>
      </w:r>
      <w:r>
        <w:rPr>
          <w:i/>
          <w:color w:val="211F1F"/>
        </w:rPr>
        <w:t>of</w:t>
      </w:r>
      <w:r>
        <w:rPr>
          <w:i/>
          <w:color w:val="211F1F"/>
          <w:spacing w:val="-4"/>
        </w:rPr>
        <w:t xml:space="preserve"> </w:t>
      </w:r>
      <w:r>
        <w:rPr>
          <w:i/>
          <w:color w:val="211F1F"/>
        </w:rPr>
        <w:t>Tender</w:t>
      </w:r>
      <w:r>
        <w:rPr>
          <w:i/>
          <w:color w:val="211F1F"/>
          <w:spacing w:val="-9"/>
        </w:rPr>
        <w:t xml:space="preserve"> </w:t>
      </w:r>
      <w:r>
        <w:rPr>
          <w:i/>
          <w:color w:val="211F1F"/>
          <w:spacing w:val="-2"/>
        </w:rPr>
        <w:t>Submission]</w:t>
      </w:r>
    </w:p>
    <w:p w14:paraId="04472E72" w14:textId="77777777" w:rsidR="00BB77C0" w:rsidRDefault="00370BAA">
      <w:pPr>
        <w:tabs>
          <w:tab w:val="left" w:leader="dot" w:pos="3644"/>
        </w:tabs>
        <w:spacing w:line="250" w:lineRule="exact"/>
        <w:ind w:left="485"/>
        <w:rPr>
          <w:i/>
        </w:rPr>
      </w:pPr>
      <w:r>
        <w:rPr>
          <w:color w:val="211F1F"/>
        </w:rPr>
        <w:t>Tender</w:t>
      </w:r>
      <w:r>
        <w:rPr>
          <w:color w:val="211F1F"/>
          <w:spacing w:val="-10"/>
        </w:rPr>
        <w:t xml:space="preserve"> </w:t>
      </w:r>
      <w:r>
        <w:rPr>
          <w:color w:val="211F1F"/>
          <w:spacing w:val="-5"/>
        </w:rPr>
        <w:t>No</w:t>
      </w:r>
      <w:r>
        <w:rPr>
          <w:color w:val="211F1F"/>
        </w:rPr>
        <w:tab/>
      </w:r>
      <w:r>
        <w:rPr>
          <w:i/>
          <w:color w:val="211F1F"/>
        </w:rPr>
        <w:t>[insert</w:t>
      </w:r>
      <w:r>
        <w:rPr>
          <w:i/>
          <w:color w:val="211F1F"/>
          <w:spacing w:val="-6"/>
        </w:rPr>
        <w:t xml:space="preserve"> </w:t>
      </w:r>
      <w:r>
        <w:rPr>
          <w:i/>
          <w:color w:val="211F1F"/>
        </w:rPr>
        <w:t>number</w:t>
      </w:r>
      <w:r>
        <w:rPr>
          <w:i/>
          <w:color w:val="211F1F"/>
          <w:spacing w:val="-5"/>
        </w:rPr>
        <w:t xml:space="preserve"> </w:t>
      </w:r>
      <w:r>
        <w:rPr>
          <w:i/>
          <w:color w:val="211F1F"/>
        </w:rPr>
        <w:t>of</w:t>
      </w:r>
      <w:r>
        <w:rPr>
          <w:i/>
          <w:color w:val="211F1F"/>
          <w:spacing w:val="-9"/>
        </w:rPr>
        <w:t xml:space="preserve"> </w:t>
      </w:r>
      <w:r>
        <w:rPr>
          <w:i/>
          <w:color w:val="211F1F"/>
        </w:rPr>
        <w:t>tendering</w:t>
      </w:r>
      <w:r>
        <w:rPr>
          <w:i/>
          <w:color w:val="211F1F"/>
          <w:spacing w:val="-10"/>
        </w:rPr>
        <w:t xml:space="preserve"> </w:t>
      </w:r>
      <w:r>
        <w:rPr>
          <w:i/>
          <w:color w:val="211F1F"/>
          <w:spacing w:val="-2"/>
        </w:rPr>
        <w:t>process]</w:t>
      </w:r>
    </w:p>
    <w:p w14:paraId="39CD77FD" w14:textId="77777777" w:rsidR="00BB77C0" w:rsidRDefault="00370BAA">
      <w:pPr>
        <w:tabs>
          <w:tab w:val="left" w:leader="dot" w:pos="2910"/>
        </w:tabs>
        <w:spacing w:line="252" w:lineRule="exact"/>
        <w:ind w:left="485"/>
      </w:pPr>
      <w:r>
        <w:rPr>
          <w:color w:val="211F1F"/>
          <w:spacing w:val="-5"/>
        </w:rPr>
        <w:t>To:</w:t>
      </w:r>
      <w:r>
        <w:rPr>
          <w:color w:val="211F1F"/>
        </w:rPr>
        <w:tab/>
      </w:r>
      <w:r>
        <w:rPr>
          <w:i/>
          <w:color w:val="211F1F"/>
          <w:spacing w:val="-2"/>
        </w:rPr>
        <w:t>[insert</w:t>
      </w:r>
      <w:r>
        <w:rPr>
          <w:i/>
          <w:color w:val="211F1F"/>
          <w:spacing w:val="-18"/>
        </w:rPr>
        <w:t xml:space="preserve"> </w:t>
      </w:r>
      <w:r>
        <w:rPr>
          <w:i/>
          <w:color w:val="211F1F"/>
          <w:spacing w:val="-2"/>
        </w:rPr>
        <w:t>completename</w:t>
      </w:r>
      <w:r>
        <w:rPr>
          <w:i/>
          <w:color w:val="211F1F"/>
          <w:spacing w:val="-28"/>
        </w:rPr>
        <w:t xml:space="preserve"> </w:t>
      </w:r>
      <w:r>
        <w:rPr>
          <w:i/>
          <w:color w:val="211F1F"/>
          <w:spacing w:val="-2"/>
        </w:rPr>
        <w:t>of</w:t>
      </w:r>
      <w:r>
        <w:rPr>
          <w:i/>
          <w:color w:val="211F1F"/>
          <w:spacing w:val="-20"/>
        </w:rPr>
        <w:t xml:space="preserve"> </w:t>
      </w:r>
      <w:r>
        <w:rPr>
          <w:i/>
          <w:color w:val="211F1F"/>
          <w:spacing w:val="-2"/>
        </w:rPr>
        <w:t>Purchaser]</w:t>
      </w:r>
      <w:r>
        <w:rPr>
          <w:i/>
          <w:color w:val="211F1F"/>
          <w:spacing w:val="14"/>
        </w:rPr>
        <w:t xml:space="preserve"> </w:t>
      </w:r>
      <w:r>
        <w:rPr>
          <w:color w:val="211F1F"/>
          <w:spacing w:val="-2"/>
        </w:rPr>
        <w:t>I/We,</w:t>
      </w:r>
      <w:r>
        <w:rPr>
          <w:color w:val="211F1F"/>
          <w:spacing w:val="-24"/>
        </w:rPr>
        <w:t xml:space="preserve"> </w:t>
      </w:r>
      <w:r>
        <w:rPr>
          <w:color w:val="211F1F"/>
          <w:spacing w:val="-2"/>
        </w:rPr>
        <w:t>the</w:t>
      </w:r>
      <w:r>
        <w:rPr>
          <w:color w:val="211F1F"/>
          <w:spacing w:val="-23"/>
        </w:rPr>
        <w:t xml:space="preserve"> </w:t>
      </w:r>
      <w:r>
        <w:rPr>
          <w:color w:val="211F1F"/>
          <w:spacing w:val="-2"/>
        </w:rPr>
        <w:t>undersigned,</w:t>
      </w:r>
      <w:r>
        <w:rPr>
          <w:color w:val="211F1F"/>
          <w:spacing w:val="-13"/>
        </w:rPr>
        <w:t xml:space="preserve"> </w:t>
      </w:r>
      <w:r>
        <w:rPr>
          <w:color w:val="211F1F"/>
          <w:spacing w:val="-2"/>
        </w:rPr>
        <w:t>declare</w:t>
      </w:r>
      <w:r>
        <w:rPr>
          <w:color w:val="211F1F"/>
          <w:spacing w:val="-22"/>
        </w:rPr>
        <w:t xml:space="preserve"> </w:t>
      </w:r>
      <w:r>
        <w:rPr>
          <w:color w:val="211F1F"/>
          <w:spacing w:val="-2"/>
        </w:rPr>
        <w:t>that:</w:t>
      </w:r>
    </w:p>
    <w:p w14:paraId="1A80F26B" w14:textId="77777777" w:rsidR="00BB77C0" w:rsidRDefault="00370BAA">
      <w:pPr>
        <w:pStyle w:val="ListParagraph"/>
        <w:numPr>
          <w:ilvl w:val="0"/>
          <w:numId w:val="37"/>
        </w:numPr>
        <w:tabs>
          <w:tab w:val="left" w:pos="1056"/>
        </w:tabs>
        <w:spacing w:before="227"/>
        <w:ind w:hanging="571"/>
      </w:pPr>
      <w:r>
        <w:rPr>
          <w:color w:val="211F1F"/>
          <w:spacing w:val="-4"/>
        </w:rPr>
        <w:t>I/Weunderstand</w:t>
      </w:r>
      <w:r>
        <w:rPr>
          <w:color w:val="211F1F"/>
          <w:spacing w:val="-10"/>
        </w:rPr>
        <w:t xml:space="preserve"> </w:t>
      </w:r>
      <w:r>
        <w:rPr>
          <w:color w:val="211F1F"/>
          <w:spacing w:val="-4"/>
        </w:rPr>
        <w:t>that,</w:t>
      </w:r>
      <w:r>
        <w:rPr>
          <w:color w:val="211F1F"/>
        </w:rPr>
        <w:t xml:space="preserve"> </w:t>
      </w:r>
      <w:r>
        <w:rPr>
          <w:color w:val="211F1F"/>
          <w:spacing w:val="-4"/>
        </w:rPr>
        <w:t>according to</w:t>
      </w:r>
      <w:r>
        <w:rPr>
          <w:color w:val="211F1F"/>
          <w:spacing w:val="-2"/>
        </w:rPr>
        <w:t xml:space="preserve"> </w:t>
      </w:r>
      <w:r>
        <w:rPr>
          <w:color w:val="211F1F"/>
          <w:spacing w:val="-4"/>
        </w:rPr>
        <w:t>your</w:t>
      </w:r>
      <w:r>
        <w:rPr>
          <w:color w:val="211F1F"/>
        </w:rPr>
        <w:t xml:space="preserve"> </w:t>
      </w:r>
      <w:r>
        <w:rPr>
          <w:color w:val="211F1F"/>
          <w:spacing w:val="-4"/>
        </w:rPr>
        <w:t>conditions,</w:t>
      </w:r>
      <w:r>
        <w:rPr>
          <w:color w:val="211F1F"/>
          <w:spacing w:val="-6"/>
        </w:rPr>
        <w:t xml:space="preserve"> </w:t>
      </w:r>
      <w:r>
        <w:rPr>
          <w:color w:val="211F1F"/>
          <w:spacing w:val="-4"/>
        </w:rPr>
        <w:t>bids</w:t>
      </w:r>
      <w:r>
        <w:rPr>
          <w:color w:val="211F1F"/>
          <w:spacing w:val="-9"/>
        </w:rPr>
        <w:t xml:space="preserve"> </w:t>
      </w:r>
      <w:r>
        <w:rPr>
          <w:color w:val="211F1F"/>
          <w:spacing w:val="-4"/>
        </w:rPr>
        <w:t>must</w:t>
      </w:r>
      <w:r>
        <w:rPr>
          <w:color w:val="211F1F"/>
          <w:spacing w:val="-1"/>
        </w:rPr>
        <w:t xml:space="preserve"> </w:t>
      </w:r>
      <w:r>
        <w:rPr>
          <w:color w:val="211F1F"/>
          <w:spacing w:val="-4"/>
        </w:rPr>
        <w:t>be</w:t>
      </w:r>
      <w:r>
        <w:rPr>
          <w:color w:val="211F1F"/>
          <w:spacing w:val="-14"/>
        </w:rPr>
        <w:t xml:space="preserve"> </w:t>
      </w:r>
      <w:r>
        <w:rPr>
          <w:color w:val="211F1F"/>
          <w:spacing w:val="-4"/>
        </w:rPr>
        <w:t>supported</w:t>
      </w:r>
      <w:r>
        <w:rPr>
          <w:color w:val="211F1F"/>
          <w:spacing w:val="-2"/>
        </w:rPr>
        <w:t xml:space="preserve"> </w:t>
      </w:r>
      <w:r>
        <w:rPr>
          <w:color w:val="211F1F"/>
          <w:spacing w:val="-4"/>
        </w:rPr>
        <w:t>by</w:t>
      </w:r>
      <w:r>
        <w:rPr>
          <w:color w:val="211F1F"/>
          <w:spacing w:val="-18"/>
        </w:rPr>
        <w:t xml:space="preserve"> </w:t>
      </w:r>
      <w:r>
        <w:rPr>
          <w:color w:val="211F1F"/>
          <w:spacing w:val="-4"/>
        </w:rPr>
        <w:t>a</w:t>
      </w:r>
      <w:r>
        <w:rPr>
          <w:color w:val="211F1F"/>
          <w:spacing w:val="-6"/>
        </w:rPr>
        <w:t xml:space="preserve"> </w:t>
      </w:r>
      <w:r>
        <w:rPr>
          <w:color w:val="211F1F"/>
          <w:spacing w:val="-4"/>
        </w:rPr>
        <w:t>Tender-Securing</w:t>
      </w:r>
      <w:r>
        <w:rPr>
          <w:color w:val="211F1F"/>
          <w:spacing w:val="-9"/>
        </w:rPr>
        <w:t xml:space="preserve"> </w:t>
      </w:r>
      <w:r>
        <w:rPr>
          <w:color w:val="211F1F"/>
          <w:spacing w:val="-4"/>
        </w:rPr>
        <w:t>Declaration.</w:t>
      </w:r>
    </w:p>
    <w:p w14:paraId="5FE0A6B8" w14:textId="77777777" w:rsidR="00BB77C0" w:rsidRDefault="00370BAA">
      <w:pPr>
        <w:pStyle w:val="ListParagraph"/>
        <w:numPr>
          <w:ilvl w:val="0"/>
          <w:numId w:val="37"/>
        </w:numPr>
        <w:tabs>
          <w:tab w:val="left" w:pos="1054"/>
          <w:tab w:val="left" w:pos="1056"/>
        </w:tabs>
        <w:spacing w:before="240" w:line="230" w:lineRule="auto"/>
        <w:ind w:right="708"/>
        <w:jc w:val="both"/>
      </w:pPr>
      <w:r>
        <w:rPr>
          <w:color w:val="211F1F"/>
        </w:rPr>
        <w:t>I/We</w:t>
      </w:r>
      <w:r>
        <w:rPr>
          <w:color w:val="211F1F"/>
          <w:spacing w:val="-14"/>
        </w:rPr>
        <w:t xml:space="preserve"> </w:t>
      </w:r>
      <w:r>
        <w:rPr>
          <w:color w:val="211F1F"/>
        </w:rPr>
        <w:t>accept that</w:t>
      </w:r>
      <w:r>
        <w:rPr>
          <w:color w:val="211F1F"/>
          <w:spacing w:val="-4"/>
        </w:rPr>
        <w:t xml:space="preserve"> </w:t>
      </w:r>
      <w:r>
        <w:rPr>
          <w:color w:val="211F1F"/>
        </w:rPr>
        <w:t>I/we</w:t>
      </w:r>
      <w:r>
        <w:rPr>
          <w:color w:val="211F1F"/>
          <w:spacing w:val="-7"/>
        </w:rPr>
        <w:t xml:space="preserve"> </w:t>
      </w:r>
      <w:r>
        <w:rPr>
          <w:color w:val="211F1F"/>
        </w:rPr>
        <w:t>will</w:t>
      </w:r>
      <w:r>
        <w:rPr>
          <w:color w:val="211F1F"/>
          <w:spacing w:val="-4"/>
        </w:rPr>
        <w:t xml:space="preserve"> </w:t>
      </w:r>
      <w:r>
        <w:rPr>
          <w:color w:val="211F1F"/>
        </w:rPr>
        <w:t>automatically</w:t>
      </w:r>
      <w:r>
        <w:rPr>
          <w:color w:val="211F1F"/>
          <w:spacing w:val="-4"/>
        </w:rPr>
        <w:t xml:space="preserve"> </w:t>
      </w:r>
      <w:r>
        <w:rPr>
          <w:color w:val="211F1F"/>
        </w:rPr>
        <w:t>be</w:t>
      </w:r>
      <w:r>
        <w:rPr>
          <w:color w:val="211F1F"/>
          <w:spacing w:val="-8"/>
        </w:rPr>
        <w:t xml:space="preserve"> </w:t>
      </w:r>
      <w:r>
        <w:rPr>
          <w:color w:val="211F1F"/>
        </w:rPr>
        <w:t>suspended</w:t>
      </w:r>
      <w:r>
        <w:rPr>
          <w:color w:val="211F1F"/>
          <w:spacing w:val="-5"/>
        </w:rPr>
        <w:t xml:space="preserve"> </w:t>
      </w:r>
      <w:r>
        <w:rPr>
          <w:color w:val="211F1F"/>
        </w:rPr>
        <w:t>from</w:t>
      </w:r>
      <w:r>
        <w:rPr>
          <w:color w:val="211F1F"/>
          <w:spacing w:val="-9"/>
        </w:rPr>
        <w:t xml:space="preserve"> </w:t>
      </w:r>
      <w:r>
        <w:rPr>
          <w:color w:val="211F1F"/>
        </w:rPr>
        <w:t>being</w:t>
      </w:r>
      <w:r>
        <w:rPr>
          <w:color w:val="211F1F"/>
          <w:spacing w:val="-6"/>
        </w:rPr>
        <w:t xml:space="preserve"> </w:t>
      </w:r>
      <w:r>
        <w:rPr>
          <w:color w:val="211F1F"/>
        </w:rPr>
        <w:t>eligible</w:t>
      </w:r>
      <w:r>
        <w:rPr>
          <w:color w:val="211F1F"/>
          <w:spacing w:val="-7"/>
        </w:rPr>
        <w:t xml:space="preserve"> </w:t>
      </w:r>
      <w:r>
        <w:rPr>
          <w:color w:val="211F1F"/>
        </w:rPr>
        <w:t>for tendering</w:t>
      </w:r>
      <w:r>
        <w:rPr>
          <w:color w:val="211F1F"/>
          <w:spacing w:val="-5"/>
        </w:rPr>
        <w:t xml:space="preserve"> </w:t>
      </w:r>
      <w:r>
        <w:rPr>
          <w:color w:val="211F1F"/>
        </w:rPr>
        <w:t>in</w:t>
      </w:r>
      <w:r>
        <w:rPr>
          <w:color w:val="211F1F"/>
          <w:spacing w:val="-6"/>
        </w:rPr>
        <w:t xml:space="preserve"> </w:t>
      </w:r>
      <w:r>
        <w:rPr>
          <w:color w:val="211F1F"/>
        </w:rPr>
        <w:t>any</w:t>
      </w:r>
      <w:r>
        <w:rPr>
          <w:color w:val="211F1F"/>
          <w:spacing w:val="-5"/>
        </w:rPr>
        <w:t xml:space="preserve"> </w:t>
      </w:r>
      <w:r>
        <w:rPr>
          <w:color w:val="211F1F"/>
        </w:rPr>
        <w:t>contract</w:t>
      </w:r>
      <w:r>
        <w:rPr>
          <w:color w:val="211F1F"/>
          <w:spacing w:val="-4"/>
        </w:rPr>
        <w:t xml:space="preserve"> </w:t>
      </w:r>
      <w:r>
        <w:rPr>
          <w:color w:val="211F1F"/>
        </w:rPr>
        <w:t>with</w:t>
      </w:r>
      <w:r>
        <w:rPr>
          <w:color w:val="211F1F"/>
          <w:spacing w:val="-6"/>
        </w:rPr>
        <w:t xml:space="preserve"> </w:t>
      </w:r>
      <w:r>
        <w:rPr>
          <w:color w:val="211F1F"/>
        </w:rPr>
        <w:t xml:space="preserve">the </w:t>
      </w:r>
      <w:r>
        <w:rPr>
          <w:color w:val="211F1F"/>
          <w:spacing w:val="-4"/>
        </w:rPr>
        <w:t>Purchaser</w:t>
      </w:r>
      <w:r>
        <w:rPr>
          <w:color w:val="211F1F"/>
          <w:spacing w:val="-9"/>
        </w:rPr>
        <w:t xml:space="preserve"> </w:t>
      </w:r>
      <w:r>
        <w:rPr>
          <w:color w:val="211F1F"/>
          <w:spacing w:val="-4"/>
        </w:rPr>
        <w:t>for</w:t>
      </w:r>
      <w:r>
        <w:rPr>
          <w:color w:val="211F1F"/>
        </w:rPr>
        <w:t xml:space="preserve"> </w:t>
      </w:r>
      <w:r>
        <w:rPr>
          <w:color w:val="211F1F"/>
          <w:spacing w:val="-4"/>
        </w:rPr>
        <w:t>the</w:t>
      </w:r>
      <w:r>
        <w:rPr>
          <w:color w:val="211F1F"/>
          <w:spacing w:val="-10"/>
        </w:rPr>
        <w:t xml:space="preserve"> </w:t>
      </w:r>
      <w:r>
        <w:rPr>
          <w:color w:val="211F1F"/>
          <w:spacing w:val="-4"/>
        </w:rPr>
        <w:t>period</w:t>
      </w:r>
      <w:r>
        <w:rPr>
          <w:color w:val="211F1F"/>
          <w:spacing w:val="-7"/>
        </w:rPr>
        <w:t xml:space="preserve"> </w:t>
      </w:r>
      <w:r>
        <w:rPr>
          <w:color w:val="211F1F"/>
          <w:spacing w:val="-4"/>
        </w:rPr>
        <w:t>of time</w:t>
      </w:r>
      <w:r>
        <w:rPr>
          <w:color w:val="211F1F"/>
          <w:spacing w:val="-9"/>
        </w:rPr>
        <w:t xml:space="preserve"> </w:t>
      </w:r>
      <w:r>
        <w:rPr>
          <w:color w:val="211F1F"/>
          <w:spacing w:val="-4"/>
        </w:rPr>
        <w:t>of [insert number of months</w:t>
      </w:r>
      <w:r>
        <w:rPr>
          <w:color w:val="211F1F"/>
          <w:spacing w:val="-7"/>
        </w:rPr>
        <w:t xml:space="preserve"> </w:t>
      </w:r>
      <w:r>
        <w:rPr>
          <w:color w:val="211F1F"/>
          <w:spacing w:val="-4"/>
        </w:rPr>
        <w:t>or years] starting</w:t>
      </w:r>
      <w:r>
        <w:rPr>
          <w:color w:val="211F1F"/>
          <w:spacing w:val="-7"/>
        </w:rPr>
        <w:t xml:space="preserve"> </w:t>
      </w:r>
      <w:r>
        <w:rPr>
          <w:color w:val="211F1F"/>
          <w:spacing w:val="-4"/>
        </w:rPr>
        <w:t>on</w:t>
      </w:r>
      <w:r>
        <w:rPr>
          <w:color w:val="211F1F"/>
          <w:spacing w:val="-10"/>
        </w:rPr>
        <w:t xml:space="preserve"> </w:t>
      </w:r>
      <w:r>
        <w:rPr>
          <w:color w:val="211F1F"/>
          <w:spacing w:val="-4"/>
        </w:rPr>
        <w:t>[insert date],</w:t>
      </w:r>
      <w:r>
        <w:rPr>
          <w:color w:val="211F1F"/>
          <w:spacing w:val="-5"/>
        </w:rPr>
        <w:t xml:space="preserve"> </w:t>
      </w:r>
      <w:r>
        <w:rPr>
          <w:color w:val="211F1F"/>
          <w:spacing w:val="-4"/>
        </w:rPr>
        <w:t>if we</w:t>
      </w:r>
      <w:r>
        <w:rPr>
          <w:color w:val="211F1F"/>
          <w:spacing w:val="-10"/>
        </w:rPr>
        <w:t xml:space="preserve"> </w:t>
      </w:r>
      <w:r>
        <w:rPr>
          <w:color w:val="211F1F"/>
          <w:spacing w:val="-4"/>
        </w:rPr>
        <w:t>are</w:t>
      </w:r>
      <w:r>
        <w:rPr>
          <w:color w:val="211F1F"/>
          <w:spacing w:val="-9"/>
        </w:rPr>
        <w:t xml:space="preserve"> </w:t>
      </w:r>
      <w:r>
        <w:rPr>
          <w:color w:val="211F1F"/>
          <w:spacing w:val="-4"/>
        </w:rPr>
        <w:t>in</w:t>
      </w:r>
      <w:r>
        <w:rPr>
          <w:color w:val="211F1F"/>
          <w:spacing w:val="-10"/>
        </w:rPr>
        <w:t xml:space="preserve"> </w:t>
      </w:r>
      <w:r>
        <w:rPr>
          <w:color w:val="211F1F"/>
          <w:spacing w:val="-4"/>
        </w:rPr>
        <w:t>breach</w:t>
      </w:r>
      <w:r>
        <w:rPr>
          <w:color w:val="211F1F"/>
          <w:spacing w:val="12"/>
        </w:rPr>
        <w:t xml:space="preserve"> </w:t>
      </w:r>
      <w:r>
        <w:rPr>
          <w:color w:val="211F1F"/>
          <w:spacing w:val="-4"/>
        </w:rPr>
        <w:t xml:space="preserve">of </w:t>
      </w:r>
      <w:r>
        <w:rPr>
          <w:color w:val="211F1F"/>
          <w:spacing w:val="-2"/>
        </w:rPr>
        <w:t>our</w:t>
      </w:r>
      <w:r>
        <w:rPr>
          <w:color w:val="211F1F"/>
          <w:spacing w:val="-6"/>
        </w:rPr>
        <w:t xml:space="preserve"> </w:t>
      </w:r>
      <w:r>
        <w:rPr>
          <w:color w:val="211F1F"/>
          <w:spacing w:val="-2"/>
        </w:rPr>
        <w:t>obligation(s)</w:t>
      </w:r>
      <w:r>
        <w:rPr>
          <w:color w:val="211F1F"/>
          <w:spacing w:val="-9"/>
        </w:rPr>
        <w:t xml:space="preserve"> </w:t>
      </w:r>
      <w:r>
        <w:rPr>
          <w:color w:val="211F1F"/>
          <w:spacing w:val="-2"/>
        </w:rPr>
        <w:t>under</w:t>
      </w:r>
      <w:r>
        <w:rPr>
          <w:color w:val="211F1F"/>
          <w:spacing w:val="-5"/>
        </w:rPr>
        <w:t xml:space="preserve"> </w:t>
      </w:r>
      <w:r>
        <w:rPr>
          <w:color w:val="211F1F"/>
          <w:spacing w:val="-2"/>
        </w:rPr>
        <w:t>the</w:t>
      </w:r>
      <w:r>
        <w:rPr>
          <w:color w:val="211F1F"/>
          <w:spacing w:val="-10"/>
        </w:rPr>
        <w:t xml:space="preserve"> </w:t>
      </w:r>
      <w:r>
        <w:rPr>
          <w:color w:val="211F1F"/>
          <w:spacing w:val="-2"/>
        </w:rPr>
        <w:t>bid</w:t>
      </w:r>
      <w:r>
        <w:rPr>
          <w:color w:val="211F1F"/>
          <w:spacing w:val="-8"/>
        </w:rPr>
        <w:t xml:space="preserve"> </w:t>
      </w:r>
      <w:r>
        <w:rPr>
          <w:color w:val="211F1F"/>
          <w:spacing w:val="-2"/>
        </w:rPr>
        <w:t>conditions,</w:t>
      </w:r>
      <w:r>
        <w:rPr>
          <w:color w:val="211F1F"/>
          <w:spacing w:val="-5"/>
        </w:rPr>
        <w:t xml:space="preserve"> </w:t>
      </w:r>
      <w:r>
        <w:rPr>
          <w:color w:val="211F1F"/>
          <w:spacing w:val="-2"/>
        </w:rPr>
        <w:t>because</w:t>
      </w:r>
      <w:r>
        <w:rPr>
          <w:color w:val="211F1F"/>
          <w:spacing w:val="-10"/>
        </w:rPr>
        <w:t xml:space="preserve"> </w:t>
      </w:r>
      <w:r>
        <w:rPr>
          <w:color w:val="211F1F"/>
          <w:spacing w:val="-2"/>
        </w:rPr>
        <w:t>we</w:t>
      </w:r>
      <w:r>
        <w:rPr>
          <w:color w:val="211F1F"/>
          <w:spacing w:val="-11"/>
        </w:rPr>
        <w:t xml:space="preserve"> </w:t>
      </w:r>
      <w:r>
        <w:rPr>
          <w:color w:val="211F1F"/>
          <w:spacing w:val="-2"/>
        </w:rPr>
        <w:t>–</w:t>
      </w:r>
      <w:r>
        <w:rPr>
          <w:color w:val="211F1F"/>
          <w:spacing w:val="-8"/>
        </w:rPr>
        <w:t xml:space="preserve"> </w:t>
      </w:r>
      <w:r>
        <w:rPr>
          <w:color w:val="211F1F"/>
          <w:spacing w:val="-2"/>
        </w:rPr>
        <w:t>(a)</w:t>
      </w:r>
      <w:r>
        <w:rPr>
          <w:color w:val="211F1F"/>
          <w:spacing w:val="-10"/>
        </w:rPr>
        <w:t xml:space="preserve"> </w:t>
      </w:r>
      <w:r>
        <w:rPr>
          <w:color w:val="211F1F"/>
          <w:spacing w:val="-2"/>
        </w:rPr>
        <w:t>have</w:t>
      </w:r>
      <w:r>
        <w:rPr>
          <w:color w:val="211F1F"/>
          <w:spacing w:val="-10"/>
        </w:rPr>
        <w:t xml:space="preserve"> </w:t>
      </w:r>
      <w:r>
        <w:rPr>
          <w:color w:val="211F1F"/>
          <w:spacing w:val="-2"/>
        </w:rPr>
        <w:t>withdrawn</w:t>
      </w:r>
      <w:r>
        <w:rPr>
          <w:color w:val="211F1F"/>
          <w:spacing w:val="-7"/>
        </w:rPr>
        <w:t xml:space="preserve"> </w:t>
      </w:r>
      <w:r>
        <w:rPr>
          <w:color w:val="211F1F"/>
          <w:spacing w:val="-2"/>
        </w:rPr>
        <w:t>our</w:t>
      </w:r>
      <w:r>
        <w:rPr>
          <w:color w:val="211F1F"/>
          <w:spacing w:val="-10"/>
        </w:rPr>
        <w:t xml:space="preserve"> </w:t>
      </w:r>
      <w:r>
        <w:rPr>
          <w:color w:val="211F1F"/>
          <w:spacing w:val="-2"/>
        </w:rPr>
        <w:t>tender</w:t>
      </w:r>
      <w:r>
        <w:rPr>
          <w:color w:val="211F1F"/>
          <w:spacing w:val="13"/>
        </w:rPr>
        <w:t xml:space="preserve"> </w:t>
      </w:r>
      <w:r>
        <w:rPr>
          <w:color w:val="211F1F"/>
          <w:spacing w:val="-2"/>
        </w:rPr>
        <w:t>during</w:t>
      </w:r>
      <w:r>
        <w:rPr>
          <w:color w:val="211F1F"/>
          <w:spacing w:val="-12"/>
        </w:rPr>
        <w:t xml:space="preserve"> </w:t>
      </w:r>
      <w:r>
        <w:rPr>
          <w:color w:val="211F1F"/>
          <w:spacing w:val="-2"/>
        </w:rPr>
        <w:t>the</w:t>
      </w:r>
      <w:r>
        <w:rPr>
          <w:color w:val="211F1F"/>
          <w:spacing w:val="-10"/>
        </w:rPr>
        <w:t xml:space="preserve"> </w:t>
      </w:r>
      <w:r>
        <w:rPr>
          <w:color w:val="211F1F"/>
          <w:spacing w:val="-2"/>
        </w:rPr>
        <w:t>period</w:t>
      </w:r>
      <w:r>
        <w:rPr>
          <w:color w:val="211F1F"/>
          <w:spacing w:val="-8"/>
        </w:rPr>
        <w:t xml:space="preserve"> </w:t>
      </w:r>
      <w:r>
        <w:rPr>
          <w:color w:val="211F1F"/>
          <w:spacing w:val="-2"/>
        </w:rPr>
        <w:t>of</w:t>
      </w:r>
      <w:r>
        <w:rPr>
          <w:color w:val="211F1F"/>
          <w:spacing w:val="-5"/>
        </w:rPr>
        <w:t xml:space="preserve"> </w:t>
      </w:r>
      <w:r>
        <w:rPr>
          <w:color w:val="211F1F"/>
          <w:spacing w:val="-2"/>
        </w:rPr>
        <w:t xml:space="preserve">tender </w:t>
      </w:r>
      <w:r>
        <w:rPr>
          <w:color w:val="211F1F"/>
        </w:rPr>
        <w:t>validity</w:t>
      </w:r>
      <w:r>
        <w:rPr>
          <w:color w:val="211F1F"/>
          <w:spacing w:val="-14"/>
        </w:rPr>
        <w:t xml:space="preserve"> </w:t>
      </w:r>
      <w:r>
        <w:rPr>
          <w:color w:val="211F1F"/>
        </w:rPr>
        <w:t>specified</w:t>
      </w:r>
      <w:r>
        <w:rPr>
          <w:color w:val="211F1F"/>
          <w:spacing w:val="-9"/>
        </w:rPr>
        <w:t xml:space="preserve"> </w:t>
      </w:r>
      <w:r>
        <w:rPr>
          <w:color w:val="211F1F"/>
        </w:rPr>
        <w:t>by</w:t>
      </w:r>
      <w:r>
        <w:rPr>
          <w:color w:val="211F1F"/>
          <w:spacing w:val="-8"/>
        </w:rPr>
        <w:t xml:space="preserve"> </w:t>
      </w:r>
      <w:r>
        <w:rPr>
          <w:color w:val="211F1F"/>
        </w:rPr>
        <w:t>us</w:t>
      </w:r>
      <w:r>
        <w:rPr>
          <w:color w:val="211F1F"/>
          <w:spacing w:val="-3"/>
        </w:rPr>
        <w:t xml:space="preserve"> </w:t>
      </w:r>
      <w:r>
        <w:rPr>
          <w:color w:val="211F1F"/>
        </w:rPr>
        <w:t>in</w:t>
      </w:r>
      <w:r>
        <w:rPr>
          <w:color w:val="211F1F"/>
          <w:spacing w:val="-8"/>
        </w:rPr>
        <w:t xml:space="preserve"> </w:t>
      </w:r>
      <w:r>
        <w:rPr>
          <w:color w:val="211F1F"/>
        </w:rPr>
        <w:t>the</w:t>
      </w:r>
      <w:r>
        <w:rPr>
          <w:color w:val="211F1F"/>
          <w:spacing w:val="-10"/>
        </w:rPr>
        <w:t xml:space="preserve"> </w:t>
      </w:r>
      <w:r>
        <w:rPr>
          <w:color w:val="211F1F"/>
        </w:rPr>
        <w:t>Tendering</w:t>
      </w:r>
      <w:r>
        <w:rPr>
          <w:color w:val="211F1F"/>
          <w:spacing w:val="-7"/>
        </w:rPr>
        <w:t xml:space="preserve"> </w:t>
      </w:r>
      <w:r>
        <w:rPr>
          <w:color w:val="211F1F"/>
        </w:rPr>
        <w:t>Data Sheet;</w:t>
      </w:r>
      <w:r>
        <w:rPr>
          <w:color w:val="211F1F"/>
          <w:spacing w:val="-2"/>
        </w:rPr>
        <w:t xml:space="preserve"> </w:t>
      </w:r>
      <w:r>
        <w:rPr>
          <w:color w:val="211F1F"/>
        </w:rPr>
        <w:t>or (b)</w:t>
      </w:r>
      <w:r>
        <w:rPr>
          <w:color w:val="211F1F"/>
          <w:spacing w:val="-5"/>
        </w:rPr>
        <w:t xml:space="preserve"> </w:t>
      </w:r>
      <w:r>
        <w:rPr>
          <w:color w:val="211F1F"/>
        </w:rPr>
        <w:t>having</w:t>
      </w:r>
      <w:r>
        <w:rPr>
          <w:color w:val="211F1F"/>
          <w:spacing w:val="-8"/>
        </w:rPr>
        <w:t xml:space="preserve"> </w:t>
      </w:r>
      <w:r>
        <w:rPr>
          <w:color w:val="211F1F"/>
        </w:rPr>
        <w:t>been</w:t>
      </w:r>
      <w:r>
        <w:rPr>
          <w:color w:val="211F1F"/>
          <w:spacing w:val="-4"/>
        </w:rPr>
        <w:t xml:space="preserve"> </w:t>
      </w:r>
      <w:r>
        <w:rPr>
          <w:color w:val="211F1F"/>
        </w:rPr>
        <w:t>notified</w:t>
      </w:r>
      <w:r>
        <w:rPr>
          <w:color w:val="211F1F"/>
          <w:spacing w:val="-3"/>
        </w:rPr>
        <w:t xml:space="preserve"> </w:t>
      </w:r>
      <w:r>
        <w:rPr>
          <w:color w:val="211F1F"/>
        </w:rPr>
        <w:t>of</w:t>
      </w:r>
      <w:r>
        <w:rPr>
          <w:color w:val="211F1F"/>
          <w:spacing w:val="-5"/>
        </w:rPr>
        <w:t xml:space="preserve"> </w:t>
      </w:r>
      <w:r>
        <w:rPr>
          <w:color w:val="211F1F"/>
        </w:rPr>
        <w:t>the</w:t>
      </w:r>
      <w:r>
        <w:rPr>
          <w:color w:val="211F1F"/>
          <w:spacing w:val="-10"/>
        </w:rPr>
        <w:t xml:space="preserve"> </w:t>
      </w:r>
      <w:r>
        <w:rPr>
          <w:color w:val="211F1F"/>
        </w:rPr>
        <w:t>acceptance</w:t>
      </w:r>
      <w:r>
        <w:rPr>
          <w:color w:val="211F1F"/>
          <w:spacing w:val="-5"/>
        </w:rPr>
        <w:t xml:space="preserve"> </w:t>
      </w:r>
      <w:r>
        <w:rPr>
          <w:color w:val="211F1F"/>
        </w:rPr>
        <w:t>of our Bid</w:t>
      </w:r>
      <w:r>
        <w:rPr>
          <w:color w:val="211F1F"/>
          <w:spacing w:val="-14"/>
        </w:rPr>
        <w:t xml:space="preserve"> </w:t>
      </w:r>
      <w:r>
        <w:rPr>
          <w:color w:val="211F1F"/>
        </w:rPr>
        <w:t>by the</w:t>
      </w:r>
      <w:r>
        <w:rPr>
          <w:color w:val="211F1F"/>
          <w:spacing w:val="-14"/>
        </w:rPr>
        <w:t xml:space="preserve"> </w:t>
      </w:r>
      <w:r>
        <w:rPr>
          <w:color w:val="211F1F"/>
        </w:rPr>
        <w:t>Purchaser</w:t>
      </w:r>
      <w:r>
        <w:rPr>
          <w:color w:val="211F1F"/>
          <w:spacing w:val="-1"/>
        </w:rPr>
        <w:t xml:space="preserve"> </w:t>
      </w:r>
      <w:r>
        <w:rPr>
          <w:color w:val="211F1F"/>
        </w:rPr>
        <w:t>during</w:t>
      </w:r>
      <w:r>
        <w:rPr>
          <w:color w:val="211F1F"/>
          <w:spacing w:val="-13"/>
        </w:rPr>
        <w:t xml:space="preserve"> </w:t>
      </w:r>
      <w:r>
        <w:rPr>
          <w:color w:val="211F1F"/>
        </w:rPr>
        <w:t>the</w:t>
      </w:r>
      <w:r>
        <w:rPr>
          <w:color w:val="211F1F"/>
          <w:spacing w:val="-11"/>
        </w:rPr>
        <w:t xml:space="preserve"> </w:t>
      </w:r>
      <w:r>
        <w:rPr>
          <w:color w:val="211F1F"/>
        </w:rPr>
        <w:t>period</w:t>
      </w:r>
      <w:r>
        <w:rPr>
          <w:color w:val="211F1F"/>
          <w:spacing w:val="-4"/>
        </w:rPr>
        <w:t xml:space="preserve"> </w:t>
      </w:r>
      <w:r>
        <w:rPr>
          <w:color w:val="211F1F"/>
        </w:rPr>
        <w:t>of</w:t>
      </w:r>
      <w:r>
        <w:rPr>
          <w:color w:val="211F1F"/>
          <w:spacing w:val="-6"/>
        </w:rPr>
        <w:t xml:space="preserve"> </w:t>
      </w:r>
      <w:r>
        <w:rPr>
          <w:color w:val="211F1F"/>
        </w:rPr>
        <w:t>bid</w:t>
      </w:r>
      <w:r>
        <w:rPr>
          <w:color w:val="211F1F"/>
          <w:spacing w:val="-9"/>
        </w:rPr>
        <w:t xml:space="preserve"> </w:t>
      </w:r>
      <w:r>
        <w:rPr>
          <w:color w:val="211F1F"/>
        </w:rPr>
        <w:t>validity,</w:t>
      </w:r>
      <w:r>
        <w:rPr>
          <w:color w:val="211F1F"/>
          <w:spacing w:val="-1"/>
        </w:rPr>
        <w:t xml:space="preserve"> </w:t>
      </w:r>
      <w:r>
        <w:rPr>
          <w:color w:val="211F1F"/>
        </w:rPr>
        <w:t>(i)</w:t>
      </w:r>
      <w:r>
        <w:rPr>
          <w:color w:val="211F1F"/>
          <w:spacing w:val="-6"/>
        </w:rPr>
        <w:t xml:space="preserve"> </w:t>
      </w:r>
      <w:r>
        <w:rPr>
          <w:color w:val="211F1F"/>
        </w:rPr>
        <w:t>fail</w:t>
      </w:r>
      <w:r>
        <w:rPr>
          <w:color w:val="211F1F"/>
          <w:spacing w:val="-8"/>
        </w:rPr>
        <w:t xml:space="preserve"> </w:t>
      </w:r>
      <w:r>
        <w:rPr>
          <w:color w:val="211F1F"/>
        </w:rPr>
        <w:t>or</w:t>
      </w:r>
      <w:r>
        <w:rPr>
          <w:color w:val="211F1F"/>
          <w:spacing w:val="-6"/>
        </w:rPr>
        <w:t xml:space="preserve"> </w:t>
      </w:r>
      <w:r>
        <w:rPr>
          <w:color w:val="211F1F"/>
        </w:rPr>
        <w:t>refuse</w:t>
      </w:r>
      <w:r>
        <w:rPr>
          <w:color w:val="211F1F"/>
          <w:spacing w:val="-11"/>
        </w:rPr>
        <w:t xml:space="preserve"> </w:t>
      </w:r>
      <w:r>
        <w:rPr>
          <w:color w:val="211F1F"/>
        </w:rPr>
        <w:t>to</w:t>
      </w:r>
      <w:r>
        <w:rPr>
          <w:color w:val="211F1F"/>
          <w:spacing w:val="-9"/>
        </w:rPr>
        <w:t xml:space="preserve"> </w:t>
      </w:r>
      <w:r>
        <w:rPr>
          <w:color w:val="211F1F"/>
        </w:rPr>
        <w:t>execute</w:t>
      </w:r>
      <w:r>
        <w:rPr>
          <w:color w:val="211F1F"/>
          <w:spacing w:val="-10"/>
        </w:rPr>
        <w:t xml:space="preserve"> </w:t>
      </w:r>
      <w:r>
        <w:rPr>
          <w:color w:val="211F1F"/>
        </w:rPr>
        <w:t>the</w:t>
      </w:r>
      <w:r>
        <w:rPr>
          <w:color w:val="211F1F"/>
          <w:spacing w:val="-11"/>
        </w:rPr>
        <w:t xml:space="preserve"> </w:t>
      </w:r>
      <w:r>
        <w:rPr>
          <w:color w:val="211F1F"/>
        </w:rPr>
        <w:t>Contract,</w:t>
      </w:r>
      <w:r>
        <w:rPr>
          <w:color w:val="211F1F"/>
          <w:spacing w:val="-6"/>
        </w:rPr>
        <w:t xml:space="preserve"> </w:t>
      </w:r>
      <w:r>
        <w:rPr>
          <w:color w:val="211F1F"/>
        </w:rPr>
        <w:t>if</w:t>
      </w:r>
      <w:r>
        <w:rPr>
          <w:color w:val="211F1F"/>
          <w:spacing w:val="-6"/>
        </w:rPr>
        <w:t xml:space="preserve"> </w:t>
      </w:r>
      <w:r>
        <w:rPr>
          <w:color w:val="211F1F"/>
        </w:rPr>
        <w:t>required,</w:t>
      </w:r>
      <w:r>
        <w:rPr>
          <w:color w:val="211F1F"/>
          <w:spacing w:val="-7"/>
        </w:rPr>
        <w:t xml:space="preserve"> </w:t>
      </w:r>
      <w:r>
        <w:rPr>
          <w:color w:val="211F1F"/>
        </w:rPr>
        <w:t>or</w:t>
      </w:r>
      <w:r>
        <w:rPr>
          <w:color w:val="211F1F"/>
          <w:spacing w:val="-6"/>
        </w:rPr>
        <w:t xml:space="preserve"> </w:t>
      </w:r>
      <w:r>
        <w:rPr>
          <w:color w:val="211F1F"/>
        </w:rPr>
        <w:t>(ii)</w:t>
      </w:r>
      <w:r>
        <w:rPr>
          <w:color w:val="211F1F"/>
          <w:spacing w:val="13"/>
        </w:rPr>
        <w:t xml:space="preserve"> </w:t>
      </w:r>
      <w:r>
        <w:rPr>
          <w:color w:val="211F1F"/>
        </w:rPr>
        <w:t>fail</w:t>
      </w:r>
      <w:r>
        <w:rPr>
          <w:color w:val="211F1F"/>
          <w:spacing w:val="-13"/>
        </w:rPr>
        <w:t xml:space="preserve"> </w:t>
      </w:r>
      <w:r>
        <w:rPr>
          <w:color w:val="211F1F"/>
        </w:rPr>
        <w:t>or refuse</w:t>
      </w:r>
      <w:r>
        <w:rPr>
          <w:color w:val="211F1F"/>
          <w:spacing w:val="-6"/>
        </w:rPr>
        <w:t xml:space="preserve"> </w:t>
      </w:r>
      <w:r>
        <w:rPr>
          <w:color w:val="211F1F"/>
        </w:rPr>
        <w:t>to</w:t>
      </w:r>
      <w:r>
        <w:rPr>
          <w:color w:val="211F1F"/>
          <w:spacing w:val="-4"/>
        </w:rPr>
        <w:t xml:space="preserve"> </w:t>
      </w:r>
      <w:r>
        <w:rPr>
          <w:color w:val="211F1F"/>
        </w:rPr>
        <w:t>furnish</w:t>
      </w:r>
      <w:r>
        <w:rPr>
          <w:color w:val="211F1F"/>
          <w:spacing w:val="-4"/>
        </w:rPr>
        <w:t xml:space="preserve"> </w:t>
      </w:r>
      <w:r>
        <w:rPr>
          <w:color w:val="211F1F"/>
        </w:rPr>
        <w:t>the</w:t>
      </w:r>
      <w:r>
        <w:rPr>
          <w:color w:val="211F1F"/>
          <w:spacing w:val="-6"/>
        </w:rPr>
        <w:t xml:space="preserve"> </w:t>
      </w:r>
      <w:r>
        <w:rPr>
          <w:color w:val="211F1F"/>
        </w:rPr>
        <w:t>Performance</w:t>
      </w:r>
      <w:r>
        <w:rPr>
          <w:color w:val="211F1F"/>
          <w:spacing w:val="-6"/>
        </w:rPr>
        <w:t xml:space="preserve"> </w:t>
      </w:r>
      <w:r>
        <w:rPr>
          <w:color w:val="211F1F"/>
        </w:rPr>
        <w:t>Security, in</w:t>
      </w:r>
      <w:r>
        <w:rPr>
          <w:color w:val="211F1F"/>
          <w:spacing w:val="-4"/>
        </w:rPr>
        <w:t xml:space="preserve"> </w:t>
      </w:r>
      <w:r>
        <w:rPr>
          <w:color w:val="211F1F"/>
        </w:rPr>
        <w:t>accordance with</w:t>
      </w:r>
      <w:r>
        <w:rPr>
          <w:color w:val="211F1F"/>
          <w:spacing w:val="-3"/>
        </w:rPr>
        <w:t xml:space="preserve"> </w:t>
      </w:r>
      <w:r>
        <w:rPr>
          <w:color w:val="211F1F"/>
        </w:rPr>
        <w:t>the</w:t>
      </w:r>
      <w:r>
        <w:rPr>
          <w:color w:val="211F1F"/>
          <w:spacing w:val="-7"/>
        </w:rPr>
        <w:t xml:space="preserve"> </w:t>
      </w:r>
      <w:r>
        <w:rPr>
          <w:color w:val="211F1F"/>
        </w:rPr>
        <w:t>instructions to</w:t>
      </w:r>
      <w:r>
        <w:rPr>
          <w:color w:val="211F1F"/>
          <w:spacing w:val="-4"/>
        </w:rPr>
        <w:t xml:space="preserve"> </w:t>
      </w:r>
      <w:r>
        <w:rPr>
          <w:color w:val="211F1F"/>
        </w:rPr>
        <w:t>tenders.</w:t>
      </w:r>
    </w:p>
    <w:p w14:paraId="4868D55B" w14:textId="77777777" w:rsidR="00BB77C0" w:rsidRDefault="00370BAA">
      <w:pPr>
        <w:pStyle w:val="ListParagraph"/>
        <w:numPr>
          <w:ilvl w:val="0"/>
          <w:numId w:val="37"/>
        </w:numPr>
        <w:tabs>
          <w:tab w:val="left" w:pos="1051"/>
          <w:tab w:val="left" w:pos="1061"/>
        </w:tabs>
        <w:spacing w:before="240" w:line="232" w:lineRule="auto"/>
        <w:ind w:left="1061" w:right="756" w:hanging="581"/>
      </w:pPr>
      <w:r>
        <w:rPr>
          <w:color w:val="211F1F"/>
        </w:rPr>
        <w:t>I/We</w:t>
      </w:r>
      <w:r>
        <w:rPr>
          <w:color w:val="211F1F"/>
          <w:spacing w:val="-18"/>
        </w:rPr>
        <w:t xml:space="preserve"> </w:t>
      </w:r>
      <w:r>
        <w:rPr>
          <w:color w:val="211F1F"/>
        </w:rPr>
        <w:t>understand</w:t>
      </w:r>
      <w:r>
        <w:rPr>
          <w:color w:val="211F1F"/>
          <w:spacing w:val="-16"/>
        </w:rPr>
        <w:t xml:space="preserve"> </w:t>
      </w:r>
      <w:r>
        <w:rPr>
          <w:color w:val="211F1F"/>
        </w:rPr>
        <w:t>that</w:t>
      </w:r>
      <w:r>
        <w:rPr>
          <w:color w:val="211F1F"/>
          <w:spacing w:val="-14"/>
        </w:rPr>
        <w:t xml:space="preserve"> </w:t>
      </w:r>
      <w:r>
        <w:rPr>
          <w:color w:val="211F1F"/>
        </w:rPr>
        <w:t>this</w:t>
      </w:r>
      <w:r>
        <w:rPr>
          <w:color w:val="211F1F"/>
          <w:spacing w:val="-16"/>
        </w:rPr>
        <w:t xml:space="preserve"> </w:t>
      </w:r>
      <w:r>
        <w:rPr>
          <w:color w:val="211F1F"/>
        </w:rPr>
        <w:t>Tender</w:t>
      </w:r>
      <w:r>
        <w:rPr>
          <w:color w:val="211F1F"/>
          <w:spacing w:val="-14"/>
        </w:rPr>
        <w:t xml:space="preserve"> </w:t>
      </w:r>
      <w:r>
        <w:rPr>
          <w:color w:val="211F1F"/>
        </w:rPr>
        <w:t>Securing</w:t>
      </w:r>
      <w:r>
        <w:rPr>
          <w:color w:val="211F1F"/>
          <w:spacing w:val="-17"/>
        </w:rPr>
        <w:t xml:space="preserve"> </w:t>
      </w:r>
      <w:r>
        <w:rPr>
          <w:color w:val="211F1F"/>
        </w:rPr>
        <w:t>Declaration</w:t>
      </w:r>
      <w:r>
        <w:rPr>
          <w:color w:val="211F1F"/>
          <w:spacing w:val="-16"/>
        </w:rPr>
        <w:t xml:space="preserve"> </w:t>
      </w:r>
      <w:r>
        <w:rPr>
          <w:color w:val="211F1F"/>
        </w:rPr>
        <w:t>shall</w:t>
      </w:r>
      <w:r>
        <w:rPr>
          <w:color w:val="211F1F"/>
          <w:spacing w:val="-14"/>
        </w:rPr>
        <w:t xml:space="preserve"> </w:t>
      </w:r>
      <w:r>
        <w:rPr>
          <w:color w:val="211F1F"/>
        </w:rPr>
        <w:t>expire</w:t>
      </w:r>
      <w:r>
        <w:rPr>
          <w:color w:val="211F1F"/>
          <w:spacing w:val="-19"/>
        </w:rPr>
        <w:t xml:space="preserve"> </w:t>
      </w:r>
      <w:r>
        <w:rPr>
          <w:color w:val="211F1F"/>
        </w:rPr>
        <w:t>if</w:t>
      </w:r>
      <w:r>
        <w:rPr>
          <w:color w:val="211F1F"/>
          <w:spacing w:val="-13"/>
        </w:rPr>
        <w:t xml:space="preserve"> </w:t>
      </w:r>
      <w:r>
        <w:rPr>
          <w:color w:val="211F1F"/>
        </w:rPr>
        <w:t>we</w:t>
      </w:r>
      <w:r>
        <w:rPr>
          <w:color w:val="211F1F"/>
          <w:spacing w:val="-19"/>
        </w:rPr>
        <w:t xml:space="preserve"> </w:t>
      </w:r>
      <w:r>
        <w:rPr>
          <w:color w:val="211F1F"/>
        </w:rPr>
        <w:t>are</w:t>
      </w:r>
      <w:r>
        <w:rPr>
          <w:color w:val="211F1F"/>
          <w:spacing w:val="-14"/>
        </w:rPr>
        <w:t xml:space="preserve"> </w:t>
      </w:r>
      <w:r>
        <w:rPr>
          <w:color w:val="211F1F"/>
        </w:rPr>
        <w:t>not</w:t>
      </w:r>
      <w:r>
        <w:rPr>
          <w:color w:val="211F1F"/>
          <w:spacing w:val="-14"/>
        </w:rPr>
        <w:t xml:space="preserve"> </w:t>
      </w:r>
      <w:r>
        <w:rPr>
          <w:color w:val="211F1F"/>
        </w:rPr>
        <w:t>the</w:t>
      </w:r>
      <w:r>
        <w:rPr>
          <w:color w:val="211F1F"/>
          <w:spacing w:val="-19"/>
        </w:rPr>
        <w:t xml:space="preserve"> </w:t>
      </w:r>
      <w:r>
        <w:rPr>
          <w:color w:val="211F1F"/>
        </w:rPr>
        <w:t>successful</w:t>
      </w:r>
      <w:r>
        <w:rPr>
          <w:color w:val="211F1F"/>
          <w:spacing w:val="-15"/>
        </w:rPr>
        <w:t xml:space="preserve"> </w:t>
      </w:r>
      <w:r>
        <w:rPr>
          <w:color w:val="211F1F"/>
        </w:rPr>
        <w:t>Tenderer(s),</w:t>
      </w:r>
      <w:r>
        <w:rPr>
          <w:color w:val="211F1F"/>
          <w:spacing w:val="-13"/>
        </w:rPr>
        <w:t xml:space="preserve"> </w:t>
      </w:r>
      <w:r>
        <w:rPr>
          <w:color w:val="211F1F"/>
        </w:rPr>
        <w:t>upon the earlier of:</w:t>
      </w:r>
    </w:p>
    <w:p w14:paraId="78CDEF34" w14:textId="77777777" w:rsidR="00BB77C0" w:rsidRDefault="00370BAA">
      <w:pPr>
        <w:pStyle w:val="ListParagraph"/>
        <w:numPr>
          <w:ilvl w:val="1"/>
          <w:numId w:val="37"/>
        </w:numPr>
        <w:tabs>
          <w:tab w:val="left" w:pos="1522"/>
        </w:tabs>
        <w:spacing w:line="244" w:lineRule="exact"/>
      </w:pPr>
      <w:r>
        <w:rPr>
          <w:color w:val="211F1F"/>
          <w:spacing w:val="-4"/>
        </w:rPr>
        <w:t>our</w:t>
      </w:r>
      <w:r>
        <w:rPr>
          <w:color w:val="211F1F"/>
          <w:spacing w:val="-13"/>
        </w:rPr>
        <w:t xml:space="preserve"> </w:t>
      </w:r>
      <w:r>
        <w:rPr>
          <w:color w:val="211F1F"/>
          <w:spacing w:val="-4"/>
        </w:rPr>
        <w:t>receipt</w:t>
      </w:r>
      <w:r>
        <w:rPr>
          <w:color w:val="211F1F"/>
          <w:spacing w:val="-1"/>
        </w:rPr>
        <w:t xml:space="preserve"> </w:t>
      </w:r>
      <w:r>
        <w:rPr>
          <w:color w:val="211F1F"/>
          <w:spacing w:val="-4"/>
        </w:rPr>
        <w:t>of</w:t>
      </w:r>
      <w:r>
        <w:rPr>
          <w:color w:val="211F1F"/>
          <w:spacing w:val="-22"/>
        </w:rPr>
        <w:t xml:space="preserve"> </w:t>
      </w:r>
      <w:r>
        <w:rPr>
          <w:color w:val="211F1F"/>
          <w:spacing w:val="-4"/>
        </w:rPr>
        <w:t>a copy</w:t>
      </w:r>
      <w:r>
        <w:rPr>
          <w:color w:val="211F1F"/>
          <w:spacing w:val="-21"/>
        </w:rPr>
        <w:t xml:space="preserve"> </w:t>
      </w:r>
      <w:r>
        <w:rPr>
          <w:color w:val="211F1F"/>
          <w:spacing w:val="-4"/>
        </w:rPr>
        <w:t>of</w:t>
      </w:r>
      <w:r>
        <w:rPr>
          <w:color w:val="211F1F"/>
          <w:spacing w:val="-10"/>
        </w:rPr>
        <w:t xml:space="preserve"> </w:t>
      </w:r>
      <w:r>
        <w:rPr>
          <w:color w:val="211F1F"/>
          <w:spacing w:val="-4"/>
        </w:rPr>
        <w:t>your</w:t>
      </w:r>
      <w:r>
        <w:rPr>
          <w:color w:val="211F1F"/>
          <w:spacing w:val="-10"/>
        </w:rPr>
        <w:t xml:space="preserve"> </w:t>
      </w:r>
      <w:r>
        <w:rPr>
          <w:color w:val="211F1F"/>
          <w:spacing w:val="-4"/>
        </w:rPr>
        <w:t>notification</w:t>
      </w:r>
      <w:r>
        <w:rPr>
          <w:color w:val="211F1F"/>
          <w:spacing w:val="-13"/>
        </w:rPr>
        <w:t xml:space="preserve"> </w:t>
      </w:r>
      <w:r>
        <w:rPr>
          <w:color w:val="211F1F"/>
          <w:spacing w:val="-4"/>
        </w:rPr>
        <w:t>of</w:t>
      </w:r>
      <w:r>
        <w:rPr>
          <w:color w:val="211F1F"/>
          <w:spacing w:val="-9"/>
        </w:rPr>
        <w:t xml:space="preserve"> </w:t>
      </w:r>
      <w:r>
        <w:rPr>
          <w:color w:val="211F1F"/>
          <w:spacing w:val="-4"/>
        </w:rPr>
        <w:t>the</w:t>
      </w:r>
      <w:r>
        <w:rPr>
          <w:color w:val="211F1F"/>
          <w:spacing w:val="-17"/>
        </w:rPr>
        <w:t xml:space="preserve"> </w:t>
      </w:r>
      <w:r>
        <w:rPr>
          <w:color w:val="211F1F"/>
          <w:spacing w:val="-4"/>
        </w:rPr>
        <w:t>name</w:t>
      </w:r>
      <w:r>
        <w:rPr>
          <w:color w:val="211F1F"/>
          <w:spacing w:val="-17"/>
        </w:rPr>
        <w:t xml:space="preserve"> </w:t>
      </w:r>
      <w:r>
        <w:rPr>
          <w:color w:val="211F1F"/>
          <w:spacing w:val="-4"/>
        </w:rPr>
        <w:t>of the</w:t>
      </w:r>
      <w:r>
        <w:rPr>
          <w:color w:val="211F1F"/>
          <w:spacing w:val="-16"/>
        </w:rPr>
        <w:t xml:space="preserve"> </w:t>
      </w:r>
      <w:r>
        <w:rPr>
          <w:color w:val="211F1F"/>
          <w:spacing w:val="-4"/>
        </w:rPr>
        <w:t>successful</w:t>
      </w:r>
      <w:r>
        <w:rPr>
          <w:color w:val="211F1F"/>
          <w:spacing w:val="-18"/>
        </w:rPr>
        <w:t xml:space="preserve"> </w:t>
      </w:r>
      <w:r>
        <w:rPr>
          <w:color w:val="211F1F"/>
          <w:spacing w:val="-4"/>
        </w:rPr>
        <w:t>Tenderer;</w:t>
      </w:r>
      <w:r>
        <w:rPr>
          <w:color w:val="211F1F"/>
          <w:spacing w:val="1"/>
        </w:rPr>
        <w:t xml:space="preserve"> </w:t>
      </w:r>
      <w:r>
        <w:rPr>
          <w:color w:val="211F1F"/>
          <w:spacing w:val="-5"/>
        </w:rPr>
        <w:t>or</w:t>
      </w:r>
    </w:p>
    <w:p w14:paraId="0F5E945B" w14:textId="77777777" w:rsidR="00BB77C0" w:rsidRDefault="00370BAA">
      <w:pPr>
        <w:pStyle w:val="ListParagraph"/>
        <w:numPr>
          <w:ilvl w:val="1"/>
          <w:numId w:val="37"/>
        </w:numPr>
        <w:tabs>
          <w:tab w:val="left" w:pos="1522"/>
        </w:tabs>
        <w:spacing w:line="252" w:lineRule="exact"/>
      </w:pPr>
      <w:r>
        <w:rPr>
          <w:color w:val="211F1F"/>
          <w:spacing w:val="-4"/>
        </w:rPr>
        <w:t>thirty</w:t>
      </w:r>
      <w:r>
        <w:rPr>
          <w:color w:val="211F1F"/>
          <w:spacing w:val="-14"/>
        </w:rPr>
        <w:t xml:space="preserve"> </w:t>
      </w:r>
      <w:r>
        <w:rPr>
          <w:color w:val="211F1F"/>
          <w:spacing w:val="-4"/>
        </w:rPr>
        <w:t>days</w:t>
      </w:r>
      <w:r>
        <w:rPr>
          <w:color w:val="211F1F"/>
          <w:spacing w:val="-13"/>
        </w:rPr>
        <w:t xml:space="preserve"> </w:t>
      </w:r>
      <w:r>
        <w:rPr>
          <w:color w:val="211F1F"/>
          <w:spacing w:val="-4"/>
        </w:rPr>
        <w:t>after</w:t>
      </w:r>
      <w:r>
        <w:rPr>
          <w:color w:val="211F1F"/>
          <w:spacing w:val="-10"/>
        </w:rPr>
        <w:t xml:space="preserve"> </w:t>
      </w:r>
      <w:r>
        <w:rPr>
          <w:color w:val="211F1F"/>
          <w:spacing w:val="-4"/>
        </w:rPr>
        <w:t>the</w:t>
      </w:r>
      <w:r>
        <w:rPr>
          <w:color w:val="211F1F"/>
          <w:spacing w:val="-11"/>
        </w:rPr>
        <w:t xml:space="preserve"> </w:t>
      </w:r>
      <w:r>
        <w:rPr>
          <w:color w:val="211F1F"/>
          <w:spacing w:val="-4"/>
        </w:rPr>
        <w:t>expiration</w:t>
      </w:r>
      <w:r>
        <w:rPr>
          <w:color w:val="211F1F"/>
          <w:spacing w:val="-8"/>
        </w:rPr>
        <w:t xml:space="preserve"> </w:t>
      </w:r>
      <w:r>
        <w:rPr>
          <w:color w:val="211F1F"/>
          <w:spacing w:val="-4"/>
        </w:rPr>
        <w:t>of our</w:t>
      </w:r>
      <w:r>
        <w:rPr>
          <w:color w:val="211F1F"/>
          <w:spacing w:val="-11"/>
        </w:rPr>
        <w:t xml:space="preserve"> </w:t>
      </w:r>
      <w:r>
        <w:rPr>
          <w:color w:val="211F1F"/>
          <w:spacing w:val="-4"/>
        </w:rPr>
        <w:t>Tender.</w:t>
      </w:r>
    </w:p>
    <w:p w14:paraId="3A6E2147" w14:textId="77777777" w:rsidR="00BB77C0" w:rsidRDefault="00370BAA">
      <w:pPr>
        <w:pStyle w:val="ListParagraph"/>
        <w:numPr>
          <w:ilvl w:val="0"/>
          <w:numId w:val="37"/>
        </w:numPr>
        <w:tabs>
          <w:tab w:val="left" w:pos="1055"/>
          <w:tab w:val="left" w:pos="1066"/>
        </w:tabs>
        <w:spacing w:before="235" w:line="230" w:lineRule="auto"/>
        <w:ind w:left="1066" w:right="706" w:hanging="581"/>
        <w:jc w:val="both"/>
      </w:pPr>
      <w:r>
        <w:rPr>
          <w:color w:val="211F1F"/>
          <w:spacing w:val="-2"/>
        </w:rPr>
        <w:t>I/We</w:t>
      </w:r>
      <w:r>
        <w:rPr>
          <w:color w:val="211F1F"/>
          <w:spacing w:val="-12"/>
        </w:rPr>
        <w:t xml:space="preserve"> </w:t>
      </w:r>
      <w:r>
        <w:rPr>
          <w:color w:val="211F1F"/>
          <w:spacing w:val="-2"/>
        </w:rPr>
        <w:t>understand</w:t>
      </w:r>
      <w:r>
        <w:rPr>
          <w:color w:val="211F1F"/>
          <w:spacing w:val="-12"/>
        </w:rPr>
        <w:t xml:space="preserve"> </w:t>
      </w:r>
      <w:r>
        <w:rPr>
          <w:color w:val="211F1F"/>
          <w:spacing w:val="-2"/>
        </w:rPr>
        <w:t>that</w:t>
      </w:r>
      <w:r>
        <w:rPr>
          <w:color w:val="211F1F"/>
          <w:spacing w:val="-12"/>
        </w:rPr>
        <w:t xml:space="preserve"> </w:t>
      </w:r>
      <w:r>
        <w:rPr>
          <w:color w:val="211F1F"/>
          <w:spacing w:val="-2"/>
        </w:rPr>
        <w:t>if</w:t>
      </w:r>
      <w:r>
        <w:rPr>
          <w:color w:val="211F1F"/>
          <w:spacing w:val="-11"/>
        </w:rPr>
        <w:t xml:space="preserve"> </w:t>
      </w:r>
      <w:r>
        <w:rPr>
          <w:color w:val="211F1F"/>
          <w:spacing w:val="-2"/>
        </w:rPr>
        <w:t>I</w:t>
      </w:r>
      <w:r>
        <w:rPr>
          <w:color w:val="211F1F"/>
          <w:spacing w:val="-12"/>
        </w:rPr>
        <w:t xml:space="preserve"> </w:t>
      </w:r>
      <w:r>
        <w:rPr>
          <w:color w:val="211F1F"/>
          <w:spacing w:val="-2"/>
        </w:rPr>
        <w:t>am/we</w:t>
      </w:r>
      <w:r>
        <w:rPr>
          <w:color w:val="211F1F"/>
          <w:spacing w:val="-6"/>
        </w:rPr>
        <w:t xml:space="preserve"> </w:t>
      </w:r>
      <w:r>
        <w:rPr>
          <w:color w:val="211F1F"/>
          <w:spacing w:val="-2"/>
        </w:rPr>
        <w:t>are/in</w:t>
      </w:r>
      <w:r>
        <w:rPr>
          <w:color w:val="211F1F"/>
          <w:spacing w:val="-10"/>
        </w:rPr>
        <w:t xml:space="preserve"> </w:t>
      </w:r>
      <w:r>
        <w:rPr>
          <w:color w:val="211F1F"/>
          <w:spacing w:val="-2"/>
        </w:rPr>
        <w:t>a</w:t>
      </w:r>
      <w:r>
        <w:rPr>
          <w:color w:val="211F1F"/>
          <w:spacing w:val="-3"/>
        </w:rPr>
        <w:t xml:space="preserve"> </w:t>
      </w:r>
      <w:r>
        <w:rPr>
          <w:color w:val="211F1F"/>
          <w:spacing w:val="-2"/>
        </w:rPr>
        <w:t>Joint</w:t>
      </w:r>
      <w:r>
        <w:rPr>
          <w:color w:val="211F1F"/>
          <w:spacing w:val="-9"/>
        </w:rPr>
        <w:t xml:space="preserve"> </w:t>
      </w:r>
      <w:r>
        <w:rPr>
          <w:color w:val="211F1F"/>
          <w:spacing w:val="-2"/>
        </w:rPr>
        <w:t>Venture,</w:t>
      </w:r>
      <w:r>
        <w:rPr>
          <w:color w:val="211F1F"/>
          <w:spacing w:val="-12"/>
        </w:rPr>
        <w:t xml:space="preserve"> </w:t>
      </w:r>
      <w:r>
        <w:rPr>
          <w:color w:val="211F1F"/>
          <w:spacing w:val="-2"/>
        </w:rPr>
        <w:t>the</w:t>
      </w:r>
      <w:r>
        <w:rPr>
          <w:color w:val="211F1F"/>
          <w:spacing w:val="-12"/>
        </w:rPr>
        <w:t xml:space="preserve"> </w:t>
      </w:r>
      <w:r>
        <w:rPr>
          <w:color w:val="211F1F"/>
          <w:spacing w:val="-2"/>
        </w:rPr>
        <w:t>Tender Securing</w:t>
      </w:r>
      <w:r>
        <w:rPr>
          <w:color w:val="211F1F"/>
          <w:spacing w:val="-9"/>
        </w:rPr>
        <w:t xml:space="preserve"> </w:t>
      </w:r>
      <w:r>
        <w:rPr>
          <w:color w:val="211F1F"/>
          <w:spacing w:val="-2"/>
        </w:rPr>
        <w:t>Declaration</w:t>
      </w:r>
      <w:r>
        <w:rPr>
          <w:color w:val="211F1F"/>
          <w:spacing w:val="-10"/>
        </w:rPr>
        <w:t xml:space="preserve"> </w:t>
      </w:r>
      <w:r>
        <w:rPr>
          <w:color w:val="211F1F"/>
          <w:spacing w:val="-2"/>
        </w:rPr>
        <w:t>must</w:t>
      </w:r>
      <w:r>
        <w:rPr>
          <w:color w:val="211F1F"/>
          <w:spacing w:val="-3"/>
        </w:rPr>
        <w:t xml:space="preserve"> </w:t>
      </w:r>
      <w:r>
        <w:rPr>
          <w:color w:val="211F1F"/>
          <w:spacing w:val="-2"/>
        </w:rPr>
        <w:t>be</w:t>
      </w:r>
      <w:r>
        <w:rPr>
          <w:color w:val="211F1F"/>
          <w:spacing w:val="-12"/>
        </w:rPr>
        <w:t xml:space="preserve"> </w:t>
      </w:r>
      <w:r>
        <w:rPr>
          <w:color w:val="211F1F"/>
          <w:spacing w:val="-2"/>
        </w:rPr>
        <w:t>in</w:t>
      </w:r>
      <w:r>
        <w:rPr>
          <w:color w:val="211F1F"/>
          <w:spacing w:val="-10"/>
        </w:rPr>
        <w:t xml:space="preserve"> </w:t>
      </w:r>
      <w:r>
        <w:rPr>
          <w:color w:val="211F1F"/>
          <w:spacing w:val="-2"/>
        </w:rPr>
        <w:t>the</w:t>
      </w:r>
      <w:r>
        <w:rPr>
          <w:color w:val="211F1F"/>
          <w:spacing w:val="-12"/>
        </w:rPr>
        <w:t xml:space="preserve"> </w:t>
      </w:r>
      <w:r>
        <w:rPr>
          <w:color w:val="211F1F"/>
          <w:spacing w:val="-2"/>
        </w:rPr>
        <w:t>name</w:t>
      </w:r>
      <w:r>
        <w:rPr>
          <w:color w:val="211F1F"/>
          <w:spacing w:val="-7"/>
        </w:rPr>
        <w:t xml:space="preserve"> </w:t>
      </w:r>
      <w:r>
        <w:rPr>
          <w:color w:val="211F1F"/>
          <w:spacing w:val="-2"/>
        </w:rPr>
        <w:t>of</w:t>
      </w:r>
      <w:r>
        <w:rPr>
          <w:color w:val="211F1F"/>
          <w:spacing w:val="-7"/>
        </w:rPr>
        <w:t xml:space="preserve"> </w:t>
      </w:r>
      <w:r>
        <w:rPr>
          <w:color w:val="211F1F"/>
          <w:spacing w:val="-2"/>
        </w:rPr>
        <w:t xml:space="preserve">the </w:t>
      </w:r>
      <w:r>
        <w:rPr>
          <w:color w:val="211F1F"/>
        </w:rPr>
        <w:t>Joint Venture</w:t>
      </w:r>
      <w:r>
        <w:rPr>
          <w:color w:val="211F1F"/>
          <w:spacing w:val="-14"/>
        </w:rPr>
        <w:t xml:space="preserve"> </w:t>
      </w:r>
      <w:r>
        <w:rPr>
          <w:color w:val="211F1F"/>
        </w:rPr>
        <w:t>that submits</w:t>
      </w:r>
      <w:r>
        <w:rPr>
          <w:color w:val="211F1F"/>
          <w:spacing w:val="-4"/>
        </w:rPr>
        <w:t xml:space="preserve"> </w:t>
      </w:r>
      <w:r>
        <w:rPr>
          <w:color w:val="211F1F"/>
        </w:rPr>
        <w:t>the</w:t>
      </w:r>
      <w:r>
        <w:rPr>
          <w:color w:val="211F1F"/>
          <w:spacing w:val="-7"/>
        </w:rPr>
        <w:t xml:space="preserve"> </w:t>
      </w:r>
      <w:r>
        <w:rPr>
          <w:color w:val="211F1F"/>
        </w:rPr>
        <w:t>bid,</w:t>
      </w:r>
      <w:r>
        <w:rPr>
          <w:color w:val="211F1F"/>
          <w:spacing w:val="-1"/>
        </w:rPr>
        <w:t xml:space="preserve"> </w:t>
      </w:r>
      <w:r>
        <w:rPr>
          <w:color w:val="211F1F"/>
        </w:rPr>
        <w:t>and</w:t>
      </w:r>
      <w:r>
        <w:rPr>
          <w:color w:val="211F1F"/>
          <w:spacing w:val="-4"/>
        </w:rPr>
        <w:t xml:space="preserve"> </w:t>
      </w:r>
      <w:r>
        <w:rPr>
          <w:color w:val="211F1F"/>
        </w:rPr>
        <w:t>the</w:t>
      </w:r>
      <w:r>
        <w:rPr>
          <w:color w:val="211F1F"/>
          <w:spacing w:val="-7"/>
        </w:rPr>
        <w:t xml:space="preserve"> </w:t>
      </w:r>
      <w:r>
        <w:rPr>
          <w:color w:val="211F1F"/>
        </w:rPr>
        <w:t>Joint Venture</w:t>
      </w:r>
      <w:r>
        <w:rPr>
          <w:color w:val="211F1F"/>
          <w:spacing w:val="-6"/>
        </w:rPr>
        <w:t xml:space="preserve"> </w:t>
      </w:r>
      <w:r>
        <w:rPr>
          <w:color w:val="211F1F"/>
        </w:rPr>
        <w:t>has</w:t>
      </w:r>
      <w:r>
        <w:rPr>
          <w:color w:val="211F1F"/>
          <w:spacing w:val="-4"/>
        </w:rPr>
        <w:t xml:space="preserve"> </w:t>
      </w:r>
      <w:r>
        <w:rPr>
          <w:color w:val="211F1F"/>
        </w:rPr>
        <w:t>not been legally</w:t>
      </w:r>
      <w:r>
        <w:rPr>
          <w:color w:val="211F1F"/>
          <w:spacing w:val="-8"/>
        </w:rPr>
        <w:t xml:space="preserve"> </w:t>
      </w:r>
      <w:r>
        <w:rPr>
          <w:color w:val="211F1F"/>
        </w:rPr>
        <w:t>constituted</w:t>
      </w:r>
      <w:r>
        <w:rPr>
          <w:color w:val="211F1F"/>
          <w:spacing w:val="-8"/>
        </w:rPr>
        <w:t xml:space="preserve"> </w:t>
      </w:r>
      <w:r>
        <w:rPr>
          <w:color w:val="211F1F"/>
        </w:rPr>
        <w:t>at the</w:t>
      </w:r>
      <w:r>
        <w:rPr>
          <w:color w:val="211F1F"/>
          <w:spacing w:val="-11"/>
        </w:rPr>
        <w:t xml:space="preserve"> </w:t>
      </w:r>
      <w:r>
        <w:rPr>
          <w:color w:val="211F1F"/>
        </w:rPr>
        <w:t>time</w:t>
      </w:r>
      <w:r>
        <w:rPr>
          <w:color w:val="211F1F"/>
          <w:spacing w:val="-1"/>
        </w:rPr>
        <w:t xml:space="preserve"> </w:t>
      </w:r>
      <w:r>
        <w:rPr>
          <w:color w:val="211F1F"/>
        </w:rPr>
        <w:t>of</w:t>
      </w:r>
      <w:r>
        <w:rPr>
          <w:color w:val="211F1F"/>
          <w:spacing w:val="-1"/>
        </w:rPr>
        <w:t xml:space="preserve"> </w:t>
      </w:r>
      <w:r>
        <w:rPr>
          <w:color w:val="211F1F"/>
        </w:rPr>
        <w:t>bidding, the</w:t>
      </w:r>
      <w:r>
        <w:rPr>
          <w:color w:val="211F1F"/>
          <w:spacing w:val="-24"/>
        </w:rPr>
        <w:t xml:space="preserve"> </w:t>
      </w:r>
      <w:r>
        <w:rPr>
          <w:color w:val="211F1F"/>
        </w:rPr>
        <w:t>Tender</w:t>
      </w:r>
      <w:r>
        <w:rPr>
          <w:color w:val="211F1F"/>
          <w:spacing w:val="-5"/>
        </w:rPr>
        <w:t xml:space="preserve"> </w:t>
      </w:r>
      <w:r>
        <w:rPr>
          <w:color w:val="211F1F"/>
        </w:rPr>
        <w:t>Securing</w:t>
      </w:r>
      <w:r>
        <w:rPr>
          <w:color w:val="211F1F"/>
          <w:spacing w:val="-15"/>
        </w:rPr>
        <w:t xml:space="preserve"> </w:t>
      </w:r>
      <w:r>
        <w:rPr>
          <w:color w:val="211F1F"/>
        </w:rPr>
        <w:t>Declaration</w:t>
      </w:r>
      <w:r>
        <w:rPr>
          <w:color w:val="211F1F"/>
          <w:spacing w:val="-14"/>
        </w:rPr>
        <w:t xml:space="preserve"> </w:t>
      </w:r>
      <w:r>
        <w:rPr>
          <w:color w:val="211F1F"/>
        </w:rPr>
        <w:t>shall</w:t>
      </w:r>
      <w:r>
        <w:rPr>
          <w:color w:val="211F1F"/>
          <w:spacing w:val="-8"/>
        </w:rPr>
        <w:t xml:space="preserve"> </w:t>
      </w:r>
      <w:r>
        <w:rPr>
          <w:color w:val="211F1F"/>
        </w:rPr>
        <w:t>be</w:t>
      </w:r>
      <w:r>
        <w:rPr>
          <w:color w:val="211F1F"/>
          <w:spacing w:val="-12"/>
        </w:rPr>
        <w:t xml:space="preserve"> </w:t>
      </w:r>
      <w:r>
        <w:rPr>
          <w:color w:val="211F1F"/>
        </w:rPr>
        <w:t>in</w:t>
      </w:r>
      <w:r>
        <w:rPr>
          <w:color w:val="211F1F"/>
          <w:spacing w:val="-16"/>
        </w:rPr>
        <w:t xml:space="preserve"> </w:t>
      </w:r>
      <w:r>
        <w:rPr>
          <w:color w:val="211F1F"/>
        </w:rPr>
        <w:t>the</w:t>
      </w:r>
      <w:r>
        <w:rPr>
          <w:color w:val="211F1F"/>
          <w:spacing w:val="-12"/>
        </w:rPr>
        <w:t xml:space="preserve"> </w:t>
      </w:r>
      <w:r>
        <w:rPr>
          <w:color w:val="211F1F"/>
        </w:rPr>
        <w:t>names</w:t>
      </w:r>
      <w:r>
        <w:rPr>
          <w:color w:val="211F1F"/>
          <w:spacing w:val="-3"/>
        </w:rPr>
        <w:t xml:space="preserve"> </w:t>
      </w:r>
      <w:r>
        <w:rPr>
          <w:color w:val="211F1F"/>
        </w:rPr>
        <w:t>of</w:t>
      </w:r>
      <w:r>
        <w:rPr>
          <w:color w:val="211F1F"/>
          <w:spacing w:val="-6"/>
        </w:rPr>
        <w:t xml:space="preserve"> </w:t>
      </w:r>
      <w:r>
        <w:rPr>
          <w:color w:val="211F1F"/>
        </w:rPr>
        <w:t>all</w:t>
      </w:r>
      <w:r>
        <w:rPr>
          <w:color w:val="211F1F"/>
          <w:spacing w:val="-15"/>
        </w:rPr>
        <w:t xml:space="preserve"> </w:t>
      </w:r>
      <w:r>
        <w:rPr>
          <w:color w:val="211F1F"/>
        </w:rPr>
        <w:t>future</w:t>
      </w:r>
      <w:r>
        <w:rPr>
          <w:color w:val="211F1F"/>
          <w:spacing w:val="-17"/>
        </w:rPr>
        <w:t xml:space="preserve"> </w:t>
      </w:r>
      <w:r>
        <w:rPr>
          <w:color w:val="211F1F"/>
        </w:rPr>
        <w:t>partners</w:t>
      </w:r>
      <w:r>
        <w:rPr>
          <w:color w:val="211F1F"/>
          <w:spacing w:val="-8"/>
        </w:rPr>
        <w:t xml:space="preserve"> </w:t>
      </w:r>
      <w:r>
        <w:rPr>
          <w:color w:val="211F1F"/>
        </w:rPr>
        <w:t>as</w:t>
      </w:r>
      <w:r>
        <w:rPr>
          <w:color w:val="211F1F"/>
          <w:spacing w:val="-10"/>
        </w:rPr>
        <w:t xml:space="preserve"> </w:t>
      </w:r>
      <w:r>
        <w:rPr>
          <w:color w:val="211F1F"/>
        </w:rPr>
        <w:t>named</w:t>
      </w:r>
      <w:r>
        <w:rPr>
          <w:color w:val="211F1F"/>
          <w:spacing w:val="-10"/>
        </w:rPr>
        <w:t xml:space="preserve"> </w:t>
      </w:r>
      <w:r>
        <w:rPr>
          <w:color w:val="211F1F"/>
        </w:rPr>
        <w:t>in</w:t>
      </w:r>
      <w:r>
        <w:rPr>
          <w:color w:val="211F1F"/>
          <w:spacing w:val="-16"/>
        </w:rPr>
        <w:t xml:space="preserve"> </w:t>
      </w:r>
      <w:r>
        <w:rPr>
          <w:color w:val="211F1F"/>
        </w:rPr>
        <w:t>the</w:t>
      </w:r>
      <w:r>
        <w:rPr>
          <w:color w:val="211F1F"/>
          <w:spacing w:val="-17"/>
        </w:rPr>
        <w:t xml:space="preserve"> </w:t>
      </w:r>
      <w:r>
        <w:rPr>
          <w:color w:val="211F1F"/>
        </w:rPr>
        <w:t>letter</w:t>
      </w:r>
      <w:r>
        <w:rPr>
          <w:color w:val="211F1F"/>
          <w:spacing w:val="-5"/>
        </w:rPr>
        <w:t xml:space="preserve"> </w:t>
      </w:r>
      <w:r>
        <w:rPr>
          <w:color w:val="211F1F"/>
        </w:rPr>
        <w:t>of</w:t>
      </w:r>
      <w:r>
        <w:rPr>
          <w:color w:val="211F1F"/>
          <w:spacing w:val="-6"/>
        </w:rPr>
        <w:t xml:space="preserve"> </w:t>
      </w:r>
      <w:r>
        <w:rPr>
          <w:color w:val="211F1F"/>
        </w:rPr>
        <w:t>intent.</w:t>
      </w:r>
    </w:p>
    <w:p w14:paraId="2DFF7FCE" w14:textId="77777777" w:rsidR="00BB77C0" w:rsidRDefault="00BB77C0">
      <w:pPr>
        <w:pStyle w:val="BodyText"/>
        <w:spacing w:before="230"/>
      </w:pPr>
    </w:p>
    <w:p w14:paraId="3DD6C19A" w14:textId="77777777" w:rsidR="00BB77C0" w:rsidRDefault="00370BAA">
      <w:pPr>
        <w:pStyle w:val="BodyText"/>
        <w:tabs>
          <w:tab w:val="left" w:leader="dot" w:pos="8706"/>
        </w:tabs>
        <w:ind w:left="1056"/>
      </w:pPr>
      <w:r>
        <w:rPr>
          <w:color w:val="211F1F"/>
          <w:spacing w:val="-2"/>
        </w:rPr>
        <w:t>Signed</w:t>
      </w:r>
      <w:r>
        <w:rPr>
          <w:color w:val="211F1F"/>
        </w:rPr>
        <w:tab/>
        <w:t>Capacity</w:t>
      </w:r>
      <w:r>
        <w:rPr>
          <w:color w:val="211F1F"/>
          <w:spacing w:val="-9"/>
        </w:rPr>
        <w:t xml:space="preserve"> </w:t>
      </w:r>
      <w:r>
        <w:rPr>
          <w:color w:val="211F1F"/>
        </w:rPr>
        <w:t>/</w:t>
      </w:r>
      <w:r>
        <w:rPr>
          <w:color w:val="211F1F"/>
          <w:spacing w:val="6"/>
        </w:rPr>
        <w:t xml:space="preserve"> </w:t>
      </w:r>
      <w:r>
        <w:rPr>
          <w:color w:val="211F1F"/>
        </w:rPr>
        <w:t>title</w:t>
      </w:r>
      <w:r>
        <w:rPr>
          <w:color w:val="211F1F"/>
          <w:spacing w:val="-2"/>
        </w:rPr>
        <w:t xml:space="preserve"> (director</w:t>
      </w:r>
    </w:p>
    <w:p w14:paraId="72CDFA86" w14:textId="77777777" w:rsidR="00BB77C0" w:rsidRDefault="00370BAA">
      <w:pPr>
        <w:pStyle w:val="BodyText"/>
        <w:tabs>
          <w:tab w:val="left" w:pos="1800"/>
          <w:tab w:val="left" w:pos="2982"/>
          <w:tab w:val="left" w:pos="3721"/>
          <w:tab w:val="left" w:pos="4633"/>
          <w:tab w:val="left" w:pos="6127"/>
          <w:tab w:val="left" w:pos="7068"/>
          <w:tab w:val="left" w:pos="10252"/>
        </w:tabs>
        <w:spacing w:before="232"/>
        <w:ind w:left="1056"/>
      </w:pPr>
      <w:r>
        <w:rPr>
          <w:color w:val="211F1F"/>
          <w:spacing w:val="-5"/>
        </w:rPr>
        <w:t>or</w:t>
      </w:r>
      <w:r>
        <w:rPr>
          <w:color w:val="211F1F"/>
        </w:rPr>
        <w:tab/>
      </w:r>
      <w:r>
        <w:rPr>
          <w:color w:val="211F1F"/>
          <w:spacing w:val="-2"/>
        </w:rPr>
        <w:t>partner</w:t>
      </w:r>
      <w:r>
        <w:rPr>
          <w:color w:val="211F1F"/>
        </w:rPr>
        <w:tab/>
      </w:r>
      <w:r>
        <w:rPr>
          <w:color w:val="211F1F"/>
          <w:spacing w:val="-5"/>
        </w:rPr>
        <w:t>or</w:t>
      </w:r>
      <w:r>
        <w:rPr>
          <w:color w:val="211F1F"/>
        </w:rPr>
        <w:tab/>
      </w:r>
      <w:r>
        <w:rPr>
          <w:color w:val="211F1F"/>
          <w:spacing w:val="-4"/>
        </w:rPr>
        <w:t>sole</w:t>
      </w:r>
      <w:r>
        <w:rPr>
          <w:color w:val="211F1F"/>
        </w:rPr>
        <w:tab/>
      </w:r>
      <w:r>
        <w:rPr>
          <w:color w:val="211F1F"/>
          <w:spacing w:val="-2"/>
        </w:rPr>
        <w:t>proprietor,</w:t>
      </w:r>
      <w:r>
        <w:rPr>
          <w:color w:val="211F1F"/>
        </w:rPr>
        <w:tab/>
      </w:r>
      <w:r>
        <w:rPr>
          <w:color w:val="211F1F"/>
          <w:spacing w:val="-2"/>
        </w:rPr>
        <w:t>etc.)</w:t>
      </w:r>
      <w:r>
        <w:rPr>
          <w:color w:val="211F1F"/>
        </w:rPr>
        <w:tab/>
      </w:r>
      <w:r>
        <w:rPr>
          <w:color w:val="211F1F"/>
          <w:spacing w:val="-2"/>
        </w:rPr>
        <w:t>……….………….........…….</w:t>
      </w:r>
      <w:r>
        <w:rPr>
          <w:color w:val="211F1F"/>
        </w:rPr>
        <w:tab/>
      </w:r>
      <w:r>
        <w:rPr>
          <w:color w:val="211F1F"/>
          <w:spacing w:val="-2"/>
        </w:rPr>
        <w:t>Name:</w:t>
      </w:r>
    </w:p>
    <w:p w14:paraId="6310CEC1" w14:textId="77777777" w:rsidR="00BB77C0" w:rsidRDefault="00370BAA">
      <w:pPr>
        <w:pStyle w:val="BodyText"/>
        <w:tabs>
          <w:tab w:val="left" w:leader="dot" w:pos="8086"/>
        </w:tabs>
        <w:spacing w:before="237"/>
        <w:ind w:left="1056"/>
      </w:pPr>
      <w:r>
        <w:rPr>
          <w:color w:val="211F1F"/>
          <w:spacing w:val="-10"/>
        </w:rPr>
        <w:t>…</w:t>
      </w:r>
      <w:r>
        <w:rPr>
          <w:color w:val="211F1F"/>
        </w:rPr>
        <w:tab/>
        <w:t>Duly</w:t>
      </w:r>
      <w:r>
        <w:rPr>
          <w:color w:val="211F1F"/>
          <w:spacing w:val="-3"/>
        </w:rPr>
        <w:t xml:space="preserve"> </w:t>
      </w:r>
      <w:r>
        <w:rPr>
          <w:color w:val="211F1F"/>
        </w:rPr>
        <w:t>authorized</w:t>
      </w:r>
      <w:r>
        <w:rPr>
          <w:color w:val="211F1F"/>
          <w:spacing w:val="-4"/>
        </w:rPr>
        <w:t xml:space="preserve"> </w:t>
      </w:r>
      <w:r>
        <w:rPr>
          <w:color w:val="211F1F"/>
        </w:rPr>
        <w:t>to</w:t>
      </w:r>
      <w:r>
        <w:rPr>
          <w:color w:val="211F1F"/>
          <w:spacing w:val="-4"/>
        </w:rPr>
        <w:t xml:space="preserve"> </w:t>
      </w:r>
      <w:r>
        <w:rPr>
          <w:color w:val="211F1F"/>
        </w:rPr>
        <w:t>sign</w:t>
      </w:r>
      <w:r>
        <w:rPr>
          <w:color w:val="211F1F"/>
          <w:spacing w:val="-4"/>
        </w:rPr>
        <w:t xml:space="preserve"> </w:t>
      </w:r>
      <w:r>
        <w:rPr>
          <w:color w:val="211F1F"/>
        </w:rPr>
        <w:t>the</w:t>
      </w:r>
      <w:r>
        <w:rPr>
          <w:color w:val="211F1F"/>
          <w:spacing w:val="-2"/>
        </w:rPr>
        <w:t xml:space="preserve"> </w:t>
      </w:r>
      <w:r>
        <w:rPr>
          <w:color w:val="211F1F"/>
          <w:spacing w:val="-5"/>
        </w:rPr>
        <w:t>bid</w:t>
      </w:r>
    </w:p>
    <w:p w14:paraId="16D8A77E" w14:textId="77777777" w:rsidR="00BB77C0" w:rsidRDefault="00370BAA">
      <w:pPr>
        <w:spacing w:before="236"/>
        <w:ind w:left="1061"/>
        <w:rPr>
          <w:i/>
        </w:rPr>
      </w:pPr>
      <w:r>
        <w:rPr>
          <w:color w:val="211F1F"/>
          <w:spacing w:val="-4"/>
        </w:rPr>
        <w:t>for</w:t>
      </w:r>
      <w:r>
        <w:rPr>
          <w:color w:val="211F1F"/>
          <w:spacing w:val="-11"/>
        </w:rPr>
        <w:t xml:space="preserve"> </w:t>
      </w:r>
      <w:r>
        <w:rPr>
          <w:color w:val="211F1F"/>
          <w:spacing w:val="-4"/>
        </w:rPr>
        <w:t>and</w:t>
      </w:r>
      <w:r>
        <w:rPr>
          <w:color w:val="211F1F"/>
          <w:spacing w:val="-14"/>
        </w:rPr>
        <w:t xml:space="preserve"> </w:t>
      </w:r>
      <w:r>
        <w:rPr>
          <w:color w:val="211F1F"/>
          <w:spacing w:val="-4"/>
        </w:rPr>
        <w:t>on</w:t>
      </w:r>
      <w:r>
        <w:rPr>
          <w:color w:val="211F1F"/>
          <w:spacing w:val="-14"/>
        </w:rPr>
        <w:t xml:space="preserve"> </w:t>
      </w:r>
      <w:r>
        <w:rPr>
          <w:color w:val="211F1F"/>
          <w:spacing w:val="-4"/>
        </w:rPr>
        <w:t>behalf</w:t>
      </w:r>
      <w:r>
        <w:rPr>
          <w:color w:val="211F1F"/>
          <w:spacing w:val="-10"/>
        </w:rPr>
        <w:t xml:space="preserve"> </w:t>
      </w:r>
      <w:r>
        <w:rPr>
          <w:color w:val="211F1F"/>
          <w:spacing w:val="-4"/>
        </w:rPr>
        <w:t>of:</w:t>
      </w:r>
      <w:r>
        <w:rPr>
          <w:color w:val="211F1F"/>
          <w:spacing w:val="-12"/>
        </w:rPr>
        <w:t xml:space="preserve"> </w:t>
      </w:r>
      <w:r>
        <w:rPr>
          <w:i/>
          <w:color w:val="211F1F"/>
          <w:spacing w:val="-4"/>
        </w:rPr>
        <w:t>[insert</w:t>
      </w:r>
      <w:r>
        <w:rPr>
          <w:i/>
          <w:color w:val="211F1F"/>
          <w:spacing w:val="-7"/>
        </w:rPr>
        <w:t xml:space="preserve"> </w:t>
      </w:r>
      <w:r>
        <w:rPr>
          <w:i/>
          <w:color w:val="211F1F"/>
          <w:spacing w:val="-4"/>
        </w:rPr>
        <w:t>complete</w:t>
      </w:r>
      <w:r>
        <w:rPr>
          <w:i/>
          <w:color w:val="211F1F"/>
          <w:spacing w:val="-10"/>
        </w:rPr>
        <w:t xml:space="preserve"> </w:t>
      </w:r>
      <w:r>
        <w:rPr>
          <w:i/>
          <w:color w:val="211F1F"/>
          <w:spacing w:val="-4"/>
        </w:rPr>
        <w:t>name</w:t>
      </w:r>
      <w:r>
        <w:rPr>
          <w:i/>
          <w:color w:val="211F1F"/>
          <w:spacing w:val="-17"/>
        </w:rPr>
        <w:t xml:space="preserve"> </w:t>
      </w:r>
      <w:r>
        <w:rPr>
          <w:i/>
          <w:color w:val="211F1F"/>
          <w:spacing w:val="-4"/>
        </w:rPr>
        <w:t>of</w:t>
      </w:r>
      <w:r>
        <w:rPr>
          <w:i/>
          <w:color w:val="211F1F"/>
          <w:spacing w:val="-7"/>
        </w:rPr>
        <w:t xml:space="preserve"> </w:t>
      </w:r>
      <w:r>
        <w:rPr>
          <w:i/>
          <w:color w:val="211F1F"/>
          <w:spacing w:val="-4"/>
        </w:rPr>
        <w:t>Tenderer]</w:t>
      </w:r>
    </w:p>
    <w:p w14:paraId="109E5D66" w14:textId="77777777" w:rsidR="00BB77C0" w:rsidRDefault="00BB77C0">
      <w:pPr>
        <w:pStyle w:val="BodyText"/>
        <w:rPr>
          <w:i/>
        </w:rPr>
      </w:pPr>
    </w:p>
    <w:p w14:paraId="2671D69E" w14:textId="77777777" w:rsidR="00BB77C0" w:rsidRDefault="00BB77C0">
      <w:pPr>
        <w:pStyle w:val="BodyText"/>
        <w:spacing w:before="211"/>
        <w:rPr>
          <w:i/>
        </w:rPr>
      </w:pPr>
    </w:p>
    <w:p w14:paraId="78432697" w14:textId="77777777" w:rsidR="00BB77C0" w:rsidRDefault="00370BAA">
      <w:pPr>
        <w:tabs>
          <w:tab w:val="left" w:leader="dot" w:pos="5747"/>
        </w:tabs>
        <w:ind w:left="1056"/>
      </w:pPr>
      <w:r>
        <w:rPr>
          <w:color w:val="211F1F"/>
          <w:spacing w:val="-4"/>
        </w:rPr>
        <w:t>Dated</w:t>
      </w:r>
      <w:r>
        <w:rPr>
          <w:color w:val="211F1F"/>
          <w:spacing w:val="-14"/>
        </w:rPr>
        <w:t xml:space="preserve"> </w:t>
      </w:r>
      <w:r>
        <w:rPr>
          <w:color w:val="211F1F"/>
          <w:spacing w:val="-4"/>
        </w:rPr>
        <w:t>on</w:t>
      </w:r>
      <w:r>
        <w:rPr>
          <w:color w:val="211F1F"/>
          <w:spacing w:val="-14"/>
        </w:rPr>
        <w:t xml:space="preserve"> </w:t>
      </w:r>
      <w:r>
        <w:rPr>
          <w:color w:val="211F1F"/>
          <w:spacing w:val="-4"/>
        </w:rPr>
        <w:t>………………….</w:t>
      </w:r>
      <w:r>
        <w:rPr>
          <w:color w:val="211F1F"/>
          <w:spacing w:val="-5"/>
        </w:rPr>
        <w:t xml:space="preserve"> </w:t>
      </w:r>
      <w:r>
        <w:rPr>
          <w:color w:val="211F1F"/>
          <w:spacing w:val="-4"/>
        </w:rPr>
        <w:t>day</w:t>
      </w:r>
      <w:r>
        <w:rPr>
          <w:color w:val="211F1F"/>
          <w:spacing w:val="-7"/>
        </w:rPr>
        <w:t xml:space="preserve"> </w:t>
      </w:r>
      <w:r>
        <w:rPr>
          <w:color w:val="211F1F"/>
          <w:spacing w:val="-5"/>
        </w:rPr>
        <w:t>of</w:t>
      </w:r>
      <w:r>
        <w:rPr>
          <w:color w:val="211F1F"/>
        </w:rPr>
        <w:tab/>
      </w:r>
      <w:r>
        <w:rPr>
          <w:i/>
          <w:color w:val="211F1F"/>
          <w:spacing w:val="-2"/>
        </w:rPr>
        <w:t>[Insert</w:t>
      </w:r>
      <w:r>
        <w:rPr>
          <w:i/>
          <w:color w:val="211F1F"/>
          <w:spacing w:val="-22"/>
        </w:rPr>
        <w:t xml:space="preserve"> </w:t>
      </w:r>
      <w:r>
        <w:rPr>
          <w:i/>
          <w:color w:val="211F1F"/>
          <w:spacing w:val="-2"/>
        </w:rPr>
        <w:t>date</w:t>
      </w:r>
      <w:r>
        <w:rPr>
          <w:i/>
          <w:color w:val="211F1F"/>
          <w:spacing w:val="-24"/>
        </w:rPr>
        <w:t xml:space="preserve"> </w:t>
      </w:r>
      <w:r>
        <w:rPr>
          <w:i/>
          <w:color w:val="211F1F"/>
          <w:spacing w:val="-2"/>
        </w:rPr>
        <w:t>of</w:t>
      </w:r>
      <w:r>
        <w:rPr>
          <w:i/>
          <w:color w:val="211F1F"/>
          <w:spacing w:val="-16"/>
        </w:rPr>
        <w:t xml:space="preserve"> </w:t>
      </w:r>
      <w:r>
        <w:rPr>
          <w:i/>
          <w:color w:val="211F1F"/>
          <w:spacing w:val="-2"/>
        </w:rPr>
        <w:t>signing]</w:t>
      </w:r>
      <w:r>
        <w:rPr>
          <w:i/>
          <w:color w:val="211F1F"/>
        </w:rPr>
        <w:t xml:space="preserve"> </w:t>
      </w:r>
      <w:r>
        <w:rPr>
          <w:color w:val="211F1F"/>
          <w:spacing w:val="-2"/>
        </w:rPr>
        <w:t>Seal</w:t>
      </w:r>
      <w:r>
        <w:rPr>
          <w:color w:val="211F1F"/>
          <w:spacing w:val="-20"/>
        </w:rPr>
        <w:t xml:space="preserve"> </w:t>
      </w:r>
      <w:r>
        <w:rPr>
          <w:color w:val="211F1F"/>
          <w:spacing w:val="-2"/>
        </w:rPr>
        <w:t>or</w:t>
      </w:r>
      <w:r>
        <w:rPr>
          <w:color w:val="211F1F"/>
          <w:spacing w:val="-19"/>
        </w:rPr>
        <w:t xml:space="preserve"> </w:t>
      </w:r>
      <w:r>
        <w:rPr>
          <w:color w:val="211F1F"/>
          <w:spacing w:val="-2"/>
        </w:rPr>
        <w:t>stamp</w:t>
      </w:r>
    </w:p>
    <w:p w14:paraId="432C5BBA" w14:textId="77777777" w:rsidR="00BB77C0" w:rsidRDefault="00BB77C0">
      <w:pPr>
        <w:sectPr w:rsidR="00BB77C0">
          <w:pgSz w:w="11920" w:h="16850"/>
          <w:pgMar w:top="0" w:right="0" w:bottom="0" w:left="360" w:header="720" w:footer="720" w:gutter="0"/>
          <w:cols w:space="720"/>
        </w:sectPr>
      </w:pPr>
    </w:p>
    <w:p w14:paraId="17C7C591" w14:textId="77777777" w:rsidR="00BB77C0" w:rsidRDefault="00370BAA">
      <w:pPr>
        <w:pStyle w:val="BodyText"/>
        <w:rPr>
          <w:sz w:val="24"/>
        </w:rPr>
      </w:pPr>
      <w:r>
        <w:rPr>
          <w:noProof/>
          <w:sz w:val="24"/>
        </w:rPr>
        <w:lastRenderedPageBreak/>
        <mc:AlternateContent>
          <mc:Choice Requires="wpg">
            <w:drawing>
              <wp:anchor distT="0" distB="0" distL="0" distR="0" simplePos="0" relativeHeight="15774720" behindDoc="0" locked="0" layoutInCell="1" allowOverlap="1" wp14:anchorId="26CC1269" wp14:editId="7DEB1531">
                <wp:simplePos x="0" y="0"/>
                <wp:positionH relativeFrom="page">
                  <wp:posOffset>0</wp:posOffset>
                </wp:positionH>
                <wp:positionV relativeFrom="page">
                  <wp:posOffset>10234295</wp:posOffset>
                </wp:positionV>
                <wp:extent cx="7561580" cy="459105"/>
                <wp:effectExtent l="0" t="0" r="0" b="0"/>
                <wp:wrapNone/>
                <wp:docPr id="364" name="Group 3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1580" cy="459105"/>
                          <a:chOff x="0" y="0"/>
                          <a:chExt cx="7561580" cy="459105"/>
                        </a:xfrm>
                      </wpg:grpSpPr>
                      <wps:wsp>
                        <wps:cNvPr id="365" name="Graphic 365"/>
                        <wps:cNvSpPr/>
                        <wps:spPr>
                          <a:xfrm>
                            <a:off x="6449059" y="5714"/>
                            <a:ext cx="1110615" cy="451484"/>
                          </a:xfrm>
                          <a:custGeom>
                            <a:avLst/>
                            <a:gdLst/>
                            <a:ahLst/>
                            <a:cxnLst/>
                            <a:rect l="l" t="t" r="r" b="b"/>
                            <a:pathLst>
                              <a:path w="1110615" h="451484">
                                <a:moveTo>
                                  <a:pt x="1110614" y="0"/>
                                </a:moveTo>
                                <a:lnTo>
                                  <a:pt x="0" y="0"/>
                                </a:lnTo>
                                <a:lnTo>
                                  <a:pt x="260349" y="451483"/>
                                </a:lnTo>
                                <a:lnTo>
                                  <a:pt x="1110614" y="451483"/>
                                </a:lnTo>
                                <a:lnTo>
                                  <a:pt x="1110614" y="0"/>
                                </a:lnTo>
                                <a:close/>
                              </a:path>
                            </a:pathLst>
                          </a:custGeom>
                          <a:solidFill>
                            <a:srgbClr val="FAD2C1"/>
                          </a:solidFill>
                        </wps:spPr>
                        <wps:bodyPr wrap="square" lIns="0" tIns="0" rIns="0" bIns="0" rtlCol="0">
                          <a:prstTxWarp prst="textNoShape">
                            <a:avLst/>
                          </a:prstTxWarp>
                          <a:noAutofit/>
                        </wps:bodyPr>
                      </wps:wsp>
                      <wps:wsp>
                        <wps:cNvPr id="366" name="Graphic 366"/>
                        <wps:cNvSpPr/>
                        <wps:spPr>
                          <a:xfrm>
                            <a:off x="6449059" y="5714"/>
                            <a:ext cx="1110615" cy="451484"/>
                          </a:xfrm>
                          <a:custGeom>
                            <a:avLst/>
                            <a:gdLst/>
                            <a:ahLst/>
                            <a:cxnLst/>
                            <a:rect l="l" t="t" r="r" b="b"/>
                            <a:pathLst>
                              <a:path w="1110615" h="451484">
                                <a:moveTo>
                                  <a:pt x="0" y="0"/>
                                </a:moveTo>
                                <a:lnTo>
                                  <a:pt x="1110614" y="0"/>
                                </a:lnTo>
                                <a:lnTo>
                                  <a:pt x="1110614" y="451483"/>
                                </a:lnTo>
                                <a:lnTo>
                                  <a:pt x="260349" y="451483"/>
                                </a:lnTo>
                                <a:lnTo>
                                  <a:pt x="0" y="0"/>
                                </a:lnTo>
                              </a:path>
                            </a:pathLst>
                          </a:custGeom>
                          <a:ln w="3051">
                            <a:solidFill>
                              <a:srgbClr val="FAD2C1"/>
                            </a:solidFill>
                            <a:prstDash val="solid"/>
                          </a:ln>
                        </wps:spPr>
                        <wps:bodyPr wrap="square" lIns="0" tIns="0" rIns="0" bIns="0" rtlCol="0">
                          <a:prstTxWarp prst="textNoShape">
                            <a:avLst/>
                          </a:prstTxWarp>
                          <a:noAutofit/>
                        </wps:bodyPr>
                      </wps:wsp>
                      <wps:wsp>
                        <wps:cNvPr id="367" name="Graphic 367"/>
                        <wps:cNvSpPr/>
                        <wps:spPr>
                          <a:xfrm>
                            <a:off x="0" y="6350"/>
                            <a:ext cx="7560309" cy="1270"/>
                          </a:xfrm>
                          <a:custGeom>
                            <a:avLst/>
                            <a:gdLst/>
                            <a:ahLst/>
                            <a:cxnLst/>
                            <a:rect l="l" t="t" r="r" b="b"/>
                            <a:pathLst>
                              <a:path w="7560309">
                                <a:moveTo>
                                  <a:pt x="0" y="0"/>
                                </a:moveTo>
                                <a:lnTo>
                                  <a:pt x="7560309" y="0"/>
                                </a:lnTo>
                              </a:path>
                            </a:pathLst>
                          </a:custGeom>
                          <a:ln w="12700">
                            <a:solidFill>
                              <a:srgbClr val="FAD2C1"/>
                            </a:solidFill>
                            <a:prstDash val="solid"/>
                          </a:ln>
                        </wps:spPr>
                        <wps:bodyPr wrap="square" lIns="0" tIns="0" rIns="0" bIns="0" rtlCol="0">
                          <a:prstTxWarp prst="textNoShape">
                            <a:avLst/>
                          </a:prstTxWarp>
                          <a:noAutofit/>
                        </wps:bodyPr>
                      </wps:wsp>
                      <wps:wsp>
                        <wps:cNvPr id="368" name="Textbox 368"/>
                        <wps:cNvSpPr txBox="1"/>
                        <wps:spPr>
                          <a:xfrm>
                            <a:off x="6882130" y="37491"/>
                            <a:ext cx="147320" cy="155575"/>
                          </a:xfrm>
                          <a:prstGeom prst="rect">
                            <a:avLst/>
                          </a:prstGeom>
                        </wps:spPr>
                        <wps:txbx>
                          <w:txbxContent>
                            <w:p w14:paraId="2043125E" w14:textId="77777777" w:rsidR="00BB77C0" w:rsidRDefault="00370BAA">
                              <w:pPr>
                                <w:spacing w:line="244" w:lineRule="exact"/>
                              </w:pPr>
                              <w:r>
                                <w:rPr>
                                  <w:spacing w:val="-5"/>
                                </w:rPr>
                                <w:t>61</w:t>
                              </w:r>
                            </w:p>
                          </w:txbxContent>
                        </wps:txbx>
                        <wps:bodyPr wrap="square" lIns="0" tIns="0" rIns="0" bIns="0" rtlCol="0">
                          <a:noAutofit/>
                        </wps:bodyPr>
                      </wps:wsp>
                    </wpg:wgp>
                  </a:graphicData>
                </a:graphic>
              </wp:anchor>
            </w:drawing>
          </mc:Choice>
          <mc:Fallback>
            <w:pict>
              <v:group w14:anchorId="26CC1269" id="Group 364" o:spid="_x0000_s1186" style="position:absolute;margin-left:0;margin-top:805.85pt;width:595.4pt;height:36.15pt;z-index:15774720;mso-wrap-distance-left:0;mso-wrap-distance-right:0;mso-position-horizontal-relative:page;mso-position-vertical-relative:page" coordsize="75615,4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">
                <v:shape id="Graphic 365" o:spid="_x0000_s1187" style="position:absolute;left:64490;top:57;width:11106;height:4514;visibility:visible;mso-wrap-style:square;v-text-anchor:top" coordsize="1110615,4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" path="m1110614,l,,260349,451483r850265,l1110614,xe" fillcolor="#fad2c1" stroked="f">
                  <v:path arrowok="t"/>
                </v:shape>
                <v:shape id="Graphic 366" o:spid="_x0000_s1188" style="position:absolute;left:64490;top:57;width:11106;height:4514;visibility:visible;mso-wrap-style:square;v-text-anchor:top" coordsize="1110615,4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" path="m,l1110614,r,451483l260349,451483,,e" filled="f" strokecolor="#fad2c1" strokeweight=".08475mm">
                  <v:path arrowok="t"/>
                </v:shape>
                <v:shape id="Graphic 367" o:spid="_x0000_s1189" style="position:absolute;top:63;width:75603;height:13;visibility:visible;mso-wrap-style:square;v-text-anchor:top" coordsize="756030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" path="m,l7560309,e" filled="f" strokecolor="#fad2c1" strokeweight="1pt">
                  <v:path arrowok="t"/>
                </v:shape>
                <v:shape id="Textbox 368" o:spid="_x0000_s1190" type="#_x0000_t202" style="position:absolute;left:68821;top:374;width:1473;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" filled="f" stroked="f">
                  <v:textbox inset="0,0,0,0">
                    <w:txbxContent>
                      <w:p w14:paraId="2043125E" w14:textId="77777777" w:rsidR="00BB77C0" w:rsidRDefault="00370BAA">
                        <w:pPr>
                          <w:spacing w:line="244" w:lineRule="exact"/>
                        </w:pPr>
                        <w:r>
                          <w:rPr>
                            <w:spacing w:val="-5"/>
                          </w:rPr>
                          <w:t>61</w:t>
                        </w:r>
                      </w:p>
                    </w:txbxContent>
                  </v:textbox>
                </v:shape>
                <w10:wrap anchorx="page" anchory="page"/>
              </v:group>
            </w:pict>
          </mc:Fallback>
        </mc:AlternateContent>
      </w:r>
      <w:r>
        <w:rPr>
          <w:noProof/>
          <w:sz w:val="24"/>
        </w:rPr>
        <mc:AlternateContent>
          <mc:Choice Requires="wpg">
            <w:drawing>
              <wp:anchor distT="0" distB="0" distL="0" distR="0" simplePos="0" relativeHeight="15775232" behindDoc="0" locked="0" layoutInCell="1" allowOverlap="1" wp14:anchorId="3E98EAD8" wp14:editId="0B7625A2">
                <wp:simplePos x="0" y="0"/>
                <wp:positionH relativeFrom="page">
                  <wp:posOffset>0</wp:posOffset>
                </wp:positionH>
                <wp:positionV relativeFrom="page">
                  <wp:posOffset>0</wp:posOffset>
                </wp:positionV>
                <wp:extent cx="7559675" cy="228600"/>
                <wp:effectExtent l="0" t="0" r="0" b="0"/>
                <wp:wrapNone/>
                <wp:docPr id="369" name="Group 3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675" cy="228600"/>
                          <a:chOff x="0" y="0"/>
                          <a:chExt cx="7559675" cy="228600"/>
                        </a:xfrm>
                      </wpg:grpSpPr>
                      <wps:wsp>
                        <wps:cNvPr id="370" name="Graphic 370"/>
                        <wps:cNvSpPr/>
                        <wps:spPr>
                          <a:xfrm>
                            <a:off x="848283" y="0"/>
                            <a:ext cx="6711950" cy="228600"/>
                          </a:xfrm>
                          <a:custGeom>
                            <a:avLst/>
                            <a:gdLst/>
                            <a:ahLst/>
                            <a:cxnLst/>
                            <a:rect l="l" t="t" r="r" b="b"/>
                            <a:pathLst>
                              <a:path w="6711950" h="228600">
                                <a:moveTo>
                                  <a:pt x="6711391" y="0"/>
                                </a:moveTo>
                                <a:lnTo>
                                  <a:pt x="0" y="0"/>
                                </a:lnTo>
                                <a:lnTo>
                                  <a:pt x="184137" y="228600"/>
                                </a:lnTo>
                                <a:lnTo>
                                  <a:pt x="6711391" y="223520"/>
                                </a:lnTo>
                                <a:lnTo>
                                  <a:pt x="6711391" y="0"/>
                                </a:lnTo>
                                <a:close/>
                              </a:path>
                            </a:pathLst>
                          </a:custGeom>
                          <a:solidFill>
                            <a:srgbClr val="E6E7E8"/>
                          </a:solidFill>
                        </wps:spPr>
                        <wps:bodyPr wrap="square" lIns="0" tIns="0" rIns="0" bIns="0" rtlCol="0">
                          <a:prstTxWarp prst="textNoShape">
                            <a:avLst/>
                          </a:prstTxWarp>
                          <a:noAutofit/>
                        </wps:bodyPr>
                      </wps:wsp>
                      <wps:wsp>
                        <wps:cNvPr id="371" name="Graphic 371"/>
                        <wps:cNvSpPr/>
                        <wps:spPr>
                          <a:xfrm>
                            <a:off x="0" y="0"/>
                            <a:ext cx="655955" cy="228600"/>
                          </a:xfrm>
                          <a:custGeom>
                            <a:avLst/>
                            <a:gdLst/>
                            <a:ahLst/>
                            <a:cxnLst/>
                            <a:rect l="l" t="t" r="r" b="b"/>
                            <a:pathLst>
                              <a:path w="655955" h="228600">
                                <a:moveTo>
                                  <a:pt x="530174" y="0"/>
                                </a:moveTo>
                                <a:lnTo>
                                  <a:pt x="0" y="0"/>
                                </a:lnTo>
                                <a:lnTo>
                                  <a:pt x="0" y="228600"/>
                                </a:lnTo>
                                <a:lnTo>
                                  <a:pt x="655904" y="228600"/>
                                </a:lnTo>
                                <a:lnTo>
                                  <a:pt x="530174" y="0"/>
                                </a:lnTo>
                                <a:close/>
                              </a:path>
                            </a:pathLst>
                          </a:custGeom>
                          <a:solidFill>
                            <a:srgbClr val="00A650"/>
                          </a:solidFill>
                        </wps:spPr>
                        <wps:bodyPr wrap="square" lIns="0" tIns="0" rIns="0" bIns="0" rtlCol="0">
                          <a:prstTxWarp prst="textNoShape">
                            <a:avLst/>
                          </a:prstTxWarp>
                          <a:noAutofit/>
                        </wps:bodyPr>
                      </wps:wsp>
                      <wps:wsp>
                        <wps:cNvPr id="372" name="Graphic 372"/>
                        <wps:cNvSpPr/>
                        <wps:spPr>
                          <a:xfrm>
                            <a:off x="554304" y="0"/>
                            <a:ext cx="329565" cy="228600"/>
                          </a:xfrm>
                          <a:custGeom>
                            <a:avLst/>
                            <a:gdLst/>
                            <a:ahLst/>
                            <a:cxnLst/>
                            <a:rect l="l" t="t" r="r" b="b"/>
                            <a:pathLst>
                              <a:path w="329565" h="228600">
                                <a:moveTo>
                                  <a:pt x="203822" y="0"/>
                                </a:moveTo>
                                <a:lnTo>
                                  <a:pt x="0" y="0"/>
                                </a:lnTo>
                                <a:lnTo>
                                  <a:pt x="128904" y="228600"/>
                                </a:lnTo>
                                <a:lnTo>
                                  <a:pt x="329539" y="228600"/>
                                </a:lnTo>
                                <a:lnTo>
                                  <a:pt x="203822" y="0"/>
                                </a:lnTo>
                                <a:close/>
                              </a:path>
                            </a:pathLst>
                          </a:custGeom>
                          <a:solidFill>
                            <a:srgbClr val="EB1C22"/>
                          </a:solidFill>
                        </wps:spPr>
                        <wps:bodyPr wrap="square" lIns="0" tIns="0" rIns="0" bIns="0" rtlCol="0">
                          <a:prstTxWarp prst="textNoShape">
                            <a:avLst/>
                          </a:prstTxWarp>
                          <a:noAutofit/>
                        </wps:bodyPr>
                      </wps:wsp>
                      <wps:wsp>
                        <wps:cNvPr id="373" name="Graphic 373"/>
                        <wps:cNvSpPr/>
                        <wps:spPr>
                          <a:xfrm>
                            <a:off x="783526" y="0"/>
                            <a:ext cx="329565" cy="228600"/>
                          </a:xfrm>
                          <a:custGeom>
                            <a:avLst/>
                            <a:gdLst/>
                            <a:ahLst/>
                            <a:cxnLst/>
                            <a:rect l="l" t="t" r="r" b="b"/>
                            <a:pathLst>
                              <a:path w="329565" h="228600">
                                <a:moveTo>
                                  <a:pt x="203822" y="0"/>
                                </a:moveTo>
                                <a:lnTo>
                                  <a:pt x="0" y="0"/>
                                </a:lnTo>
                                <a:lnTo>
                                  <a:pt x="128879" y="228600"/>
                                </a:lnTo>
                                <a:lnTo>
                                  <a:pt x="329539" y="228600"/>
                                </a:lnTo>
                                <a:lnTo>
                                  <a:pt x="203822" y="0"/>
                                </a:lnTo>
                                <a:close/>
                              </a:path>
                            </a:pathLst>
                          </a:custGeom>
                          <a:solidFill>
                            <a:srgbClr val="A7A9AC"/>
                          </a:solidFill>
                        </wps:spPr>
                        <wps:bodyPr wrap="square" lIns="0" tIns="0" rIns="0" bIns="0" rtlCol="0">
                          <a:prstTxWarp prst="textNoShape">
                            <a:avLst/>
                          </a:prstTxWarp>
                          <a:noAutofit/>
                        </wps:bodyPr>
                      </wps:wsp>
                    </wpg:wgp>
                  </a:graphicData>
                </a:graphic>
              </wp:anchor>
            </w:drawing>
          </mc:Choice>
          <mc:Fallback>
            <w:pict>
              <v:group w14:anchorId="6CDFD024" id="Group 369" o:spid="_x0000_s1026" style="position:absolute;margin-left:0;margin-top:0;width:595.25pt;height:18pt;z-index:15775232;mso-wrap-distance-left:0;mso-wrap-distance-right:0;mso-position-horizontal-relative:page;mso-position-vertical-relative:page" coordsize="75596,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">
                <v:shape id="Graphic 370" o:spid="_x0000_s1027" style="position:absolute;left:8482;width:67120;height:2286;visibility:visible;mso-wrap-style:square;v-text-anchor:top" coordsize="67119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" path="m6711391,l,,184137,228600r6527254,-5080l6711391,xe" fillcolor="#e6e7e8" stroked="f">
                  <v:path arrowok="t"/>
                </v:shape>
                <v:shape id="Graphic 371" o:spid="_x0000_s1028" style="position:absolute;width:6559;height:2286;visibility:visible;mso-wrap-style:square;v-text-anchor:top" coordsize="65595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" path="m530174,l,,,228600r655904,l530174,xe" fillcolor="#00a650" stroked="f">
                  <v:path arrowok="t"/>
                </v:shape>
                <v:shape id="Graphic 372" o:spid="_x0000_s1029" style="position:absolute;left:5543;width:3295;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" path="m203822,l,,128904,228600r200635,l203822,xe" fillcolor="#eb1c22" stroked="f">
                  <v:path arrowok="t"/>
                </v:shape>
                <v:shape id="Graphic 373" o:spid="_x0000_s1030" style="position:absolute;left:7835;width:3295;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" path="m203822,l,,128879,228600r200660,l203822,xe" fillcolor="#a7a9ac" stroked="f">
                  <v:path arrowok="t"/>
                </v:shape>
                <w10:wrap anchorx="page" anchory="page"/>
              </v:group>
            </w:pict>
          </mc:Fallback>
        </mc:AlternateContent>
      </w:r>
    </w:p>
    <w:p w14:paraId="65F2FABB" w14:textId="77777777" w:rsidR="00BB77C0" w:rsidRDefault="00BB77C0">
      <w:pPr>
        <w:pStyle w:val="BodyText"/>
        <w:spacing w:before="262"/>
        <w:rPr>
          <w:sz w:val="24"/>
        </w:rPr>
      </w:pPr>
    </w:p>
    <w:p w14:paraId="3589B479" w14:textId="77777777" w:rsidR="00BB77C0" w:rsidRDefault="00370BAA">
      <w:pPr>
        <w:ind w:left="490"/>
        <w:rPr>
          <w:b/>
          <w:sz w:val="24"/>
        </w:rPr>
      </w:pPr>
      <w:r>
        <w:rPr>
          <w:b/>
          <w:color w:val="211F1F"/>
          <w:sz w:val="24"/>
        </w:rPr>
        <w:t>Appendix</w:t>
      </w:r>
      <w:r>
        <w:rPr>
          <w:b/>
          <w:color w:val="211F1F"/>
          <w:spacing w:val="-3"/>
          <w:sz w:val="24"/>
        </w:rPr>
        <w:t xml:space="preserve"> </w:t>
      </w:r>
      <w:r>
        <w:rPr>
          <w:b/>
          <w:color w:val="211F1F"/>
          <w:sz w:val="24"/>
        </w:rPr>
        <w:t>to</w:t>
      </w:r>
      <w:r>
        <w:rPr>
          <w:b/>
          <w:color w:val="211F1F"/>
          <w:spacing w:val="5"/>
          <w:sz w:val="24"/>
        </w:rPr>
        <w:t xml:space="preserve"> </w:t>
      </w:r>
      <w:r>
        <w:rPr>
          <w:b/>
          <w:color w:val="211F1F"/>
          <w:spacing w:val="-2"/>
          <w:sz w:val="24"/>
        </w:rPr>
        <w:t>Tender</w:t>
      </w:r>
    </w:p>
    <w:p w14:paraId="7EDD45F1" w14:textId="77777777" w:rsidR="00BB77C0" w:rsidRDefault="00370BAA">
      <w:pPr>
        <w:pStyle w:val="Heading7"/>
        <w:spacing w:before="238"/>
        <w:ind w:left="490"/>
      </w:pPr>
      <w:bookmarkStart w:id="174" w:name="Schedule_of_Currency_requirements"/>
      <w:bookmarkEnd w:id="174"/>
      <w:r>
        <w:rPr>
          <w:color w:val="211F1F"/>
        </w:rPr>
        <w:t>Schedule</w:t>
      </w:r>
      <w:r>
        <w:rPr>
          <w:color w:val="211F1F"/>
          <w:spacing w:val="-10"/>
        </w:rPr>
        <w:t xml:space="preserve"> </w:t>
      </w:r>
      <w:r>
        <w:rPr>
          <w:color w:val="211F1F"/>
        </w:rPr>
        <w:t>of</w:t>
      </w:r>
      <w:r>
        <w:rPr>
          <w:color w:val="211F1F"/>
          <w:spacing w:val="-14"/>
        </w:rPr>
        <w:t xml:space="preserve"> </w:t>
      </w:r>
      <w:r>
        <w:rPr>
          <w:color w:val="211F1F"/>
        </w:rPr>
        <w:t>Currency</w:t>
      </w:r>
      <w:r>
        <w:rPr>
          <w:color w:val="211F1F"/>
          <w:spacing w:val="-7"/>
        </w:rPr>
        <w:t xml:space="preserve"> </w:t>
      </w:r>
      <w:r>
        <w:rPr>
          <w:color w:val="211F1F"/>
          <w:spacing w:val="-2"/>
        </w:rPr>
        <w:t>requirements</w:t>
      </w:r>
    </w:p>
    <w:p w14:paraId="09D13367" w14:textId="77777777" w:rsidR="00BB77C0" w:rsidRDefault="00370BAA">
      <w:pPr>
        <w:tabs>
          <w:tab w:val="left" w:pos="6333"/>
        </w:tabs>
        <w:spacing w:before="227"/>
        <w:ind w:left="490"/>
        <w:rPr>
          <w:i/>
        </w:rPr>
      </w:pPr>
      <w:r>
        <w:rPr>
          <w:color w:val="211F1F"/>
        </w:rPr>
        <w:t>Summary</w:t>
      </w:r>
      <w:r>
        <w:rPr>
          <w:color w:val="211F1F"/>
          <w:spacing w:val="-14"/>
        </w:rPr>
        <w:t xml:space="preserve"> </w:t>
      </w:r>
      <w:r>
        <w:rPr>
          <w:color w:val="211F1F"/>
        </w:rPr>
        <w:t>of</w:t>
      </w:r>
      <w:r>
        <w:rPr>
          <w:color w:val="211F1F"/>
          <w:spacing w:val="-10"/>
        </w:rPr>
        <w:t xml:space="preserve"> </w:t>
      </w:r>
      <w:r>
        <w:rPr>
          <w:color w:val="211F1F"/>
        </w:rPr>
        <w:t>currencies</w:t>
      </w:r>
      <w:r>
        <w:rPr>
          <w:color w:val="211F1F"/>
          <w:spacing w:val="-7"/>
        </w:rPr>
        <w:t xml:space="preserve"> </w:t>
      </w:r>
      <w:r>
        <w:rPr>
          <w:color w:val="211F1F"/>
        </w:rPr>
        <w:t>of</w:t>
      </w:r>
      <w:r>
        <w:rPr>
          <w:color w:val="211F1F"/>
          <w:spacing w:val="-13"/>
        </w:rPr>
        <w:t xml:space="preserve"> </w:t>
      </w:r>
      <w:r>
        <w:rPr>
          <w:color w:val="211F1F"/>
        </w:rPr>
        <w:t>the</w:t>
      </w:r>
      <w:r>
        <w:rPr>
          <w:color w:val="211F1F"/>
          <w:spacing w:val="-14"/>
        </w:rPr>
        <w:t xml:space="preserve"> </w:t>
      </w:r>
      <w:r>
        <w:rPr>
          <w:color w:val="211F1F"/>
        </w:rPr>
        <w:t>Tender</w:t>
      </w:r>
      <w:r>
        <w:rPr>
          <w:color w:val="211F1F"/>
          <w:spacing w:val="-8"/>
        </w:rPr>
        <w:t xml:space="preserve"> </w:t>
      </w:r>
      <w:r>
        <w:rPr>
          <w:color w:val="211F1F"/>
          <w:spacing w:val="-5"/>
        </w:rPr>
        <w:t>for</w:t>
      </w:r>
      <w:r>
        <w:rPr>
          <w:i/>
          <w:color w:val="211F1F"/>
          <w:u w:val="single" w:color="201E1F"/>
        </w:rPr>
        <w:tab/>
      </w:r>
      <w:r>
        <w:rPr>
          <w:i/>
          <w:color w:val="211F1F"/>
        </w:rPr>
        <w:t>[insert</w:t>
      </w:r>
      <w:r>
        <w:rPr>
          <w:i/>
          <w:color w:val="211F1F"/>
          <w:spacing w:val="-6"/>
        </w:rPr>
        <w:t xml:space="preserve"> </w:t>
      </w:r>
      <w:r>
        <w:rPr>
          <w:i/>
          <w:color w:val="211F1F"/>
        </w:rPr>
        <w:t>name</w:t>
      </w:r>
      <w:r>
        <w:rPr>
          <w:i/>
          <w:color w:val="211F1F"/>
          <w:spacing w:val="-7"/>
        </w:rPr>
        <w:t xml:space="preserve"> </w:t>
      </w:r>
      <w:r>
        <w:rPr>
          <w:i/>
          <w:color w:val="211F1F"/>
        </w:rPr>
        <w:t>of</w:t>
      </w:r>
      <w:r>
        <w:rPr>
          <w:i/>
          <w:color w:val="211F1F"/>
          <w:spacing w:val="-5"/>
        </w:rPr>
        <w:t xml:space="preserve"> </w:t>
      </w:r>
      <w:r>
        <w:rPr>
          <w:i/>
          <w:color w:val="211F1F"/>
        </w:rPr>
        <w:t>Section</w:t>
      </w:r>
      <w:r>
        <w:rPr>
          <w:i/>
          <w:color w:val="211F1F"/>
          <w:spacing w:val="-4"/>
        </w:rPr>
        <w:t xml:space="preserve"> </w:t>
      </w:r>
      <w:r>
        <w:rPr>
          <w:i/>
          <w:color w:val="211F1F"/>
        </w:rPr>
        <w:t>of</w:t>
      </w:r>
      <w:r>
        <w:rPr>
          <w:i/>
          <w:color w:val="211F1F"/>
          <w:spacing w:val="-4"/>
        </w:rPr>
        <w:t xml:space="preserve"> </w:t>
      </w:r>
      <w:r>
        <w:rPr>
          <w:i/>
          <w:color w:val="211F1F"/>
        </w:rPr>
        <w:t>the</w:t>
      </w:r>
      <w:r>
        <w:rPr>
          <w:i/>
          <w:color w:val="211F1F"/>
          <w:spacing w:val="-11"/>
        </w:rPr>
        <w:t xml:space="preserve"> </w:t>
      </w:r>
      <w:r>
        <w:rPr>
          <w:i/>
          <w:color w:val="211F1F"/>
          <w:spacing w:val="-2"/>
        </w:rPr>
        <w:t>Works]</w:t>
      </w:r>
    </w:p>
    <w:p w14:paraId="39ADABD8" w14:textId="77777777" w:rsidR="00BB77C0" w:rsidRDefault="00BB77C0">
      <w:pPr>
        <w:pStyle w:val="BodyText"/>
        <w:rPr>
          <w:i/>
          <w:sz w:val="20"/>
        </w:rPr>
      </w:pPr>
    </w:p>
    <w:p w14:paraId="56A64480" w14:textId="77777777" w:rsidR="00BB77C0" w:rsidRDefault="00BB77C0">
      <w:pPr>
        <w:pStyle w:val="BodyText"/>
        <w:spacing w:before="35"/>
        <w:rPr>
          <w:i/>
          <w:sz w:val="20"/>
        </w:rPr>
      </w:pPr>
    </w:p>
    <w:tbl>
      <w:tblPr>
        <w:tblW w:w="0" w:type="auto"/>
        <w:tblInd w:w="524"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4682"/>
        <w:gridCol w:w="4321"/>
      </w:tblGrid>
      <w:tr w:rsidR="00BB77C0" w14:paraId="69ED053F" w14:textId="77777777">
        <w:trPr>
          <w:trHeight w:val="258"/>
        </w:trPr>
        <w:tc>
          <w:tcPr>
            <w:tcW w:w="4682" w:type="dxa"/>
            <w:tcBorders>
              <w:bottom w:val="single" w:sz="6" w:space="0" w:color="000000"/>
              <w:right w:val="single" w:sz="6" w:space="0" w:color="000000"/>
            </w:tcBorders>
          </w:tcPr>
          <w:p w14:paraId="439EC3D5" w14:textId="77777777" w:rsidR="00BB77C0" w:rsidRDefault="00370BAA">
            <w:pPr>
              <w:pStyle w:val="TableParagraph"/>
              <w:spacing w:line="238" w:lineRule="exact"/>
              <w:ind w:left="97"/>
              <w:rPr>
                <w:b/>
                <w:i/>
              </w:rPr>
            </w:pPr>
            <w:r>
              <w:rPr>
                <w:b/>
                <w:i/>
              </w:rPr>
              <w:t>Name</w:t>
            </w:r>
            <w:r>
              <w:rPr>
                <w:b/>
                <w:i/>
                <w:spacing w:val="-3"/>
              </w:rPr>
              <w:t xml:space="preserve"> </w:t>
            </w:r>
            <w:r>
              <w:rPr>
                <w:b/>
                <w:i/>
              </w:rPr>
              <w:t>of</w:t>
            </w:r>
            <w:r>
              <w:rPr>
                <w:b/>
                <w:i/>
                <w:spacing w:val="-2"/>
              </w:rPr>
              <w:t xml:space="preserve"> currency</w:t>
            </w:r>
          </w:p>
        </w:tc>
        <w:tc>
          <w:tcPr>
            <w:tcW w:w="4321" w:type="dxa"/>
            <w:tcBorders>
              <w:left w:val="single" w:sz="6" w:space="0" w:color="000000"/>
              <w:bottom w:val="single" w:sz="6" w:space="0" w:color="000000"/>
            </w:tcBorders>
          </w:tcPr>
          <w:p w14:paraId="3CCB9A58" w14:textId="77777777" w:rsidR="00BB77C0" w:rsidRDefault="00370BAA">
            <w:pPr>
              <w:pStyle w:val="TableParagraph"/>
              <w:spacing w:line="238" w:lineRule="exact"/>
              <w:ind w:left="112"/>
              <w:rPr>
                <w:b/>
                <w:i/>
              </w:rPr>
            </w:pPr>
            <w:r>
              <w:rPr>
                <w:b/>
                <w:i/>
              </w:rPr>
              <w:t>Amounts</w:t>
            </w:r>
            <w:r>
              <w:rPr>
                <w:b/>
                <w:i/>
                <w:spacing w:val="-7"/>
              </w:rPr>
              <w:t xml:space="preserve"> </w:t>
            </w:r>
            <w:r>
              <w:rPr>
                <w:b/>
                <w:i/>
                <w:spacing w:val="-2"/>
              </w:rPr>
              <w:t>payable</w:t>
            </w:r>
          </w:p>
        </w:tc>
      </w:tr>
      <w:tr w:rsidR="00BB77C0" w14:paraId="6BB45830" w14:textId="77777777">
        <w:trPr>
          <w:trHeight w:val="249"/>
        </w:trPr>
        <w:tc>
          <w:tcPr>
            <w:tcW w:w="4682" w:type="dxa"/>
            <w:tcBorders>
              <w:top w:val="single" w:sz="6" w:space="0" w:color="000000"/>
              <w:bottom w:val="single" w:sz="6" w:space="0" w:color="000000"/>
              <w:right w:val="single" w:sz="6" w:space="0" w:color="000000"/>
            </w:tcBorders>
          </w:tcPr>
          <w:p w14:paraId="44EF3593" w14:textId="77777777" w:rsidR="00BB77C0" w:rsidRDefault="00370BAA">
            <w:pPr>
              <w:pStyle w:val="TableParagraph"/>
              <w:tabs>
                <w:tab w:val="left" w:pos="4440"/>
              </w:tabs>
              <w:spacing w:line="229" w:lineRule="exact"/>
              <w:ind w:left="97"/>
            </w:pPr>
            <w:r>
              <w:t>Local currency:</w:t>
            </w:r>
            <w:r>
              <w:rPr>
                <w:spacing w:val="53"/>
              </w:rPr>
              <w:t xml:space="preserve"> </w:t>
            </w:r>
            <w:r>
              <w:rPr>
                <w:u w:val="single"/>
              </w:rPr>
              <w:tab/>
            </w:r>
          </w:p>
        </w:tc>
        <w:tc>
          <w:tcPr>
            <w:tcW w:w="4321" w:type="dxa"/>
            <w:tcBorders>
              <w:top w:val="single" w:sz="6" w:space="0" w:color="000000"/>
              <w:left w:val="single" w:sz="6" w:space="0" w:color="000000"/>
              <w:bottom w:val="single" w:sz="6" w:space="0" w:color="000000"/>
            </w:tcBorders>
          </w:tcPr>
          <w:p w14:paraId="27E733A0" w14:textId="77777777" w:rsidR="00BB77C0" w:rsidRDefault="00BB77C0">
            <w:pPr>
              <w:pStyle w:val="TableParagraph"/>
              <w:rPr>
                <w:sz w:val="18"/>
              </w:rPr>
            </w:pPr>
          </w:p>
        </w:tc>
      </w:tr>
      <w:tr w:rsidR="00BB77C0" w14:paraId="6B5442CB" w14:textId="77777777">
        <w:trPr>
          <w:trHeight w:val="253"/>
        </w:trPr>
        <w:tc>
          <w:tcPr>
            <w:tcW w:w="4682" w:type="dxa"/>
            <w:tcBorders>
              <w:top w:val="single" w:sz="6" w:space="0" w:color="000000"/>
              <w:bottom w:val="single" w:sz="6" w:space="0" w:color="000000"/>
              <w:right w:val="single" w:sz="6" w:space="0" w:color="000000"/>
            </w:tcBorders>
          </w:tcPr>
          <w:p w14:paraId="00A82C31" w14:textId="77777777" w:rsidR="00BB77C0" w:rsidRDefault="00370BAA">
            <w:pPr>
              <w:pStyle w:val="TableParagraph"/>
              <w:tabs>
                <w:tab w:val="left" w:pos="4440"/>
              </w:tabs>
              <w:spacing w:line="234" w:lineRule="exact"/>
              <w:ind w:left="97"/>
            </w:pPr>
            <w:r>
              <w:t>Foreign currency #1:</w:t>
            </w:r>
            <w:r>
              <w:rPr>
                <w:spacing w:val="58"/>
              </w:rPr>
              <w:t xml:space="preserve"> </w:t>
            </w:r>
            <w:r>
              <w:rPr>
                <w:u w:val="single"/>
              </w:rPr>
              <w:tab/>
            </w:r>
          </w:p>
        </w:tc>
        <w:tc>
          <w:tcPr>
            <w:tcW w:w="4321" w:type="dxa"/>
            <w:tcBorders>
              <w:top w:val="single" w:sz="6" w:space="0" w:color="000000"/>
              <w:left w:val="single" w:sz="6" w:space="0" w:color="000000"/>
              <w:bottom w:val="single" w:sz="6" w:space="0" w:color="000000"/>
            </w:tcBorders>
          </w:tcPr>
          <w:p w14:paraId="4EB405ED" w14:textId="77777777" w:rsidR="00BB77C0" w:rsidRDefault="00BB77C0">
            <w:pPr>
              <w:pStyle w:val="TableParagraph"/>
              <w:rPr>
                <w:sz w:val="18"/>
              </w:rPr>
            </w:pPr>
          </w:p>
        </w:tc>
      </w:tr>
      <w:tr w:rsidR="00BB77C0" w14:paraId="7561F54A" w14:textId="77777777">
        <w:trPr>
          <w:trHeight w:val="253"/>
        </w:trPr>
        <w:tc>
          <w:tcPr>
            <w:tcW w:w="4682" w:type="dxa"/>
            <w:tcBorders>
              <w:top w:val="single" w:sz="6" w:space="0" w:color="000000"/>
              <w:bottom w:val="single" w:sz="6" w:space="0" w:color="000000"/>
              <w:right w:val="single" w:sz="6" w:space="0" w:color="000000"/>
            </w:tcBorders>
          </w:tcPr>
          <w:p w14:paraId="1A93480E" w14:textId="77777777" w:rsidR="00BB77C0" w:rsidRDefault="00370BAA">
            <w:pPr>
              <w:pStyle w:val="TableParagraph"/>
              <w:tabs>
                <w:tab w:val="left" w:pos="4440"/>
              </w:tabs>
              <w:spacing w:line="234" w:lineRule="exact"/>
              <w:ind w:left="97"/>
            </w:pPr>
            <w:r>
              <w:t>Foreign currency #2:</w:t>
            </w:r>
            <w:r>
              <w:rPr>
                <w:spacing w:val="58"/>
              </w:rPr>
              <w:t xml:space="preserve"> </w:t>
            </w:r>
            <w:r>
              <w:rPr>
                <w:u w:val="single"/>
              </w:rPr>
              <w:tab/>
            </w:r>
          </w:p>
        </w:tc>
        <w:tc>
          <w:tcPr>
            <w:tcW w:w="4321" w:type="dxa"/>
            <w:tcBorders>
              <w:top w:val="single" w:sz="6" w:space="0" w:color="000000"/>
              <w:left w:val="single" w:sz="6" w:space="0" w:color="000000"/>
              <w:bottom w:val="single" w:sz="6" w:space="0" w:color="000000"/>
            </w:tcBorders>
          </w:tcPr>
          <w:p w14:paraId="1F40008D" w14:textId="77777777" w:rsidR="00BB77C0" w:rsidRDefault="00BB77C0">
            <w:pPr>
              <w:pStyle w:val="TableParagraph"/>
              <w:rPr>
                <w:sz w:val="18"/>
              </w:rPr>
            </w:pPr>
          </w:p>
        </w:tc>
      </w:tr>
      <w:tr w:rsidR="00BB77C0" w14:paraId="5D7A632B" w14:textId="77777777">
        <w:trPr>
          <w:trHeight w:val="249"/>
        </w:trPr>
        <w:tc>
          <w:tcPr>
            <w:tcW w:w="4682" w:type="dxa"/>
            <w:tcBorders>
              <w:top w:val="single" w:sz="6" w:space="0" w:color="000000"/>
              <w:bottom w:val="single" w:sz="6" w:space="0" w:color="000000"/>
              <w:right w:val="single" w:sz="6" w:space="0" w:color="000000"/>
            </w:tcBorders>
          </w:tcPr>
          <w:p w14:paraId="4A0C1071" w14:textId="77777777" w:rsidR="00BB77C0" w:rsidRDefault="00370BAA">
            <w:pPr>
              <w:pStyle w:val="TableParagraph"/>
              <w:tabs>
                <w:tab w:val="left" w:pos="4440"/>
              </w:tabs>
              <w:spacing w:line="229" w:lineRule="exact"/>
              <w:ind w:left="97"/>
            </w:pPr>
            <w:r>
              <w:t>Foreign currency #3:</w:t>
            </w:r>
            <w:r>
              <w:rPr>
                <w:spacing w:val="58"/>
              </w:rPr>
              <w:t xml:space="preserve"> </w:t>
            </w:r>
            <w:r>
              <w:rPr>
                <w:u w:val="single"/>
              </w:rPr>
              <w:tab/>
            </w:r>
          </w:p>
        </w:tc>
        <w:tc>
          <w:tcPr>
            <w:tcW w:w="4321" w:type="dxa"/>
            <w:tcBorders>
              <w:top w:val="single" w:sz="6" w:space="0" w:color="000000"/>
              <w:left w:val="single" w:sz="6" w:space="0" w:color="000000"/>
              <w:bottom w:val="single" w:sz="6" w:space="0" w:color="000000"/>
            </w:tcBorders>
          </w:tcPr>
          <w:p w14:paraId="4BDFA2EE" w14:textId="77777777" w:rsidR="00BB77C0" w:rsidRDefault="00BB77C0">
            <w:pPr>
              <w:pStyle w:val="TableParagraph"/>
              <w:rPr>
                <w:sz w:val="18"/>
              </w:rPr>
            </w:pPr>
          </w:p>
        </w:tc>
      </w:tr>
      <w:tr w:rsidR="00BB77C0" w14:paraId="6F149848" w14:textId="77777777">
        <w:trPr>
          <w:trHeight w:val="489"/>
        </w:trPr>
        <w:tc>
          <w:tcPr>
            <w:tcW w:w="4682" w:type="dxa"/>
            <w:tcBorders>
              <w:top w:val="single" w:sz="6" w:space="0" w:color="000000"/>
              <w:bottom w:val="double" w:sz="2" w:space="0" w:color="000000"/>
              <w:right w:val="single" w:sz="6" w:space="0" w:color="000000"/>
            </w:tcBorders>
          </w:tcPr>
          <w:p w14:paraId="3B3B593D" w14:textId="77777777" w:rsidR="00BB77C0" w:rsidRDefault="00370BAA">
            <w:pPr>
              <w:pStyle w:val="TableParagraph"/>
              <w:spacing w:line="249" w:lineRule="exact"/>
              <w:ind w:left="97"/>
            </w:pPr>
            <w:r>
              <w:t>Provisional</w:t>
            </w:r>
            <w:r>
              <w:rPr>
                <w:spacing w:val="-11"/>
              </w:rPr>
              <w:t xml:space="preserve"> </w:t>
            </w:r>
            <w:r>
              <w:t>sums</w:t>
            </w:r>
            <w:r>
              <w:rPr>
                <w:spacing w:val="-4"/>
              </w:rPr>
              <w:t xml:space="preserve"> </w:t>
            </w:r>
            <w:r>
              <w:t>expressed</w:t>
            </w:r>
            <w:r>
              <w:rPr>
                <w:spacing w:val="-12"/>
              </w:rPr>
              <w:t xml:space="preserve"> </w:t>
            </w:r>
            <w:r>
              <w:t>in</w:t>
            </w:r>
            <w:r>
              <w:rPr>
                <w:spacing w:val="-9"/>
              </w:rPr>
              <w:t xml:space="preserve"> </w:t>
            </w:r>
            <w:r>
              <w:t>local</w:t>
            </w:r>
            <w:r>
              <w:rPr>
                <w:spacing w:val="-7"/>
              </w:rPr>
              <w:t xml:space="preserve"> </w:t>
            </w:r>
            <w:r>
              <w:rPr>
                <w:spacing w:val="-2"/>
              </w:rPr>
              <w:t>currency</w:t>
            </w:r>
          </w:p>
        </w:tc>
        <w:tc>
          <w:tcPr>
            <w:tcW w:w="4321" w:type="dxa"/>
            <w:tcBorders>
              <w:top w:val="single" w:sz="6" w:space="0" w:color="000000"/>
              <w:left w:val="single" w:sz="6" w:space="0" w:color="000000"/>
              <w:bottom w:val="single" w:sz="6" w:space="0" w:color="000000"/>
            </w:tcBorders>
          </w:tcPr>
          <w:p w14:paraId="6EDB5339" w14:textId="77777777" w:rsidR="00BB77C0" w:rsidRDefault="00370BAA">
            <w:pPr>
              <w:pStyle w:val="TableParagraph"/>
              <w:spacing w:line="249" w:lineRule="exact"/>
              <w:ind w:left="112"/>
            </w:pPr>
            <w:r>
              <w:t>[To</w:t>
            </w:r>
            <w:r>
              <w:rPr>
                <w:spacing w:val="-4"/>
              </w:rPr>
              <w:t xml:space="preserve"> </w:t>
            </w:r>
            <w:r>
              <w:t>be</w:t>
            </w:r>
            <w:r>
              <w:rPr>
                <w:spacing w:val="-7"/>
              </w:rPr>
              <w:t xml:space="preserve"> </w:t>
            </w:r>
            <w:r>
              <w:t>entered</w:t>
            </w:r>
            <w:r>
              <w:rPr>
                <w:spacing w:val="-4"/>
              </w:rPr>
              <w:t xml:space="preserve"> </w:t>
            </w:r>
            <w:r>
              <w:t>by</w:t>
            </w:r>
            <w:r>
              <w:rPr>
                <w:spacing w:val="-9"/>
              </w:rPr>
              <w:t xml:space="preserve"> </w:t>
            </w:r>
            <w:r>
              <w:t>the</w:t>
            </w:r>
            <w:r>
              <w:rPr>
                <w:spacing w:val="-7"/>
              </w:rPr>
              <w:t xml:space="preserve"> </w:t>
            </w:r>
            <w:r>
              <w:t>Procuring</w:t>
            </w:r>
            <w:r>
              <w:rPr>
                <w:spacing w:val="-2"/>
              </w:rPr>
              <w:t xml:space="preserve"> Entity]</w:t>
            </w:r>
          </w:p>
        </w:tc>
      </w:tr>
    </w:tbl>
    <w:p w14:paraId="0422F5A0" w14:textId="77777777" w:rsidR="00BB77C0" w:rsidRDefault="00BB77C0">
      <w:pPr>
        <w:pStyle w:val="TableParagraph"/>
        <w:spacing w:line="249" w:lineRule="exact"/>
        <w:sectPr w:rsidR="00BB77C0">
          <w:pgSz w:w="11920" w:h="16850"/>
          <w:pgMar w:top="0" w:right="0" w:bottom="0" w:left="360" w:header="720" w:footer="720" w:gutter="0"/>
          <w:cols w:space="720"/>
        </w:sectPr>
      </w:pPr>
    </w:p>
    <w:p w14:paraId="4C35AB27" w14:textId="77777777" w:rsidR="00BB77C0" w:rsidRDefault="00370BAA">
      <w:pPr>
        <w:pStyle w:val="BodyText"/>
        <w:rPr>
          <w:i/>
          <w:sz w:val="20"/>
        </w:rPr>
      </w:pPr>
      <w:r>
        <w:rPr>
          <w:i/>
          <w:noProof/>
          <w:sz w:val="20"/>
        </w:rPr>
        <w:lastRenderedPageBreak/>
        <mc:AlternateContent>
          <mc:Choice Requires="wpg">
            <w:drawing>
              <wp:anchor distT="0" distB="0" distL="0" distR="0" simplePos="0" relativeHeight="15776768" behindDoc="0" locked="0" layoutInCell="1" allowOverlap="1" wp14:anchorId="4E8E5E10" wp14:editId="46BB7E14">
                <wp:simplePos x="0" y="0"/>
                <wp:positionH relativeFrom="page">
                  <wp:posOffset>0</wp:posOffset>
                </wp:positionH>
                <wp:positionV relativeFrom="page">
                  <wp:posOffset>10234295</wp:posOffset>
                </wp:positionV>
                <wp:extent cx="7561580" cy="459105"/>
                <wp:effectExtent l="0" t="0" r="0" b="0"/>
                <wp:wrapNone/>
                <wp:docPr id="374" name="Group 3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1580" cy="459105"/>
                          <a:chOff x="0" y="0"/>
                          <a:chExt cx="7561580" cy="459105"/>
                        </a:xfrm>
                      </wpg:grpSpPr>
                      <wps:wsp>
                        <wps:cNvPr id="375" name="Graphic 375"/>
                        <wps:cNvSpPr/>
                        <wps:spPr>
                          <a:xfrm>
                            <a:off x="6449059" y="5714"/>
                            <a:ext cx="1110615" cy="451484"/>
                          </a:xfrm>
                          <a:custGeom>
                            <a:avLst/>
                            <a:gdLst/>
                            <a:ahLst/>
                            <a:cxnLst/>
                            <a:rect l="l" t="t" r="r" b="b"/>
                            <a:pathLst>
                              <a:path w="1110615" h="451484">
                                <a:moveTo>
                                  <a:pt x="1110614" y="0"/>
                                </a:moveTo>
                                <a:lnTo>
                                  <a:pt x="0" y="0"/>
                                </a:lnTo>
                                <a:lnTo>
                                  <a:pt x="260349" y="451483"/>
                                </a:lnTo>
                                <a:lnTo>
                                  <a:pt x="1110614" y="451483"/>
                                </a:lnTo>
                                <a:lnTo>
                                  <a:pt x="1110614" y="0"/>
                                </a:lnTo>
                                <a:close/>
                              </a:path>
                            </a:pathLst>
                          </a:custGeom>
                          <a:solidFill>
                            <a:srgbClr val="FAD2C1"/>
                          </a:solidFill>
                        </wps:spPr>
                        <wps:bodyPr wrap="square" lIns="0" tIns="0" rIns="0" bIns="0" rtlCol="0">
                          <a:prstTxWarp prst="textNoShape">
                            <a:avLst/>
                          </a:prstTxWarp>
                          <a:noAutofit/>
                        </wps:bodyPr>
                      </wps:wsp>
                      <wps:wsp>
                        <wps:cNvPr id="376" name="Graphic 376"/>
                        <wps:cNvSpPr/>
                        <wps:spPr>
                          <a:xfrm>
                            <a:off x="6449059" y="5714"/>
                            <a:ext cx="1110615" cy="451484"/>
                          </a:xfrm>
                          <a:custGeom>
                            <a:avLst/>
                            <a:gdLst/>
                            <a:ahLst/>
                            <a:cxnLst/>
                            <a:rect l="l" t="t" r="r" b="b"/>
                            <a:pathLst>
                              <a:path w="1110615" h="451484">
                                <a:moveTo>
                                  <a:pt x="0" y="0"/>
                                </a:moveTo>
                                <a:lnTo>
                                  <a:pt x="1110614" y="0"/>
                                </a:lnTo>
                                <a:lnTo>
                                  <a:pt x="1110614" y="451483"/>
                                </a:lnTo>
                                <a:lnTo>
                                  <a:pt x="260349" y="451483"/>
                                </a:lnTo>
                                <a:lnTo>
                                  <a:pt x="0" y="0"/>
                                </a:lnTo>
                              </a:path>
                            </a:pathLst>
                          </a:custGeom>
                          <a:ln w="3051">
                            <a:solidFill>
                              <a:srgbClr val="FAD2C1"/>
                            </a:solidFill>
                            <a:prstDash val="solid"/>
                          </a:ln>
                        </wps:spPr>
                        <wps:bodyPr wrap="square" lIns="0" tIns="0" rIns="0" bIns="0" rtlCol="0">
                          <a:prstTxWarp prst="textNoShape">
                            <a:avLst/>
                          </a:prstTxWarp>
                          <a:noAutofit/>
                        </wps:bodyPr>
                      </wps:wsp>
                      <wps:wsp>
                        <wps:cNvPr id="377" name="Graphic 377"/>
                        <wps:cNvSpPr/>
                        <wps:spPr>
                          <a:xfrm>
                            <a:off x="0" y="6350"/>
                            <a:ext cx="7560309" cy="1270"/>
                          </a:xfrm>
                          <a:custGeom>
                            <a:avLst/>
                            <a:gdLst/>
                            <a:ahLst/>
                            <a:cxnLst/>
                            <a:rect l="l" t="t" r="r" b="b"/>
                            <a:pathLst>
                              <a:path w="7560309">
                                <a:moveTo>
                                  <a:pt x="0" y="0"/>
                                </a:moveTo>
                                <a:lnTo>
                                  <a:pt x="7560309" y="0"/>
                                </a:lnTo>
                              </a:path>
                            </a:pathLst>
                          </a:custGeom>
                          <a:ln w="12700">
                            <a:solidFill>
                              <a:srgbClr val="FAD2C1"/>
                            </a:solidFill>
                            <a:prstDash val="solid"/>
                          </a:ln>
                        </wps:spPr>
                        <wps:bodyPr wrap="square" lIns="0" tIns="0" rIns="0" bIns="0" rtlCol="0">
                          <a:prstTxWarp prst="textNoShape">
                            <a:avLst/>
                          </a:prstTxWarp>
                          <a:noAutofit/>
                        </wps:bodyPr>
                      </wps:wsp>
                      <wps:wsp>
                        <wps:cNvPr id="378" name="Textbox 378"/>
                        <wps:cNvSpPr txBox="1"/>
                        <wps:spPr>
                          <a:xfrm>
                            <a:off x="6882130" y="37491"/>
                            <a:ext cx="147320" cy="155575"/>
                          </a:xfrm>
                          <a:prstGeom prst="rect">
                            <a:avLst/>
                          </a:prstGeom>
                        </wps:spPr>
                        <wps:txbx>
                          <w:txbxContent>
                            <w:p w14:paraId="37CDCE96" w14:textId="77777777" w:rsidR="00BB77C0" w:rsidRDefault="00370BAA">
                              <w:pPr>
                                <w:spacing w:line="244" w:lineRule="exact"/>
                              </w:pPr>
                              <w:r>
                                <w:rPr>
                                  <w:spacing w:val="-5"/>
                                </w:rPr>
                                <w:t>61</w:t>
                              </w:r>
                            </w:p>
                          </w:txbxContent>
                        </wps:txbx>
                        <wps:bodyPr wrap="square" lIns="0" tIns="0" rIns="0" bIns="0" rtlCol="0">
                          <a:noAutofit/>
                        </wps:bodyPr>
                      </wps:wsp>
                    </wpg:wgp>
                  </a:graphicData>
                </a:graphic>
              </wp:anchor>
            </w:drawing>
          </mc:Choice>
          <mc:Fallback>
            <w:pict>
              <v:group w14:anchorId="4E8E5E10" id="Group 374" o:spid="_x0000_s1191" style="position:absolute;margin-left:0;margin-top:805.85pt;width:595.4pt;height:36.15pt;z-index:15776768;mso-wrap-distance-left:0;mso-wrap-distance-right:0;mso-position-horizontal-relative:page;mso-position-vertical-relative:page" coordsize="75615,4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">
                <v:shape id="Graphic 375" o:spid="_x0000_s1192" style="position:absolute;left:64490;top:57;width:11106;height:4514;visibility:visible;mso-wrap-style:square;v-text-anchor:top" coordsize="1110615,4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" path="m1110614,l,,260349,451483r850265,l1110614,xe" fillcolor="#fad2c1" stroked="f">
                  <v:path arrowok="t"/>
                </v:shape>
                <v:shape id="Graphic 376" o:spid="_x0000_s1193" style="position:absolute;left:64490;top:57;width:11106;height:4514;visibility:visible;mso-wrap-style:square;v-text-anchor:top" coordsize="1110615,4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" path="m,l1110614,r,451483l260349,451483,,e" filled="f" strokecolor="#fad2c1" strokeweight=".08475mm">
                  <v:path arrowok="t"/>
                </v:shape>
                <v:shape id="Graphic 377" o:spid="_x0000_s1194" style="position:absolute;top:63;width:75603;height:13;visibility:visible;mso-wrap-style:square;v-text-anchor:top" coordsize="756030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" path="m,l7560309,e" filled="f" strokecolor="#fad2c1" strokeweight="1pt">
                  <v:path arrowok="t"/>
                </v:shape>
                <v:shape id="Textbox 378" o:spid="_x0000_s1195" type="#_x0000_t202" style="position:absolute;left:68821;top:374;width:1473;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" filled="f" stroked="f">
                  <v:textbox inset="0,0,0,0">
                    <w:txbxContent>
                      <w:p w14:paraId="37CDCE96" w14:textId="77777777" w:rsidR="00BB77C0" w:rsidRDefault="00370BAA">
                        <w:pPr>
                          <w:spacing w:line="244" w:lineRule="exact"/>
                        </w:pPr>
                        <w:r>
                          <w:rPr>
                            <w:spacing w:val="-5"/>
                          </w:rPr>
                          <w:t>61</w:t>
                        </w:r>
                      </w:p>
                    </w:txbxContent>
                  </v:textbox>
                </v:shape>
                <w10:wrap anchorx="page" anchory="page"/>
              </v:group>
            </w:pict>
          </mc:Fallback>
        </mc:AlternateContent>
      </w:r>
      <w:r>
        <w:rPr>
          <w:i/>
          <w:noProof/>
          <w:sz w:val="20"/>
        </w:rPr>
        <mc:AlternateContent>
          <mc:Choice Requires="wpg">
            <w:drawing>
              <wp:anchor distT="0" distB="0" distL="0" distR="0" simplePos="0" relativeHeight="15777280" behindDoc="0" locked="0" layoutInCell="1" allowOverlap="1" wp14:anchorId="21E09F2F" wp14:editId="4147805A">
                <wp:simplePos x="0" y="0"/>
                <wp:positionH relativeFrom="page">
                  <wp:posOffset>0</wp:posOffset>
                </wp:positionH>
                <wp:positionV relativeFrom="page">
                  <wp:posOffset>0</wp:posOffset>
                </wp:positionV>
                <wp:extent cx="7559675" cy="228600"/>
                <wp:effectExtent l="0" t="0" r="0" b="0"/>
                <wp:wrapNone/>
                <wp:docPr id="379" name="Group 3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675" cy="228600"/>
                          <a:chOff x="0" y="0"/>
                          <a:chExt cx="7559675" cy="228600"/>
                        </a:xfrm>
                      </wpg:grpSpPr>
                      <wps:wsp>
                        <wps:cNvPr id="380" name="Graphic 380"/>
                        <wps:cNvSpPr/>
                        <wps:spPr>
                          <a:xfrm>
                            <a:off x="848283" y="0"/>
                            <a:ext cx="6711950" cy="228600"/>
                          </a:xfrm>
                          <a:custGeom>
                            <a:avLst/>
                            <a:gdLst/>
                            <a:ahLst/>
                            <a:cxnLst/>
                            <a:rect l="l" t="t" r="r" b="b"/>
                            <a:pathLst>
                              <a:path w="6711950" h="228600">
                                <a:moveTo>
                                  <a:pt x="6711391" y="0"/>
                                </a:moveTo>
                                <a:lnTo>
                                  <a:pt x="0" y="0"/>
                                </a:lnTo>
                                <a:lnTo>
                                  <a:pt x="184137" y="228600"/>
                                </a:lnTo>
                                <a:lnTo>
                                  <a:pt x="6711391" y="223520"/>
                                </a:lnTo>
                                <a:lnTo>
                                  <a:pt x="6711391" y="0"/>
                                </a:lnTo>
                                <a:close/>
                              </a:path>
                            </a:pathLst>
                          </a:custGeom>
                          <a:solidFill>
                            <a:srgbClr val="E6E7E8"/>
                          </a:solidFill>
                        </wps:spPr>
                        <wps:bodyPr wrap="square" lIns="0" tIns="0" rIns="0" bIns="0" rtlCol="0">
                          <a:prstTxWarp prst="textNoShape">
                            <a:avLst/>
                          </a:prstTxWarp>
                          <a:noAutofit/>
                        </wps:bodyPr>
                      </wps:wsp>
                      <wps:wsp>
                        <wps:cNvPr id="381" name="Graphic 381"/>
                        <wps:cNvSpPr/>
                        <wps:spPr>
                          <a:xfrm>
                            <a:off x="0" y="0"/>
                            <a:ext cx="655955" cy="228600"/>
                          </a:xfrm>
                          <a:custGeom>
                            <a:avLst/>
                            <a:gdLst/>
                            <a:ahLst/>
                            <a:cxnLst/>
                            <a:rect l="l" t="t" r="r" b="b"/>
                            <a:pathLst>
                              <a:path w="655955" h="228600">
                                <a:moveTo>
                                  <a:pt x="530174" y="0"/>
                                </a:moveTo>
                                <a:lnTo>
                                  <a:pt x="0" y="0"/>
                                </a:lnTo>
                                <a:lnTo>
                                  <a:pt x="0" y="228600"/>
                                </a:lnTo>
                                <a:lnTo>
                                  <a:pt x="655904" y="228600"/>
                                </a:lnTo>
                                <a:lnTo>
                                  <a:pt x="530174" y="0"/>
                                </a:lnTo>
                                <a:close/>
                              </a:path>
                            </a:pathLst>
                          </a:custGeom>
                          <a:solidFill>
                            <a:srgbClr val="00A650"/>
                          </a:solidFill>
                        </wps:spPr>
                        <wps:bodyPr wrap="square" lIns="0" tIns="0" rIns="0" bIns="0" rtlCol="0">
                          <a:prstTxWarp prst="textNoShape">
                            <a:avLst/>
                          </a:prstTxWarp>
                          <a:noAutofit/>
                        </wps:bodyPr>
                      </wps:wsp>
                      <wps:wsp>
                        <wps:cNvPr id="382" name="Graphic 382"/>
                        <wps:cNvSpPr/>
                        <wps:spPr>
                          <a:xfrm>
                            <a:off x="554304" y="0"/>
                            <a:ext cx="329565" cy="228600"/>
                          </a:xfrm>
                          <a:custGeom>
                            <a:avLst/>
                            <a:gdLst/>
                            <a:ahLst/>
                            <a:cxnLst/>
                            <a:rect l="l" t="t" r="r" b="b"/>
                            <a:pathLst>
                              <a:path w="329565" h="228600">
                                <a:moveTo>
                                  <a:pt x="203822" y="0"/>
                                </a:moveTo>
                                <a:lnTo>
                                  <a:pt x="0" y="0"/>
                                </a:lnTo>
                                <a:lnTo>
                                  <a:pt x="128904" y="228600"/>
                                </a:lnTo>
                                <a:lnTo>
                                  <a:pt x="329539" y="228600"/>
                                </a:lnTo>
                                <a:lnTo>
                                  <a:pt x="203822" y="0"/>
                                </a:lnTo>
                                <a:close/>
                              </a:path>
                            </a:pathLst>
                          </a:custGeom>
                          <a:solidFill>
                            <a:srgbClr val="EB1C22"/>
                          </a:solidFill>
                        </wps:spPr>
                        <wps:bodyPr wrap="square" lIns="0" tIns="0" rIns="0" bIns="0" rtlCol="0">
                          <a:prstTxWarp prst="textNoShape">
                            <a:avLst/>
                          </a:prstTxWarp>
                          <a:noAutofit/>
                        </wps:bodyPr>
                      </wps:wsp>
                      <wps:wsp>
                        <wps:cNvPr id="383" name="Graphic 383"/>
                        <wps:cNvSpPr/>
                        <wps:spPr>
                          <a:xfrm>
                            <a:off x="783526" y="0"/>
                            <a:ext cx="329565" cy="228600"/>
                          </a:xfrm>
                          <a:custGeom>
                            <a:avLst/>
                            <a:gdLst/>
                            <a:ahLst/>
                            <a:cxnLst/>
                            <a:rect l="l" t="t" r="r" b="b"/>
                            <a:pathLst>
                              <a:path w="329565" h="228600">
                                <a:moveTo>
                                  <a:pt x="203822" y="0"/>
                                </a:moveTo>
                                <a:lnTo>
                                  <a:pt x="0" y="0"/>
                                </a:lnTo>
                                <a:lnTo>
                                  <a:pt x="128879" y="228600"/>
                                </a:lnTo>
                                <a:lnTo>
                                  <a:pt x="329539" y="228600"/>
                                </a:lnTo>
                                <a:lnTo>
                                  <a:pt x="203822" y="0"/>
                                </a:lnTo>
                                <a:close/>
                              </a:path>
                            </a:pathLst>
                          </a:custGeom>
                          <a:solidFill>
                            <a:srgbClr val="A7A9AC"/>
                          </a:solidFill>
                        </wps:spPr>
                        <wps:bodyPr wrap="square" lIns="0" tIns="0" rIns="0" bIns="0" rtlCol="0">
                          <a:prstTxWarp prst="textNoShape">
                            <a:avLst/>
                          </a:prstTxWarp>
                          <a:noAutofit/>
                        </wps:bodyPr>
                      </wps:wsp>
                    </wpg:wgp>
                  </a:graphicData>
                </a:graphic>
              </wp:anchor>
            </w:drawing>
          </mc:Choice>
          <mc:Fallback>
            <w:pict>
              <v:group w14:anchorId="5D743D06" id="Group 379" o:spid="_x0000_s1026" style="position:absolute;margin-left:0;margin-top:0;width:595.25pt;height:18pt;z-index:15777280;mso-wrap-distance-left:0;mso-wrap-distance-right:0;mso-position-horizontal-relative:page;mso-position-vertical-relative:page" coordsize="75596,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">
                <v:shape id="Graphic 380" o:spid="_x0000_s1027" style="position:absolute;left:8482;width:67120;height:2286;visibility:visible;mso-wrap-style:square;v-text-anchor:top" coordsize="67119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" path="m6711391,l,,184137,228600r6527254,-5080l6711391,xe" fillcolor="#e6e7e8" stroked="f">
                  <v:path arrowok="t"/>
                </v:shape>
                <v:shape id="Graphic 381" o:spid="_x0000_s1028" style="position:absolute;width:6559;height:2286;visibility:visible;mso-wrap-style:square;v-text-anchor:top" coordsize="65595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" path="m530174,l,,,228600r655904,l530174,xe" fillcolor="#00a650" stroked="f">
                  <v:path arrowok="t"/>
                </v:shape>
                <v:shape id="Graphic 382" o:spid="_x0000_s1029" style="position:absolute;left:5543;width:3295;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" path="m203822,l,,128904,228600r200635,l203822,xe" fillcolor="#eb1c22" stroked="f">
                  <v:path arrowok="t"/>
                </v:shape>
                <v:shape id="Graphic 383" o:spid="_x0000_s1030" style="position:absolute;left:7835;width:3295;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" path="m203822,l,,128879,228600r200660,l203822,xe" fillcolor="#a7a9ac" stroked="f">
                  <v:path arrowok="t"/>
                </v:shape>
                <w10:wrap anchorx="page" anchory="page"/>
              </v:group>
            </w:pict>
          </mc:Fallback>
        </mc:AlternateContent>
      </w:r>
    </w:p>
    <w:p w14:paraId="41F3E191" w14:textId="77777777" w:rsidR="00BB77C0" w:rsidRDefault="00BB77C0">
      <w:pPr>
        <w:pStyle w:val="BodyText"/>
        <w:rPr>
          <w:i/>
          <w:sz w:val="20"/>
        </w:rPr>
      </w:pPr>
    </w:p>
    <w:p w14:paraId="44214ED1" w14:textId="77777777" w:rsidR="00BB77C0" w:rsidRDefault="00BB77C0">
      <w:pPr>
        <w:pStyle w:val="BodyText"/>
        <w:rPr>
          <w:i/>
          <w:sz w:val="20"/>
        </w:rPr>
      </w:pPr>
    </w:p>
    <w:p w14:paraId="4CD98B48" w14:textId="77777777" w:rsidR="00BB77C0" w:rsidRDefault="00BB77C0">
      <w:pPr>
        <w:pStyle w:val="BodyText"/>
        <w:rPr>
          <w:i/>
          <w:sz w:val="20"/>
        </w:rPr>
      </w:pPr>
    </w:p>
    <w:p w14:paraId="50C11D73" w14:textId="77777777" w:rsidR="00BB77C0" w:rsidRDefault="00BB77C0">
      <w:pPr>
        <w:pStyle w:val="BodyText"/>
        <w:rPr>
          <w:i/>
          <w:sz w:val="20"/>
        </w:rPr>
      </w:pPr>
    </w:p>
    <w:p w14:paraId="1B93ABE2" w14:textId="77777777" w:rsidR="00BB77C0" w:rsidRDefault="00BB77C0">
      <w:pPr>
        <w:pStyle w:val="BodyText"/>
        <w:rPr>
          <w:i/>
          <w:sz w:val="20"/>
        </w:rPr>
      </w:pPr>
    </w:p>
    <w:p w14:paraId="0B35AE2F" w14:textId="77777777" w:rsidR="00BB77C0" w:rsidRDefault="00BB77C0">
      <w:pPr>
        <w:pStyle w:val="BodyText"/>
        <w:rPr>
          <w:i/>
          <w:sz w:val="20"/>
        </w:rPr>
      </w:pPr>
    </w:p>
    <w:p w14:paraId="2567F394" w14:textId="77777777" w:rsidR="00BB77C0" w:rsidRDefault="00BB77C0">
      <w:pPr>
        <w:pStyle w:val="BodyText"/>
        <w:rPr>
          <w:i/>
          <w:sz w:val="20"/>
        </w:rPr>
      </w:pPr>
    </w:p>
    <w:p w14:paraId="1FF83894" w14:textId="77777777" w:rsidR="00BB77C0" w:rsidRDefault="00BB77C0">
      <w:pPr>
        <w:pStyle w:val="BodyText"/>
        <w:rPr>
          <w:i/>
          <w:sz w:val="20"/>
        </w:rPr>
      </w:pPr>
    </w:p>
    <w:p w14:paraId="109F4801" w14:textId="77777777" w:rsidR="00BB77C0" w:rsidRDefault="00BB77C0">
      <w:pPr>
        <w:pStyle w:val="BodyText"/>
        <w:rPr>
          <w:i/>
          <w:sz w:val="20"/>
        </w:rPr>
      </w:pPr>
    </w:p>
    <w:p w14:paraId="499A17B8" w14:textId="77777777" w:rsidR="00BB77C0" w:rsidRDefault="00BB77C0">
      <w:pPr>
        <w:pStyle w:val="BodyText"/>
        <w:rPr>
          <w:i/>
          <w:sz w:val="20"/>
        </w:rPr>
      </w:pPr>
    </w:p>
    <w:p w14:paraId="378CC104" w14:textId="77777777" w:rsidR="00BB77C0" w:rsidRDefault="00BB77C0">
      <w:pPr>
        <w:pStyle w:val="BodyText"/>
        <w:rPr>
          <w:i/>
          <w:sz w:val="20"/>
        </w:rPr>
      </w:pPr>
    </w:p>
    <w:p w14:paraId="2DD581C2" w14:textId="77777777" w:rsidR="00BB77C0" w:rsidRDefault="00BB77C0">
      <w:pPr>
        <w:pStyle w:val="BodyText"/>
        <w:rPr>
          <w:i/>
          <w:sz w:val="20"/>
        </w:rPr>
      </w:pPr>
    </w:p>
    <w:p w14:paraId="72DFB801" w14:textId="77777777" w:rsidR="00BB77C0" w:rsidRDefault="00BB77C0">
      <w:pPr>
        <w:pStyle w:val="BodyText"/>
        <w:rPr>
          <w:i/>
          <w:sz w:val="20"/>
        </w:rPr>
      </w:pPr>
    </w:p>
    <w:p w14:paraId="0BA2F7FA" w14:textId="77777777" w:rsidR="00BB77C0" w:rsidRDefault="00BB77C0">
      <w:pPr>
        <w:pStyle w:val="BodyText"/>
        <w:rPr>
          <w:i/>
          <w:sz w:val="20"/>
        </w:rPr>
      </w:pPr>
    </w:p>
    <w:p w14:paraId="060FDDCF" w14:textId="77777777" w:rsidR="00BB77C0" w:rsidRDefault="00BB77C0">
      <w:pPr>
        <w:pStyle w:val="BodyText"/>
        <w:rPr>
          <w:i/>
          <w:sz w:val="20"/>
        </w:rPr>
      </w:pPr>
    </w:p>
    <w:p w14:paraId="29BCF337" w14:textId="77777777" w:rsidR="00BB77C0" w:rsidRDefault="00BB77C0">
      <w:pPr>
        <w:pStyle w:val="BodyText"/>
        <w:rPr>
          <w:i/>
          <w:sz w:val="20"/>
        </w:rPr>
      </w:pPr>
    </w:p>
    <w:p w14:paraId="50CB547B" w14:textId="77777777" w:rsidR="00BB77C0" w:rsidRDefault="00BB77C0">
      <w:pPr>
        <w:pStyle w:val="BodyText"/>
        <w:rPr>
          <w:i/>
          <w:sz w:val="20"/>
        </w:rPr>
      </w:pPr>
    </w:p>
    <w:p w14:paraId="2374C1CF" w14:textId="77777777" w:rsidR="00BB77C0" w:rsidRDefault="00BB77C0">
      <w:pPr>
        <w:pStyle w:val="BodyText"/>
        <w:rPr>
          <w:i/>
          <w:sz w:val="20"/>
        </w:rPr>
      </w:pPr>
    </w:p>
    <w:p w14:paraId="513BF4D8" w14:textId="77777777" w:rsidR="00BB77C0" w:rsidRDefault="00BB77C0">
      <w:pPr>
        <w:pStyle w:val="BodyText"/>
        <w:rPr>
          <w:i/>
          <w:sz w:val="20"/>
        </w:rPr>
      </w:pPr>
    </w:p>
    <w:p w14:paraId="042CE9B9" w14:textId="77777777" w:rsidR="00BB77C0" w:rsidRDefault="00BB77C0">
      <w:pPr>
        <w:pStyle w:val="BodyText"/>
        <w:rPr>
          <w:i/>
          <w:sz w:val="20"/>
        </w:rPr>
      </w:pPr>
    </w:p>
    <w:p w14:paraId="4A0F1D39" w14:textId="77777777" w:rsidR="00BB77C0" w:rsidRDefault="00BB77C0">
      <w:pPr>
        <w:pStyle w:val="BodyText"/>
        <w:rPr>
          <w:i/>
          <w:sz w:val="20"/>
        </w:rPr>
      </w:pPr>
    </w:p>
    <w:p w14:paraId="40E0E455" w14:textId="77777777" w:rsidR="00BB77C0" w:rsidRDefault="00BB77C0">
      <w:pPr>
        <w:pStyle w:val="BodyText"/>
        <w:rPr>
          <w:i/>
          <w:sz w:val="20"/>
        </w:rPr>
      </w:pPr>
    </w:p>
    <w:p w14:paraId="0EA45571" w14:textId="77777777" w:rsidR="00BB77C0" w:rsidRDefault="00BB77C0">
      <w:pPr>
        <w:pStyle w:val="BodyText"/>
        <w:rPr>
          <w:i/>
          <w:sz w:val="20"/>
        </w:rPr>
      </w:pPr>
    </w:p>
    <w:p w14:paraId="516E8B3E" w14:textId="77777777" w:rsidR="00BB77C0" w:rsidRDefault="00BB77C0">
      <w:pPr>
        <w:pStyle w:val="BodyText"/>
        <w:rPr>
          <w:i/>
          <w:sz w:val="20"/>
        </w:rPr>
      </w:pPr>
    </w:p>
    <w:p w14:paraId="18E0B666" w14:textId="77777777" w:rsidR="00BB77C0" w:rsidRDefault="00BB77C0">
      <w:pPr>
        <w:pStyle w:val="BodyText"/>
        <w:rPr>
          <w:i/>
          <w:sz w:val="20"/>
        </w:rPr>
      </w:pPr>
    </w:p>
    <w:p w14:paraId="7FC2179B" w14:textId="77777777" w:rsidR="00BB77C0" w:rsidRDefault="00BB77C0">
      <w:pPr>
        <w:pStyle w:val="BodyText"/>
        <w:rPr>
          <w:i/>
          <w:sz w:val="20"/>
        </w:rPr>
      </w:pPr>
    </w:p>
    <w:p w14:paraId="54108A1F" w14:textId="77777777" w:rsidR="00BB77C0" w:rsidRDefault="00BB77C0">
      <w:pPr>
        <w:pStyle w:val="BodyText"/>
        <w:rPr>
          <w:i/>
          <w:sz w:val="20"/>
        </w:rPr>
      </w:pPr>
    </w:p>
    <w:p w14:paraId="198FA7FF" w14:textId="77777777" w:rsidR="00BB77C0" w:rsidRDefault="00BB77C0">
      <w:pPr>
        <w:pStyle w:val="BodyText"/>
        <w:rPr>
          <w:i/>
          <w:sz w:val="20"/>
        </w:rPr>
      </w:pPr>
    </w:p>
    <w:p w14:paraId="372CA838" w14:textId="77777777" w:rsidR="00BB77C0" w:rsidRDefault="00BB77C0">
      <w:pPr>
        <w:pStyle w:val="BodyText"/>
        <w:spacing w:before="215" w:after="1"/>
        <w:rPr>
          <w:i/>
          <w:sz w:val="20"/>
        </w:rPr>
      </w:pPr>
    </w:p>
    <w:p w14:paraId="473E4A3B" w14:textId="77777777" w:rsidR="00BB77C0" w:rsidRDefault="00370BAA">
      <w:pPr>
        <w:pStyle w:val="BodyText"/>
        <w:spacing w:line="20" w:lineRule="exact"/>
        <w:ind w:left="552"/>
        <w:rPr>
          <w:sz w:val="2"/>
        </w:rPr>
      </w:pPr>
      <w:r>
        <w:rPr>
          <w:noProof/>
          <w:sz w:val="2"/>
        </w:rPr>
        <mc:AlternateContent>
          <mc:Choice Requires="wpg">
            <w:drawing>
              <wp:inline distT="0" distB="0" distL="0" distR="0" wp14:anchorId="6F13D1F6" wp14:editId="666ABF54">
                <wp:extent cx="6478905" cy="63500"/>
                <wp:effectExtent l="38100" t="0" r="26670" b="3175"/>
                <wp:docPr id="384" name="Group 3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8905" cy="63500"/>
                          <a:chOff x="0" y="0"/>
                          <a:chExt cx="6478905" cy="63500"/>
                        </a:xfrm>
                      </wpg:grpSpPr>
                      <wps:wsp>
                        <wps:cNvPr id="385" name="Graphic 385"/>
                        <wps:cNvSpPr/>
                        <wps:spPr>
                          <a:xfrm>
                            <a:off x="0" y="31750"/>
                            <a:ext cx="6478905" cy="1270"/>
                          </a:xfrm>
                          <a:custGeom>
                            <a:avLst/>
                            <a:gdLst/>
                            <a:ahLst/>
                            <a:cxnLst/>
                            <a:rect l="l" t="t" r="r" b="b"/>
                            <a:pathLst>
                              <a:path w="6478905">
                                <a:moveTo>
                                  <a:pt x="0" y="0"/>
                                </a:moveTo>
                                <a:lnTo>
                                  <a:pt x="6478905" y="0"/>
                                </a:lnTo>
                              </a:path>
                            </a:pathLst>
                          </a:custGeom>
                          <a:ln w="63500">
                            <a:solidFill>
                              <a:srgbClr val="A7A9AC"/>
                            </a:solidFill>
                            <a:prstDash val="solid"/>
                          </a:ln>
                        </wps:spPr>
                        <wps:bodyPr wrap="square" lIns="0" tIns="0" rIns="0" bIns="0" rtlCol="0">
                          <a:prstTxWarp prst="textNoShape">
                            <a:avLst/>
                          </a:prstTxWarp>
                          <a:noAutofit/>
                        </wps:bodyPr>
                      </wps:wsp>
                    </wpg:wgp>
                  </a:graphicData>
                </a:graphic>
              </wp:inline>
            </w:drawing>
          </mc:Choice>
          <mc:Fallback>
            <w:pict>
              <v:group w14:anchorId="1D1150F3" id="Group 384" o:spid="_x0000_s1026" style="width:510.15pt;height:5pt;mso-position-horizontal-relative:char;mso-position-vertical-relative:line" coordsize="64789,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">
                <v:shape id="Graphic 385" o:spid="_x0000_s1027" style="position:absolute;top:317;width:64789;height:13;visibility:visible;mso-wrap-style:square;v-text-anchor:top" coordsize="64789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" path="m,l6478905,e" filled="f" strokecolor="#a7a9ac" strokeweight="5pt">
                  <v:path arrowok="t"/>
                </v:shape>
                <w10:anchorlock/>
              </v:group>
            </w:pict>
          </mc:Fallback>
        </mc:AlternateContent>
      </w:r>
    </w:p>
    <w:p w14:paraId="3BB283C3" w14:textId="77777777" w:rsidR="00BB77C0" w:rsidRDefault="00BB77C0">
      <w:pPr>
        <w:pStyle w:val="BodyText"/>
        <w:spacing w:before="374"/>
        <w:rPr>
          <w:i/>
          <w:sz w:val="48"/>
        </w:rPr>
      </w:pPr>
    </w:p>
    <w:p w14:paraId="4A75B0DF" w14:textId="77777777" w:rsidR="00BB77C0" w:rsidRDefault="00370BAA">
      <w:pPr>
        <w:pStyle w:val="Heading1"/>
        <w:ind w:right="658" w:firstLine="0"/>
        <w:jc w:val="center"/>
      </w:pPr>
      <w:bookmarkStart w:id="175" w:name="PART_II_-_WORK_REQUIREMENTS"/>
      <w:bookmarkEnd w:id="175"/>
      <w:r>
        <w:rPr>
          <w:color w:val="211F1F"/>
        </w:rPr>
        <w:t>PART</w:t>
      </w:r>
      <w:r>
        <w:rPr>
          <w:color w:val="211F1F"/>
          <w:spacing w:val="-3"/>
        </w:rPr>
        <w:t xml:space="preserve"> </w:t>
      </w:r>
      <w:r>
        <w:rPr>
          <w:color w:val="211F1F"/>
        </w:rPr>
        <w:t>II</w:t>
      </w:r>
      <w:r>
        <w:rPr>
          <w:color w:val="211F1F"/>
          <w:spacing w:val="-1"/>
        </w:rPr>
        <w:t xml:space="preserve"> </w:t>
      </w:r>
      <w:r>
        <w:rPr>
          <w:color w:val="211F1F"/>
        </w:rPr>
        <w:t>-</w:t>
      </w:r>
      <w:r>
        <w:rPr>
          <w:color w:val="211F1F"/>
          <w:spacing w:val="-2"/>
        </w:rPr>
        <w:t xml:space="preserve"> </w:t>
      </w:r>
      <w:r>
        <w:rPr>
          <w:color w:val="211F1F"/>
        </w:rPr>
        <w:t>WORK</w:t>
      </w:r>
      <w:r>
        <w:rPr>
          <w:color w:val="211F1F"/>
          <w:spacing w:val="-3"/>
        </w:rPr>
        <w:t xml:space="preserve"> </w:t>
      </w:r>
      <w:r>
        <w:rPr>
          <w:color w:val="211F1F"/>
          <w:spacing w:val="-2"/>
        </w:rPr>
        <w:t>REQUIREMENTS</w:t>
      </w:r>
    </w:p>
    <w:p w14:paraId="200F3D78" w14:textId="77777777" w:rsidR="00BB77C0" w:rsidRDefault="00BB77C0">
      <w:pPr>
        <w:pStyle w:val="BodyText"/>
        <w:rPr>
          <w:b/>
          <w:sz w:val="20"/>
        </w:rPr>
      </w:pPr>
    </w:p>
    <w:p w14:paraId="03B5F200" w14:textId="77777777" w:rsidR="00BB77C0" w:rsidRDefault="00BB77C0">
      <w:pPr>
        <w:pStyle w:val="BodyText"/>
        <w:rPr>
          <w:b/>
          <w:sz w:val="20"/>
        </w:rPr>
      </w:pPr>
    </w:p>
    <w:p w14:paraId="76118F76" w14:textId="77777777" w:rsidR="00BB77C0" w:rsidRDefault="00BB77C0">
      <w:pPr>
        <w:pStyle w:val="BodyText"/>
        <w:rPr>
          <w:b/>
          <w:sz w:val="20"/>
        </w:rPr>
      </w:pPr>
    </w:p>
    <w:p w14:paraId="1AB99B2E" w14:textId="77777777" w:rsidR="00BB77C0" w:rsidRDefault="00370BAA">
      <w:pPr>
        <w:pStyle w:val="BodyText"/>
        <w:spacing w:before="40"/>
        <w:rPr>
          <w:b/>
          <w:sz w:val="20"/>
        </w:rPr>
      </w:pPr>
      <w:r>
        <w:rPr>
          <w:b/>
          <w:noProof/>
          <w:sz w:val="20"/>
        </w:rPr>
        <mc:AlternateContent>
          <mc:Choice Requires="wps">
            <w:drawing>
              <wp:anchor distT="0" distB="0" distL="0" distR="0" simplePos="0" relativeHeight="487635456" behindDoc="1" locked="0" layoutInCell="1" allowOverlap="1" wp14:anchorId="283AE830" wp14:editId="76EA37C6">
                <wp:simplePos x="0" y="0"/>
                <wp:positionH relativeFrom="page">
                  <wp:posOffset>540384</wp:posOffset>
                </wp:positionH>
                <wp:positionV relativeFrom="paragraph">
                  <wp:posOffset>187167</wp:posOffset>
                </wp:positionV>
                <wp:extent cx="6478905" cy="1270"/>
                <wp:effectExtent l="0" t="0" r="0" b="0"/>
                <wp:wrapTopAndBottom/>
                <wp:docPr id="386" name="Graphic 3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8905" cy="1270"/>
                        </a:xfrm>
                        <a:custGeom>
                          <a:avLst/>
                          <a:gdLst/>
                          <a:ahLst/>
                          <a:cxnLst/>
                          <a:rect l="l" t="t" r="r" b="b"/>
                          <a:pathLst>
                            <a:path w="6478905">
                              <a:moveTo>
                                <a:pt x="0" y="0"/>
                              </a:moveTo>
                              <a:lnTo>
                                <a:pt x="6478905" y="0"/>
                              </a:lnTo>
                            </a:path>
                          </a:pathLst>
                        </a:custGeom>
                        <a:ln w="63500">
                          <a:solidFill>
                            <a:srgbClr val="A7A9AC"/>
                          </a:solidFill>
                          <a:prstDash val="solid"/>
                        </a:ln>
                      </wps:spPr>
                      <wps:bodyPr wrap="square" lIns="0" tIns="0" rIns="0" bIns="0" rtlCol="0">
                        <a:prstTxWarp prst="textNoShape">
                          <a:avLst/>
                        </a:prstTxWarp>
                        <a:noAutofit/>
                      </wps:bodyPr>
                    </wps:wsp>
                  </a:graphicData>
                </a:graphic>
              </wp:anchor>
            </w:drawing>
          </mc:Choice>
          <mc:Fallback>
            <w:pict>
              <v:shape w14:anchorId="14A4252F" id="Graphic 386" o:spid="_x0000_s1026" style="position:absolute;margin-left:42.55pt;margin-top:14.75pt;width:510.15pt;height:.1pt;z-index:-15681024;visibility:visible;mso-wrap-style:square;mso-wrap-distance-left:0;mso-wrap-distance-top:0;mso-wrap-distance-right:0;mso-wrap-distance-bottom:0;mso-position-horizontal:absolute;mso-position-horizontal-relative:page;mso-position-vertical:absolute;mso-position-vertical-relative:text;v-text-anchor:top" coordsize="64789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" path="m,l6478905,e" filled="f" strokecolor="#a7a9ac" strokeweight="5pt">
                <v:path arrowok="t"/>
                <w10:wrap type="topAndBottom" anchorx="page"/>
              </v:shape>
            </w:pict>
          </mc:Fallback>
        </mc:AlternateContent>
      </w:r>
    </w:p>
    <w:p w14:paraId="5D82EA2F" w14:textId="77777777" w:rsidR="00BB77C0" w:rsidRDefault="00BB77C0">
      <w:pPr>
        <w:pStyle w:val="BodyText"/>
        <w:rPr>
          <w:b/>
          <w:sz w:val="20"/>
        </w:rPr>
        <w:sectPr w:rsidR="00BB77C0">
          <w:pgSz w:w="11920" w:h="16850"/>
          <w:pgMar w:top="0" w:right="0" w:bottom="0" w:left="360" w:header="720" w:footer="720" w:gutter="0"/>
          <w:cols w:space="720"/>
        </w:sectPr>
      </w:pPr>
    </w:p>
    <w:p w14:paraId="025EE8F1" w14:textId="77777777" w:rsidR="00BB77C0" w:rsidRDefault="00370BAA">
      <w:pPr>
        <w:pStyle w:val="BodyText"/>
        <w:rPr>
          <w:b/>
          <w:sz w:val="24"/>
        </w:rPr>
      </w:pPr>
      <w:r>
        <w:rPr>
          <w:b/>
          <w:noProof/>
          <w:sz w:val="24"/>
        </w:rPr>
        <w:lastRenderedPageBreak/>
        <mc:AlternateContent>
          <mc:Choice Requires="wpg">
            <w:drawing>
              <wp:anchor distT="0" distB="0" distL="0" distR="0" simplePos="0" relativeHeight="15777792" behindDoc="0" locked="0" layoutInCell="1" allowOverlap="1" wp14:anchorId="126AABEE" wp14:editId="21528CD3">
                <wp:simplePos x="0" y="0"/>
                <wp:positionH relativeFrom="page">
                  <wp:posOffset>0</wp:posOffset>
                </wp:positionH>
                <wp:positionV relativeFrom="page">
                  <wp:posOffset>10234295</wp:posOffset>
                </wp:positionV>
                <wp:extent cx="7561580" cy="459105"/>
                <wp:effectExtent l="0" t="0" r="0" b="0"/>
                <wp:wrapNone/>
                <wp:docPr id="387" name="Group 3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1580" cy="459105"/>
                          <a:chOff x="0" y="0"/>
                          <a:chExt cx="7561580" cy="459105"/>
                        </a:xfrm>
                      </wpg:grpSpPr>
                      <wps:wsp>
                        <wps:cNvPr id="388" name="Graphic 388"/>
                        <wps:cNvSpPr/>
                        <wps:spPr>
                          <a:xfrm>
                            <a:off x="6449059" y="5714"/>
                            <a:ext cx="1110615" cy="451484"/>
                          </a:xfrm>
                          <a:custGeom>
                            <a:avLst/>
                            <a:gdLst/>
                            <a:ahLst/>
                            <a:cxnLst/>
                            <a:rect l="l" t="t" r="r" b="b"/>
                            <a:pathLst>
                              <a:path w="1110615" h="451484">
                                <a:moveTo>
                                  <a:pt x="1110614" y="0"/>
                                </a:moveTo>
                                <a:lnTo>
                                  <a:pt x="0" y="0"/>
                                </a:lnTo>
                                <a:lnTo>
                                  <a:pt x="260349" y="451483"/>
                                </a:lnTo>
                                <a:lnTo>
                                  <a:pt x="1110614" y="451483"/>
                                </a:lnTo>
                                <a:lnTo>
                                  <a:pt x="1110614" y="0"/>
                                </a:lnTo>
                                <a:close/>
                              </a:path>
                            </a:pathLst>
                          </a:custGeom>
                          <a:solidFill>
                            <a:srgbClr val="FAD2C1"/>
                          </a:solidFill>
                        </wps:spPr>
                        <wps:bodyPr wrap="square" lIns="0" tIns="0" rIns="0" bIns="0" rtlCol="0">
                          <a:prstTxWarp prst="textNoShape">
                            <a:avLst/>
                          </a:prstTxWarp>
                          <a:noAutofit/>
                        </wps:bodyPr>
                      </wps:wsp>
                      <wps:wsp>
                        <wps:cNvPr id="389" name="Graphic 389"/>
                        <wps:cNvSpPr/>
                        <wps:spPr>
                          <a:xfrm>
                            <a:off x="6449059" y="5714"/>
                            <a:ext cx="1110615" cy="451484"/>
                          </a:xfrm>
                          <a:custGeom>
                            <a:avLst/>
                            <a:gdLst/>
                            <a:ahLst/>
                            <a:cxnLst/>
                            <a:rect l="l" t="t" r="r" b="b"/>
                            <a:pathLst>
                              <a:path w="1110615" h="451484">
                                <a:moveTo>
                                  <a:pt x="0" y="0"/>
                                </a:moveTo>
                                <a:lnTo>
                                  <a:pt x="1110614" y="0"/>
                                </a:lnTo>
                                <a:lnTo>
                                  <a:pt x="1110614" y="451483"/>
                                </a:lnTo>
                                <a:lnTo>
                                  <a:pt x="260349" y="451483"/>
                                </a:lnTo>
                                <a:lnTo>
                                  <a:pt x="0" y="0"/>
                                </a:lnTo>
                              </a:path>
                            </a:pathLst>
                          </a:custGeom>
                          <a:ln w="3051">
                            <a:solidFill>
                              <a:srgbClr val="FAD2C1"/>
                            </a:solidFill>
                            <a:prstDash val="solid"/>
                          </a:ln>
                        </wps:spPr>
                        <wps:bodyPr wrap="square" lIns="0" tIns="0" rIns="0" bIns="0" rtlCol="0">
                          <a:prstTxWarp prst="textNoShape">
                            <a:avLst/>
                          </a:prstTxWarp>
                          <a:noAutofit/>
                        </wps:bodyPr>
                      </wps:wsp>
                      <wps:wsp>
                        <wps:cNvPr id="390" name="Graphic 390"/>
                        <wps:cNvSpPr/>
                        <wps:spPr>
                          <a:xfrm>
                            <a:off x="0" y="6350"/>
                            <a:ext cx="7560309" cy="1270"/>
                          </a:xfrm>
                          <a:custGeom>
                            <a:avLst/>
                            <a:gdLst/>
                            <a:ahLst/>
                            <a:cxnLst/>
                            <a:rect l="l" t="t" r="r" b="b"/>
                            <a:pathLst>
                              <a:path w="7560309">
                                <a:moveTo>
                                  <a:pt x="0" y="0"/>
                                </a:moveTo>
                                <a:lnTo>
                                  <a:pt x="7560309" y="0"/>
                                </a:lnTo>
                              </a:path>
                            </a:pathLst>
                          </a:custGeom>
                          <a:ln w="12700">
                            <a:solidFill>
                              <a:srgbClr val="FAD2C1"/>
                            </a:solidFill>
                            <a:prstDash val="solid"/>
                          </a:ln>
                        </wps:spPr>
                        <wps:bodyPr wrap="square" lIns="0" tIns="0" rIns="0" bIns="0" rtlCol="0">
                          <a:prstTxWarp prst="textNoShape">
                            <a:avLst/>
                          </a:prstTxWarp>
                          <a:noAutofit/>
                        </wps:bodyPr>
                      </wps:wsp>
                      <wps:wsp>
                        <wps:cNvPr id="391" name="Textbox 391"/>
                        <wps:cNvSpPr txBox="1"/>
                        <wps:spPr>
                          <a:xfrm>
                            <a:off x="6882130" y="37491"/>
                            <a:ext cx="147320" cy="155575"/>
                          </a:xfrm>
                          <a:prstGeom prst="rect">
                            <a:avLst/>
                          </a:prstGeom>
                        </wps:spPr>
                        <wps:txbx>
                          <w:txbxContent>
                            <w:p w14:paraId="288F9680" w14:textId="77777777" w:rsidR="00BB77C0" w:rsidRDefault="00370BAA">
                              <w:pPr>
                                <w:spacing w:line="244" w:lineRule="exact"/>
                              </w:pPr>
                              <w:r>
                                <w:rPr>
                                  <w:spacing w:val="-5"/>
                                </w:rPr>
                                <w:t>61</w:t>
                              </w:r>
                            </w:p>
                          </w:txbxContent>
                        </wps:txbx>
                        <wps:bodyPr wrap="square" lIns="0" tIns="0" rIns="0" bIns="0" rtlCol="0">
                          <a:noAutofit/>
                        </wps:bodyPr>
                      </wps:wsp>
                    </wpg:wgp>
                  </a:graphicData>
                </a:graphic>
              </wp:anchor>
            </w:drawing>
          </mc:Choice>
          <mc:Fallback>
            <w:pict>
              <v:group w14:anchorId="126AABEE" id="Group 387" o:spid="_x0000_s1196" style="position:absolute;margin-left:0;margin-top:805.85pt;width:595.4pt;height:36.15pt;z-index:15777792;mso-wrap-distance-left:0;mso-wrap-distance-right:0;mso-position-horizontal-relative:page;mso-position-vertical-relative:page" coordsize="75615,4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">
                <v:shape id="Graphic 388" o:spid="_x0000_s1197" style="position:absolute;left:64490;top:57;width:11106;height:4514;visibility:visible;mso-wrap-style:square;v-text-anchor:top" coordsize="1110615,4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" path="m1110614,l,,260349,451483r850265,l1110614,xe" fillcolor="#fad2c1" stroked="f">
                  <v:path arrowok="t"/>
                </v:shape>
                <v:shape id="Graphic 389" o:spid="_x0000_s1198" style="position:absolute;left:64490;top:57;width:11106;height:4514;visibility:visible;mso-wrap-style:square;v-text-anchor:top" coordsize="1110615,4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" path="m,l1110614,r,451483l260349,451483,,e" filled="f" strokecolor="#fad2c1" strokeweight=".08475mm">
                  <v:path arrowok="t"/>
                </v:shape>
                <v:shape id="Graphic 390" o:spid="_x0000_s1199" style="position:absolute;top:63;width:75603;height:13;visibility:visible;mso-wrap-style:square;v-text-anchor:top" coordsize="756030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" path="m,l7560309,e" filled="f" strokecolor="#fad2c1" strokeweight="1pt">
                  <v:path arrowok="t"/>
                </v:shape>
                <v:shape id="Textbox 391" o:spid="_x0000_s1200" type="#_x0000_t202" style="position:absolute;left:68821;top:374;width:1473;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" filled="f" stroked="f">
                  <v:textbox inset="0,0,0,0">
                    <w:txbxContent>
                      <w:p w14:paraId="288F9680" w14:textId="77777777" w:rsidR="00BB77C0" w:rsidRDefault="00370BAA">
                        <w:pPr>
                          <w:spacing w:line="244" w:lineRule="exact"/>
                        </w:pPr>
                        <w:r>
                          <w:rPr>
                            <w:spacing w:val="-5"/>
                          </w:rPr>
                          <w:t>61</w:t>
                        </w:r>
                      </w:p>
                    </w:txbxContent>
                  </v:textbox>
                </v:shape>
                <w10:wrap anchorx="page" anchory="page"/>
              </v:group>
            </w:pict>
          </mc:Fallback>
        </mc:AlternateContent>
      </w:r>
      <w:r>
        <w:rPr>
          <w:b/>
          <w:noProof/>
          <w:sz w:val="24"/>
        </w:rPr>
        <mc:AlternateContent>
          <mc:Choice Requires="wpg">
            <w:drawing>
              <wp:anchor distT="0" distB="0" distL="0" distR="0" simplePos="0" relativeHeight="15778304" behindDoc="0" locked="0" layoutInCell="1" allowOverlap="1" wp14:anchorId="76F13970" wp14:editId="1F358622">
                <wp:simplePos x="0" y="0"/>
                <wp:positionH relativeFrom="page">
                  <wp:posOffset>0</wp:posOffset>
                </wp:positionH>
                <wp:positionV relativeFrom="page">
                  <wp:posOffset>0</wp:posOffset>
                </wp:positionV>
                <wp:extent cx="7559675" cy="228600"/>
                <wp:effectExtent l="0" t="0" r="0" b="0"/>
                <wp:wrapNone/>
                <wp:docPr id="392" name="Group 3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675" cy="228600"/>
                          <a:chOff x="0" y="0"/>
                          <a:chExt cx="7559675" cy="228600"/>
                        </a:xfrm>
                      </wpg:grpSpPr>
                      <wps:wsp>
                        <wps:cNvPr id="393" name="Graphic 393"/>
                        <wps:cNvSpPr/>
                        <wps:spPr>
                          <a:xfrm>
                            <a:off x="848283" y="0"/>
                            <a:ext cx="6711950" cy="228600"/>
                          </a:xfrm>
                          <a:custGeom>
                            <a:avLst/>
                            <a:gdLst/>
                            <a:ahLst/>
                            <a:cxnLst/>
                            <a:rect l="l" t="t" r="r" b="b"/>
                            <a:pathLst>
                              <a:path w="6711950" h="228600">
                                <a:moveTo>
                                  <a:pt x="6711391" y="0"/>
                                </a:moveTo>
                                <a:lnTo>
                                  <a:pt x="0" y="0"/>
                                </a:lnTo>
                                <a:lnTo>
                                  <a:pt x="184137" y="228600"/>
                                </a:lnTo>
                                <a:lnTo>
                                  <a:pt x="6711391" y="223520"/>
                                </a:lnTo>
                                <a:lnTo>
                                  <a:pt x="6711391" y="0"/>
                                </a:lnTo>
                                <a:close/>
                              </a:path>
                            </a:pathLst>
                          </a:custGeom>
                          <a:solidFill>
                            <a:srgbClr val="E6E7E8"/>
                          </a:solidFill>
                        </wps:spPr>
                        <wps:bodyPr wrap="square" lIns="0" tIns="0" rIns="0" bIns="0" rtlCol="0">
                          <a:prstTxWarp prst="textNoShape">
                            <a:avLst/>
                          </a:prstTxWarp>
                          <a:noAutofit/>
                        </wps:bodyPr>
                      </wps:wsp>
                      <wps:wsp>
                        <wps:cNvPr id="394" name="Graphic 394"/>
                        <wps:cNvSpPr/>
                        <wps:spPr>
                          <a:xfrm>
                            <a:off x="0" y="0"/>
                            <a:ext cx="655955" cy="228600"/>
                          </a:xfrm>
                          <a:custGeom>
                            <a:avLst/>
                            <a:gdLst/>
                            <a:ahLst/>
                            <a:cxnLst/>
                            <a:rect l="l" t="t" r="r" b="b"/>
                            <a:pathLst>
                              <a:path w="655955" h="228600">
                                <a:moveTo>
                                  <a:pt x="530174" y="0"/>
                                </a:moveTo>
                                <a:lnTo>
                                  <a:pt x="0" y="0"/>
                                </a:lnTo>
                                <a:lnTo>
                                  <a:pt x="0" y="228600"/>
                                </a:lnTo>
                                <a:lnTo>
                                  <a:pt x="655904" y="228600"/>
                                </a:lnTo>
                                <a:lnTo>
                                  <a:pt x="530174" y="0"/>
                                </a:lnTo>
                                <a:close/>
                              </a:path>
                            </a:pathLst>
                          </a:custGeom>
                          <a:solidFill>
                            <a:srgbClr val="00A650"/>
                          </a:solidFill>
                        </wps:spPr>
                        <wps:bodyPr wrap="square" lIns="0" tIns="0" rIns="0" bIns="0" rtlCol="0">
                          <a:prstTxWarp prst="textNoShape">
                            <a:avLst/>
                          </a:prstTxWarp>
                          <a:noAutofit/>
                        </wps:bodyPr>
                      </wps:wsp>
                      <wps:wsp>
                        <wps:cNvPr id="395" name="Graphic 395"/>
                        <wps:cNvSpPr/>
                        <wps:spPr>
                          <a:xfrm>
                            <a:off x="554304" y="0"/>
                            <a:ext cx="329565" cy="228600"/>
                          </a:xfrm>
                          <a:custGeom>
                            <a:avLst/>
                            <a:gdLst/>
                            <a:ahLst/>
                            <a:cxnLst/>
                            <a:rect l="l" t="t" r="r" b="b"/>
                            <a:pathLst>
                              <a:path w="329565" h="228600">
                                <a:moveTo>
                                  <a:pt x="203822" y="0"/>
                                </a:moveTo>
                                <a:lnTo>
                                  <a:pt x="0" y="0"/>
                                </a:lnTo>
                                <a:lnTo>
                                  <a:pt x="128904" y="228600"/>
                                </a:lnTo>
                                <a:lnTo>
                                  <a:pt x="329539" y="228600"/>
                                </a:lnTo>
                                <a:lnTo>
                                  <a:pt x="203822" y="0"/>
                                </a:lnTo>
                                <a:close/>
                              </a:path>
                            </a:pathLst>
                          </a:custGeom>
                          <a:solidFill>
                            <a:srgbClr val="EB1C22"/>
                          </a:solidFill>
                        </wps:spPr>
                        <wps:bodyPr wrap="square" lIns="0" tIns="0" rIns="0" bIns="0" rtlCol="0">
                          <a:prstTxWarp prst="textNoShape">
                            <a:avLst/>
                          </a:prstTxWarp>
                          <a:noAutofit/>
                        </wps:bodyPr>
                      </wps:wsp>
                      <wps:wsp>
                        <wps:cNvPr id="396" name="Graphic 396"/>
                        <wps:cNvSpPr/>
                        <wps:spPr>
                          <a:xfrm>
                            <a:off x="783526" y="0"/>
                            <a:ext cx="329565" cy="228600"/>
                          </a:xfrm>
                          <a:custGeom>
                            <a:avLst/>
                            <a:gdLst/>
                            <a:ahLst/>
                            <a:cxnLst/>
                            <a:rect l="l" t="t" r="r" b="b"/>
                            <a:pathLst>
                              <a:path w="329565" h="228600">
                                <a:moveTo>
                                  <a:pt x="203822" y="0"/>
                                </a:moveTo>
                                <a:lnTo>
                                  <a:pt x="0" y="0"/>
                                </a:lnTo>
                                <a:lnTo>
                                  <a:pt x="128879" y="228600"/>
                                </a:lnTo>
                                <a:lnTo>
                                  <a:pt x="329539" y="228600"/>
                                </a:lnTo>
                                <a:lnTo>
                                  <a:pt x="203822" y="0"/>
                                </a:lnTo>
                                <a:close/>
                              </a:path>
                            </a:pathLst>
                          </a:custGeom>
                          <a:solidFill>
                            <a:srgbClr val="A7A9AC"/>
                          </a:solidFill>
                        </wps:spPr>
                        <wps:bodyPr wrap="square" lIns="0" tIns="0" rIns="0" bIns="0" rtlCol="0">
                          <a:prstTxWarp prst="textNoShape">
                            <a:avLst/>
                          </a:prstTxWarp>
                          <a:noAutofit/>
                        </wps:bodyPr>
                      </wps:wsp>
                    </wpg:wgp>
                  </a:graphicData>
                </a:graphic>
              </wp:anchor>
            </w:drawing>
          </mc:Choice>
          <mc:Fallback>
            <w:pict>
              <v:group w14:anchorId="1D182073" id="Group 392" o:spid="_x0000_s1026" style="position:absolute;margin-left:0;margin-top:0;width:595.25pt;height:18pt;z-index:15778304;mso-wrap-distance-left:0;mso-wrap-distance-right:0;mso-position-horizontal-relative:page;mso-position-vertical-relative:page" coordsize="75596,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">
                <v:shape id="Graphic 393" o:spid="_x0000_s1027" style="position:absolute;left:8482;width:67120;height:2286;visibility:visible;mso-wrap-style:square;v-text-anchor:top" coordsize="67119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" path="m6711391,l,,184137,228600r6527254,-5080l6711391,xe" fillcolor="#e6e7e8" stroked="f">
                  <v:path arrowok="t"/>
                </v:shape>
                <v:shape id="Graphic 394" o:spid="_x0000_s1028" style="position:absolute;width:6559;height:2286;visibility:visible;mso-wrap-style:square;v-text-anchor:top" coordsize="65595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" path="m530174,l,,,228600r655904,l530174,xe" fillcolor="#00a650" stroked="f">
                  <v:path arrowok="t"/>
                </v:shape>
                <v:shape id="Graphic 395" o:spid="_x0000_s1029" style="position:absolute;left:5543;width:3295;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" path="m203822,l,,128904,228600r200635,l203822,xe" fillcolor="#eb1c22" stroked="f">
                  <v:path arrowok="t"/>
                </v:shape>
                <v:shape id="Graphic 396" o:spid="_x0000_s1030" style="position:absolute;left:7835;width:3295;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" path="m203822,l,,128879,228600r200660,l203822,xe" fillcolor="#a7a9ac" stroked="f">
                  <v:path arrowok="t"/>
                </v:shape>
                <w10:wrap anchorx="page" anchory="page"/>
              </v:group>
            </w:pict>
          </mc:Fallback>
        </mc:AlternateContent>
      </w:r>
    </w:p>
    <w:p w14:paraId="0E1B0D31" w14:textId="77777777" w:rsidR="00BB77C0" w:rsidRDefault="00BB77C0">
      <w:pPr>
        <w:pStyle w:val="BodyText"/>
        <w:spacing w:before="248"/>
        <w:rPr>
          <w:b/>
          <w:sz w:val="24"/>
        </w:rPr>
      </w:pPr>
    </w:p>
    <w:p w14:paraId="3ED5C7A7" w14:textId="77777777" w:rsidR="00BB77C0" w:rsidRDefault="00370BAA">
      <w:pPr>
        <w:pStyle w:val="Heading5"/>
        <w:ind w:left="480"/>
      </w:pPr>
      <w:bookmarkStart w:id="176" w:name="SECTION_V_-_DRAWINGS"/>
      <w:bookmarkEnd w:id="176"/>
      <w:r>
        <w:rPr>
          <w:color w:val="211F1F"/>
        </w:rPr>
        <w:t>SECTION V</w:t>
      </w:r>
      <w:r>
        <w:rPr>
          <w:color w:val="211F1F"/>
          <w:spacing w:val="-2"/>
        </w:rPr>
        <w:t xml:space="preserve"> </w:t>
      </w:r>
      <w:r>
        <w:rPr>
          <w:color w:val="211F1F"/>
        </w:rPr>
        <w:t>-</w:t>
      </w:r>
      <w:r>
        <w:rPr>
          <w:color w:val="211F1F"/>
          <w:spacing w:val="-3"/>
        </w:rPr>
        <w:t xml:space="preserve"> </w:t>
      </w:r>
      <w:r>
        <w:rPr>
          <w:color w:val="211F1F"/>
          <w:spacing w:val="-2"/>
        </w:rPr>
        <w:t>DRAWINGS</w:t>
      </w:r>
    </w:p>
    <w:p w14:paraId="2A591AA6" w14:textId="77777777" w:rsidR="00BB77C0" w:rsidRDefault="00370BAA">
      <w:pPr>
        <w:pStyle w:val="BodyText"/>
        <w:spacing w:before="239" w:line="232" w:lineRule="auto"/>
        <w:ind w:left="480" w:right="587"/>
      </w:pPr>
      <w:r>
        <w:rPr>
          <w:color w:val="211F1F"/>
        </w:rPr>
        <w:t>A</w:t>
      </w:r>
      <w:r>
        <w:rPr>
          <w:color w:val="211F1F"/>
          <w:spacing w:val="-6"/>
        </w:rPr>
        <w:t xml:space="preserve"> </w:t>
      </w:r>
      <w:r>
        <w:rPr>
          <w:color w:val="211F1F"/>
        </w:rPr>
        <w:t>list of</w:t>
      </w:r>
      <w:r>
        <w:rPr>
          <w:color w:val="211F1F"/>
          <w:spacing w:val="-2"/>
        </w:rPr>
        <w:t xml:space="preserve"> </w:t>
      </w:r>
      <w:r>
        <w:rPr>
          <w:color w:val="211F1F"/>
        </w:rPr>
        <w:t>drawings should</w:t>
      </w:r>
      <w:r>
        <w:rPr>
          <w:color w:val="211F1F"/>
          <w:spacing w:val="-4"/>
        </w:rPr>
        <w:t xml:space="preserve"> </w:t>
      </w:r>
      <w:r>
        <w:rPr>
          <w:color w:val="211F1F"/>
        </w:rPr>
        <w:t>be</w:t>
      </w:r>
      <w:r>
        <w:rPr>
          <w:color w:val="211F1F"/>
          <w:spacing w:val="-7"/>
        </w:rPr>
        <w:t xml:space="preserve"> </w:t>
      </w:r>
      <w:r>
        <w:rPr>
          <w:color w:val="211F1F"/>
        </w:rPr>
        <w:t>inserted</w:t>
      </w:r>
      <w:r>
        <w:rPr>
          <w:color w:val="211F1F"/>
          <w:spacing w:val="-4"/>
        </w:rPr>
        <w:t xml:space="preserve"> </w:t>
      </w:r>
      <w:r>
        <w:rPr>
          <w:color w:val="211F1F"/>
        </w:rPr>
        <w:t>here.</w:t>
      </w:r>
      <w:r>
        <w:rPr>
          <w:color w:val="211F1F"/>
          <w:spacing w:val="-1"/>
        </w:rPr>
        <w:t xml:space="preserve"> </w:t>
      </w:r>
      <w:r>
        <w:rPr>
          <w:color w:val="211F1F"/>
        </w:rPr>
        <w:t>The</w:t>
      </w:r>
      <w:r>
        <w:rPr>
          <w:color w:val="211F1F"/>
          <w:spacing w:val="-11"/>
        </w:rPr>
        <w:t xml:space="preserve"> </w:t>
      </w:r>
      <w:r>
        <w:rPr>
          <w:color w:val="211F1F"/>
        </w:rPr>
        <w:t>actual</w:t>
      </w:r>
      <w:r>
        <w:rPr>
          <w:color w:val="211F1F"/>
          <w:spacing w:val="-8"/>
        </w:rPr>
        <w:t xml:space="preserve"> </w:t>
      </w:r>
      <w:r>
        <w:rPr>
          <w:color w:val="211F1F"/>
        </w:rPr>
        <w:t>drawings including</w:t>
      </w:r>
      <w:r>
        <w:rPr>
          <w:color w:val="211F1F"/>
          <w:spacing w:val="-4"/>
        </w:rPr>
        <w:t xml:space="preserve"> </w:t>
      </w:r>
      <w:r>
        <w:rPr>
          <w:color w:val="211F1F"/>
        </w:rPr>
        <w:t>Site</w:t>
      </w:r>
      <w:r>
        <w:rPr>
          <w:color w:val="211F1F"/>
          <w:spacing w:val="-6"/>
        </w:rPr>
        <w:t xml:space="preserve"> </w:t>
      </w:r>
      <w:r>
        <w:rPr>
          <w:color w:val="211F1F"/>
        </w:rPr>
        <w:t>plans should</w:t>
      </w:r>
      <w:r>
        <w:rPr>
          <w:color w:val="211F1F"/>
          <w:spacing w:val="-4"/>
        </w:rPr>
        <w:t xml:space="preserve"> </w:t>
      </w:r>
      <w:r>
        <w:rPr>
          <w:color w:val="211F1F"/>
        </w:rPr>
        <w:t>be</w:t>
      </w:r>
      <w:r>
        <w:rPr>
          <w:color w:val="211F1F"/>
          <w:spacing w:val="-6"/>
        </w:rPr>
        <w:t xml:space="preserve"> </w:t>
      </w:r>
      <w:r>
        <w:rPr>
          <w:color w:val="211F1F"/>
        </w:rPr>
        <w:t>annexed</w:t>
      </w:r>
      <w:r>
        <w:rPr>
          <w:color w:val="211F1F"/>
          <w:spacing w:val="-4"/>
        </w:rPr>
        <w:t xml:space="preserve"> </w:t>
      </w:r>
      <w:r>
        <w:rPr>
          <w:color w:val="211F1F"/>
        </w:rPr>
        <w:t>in</w:t>
      </w:r>
      <w:r>
        <w:rPr>
          <w:color w:val="211F1F"/>
          <w:spacing w:val="-5"/>
        </w:rPr>
        <w:t xml:space="preserve"> </w:t>
      </w:r>
      <w:r>
        <w:rPr>
          <w:color w:val="211F1F"/>
        </w:rPr>
        <w:t>a</w:t>
      </w:r>
      <w:r>
        <w:rPr>
          <w:color w:val="211F1F"/>
          <w:spacing w:val="-1"/>
        </w:rPr>
        <w:t xml:space="preserve"> </w:t>
      </w:r>
      <w:r>
        <w:rPr>
          <w:color w:val="211F1F"/>
        </w:rPr>
        <w:t xml:space="preserve">separate </w:t>
      </w:r>
      <w:r>
        <w:rPr>
          <w:color w:val="211F1F"/>
          <w:spacing w:val="-2"/>
        </w:rPr>
        <w:t>booklet.</w:t>
      </w:r>
    </w:p>
    <w:p w14:paraId="376028FF" w14:textId="77777777" w:rsidR="00BB77C0" w:rsidRDefault="00BB77C0">
      <w:pPr>
        <w:pStyle w:val="BodyText"/>
        <w:spacing w:before="90"/>
      </w:pPr>
    </w:p>
    <w:p w14:paraId="7F119E8B" w14:textId="77777777" w:rsidR="00BB77C0" w:rsidRDefault="00370BAA">
      <w:pPr>
        <w:pStyle w:val="Heading5"/>
        <w:ind w:left="480"/>
      </w:pPr>
      <w:bookmarkStart w:id="177" w:name="SECTION_VI_-_SPECIFICATIONS"/>
      <w:bookmarkEnd w:id="177"/>
      <w:r>
        <w:rPr>
          <w:color w:val="211F1F"/>
        </w:rPr>
        <w:t>SECTION</w:t>
      </w:r>
      <w:r>
        <w:rPr>
          <w:color w:val="211F1F"/>
          <w:spacing w:val="-1"/>
        </w:rPr>
        <w:t xml:space="preserve"> </w:t>
      </w:r>
      <w:r>
        <w:rPr>
          <w:color w:val="211F1F"/>
        </w:rPr>
        <w:t>VI</w:t>
      </w:r>
      <w:r>
        <w:rPr>
          <w:color w:val="211F1F"/>
          <w:spacing w:val="-3"/>
        </w:rPr>
        <w:t xml:space="preserve"> </w:t>
      </w:r>
      <w:r>
        <w:rPr>
          <w:color w:val="211F1F"/>
        </w:rPr>
        <w:t>-</w:t>
      </w:r>
      <w:r>
        <w:rPr>
          <w:color w:val="211F1F"/>
          <w:spacing w:val="-3"/>
        </w:rPr>
        <w:t xml:space="preserve"> </w:t>
      </w:r>
      <w:r>
        <w:rPr>
          <w:color w:val="211F1F"/>
          <w:spacing w:val="-2"/>
        </w:rPr>
        <w:t>SPECIFICATIONS</w:t>
      </w:r>
    </w:p>
    <w:p w14:paraId="61FC2784" w14:textId="77777777" w:rsidR="00BB77C0" w:rsidRDefault="00370BAA">
      <w:pPr>
        <w:pStyle w:val="BodyText"/>
        <w:spacing w:before="233"/>
        <w:ind w:left="480"/>
      </w:pPr>
      <w:r>
        <w:rPr>
          <w:color w:val="211F1F"/>
        </w:rPr>
        <w:t>Notes</w:t>
      </w:r>
      <w:r>
        <w:rPr>
          <w:color w:val="211F1F"/>
          <w:spacing w:val="-9"/>
        </w:rPr>
        <w:t xml:space="preserve"> </w:t>
      </w:r>
      <w:r>
        <w:rPr>
          <w:color w:val="211F1F"/>
        </w:rPr>
        <w:t>for</w:t>
      </w:r>
      <w:r>
        <w:rPr>
          <w:color w:val="211F1F"/>
          <w:spacing w:val="-5"/>
        </w:rPr>
        <w:t xml:space="preserve"> </w:t>
      </w:r>
      <w:r>
        <w:rPr>
          <w:color w:val="211F1F"/>
        </w:rPr>
        <w:t>preparing</w:t>
      </w:r>
      <w:r>
        <w:rPr>
          <w:color w:val="211F1F"/>
          <w:spacing w:val="-8"/>
        </w:rPr>
        <w:t xml:space="preserve"> </w:t>
      </w:r>
      <w:r>
        <w:rPr>
          <w:color w:val="211F1F"/>
          <w:spacing w:val="-2"/>
        </w:rPr>
        <w:t>Specifications</w:t>
      </w:r>
    </w:p>
    <w:p w14:paraId="2184D7E2" w14:textId="77777777" w:rsidR="00BB77C0" w:rsidRDefault="00370BAA">
      <w:pPr>
        <w:pStyle w:val="ListParagraph"/>
        <w:numPr>
          <w:ilvl w:val="0"/>
          <w:numId w:val="36"/>
        </w:numPr>
        <w:tabs>
          <w:tab w:val="left" w:pos="1039"/>
          <w:tab w:val="left" w:pos="1051"/>
        </w:tabs>
        <w:spacing w:before="240" w:line="230" w:lineRule="auto"/>
        <w:ind w:right="702" w:hanging="572"/>
        <w:jc w:val="both"/>
      </w:pPr>
      <w:r>
        <w:rPr>
          <w:color w:val="211F1F"/>
        </w:rPr>
        <w:t>Specifications</w:t>
      </w:r>
      <w:r>
        <w:rPr>
          <w:color w:val="211F1F"/>
          <w:spacing w:val="-6"/>
        </w:rPr>
        <w:t xml:space="preserve"> </w:t>
      </w:r>
      <w:r>
        <w:rPr>
          <w:color w:val="211F1F"/>
        </w:rPr>
        <w:t>must</w:t>
      </w:r>
      <w:r>
        <w:rPr>
          <w:color w:val="211F1F"/>
          <w:spacing w:val="-6"/>
        </w:rPr>
        <w:t xml:space="preserve"> </w:t>
      </w:r>
      <w:r>
        <w:rPr>
          <w:color w:val="211F1F"/>
        </w:rPr>
        <w:t>be</w:t>
      </w:r>
      <w:r>
        <w:rPr>
          <w:color w:val="211F1F"/>
          <w:spacing w:val="-13"/>
        </w:rPr>
        <w:t xml:space="preserve"> </w:t>
      </w:r>
      <w:r>
        <w:rPr>
          <w:color w:val="211F1F"/>
        </w:rPr>
        <w:t>drafted</w:t>
      </w:r>
      <w:r>
        <w:rPr>
          <w:color w:val="211F1F"/>
          <w:spacing w:val="-11"/>
        </w:rPr>
        <w:t xml:space="preserve"> </w:t>
      </w:r>
      <w:r>
        <w:rPr>
          <w:color w:val="211F1F"/>
        </w:rPr>
        <w:t>to</w:t>
      </w:r>
      <w:r>
        <w:rPr>
          <w:color w:val="211F1F"/>
          <w:spacing w:val="-11"/>
        </w:rPr>
        <w:t xml:space="preserve"> </w:t>
      </w:r>
      <w:r>
        <w:rPr>
          <w:color w:val="211F1F"/>
        </w:rPr>
        <w:t>present</w:t>
      </w:r>
      <w:r>
        <w:rPr>
          <w:color w:val="211F1F"/>
          <w:spacing w:val="-6"/>
        </w:rPr>
        <w:t xml:space="preserve"> </w:t>
      </w:r>
      <w:r>
        <w:rPr>
          <w:color w:val="211F1F"/>
        </w:rPr>
        <w:t>a</w:t>
      </w:r>
      <w:r>
        <w:rPr>
          <w:color w:val="211F1F"/>
          <w:spacing w:val="-10"/>
        </w:rPr>
        <w:t xml:space="preserve"> </w:t>
      </w:r>
      <w:r>
        <w:rPr>
          <w:color w:val="211F1F"/>
        </w:rPr>
        <w:t>clear</w:t>
      </w:r>
      <w:r>
        <w:rPr>
          <w:color w:val="211F1F"/>
          <w:spacing w:val="-12"/>
        </w:rPr>
        <w:t xml:space="preserve"> </w:t>
      </w:r>
      <w:r>
        <w:rPr>
          <w:color w:val="211F1F"/>
        </w:rPr>
        <w:t>and</w:t>
      </w:r>
      <w:r>
        <w:rPr>
          <w:color w:val="211F1F"/>
          <w:spacing w:val="-11"/>
        </w:rPr>
        <w:t xml:space="preserve"> </w:t>
      </w:r>
      <w:r>
        <w:rPr>
          <w:color w:val="211F1F"/>
        </w:rPr>
        <w:t>precise</w:t>
      </w:r>
      <w:r>
        <w:rPr>
          <w:color w:val="211F1F"/>
          <w:spacing w:val="-13"/>
        </w:rPr>
        <w:t xml:space="preserve"> </w:t>
      </w:r>
      <w:r>
        <w:rPr>
          <w:color w:val="211F1F"/>
        </w:rPr>
        <w:t>statement</w:t>
      </w:r>
      <w:r>
        <w:rPr>
          <w:color w:val="211F1F"/>
          <w:spacing w:val="-6"/>
        </w:rPr>
        <w:t xml:space="preserve"> </w:t>
      </w:r>
      <w:r>
        <w:rPr>
          <w:color w:val="211F1F"/>
        </w:rPr>
        <w:t>of</w:t>
      </w:r>
      <w:r>
        <w:rPr>
          <w:color w:val="211F1F"/>
          <w:spacing w:val="-9"/>
        </w:rPr>
        <w:t xml:space="preserve"> </w:t>
      </w:r>
      <w:r>
        <w:rPr>
          <w:color w:val="211F1F"/>
        </w:rPr>
        <w:t>the</w:t>
      </w:r>
      <w:r>
        <w:rPr>
          <w:color w:val="211F1F"/>
          <w:spacing w:val="-13"/>
        </w:rPr>
        <w:t xml:space="preserve"> </w:t>
      </w:r>
      <w:r>
        <w:rPr>
          <w:color w:val="211F1F"/>
        </w:rPr>
        <w:t>required</w:t>
      </w:r>
      <w:r>
        <w:rPr>
          <w:color w:val="211F1F"/>
          <w:spacing w:val="-11"/>
        </w:rPr>
        <w:t xml:space="preserve"> </w:t>
      </w:r>
      <w:r>
        <w:rPr>
          <w:color w:val="211F1F"/>
        </w:rPr>
        <w:t>standards</w:t>
      </w:r>
      <w:r>
        <w:rPr>
          <w:color w:val="211F1F"/>
          <w:spacing w:val="-6"/>
        </w:rPr>
        <w:t xml:space="preserve"> </w:t>
      </w:r>
      <w:r>
        <w:rPr>
          <w:color w:val="211F1F"/>
        </w:rPr>
        <w:t>of</w:t>
      </w:r>
      <w:r>
        <w:rPr>
          <w:color w:val="211F1F"/>
          <w:spacing w:val="-9"/>
        </w:rPr>
        <w:t xml:space="preserve"> </w:t>
      </w:r>
      <w:r>
        <w:rPr>
          <w:color w:val="211F1F"/>
        </w:rPr>
        <w:t>materials,</w:t>
      </w:r>
      <w:r>
        <w:rPr>
          <w:color w:val="211F1F"/>
          <w:spacing w:val="-8"/>
        </w:rPr>
        <w:t xml:space="preserve"> </w:t>
      </w:r>
      <w:r>
        <w:rPr>
          <w:color w:val="211F1F"/>
        </w:rPr>
        <w:t>and workmanship</w:t>
      </w:r>
      <w:r>
        <w:rPr>
          <w:color w:val="211F1F"/>
          <w:spacing w:val="-7"/>
        </w:rPr>
        <w:t xml:space="preserve"> </w:t>
      </w:r>
      <w:r>
        <w:rPr>
          <w:color w:val="211F1F"/>
        </w:rPr>
        <w:t>for</w:t>
      </w:r>
      <w:r>
        <w:rPr>
          <w:color w:val="211F1F"/>
          <w:spacing w:val="-3"/>
        </w:rPr>
        <w:t xml:space="preserve"> </w:t>
      </w:r>
      <w:r>
        <w:rPr>
          <w:color w:val="211F1F"/>
        </w:rPr>
        <w:t>tenderers</w:t>
      </w:r>
      <w:r>
        <w:rPr>
          <w:color w:val="211F1F"/>
          <w:spacing w:val="-10"/>
        </w:rPr>
        <w:t xml:space="preserve"> </w:t>
      </w:r>
      <w:r>
        <w:rPr>
          <w:color w:val="211F1F"/>
        </w:rPr>
        <w:t>to</w:t>
      </w:r>
      <w:r>
        <w:rPr>
          <w:color w:val="211F1F"/>
          <w:spacing w:val="-14"/>
        </w:rPr>
        <w:t xml:space="preserve"> </w:t>
      </w:r>
      <w:r>
        <w:rPr>
          <w:color w:val="211F1F"/>
        </w:rPr>
        <w:t>respond</w:t>
      </w:r>
      <w:r>
        <w:rPr>
          <w:color w:val="211F1F"/>
          <w:spacing w:val="-10"/>
        </w:rPr>
        <w:t xml:space="preserve"> </w:t>
      </w:r>
      <w:r>
        <w:rPr>
          <w:color w:val="211F1F"/>
        </w:rPr>
        <w:t>realistically</w:t>
      </w:r>
      <w:r>
        <w:rPr>
          <w:color w:val="211F1F"/>
          <w:spacing w:val="-10"/>
        </w:rPr>
        <w:t xml:space="preserve"> </w:t>
      </w:r>
      <w:r>
        <w:rPr>
          <w:color w:val="211F1F"/>
        </w:rPr>
        <w:t>and</w:t>
      </w:r>
      <w:r>
        <w:rPr>
          <w:color w:val="211F1F"/>
          <w:spacing w:val="-14"/>
        </w:rPr>
        <w:t xml:space="preserve"> </w:t>
      </w:r>
      <w:r>
        <w:rPr>
          <w:color w:val="211F1F"/>
        </w:rPr>
        <w:t>competitively</w:t>
      </w:r>
      <w:r>
        <w:rPr>
          <w:color w:val="211F1F"/>
          <w:spacing w:val="-10"/>
        </w:rPr>
        <w:t xml:space="preserve"> </w:t>
      </w:r>
      <w:r>
        <w:rPr>
          <w:color w:val="211F1F"/>
        </w:rPr>
        <w:t>to</w:t>
      </w:r>
      <w:r>
        <w:rPr>
          <w:color w:val="211F1F"/>
          <w:spacing w:val="-11"/>
        </w:rPr>
        <w:t xml:space="preserve"> </w:t>
      </w:r>
      <w:r>
        <w:rPr>
          <w:color w:val="211F1F"/>
        </w:rPr>
        <w:t>the</w:t>
      </w:r>
      <w:r>
        <w:rPr>
          <w:color w:val="211F1F"/>
          <w:spacing w:val="-13"/>
        </w:rPr>
        <w:t xml:space="preserve"> </w:t>
      </w:r>
      <w:r>
        <w:rPr>
          <w:color w:val="211F1F"/>
        </w:rPr>
        <w:t>requirements</w:t>
      </w:r>
      <w:r>
        <w:rPr>
          <w:color w:val="211F1F"/>
          <w:spacing w:val="-5"/>
        </w:rPr>
        <w:t xml:space="preserve"> </w:t>
      </w:r>
      <w:r>
        <w:rPr>
          <w:color w:val="211F1F"/>
        </w:rPr>
        <w:t>of</w:t>
      </w:r>
      <w:r>
        <w:rPr>
          <w:color w:val="211F1F"/>
          <w:spacing w:val="-8"/>
        </w:rPr>
        <w:t xml:space="preserve"> </w:t>
      </w:r>
      <w:r>
        <w:rPr>
          <w:color w:val="211F1F"/>
        </w:rPr>
        <w:t>the</w:t>
      </w:r>
      <w:r>
        <w:rPr>
          <w:color w:val="211F1F"/>
          <w:spacing w:val="-13"/>
        </w:rPr>
        <w:t xml:space="preserve"> </w:t>
      </w:r>
      <w:r>
        <w:rPr>
          <w:color w:val="211F1F"/>
        </w:rPr>
        <w:t>Procuring</w:t>
      </w:r>
      <w:r>
        <w:rPr>
          <w:color w:val="211F1F"/>
          <w:spacing w:val="-10"/>
        </w:rPr>
        <w:t xml:space="preserve"> </w:t>
      </w:r>
      <w:r>
        <w:rPr>
          <w:color w:val="211F1F"/>
        </w:rPr>
        <w:t>Entity and ensure responsiveness of tenders. The Specifications should require that all materials, plant, and other supplies</w:t>
      </w:r>
      <w:r>
        <w:rPr>
          <w:color w:val="211F1F"/>
          <w:spacing w:val="-2"/>
        </w:rPr>
        <w:t xml:space="preserve"> </w:t>
      </w:r>
      <w:r>
        <w:rPr>
          <w:color w:val="211F1F"/>
        </w:rPr>
        <w:t>to</w:t>
      </w:r>
      <w:r>
        <w:rPr>
          <w:color w:val="211F1F"/>
          <w:spacing w:val="-12"/>
        </w:rPr>
        <w:t xml:space="preserve"> </w:t>
      </w:r>
      <w:r>
        <w:rPr>
          <w:color w:val="211F1F"/>
        </w:rPr>
        <w:t>be</w:t>
      </w:r>
      <w:r>
        <w:rPr>
          <w:color w:val="211F1F"/>
          <w:spacing w:val="-10"/>
        </w:rPr>
        <w:t xml:space="preserve"> </w:t>
      </w:r>
      <w:r>
        <w:rPr>
          <w:color w:val="211F1F"/>
        </w:rPr>
        <w:t>permanently</w:t>
      </w:r>
      <w:r>
        <w:rPr>
          <w:color w:val="211F1F"/>
          <w:spacing w:val="-11"/>
        </w:rPr>
        <w:t xml:space="preserve"> </w:t>
      </w:r>
      <w:r>
        <w:rPr>
          <w:color w:val="211F1F"/>
        </w:rPr>
        <w:t>incorporated</w:t>
      </w:r>
      <w:r>
        <w:rPr>
          <w:color w:val="211F1F"/>
          <w:spacing w:val="-6"/>
        </w:rPr>
        <w:t xml:space="preserve"> </w:t>
      </w:r>
      <w:r>
        <w:rPr>
          <w:color w:val="211F1F"/>
        </w:rPr>
        <w:t>in</w:t>
      </w:r>
      <w:r>
        <w:rPr>
          <w:color w:val="211F1F"/>
          <w:spacing w:val="-8"/>
        </w:rPr>
        <w:t xml:space="preserve"> </w:t>
      </w:r>
      <w:r>
        <w:rPr>
          <w:color w:val="211F1F"/>
        </w:rPr>
        <w:t>the</w:t>
      </w:r>
      <w:r>
        <w:rPr>
          <w:color w:val="211F1F"/>
          <w:spacing w:val="-13"/>
        </w:rPr>
        <w:t xml:space="preserve"> </w:t>
      </w:r>
      <w:r>
        <w:rPr>
          <w:color w:val="211F1F"/>
        </w:rPr>
        <w:t>Works</w:t>
      </w:r>
      <w:r>
        <w:rPr>
          <w:color w:val="211F1F"/>
          <w:spacing w:val="-7"/>
        </w:rPr>
        <w:t xml:space="preserve"> </w:t>
      </w:r>
      <w:r>
        <w:rPr>
          <w:color w:val="211F1F"/>
        </w:rPr>
        <w:t>be</w:t>
      </w:r>
      <w:r>
        <w:rPr>
          <w:color w:val="211F1F"/>
          <w:spacing w:val="-10"/>
        </w:rPr>
        <w:t xml:space="preserve"> </w:t>
      </w:r>
      <w:r>
        <w:rPr>
          <w:color w:val="211F1F"/>
        </w:rPr>
        <w:t>new,</w:t>
      </w:r>
      <w:r>
        <w:rPr>
          <w:color w:val="211F1F"/>
          <w:spacing w:val="-5"/>
        </w:rPr>
        <w:t xml:space="preserve"> </w:t>
      </w:r>
      <w:r>
        <w:rPr>
          <w:color w:val="211F1F"/>
        </w:rPr>
        <w:t>unused,</w:t>
      </w:r>
      <w:r>
        <w:rPr>
          <w:color w:val="211F1F"/>
          <w:spacing w:val="-1"/>
        </w:rPr>
        <w:t xml:space="preserve"> </w:t>
      </w:r>
      <w:r>
        <w:rPr>
          <w:color w:val="211F1F"/>
        </w:rPr>
        <w:t>of</w:t>
      </w:r>
      <w:r>
        <w:rPr>
          <w:color w:val="211F1F"/>
          <w:spacing w:val="-4"/>
        </w:rPr>
        <w:t xml:space="preserve"> </w:t>
      </w:r>
      <w:r>
        <w:rPr>
          <w:color w:val="211F1F"/>
        </w:rPr>
        <w:t>the</w:t>
      </w:r>
      <w:r>
        <w:rPr>
          <w:color w:val="211F1F"/>
          <w:spacing w:val="-10"/>
        </w:rPr>
        <w:t xml:space="preserve"> </w:t>
      </w:r>
      <w:r>
        <w:rPr>
          <w:color w:val="211F1F"/>
        </w:rPr>
        <w:t>most</w:t>
      </w:r>
      <w:r>
        <w:rPr>
          <w:color w:val="211F1F"/>
          <w:spacing w:val="-2"/>
        </w:rPr>
        <w:t xml:space="preserve"> </w:t>
      </w:r>
      <w:r>
        <w:rPr>
          <w:color w:val="211F1F"/>
        </w:rPr>
        <w:t>recent</w:t>
      </w:r>
      <w:r>
        <w:rPr>
          <w:color w:val="211F1F"/>
          <w:spacing w:val="-2"/>
        </w:rPr>
        <w:t xml:space="preserve"> </w:t>
      </w:r>
      <w:r>
        <w:rPr>
          <w:color w:val="211F1F"/>
        </w:rPr>
        <w:t>or</w:t>
      </w:r>
      <w:r>
        <w:rPr>
          <w:color w:val="211F1F"/>
          <w:spacing w:val="-1"/>
        </w:rPr>
        <w:t xml:space="preserve"> </w:t>
      </w:r>
      <w:r>
        <w:rPr>
          <w:color w:val="211F1F"/>
        </w:rPr>
        <w:t>current</w:t>
      </w:r>
      <w:r>
        <w:rPr>
          <w:color w:val="211F1F"/>
          <w:spacing w:val="-2"/>
        </w:rPr>
        <w:t xml:space="preserve"> </w:t>
      </w:r>
      <w:r>
        <w:rPr>
          <w:color w:val="211F1F"/>
        </w:rPr>
        <w:t>models,</w:t>
      </w:r>
      <w:r>
        <w:rPr>
          <w:color w:val="211F1F"/>
          <w:spacing w:val="-4"/>
        </w:rPr>
        <w:t xml:space="preserve"> </w:t>
      </w:r>
      <w:r>
        <w:rPr>
          <w:color w:val="211F1F"/>
        </w:rPr>
        <w:t>and incorporating</w:t>
      </w:r>
      <w:r>
        <w:rPr>
          <w:color w:val="211F1F"/>
          <w:spacing w:val="-10"/>
        </w:rPr>
        <w:t xml:space="preserve"> </w:t>
      </w:r>
      <w:r>
        <w:rPr>
          <w:color w:val="211F1F"/>
        </w:rPr>
        <w:t>all</w:t>
      </w:r>
      <w:r>
        <w:rPr>
          <w:color w:val="211F1F"/>
          <w:spacing w:val="-10"/>
        </w:rPr>
        <w:t xml:space="preserve"> </w:t>
      </w:r>
      <w:r>
        <w:rPr>
          <w:color w:val="211F1F"/>
        </w:rPr>
        <w:t>recent</w:t>
      </w:r>
      <w:r>
        <w:rPr>
          <w:color w:val="211F1F"/>
          <w:spacing w:val="-5"/>
        </w:rPr>
        <w:t xml:space="preserve"> </w:t>
      </w:r>
      <w:r>
        <w:rPr>
          <w:color w:val="211F1F"/>
        </w:rPr>
        <w:t>improvements</w:t>
      </w:r>
      <w:r>
        <w:rPr>
          <w:color w:val="211F1F"/>
          <w:spacing w:val="-5"/>
        </w:rPr>
        <w:t xml:space="preserve"> </w:t>
      </w:r>
      <w:r>
        <w:rPr>
          <w:color w:val="211F1F"/>
        </w:rPr>
        <w:t>in</w:t>
      </w:r>
      <w:r>
        <w:rPr>
          <w:color w:val="211F1F"/>
          <w:spacing w:val="-7"/>
        </w:rPr>
        <w:t xml:space="preserve"> </w:t>
      </w:r>
      <w:r>
        <w:rPr>
          <w:color w:val="211F1F"/>
        </w:rPr>
        <w:t>design</w:t>
      </w:r>
      <w:r>
        <w:rPr>
          <w:color w:val="211F1F"/>
          <w:spacing w:val="-6"/>
        </w:rPr>
        <w:t xml:space="preserve"> </w:t>
      </w:r>
      <w:r>
        <w:rPr>
          <w:color w:val="211F1F"/>
        </w:rPr>
        <w:t>and</w:t>
      </w:r>
      <w:r>
        <w:rPr>
          <w:color w:val="211F1F"/>
          <w:spacing w:val="-6"/>
        </w:rPr>
        <w:t xml:space="preserve"> </w:t>
      </w:r>
      <w:r>
        <w:rPr>
          <w:color w:val="211F1F"/>
        </w:rPr>
        <w:t>materials</w:t>
      </w:r>
      <w:r>
        <w:rPr>
          <w:color w:val="211F1F"/>
          <w:spacing w:val="-5"/>
        </w:rPr>
        <w:t xml:space="preserve"> </w:t>
      </w:r>
      <w:r>
        <w:rPr>
          <w:color w:val="211F1F"/>
        </w:rPr>
        <w:t>unless</w:t>
      </w:r>
      <w:r>
        <w:rPr>
          <w:color w:val="211F1F"/>
          <w:spacing w:val="-2"/>
        </w:rPr>
        <w:t xml:space="preserve"> </w:t>
      </w:r>
      <w:r>
        <w:rPr>
          <w:color w:val="211F1F"/>
        </w:rPr>
        <w:t>provided</w:t>
      </w:r>
      <w:r>
        <w:rPr>
          <w:color w:val="211F1F"/>
          <w:spacing w:val="-6"/>
        </w:rPr>
        <w:t xml:space="preserve"> </w:t>
      </w:r>
      <w:r>
        <w:rPr>
          <w:color w:val="211F1F"/>
        </w:rPr>
        <w:t>otherwise</w:t>
      </w:r>
      <w:r>
        <w:rPr>
          <w:color w:val="211F1F"/>
          <w:spacing w:val="-12"/>
        </w:rPr>
        <w:t xml:space="preserve"> </w:t>
      </w:r>
      <w:r>
        <w:rPr>
          <w:color w:val="211F1F"/>
        </w:rPr>
        <w:t>in</w:t>
      </w:r>
      <w:r>
        <w:rPr>
          <w:color w:val="211F1F"/>
          <w:spacing w:val="-11"/>
        </w:rPr>
        <w:t xml:space="preserve"> </w:t>
      </w:r>
      <w:r>
        <w:rPr>
          <w:color w:val="211F1F"/>
        </w:rPr>
        <w:t>the</w:t>
      </w:r>
      <w:r>
        <w:rPr>
          <w:color w:val="211F1F"/>
          <w:spacing w:val="-9"/>
        </w:rPr>
        <w:t xml:space="preserve"> </w:t>
      </w:r>
      <w:r>
        <w:rPr>
          <w:color w:val="211F1F"/>
        </w:rPr>
        <w:t>Contract.</w:t>
      </w:r>
      <w:r>
        <w:rPr>
          <w:color w:val="211F1F"/>
          <w:spacing w:val="-12"/>
        </w:rPr>
        <w:t xml:space="preserve"> </w:t>
      </w:r>
      <w:r>
        <w:rPr>
          <w:color w:val="211F1F"/>
        </w:rPr>
        <w:t>Where the</w:t>
      </w:r>
      <w:r>
        <w:rPr>
          <w:color w:val="211F1F"/>
          <w:spacing w:val="-14"/>
        </w:rPr>
        <w:t xml:space="preserve"> </w:t>
      </w:r>
      <w:r>
        <w:rPr>
          <w:color w:val="211F1F"/>
        </w:rPr>
        <w:t>Contractor</w:t>
      </w:r>
      <w:r>
        <w:rPr>
          <w:color w:val="211F1F"/>
          <w:spacing w:val="-14"/>
        </w:rPr>
        <w:t xml:space="preserve"> </w:t>
      </w:r>
      <w:r>
        <w:rPr>
          <w:color w:val="211F1F"/>
        </w:rPr>
        <w:t>is</w:t>
      </w:r>
      <w:r>
        <w:rPr>
          <w:color w:val="211F1F"/>
          <w:spacing w:val="-14"/>
        </w:rPr>
        <w:t xml:space="preserve"> </w:t>
      </w:r>
      <w:r>
        <w:rPr>
          <w:color w:val="211F1F"/>
        </w:rPr>
        <w:t>responsible</w:t>
      </w:r>
      <w:r>
        <w:rPr>
          <w:color w:val="211F1F"/>
          <w:spacing w:val="-13"/>
        </w:rPr>
        <w:t xml:space="preserve"> </w:t>
      </w:r>
      <w:r>
        <w:rPr>
          <w:color w:val="211F1F"/>
        </w:rPr>
        <w:t>for</w:t>
      </w:r>
      <w:r>
        <w:rPr>
          <w:color w:val="211F1F"/>
          <w:spacing w:val="-14"/>
        </w:rPr>
        <w:t xml:space="preserve"> </w:t>
      </w:r>
      <w:r>
        <w:rPr>
          <w:color w:val="211F1F"/>
        </w:rPr>
        <w:t>the</w:t>
      </w:r>
      <w:r>
        <w:rPr>
          <w:color w:val="211F1F"/>
          <w:spacing w:val="-14"/>
        </w:rPr>
        <w:t xml:space="preserve"> </w:t>
      </w:r>
      <w:r>
        <w:rPr>
          <w:color w:val="211F1F"/>
        </w:rPr>
        <w:t>design</w:t>
      </w:r>
      <w:r>
        <w:rPr>
          <w:color w:val="211F1F"/>
          <w:spacing w:val="-14"/>
        </w:rPr>
        <w:t xml:space="preserve"> </w:t>
      </w:r>
      <w:r>
        <w:rPr>
          <w:color w:val="211F1F"/>
        </w:rPr>
        <w:t>of</w:t>
      </w:r>
      <w:r>
        <w:rPr>
          <w:color w:val="211F1F"/>
          <w:spacing w:val="-13"/>
        </w:rPr>
        <w:t xml:space="preserve"> </w:t>
      </w:r>
      <w:r>
        <w:rPr>
          <w:color w:val="211F1F"/>
        </w:rPr>
        <w:t>any</w:t>
      </w:r>
      <w:r>
        <w:rPr>
          <w:color w:val="211F1F"/>
          <w:spacing w:val="-14"/>
        </w:rPr>
        <w:t xml:space="preserve"> </w:t>
      </w:r>
      <w:r>
        <w:rPr>
          <w:color w:val="211F1F"/>
        </w:rPr>
        <w:t>part</w:t>
      </w:r>
      <w:r>
        <w:rPr>
          <w:color w:val="211F1F"/>
          <w:spacing w:val="-14"/>
        </w:rPr>
        <w:t xml:space="preserve"> </w:t>
      </w:r>
      <w:r>
        <w:rPr>
          <w:color w:val="211F1F"/>
        </w:rPr>
        <w:t>of</w:t>
      </w:r>
      <w:r>
        <w:rPr>
          <w:color w:val="211F1F"/>
          <w:spacing w:val="-14"/>
        </w:rPr>
        <w:t xml:space="preserve"> </w:t>
      </w:r>
      <w:r>
        <w:rPr>
          <w:color w:val="211F1F"/>
        </w:rPr>
        <w:t>the</w:t>
      </w:r>
      <w:r>
        <w:rPr>
          <w:color w:val="211F1F"/>
          <w:spacing w:val="-13"/>
        </w:rPr>
        <w:t xml:space="preserve"> </w:t>
      </w:r>
      <w:r>
        <w:rPr>
          <w:color w:val="211F1F"/>
        </w:rPr>
        <w:t>permanent</w:t>
      </w:r>
      <w:r>
        <w:rPr>
          <w:color w:val="211F1F"/>
          <w:spacing w:val="-14"/>
        </w:rPr>
        <w:t xml:space="preserve"> </w:t>
      </w:r>
      <w:r>
        <w:rPr>
          <w:color w:val="211F1F"/>
        </w:rPr>
        <w:t>Works,</w:t>
      </w:r>
      <w:r>
        <w:rPr>
          <w:color w:val="211F1F"/>
          <w:spacing w:val="-14"/>
        </w:rPr>
        <w:t xml:space="preserve"> </w:t>
      </w:r>
      <w:r>
        <w:rPr>
          <w:color w:val="211F1F"/>
        </w:rPr>
        <w:t>the</w:t>
      </w:r>
      <w:r>
        <w:rPr>
          <w:color w:val="211F1F"/>
          <w:spacing w:val="-14"/>
        </w:rPr>
        <w:t xml:space="preserve"> </w:t>
      </w:r>
      <w:r>
        <w:rPr>
          <w:color w:val="211F1F"/>
        </w:rPr>
        <w:t>extent</w:t>
      </w:r>
      <w:r>
        <w:rPr>
          <w:color w:val="211F1F"/>
          <w:spacing w:val="-13"/>
        </w:rPr>
        <w:t xml:space="preserve"> </w:t>
      </w:r>
      <w:r>
        <w:rPr>
          <w:color w:val="211F1F"/>
        </w:rPr>
        <w:t>of</w:t>
      </w:r>
      <w:r>
        <w:rPr>
          <w:color w:val="211F1F"/>
          <w:spacing w:val="-14"/>
        </w:rPr>
        <w:t xml:space="preserve"> </w:t>
      </w:r>
      <w:r>
        <w:rPr>
          <w:color w:val="211F1F"/>
        </w:rPr>
        <w:t>his</w:t>
      </w:r>
      <w:r>
        <w:rPr>
          <w:color w:val="211F1F"/>
          <w:spacing w:val="-13"/>
        </w:rPr>
        <w:t xml:space="preserve"> </w:t>
      </w:r>
      <w:r>
        <w:rPr>
          <w:color w:val="211F1F"/>
        </w:rPr>
        <w:t>obligations</w:t>
      </w:r>
      <w:r>
        <w:rPr>
          <w:color w:val="211F1F"/>
          <w:spacing w:val="-7"/>
        </w:rPr>
        <w:t xml:space="preserve"> </w:t>
      </w:r>
      <w:r>
        <w:rPr>
          <w:color w:val="211F1F"/>
        </w:rPr>
        <w:t xml:space="preserve">must </w:t>
      </w:r>
      <w:r>
        <w:rPr>
          <w:color w:val="211F1F"/>
          <w:spacing w:val="-2"/>
        </w:rPr>
        <w:t>bestated.</w:t>
      </w:r>
    </w:p>
    <w:p w14:paraId="005AC648" w14:textId="77777777" w:rsidR="00BB77C0" w:rsidRDefault="00370BAA">
      <w:pPr>
        <w:pStyle w:val="ListParagraph"/>
        <w:numPr>
          <w:ilvl w:val="0"/>
          <w:numId w:val="36"/>
        </w:numPr>
        <w:tabs>
          <w:tab w:val="left" w:pos="1039"/>
          <w:tab w:val="left" w:pos="1051"/>
        </w:tabs>
        <w:spacing w:before="247" w:line="228" w:lineRule="auto"/>
        <w:ind w:right="719" w:hanging="572"/>
        <w:jc w:val="both"/>
      </w:pPr>
      <w:r>
        <w:rPr>
          <w:color w:val="211F1F"/>
        </w:rPr>
        <w:t>Specifications from</w:t>
      </w:r>
      <w:r>
        <w:rPr>
          <w:color w:val="211F1F"/>
          <w:spacing w:val="-5"/>
        </w:rPr>
        <w:t xml:space="preserve"> </w:t>
      </w:r>
      <w:r>
        <w:rPr>
          <w:color w:val="211F1F"/>
        </w:rPr>
        <w:t>previous similar projects are useful and may</w:t>
      </w:r>
      <w:r>
        <w:rPr>
          <w:color w:val="211F1F"/>
          <w:spacing w:val="-1"/>
        </w:rPr>
        <w:t xml:space="preserve"> </w:t>
      </w:r>
      <w:r>
        <w:rPr>
          <w:color w:val="211F1F"/>
        </w:rPr>
        <w:t>not be</w:t>
      </w:r>
      <w:r>
        <w:rPr>
          <w:color w:val="211F1F"/>
          <w:spacing w:val="-3"/>
        </w:rPr>
        <w:t xml:space="preserve"> </w:t>
      </w:r>
      <w:r>
        <w:rPr>
          <w:color w:val="211F1F"/>
        </w:rPr>
        <w:t>necessary to</w:t>
      </w:r>
      <w:r>
        <w:rPr>
          <w:color w:val="211F1F"/>
          <w:spacing w:val="-6"/>
        </w:rPr>
        <w:t xml:space="preserve"> </w:t>
      </w:r>
      <w:r>
        <w:rPr>
          <w:color w:val="211F1F"/>
        </w:rPr>
        <w:t>re-write</w:t>
      </w:r>
      <w:r>
        <w:rPr>
          <w:color w:val="211F1F"/>
          <w:spacing w:val="-3"/>
        </w:rPr>
        <w:t xml:space="preserve"> </w:t>
      </w:r>
      <w:r>
        <w:rPr>
          <w:color w:val="211F1F"/>
        </w:rPr>
        <w:t>specifications for everyWorks Contract.</w:t>
      </w:r>
    </w:p>
    <w:p w14:paraId="35756F14" w14:textId="77777777" w:rsidR="00BB77C0" w:rsidRDefault="00370BAA">
      <w:pPr>
        <w:pStyle w:val="ListParagraph"/>
        <w:numPr>
          <w:ilvl w:val="0"/>
          <w:numId w:val="36"/>
        </w:numPr>
        <w:tabs>
          <w:tab w:val="left" w:pos="1039"/>
          <w:tab w:val="left" w:pos="1051"/>
        </w:tabs>
        <w:spacing w:before="247" w:line="230" w:lineRule="auto"/>
        <w:ind w:right="704" w:hanging="572"/>
        <w:jc w:val="both"/>
      </w:pPr>
      <w:r>
        <w:rPr>
          <w:color w:val="211F1F"/>
        </w:rPr>
        <w:t>There</w:t>
      </w:r>
      <w:r>
        <w:rPr>
          <w:color w:val="211F1F"/>
          <w:spacing w:val="-2"/>
        </w:rPr>
        <w:t xml:space="preserve"> </w:t>
      </w:r>
      <w:r>
        <w:rPr>
          <w:color w:val="211F1F"/>
        </w:rPr>
        <w:t>are</w:t>
      </w:r>
      <w:r>
        <w:rPr>
          <w:color w:val="211F1F"/>
          <w:spacing w:val="-2"/>
        </w:rPr>
        <w:t xml:space="preserve"> </w:t>
      </w:r>
      <w:r>
        <w:rPr>
          <w:color w:val="211F1F"/>
        </w:rPr>
        <w:t>considerable</w:t>
      </w:r>
      <w:r>
        <w:rPr>
          <w:color w:val="211F1F"/>
          <w:spacing w:val="-2"/>
        </w:rPr>
        <w:t xml:space="preserve"> </w:t>
      </w:r>
      <w:r>
        <w:rPr>
          <w:color w:val="211F1F"/>
        </w:rPr>
        <w:t>advantages in</w:t>
      </w:r>
      <w:r>
        <w:rPr>
          <w:color w:val="211F1F"/>
          <w:spacing w:val="-1"/>
        </w:rPr>
        <w:t xml:space="preserve"> </w:t>
      </w:r>
      <w:r>
        <w:rPr>
          <w:color w:val="211F1F"/>
        </w:rPr>
        <w:t xml:space="preserve">standardizing </w:t>
      </w:r>
      <w:r>
        <w:rPr>
          <w:b/>
          <w:color w:val="211F1F"/>
        </w:rPr>
        <w:t xml:space="preserve">General Specifications </w:t>
      </w:r>
      <w:r>
        <w:rPr>
          <w:color w:val="211F1F"/>
        </w:rPr>
        <w:t>for repetitive</w:t>
      </w:r>
      <w:r>
        <w:rPr>
          <w:color w:val="211F1F"/>
          <w:spacing w:val="-1"/>
        </w:rPr>
        <w:t xml:space="preserve"> </w:t>
      </w:r>
      <w:r>
        <w:rPr>
          <w:color w:val="211F1F"/>
        </w:rPr>
        <w:t>Works in</w:t>
      </w:r>
      <w:r>
        <w:rPr>
          <w:color w:val="211F1F"/>
          <w:spacing w:val="-1"/>
        </w:rPr>
        <w:t xml:space="preserve"> </w:t>
      </w:r>
      <w:r>
        <w:rPr>
          <w:color w:val="211F1F"/>
        </w:rPr>
        <w:t>recognized public</w:t>
      </w:r>
      <w:r>
        <w:rPr>
          <w:color w:val="211F1F"/>
          <w:spacing w:val="-14"/>
        </w:rPr>
        <w:t xml:space="preserve"> </w:t>
      </w:r>
      <w:r>
        <w:rPr>
          <w:color w:val="211F1F"/>
        </w:rPr>
        <w:t>sectors,</w:t>
      </w:r>
      <w:r>
        <w:rPr>
          <w:color w:val="211F1F"/>
          <w:spacing w:val="-11"/>
        </w:rPr>
        <w:t xml:space="preserve"> </w:t>
      </w:r>
      <w:r>
        <w:rPr>
          <w:color w:val="211F1F"/>
        </w:rPr>
        <w:t>such</w:t>
      </w:r>
      <w:r>
        <w:rPr>
          <w:color w:val="211F1F"/>
          <w:spacing w:val="-11"/>
        </w:rPr>
        <w:t xml:space="preserve"> </w:t>
      </w:r>
      <w:r>
        <w:rPr>
          <w:color w:val="211F1F"/>
        </w:rPr>
        <w:t>as</w:t>
      </w:r>
      <w:r>
        <w:rPr>
          <w:color w:val="211F1F"/>
          <w:spacing w:val="-11"/>
        </w:rPr>
        <w:t xml:space="preserve"> </w:t>
      </w:r>
      <w:r>
        <w:rPr>
          <w:color w:val="211F1F"/>
        </w:rPr>
        <w:t>highways,</w:t>
      </w:r>
      <w:r>
        <w:rPr>
          <w:color w:val="211F1F"/>
          <w:spacing w:val="-3"/>
        </w:rPr>
        <w:t xml:space="preserve"> </w:t>
      </w:r>
      <w:r>
        <w:rPr>
          <w:color w:val="211F1F"/>
        </w:rPr>
        <w:t>urban</w:t>
      </w:r>
      <w:r>
        <w:rPr>
          <w:color w:val="211F1F"/>
          <w:spacing w:val="-14"/>
        </w:rPr>
        <w:t xml:space="preserve"> </w:t>
      </w:r>
      <w:r>
        <w:rPr>
          <w:color w:val="211F1F"/>
        </w:rPr>
        <w:t>housing,</w:t>
      </w:r>
      <w:r>
        <w:rPr>
          <w:color w:val="211F1F"/>
          <w:spacing w:val="-8"/>
        </w:rPr>
        <w:t xml:space="preserve"> </w:t>
      </w:r>
      <w:r>
        <w:rPr>
          <w:color w:val="211F1F"/>
        </w:rPr>
        <w:t>irrigation</w:t>
      </w:r>
      <w:r>
        <w:rPr>
          <w:color w:val="211F1F"/>
          <w:spacing w:val="-14"/>
        </w:rPr>
        <w:t xml:space="preserve"> </w:t>
      </w:r>
      <w:r>
        <w:rPr>
          <w:color w:val="211F1F"/>
        </w:rPr>
        <w:t>and</w:t>
      </w:r>
      <w:r>
        <w:rPr>
          <w:color w:val="211F1F"/>
          <w:spacing w:val="-14"/>
        </w:rPr>
        <w:t xml:space="preserve"> </w:t>
      </w:r>
      <w:r>
        <w:rPr>
          <w:color w:val="211F1F"/>
        </w:rPr>
        <w:t>water</w:t>
      </w:r>
      <w:r>
        <w:rPr>
          <w:color w:val="211F1F"/>
          <w:spacing w:val="-7"/>
        </w:rPr>
        <w:t xml:space="preserve"> </w:t>
      </w:r>
      <w:r>
        <w:rPr>
          <w:color w:val="211F1F"/>
        </w:rPr>
        <w:t>supply.</w:t>
      </w:r>
      <w:r>
        <w:rPr>
          <w:color w:val="211F1F"/>
          <w:spacing w:val="40"/>
        </w:rPr>
        <w:t xml:space="preserve"> </w:t>
      </w:r>
      <w:r>
        <w:rPr>
          <w:color w:val="211F1F"/>
        </w:rPr>
        <w:t>The</w:t>
      </w:r>
      <w:r>
        <w:rPr>
          <w:color w:val="211F1F"/>
          <w:spacing w:val="-14"/>
        </w:rPr>
        <w:t xml:space="preserve"> </w:t>
      </w:r>
      <w:r>
        <w:rPr>
          <w:color w:val="211F1F"/>
        </w:rPr>
        <w:t>General</w:t>
      </w:r>
      <w:r>
        <w:rPr>
          <w:color w:val="211F1F"/>
          <w:spacing w:val="-13"/>
        </w:rPr>
        <w:t xml:space="preserve"> </w:t>
      </w:r>
      <w:r>
        <w:rPr>
          <w:color w:val="211F1F"/>
        </w:rPr>
        <w:t>Specifications</w:t>
      </w:r>
      <w:r>
        <w:rPr>
          <w:color w:val="211F1F"/>
          <w:spacing w:val="-9"/>
        </w:rPr>
        <w:t xml:space="preserve"> </w:t>
      </w:r>
      <w:r>
        <w:rPr>
          <w:color w:val="211F1F"/>
        </w:rPr>
        <w:t>should cover all classes of workmanship, materials and equipment commonly involved in constructions, althoughnot necessarily to be used in a particular works contract. Deletions or addenda should then adapt the General Specifications to the particular Works.</w:t>
      </w:r>
    </w:p>
    <w:p w14:paraId="75333193" w14:textId="77777777" w:rsidR="00BB77C0" w:rsidRDefault="00370BAA">
      <w:pPr>
        <w:pStyle w:val="ListParagraph"/>
        <w:numPr>
          <w:ilvl w:val="0"/>
          <w:numId w:val="36"/>
        </w:numPr>
        <w:tabs>
          <w:tab w:val="left" w:pos="1040"/>
          <w:tab w:val="left" w:pos="1051"/>
        </w:tabs>
        <w:spacing w:before="240" w:line="230" w:lineRule="auto"/>
        <w:ind w:right="702" w:hanging="576"/>
        <w:jc w:val="both"/>
      </w:pPr>
      <w:r>
        <w:rPr>
          <w:color w:val="211F1F"/>
        </w:rPr>
        <w:t>Care</w:t>
      </w:r>
      <w:r>
        <w:rPr>
          <w:color w:val="211F1F"/>
          <w:spacing w:val="-14"/>
        </w:rPr>
        <w:t xml:space="preserve"> </w:t>
      </w:r>
      <w:r>
        <w:rPr>
          <w:color w:val="211F1F"/>
        </w:rPr>
        <w:t>must</w:t>
      </w:r>
      <w:r>
        <w:rPr>
          <w:color w:val="211F1F"/>
          <w:spacing w:val="-13"/>
        </w:rPr>
        <w:t xml:space="preserve"> </w:t>
      </w:r>
      <w:r>
        <w:rPr>
          <w:color w:val="211F1F"/>
        </w:rPr>
        <w:t>be</w:t>
      </w:r>
      <w:r>
        <w:rPr>
          <w:color w:val="211F1F"/>
          <w:spacing w:val="-14"/>
        </w:rPr>
        <w:t xml:space="preserve"> </w:t>
      </w:r>
      <w:r>
        <w:rPr>
          <w:color w:val="211F1F"/>
        </w:rPr>
        <w:t>taken</w:t>
      </w:r>
      <w:r>
        <w:rPr>
          <w:color w:val="211F1F"/>
          <w:spacing w:val="-13"/>
        </w:rPr>
        <w:t xml:space="preserve"> </w:t>
      </w:r>
      <w:r>
        <w:rPr>
          <w:color w:val="211F1F"/>
        </w:rPr>
        <w:t>in</w:t>
      </w:r>
      <w:r>
        <w:rPr>
          <w:color w:val="211F1F"/>
          <w:spacing w:val="-14"/>
        </w:rPr>
        <w:t xml:space="preserve"> </w:t>
      </w:r>
      <w:r>
        <w:rPr>
          <w:color w:val="211F1F"/>
        </w:rPr>
        <w:t>drafting</w:t>
      </w:r>
      <w:r>
        <w:rPr>
          <w:color w:val="211F1F"/>
          <w:spacing w:val="-13"/>
        </w:rPr>
        <w:t xml:space="preserve"> </w:t>
      </w:r>
      <w:r>
        <w:rPr>
          <w:color w:val="211F1F"/>
        </w:rPr>
        <w:t>Specifications</w:t>
      </w:r>
      <w:r>
        <w:rPr>
          <w:color w:val="211F1F"/>
          <w:spacing w:val="-3"/>
        </w:rPr>
        <w:t xml:space="preserve"> </w:t>
      </w:r>
      <w:r>
        <w:rPr>
          <w:color w:val="211F1F"/>
        </w:rPr>
        <w:t>to</w:t>
      </w:r>
      <w:r>
        <w:rPr>
          <w:color w:val="211F1F"/>
          <w:spacing w:val="-14"/>
        </w:rPr>
        <w:t xml:space="preserve"> </w:t>
      </w:r>
      <w:r>
        <w:rPr>
          <w:color w:val="211F1F"/>
        </w:rPr>
        <w:t>ensure</w:t>
      </w:r>
      <w:r>
        <w:rPr>
          <w:color w:val="211F1F"/>
          <w:spacing w:val="-14"/>
        </w:rPr>
        <w:t xml:space="preserve"> </w:t>
      </w:r>
      <w:r>
        <w:rPr>
          <w:color w:val="211F1F"/>
        </w:rPr>
        <w:t>they</w:t>
      </w:r>
      <w:r>
        <w:rPr>
          <w:color w:val="211F1F"/>
          <w:spacing w:val="-14"/>
        </w:rPr>
        <w:t xml:space="preserve"> </w:t>
      </w:r>
      <w:r>
        <w:rPr>
          <w:color w:val="211F1F"/>
        </w:rPr>
        <w:t>are</w:t>
      </w:r>
      <w:r>
        <w:rPr>
          <w:color w:val="211F1F"/>
          <w:spacing w:val="-11"/>
        </w:rPr>
        <w:t xml:space="preserve"> </w:t>
      </w:r>
      <w:r>
        <w:rPr>
          <w:color w:val="211F1F"/>
        </w:rPr>
        <w:t>not</w:t>
      </w:r>
      <w:r>
        <w:rPr>
          <w:color w:val="211F1F"/>
          <w:spacing w:val="-9"/>
        </w:rPr>
        <w:t xml:space="preserve"> </w:t>
      </w:r>
      <w:r>
        <w:rPr>
          <w:color w:val="211F1F"/>
        </w:rPr>
        <w:t>restrictive.</w:t>
      </w:r>
      <w:r>
        <w:rPr>
          <w:color w:val="211F1F"/>
          <w:spacing w:val="61"/>
        </w:rPr>
        <w:t xml:space="preserve"> </w:t>
      </w:r>
      <w:r>
        <w:rPr>
          <w:color w:val="211F1F"/>
        </w:rPr>
        <w:t>In</w:t>
      </w:r>
      <w:r>
        <w:rPr>
          <w:color w:val="211F1F"/>
          <w:spacing w:val="-14"/>
        </w:rPr>
        <w:t xml:space="preserve"> </w:t>
      </w:r>
      <w:r>
        <w:rPr>
          <w:color w:val="211F1F"/>
        </w:rPr>
        <w:t>the</w:t>
      </w:r>
      <w:r>
        <w:rPr>
          <w:color w:val="211F1F"/>
          <w:spacing w:val="-12"/>
        </w:rPr>
        <w:t xml:space="preserve"> </w:t>
      </w:r>
      <w:r>
        <w:rPr>
          <w:color w:val="211F1F"/>
        </w:rPr>
        <w:t>Specifications</w:t>
      </w:r>
      <w:r>
        <w:rPr>
          <w:color w:val="211F1F"/>
          <w:spacing w:val="-4"/>
        </w:rPr>
        <w:t xml:space="preserve"> </w:t>
      </w:r>
      <w:r>
        <w:rPr>
          <w:color w:val="211F1F"/>
        </w:rPr>
        <w:t>of</w:t>
      </w:r>
      <w:r>
        <w:rPr>
          <w:color w:val="211F1F"/>
          <w:spacing w:val="-7"/>
        </w:rPr>
        <w:t xml:space="preserve"> </w:t>
      </w:r>
      <w:r>
        <w:rPr>
          <w:color w:val="211F1F"/>
        </w:rPr>
        <w:t>standards for materials, plant</w:t>
      </w:r>
      <w:r>
        <w:rPr>
          <w:color w:val="211F1F"/>
          <w:spacing w:val="-2"/>
        </w:rPr>
        <w:t xml:space="preserve"> </w:t>
      </w:r>
      <w:r>
        <w:rPr>
          <w:color w:val="211F1F"/>
        </w:rPr>
        <w:t>and</w:t>
      </w:r>
      <w:r>
        <w:rPr>
          <w:color w:val="211F1F"/>
          <w:spacing w:val="-2"/>
        </w:rPr>
        <w:t xml:space="preserve"> </w:t>
      </w:r>
      <w:r>
        <w:rPr>
          <w:color w:val="211F1F"/>
        </w:rPr>
        <w:t>workmanship, existing</w:t>
      </w:r>
      <w:r>
        <w:rPr>
          <w:color w:val="211F1F"/>
          <w:spacing w:val="-2"/>
        </w:rPr>
        <w:t xml:space="preserve"> </w:t>
      </w:r>
      <w:r>
        <w:rPr>
          <w:color w:val="211F1F"/>
        </w:rPr>
        <w:t>Kenya</w:t>
      </w:r>
      <w:r>
        <w:rPr>
          <w:color w:val="211F1F"/>
          <w:spacing w:val="-5"/>
        </w:rPr>
        <w:t xml:space="preserve"> </w:t>
      </w:r>
      <w:r>
        <w:rPr>
          <w:color w:val="211F1F"/>
        </w:rPr>
        <w:t>Standards</w:t>
      </w:r>
      <w:r>
        <w:rPr>
          <w:color w:val="211F1F"/>
          <w:spacing w:val="-1"/>
        </w:rPr>
        <w:t xml:space="preserve"> </w:t>
      </w:r>
      <w:r>
        <w:rPr>
          <w:color w:val="211F1F"/>
        </w:rPr>
        <w:t>should</w:t>
      </w:r>
      <w:r>
        <w:rPr>
          <w:color w:val="211F1F"/>
          <w:spacing w:val="-2"/>
        </w:rPr>
        <w:t xml:space="preserve"> </w:t>
      </w:r>
      <w:r>
        <w:rPr>
          <w:color w:val="211F1F"/>
        </w:rPr>
        <w:t>be</w:t>
      </w:r>
      <w:r>
        <w:rPr>
          <w:color w:val="211F1F"/>
          <w:spacing w:val="-5"/>
        </w:rPr>
        <w:t xml:space="preserve"> </w:t>
      </w:r>
      <w:r>
        <w:rPr>
          <w:color w:val="211F1F"/>
        </w:rPr>
        <w:t>used</w:t>
      </w:r>
      <w:r>
        <w:rPr>
          <w:color w:val="211F1F"/>
          <w:spacing w:val="-3"/>
        </w:rPr>
        <w:t xml:space="preserve"> </w:t>
      </w:r>
      <w:r>
        <w:rPr>
          <w:color w:val="211F1F"/>
        </w:rPr>
        <w:t>as</w:t>
      </w:r>
      <w:r>
        <w:rPr>
          <w:color w:val="211F1F"/>
          <w:spacing w:val="-2"/>
        </w:rPr>
        <w:t xml:space="preserve"> </w:t>
      </w:r>
      <w:r>
        <w:rPr>
          <w:color w:val="211F1F"/>
        </w:rPr>
        <w:t>much</w:t>
      </w:r>
      <w:r>
        <w:rPr>
          <w:color w:val="211F1F"/>
          <w:spacing w:val="-2"/>
        </w:rPr>
        <w:t xml:space="preserve"> </w:t>
      </w:r>
      <w:r>
        <w:rPr>
          <w:color w:val="211F1F"/>
        </w:rPr>
        <w:t>as</w:t>
      </w:r>
      <w:r>
        <w:rPr>
          <w:color w:val="211F1F"/>
          <w:spacing w:val="-2"/>
        </w:rPr>
        <w:t xml:space="preserve"> </w:t>
      </w:r>
      <w:r>
        <w:rPr>
          <w:color w:val="211F1F"/>
        </w:rPr>
        <w:t>possible, otherwise recognized international standards may also be used.</w:t>
      </w:r>
    </w:p>
    <w:p w14:paraId="4801BE6D" w14:textId="77777777" w:rsidR="00BB77C0" w:rsidRDefault="00370BAA">
      <w:pPr>
        <w:pStyle w:val="ListParagraph"/>
        <w:numPr>
          <w:ilvl w:val="0"/>
          <w:numId w:val="36"/>
        </w:numPr>
        <w:tabs>
          <w:tab w:val="left" w:pos="1039"/>
          <w:tab w:val="left" w:pos="1046"/>
        </w:tabs>
        <w:spacing w:before="242" w:line="230" w:lineRule="auto"/>
        <w:ind w:left="1046" w:right="709" w:hanging="572"/>
        <w:jc w:val="both"/>
      </w:pPr>
      <w:r>
        <w:rPr>
          <w:color w:val="211F1F"/>
        </w:rPr>
        <w:t>The Procuring Entity should decide whether technical solutions to specified parts of the Works are to be permitted. Alternatives are appropriate in cases where obvious (and potentially less costly) alternatives are possible</w:t>
      </w:r>
      <w:r>
        <w:rPr>
          <w:color w:val="211F1F"/>
          <w:spacing w:val="-3"/>
        </w:rPr>
        <w:t xml:space="preserve"> </w:t>
      </w:r>
      <w:r>
        <w:rPr>
          <w:color w:val="211F1F"/>
        </w:rPr>
        <w:t>to</w:t>
      </w:r>
      <w:r>
        <w:rPr>
          <w:color w:val="211F1F"/>
          <w:spacing w:val="-1"/>
        </w:rPr>
        <w:t xml:space="preserve"> </w:t>
      </w:r>
      <w:r>
        <w:rPr>
          <w:color w:val="211F1F"/>
        </w:rPr>
        <w:t>the</w:t>
      </w:r>
      <w:r>
        <w:rPr>
          <w:color w:val="211F1F"/>
          <w:spacing w:val="-3"/>
        </w:rPr>
        <w:t xml:space="preserve"> </w:t>
      </w:r>
      <w:r>
        <w:rPr>
          <w:color w:val="211F1F"/>
        </w:rPr>
        <w:t>technical solutions indicated</w:t>
      </w:r>
      <w:r>
        <w:rPr>
          <w:color w:val="211F1F"/>
          <w:spacing w:val="-1"/>
        </w:rPr>
        <w:t xml:space="preserve"> </w:t>
      </w:r>
      <w:r>
        <w:rPr>
          <w:color w:val="211F1F"/>
        </w:rPr>
        <w:t>in</w:t>
      </w:r>
      <w:r>
        <w:rPr>
          <w:color w:val="211F1F"/>
          <w:spacing w:val="-1"/>
        </w:rPr>
        <w:t xml:space="preserve"> </w:t>
      </w:r>
      <w:r>
        <w:rPr>
          <w:color w:val="211F1F"/>
        </w:rPr>
        <w:t>tender documents for certain elements of the Works, taking</w:t>
      </w:r>
      <w:r>
        <w:rPr>
          <w:color w:val="211F1F"/>
          <w:spacing w:val="-1"/>
        </w:rPr>
        <w:t xml:space="preserve"> </w:t>
      </w:r>
      <w:r>
        <w:rPr>
          <w:color w:val="211F1F"/>
        </w:rPr>
        <w:t>into consideration the comparative specialized advantage of potential tenderers.</w:t>
      </w:r>
    </w:p>
    <w:p w14:paraId="05F33657" w14:textId="77777777" w:rsidR="00BB77C0" w:rsidRDefault="00370BAA">
      <w:pPr>
        <w:pStyle w:val="ListParagraph"/>
        <w:numPr>
          <w:ilvl w:val="0"/>
          <w:numId w:val="36"/>
        </w:numPr>
        <w:tabs>
          <w:tab w:val="left" w:pos="1040"/>
          <w:tab w:val="left" w:pos="1051"/>
        </w:tabs>
        <w:spacing w:before="248" w:line="230" w:lineRule="auto"/>
        <w:ind w:right="708" w:hanging="576"/>
        <w:jc w:val="both"/>
      </w:pPr>
      <w:r>
        <w:rPr>
          <w:color w:val="211F1F"/>
        </w:rPr>
        <w:t>The</w:t>
      </w:r>
      <w:r>
        <w:rPr>
          <w:color w:val="211F1F"/>
          <w:spacing w:val="-14"/>
        </w:rPr>
        <w:t xml:space="preserve"> </w:t>
      </w:r>
      <w:r>
        <w:rPr>
          <w:color w:val="211F1F"/>
        </w:rPr>
        <w:t>Procuring</w:t>
      </w:r>
      <w:r>
        <w:rPr>
          <w:color w:val="211F1F"/>
          <w:spacing w:val="-14"/>
        </w:rPr>
        <w:t xml:space="preserve"> </w:t>
      </w:r>
      <w:r>
        <w:rPr>
          <w:color w:val="211F1F"/>
        </w:rPr>
        <w:t>Entity</w:t>
      </w:r>
      <w:r>
        <w:rPr>
          <w:color w:val="211F1F"/>
          <w:spacing w:val="-14"/>
        </w:rPr>
        <w:t xml:space="preserve"> </w:t>
      </w:r>
      <w:r>
        <w:rPr>
          <w:color w:val="211F1F"/>
        </w:rPr>
        <w:t>should</w:t>
      </w:r>
      <w:r>
        <w:rPr>
          <w:color w:val="211F1F"/>
          <w:spacing w:val="-13"/>
        </w:rPr>
        <w:t xml:space="preserve"> </w:t>
      </w:r>
      <w:r>
        <w:rPr>
          <w:color w:val="211F1F"/>
        </w:rPr>
        <w:t>provide</w:t>
      </w:r>
      <w:r>
        <w:rPr>
          <w:color w:val="211F1F"/>
          <w:spacing w:val="-14"/>
        </w:rPr>
        <w:t xml:space="preserve"> </w:t>
      </w:r>
      <w:r>
        <w:rPr>
          <w:color w:val="211F1F"/>
        </w:rPr>
        <w:t>a</w:t>
      </w:r>
      <w:r>
        <w:rPr>
          <w:color w:val="211F1F"/>
          <w:spacing w:val="-14"/>
        </w:rPr>
        <w:t xml:space="preserve"> </w:t>
      </w:r>
      <w:r>
        <w:rPr>
          <w:color w:val="211F1F"/>
        </w:rPr>
        <w:t>description</w:t>
      </w:r>
      <w:r>
        <w:rPr>
          <w:color w:val="211F1F"/>
          <w:spacing w:val="-14"/>
        </w:rPr>
        <w:t xml:space="preserve"> </w:t>
      </w:r>
      <w:r>
        <w:rPr>
          <w:color w:val="211F1F"/>
        </w:rPr>
        <w:t>of</w:t>
      </w:r>
      <w:r>
        <w:rPr>
          <w:color w:val="211F1F"/>
          <w:spacing w:val="-13"/>
        </w:rPr>
        <w:t xml:space="preserve"> </w:t>
      </w:r>
      <w:r>
        <w:rPr>
          <w:color w:val="211F1F"/>
        </w:rPr>
        <w:t>the</w:t>
      </w:r>
      <w:r>
        <w:rPr>
          <w:color w:val="211F1F"/>
          <w:spacing w:val="-14"/>
        </w:rPr>
        <w:t xml:space="preserve"> </w:t>
      </w:r>
      <w:r>
        <w:rPr>
          <w:color w:val="211F1F"/>
        </w:rPr>
        <w:t>selected</w:t>
      </w:r>
      <w:r>
        <w:rPr>
          <w:color w:val="211F1F"/>
          <w:spacing w:val="-14"/>
        </w:rPr>
        <w:t xml:space="preserve"> </w:t>
      </w:r>
      <w:r>
        <w:rPr>
          <w:color w:val="211F1F"/>
        </w:rPr>
        <w:t>parts</w:t>
      </w:r>
      <w:r>
        <w:rPr>
          <w:color w:val="211F1F"/>
          <w:spacing w:val="-14"/>
        </w:rPr>
        <w:t xml:space="preserve"> </w:t>
      </w:r>
      <w:r>
        <w:rPr>
          <w:color w:val="211F1F"/>
        </w:rPr>
        <w:t>of</w:t>
      </w:r>
      <w:r>
        <w:rPr>
          <w:color w:val="211F1F"/>
          <w:spacing w:val="-13"/>
        </w:rPr>
        <w:t xml:space="preserve"> </w:t>
      </w:r>
      <w:r>
        <w:rPr>
          <w:color w:val="211F1F"/>
        </w:rPr>
        <w:t>the</w:t>
      </w:r>
      <w:r>
        <w:rPr>
          <w:color w:val="211F1F"/>
          <w:spacing w:val="-14"/>
        </w:rPr>
        <w:t xml:space="preserve"> </w:t>
      </w:r>
      <w:r>
        <w:rPr>
          <w:color w:val="211F1F"/>
        </w:rPr>
        <w:t>Works</w:t>
      </w:r>
      <w:r>
        <w:rPr>
          <w:color w:val="211F1F"/>
          <w:spacing w:val="-14"/>
        </w:rPr>
        <w:t xml:space="preserve"> </w:t>
      </w:r>
      <w:r>
        <w:rPr>
          <w:color w:val="211F1F"/>
        </w:rPr>
        <w:t>with</w:t>
      </w:r>
      <w:r>
        <w:rPr>
          <w:color w:val="211F1F"/>
          <w:spacing w:val="-14"/>
        </w:rPr>
        <w:t xml:space="preserve"> </w:t>
      </w:r>
      <w:r>
        <w:rPr>
          <w:color w:val="211F1F"/>
        </w:rPr>
        <w:t>appropriate</w:t>
      </w:r>
      <w:r>
        <w:rPr>
          <w:color w:val="211F1F"/>
          <w:spacing w:val="-13"/>
        </w:rPr>
        <w:t xml:space="preserve"> </w:t>
      </w:r>
      <w:r>
        <w:rPr>
          <w:color w:val="211F1F"/>
        </w:rPr>
        <w:t>reference</w:t>
      </w:r>
      <w:r>
        <w:rPr>
          <w:color w:val="211F1F"/>
          <w:spacing w:val="-14"/>
        </w:rPr>
        <w:t xml:space="preserve"> </w:t>
      </w:r>
      <w:r>
        <w:rPr>
          <w:color w:val="211F1F"/>
        </w:rPr>
        <w:t xml:space="preserve">to Drawings, Specifications, Bills of Quantities, and Design or Performance criteria, stating that the alternative solutions shall be at least structurally and functionally equivalent to the basic design parameters and </w:t>
      </w:r>
      <w:r>
        <w:rPr>
          <w:color w:val="211F1F"/>
          <w:spacing w:val="-2"/>
        </w:rPr>
        <w:t>Specifications.</w:t>
      </w:r>
    </w:p>
    <w:p w14:paraId="5E7859CE" w14:textId="77777777" w:rsidR="00BB77C0" w:rsidRDefault="00370BAA">
      <w:pPr>
        <w:pStyle w:val="ListParagraph"/>
        <w:numPr>
          <w:ilvl w:val="0"/>
          <w:numId w:val="35"/>
        </w:numPr>
        <w:tabs>
          <w:tab w:val="left" w:pos="723"/>
          <w:tab w:val="left" w:pos="1051"/>
        </w:tabs>
        <w:spacing w:before="243" w:line="230" w:lineRule="auto"/>
        <w:ind w:right="704" w:hanging="572"/>
        <w:jc w:val="both"/>
      </w:pPr>
      <w:r>
        <w:rPr>
          <w:color w:val="211F1F"/>
        </w:rPr>
        <w:t>Such alternative solutions shall be accompanied by all information necessary for a complete evaluation by the Procuring Entity, including drawings, design calculations, technical specifications, breakdown of prices, proposed</w:t>
      </w:r>
      <w:r>
        <w:rPr>
          <w:color w:val="211F1F"/>
          <w:spacing w:val="-7"/>
        </w:rPr>
        <w:t xml:space="preserve"> </w:t>
      </w:r>
      <w:r>
        <w:rPr>
          <w:color w:val="211F1F"/>
        </w:rPr>
        <w:t>construction</w:t>
      </w:r>
      <w:r>
        <w:rPr>
          <w:color w:val="211F1F"/>
          <w:spacing w:val="-3"/>
        </w:rPr>
        <w:t xml:space="preserve"> </w:t>
      </w:r>
      <w:r>
        <w:rPr>
          <w:color w:val="211F1F"/>
        </w:rPr>
        <w:t>methodology, and</w:t>
      </w:r>
      <w:r>
        <w:rPr>
          <w:color w:val="211F1F"/>
          <w:spacing w:val="-4"/>
        </w:rPr>
        <w:t xml:space="preserve"> </w:t>
      </w:r>
      <w:r>
        <w:rPr>
          <w:color w:val="211F1F"/>
        </w:rPr>
        <w:t>other relevant details.</w:t>
      </w:r>
      <w:r>
        <w:rPr>
          <w:color w:val="211F1F"/>
          <w:spacing w:val="38"/>
        </w:rPr>
        <w:t xml:space="preserve"> </w:t>
      </w:r>
      <w:r>
        <w:rPr>
          <w:color w:val="211F1F"/>
        </w:rPr>
        <w:t>Technical</w:t>
      </w:r>
      <w:r>
        <w:rPr>
          <w:color w:val="211F1F"/>
          <w:spacing w:val="-5"/>
        </w:rPr>
        <w:t xml:space="preserve"> </w:t>
      </w:r>
      <w:r>
        <w:rPr>
          <w:color w:val="211F1F"/>
        </w:rPr>
        <w:t>alternatives</w:t>
      </w:r>
      <w:r>
        <w:rPr>
          <w:color w:val="211F1F"/>
          <w:spacing w:val="-2"/>
        </w:rPr>
        <w:t xml:space="preserve"> </w:t>
      </w:r>
      <w:r>
        <w:rPr>
          <w:color w:val="211F1F"/>
        </w:rPr>
        <w:t>permitted</w:t>
      </w:r>
      <w:r>
        <w:rPr>
          <w:color w:val="211F1F"/>
          <w:spacing w:val="-7"/>
        </w:rPr>
        <w:t xml:space="preserve"> </w:t>
      </w:r>
      <w:r>
        <w:rPr>
          <w:color w:val="211F1F"/>
        </w:rPr>
        <w:t>in</w:t>
      </w:r>
      <w:r>
        <w:rPr>
          <w:color w:val="211F1F"/>
          <w:spacing w:val="-7"/>
        </w:rPr>
        <w:t xml:space="preserve"> </w:t>
      </w:r>
      <w:r>
        <w:rPr>
          <w:color w:val="211F1F"/>
        </w:rPr>
        <w:t>this manner shall</w:t>
      </w:r>
      <w:r>
        <w:rPr>
          <w:color w:val="211F1F"/>
          <w:spacing w:val="-14"/>
        </w:rPr>
        <w:t xml:space="preserve"> </w:t>
      </w:r>
      <w:r>
        <w:rPr>
          <w:color w:val="211F1F"/>
        </w:rPr>
        <w:t>be</w:t>
      </w:r>
      <w:r>
        <w:rPr>
          <w:color w:val="211F1F"/>
          <w:spacing w:val="-14"/>
        </w:rPr>
        <w:t xml:space="preserve"> </w:t>
      </w:r>
      <w:r>
        <w:rPr>
          <w:color w:val="211F1F"/>
        </w:rPr>
        <w:t>considered</w:t>
      </w:r>
      <w:r>
        <w:rPr>
          <w:color w:val="211F1F"/>
          <w:spacing w:val="-14"/>
        </w:rPr>
        <w:t xml:space="preserve"> </w:t>
      </w:r>
      <w:r>
        <w:rPr>
          <w:color w:val="211F1F"/>
        </w:rPr>
        <w:t>by</w:t>
      </w:r>
      <w:r>
        <w:rPr>
          <w:color w:val="211F1F"/>
          <w:spacing w:val="-13"/>
        </w:rPr>
        <w:t xml:space="preserve"> </w:t>
      </w:r>
      <w:r>
        <w:rPr>
          <w:color w:val="211F1F"/>
        </w:rPr>
        <w:t>the</w:t>
      </w:r>
      <w:r>
        <w:rPr>
          <w:color w:val="211F1F"/>
          <w:spacing w:val="-14"/>
        </w:rPr>
        <w:t xml:space="preserve"> </w:t>
      </w:r>
      <w:r>
        <w:rPr>
          <w:color w:val="211F1F"/>
        </w:rPr>
        <w:t>Procuring</w:t>
      </w:r>
      <w:r>
        <w:rPr>
          <w:color w:val="211F1F"/>
          <w:spacing w:val="-9"/>
        </w:rPr>
        <w:t xml:space="preserve"> </w:t>
      </w:r>
      <w:r>
        <w:rPr>
          <w:color w:val="211F1F"/>
        </w:rPr>
        <w:t>Entity</w:t>
      </w:r>
      <w:r>
        <w:rPr>
          <w:color w:val="211F1F"/>
          <w:spacing w:val="-10"/>
        </w:rPr>
        <w:t xml:space="preserve"> </w:t>
      </w:r>
      <w:r>
        <w:rPr>
          <w:color w:val="211F1F"/>
        </w:rPr>
        <w:t>each</w:t>
      </w:r>
      <w:r>
        <w:rPr>
          <w:color w:val="211F1F"/>
          <w:spacing w:val="-14"/>
        </w:rPr>
        <w:t xml:space="preserve"> </w:t>
      </w:r>
      <w:r>
        <w:rPr>
          <w:color w:val="211F1F"/>
        </w:rPr>
        <w:t>on</w:t>
      </w:r>
      <w:r>
        <w:rPr>
          <w:color w:val="211F1F"/>
          <w:spacing w:val="-10"/>
        </w:rPr>
        <w:t xml:space="preserve"> </w:t>
      </w:r>
      <w:r>
        <w:rPr>
          <w:color w:val="211F1F"/>
        </w:rPr>
        <w:t>its</w:t>
      </w:r>
      <w:r>
        <w:rPr>
          <w:color w:val="211F1F"/>
          <w:spacing w:val="-6"/>
        </w:rPr>
        <w:t xml:space="preserve"> </w:t>
      </w:r>
      <w:r>
        <w:rPr>
          <w:color w:val="211F1F"/>
        </w:rPr>
        <w:t>own</w:t>
      </w:r>
      <w:r>
        <w:rPr>
          <w:color w:val="211F1F"/>
          <w:spacing w:val="-10"/>
        </w:rPr>
        <w:t xml:space="preserve"> </w:t>
      </w:r>
      <w:r>
        <w:rPr>
          <w:color w:val="211F1F"/>
        </w:rPr>
        <w:t>merits</w:t>
      </w:r>
      <w:r>
        <w:rPr>
          <w:color w:val="211F1F"/>
          <w:spacing w:val="-10"/>
        </w:rPr>
        <w:t xml:space="preserve"> </w:t>
      </w:r>
      <w:r>
        <w:rPr>
          <w:color w:val="211F1F"/>
        </w:rPr>
        <w:t>and</w:t>
      </w:r>
      <w:r>
        <w:rPr>
          <w:color w:val="211F1F"/>
          <w:spacing w:val="-10"/>
        </w:rPr>
        <w:t xml:space="preserve"> </w:t>
      </w:r>
      <w:r>
        <w:rPr>
          <w:color w:val="211F1F"/>
        </w:rPr>
        <w:t>independently</w:t>
      </w:r>
      <w:r>
        <w:rPr>
          <w:color w:val="211F1F"/>
          <w:spacing w:val="-14"/>
        </w:rPr>
        <w:t xml:space="preserve"> </w:t>
      </w:r>
      <w:r>
        <w:rPr>
          <w:color w:val="211F1F"/>
        </w:rPr>
        <w:t>of</w:t>
      </w:r>
      <w:r>
        <w:rPr>
          <w:color w:val="211F1F"/>
          <w:spacing w:val="-7"/>
        </w:rPr>
        <w:t xml:space="preserve"> </w:t>
      </w:r>
      <w:r>
        <w:rPr>
          <w:color w:val="211F1F"/>
        </w:rPr>
        <w:t>whether</w:t>
      </w:r>
      <w:r>
        <w:rPr>
          <w:color w:val="211F1F"/>
          <w:spacing w:val="-8"/>
        </w:rPr>
        <w:t xml:space="preserve"> </w:t>
      </w:r>
      <w:r>
        <w:rPr>
          <w:color w:val="211F1F"/>
        </w:rPr>
        <w:t>the</w:t>
      </w:r>
      <w:r>
        <w:rPr>
          <w:color w:val="211F1F"/>
          <w:spacing w:val="-14"/>
        </w:rPr>
        <w:t xml:space="preserve"> </w:t>
      </w:r>
      <w:r>
        <w:rPr>
          <w:color w:val="211F1F"/>
        </w:rPr>
        <w:t>tenderer</w:t>
      </w:r>
      <w:r>
        <w:rPr>
          <w:color w:val="211F1F"/>
          <w:spacing w:val="-6"/>
        </w:rPr>
        <w:t xml:space="preserve"> </w:t>
      </w:r>
      <w:r>
        <w:rPr>
          <w:color w:val="211F1F"/>
        </w:rPr>
        <w:t>has priced</w:t>
      </w:r>
      <w:r>
        <w:rPr>
          <w:color w:val="211F1F"/>
          <w:spacing w:val="-7"/>
        </w:rPr>
        <w:t xml:space="preserve"> </w:t>
      </w:r>
      <w:r>
        <w:rPr>
          <w:color w:val="211F1F"/>
        </w:rPr>
        <w:t>the</w:t>
      </w:r>
      <w:r>
        <w:rPr>
          <w:color w:val="211F1F"/>
          <w:spacing w:val="-11"/>
        </w:rPr>
        <w:t xml:space="preserve"> </w:t>
      </w:r>
      <w:r>
        <w:rPr>
          <w:color w:val="211F1F"/>
        </w:rPr>
        <w:t>item</w:t>
      </w:r>
      <w:r>
        <w:rPr>
          <w:color w:val="211F1F"/>
          <w:spacing w:val="-7"/>
        </w:rPr>
        <w:t xml:space="preserve"> </w:t>
      </w:r>
      <w:r>
        <w:rPr>
          <w:color w:val="211F1F"/>
        </w:rPr>
        <w:t>as</w:t>
      </w:r>
      <w:r>
        <w:rPr>
          <w:color w:val="211F1F"/>
          <w:spacing w:val="-1"/>
        </w:rPr>
        <w:t xml:space="preserve"> </w:t>
      </w:r>
      <w:r>
        <w:rPr>
          <w:color w:val="211F1F"/>
        </w:rPr>
        <w:t>described</w:t>
      </w:r>
      <w:r>
        <w:rPr>
          <w:color w:val="211F1F"/>
          <w:spacing w:val="-8"/>
        </w:rPr>
        <w:t xml:space="preserve"> </w:t>
      </w:r>
      <w:r>
        <w:rPr>
          <w:color w:val="211F1F"/>
        </w:rPr>
        <w:t>in</w:t>
      </w:r>
      <w:r>
        <w:rPr>
          <w:color w:val="211F1F"/>
          <w:spacing w:val="-8"/>
        </w:rPr>
        <w:t xml:space="preserve"> </w:t>
      </w:r>
      <w:r>
        <w:rPr>
          <w:color w:val="211F1F"/>
        </w:rPr>
        <w:t>the</w:t>
      </w:r>
      <w:r>
        <w:rPr>
          <w:color w:val="211F1F"/>
          <w:spacing w:val="-9"/>
        </w:rPr>
        <w:t xml:space="preserve"> </w:t>
      </w:r>
      <w:r>
        <w:rPr>
          <w:color w:val="211F1F"/>
        </w:rPr>
        <w:t>Procuring</w:t>
      </w:r>
      <w:r>
        <w:rPr>
          <w:color w:val="211F1F"/>
          <w:spacing w:val="-7"/>
        </w:rPr>
        <w:t xml:space="preserve"> </w:t>
      </w:r>
      <w:r>
        <w:rPr>
          <w:color w:val="211F1F"/>
        </w:rPr>
        <w:t>Entity's design</w:t>
      </w:r>
      <w:r>
        <w:rPr>
          <w:color w:val="211F1F"/>
          <w:spacing w:val="-7"/>
        </w:rPr>
        <w:t xml:space="preserve"> </w:t>
      </w:r>
      <w:r>
        <w:rPr>
          <w:color w:val="211F1F"/>
        </w:rPr>
        <w:t>included</w:t>
      </w:r>
      <w:r>
        <w:rPr>
          <w:color w:val="211F1F"/>
          <w:spacing w:val="-2"/>
        </w:rPr>
        <w:t xml:space="preserve"> </w:t>
      </w:r>
      <w:r>
        <w:rPr>
          <w:color w:val="211F1F"/>
        </w:rPr>
        <w:t>with</w:t>
      </w:r>
      <w:r>
        <w:rPr>
          <w:color w:val="211F1F"/>
          <w:spacing w:val="-7"/>
        </w:rPr>
        <w:t xml:space="preserve"> </w:t>
      </w:r>
      <w:r>
        <w:rPr>
          <w:color w:val="211F1F"/>
        </w:rPr>
        <w:t>the</w:t>
      </w:r>
      <w:r>
        <w:rPr>
          <w:color w:val="211F1F"/>
          <w:spacing w:val="-11"/>
        </w:rPr>
        <w:t xml:space="preserve"> </w:t>
      </w:r>
      <w:r>
        <w:rPr>
          <w:color w:val="211F1F"/>
        </w:rPr>
        <w:t>tender documents.</w:t>
      </w:r>
    </w:p>
    <w:p w14:paraId="4A1A2880" w14:textId="77777777" w:rsidR="00BB77C0" w:rsidRDefault="00BB77C0">
      <w:pPr>
        <w:pStyle w:val="ListParagraph"/>
        <w:spacing w:line="230" w:lineRule="auto"/>
        <w:jc w:val="both"/>
        <w:sectPr w:rsidR="00BB77C0">
          <w:pgSz w:w="11920" w:h="16850"/>
          <w:pgMar w:top="0" w:right="0" w:bottom="0" w:left="360" w:header="720" w:footer="720" w:gutter="0"/>
          <w:cols w:space="720"/>
        </w:sectPr>
      </w:pPr>
    </w:p>
    <w:p w14:paraId="68908938" w14:textId="77777777" w:rsidR="00BB77C0" w:rsidRDefault="00370BAA">
      <w:pPr>
        <w:pStyle w:val="BodyText"/>
      </w:pPr>
      <w:r>
        <w:rPr>
          <w:noProof/>
        </w:rPr>
        <w:lastRenderedPageBreak/>
        <mc:AlternateContent>
          <mc:Choice Requires="wpg">
            <w:drawing>
              <wp:anchor distT="0" distB="0" distL="0" distR="0" simplePos="0" relativeHeight="15778816" behindDoc="0" locked="0" layoutInCell="1" allowOverlap="1" wp14:anchorId="63679759" wp14:editId="182618BC">
                <wp:simplePos x="0" y="0"/>
                <wp:positionH relativeFrom="page">
                  <wp:posOffset>0</wp:posOffset>
                </wp:positionH>
                <wp:positionV relativeFrom="page">
                  <wp:posOffset>10234295</wp:posOffset>
                </wp:positionV>
                <wp:extent cx="7561580" cy="459105"/>
                <wp:effectExtent l="0" t="0" r="0" b="0"/>
                <wp:wrapNone/>
                <wp:docPr id="397" name="Group 3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1580" cy="459105"/>
                          <a:chOff x="0" y="0"/>
                          <a:chExt cx="7561580" cy="459105"/>
                        </a:xfrm>
                      </wpg:grpSpPr>
                      <wps:wsp>
                        <wps:cNvPr id="398" name="Graphic 398"/>
                        <wps:cNvSpPr/>
                        <wps:spPr>
                          <a:xfrm>
                            <a:off x="6449059" y="5714"/>
                            <a:ext cx="1110615" cy="451484"/>
                          </a:xfrm>
                          <a:custGeom>
                            <a:avLst/>
                            <a:gdLst/>
                            <a:ahLst/>
                            <a:cxnLst/>
                            <a:rect l="l" t="t" r="r" b="b"/>
                            <a:pathLst>
                              <a:path w="1110615" h="451484">
                                <a:moveTo>
                                  <a:pt x="1110614" y="0"/>
                                </a:moveTo>
                                <a:lnTo>
                                  <a:pt x="0" y="0"/>
                                </a:lnTo>
                                <a:lnTo>
                                  <a:pt x="260349" y="451483"/>
                                </a:lnTo>
                                <a:lnTo>
                                  <a:pt x="1110614" y="451483"/>
                                </a:lnTo>
                                <a:lnTo>
                                  <a:pt x="1110614" y="0"/>
                                </a:lnTo>
                                <a:close/>
                              </a:path>
                            </a:pathLst>
                          </a:custGeom>
                          <a:solidFill>
                            <a:srgbClr val="FAD2C1"/>
                          </a:solidFill>
                        </wps:spPr>
                        <wps:bodyPr wrap="square" lIns="0" tIns="0" rIns="0" bIns="0" rtlCol="0">
                          <a:prstTxWarp prst="textNoShape">
                            <a:avLst/>
                          </a:prstTxWarp>
                          <a:noAutofit/>
                        </wps:bodyPr>
                      </wps:wsp>
                      <wps:wsp>
                        <wps:cNvPr id="399" name="Graphic 399"/>
                        <wps:cNvSpPr/>
                        <wps:spPr>
                          <a:xfrm>
                            <a:off x="6449059" y="5714"/>
                            <a:ext cx="1110615" cy="451484"/>
                          </a:xfrm>
                          <a:custGeom>
                            <a:avLst/>
                            <a:gdLst/>
                            <a:ahLst/>
                            <a:cxnLst/>
                            <a:rect l="l" t="t" r="r" b="b"/>
                            <a:pathLst>
                              <a:path w="1110615" h="451484">
                                <a:moveTo>
                                  <a:pt x="0" y="0"/>
                                </a:moveTo>
                                <a:lnTo>
                                  <a:pt x="1110614" y="0"/>
                                </a:lnTo>
                                <a:lnTo>
                                  <a:pt x="1110614" y="451483"/>
                                </a:lnTo>
                                <a:lnTo>
                                  <a:pt x="260349" y="451483"/>
                                </a:lnTo>
                                <a:lnTo>
                                  <a:pt x="0" y="0"/>
                                </a:lnTo>
                              </a:path>
                            </a:pathLst>
                          </a:custGeom>
                          <a:ln w="3051">
                            <a:solidFill>
                              <a:srgbClr val="FAD2C1"/>
                            </a:solidFill>
                            <a:prstDash val="solid"/>
                          </a:ln>
                        </wps:spPr>
                        <wps:bodyPr wrap="square" lIns="0" tIns="0" rIns="0" bIns="0" rtlCol="0">
                          <a:prstTxWarp prst="textNoShape">
                            <a:avLst/>
                          </a:prstTxWarp>
                          <a:noAutofit/>
                        </wps:bodyPr>
                      </wps:wsp>
                      <wps:wsp>
                        <wps:cNvPr id="400" name="Graphic 400"/>
                        <wps:cNvSpPr/>
                        <wps:spPr>
                          <a:xfrm>
                            <a:off x="0" y="6350"/>
                            <a:ext cx="7560309" cy="1270"/>
                          </a:xfrm>
                          <a:custGeom>
                            <a:avLst/>
                            <a:gdLst/>
                            <a:ahLst/>
                            <a:cxnLst/>
                            <a:rect l="l" t="t" r="r" b="b"/>
                            <a:pathLst>
                              <a:path w="7560309">
                                <a:moveTo>
                                  <a:pt x="0" y="0"/>
                                </a:moveTo>
                                <a:lnTo>
                                  <a:pt x="7560309" y="0"/>
                                </a:lnTo>
                              </a:path>
                            </a:pathLst>
                          </a:custGeom>
                          <a:ln w="12700">
                            <a:solidFill>
                              <a:srgbClr val="FAD2C1"/>
                            </a:solidFill>
                            <a:prstDash val="solid"/>
                          </a:ln>
                        </wps:spPr>
                        <wps:bodyPr wrap="square" lIns="0" tIns="0" rIns="0" bIns="0" rtlCol="0">
                          <a:prstTxWarp prst="textNoShape">
                            <a:avLst/>
                          </a:prstTxWarp>
                          <a:noAutofit/>
                        </wps:bodyPr>
                      </wps:wsp>
                      <wps:wsp>
                        <wps:cNvPr id="401" name="Textbox 401"/>
                        <wps:cNvSpPr txBox="1"/>
                        <wps:spPr>
                          <a:xfrm>
                            <a:off x="6882130" y="37491"/>
                            <a:ext cx="147320" cy="155575"/>
                          </a:xfrm>
                          <a:prstGeom prst="rect">
                            <a:avLst/>
                          </a:prstGeom>
                        </wps:spPr>
                        <wps:txbx>
                          <w:txbxContent>
                            <w:p w14:paraId="7B000DEE" w14:textId="77777777" w:rsidR="00BB77C0" w:rsidRDefault="00370BAA">
                              <w:pPr>
                                <w:spacing w:line="244" w:lineRule="exact"/>
                              </w:pPr>
                              <w:r>
                                <w:rPr>
                                  <w:spacing w:val="-5"/>
                                </w:rPr>
                                <w:t>61</w:t>
                              </w:r>
                            </w:p>
                          </w:txbxContent>
                        </wps:txbx>
                        <wps:bodyPr wrap="square" lIns="0" tIns="0" rIns="0" bIns="0" rtlCol="0">
                          <a:noAutofit/>
                        </wps:bodyPr>
                      </wps:wsp>
                    </wpg:wgp>
                  </a:graphicData>
                </a:graphic>
              </wp:anchor>
            </w:drawing>
          </mc:Choice>
          <mc:Fallback>
            <w:pict>
              <v:group w14:anchorId="63679759" id="Group 397" o:spid="_x0000_s1201" style="position:absolute;margin-left:0;margin-top:805.85pt;width:595.4pt;height:36.15pt;z-index:15778816;mso-wrap-distance-left:0;mso-wrap-distance-right:0;mso-position-horizontal-relative:page;mso-position-vertical-relative:page" coordsize="75615,4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">
                <v:shape id="Graphic 398" o:spid="_x0000_s1202" style="position:absolute;left:64490;top:57;width:11106;height:4514;visibility:visible;mso-wrap-style:square;v-text-anchor:top" coordsize="1110615,4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" path="m1110614,l,,260349,451483r850265,l1110614,xe" fillcolor="#fad2c1" stroked="f">
                  <v:path arrowok="t"/>
                </v:shape>
                <v:shape id="Graphic 399" o:spid="_x0000_s1203" style="position:absolute;left:64490;top:57;width:11106;height:4514;visibility:visible;mso-wrap-style:square;v-text-anchor:top" coordsize="1110615,4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" path="m,l1110614,r,451483l260349,451483,,e" filled="f" strokecolor="#fad2c1" strokeweight=".08475mm">
                  <v:path arrowok="t"/>
                </v:shape>
                <v:shape id="Graphic 400" o:spid="_x0000_s1204" style="position:absolute;top:63;width:75603;height:13;visibility:visible;mso-wrap-style:square;v-text-anchor:top" coordsize="756030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" path="m,l7560309,e" filled="f" strokecolor="#fad2c1" strokeweight="1pt">
                  <v:path arrowok="t"/>
                </v:shape>
                <v:shape id="Textbox 401" o:spid="_x0000_s1205" type="#_x0000_t202" style="position:absolute;left:68821;top:374;width:1473;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" filled="f" stroked="f">
                  <v:textbox inset="0,0,0,0">
                    <w:txbxContent>
                      <w:p w14:paraId="7B000DEE" w14:textId="77777777" w:rsidR="00BB77C0" w:rsidRDefault="00370BAA">
                        <w:pPr>
                          <w:spacing w:line="244" w:lineRule="exact"/>
                        </w:pPr>
                        <w:r>
                          <w:rPr>
                            <w:spacing w:val="-5"/>
                          </w:rPr>
                          <w:t>61</w:t>
                        </w:r>
                      </w:p>
                    </w:txbxContent>
                  </v:textbox>
                </v:shape>
                <w10:wrap anchorx="page" anchory="page"/>
              </v:group>
            </w:pict>
          </mc:Fallback>
        </mc:AlternateContent>
      </w:r>
      <w:r>
        <w:rPr>
          <w:noProof/>
        </w:rPr>
        <mc:AlternateContent>
          <mc:Choice Requires="wpg">
            <w:drawing>
              <wp:anchor distT="0" distB="0" distL="0" distR="0" simplePos="0" relativeHeight="15779328" behindDoc="0" locked="0" layoutInCell="1" allowOverlap="1" wp14:anchorId="088FB140" wp14:editId="0B8FACA2">
                <wp:simplePos x="0" y="0"/>
                <wp:positionH relativeFrom="page">
                  <wp:posOffset>0</wp:posOffset>
                </wp:positionH>
                <wp:positionV relativeFrom="page">
                  <wp:posOffset>762</wp:posOffset>
                </wp:positionV>
                <wp:extent cx="7559675" cy="232410"/>
                <wp:effectExtent l="0" t="0" r="0" b="0"/>
                <wp:wrapNone/>
                <wp:docPr id="402" name="Group 4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675" cy="232410"/>
                          <a:chOff x="0" y="0"/>
                          <a:chExt cx="7559675" cy="232410"/>
                        </a:xfrm>
                      </wpg:grpSpPr>
                      <wps:wsp>
                        <wps:cNvPr id="403" name="Graphic 403"/>
                        <wps:cNvSpPr/>
                        <wps:spPr>
                          <a:xfrm>
                            <a:off x="0" y="0"/>
                            <a:ext cx="6701155" cy="228600"/>
                          </a:xfrm>
                          <a:custGeom>
                            <a:avLst/>
                            <a:gdLst/>
                            <a:ahLst/>
                            <a:cxnLst/>
                            <a:rect l="l" t="t" r="r" b="b"/>
                            <a:pathLst>
                              <a:path w="6701155" h="228600">
                                <a:moveTo>
                                  <a:pt x="6700647" y="0"/>
                                </a:moveTo>
                                <a:lnTo>
                                  <a:pt x="0" y="0"/>
                                </a:lnTo>
                                <a:lnTo>
                                  <a:pt x="0" y="223520"/>
                                </a:lnTo>
                                <a:lnTo>
                                  <a:pt x="6516497" y="228600"/>
                                </a:lnTo>
                                <a:lnTo>
                                  <a:pt x="6700647" y="0"/>
                                </a:lnTo>
                                <a:close/>
                              </a:path>
                            </a:pathLst>
                          </a:custGeom>
                          <a:solidFill>
                            <a:srgbClr val="E6E7E8"/>
                          </a:solidFill>
                        </wps:spPr>
                        <wps:bodyPr wrap="square" lIns="0" tIns="0" rIns="0" bIns="0" rtlCol="0">
                          <a:prstTxWarp prst="textNoShape">
                            <a:avLst/>
                          </a:prstTxWarp>
                          <a:noAutofit/>
                        </wps:bodyPr>
                      </wps:wsp>
                      <wps:wsp>
                        <wps:cNvPr id="404" name="Graphic 404"/>
                        <wps:cNvSpPr/>
                        <wps:spPr>
                          <a:xfrm>
                            <a:off x="6892925" y="0"/>
                            <a:ext cx="666750" cy="228600"/>
                          </a:xfrm>
                          <a:custGeom>
                            <a:avLst/>
                            <a:gdLst/>
                            <a:ahLst/>
                            <a:cxnLst/>
                            <a:rect l="l" t="t" r="r" b="b"/>
                            <a:pathLst>
                              <a:path w="666750" h="228600">
                                <a:moveTo>
                                  <a:pt x="666750" y="0"/>
                                </a:moveTo>
                                <a:lnTo>
                                  <a:pt x="126365" y="0"/>
                                </a:lnTo>
                                <a:lnTo>
                                  <a:pt x="0" y="228600"/>
                                </a:lnTo>
                                <a:lnTo>
                                  <a:pt x="666750" y="228600"/>
                                </a:lnTo>
                                <a:lnTo>
                                  <a:pt x="666750" y="0"/>
                                </a:lnTo>
                                <a:close/>
                              </a:path>
                            </a:pathLst>
                          </a:custGeom>
                          <a:solidFill>
                            <a:srgbClr val="EB1C22"/>
                          </a:solidFill>
                        </wps:spPr>
                        <wps:bodyPr wrap="square" lIns="0" tIns="0" rIns="0" bIns="0" rtlCol="0">
                          <a:prstTxWarp prst="textNoShape">
                            <a:avLst/>
                          </a:prstTxWarp>
                          <a:noAutofit/>
                        </wps:bodyPr>
                      </wps:wsp>
                      <pic:pic xmlns:pic="http://schemas.openxmlformats.org/drawingml/2006/picture">
                        <pic:nvPicPr>
                          <pic:cNvPr id="405" name="Image 405"/>
                          <pic:cNvPicPr/>
                        </pic:nvPicPr>
                        <pic:blipFill>
                          <a:blip r:embed="rId20" cstate="print"/>
                          <a:stretch>
                            <a:fillRect/>
                          </a:stretch>
                        </pic:blipFill>
                        <pic:spPr>
                          <a:xfrm>
                            <a:off x="6459982" y="0"/>
                            <a:ext cx="561924" cy="232409"/>
                          </a:xfrm>
                          <a:prstGeom prst="rect">
                            <a:avLst/>
                          </a:prstGeom>
                        </pic:spPr>
                      </pic:pic>
                    </wpg:wgp>
                  </a:graphicData>
                </a:graphic>
              </wp:anchor>
            </w:drawing>
          </mc:Choice>
          <mc:Fallback>
            <w:pict>
              <v:group w14:anchorId="7A86F96C" id="Group 402" o:spid="_x0000_s1026" style="position:absolute;margin-left:0;margin-top:.05pt;width:595.25pt;height:18.3pt;z-index:15779328;mso-wrap-distance-left:0;mso-wrap-distance-right:0;mso-position-horizontal-relative:page;mso-position-vertical-relative:page" coordsize="75596,232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">
                <v:shape id="Graphic 403" o:spid="_x0000_s1027" style="position:absolute;width:67011;height:2286;visibility:visible;mso-wrap-style:square;v-text-anchor:top" coordsize="670115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" path="m6700647,l,,,223520r6516497,5080l6700647,xe" fillcolor="#e6e7e8" stroked="f">
                  <v:path arrowok="t"/>
                </v:shape>
                <v:shape id="Graphic 404" o:spid="_x0000_s1028" style="position:absolute;left:68929;width:6667;height:2286;visibility:visible;mso-wrap-style:square;v-text-anchor:top" coordsize="6667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" path="m666750,l126365,,,228600r666750,l666750,xe" fillcolor="#eb1c2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05" o:spid="_x0000_s1029" type="#_x0000_t75" style="position:absolute;left:64599;width:5620;height:23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">
                  <v:imagedata r:id="rId21" o:title=""/>
                </v:shape>
                <w10:wrap anchorx="page" anchory="page"/>
              </v:group>
            </w:pict>
          </mc:Fallback>
        </mc:AlternateContent>
      </w:r>
    </w:p>
    <w:p w14:paraId="0BED1791" w14:textId="77777777" w:rsidR="00BB77C0" w:rsidRDefault="00BB77C0">
      <w:pPr>
        <w:pStyle w:val="BodyText"/>
      </w:pPr>
    </w:p>
    <w:p w14:paraId="21ADD092" w14:textId="77777777" w:rsidR="00BB77C0" w:rsidRDefault="00BB77C0">
      <w:pPr>
        <w:pStyle w:val="BodyText"/>
        <w:spacing w:before="103"/>
      </w:pPr>
    </w:p>
    <w:p w14:paraId="2427420A" w14:textId="77777777" w:rsidR="00BB77C0" w:rsidRDefault="00370BAA">
      <w:pPr>
        <w:ind w:left="485"/>
        <w:rPr>
          <w:b/>
        </w:rPr>
      </w:pPr>
      <w:r>
        <w:rPr>
          <w:b/>
          <w:color w:val="211F1F"/>
          <w:u w:val="single" w:color="211F1F"/>
        </w:rPr>
        <w:t>SECTION</w:t>
      </w:r>
      <w:r>
        <w:rPr>
          <w:b/>
          <w:color w:val="211F1F"/>
          <w:spacing w:val="-6"/>
          <w:u w:val="single" w:color="211F1F"/>
        </w:rPr>
        <w:t xml:space="preserve"> </w:t>
      </w:r>
      <w:r>
        <w:rPr>
          <w:b/>
          <w:color w:val="211F1F"/>
          <w:u w:val="single" w:color="211F1F"/>
        </w:rPr>
        <w:t>VII-</w:t>
      </w:r>
      <w:r>
        <w:rPr>
          <w:b/>
          <w:color w:val="211F1F"/>
          <w:spacing w:val="-7"/>
          <w:u w:val="single" w:color="211F1F"/>
        </w:rPr>
        <w:t xml:space="preserve"> </w:t>
      </w:r>
      <w:r>
        <w:rPr>
          <w:b/>
          <w:color w:val="211F1F"/>
          <w:u w:val="single" w:color="211F1F"/>
        </w:rPr>
        <w:t>BILLS</w:t>
      </w:r>
      <w:r>
        <w:rPr>
          <w:b/>
          <w:color w:val="211F1F"/>
          <w:spacing w:val="-8"/>
          <w:u w:val="single" w:color="211F1F"/>
        </w:rPr>
        <w:t xml:space="preserve"> </w:t>
      </w:r>
      <w:r>
        <w:rPr>
          <w:b/>
          <w:color w:val="211F1F"/>
          <w:u w:val="single" w:color="211F1F"/>
        </w:rPr>
        <w:t>OF</w:t>
      </w:r>
      <w:r>
        <w:rPr>
          <w:b/>
          <w:color w:val="211F1F"/>
          <w:spacing w:val="-10"/>
          <w:u w:val="single" w:color="211F1F"/>
        </w:rPr>
        <w:t xml:space="preserve"> </w:t>
      </w:r>
      <w:r>
        <w:rPr>
          <w:b/>
          <w:color w:val="211F1F"/>
          <w:spacing w:val="-2"/>
          <w:u w:val="single" w:color="211F1F"/>
        </w:rPr>
        <w:t>QUANTITIES</w:t>
      </w:r>
    </w:p>
    <w:p w14:paraId="111D3AAC" w14:textId="77777777" w:rsidR="00BB77C0" w:rsidRDefault="00370BAA">
      <w:pPr>
        <w:pStyle w:val="Heading7"/>
        <w:numPr>
          <w:ilvl w:val="0"/>
          <w:numId w:val="34"/>
        </w:numPr>
        <w:tabs>
          <w:tab w:val="left" w:pos="1041"/>
        </w:tabs>
        <w:spacing w:before="222" w:line="251" w:lineRule="exact"/>
        <w:ind w:left="1041" w:hanging="556"/>
      </w:pPr>
      <w:bookmarkStart w:id="178" w:name="1._Objectives"/>
      <w:bookmarkEnd w:id="178"/>
      <w:r>
        <w:rPr>
          <w:color w:val="211F1F"/>
          <w:spacing w:val="-2"/>
        </w:rPr>
        <w:t>Objectives</w:t>
      </w:r>
    </w:p>
    <w:p w14:paraId="2960A570" w14:textId="77777777" w:rsidR="00BB77C0" w:rsidRDefault="00370BAA">
      <w:pPr>
        <w:pStyle w:val="BodyText"/>
        <w:spacing w:line="247" w:lineRule="exact"/>
        <w:ind w:left="1042"/>
      </w:pPr>
      <w:r>
        <w:rPr>
          <w:color w:val="211F1F"/>
        </w:rPr>
        <w:t>The</w:t>
      </w:r>
      <w:r>
        <w:rPr>
          <w:color w:val="211F1F"/>
          <w:spacing w:val="-9"/>
        </w:rPr>
        <w:t xml:space="preserve"> </w:t>
      </w:r>
      <w:r>
        <w:rPr>
          <w:color w:val="211F1F"/>
        </w:rPr>
        <w:t>objectives</w:t>
      </w:r>
      <w:r>
        <w:rPr>
          <w:color w:val="211F1F"/>
          <w:spacing w:val="-6"/>
        </w:rPr>
        <w:t xml:space="preserve"> </w:t>
      </w:r>
      <w:r>
        <w:rPr>
          <w:color w:val="211F1F"/>
        </w:rPr>
        <w:t>of</w:t>
      </w:r>
      <w:r>
        <w:rPr>
          <w:color w:val="211F1F"/>
          <w:spacing w:val="-4"/>
        </w:rPr>
        <w:t xml:space="preserve"> </w:t>
      </w:r>
      <w:r>
        <w:rPr>
          <w:color w:val="211F1F"/>
        </w:rPr>
        <w:t>the</w:t>
      </w:r>
      <w:r>
        <w:rPr>
          <w:color w:val="211F1F"/>
          <w:spacing w:val="-13"/>
        </w:rPr>
        <w:t xml:space="preserve"> </w:t>
      </w:r>
      <w:r>
        <w:rPr>
          <w:color w:val="211F1F"/>
        </w:rPr>
        <w:t>Bill</w:t>
      </w:r>
      <w:r>
        <w:rPr>
          <w:color w:val="211F1F"/>
          <w:spacing w:val="-5"/>
        </w:rPr>
        <w:t xml:space="preserve"> </w:t>
      </w:r>
      <w:r>
        <w:rPr>
          <w:color w:val="211F1F"/>
        </w:rPr>
        <w:t>of</w:t>
      </w:r>
      <w:r>
        <w:rPr>
          <w:color w:val="211F1F"/>
          <w:spacing w:val="-4"/>
        </w:rPr>
        <w:t xml:space="preserve"> </w:t>
      </w:r>
      <w:r>
        <w:rPr>
          <w:color w:val="211F1F"/>
        </w:rPr>
        <w:t>Quantities</w:t>
      </w:r>
      <w:r>
        <w:rPr>
          <w:color w:val="211F1F"/>
          <w:spacing w:val="-5"/>
        </w:rPr>
        <w:t xml:space="preserve"> </w:t>
      </w:r>
      <w:r>
        <w:rPr>
          <w:color w:val="211F1F"/>
          <w:spacing w:val="-4"/>
        </w:rPr>
        <w:t>are:</w:t>
      </w:r>
    </w:p>
    <w:p w14:paraId="7BB78211" w14:textId="77777777" w:rsidR="00BB77C0" w:rsidRDefault="00370BAA">
      <w:pPr>
        <w:pStyle w:val="ListParagraph"/>
        <w:numPr>
          <w:ilvl w:val="1"/>
          <w:numId w:val="34"/>
        </w:numPr>
        <w:tabs>
          <w:tab w:val="left" w:pos="1599"/>
          <w:tab w:val="left" w:pos="1608"/>
        </w:tabs>
        <w:spacing w:before="2" w:line="232" w:lineRule="auto"/>
        <w:ind w:right="1292" w:hanging="567"/>
      </w:pPr>
      <w:r>
        <w:rPr>
          <w:color w:val="211F1F"/>
        </w:rPr>
        <w:t>to</w:t>
      </w:r>
      <w:r>
        <w:rPr>
          <w:color w:val="211F1F"/>
          <w:spacing w:val="-9"/>
        </w:rPr>
        <w:t xml:space="preserve"> </w:t>
      </w:r>
      <w:r>
        <w:rPr>
          <w:color w:val="211F1F"/>
        </w:rPr>
        <w:t>provide</w:t>
      </w:r>
      <w:r>
        <w:rPr>
          <w:color w:val="211F1F"/>
          <w:spacing w:val="-11"/>
        </w:rPr>
        <w:t xml:space="preserve"> </w:t>
      </w:r>
      <w:r>
        <w:rPr>
          <w:color w:val="211F1F"/>
        </w:rPr>
        <w:t>sufficient</w:t>
      </w:r>
      <w:r>
        <w:rPr>
          <w:color w:val="211F1F"/>
          <w:spacing w:val="-4"/>
        </w:rPr>
        <w:t xml:space="preserve"> </w:t>
      </w:r>
      <w:r>
        <w:rPr>
          <w:color w:val="211F1F"/>
        </w:rPr>
        <w:t>information</w:t>
      </w:r>
      <w:r>
        <w:rPr>
          <w:color w:val="211F1F"/>
          <w:spacing w:val="-8"/>
        </w:rPr>
        <w:t xml:space="preserve"> </w:t>
      </w:r>
      <w:r>
        <w:rPr>
          <w:color w:val="211F1F"/>
        </w:rPr>
        <w:t>on</w:t>
      </w:r>
      <w:r>
        <w:rPr>
          <w:color w:val="211F1F"/>
          <w:spacing w:val="-9"/>
        </w:rPr>
        <w:t xml:space="preserve"> </w:t>
      </w:r>
      <w:r>
        <w:rPr>
          <w:color w:val="211F1F"/>
        </w:rPr>
        <w:t>the</w:t>
      </w:r>
      <w:r>
        <w:rPr>
          <w:color w:val="211F1F"/>
          <w:spacing w:val="-11"/>
        </w:rPr>
        <w:t xml:space="preserve"> </w:t>
      </w:r>
      <w:r>
        <w:rPr>
          <w:color w:val="211F1F"/>
        </w:rPr>
        <w:t>quantities</w:t>
      </w:r>
      <w:r>
        <w:rPr>
          <w:color w:val="211F1F"/>
          <w:spacing w:val="-4"/>
        </w:rPr>
        <w:t xml:space="preserve"> </w:t>
      </w:r>
      <w:r>
        <w:rPr>
          <w:color w:val="211F1F"/>
        </w:rPr>
        <w:t>of</w:t>
      </w:r>
      <w:r>
        <w:rPr>
          <w:color w:val="211F1F"/>
          <w:spacing w:val="-6"/>
        </w:rPr>
        <w:t xml:space="preserve"> </w:t>
      </w:r>
      <w:r>
        <w:rPr>
          <w:color w:val="211F1F"/>
        </w:rPr>
        <w:t>Works</w:t>
      </w:r>
      <w:r>
        <w:rPr>
          <w:color w:val="211F1F"/>
          <w:spacing w:val="-13"/>
        </w:rPr>
        <w:t xml:space="preserve"> </w:t>
      </w:r>
      <w:r>
        <w:rPr>
          <w:color w:val="211F1F"/>
        </w:rPr>
        <w:t>to</w:t>
      </w:r>
      <w:r>
        <w:rPr>
          <w:color w:val="211F1F"/>
          <w:spacing w:val="-9"/>
        </w:rPr>
        <w:t xml:space="preserve"> </w:t>
      </w:r>
      <w:r>
        <w:rPr>
          <w:color w:val="211F1F"/>
        </w:rPr>
        <w:t>be</w:t>
      </w:r>
      <w:r>
        <w:rPr>
          <w:color w:val="211F1F"/>
          <w:spacing w:val="-11"/>
        </w:rPr>
        <w:t xml:space="preserve"> </w:t>
      </w:r>
      <w:r>
        <w:rPr>
          <w:color w:val="211F1F"/>
        </w:rPr>
        <w:t>performed</w:t>
      </w:r>
      <w:r>
        <w:rPr>
          <w:color w:val="211F1F"/>
          <w:spacing w:val="-13"/>
        </w:rPr>
        <w:t xml:space="preserve"> </w:t>
      </w:r>
      <w:r>
        <w:rPr>
          <w:color w:val="211F1F"/>
        </w:rPr>
        <w:t>to</w:t>
      </w:r>
      <w:r>
        <w:rPr>
          <w:color w:val="211F1F"/>
          <w:spacing w:val="-5"/>
        </w:rPr>
        <w:t xml:space="preserve"> </w:t>
      </w:r>
      <w:r>
        <w:rPr>
          <w:color w:val="211F1F"/>
        </w:rPr>
        <w:t>enable</w:t>
      </w:r>
      <w:r>
        <w:rPr>
          <w:color w:val="211F1F"/>
          <w:spacing w:val="-11"/>
        </w:rPr>
        <w:t xml:space="preserve"> </w:t>
      </w:r>
      <w:r>
        <w:rPr>
          <w:color w:val="211F1F"/>
        </w:rPr>
        <w:t>tenders</w:t>
      </w:r>
      <w:r>
        <w:rPr>
          <w:color w:val="211F1F"/>
          <w:spacing w:val="-4"/>
        </w:rPr>
        <w:t xml:space="preserve"> </w:t>
      </w:r>
      <w:r>
        <w:rPr>
          <w:color w:val="211F1F"/>
        </w:rPr>
        <w:t>to</w:t>
      </w:r>
      <w:r>
        <w:rPr>
          <w:color w:val="211F1F"/>
          <w:spacing w:val="-9"/>
        </w:rPr>
        <w:t xml:space="preserve"> </w:t>
      </w:r>
      <w:r>
        <w:rPr>
          <w:color w:val="211F1F"/>
        </w:rPr>
        <w:t>be prepared</w:t>
      </w:r>
      <w:r>
        <w:rPr>
          <w:color w:val="211F1F"/>
          <w:spacing w:val="-5"/>
        </w:rPr>
        <w:t xml:space="preserve"> </w:t>
      </w:r>
      <w:r>
        <w:rPr>
          <w:color w:val="211F1F"/>
        </w:rPr>
        <w:t>efficiently and accurately; and</w:t>
      </w:r>
    </w:p>
    <w:p w14:paraId="4A05B1D9" w14:textId="77777777" w:rsidR="00BB77C0" w:rsidRDefault="00370BAA">
      <w:pPr>
        <w:pStyle w:val="ListParagraph"/>
        <w:numPr>
          <w:ilvl w:val="1"/>
          <w:numId w:val="34"/>
        </w:numPr>
        <w:tabs>
          <w:tab w:val="left" w:pos="1599"/>
          <w:tab w:val="left" w:pos="1608"/>
        </w:tabs>
        <w:spacing w:line="232" w:lineRule="auto"/>
        <w:ind w:right="1303" w:hanging="567"/>
      </w:pPr>
      <w:r>
        <w:rPr>
          <w:color w:val="211F1F"/>
        </w:rPr>
        <w:t>when</w:t>
      </w:r>
      <w:r>
        <w:rPr>
          <w:color w:val="211F1F"/>
          <w:spacing w:val="-6"/>
        </w:rPr>
        <w:t xml:space="preserve"> </w:t>
      </w:r>
      <w:r>
        <w:rPr>
          <w:color w:val="211F1F"/>
        </w:rPr>
        <w:t>a Contract</w:t>
      </w:r>
      <w:r>
        <w:rPr>
          <w:color w:val="211F1F"/>
          <w:spacing w:val="-5"/>
        </w:rPr>
        <w:t xml:space="preserve"> </w:t>
      </w:r>
      <w:r>
        <w:rPr>
          <w:color w:val="211F1F"/>
        </w:rPr>
        <w:t>has been</w:t>
      </w:r>
      <w:r>
        <w:rPr>
          <w:color w:val="211F1F"/>
          <w:spacing w:val="-5"/>
        </w:rPr>
        <w:t xml:space="preserve"> </w:t>
      </w:r>
      <w:r>
        <w:rPr>
          <w:color w:val="211F1F"/>
        </w:rPr>
        <w:t>entered</w:t>
      </w:r>
      <w:r>
        <w:rPr>
          <w:color w:val="211F1F"/>
          <w:spacing w:val="-10"/>
        </w:rPr>
        <w:t xml:space="preserve"> </w:t>
      </w:r>
      <w:r>
        <w:rPr>
          <w:color w:val="211F1F"/>
        </w:rPr>
        <w:t>into,</w:t>
      </w:r>
      <w:r>
        <w:rPr>
          <w:color w:val="211F1F"/>
          <w:spacing w:val="-2"/>
        </w:rPr>
        <w:t xml:space="preserve"> </w:t>
      </w:r>
      <w:r>
        <w:rPr>
          <w:color w:val="211F1F"/>
        </w:rPr>
        <w:t>to</w:t>
      </w:r>
      <w:r>
        <w:rPr>
          <w:color w:val="211F1F"/>
          <w:spacing w:val="-10"/>
        </w:rPr>
        <w:t xml:space="preserve"> </w:t>
      </w:r>
      <w:r>
        <w:rPr>
          <w:color w:val="211F1F"/>
        </w:rPr>
        <w:t>provide</w:t>
      </w:r>
      <w:r>
        <w:rPr>
          <w:color w:val="211F1F"/>
          <w:spacing w:val="-12"/>
        </w:rPr>
        <w:t xml:space="preserve"> </w:t>
      </w:r>
      <w:r>
        <w:rPr>
          <w:color w:val="211F1F"/>
        </w:rPr>
        <w:t>a priced</w:t>
      </w:r>
      <w:r>
        <w:rPr>
          <w:color w:val="211F1F"/>
          <w:spacing w:val="-5"/>
        </w:rPr>
        <w:t xml:space="preserve"> </w:t>
      </w:r>
      <w:r>
        <w:rPr>
          <w:color w:val="211F1F"/>
        </w:rPr>
        <w:t>Bill</w:t>
      </w:r>
      <w:r>
        <w:rPr>
          <w:color w:val="211F1F"/>
          <w:spacing w:val="-4"/>
        </w:rPr>
        <w:t xml:space="preserve"> </w:t>
      </w:r>
      <w:r>
        <w:rPr>
          <w:color w:val="211F1F"/>
        </w:rPr>
        <w:t>of</w:t>
      </w:r>
      <w:r>
        <w:rPr>
          <w:color w:val="211F1F"/>
          <w:spacing w:val="-3"/>
        </w:rPr>
        <w:t xml:space="preserve"> </w:t>
      </w:r>
      <w:r>
        <w:rPr>
          <w:color w:val="211F1F"/>
        </w:rPr>
        <w:t>Quantities</w:t>
      </w:r>
      <w:r>
        <w:rPr>
          <w:color w:val="211F1F"/>
          <w:spacing w:val="-3"/>
        </w:rPr>
        <w:t xml:space="preserve"> </w:t>
      </w:r>
      <w:r>
        <w:rPr>
          <w:color w:val="211F1F"/>
        </w:rPr>
        <w:t>for</w:t>
      </w:r>
      <w:r>
        <w:rPr>
          <w:color w:val="211F1F"/>
          <w:spacing w:val="-2"/>
        </w:rPr>
        <w:t xml:space="preserve"> </w:t>
      </w:r>
      <w:r>
        <w:rPr>
          <w:color w:val="211F1F"/>
        </w:rPr>
        <w:t>use</w:t>
      </w:r>
      <w:r>
        <w:rPr>
          <w:color w:val="211F1F"/>
          <w:spacing w:val="-7"/>
        </w:rPr>
        <w:t xml:space="preserve"> </w:t>
      </w:r>
      <w:r>
        <w:rPr>
          <w:color w:val="211F1F"/>
        </w:rPr>
        <w:t>in</w:t>
      </w:r>
      <w:r>
        <w:rPr>
          <w:color w:val="211F1F"/>
          <w:spacing w:val="-10"/>
        </w:rPr>
        <w:t xml:space="preserve"> </w:t>
      </w:r>
      <w:r>
        <w:rPr>
          <w:color w:val="211F1F"/>
        </w:rPr>
        <w:t>the</w:t>
      </w:r>
      <w:r>
        <w:rPr>
          <w:color w:val="211F1F"/>
          <w:spacing w:val="-8"/>
        </w:rPr>
        <w:t xml:space="preserve"> </w:t>
      </w:r>
      <w:r>
        <w:rPr>
          <w:color w:val="211F1F"/>
        </w:rPr>
        <w:t>periodic valuation of Works executed.</w:t>
      </w:r>
    </w:p>
    <w:p w14:paraId="5784AC6B" w14:textId="77777777" w:rsidR="00BB77C0" w:rsidRDefault="00370BAA">
      <w:pPr>
        <w:pStyle w:val="BodyText"/>
        <w:spacing w:before="236" w:line="230" w:lineRule="auto"/>
        <w:ind w:left="1056" w:right="707" w:hanging="15"/>
        <w:jc w:val="both"/>
      </w:pPr>
      <w:r>
        <w:rPr>
          <w:color w:val="211F1F"/>
        </w:rPr>
        <w:t>In order to attain these objectives, Works should be itemized in the Bill of Quantities in sufficient detail to distinguish</w:t>
      </w:r>
      <w:r>
        <w:rPr>
          <w:color w:val="211F1F"/>
          <w:spacing w:val="-7"/>
        </w:rPr>
        <w:t xml:space="preserve"> </w:t>
      </w:r>
      <w:r>
        <w:rPr>
          <w:color w:val="211F1F"/>
        </w:rPr>
        <w:t>between</w:t>
      </w:r>
      <w:r>
        <w:rPr>
          <w:color w:val="211F1F"/>
          <w:spacing w:val="-11"/>
        </w:rPr>
        <w:t xml:space="preserve"> </w:t>
      </w:r>
      <w:r>
        <w:rPr>
          <w:color w:val="211F1F"/>
        </w:rPr>
        <w:t>the</w:t>
      </w:r>
      <w:r>
        <w:rPr>
          <w:color w:val="211F1F"/>
          <w:spacing w:val="-9"/>
        </w:rPr>
        <w:t xml:space="preserve"> </w:t>
      </w:r>
      <w:r>
        <w:rPr>
          <w:color w:val="211F1F"/>
        </w:rPr>
        <w:t>different</w:t>
      </w:r>
      <w:r>
        <w:rPr>
          <w:color w:val="211F1F"/>
          <w:spacing w:val="-1"/>
        </w:rPr>
        <w:t xml:space="preserve"> </w:t>
      </w:r>
      <w:r>
        <w:rPr>
          <w:color w:val="211F1F"/>
        </w:rPr>
        <w:t>classes</w:t>
      </w:r>
      <w:r>
        <w:rPr>
          <w:color w:val="211F1F"/>
          <w:spacing w:val="-2"/>
        </w:rPr>
        <w:t xml:space="preserve"> </w:t>
      </w:r>
      <w:r>
        <w:rPr>
          <w:color w:val="211F1F"/>
        </w:rPr>
        <w:t>of</w:t>
      </w:r>
      <w:r>
        <w:rPr>
          <w:color w:val="211F1F"/>
          <w:spacing w:val="-13"/>
        </w:rPr>
        <w:t xml:space="preserve"> </w:t>
      </w:r>
      <w:r>
        <w:rPr>
          <w:color w:val="211F1F"/>
        </w:rPr>
        <w:t>Works,</w:t>
      </w:r>
      <w:r>
        <w:rPr>
          <w:color w:val="211F1F"/>
          <w:spacing w:val="-4"/>
        </w:rPr>
        <w:t xml:space="preserve"> </w:t>
      </w:r>
      <w:r>
        <w:rPr>
          <w:color w:val="211F1F"/>
        </w:rPr>
        <w:t>or between</w:t>
      </w:r>
      <w:r>
        <w:rPr>
          <w:color w:val="211F1F"/>
          <w:spacing w:val="-14"/>
        </w:rPr>
        <w:t xml:space="preserve"> </w:t>
      </w:r>
      <w:r>
        <w:rPr>
          <w:color w:val="211F1F"/>
        </w:rPr>
        <w:t>Works</w:t>
      </w:r>
      <w:r>
        <w:rPr>
          <w:color w:val="211F1F"/>
          <w:spacing w:val="-6"/>
        </w:rPr>
        <w:t xml:space="preserve"> </w:t>
      </w:r>
      <w:r>
        <w:rPr>
          <w:color w:val="211F1F"/>
        </w:rPr>
        <w:t>of</w:t>
      </w:r>
      <w:r>
        <w:rPr>
          <w:color w:val="211F1F"/>
          <w:spacing w:val="-4"/>
        </w:rPr>
        <w:t xml:space="preserve"> </w:t>
      </w:r>
      <w:r>
        <w:rPr>
          <w:color w:val="211F1F"/>
        </w:rPr>
        <w:t>the</w:t>
      </w:r>
      <w:r>
        <w:rPr>
          <w:color w:val="211F1F"/>
          <w:spacing w:val="-13"/>
        </w:rPr>
        <w:t xml:space="preserve"> </w:t>
      </w:r>
      <w:r>
        <w:rPr>
          <w:color w:val="211F1F"/>
        </w:rPr>
        <w:t>same</w:t>
      </w:r>
      <w:r>
        <w:rPr>
          <w:color w:val="211F1F"/>
          <w:spacing w:val="-9"/>
        </w:rPr>
        <w:t xml:space="preserve"> </w:t>
      </w:r>
      <w:r>
        <w:rPr>
          <w:color w:val="211F1F"/>
        </w:rPr>
        <w:t>nature</w:t>
      </w:r>
      <w:r>
        <w:rPr>
          <w:color w:val="211F1F"/>
          <w:spacing w:val="-13"/>
        </w:rPr>
        <w:t xml:space="preserve"> </w:t>
      </w:r>
      <w:r>
        <w:rPr>
          <w:color w:val="211F1F"/>
        </w:rPr>
        <w:t>carried</w:t>
      </w:r>
      <w:r>
        <w:rPr>
          <w:color w:val="211F1F"/>
          <w:spacing w:val="-7"/>
        </w:rPr>
        <w:t xml:space="preserve"> </w:t>
      </w:r>
      <w:r>
        <w:rPr>
          <w:color w:val="211F1F"/>
        </w:rPr>
        <w:t>out</w:t>
      </w:r>
      <w:r>
        <w:rPr>
          <w:color w:val="211F1F"/>
          <w:spacing w:val="-1"/>
        </w:rPr>
        <w:t xml:space="preserve"> </w:t>
      </w:r>
      <w:r>
        <w:rPr>
          <w:color w:val="211F1F"/>
        </w:rPr>
        <w:t>in</w:t>
      </w:r>
      <w:r>
        <w:rPr>
          <w:color w:val="211F1F"/>
          <w:spacing w:val="-8"/>
        </w:rPr>
        <w:t xml:space="preserve"> </w:t>
      </w:r>
      <w:r>
        <w:rPr>
          <w:color w:val="211F1F"/>
        </w:rPr>
        <w:t>different locations</w:t>
      </w:r>
      <w:r>
        <w:rPr>
          <w:color w:val="211F1F"/>
          <w:spacing w:val="-14"/>
        </w:rPr>
        <w:t xml:space="preserve"> </w:t>
      </w:r>
      <w:r>
        <w:rPr>
          <w:color w:val="211F1F"/>
        </w:rPr>
        <w:t>or</w:t>
      </w:r>
      <w:r>
        <w:rPr>
          <w:color w:val="211F1F"/>
          <w:spacing w:val="-14"/>
        </w:rPr>
        <w:t xml:space="preserve"> </w:t>
      </w:r>
      <w:r>
        <w:rPr>
          <w:color w:val="211F1F"/>
        </w:rPr>
        <w:t>in</w:t>
      </w:r>
      <w:r>
        <w:rPr>
          <w:color w:val="211F1F"/>
          <w:spacing w:val="-14"/>
        </w:rPr>
        <w:t xml:space="preserve"> </w:t>
      </w:r>
      <w:r>
        <w:rPr>
          <w:color w:val="211F1F"/>
        </w:rPr>
        <w:t>other</w:t>
      </w:r>
      <w:r>
        <w:rPr>
          <w:color w:val="211F1F"/>
          <w:spacing w:val="-13"/>
        </w:rPr>
        <w:t xml:space="preserve"> </w:t>
      </w:r>
      <w:r>
        <w:rPr>
          <w:color w:val="211F1F"/>
        </w:rPr>
        <w:t>circumstances</w:t>
      </w:r>
      <w:r>
        <w:rPr>
          <w:color w:val="211F1F"/>
          <w:spacing w:val="-14"/>
        </w:rPr>
        <w:t xml:space="preserve"> </w:t>
      </w:r>
      <w:r>
        <w:rPr>
          <w:color w:val="211F1F"/>
        </w:rPr>
        <w:t>which</w:t>
      </w:r>
      <w:r>
        <w:rPr>
          <w:color w:val="211F1F"/>
          <w:spacing w:val="-14"/>
        </w:rPr>
        <w:t xml:space="preserve"> </w:t>
      </w:r>
      <w:r>
        <w:rPr>
          <w:color w:val="211F1F"/>
        </w:rPr>
        <w:t>may</w:t>
      </w:r>
      <w:r>
        <w:rPr>
          <w:color w:val="211F1F"/>
          <w:spacing w:val="-14"/>
        </w:rPr>
        <w:t xml:space="preserve"> </w:t>
      </w:r>
      <w:r>
        <w:rPr>
          <w:color w:val="211F1F"/>
        </w:rPr>
        <w:t>give</w:t>
      </w:r>
      <w:r>
        <w:rPr>
          <w:color w:val="211F1F"/>
          <w:spacing w:val="-13"/>
        </w:rPr>
        <w:t xml:space="preserve"> </w:t>
      </w:r>
      <w:r>
        <w:rPr>
          <w:color w:val="211F1F"/>
        </w:rPr>
        <w:t>rise</w:t>
      </w:r>
      <w:r>
        <w:rPr>
          <w:color w:val="211F1F"/>
          <w:spacing w:val="-14"/>
        </w:rPr>
        <w:t xml:space="preserve"> </w:t>
      </w:r>
      <w:r>
        <w:rPr>
          <w:color w:val="211F1F"/>
        </w:rPr>
        <w:t>to</w:t>
      </w:r>
      <w:r>
        <w:rPr>
          <w:color w:val="211F1F"/>
          <w:spacing w:val="-14"/>
        </w:rPr>
        <w:t xml:space="preserve"> </w:t>
      </w:r>
      <w:r>
        <w:rPr>
          <w:color w:val="211F1F"/>
        </w:rPr>
        <w:t>different</w:t>
      </w:r>
      <w:r>
        <w:rPr>
          <w:color w:val="211F1F"/>
          <w:spacing w:val="-11"/>
        </w:rPr>
        <w:t xml:space="preserve"> </w:t>
      </w:r>
      <w:r>
        <w:rPr>
          <w:color w:val="211F1F"/>
        </w:rPr>
        <w:t>considerations</w:t>
      </w:r>
      <w:r>
        <w:rPr>
          <w:color w:val="211F1F"/>
          <w:spacing w:val="-10"/>
        </w:rPr>
        <w:t xml:space="preserve"> </w:t>
      </w:r>
      <w:r>
        <w:rPr>
          <w:color w:val="211F1F"/>
        </w:rPr>
        <w:t>of</w:t>
      </w:r>
      <w:r>
        <w:rPr>
          <w:color w:val="211F1F"/>
          <w:spacing w:val="-14"/>
        </w:rPr>
        <w:t xml:space="preserve"> </w:t>
      </w:r>
      <w:r>
        <w:rPr>
          <w:color w:val="211F1F"/>
        </w:rPr>
        <w:t>cost.</w:t>
      </w:r>
      <w:r>
        <w:rPr>
          <w:color w:val="211F1F"/>
          <w:spacing w:val="40"/>
        </w:rPr>
        <w:t xml:space="preserve"> </w:t>
      </w:r>
      <w:r>
        <w:rPr>
          <w:color w:val="211F1F"/>
        </w:rPr>
        <w:t>Consistent</w:t>
      </w:r>
      <w:r>
        <w:rPr>
          <w:color w:val="211F1F"/>
          <w:spacing w:val="-10"/>
        </w:rPr>
        <w:t xml:space="preserve"> </w:t>
      </w:r>
      <w:r>
        <w:rPr>
          <w:color w:val="211F1F"/>
        </w:rPr>
        <w:t>with</w:t>
      </w:r>
      <w:r>
        <w:rPr>
          <w:color w:val="211F1F"/>
          <w:spacing w:val="-14"/>
        </w:rPr>
        <w:t xml:space="preserve"> </w:t>
      </w:r>
      <w:r>
        <w:rPr>
          <w:color w:val="211F1F"/>
        </w:rPr>
        <w:t>these requirements, the</w:t>
      </w:r>
      <w:r>
        <w:rPr>
          <w:color w:val="211F1F"/>
          <w:spacing w:val="-13"/>
        </w:rPr>
        <w:t xml:space="preserve"> </w:t>
      </w:r>
      <w:r>
        <w:rPr>
          <w:color w:val="211F1F"/>
        </w:rPr>
        <w:t>layout</w:t>
      </w:r>
      <w:r>
        <w:rPr>
          <w:color w:val="211F1F"/>
          <w:spacing w:val="-4"/>
        </w:rPr>
        <w:t xml:space="preserve"> </w:t>
      </w:r>
      <w:r>
        <w:rPr>
          <w:color w:val="211F1F"/>
        </w:rPr>
        <w:t>and</w:t>
      </w:r>
      <w:r>
        <w:rPr>
          <w:color w:val="211F1F"/>
          <w:spacing w:val="-17"/>
        </w:rPr>
        <w:t xml:space="preserve"> </w:t>
      </w:r>
      <w:r>
        <w:rPr>
          <w:color w:val="211F1F"/>
        </w:rPr>
        <w:t>contents</w:t>
      </w:r>
      <w:r>
        <w:rPr>
          <w:color w:val="211F1F"/>
          <w:spacing w:val="-4"/>
        </w:rPr>
        <w:t xml:space="preserve"> </w:t>
      </w:r>
      <w:r>
        <w:rPr>
          <w:color w:val="211F1F"/>
        </w:rPr>
        <w:t>of</w:t>
      </w:r>
      <w:r>
        <w:rPr>
          <w:color w:val="211F1F"/>
          <w:spacing w:val="-13"/>
        </w:rPr>
        <w:t xml:space="preserve"> </w:t>
      </w:r>
      <w:r>
        <w:rPr>
          <w:color w:val="211F1F"/>
        </w:rPr>
        <w:t>the</w:t>
      </w:r>
      <w:r>
        <w:rPr>
          <w:color w:val="211F1F"/>
          <w:spacing w:val="-13"/>
        </w:rPr>
        <w:t xml:space="preserve"> </w:t>
      </w:r>
      <w:r>
        <w:rPr>
          <w:color w:val="211F1F"/>
        </w:rPr>
        <w:t>Bill</w:t>
      </w:r>
      <w:r>
        <w:rPr>
          <w:color w:val="211F1F"/>
          <w:spacing w:val="-3"/>
        </w:rPr>
        <w:t xml:space="preserve"> </w:t>
      </w:r>
      <w:r>
        <w:rPr>
          <w:color w:val="211F1F"/>
        </w:rPr>
        <w:t>of</w:t>
      </w:r>
      <w:r>
        <w:rPr>
          <w:color w:val="211F1F"/>
          <w:spacing w:val="-7"/>
        </w:rPr>
        <w:t xml:space="preserve"> </w:t>
      </w:r>
      <w:r>
        <w:rPr>
          <w:color w:val="211F1F"/>
        </w:rPr>
        <w:t>Quantities</w:t>
      </w:r>
      <w:r>
        <w:rPr>
          <w:color w:val="211F1F"/>
          <w:spacing w:val="-4"/>
        </w:rPr>
        <w:t xml:space="preserve"> </w:t>
      </w:r>
      <w:r>
        <w:rPr>
          <w:color w:val="211F1F"/>
        </w:rPr>
        <w:t>should</w:t>
      </w:r>
      <w:r>
        <w:rPr>
          <w:color w:val="211F1F"/>
          <w:spacing w:val="-11"/>
        </w:rPr>
        <w:t xml:space="preserve"> </w:t>
      </w:r>
      <w:r>
        <w:rPr>
          <w:color w:val="211F1F"/>
        </w:rPr>
        <w:t>be</w:t>
      </w:r>
      <w:r>
        <w:rPr>
          <w:color w:val="211F1F"/>
          <w:spacing w:val="-13"/>
        </w:rPr>
        <w:t xml:space="preserve"> </w:t>
      </w:r>
      <w:r>
        <w:rPr>
          <w:color w:val="211F1F"/>
        </w:rPr>
        <w:t>as</w:t>
      </w:r>
      <w:r>
        <w:rPr>
          <w:color w:val="211F1F"/>
          <w:spacing w:val="-4"/>
        </w:rPr>
        <w:t xml:space="preserve"> </w:t>
      </w:r>
      <w:r>
        <w:rPr>
          <w:color w:val="211F1F"/>
        </w:rPr>
        <w:t>simple</w:t>
      </w:r>
      <w:r>
        <w:rPr>
          <w:color w:val="211F1F"/>
          <w:spacing w:val="-13"/>
        </w:rPr>
        <w:t xml:space="preserve"> </w:t>
      </w:r>
      <w:r>
        <w:rPr>
          <w:color w:val="211F1F"/>
        </w:rPr>
        <w:t>and</w:t>
      </w:r>
      <w:r>
        <w:rPr>
          <w:color w:val="211F1F"/>
          <w:spacing w:val="-17"/>
        </w:rPr>
        <w:t xml:space="preserve"> </w:t>
      </w:r>
      <w:r>
        <w:rPr>
          <w:color w:val="211F1F"/>
        </w:rPr>
        <w:t>brief</w:t>
      </w:r>
      <w:r>
        <w:rPr>
          <w:color w:val="211F1F"/>
          <w:spacing w:val="-6"/>
        </w:rPr>
        <w:t xml:space="preserve"> </w:t>
      </w:r>
      <w:r>
        <w:rPr>
          <w:color w:val="211F1F"/>
        </w:rPr>
        <w:t>as</w:t>
      </w:r>
      <w:r>
        <w:rPr>
          <w:color w:val="211F1F"/>
          <w:spacing w:val="-5"/>
        </w:rPr>
        <w:t xml:space="preserve"> </w:t>
      </w:r>
      <w:r>
        <w:rPr>
          <w:color w:val="211F1F"/>
        </w:rPr>
        <w:t>possible.</w:t>
      </w:r>
    </w:p>
    <w:p w14:paraId="17D775DE" w14:textId="77777777" w:rsidR="00BB77C0" w:rsidRDefault="00370BAA">
      <w:pPr>
        <w:pStyle w:val="Heading7"/>
        <w:numPr>
          <w:ilvl w:val="0"/>
          <w:numId w:val="34"/>
        </w:numPr>
        <w:tabs>
          <w:tab w:val="left" w:pos="786"/>
        </w:tabs>
        <w:spacing w:before="245"/>
        <w:ind w:left="786" w:hanging="301"/>
      </w:pPr>
      <w:bookmarkStart w:id="179" w:name="2._Day_work_Schedule"/>
      <w:bookmarkEnd w:id="179"/>
      <w:r>
        <w:rPr>
          <w:color w:val="211F1F"/>
        </w:rPr>
        <w:t>Day</w:t>
      </w:r>
      <w:r>
        <w:rPr>
          <w:color w:val="211F1F"/>
          <w:spacing w:val="-5"/>
        </w:rPr>
        <w:t xml:space="preserve"> </w:t>
      </w:r>
      <w:r>
        <w:rPr>
          <w:color w:val="211F1F"/>
        </w:rPr>
        <w:t>work</w:t>
      </w:r>
      <w:r>
        <w:rPr>
          <w:color w:val="211F1F"/>
          <w:spacing w:val="-29"/>
        </w:rPr>
        <w:t xml:space="preserve"> </w:t>
      </w:r>
      <w:r>
        <w:rPr>
          <w:color w:val="211F1F"/>
          <w:spacing w:val="-2"/>
        </w:rPr>
        <w:t>Schedule</w:t>
      </w:r>
    </w:p>
    <w:p w14:paraId="3FD175D4" w14:textId="77777777" w:rsidR="00BB77C0" w:rsidRDefault="00370BAA">
      <w:pPr>
        <w:pStyle w:val="BodyText"/>
        <w:spacing w:before="235" w:line="230" w:lineRule="auto"/>
        <w:ind w:left="1056" w:right="704" w:hanging="15"/>
        <w:jc w:val="both"/>
      </w:pPr>
      <w:r>
        <w:rPr>
          <w:color w:val="211F1F"/>
        </w:rPr>
        <w:t>A</w:t>
      </w:r>
      <w:r>
        <w:rPr>
          <w:color w:val="211F1F"/>
          <w:spacing w:val="-14"/>
        </w:rPr>
        <w:t xml:space="preserve"> </w:t>
      </w:r>
      <w:r>
        <w:rPr>
          <w:color w:val="211F1F"/>
        </w:rPr>
        <w:t>Day</w:t>
      </w:r>
      <w:r>
        <w:rPr>
          <w:color w:val="211F1F"/>
          <w:spacing w:val="-14"/>
        </w:rPr>
        <w:t xml:space="preserve"> </w:t>
      </w:r>
      <w:r>
        <w:rPr>
          <w:color w:val="211F1F"/>
        </w:rPr>
        <w:t>work</w:t>
      </w:r>
      <w:r>
        <w:rPr>
          <w:color w:val="211F1F"/>
          <w:spacing w:val="-14"/>
        </w:rPr>
        <w:t xml:space="preserve"> </w:t>
      </w:r>
      <w:r>
        <w:rPr>
          <w:color w:val="211F1F"/>
        </w:rPr>
        <w:t>Schedule</w:t>
      </w:r>
      <w:r>
        <w:rPr>
          <w:color w:val="211F1F"/>
          <w:spacing w:val="-13"/>
        </w:rPr>
        <w:t xml:space="preserve"> </w:t>
      </w:r>
      <w:r>
        <w:rPr>
          <w:color w:val="211F1F"/>
        </w:rPr>
        <w:t>should</w:t>
      </w:r>
      <w:r>
        <w:rPr>
          <w:color w:val="211F1F"/>
          <w:spacing w:val="-14"/>
        </w:rPr>
        <w:t xml:space="preserve"> </w:t>
      </w:r>
      <w:r>
        <w:rPr>
          <w:color w:val="211F1F"/>
        </w:rPr>
        <w:t>be</w:t>
      </w:r>
      <w:r>
        <w:rPr>
          <w:color w:val="211F1F"/>
          <w:spacing w:val="-14"/>
        </w:rPr>
        <w:t xml:space="preserve"> </w:t>
      </w:r>
      <w:r>
        <w:rPr>
          <w:color w:val="211F1F"/>
        </w:rPr>
        <w:t>included</w:t>
      </w:r>
      <w:r>
        <w:rPr>
          <w:color w:val="211F1F"/>
          <w:spacing w:val="-14"/>
        </w:rPr>
        <w:t xml:space="preserve"> </w:t>
      </w:r>
      <w:r>
        <w:rPr>
          <w:color w:val="211F1F"/>
        </w:rPr>
        <w:t>only</w:t>
      </w:r>
      <w:r>
        <w:rPr>
          <w:color w:val="211F1F"/>
          <w:spacing w:val="-13"/>
        </w:rPr>
        <w:t xml:space="preserve"> </w:t>
      </w:r>
      <w:r>
        <w:rPr>
          <w:color w:val="211F1F"/>
        </w:rPr>
        <w:t>if</w:t>
      </w:r>
      <w:r>
        <w:rPr>
          <w:color w:val="211F1F"/>
          <w:spacing w:val="-14"/>
        </w:rPr>
        <w:t xml:space="preserve"> </w:t>
      </w:r>
      <w:r>
        <w:rPr>
          <w:color w:val="211F1F"/>
        </w:rPr>
        <w:t>the</w:t>
      </w:r>
      <w:r>
        <w:rPr>
          <w:color w:val="211F1F"/>
          <w:spacing w:val="-14"/>
        </w:rPr>
        <w:t xml:space="preserve"> </w:t>
      </w:r>
      <w:r>
        <w:rPr>
          <w:color w:val="211F1F"/>
        </w:rPr>
        <w:t>probability</w:t>
      </w:r>
      <w:r>
        <w:rPr>
          <w:color w:val="211F1F"/>
          <w:spacing w:val="-14"/>
        </w:rPr>
        <w:t xml:space="preserve"> </w:t>
      </w:r>
      <w:r>
        <w:rPr>
          <w:color w:val="211F1F"/>
        </w:rPr>
        <w:t>of</w:t>
      </w:r>
      <w:r>
        <w:rPr>
          <w:color w:val="211F1F"/>
          <w:spacing w:val="-13"/>
        </w:rPr>
        <w:t xml:space="preserve"> </w:t>
      </w:r>
      <w:r>
        <w:rPr>
          <w:color w:val="211F1F"/>
        </w:rPr>
        <w:t>unforeseen</w:t>
      </w:r>
      <w:r>
        <w:rPr>
          <w:color w:val="211F1F"/>
          <w:spacing w:val="-14"/>
        </w:rPr>
        <w:t xml:space="preserve"> </w:t>
      </w:r>
      <w:r>
        <w:rPr>
          <w:color w:val="211F1F"/>
        </w:rPr>
        <w:t>work,</w:t>
      </w:r>
      <w:r>
        <w:rPr>
          <w:color w:val="211F1F"/>
          <w:spacing w:val="-14"/>
        </w:rPr>
        <w:t xml:space="preserve"> </w:t>
      </w:r>
      <w:r>
        <w:rPr>
          <w:color w:val="211F1F"/>
        </w:rPr>
        <w:t>outside</w:t>
      </w:r>
      <w:r>
        <w:rPr>
          <w:color w:val="211F1F"/>
          <w:spacing w:val="-14"/>
        </w:rPr>
        <w:t xml:space="preserve"> </w:t>
      </w:r>
      <w:r>
        <w:rPr>
          <w:color w:val="211F1F"/>
        </w:rPr>
        <w:t>the</w:t>
      </w:r>
      <w:r>
        <w:rPr>
          <w:color w:val="211F1F"/>
          <w:spacing w:val="-13"/>
        </w:rPr>
        <w:t xml:space="preserve"> </w:t>
      </w:r>
      <w:r>
        <w:rPr>
          <w:color w:val="211F1F"/>
        </w:rPr>
        <w:t>items</w:t>
      </w:r>
      <w:r>
        <w:rPr>
          <w:color w:val="211F1F"/>
          <w:spacing w:val="-14"/>
        </w:rPr>
        <w:t xml:space="preserve"> </w:t>
      </w:r>
      <w:r>
        <w:rPr>
          <w:color w:val="211F1F"/>
        </w:rPr>
        <w:t>included</w:t>
      </w:r>
      <w:r>
        <w:rPr>
          <w:color w:val="211F1F"/>
          <w:spacing w:val="-14"/>
        </w:rPr>
        <w:t xml:space="preserve"> </w:t>
      </w:r>
      <w:r>
        <w:rPr>
          <w:color w:val="211F1F"/>
        </w:rPr>
        <w:t>in the</w:t>
      </w:r>
      <w:r>
        <w:rPr>
          <w:color w:val="211F1F"/>
          <w:spacing w:val="-14"/>
        </w:rPr>
        <w:t xml:space="preserve"> </w:t>
      </w:r>
      <w:r>
        <w:rPr>
          <w:color w:val="211F1F"/>
        </w:rPr>
        <w:t>Bill</w:t>
      </w:r>
      <w:r>
        <w:rPr>
          <w:color w:val="211F1F"/>
          <w:spacing w:val="-14"/>
        </w:rPr>
        <w:t xml:space="preserve"> </w:t>
      </w:r>
      <w:r>
        <w:rPr>
          <w:color w:val="211F1F"/>
        </w:rPr>
        <w:t>of</w:t>
      </w:r>
      <w:r>
        <w:rPr>
          <w:color w:val="211F1F"/>
          <w:spacing w:val="-14"/>
        </w:rPr>
        <w:t xml:space="preserve"> </w:t>
      </w:r>
      <w:r>
        <w:rPr>
          <w:color w:val="211F1F"/>
        </w:rPr>
        <w:t>Quantities,</w:t>
      </w:r>
      <w:r>
        <w:rPr>
          <w:color w:val="211F1F"/>
          <w:spacing w:val="-11"/>
        </w:rPr>
        <w:t xml:space="preserve"> </w:t>
      </w:r>
      <w:r>
        <w:rPr>
          <w:color w:val="211F1F"/>
        </w:rPr>
        <w:t>is</w:t>
      </w:r>
      <w:r>
        <w:rPr>
          <w:color w:val="211F1F"/>
          <w:spacing w:val="-6"/>
        </w:rPr>
        <w:t xml:space="preserve"> </w:t>
      </w:r>
      <w:r>
        <w:rPr>
          <w:color w:val="211F1F"/>
        </w:rPr>
        <w:t>high.</w:t>
      </w:r>
      <w:r>
        <w:rPr>
          <w:color w:val="211F1F"/>
          <w:spacing w:val="55"/>
        </w:rPr>
        <w:t xml:space="preserve"> </w:t>
      </w:r>
      <w:r>
        <w:rPr>
          <w:color w:val="211F1F"/>
        </w:rPr>
        <w:t>To</w:t>
      </w:r>
      <w:r>
        <w:rPr>
          <w:color w:val="211F1F"/>
          <w:spacing w:val="-14"/>
        </w:rPr>
        <w:t xml:space="preserve"> </w:t>
      </w:r>
      <w:r>
        <w:rPr>
          <w:color w:val="211F1F"/>
        </w:rPr>
        <w:t>facilitate</w:t>
      </w:r>
      <w:r>
        <w:rPr>
          <w:color w:val="211F1F"/>
          <w:spacing w:val="-12"/>
        </w:rPr>
        <w:t xml:space="preserve"> </w:t>
      </w:r>
      <w:r>
        <w:rPr>
          <w:color w:val="211F1F"/>
        </w:rPr>
        <w:t>checking</w:t>
      </w:r>
      <w:r>
        <w:rPr>
          <w:color w:val="211F1F"/>
          <w:spacing w:val="-14"/>
        </w:rPr>
        <w:t xml:space="preserve"> </w:t>
      </w:r>
      <w:r>
        <w:rPr>
          <w:color w:val="211F1F"/>
        </w:rPr>
        <w:t>by</w:t>
      </w:r>
      <w:r>
        <w:rPr>
          <w:color w:val="211F1F"/>
          <w:spacing w:val="-10"/>
        </w:rPr>
        <w:t xml:space="preserve"> </w:t>
      </w:r>
      <w:r>
        <w:rPr>
          <w:color w:val="211F1F"/>
        </w:rPr>
        <w:t>the</w:t>
      </w:r>
      <w:r>
        <w:rPr>
          <w:color w:val="211F1F"/>
          <w:spacing w:val="-12"/>
        </w:rPr>
        <w:t xml:space="preserve"> </w:t>
      </w:r>
      <w:r>
        <w:rPr>
          <w:color w:val="211F1F"/>
        </w:rPr>
        <w:t>Procuring</w:t>
      </w:r>
      <w:r>
        <w:rPr>
          <w:color w:val="211F1F"/>
          <w:spacing w:val="-14"/>
        </w:rPr>
        <w:t xml:space="preserve"> </w:t>
      </w:r>
      <w:r>
        <w:rPr>
          <w:color w:val="211F1F"/>
        </w:rPr>
        <w:t>Entity</w:t>
      </w:r>
      <w:r>
        <w:rPr>
          <w:color w:val="211F1F"/>
          <w:spacing w:val="-9"/>
        </w:rPr>
        <w:t xml:space="preserve"> </w:t>
      </w:r>
      <w:r>
        <w:rPr>
          <w:color w:val="211F1F"/>
        </w:rPr>
        <w:t>of</w:t>
      </w:r>
      <w:r>
        <w:rPr>
          <w:color w:val="211F1F"/>
          <w:spacing w:val="-7"/>
        </w:rPr>
        <w:t xml:space="preserve"> </w:t>
      </w:r>
      <w:r>
        <w:rPr>
          <w:color w:val="211F1F"/>
        </w:rPr>
        <w:t>the</w:t>
      </w:r>
      <w:r>
        <w:rPr>
          <w:color w:val="211F1F"/>
          <w:spacing w:val="-14"/>
        </w:rPr>
        <w:t xml:space="preserve"> </w:t>
      </w:r>
      <w:r>
        <w:rPr>
          <w:color w:val="211F1F"/>
        </w:rPr>
        <w:t>realism</w:t>
      </w:r>
      <w:r>
        <w:rPr>
          <w:color w:val="211F1F"/>
          <w:spacing w:val="-13"/>
        </w:rPr>
        <w:t xml:space="preserve"> </w:t>
      </w:r>
      <w:r>
        <w:rPr>
          <w:color w:val="211F1F"/>
        </w:rPr>
        <w:t>of</w:t>
      </w:r>
      <w:r>
        <w:rPr>
          <w:color w:val="211F1F"/>
          <w:spacing w:val="-12"/>
        </w:rPr>
        <w:t xml:space="preserve"> </w:t>
      </w:r>
      <w:r>
        <w:rPr>
          <w:color w:val="211F1F"/>
        </w:rPr>
        <w:t>rates</w:t>
      </w:r>
      <w:r>
        <w:rPr>
          <w:color w:val="211F1F"/>
          <w:spacing w:val="-6"/>
        </w:rPr>
        <w:t xml:space="preserve"> </w:t>
      </w:r>
      <w:r>
        <w:rPr>
          <w:color w:val="211F1F"/>
        </w:rPr>
        <w:t>quoted</w:t>
      </w:r>
      <w:r>
        <w:rPr>
          <w:color w:val="211F1F"/>
          <w:spacing w:val="-14"/>
        </w:rPr>
        <w:t xml:space="preserve"> </w:t>
      </w:r>
      <w:r>
        <w:rPr>
          <w:color w:val="211F1F"/>
        </w:rPr>
        <w:t>by</w:t>
      </w:r>
      <w:r>
        <w:rPr>
          <w:color w:val="211F1F"/>
          <w:spacing w:val="-14"/>
        </w:rPr>
        <w:t xml:space="preserve"> </w:t>
      </w:r>
      <w:r>
        <w:rPr>
          <w:color w:val="211F1F"/>
        </w:rPr>
        <w:t>the Tenderers, the Day work Schedule should normally comprise the following:</w:t>
      </w:r>
    </w:p>
    <w:p w14:paraId="61A217FC" w14:textId="77777777" w:rsidR="00BB77C0" w:rsidRDefault="00370BAA">
      <w:pPr>
        <w:pStyle w:val="ListParagraph"/>
        <w:numPr>
          <w:ilvl w:val="1"/>
          <w:numId w:val="34"/>
        </w:numPr>
        <w:tabs>
          <w:tab w:val="left" w:pos="1597"/>
          <w:tab w:val="left" w:pos="1599"/>
        </w:tabs>
        <w:spacing w:before="73" w:line="230" w:lineRule="auto"/>
        <w:ind w:left="1599" w:right="712"/>
        <w:jc w:val="both"/>
      </w:pPr>
      <w:r>
        <w:rPr>
          <w:color w:val="211F1F"/>
        </w:rPr>
        <w:t>A</w:t>
      </w:r>
      <w:r>
        <w:rPr>
          <w:color w:val="211F1F"/>
          <w:spacing w:val="-14"/>
        </w:rPr>
        <w:t xml:space="preserve"> </w:t>
      </w:r>
      <w:r>
        <w:rPr>
          <w:color w:val="211F1F"/>
        </w:rPr>
        <w:t>list</w:t>
      </w:r>
      <w:r>
        <w:rPr>
          <w:color w:val="211F1F"/>
          <w:spacing w:val="-14"/>
        </w:rPr>
        <w:t xml:space="preserve"> </w:t>
      </w:r>
      <w:r>
        <w:rPr>
          <w:color w:val="211F1F"/>
        </w:rPr>
        <w:t>of</w:t>
      </w:r>
      <w:r>
        <w:rPr>
          <w:color w:val="211F1F"/>
          <w:spacing w:val="-9"/>
        </w:rPr>
        <w:t xml:space="preserve"> </w:t>
      </w:r>
      <w:r>
        <w:rPr>
          <w:color w:val="211F1F"/>
        </w:rPr>
        <w:t>the</w:t>
      </w:r>
      <w:r>
        <w:rPr>
          <w:color w:val="211F1F"/>
          <w:spacing w:val="-14"/>
        </w:rPr>
        <w:t xml:space="preserve"> </w:t>
      </w:r>
      <w:r>
        <w:rPr>
          <w:color w:val="211F1F"/>
        </w:rPr>
        <w:t>various</w:t>
      </w:r>
      <w:r>
        <w:rPr>
          <w:color w:val="211F1F"/>
          <w:spacing w:val="-7"/>
        </w:rPr>
        <w:t xml:space="preserve"> </w:t>
      </w:r>
      <w:r>
        <w:rPr>
          <w:color w:val="211F1F"/>
        </w:rPr>
        <w:t>classes</w:t>
      </w:r>
      <w:r>
        <w:rPr>
          <w:color w:val="211F1F"/>
          <w:spacing w:val="-6"/>
        </w:rPr>
        <w:t xml:space="preserve"> </w:t>
      </w:r>
      <w:r>
        <w:rPr>
          <w:color w:val="211F1F"/>
        </w:rPr>
        <w:t>of</w:t>
      </w:r>
      <w:r>
        <w:rPr>
          <w:color w:val="211F1F"/>
          <w:spacing w:val="-9"/>
        </w:rPr>
        <w:t xml:space="preserve"> </w:t>
      </w:r>
      <w:r>
        <w:rPr>
          <w:color w:val="211F1F"/>
        </w:rPr>
        <w:t>labor,</w:t>
      </w:r>
      <w:r>
        <w:rPr>
          <w:color w:val="211F1F"/>
          <w:spacing w:val="-5"/>
        </w:rPr>
        <w:t xml:space="preserve"> </w:t>
      </w:r>
      <w:r>
        <w:rPr>
          <w:color w:val="211F1F"/>
        </w:rPr>
        <w:t>materials,</w:t>
      </w:r>
      <w:r>
        <w:rPr>
          <w:color w:val="211F1F"/>
          <w:spacing w:val="-4"/>
        </w:rPr>
        <w:t xml:space="preserve"> </w:t>
      </w:r>
      <w:r>
        <w:rPr>
          <w:color w:val="211F1F"/>
        </w:rPr>
        <w:t>and</w:t>
      </w:r>
      <w:r>
        <w:rPr>
          <w:color w:val="211F1F"/>
          <w:spacing w:val="-12"/>
        </w:rPr>
        <w:t xml:space="preserve"> </w:t>
      </w:r>
      <w:r>
        <w:rPr>
          <w:color w:val="211F1F"/>
        </w:rPr>
        <w:t>Constructional</w:t>
      </w:r>
      <w:r>
        <w:rPr>
          <w:color w:val="211F1F"/>
          <w:spacing w:val="-9"/>
        </w:rPr>
        <w:t xml:space="preserve"> </w:t>
      </w:r>
      <w:r>
        <w:rPr>
          <w:color w:val="211F1F"/>
        </w:rPr>
        <w:t>Plant</w:t>
      </w:r>
      <w:r>
        <w:rPr>
          <w:color w:val="211F1F"/>
          <w:spacing w:val="-6"/>
        </w:rPr>
        <w:t xml:space="preserve"> </w:t>
      </w:r>
      <w:r>
        <w:rPr>
          <w:color w:val="211F1F"/>
        </w:rPr>
        <w:t>for</w:t>
      </w:r>
      <w:r>
        <w:rPr>
          <w:color w:val="211F1F"/>
          <w:spacing w:val="-4"/>
        </w:rPr>
        <w:t xml:space="preserve"> </w:t>
      </w:r>
      <w:r>
        <w:rPr>
          <w:color w:val="211F1F"/>
        </w:rPr>
        <w:t>which</w:t>
      </w:r>
      <w:r>
        <w:rPr>
          <w:color w:val="211F1F"/>
          <w:spacing w:val="-12"/>
        </w:rPr>
        <w:t xml:space="preserve"> </w:t>
      </w:r>
      <w:r>
        <w:rPr>
          <w:color w:val="211F1F"/>
        </w:rPr>
        <w:t>basic</w:t>
      </w:r>
      <w:r>
        <w:rPr>
          <w:color w:val="211F1F"/>
          <w:spacing w:val="-10"/>
        </w:rPr>
        <w:t xml:space="preserve"> </w:t>
      </w:r>
      <w:r>
        <w:rPr>
          <w:color w:val="211F1F"/>
        </w:rPr>
        <w:t>day</w:t>
      </w:r>
      <w:r>
        <w:rPr>
          <w:color w:val="211F1F"/>
          <w:spacing w:val="-4"/>
        </w:rPr>
        <w:t xml:space="preserve"> </w:t>
      </w:r>
      <w:r>
        <w:rPr>
          <w:color w:val="211F1F"/>
        </w:rPr>
        <w:t>work</w:t>
      </w:r>
      <w:r>
        <w:rPr>
          <w:color w:val="211F1F"/>
          <w:spacing w:val="-11"/>
        </w:rPr>
        <w:t xml:space="preserve"> </w:t>
      </w:r>
      <w:r>
        <w:rPr>
          <w:color w:val="211F1F"/>
        </w:rPr>
        <w:t>rates</w:t>
      </w:r>
      <w:r>
        <w:rPr>
          <w:color w:val="211F1F"/>
          <w:spacing w:val="-7"/>
        </w:rPr>
        <w:t xml:space="preserve"> </w:t>
      </w:r>
      <w:r>
        <w:rPr>
          <w:color w:val="211F1F"/>
        </w:rPr>
        <w:t>or prices are to be inserted by the Tenderer, together with a statement of the conditions under which the Contractor shall be</w:t>
      </w:r>
      <w:r>
        <w:rPr>
          <w:color w:val="211F1F"/>
          <w:spacing w:val="-4"/>
        </w:rPr>
        <w:t xml:space="preserve"> </w:t>
      </w:r>
      <w:r>
        <w:rPr>
          <w:color w:val="211F1F"/>
        </w:rPr>
        <w:t>paid</w:t>
      </w:r>
      <w:r>
        <w:rPr>
          <w:color w:val="211F1F"/>
          <w:spacing w:val="-7"/>
        </w:rPr>
        <w:t xml:space="preserve"> </w:t>
      </w:r>
      <w:r>
        <w:rPr>
          <w:color w:val="211F1F"/>
        </w:rPr>
        <w:t>for work executed on</w:t>
      </w:r>
      <w:r>
        <w:rPr>
          <w:color w:val="211F1F"/>
          <w:spacing w:val="-1"/>
        </w:rPr>
        <w:t xml:space="preserve"> </w:t>
      </w:r>
      <w:r>
        <w:rPr>
          <w:color w:val="211F1F"/>
        </w:rPr>
        <w:t>a day work basis.</w:t>
      </w:r>
    </w:p>
    <w:p w14:paraId="227F13D0" w14:textId="77777777" w:rsidR="00BB77C0" w:rsidRDefault="00370BAA">
      <w:pPr>
        <w:pStyle w:val="ListParagraph"/>
        <w:numPr>
          <w:ilvl w:val="1"/>
          <w:numId w:val="34"/>
        </w:numPr>
        <w:tabs>
          <w:tab w:val="left" w:pos="1597"/>
          <w:tab w:val="left" w:pos="1599"/>
        </w:tabs>
        <w:spacing w:before="73" w:line="230" w:lineRule="auto"/>
        <w:ind w:left="1599" w:right="707" w:hanging="563"/>
        <w:jc w:val="both"/>
      </w:pPr>
      <w:r>
        <w:rPr>
          <w:color w:val="211F1F"/>
        </w:rPr>
        <w:t>Nominal</w:t>
      </w:r>
      <w:r>
        <w:rPr>
          <w:color w:val="211F1F"/>
          <w:spacing w:val="-5"/>
        </w:rPr>
        <w:t xml:space="preserve"> </w:t>
      </w:r>
      <w:r>
        <w:rPr>
          <w:color w:val="211F1F"/>
        </w:rPr>
        <w:t>quantities for each</w:t>
      </w:r>
      <w:r>
        <w:rPr>
          <w:color w:val="211F1F"/>
          <w:spacing w:val="-6"/>
        </w:rPr>
        <w:t xml:space="preserve"> </w:t>
      </w:r>
      <w:r>
        <w:rPr>
          <w:color w:val="211F1F"/>
        </w:rPr>
        <w:t>item</w:t>
      </w:r>
      <w:r>
        <w:rPr>
          <w:color w:val="211F1F"/>
          <w:spacing w:val="-5"/>
        </w:rPr>
        <w:t xml:space="preserve"> </w:t>
      </w:r>
      <w:r>
        <w:rPr>
          <w:color w:val="211F1F"/>
        </w:rPr>
        <w:t>of</w:t>
      </w:r>
      <w:r>
        <w:rPr>
          <w:color w:val="211F1F"/>
          <w:spacing w:val="-3"/>
        </w:rPr>
        <w:t xml:space="preserve"> </w:t>
      </w:r>
      <w:r>
        <w:rPr>
          <w:color w:val="211F1F"/>
        </w:rPr>
        <w:t>day</w:t>
      </w:r>
      <w:r>
        <w:rPr>
          <w:color w:val="211F1F"/>
          <w:spacing w:val="-2"/>
        </w:rPr>
        <w:t xml:space="preserve"> </w:t>
      </w:r>
      <w:r>
        <w:rPr>
          <w:color w:val="211F1F"/>
        </w:rPr>
        <w:t>work, to</w:t>
      </w:r>
      <w:r>
        <w:rPr>
          <w:color w:val="211F1F"/>
          <w:spacing w:val="-7"/>
        </w:rPr>
        <w:t xml:space="preserve"> </w:t>
      </w:r>
      <w:r>
        <w:rPr>
          <w:color w:val="211F1F"/>
        </w:rPr>
        <w:t>be</w:t>
      </w:r>
      <w:r>
        <w:rPr>
          <w:color w:val="211F1F"/>
          <w:spacing w:val="-9"/>
        </w:rPr>
        <w:t xml:space="preserve"> </w:t>
      </w:r>
      <w:r>
        <w:rPr>
          <w:color w:val="211F1F"/>
        </w:rPr>
        <w:t>priced</w:t>
      </w:r>
      <w:r>
        <w:rPr>
          <w:color w:val="211F1F"/>
          <w:spacing w:val="-6"/>
        </w:rPr>
        <w:t xml:space="preserve"> </w:t>
      </w:r>
      <w:r>
        <w:rPr>
          <w:color w:val="211F1F"/>
        </w:rPr>
        <w:t>by</w:t>
      </w:r>
      <w:r>
        <w:rPr>
          <w:color w:val="211F1F"/>
          <w:spacing w:val="-7"/>
        </w:rPr>
        <w:t xml:space="preserve"> </w:t>
      </w:r>
      <w:r>
        <w:rPr>
          <w:color w:val="211F1F"/>
        </w:rPr>
        <w:t>each</w:t>
      </w:r>
      <w:r>
        <w:rPr>
          <w:color w:val="211F1F"/>
          <w:spacing w:val="-6"/>
        </w:rPr>
        <w:t xml:space="preserve"> </w:t>
      </w:r>
      <w:r>
        <w:rPr>
          <w:color w:val="211F1F"/>
        </w:rPr>
        <w:t>Tenderer at</w:t>
      </w:r>
      <w:r>
        <w:rPr>
          <w:color w:val="211F1F"/>
          <w:spacing w:val="-6"/>
        </w:rPr>
        <w:t xml:space="preserve"> </w:t>
      </w:r>
      <w:r>
        <w:rPr>
          <w:color w:val="211F1F"/>
        </w:rPr>
        <w:t>day</w:t>
      </w:r>
      <w:r>
        <w:rPr>
          <w:color w:val="211F1F"/>
          <w:spacing w:val="-2"/>
        </w:rPr>
        <w:t xml:space="preserve"> </w:t>
      </w:r>
      <w:r>
        <w:rPr>
          <w:color w:val="211F1F"/>
        </w:rPr>
        <w:t>work</w:t>
      </w:r>
      <w:r>
        <w:rPr>
          <w:color w:val="211F1F"/>
          <w:spacing w:val="-6"/>
        </w:rPr>
        <w:t xml:space="preserve"> </w:t>
      </w:r>
      <w:r>
        <w:rPr>
          <w:color w:val="211F1F"/>
        </w:rPr>
        <w:t>rates as</w:t>
      </w:r>
      <w:r>
        <w:rPr>
          <w:color w:val="211F1F"/>
          <w:spacing w:val="-10"/>
        </w:rPr>
        <w:t xml:space="preserve"> </w:t>
      </w:r>
      <w:r>
        <w:rPr>
          <w:color w:val="211F1F"/>
        </w:rPr>
        <w:t>Tender. The rate to be entered by the Tenderer against each basic day work item should include the Contractor's profit, overheads, supervision, and other charges.</w:t>
      </w:r>
    </w:p>
    <w:p w14:paraId="0027D04F" w14:textId="77777777" w:rsidR="00BB77C0" w:rsidRDefault="00BB77C0">
      <w:pPr>
        <w:pStyle w:val="BodyText"/>
        <w:spacing w:before="62"/>
      </w:pPr>
    </w:p>
    <w:p w14:paraId="126F0D97" w14:textId="77777777" w:rsidR="00BB77C0" w:rsidRDefault="00370BAA">
      <w:pPr>
        <w:pStyle w:val="Heading7"/>
        <w:numPr>
          <w:ilvl w:val="0"/>
          <w:numId w:val="34"/>
        </w:numPr>
        <w:tabs>
          <w:tab w:val="left" w:pos="1041"/>
        </w:tabs>
        <w:ind w:left="1041" w:hanging="556"/>
      </w:pPr>
      <w:bookmarkStart w:id="180" w:name="3._Provisional_Sums"/>
      <w:bookmarkEnd w:id="180"/>
      <w:r>
        <w:rPr>
          <w:color w:val="211F1F"/>
          <w:spacing w:val="-4"/>
        </w:rPr>
        <w:t>Provisional</w:t>
      </w:r>
      <w:r>
        <w:rPr>
          <w:color w:val="211F1F"/>
          <w:spacing w:val="9"/>
        </w:rPr>
        <w:t xml:space="preserve"> </w:t>
      </w:r>
      <w:r>
        <w:rPr>
          <w:color w:val="211F1F"/>
          <w:spacing w:val="-4"/>
        </w:rPr>
        <w:t>Sums</w:t>
      </w:r>
    </w:p>
    <w:p w14:paraId="496917BF" w14:textId="77777777" w:rsidR="00BB77C0" w:rsidRDefault="00370BAA">
      <w:pPr>
        <w:pStyle w:val="BodyText"/>
        <w:spacing w:before="235" w:line="230" w:lineRule="auto"/>
        <w:ind w:left="1051" w:right="708" w:hanging="10"/>
        <w:jc w:val="both"/>
      </w:pPr>
      <w:r>
        <w:rPr>
          <w:color w:val="211F1F"/>
          <w:spacing w:val="-2"/>
        </w:rPr>
        <w:t>A</w:t>
      </w:r>
      <w:r>
        <w:rPr>
          <w:color w:val="211F1F"/>
          <w:spacing w:val="-12"/>
        </w:rPr>
        <w:t xml:space="preserve"> </w:t>
      </w:r>
      <w:r>
        <w:rPr>
          <w:color w:val="211F1F"/>
          <w:spacing w:val="-2"/>
        </w:rPr>
        <w:t>general</w:t>
      </w:r>
      <w:r>
        <w:rPr>
          <w:color w:val="211F1F"/>
          <w:spacing w:val="-12"/>
        </w:rPr>
        <w:t xml:space="preserve"> </w:t>
      </w:r>
      <w:r>
        <w:rPr>
          <w:color w:val="211F1F"/>
          <w:spacing w:val="-2"/>
        </w:rPr>
        <w:t>provision</w:t>
      </w:r>
      <w:r>
        <w:rPr>
          <w:color w:val="211F1F"/>
          <w:spacing w:val="-12"/>
        </w:rPr>
        <w:t xml:space="preserve"> </w:t>
      </w:r>
      <w:r>
        <w:rPr>
          <w:color w:val="211F1F"/>
          <w:spacing w:val="-2"/>
        </w:rPr>
        <w:t>for</w:t>
      </w:r>
      <w:r>
        <w:rPr>
          <w:color w:val="211F1F"/>
          <w:spacing w:val="-11"/>
        </w:rPr>
        <w:t xml:space="preserve"> </w:t>
      </w:r>
      <w:r>
        <w:rPr>
          <w:color w:val="211F1F"/>
          <w:spacing w:val="-2"/>
        </w:rPr>
        <w:t>physical</w:t>
      </w:r>
      <w:r>
        <w:rPr>
          <w:color w:val="211F1F"/>
          <w:spacing w:val="-10"/>
        </w:rPr>
        <w:t xml:space="preserve"> </w:t>
      </w:r>
      <w:r>
        <w:rPr>
          <w:color w:val="211F1F"/>
          <w:spacing w:val="-2"/>
        </w:rPr>
        <w:t>contingencies (quantity</w:t>
      </w:r>
      <w:r>
        <w:rPr>
          <w:color w:val="211F1F"/>
          <w:spacing w:val="-12"/>
        </w:rPr>
        <w:t xml:space="preserve"> </w:t>
      </w:r>
      <w:r>
        <w:rPr>
          <w:color w:val="211F1F"/>
          <w:spacing w:val="-2"/>
        </w:rPr>
        <w:t>overruns)</w:t>
      </w:r>
      <w:r>
        <w:rPr>
          <w:color w:val="211F1F"/>
          <w:spacing w:val="-8"/>
        </w:rPr>
        <w:t xml:space="preserve"> </w:t>
      </w:r>
      <w:r>
        <w:rPr>
          <w:color w:val="211F1F"/>
          <w:spacing w:val="-2"/>
        </w:rPr>
        <w:t>may</w:t>
      </w:r>
      <w:r>
        <w:rPr>
          <w:color w:val="211F1F"/>
          <w:spacing w:val="-12"/>
        </w:rPr>
        <w:t xml:space="preserve"> </w:t>
      </w:r>
      <w:r>
        <w:rPr>
          <w:color w:val="211F1F"/>
          <w:spacing w:val="-2"/>
        </w:rPr>
        <w:t>be</w:t>
      </w:r>
      <w:r>
        <w:rPr>
          <w:color w:val="211F1F"/>
          <w:spacing w:val="-9"/>
        </w:rPr>
        <w:t xml:space="preserve"> </w:t>
      </w:r>
      <w:r>
        <w:rPr>
          <w:color w:val="211F1F"/>
          <w:spacing w:val="-2"/>
        </w:rPr>
        <w:t>made</w:t>
      </w:r>
      <w:r>
        <w:rPr>
          <w:color w:val="211F1F"/>
          <w:spacing w:val="-9"/>
        </w:rPr>
        <w:t xml:space="preserve"> </w:t>
      </w:r>
      <w:r>
        <w:rPr>
          <w:color w:val="211F1F"/>
          <w:spacing w:val="-2"/>
        </w:rPr>
        <w:t>by</w:t>
      </w:r>
      <w:r>
        <w:rPr>
          <w:color w:val="211F1F"/>
          <w:spacing w:val="-7"/>
        </w:rPr>
        <w:t xml:space="preserve"> </w:t>
      </w:r>
      <w:r>
        <w:rPr>
          <w:color w:val="211F1F"/>
          <w:spacing w:val="-2"/>
        </w:rPr>
        <w:t>including</w:t>
      </w:r>
      <w:r>
        <w:rPr>
          <w:color w:val="211F1F"/>
          <w:spacing w:val="-12"/>
        </w:rPr>
        <w:t xml:space="preserve"> </w:t>
      </w:r>
      <w:r>
        <w:rPr>
          <w:color w:val="211F1F"/>
          <w:spacing w:val="-2"/>
        </w:rPr>
        <w:t>a provisional</w:t>
      </w:r>
      <w:r>
        <w:rPr>
          <w:color w:val="211F1F"/>
          <w:spacing w:val="-10"/>
        </w:rPr>
        <w:t xml:space="preserve"> </w:t>
      </w:r>
      <w:r>
        <w:rPr>
          <w:color w:val="211F1F"/>
          <w:spacing w:val="-2"/>
        </w:rPr>
        <w:t>sum</w:t>
      </w:r>
      <w:r>
        <w:rPr>
          <w:color w:val="211F1F"/>
        </w:rPr>
        <w:t xml:space="preserve"> </w:t>
      </w:r>
      <w:r>
        <w:rPr>
          <w:color w:val="211F1F"/>
          <w:spacing w:val="-2"/>
        </w:rPr>
        <w:t xml:space="preserve">in </w:t>
      </w:r>
      <w:r>
        <w:rPr>
          <w:color w:val="211F1F"/>
        </w:rPr>
        <w:t>the Summary Bill of Quantities. Similarly, a contingency allowance for possible price increases should be provided</w:t>
      </w:r>
      <w:r>
        <w:rPr>
          <w:color w:val="211F1F"/>
          <w:spacing w:val="-11"/>
        </w:rPr>
        <w:t xml:space="preserve"> </w:t>
      </w:r>
      <w:r>
        <w:rPr>
          <w:color w:val="211F1F"/>
        </w:rPr>
        <w:t>as</w:t>
      </w:r>
      <w:r>
        <w:rPr>
          <w:color w:val="211F1F"/>
          <w:spacing w:val="-14"/>
        </w:rPr>
        <w:t xml:space="preserve"> </w:t>
      </w:r>
      <w:r>
        <w:rPr>
          <w:color w:val="211F1F"/>
        </w:rPr>
        <w:t>a</w:t>
      </w:r>
      <w:r>
        <w:rPr>
          <w:color w:val="211F1F"/>
          <w:spacing w:val="-8"/>
        </w:rPr>
        <w:t xml:space="preserve"> </w:t>
      </w:r>
      <w:r>
        <w:rPr>
          <w:color w:val="211F1F"/>
        </w:rPr>
        <w:t>provisional</w:t>
      </w:r>
      <w:r>
        <w:rPr>
          <w:color w:val="211F1F"/>
          <w:spacing w:val="-8"/>
        </w:rPr>
        <w:t xml:space="preserve"> </w:t>
      </w:r>
      <w:r>
        <w:rPr>
          <w:color w:val="211F1F"/>
        </w:rPr>
        <w:t>sum</w:t>
      </w:r>
      <w:r>
        <w:rPr>
          <w:color w:val="211F1F"/>
          <w:spacing w:val="-14"/>
        </w:rPr>
        <w:t xml:space="preserve"> </w:t>
      </w:r>
      <w:r>
        <w:rPr>
          <w:color w:val="211F1F"/>
        </w:rPr>
        <w:t>in</w:t>
      </w:r>
      <w:r>
        <w:rPr>
          <w:color w:val="211F1F"/>
          <w:spacing w:val="-10"/>
        </w:rPr>
        <w:t xml:space="preserve"> </w:t>
      </w:r>
      <w:r>
        <w:rPr>
          <w:color w:val="211F1F"/>
        </w:rPr>
        <w:t>the</w:t>
      </w:r>
      <w:r>
        <w:rPr>
          <w:color w:val="211F1F"/>
          <w:spacing w:val="-12"/>
        </w:rPr>
        <w:t xml:space="preserve"> </w:t>
      </w:r>
      <w:r>
        <w:rPr>
          <w:color w:val="211F1F"/>
        </w:rPr>
        <w:t>Summary</w:t>
      </w:r>
      <w:r>
        <w:rPr>
          <w:color w:val="211F1F"/>
          <w:spacing w:val="-9"/>
        </w:rPr>
        <w:t xml:space="preserve"> </w:t>
      </w:r>
      <w:r>
        <w:rPr>
          <w:color w:val="211F1F"/>
        </w:rPr>
        <w:t>priced</w:t>
      </w:r>
      <w:r>
        <w:rPr>
          <w:color w:val="211F1F"/>
          <w:spacing w:val="-10"/>
        </w:rPr>
        <w:t xml:space="preserve"> </w:t>
      </w:r>
      <w:r>
        <w:rPr>
          <w:color w:val="211F1F"/>
        </w:rPr>
        <w:t>Bill</w:t>
      </w:r>
      <w:r>
        <w:rPr>
          <w:color w:val="211F1F"/>
          <w:spacing w:val="-5"/>
        </w:rPr>
        <w:t xml:space="preserve"> </w:t>
      </w:r>
      <w:r>
        <w:rPr>
          <w:color w:val="211F1F"/>
        </w:rPr>
        <w:t>of</w:t>
      </w:r>
      <w:r>
        <w:rPr>
          <w:color w:val="211F1F"/>
          <w:spacing w:val="-7"/>
        </w:rPr>
        <w:t xml:space="preserve"> </w:t>
      </w:r>
      <w:r>
        <w:rPr>
          <w:color w:val="211F1F"/>
        </w:rPr>
        <w:t>Quantities.</w:t>
      </w:r>
      <w:r>
        <w:rPr>
          <w:color w:val="211F1F"/>
          <w:spacing w:val="61"/>
        </w:rPr>
        <w:t xml:space="preserve"> </w:t>
      </w:r>
      <w:r>
        <w:rPr>
          <w:color w:val="211F1F"/>
        </w:rPr>
        <w:t>The</w:t>
      </w:r>
      <w:r>
        <w:rPr>
          <w:color w:val="211F1F"/>
          <w:spacing w:val="-12"/>
        </w:rPr>
        <w:t xml:space="preserve"> </w:t>
      </w:r>
      <w:r>
        <w:rPr>
          <w:color w:val="211F1F"/>
        </w:rPr>
        <w:t>inclusion</w:t>
      </w:r>
      <w:r>
        <w:rPr>
          <w:color w:val="211F1F"/>
          <w:spacing w:val="-10"/>
        </w:rPr>
        <w:t xml:space="preserve"> </w:t>
      </w:r>
      <w:r>
        <w:rPr>
          <w:color w:val="211F1F"/>
        </w:rPr>
        <w:t>of</w:t>
      </w:r>
      <w:r>
        <w:rPr>
          <w:color w:val="211F1F"/>
          <w:spacing w:val="-7"/>
        </w:rPr>
        <w:t xml:space="preserve"> </w:t>
      </w:r>
      <w:r>
        <w:rPr>
          <w:color w:val="211F1F"/>
        </w:rPr>
        <w:t>such</w:t>
      </w:r>
      <w:r>
        <w:rPr>
          <w:color w:val="211F1F"/>
          <w:spacing w:val="-10"/>
        </w:rPr>
        <w:t xml:space="preserve"> </w:t>
      </w:r>
      <w:r>
        <w:rPr>
          <w:color w:val="211F1F"/>
        </w:rPr>
        <w:t>provisional</w:t>
      </w:r>
      <w:r>
        <w:rPr>
          <w:color w:val="211F1F"/>
          <w:spacing w:val="-8"/>
        </w:rPr>
        <w:t xml:space="preserve"> </w:t>
      </w:r>
      <w:r>
        <w:rPr>
          <w:color w:val="211F1F"/>
        </w:rPr>
        <w:t>sums often facilitates budgetary approval by avoiding the need to request periodic supplementary approvals as the future</w:t>
      </w:r>
      <w:r>
        <w:rPr>
          <w:color w:val="211F1F"/>
          <w:spacing w:val="-12"/>
        </w:rPr>
        <w:t xml:space="preserve"> </w:t>
      </w:r>
      <w:r>
        <w:rPr>
          <w:color w:val="211F1F"/>
        </w:rPr>
        <w:t>need</w:t>
      </w:r>
      <w:r>
        <w:rPr>
          <w:color w:val="211F1F"/>
          <w:spacing w:val="-10"/>
        </w:rPr>
        <w:t xml:space="preserve"> </w:t>
      </w:r>
      <w:r>
        <w:rPr>
          <w:color w:val="211F1F"/>
        </w:rPr>
        <w:t>arises.</w:t>
      </w:r>
      <w:r>
        <w:rPr>
          <w:color w:val="211F1F"/>
          <w:spacing w:val="40"/>
        </w:rPr>
        <w:t xml:space="preserve"> </w:t>
      </w:r>
      <w:r>
        <w:rPr>
          <w:color w:val="211F1F"/>
        </w:rPr>
        <w:t>Where</w:t>
      </w:r>
      <w:r>
        <w:rPr>
          <w:color w:val="211F1F"/>
          <w:spacing w:val="-8"/>
        </w:rPr>
        <w:t xml:space="preserve"> </w:t>
      </w:r>
      <w:r>
        <w:rPr>
          <w:color w:val="211F1F"/>
        </w:rPr>
        <w:t>such</w:t>
      </w:r>
      <w:r>
        <w:rPr>
          <w:color w:val="211F1F"/>
          <w:spacing w:val="-5"/>
        </w:rPr>
        <w:t xml:space="preserve"> </w:t>
      </w:r>
      <w:r>
        <w:rPr>
          <w:color w:val="211F1F"/>
        </w:rPr>
        <w:t>provisional</w:t>
      </w:r>
      <w:r>
        <w:rPr>
          <w:color w:val="211F1F"/>
          <w:spacing w:val="-9"/>
        </w:rPr>
        <w:t xml:space="preserve"> </w:t>
      </w:r>
      <w:r>
        <w:rPr>
          <w:color w:val="211F1F"/>
        </w:rPr>
        <w:t>sums or contingency</w:t>
      </w:r>
      <w:r>
        <w:rPr>
          <w:color w:val="211F1F"/>
          <w:spacing w:val="-10"/>
        </w:rPr>
        <w:t xml:space="preserve"> </w:t>
      </w:r>
      <w:r>
        <w:rPr>
          <w:color w:val="211F1F"/>
        </w:rPr>
        <w:t>allowances are</w:t>
      </w:r>
      <w:r>
        <w:rPr>
          <w:color w:val="211F1F"/>
          <w:spacing w:val="-7"/>
        </w:rPr>
        <w:t xml:space="preserve"> </w:t>
      </w:r>
      <w:r>
        <w:rPr>
          <w:color w:val="211F1F"/>
        </w:rPr>
        <w:t>used,</w:t>
      </w:r>
      <w:r>
        <w:rPr>
          <w:color w:val="211F1F"/>
          <w:spacing w:val="-3"/>
        </w:rPr>
        <w:t xml:space="preserve"> </w:t>
      </w:r>
      <w:r>
        <w:rPr>
          <w:color w:val="211F1F"/>
        </w:rPr>
        <w:t>the</w:t>
      </w:r>
      <w:r>
        <w:rPr>
          <w:color w:val="211F1F"/>
          <w:spacing w:val="-8"/>
        </w:rPr>
        <w:t xml:space="preserve"> </w:t>
      </w:r>
      <w:r>
        <w:rPr>
          <w:color w:val="211F1F"/>
        </w:rPr>
        <w:t>Special</w:t>
      </w:r>
      <w:r>
        <w:rPr>
          <w:color w:val="211F1F"/>
          <w:spacing w:val="-4"/>
        </w:rPr>
        <w:t xml:space="preserve"> </w:t>
      </w:r>
      <w:r>
        <w:rPr>
          <w:color w:val="211F1F"/>
        </w:rPr>
        <w:t>Conditions</w:t>
      </w:r>
      <w:r>
        <w:rPr>
          <w:color w:val="211F1F"/>
          <w:spacing w:val="-4"/>
        </w:rPr>
        <w:t xml:space="preserve"> </w:t>
      </w:r>
      <w:r>
        <w:rPr>
          <w:color w:val="211F1F"/>
        </w:rPr>
        <w:t xml:space="preserve">of Contract should state the manner in which they shall be used, and under whose authority (usually the Project </w:t>
      </w:r>
      <w:r>
        <w:rPr>
          <w:color w:val="211F1F"/>
          <w:spacing w:val="-2"/>
        </w:rPr>
        <w:t>Manager's).</w:t>
      </w:r>
    </w:p>
    <w:p w14:paraId="5FC0E3F1" w14:textId="77777777" w:rsidR="00BB77C0" w:rsidRDefault="00370BAA">
      <w:pPr>
        <w:pStyle w:val="BodyText"/>
        <w:spacing w:before="245" w:line="230" w:lineRule="auto"/>
        <w:ind w:left="1051" w:right="706" w:hanging="10"/>
        <w:jc w:val="both"/>
      </w:pPr>
      <w:r>
        <w:rPr>
          <w:color w:val="211F1F"/>
        </w:rPr>
        <w:t>The</w:t>
      </w:r>
      <w:r>
        <w:rPr>
          <w:color w:val="211F1F"/>
          <w:spacing w:val="-4"/>
        </w:rPr>
        <w:t xml:space="preserve"> </w:t>
      </w:r>
      <w:r>
        <w:rPr>
          <w:color w:val="211F1F"/>
        </w:rPr>
        <w:t>estimated</w:t>
      </w:r>
      <w:r>
        <w:rPr>
          <w:color w:val="211F1F"/>
          <w:spacing w:val="-6"/>
        </w:rPr>
        <w:t xml:space="preserve"> </w:t>
      </w:r>
      <w:r>
        <w:rPr>
          <w:color w:val="211F1F"/>
        </w:rPr>
        <w:t>cost</w:t>
      </w:r>
      <w:r>
        <w:rPr>
          <w:color w:val="211F1F"/>
          <w:spacing w:val="-1"/>
        </w:rPr>
        <w:t xml:space="preserve"> </w:t>
      </w:r>
      <w:r>
        <w:rPr>
          <w:color w:val="211F1F"/>
        </w:rPr>
        <w:t>of</w:t>
      </w:r>
      <w:r>
        <w:rPr>
          <w:color w:val="211F1F"/>
          <w:spacing w:val="-4"/>
        </w:rPr>
        <w:t xml:space="preserve"> </w:t>
      </w:r>
      <w:r>
        <w:rPr>
          <w:color w:val="211F1F"/>
        </w:rPr>
        <w:t>specialized</w:t>
      </w:r>
      <w:r>
        <w:rPr>
          <w:color w:val="211F1F"/>
          <w:spacing w:val="-5"/>
        </w:rPr>
        <w:t xml:space="preserve"> </w:t>
      </w:r>
      <w:r>
        <w:rPr>
          <w:color w:val="211F1F"/>
        </w:rPr>
        <w:t>work</w:t>
      </w:r>
      <w:r>
        <w:rPr>
          <w:color w:val="211F1F"/>
          <w:spacing w:val="-6"/>
        </w:rPr>
        <w:t xml:space="preserve"> </w:t>
      </w:r>
      <w:r>
        <w:rPr>
          <w:color w:val="211F1F"/>
        </w:rPr>
        <w:t>to</w:t>
      </w:r>
      <w:r>
        <w:rPr>
          <w:color w:val="211F1F"/>
          <w:spacing w:val="-7"/>
        </w:rPr>
        <w:t xml:space="preserve"> </w:t>
      </w:r>
      <w:r>
        <w:rPr>
          <w:color w:val="211F1F"/>
        </w:rPr>
        <w:t>be</w:t>
      </w:r>
      <w:r>
        <w:rPr>
          <w:color w:val="211F1F"/>
          <w:spacing w:val="-9"/>
        </w:rPr>
        <w:t xml:space="preserve"> </w:t>
      </w:r>
      <w:r>
        <w:rPr>
          <w:color w:val="211F1F"/>
        </w:rPr>
        <w:t>carried</w:t>
      </w:r>
      <w:r>
        <w:rPr>
          <w:color w:val="211F1F"/>
          <w:spacing w:val="-6"/>
        </w:rPr>
        <w:t xml:space="preserve"> </w:t>
      </w:r>
      <w:r>
        <w:rPr>
          <w:color w:val="211F1F"/>
        </w:rPr>
        <w:t>out,</w:t>
      </w:r>
      <w:r>
        <w:rPr>
          <w:color w:val="211F1F"/>
          <w:spacing w:val="-5"/>
        </w:rPr>
        <w:t xml:space="preserve"> </w:t>
      </w:r>
      <w:r>
        <w:rPr>
          <w:color w:val="211F1F"/>
        </w:rPr>
        <w:t>or of</w:t>
      </w:r>
      <w:r>
        <w:rPr>
          <w:color w:val="211F1F"/>
          <w:spacing w:val="-4"/>
        </w:rPr>
        <w:t xml:space="preserve"> </w:t>
      </w:r>
      <w:r>
        <w:rPr>
          <w:color w:val="211F1F"/>
        </w:rPr>
        <w:t>special</w:t>
      </w:r>
      <w:r>
        <w:rPr>
          <w:color w:val="211F1F"/>
          <w:spacing w:val="-5"/>
        </w:rPr>
        <w:t xml:space="preserve"> </w:t>
      </w:r>
      <w:r>
        <w:rPr>
          <w:color w:val="211F1F"/>
        </w:rPr>
        <w:t>goods</w:t>
      </w:r>
      <w:r>
        <w:rPr>
          <w:color w:val="211F1F"/>
          <w:spacing w:val="-6"/>
        </w:rPr>
        <w:t xml:space="preserve"> </w:t>
      </w:r>
      <w:r>
        <w:rPr>
          <w:color w:val="211F1F"/>
        </w:rPr>
        <w:t>to</w:t>
      </w:r>
      <w:r>
        <w:rPr>
          <w:color w:val="211F1F"/>
          <w:spacing w:val="-7"/>
        </w:rPr>
        <w:t xml:space="preserve"> </w:t>
      </w:r>
      <w:r>
        <w:rPr>
          <w:color w:val="211F1F"/>
        </w:rPr>
        <w:t>be</w:t>
      </w:r>
      <w:r>
        <w:rPr>
          <w:color w:val="211F1F"/>
          <w:spacing w:val="-9"/>
        </w:rPr>
        <w:t xml:space="preserve"> </w:t>
      </w:r>
      <w:r>
        <w:rPr>
          <w:color w:val="211F1F"/>
        </w:rPr>
        <w:t>supplied, by</w:t>
      </w:r>
      <w:r>
        <w:rPr>
          <w:color w:val="211F1F"/>
          <w:spacing w:val="-7"/>
        </w:rPr>
        <w:t xml:space="preserve"> </w:t>
      </w:r>
      <w:r>
        <w:rPr>
          <w:color w:val="211F1F"/>
        </w:rPr>
        <w:t xml:space="preserve">other contractors should be indicated in the relevant part of the Bill of Quantities as a particular provisional sum with an </w:t>
      </w:r>
      <w:r>
        <w:rPr>
          <w:color w:val="211F1F"/>
          <w:spacing w:val="-2"/>
        </w:rPr>
        <w:t>appropriate</w:t>
      </w:r>
      <w:r>
        <w:rPr>
          <w:color w:val="211F1F"/>
          <w:spacing w:val="-12"/>
        </w:rPr>
        <w:t xml:space="preserve"> </w:t>
      </w:r>
      <w:r>
        <w:rPr>
          <w:color w:val="211F1F"/>
          <w:spacing w:val="-2"/>
        </w:rPr>
        <w:t>brief</w:t>
      </w:r>
      <w:r>
        <w:rPr>
          <w:color w:val="211F1F"/>
          <w:spacing w:val="-12"/>
        </w:rPr>
        <w:t xml:space="preserve"> </w:t>
      </w:r>
      <w:r>
        <w:rPr>
          <w:color w:val="211F1F"/>
          <w:spacing w:val="-2"/>
        </w:rPr>
        <w:t>description.</w:t>
      </w:r>
      <w:r>
        <w:rPr>
          <w:color w:val="211F1F"/>
          <w:spacing w:val="32"/>
        </w:rPr>
        <w:t xml:space="preserve"> </w:t>
      </w:r>
      <w:r>
        <w:rPr>
          <w:color w:val="211F1F"/>
          <w:spacing w:val="-2"/>
        </w:rPr>
        <w:t>A</w:t>
      </w:r>
      <w:r>
        <w:rPr>
          <w:color w:val="211F1F"/>
          <w:spacing w:val="-12"/>
        </w:rPr>
        <w:t xml:space="preserve"> </w:t>
      </w:r>
      <w:r>
        <w:rPr>
          <w:color w:val="211F1F"/>
          <w:spacing w:val="-2"/>
        </w:rPr>
        <w:t>separate</w:t>
      </w:r>
      <w:r>
        <w:rPr>
          <w:color w:val="211F1F"/>
          <w:spacing w:val="-10"/>
        </w:rPr>
        <w:t xml:space="preserve"> </w:t>
      </w:r>
      <w:r>
        <w:rPr>
          <w:color w:val="211F1F"/>
          <w:spacing w:val="-2"/>
        </w:rPr>
        <w:t>procurement</w:t>
      </w:r>
      <w:r>
        <w:rPr>
          <w:color w:val="211F1F"/>
          <w:spacing w:val="-3"/>
        </w:rPr>
        <w:t xml:space="preserve"> </w:t>
      </w:r>
      <w:r>
        <w:rPr>
          <w:color w:val="211F1F"/>
          <w:spacing w:val="-2"/>
        </w:rPr>
        <w:t>procedure</w:t>
      </w:r>
      <w:r>
        <w:rPr>
          <w:color w:val="211F1F"/>
          <w:spacing w:val="-12"/>
        </w:rPr>
        <w:t xml:space="preserve"> </w:t>
      </w:r>
      <w:r>
        <w:rPr>
          <w:color w:val="211F1F"/>
          <w:spacing w:val="-2"/>
        </w:rPr>
        <w:t>is</w:t>
      </w:r>
      <w:r>
        <w:rPr>
          <w:color w:val="211F1F"/>
          <w:spacing w:val="-3"/>
        </w:rPr>
        <w:t xml:space="preserve"> </w:t>
      </w:r>
      <w:r>
        <w:rPr>
          <w:color w:val="211F1F"/>
          <w:spacing w:val="-2"/>
        </w:rPr>
        <w:t>normally</w:t>
      </w:r>
      <w:r>
        <w:rPr>
          <w:color w:val="211F1F"/>
          <w:spacing w:val="-9"/>
        </w:rPr>
        <w:t xml:space="preserve"> </w:t>
      </w:r>
      <w:r>
        <w:rPr>
          <w:color w:val="211F1F"/>
          <w:spacing w:val="-2"/>
        </w:rPr>
        <w:t>carried</w:t>
      </w:r>
      <w:r>
        <w:rPr>
          <w:color w:val="211F1F"/>
          <w:spacing w:val="-12"/>
        </w:rPr>
        <w:t xml:space="preserve"> </w:t>
      </w:r>
      <w:r>
        <w:rPr>
          <w:color w:val="211F1F"/>
          <w:spacing w:val="-2"/>
        </w:rPr>
        <w:t>out</w:t>
      </w:r>
      <w:r>
        <w:rPr>
          <w:color w:val="211F1F"/>
          <w:spacing w:val="-7"/>
        </w:rPr>
        <w:t xml:space="preserve"> </w:t>
      </w:r>
      <w:r>
        <w:rPr>
          <w:color w:val="211F1F"/>
          <w:spacing w:val="-2"/>
        </w:rPr>
        <w:t>by</w:t>
      </w:r>
      <w:r>
        <w:rPr>
          <w:color w:val="211F1F"/>
          <w:spacing w:val="-12"/>
        </w:rPr>
        <w:t xml:space="preserve"> </w:t>
      </w:r>
      <w:r>
        <w:rPr>
          <w:color w:val="211F1F"/>
          <w:spacing w:val="-2"/>
        </w:rPr>
        <w:t>the</w:t>
      </w:r>
      <w:r>
        <w:rPr>
          <w:color w:val="211F1F"/>
          <w:spacing w:val="-12"/>
        </w:rPr>
        <w:t xml:space="preserve"> </w:t>
      </w:r>
      <w:r>
        <w:rPr>
          <w:color w:val="211F1F"/>
          <w:spacing w:val="-2"/>
        </w:rPr>
        <w:t>Procuring</w:t>
      </w:r>
      <w:r>
        <w:rPr>
          <w:color w:val="211F1F"/>
          <w:spacing w:val="-7"/>
        </w:rPr>
        <w:t xml:space="preserve"> </w:t>
      </w:r>
      <w:r>
        <w:rPr>
          <w:color w:val="211F1F"/>
          <w:spacing w:val="-2"/>
        </w:rPr>
        <w:t xml:space="preserve">Entity to </w:t>
      </w:r>
      <w:r>
        <w:rPr>
          <w:color w:val="211F1F"/>
        </w:rPr>
        <w:t>select</w:t>
      </w:r>
      <w:r>
        <w:rPr>
          <w:color w:val="211F1F"/>
          <w:spacing w:val="-11"/>
        </w:rPr>
        <w:t xml:space="preserve"> </w:t>
      </w:r>
      <w:r>
        <w:rPr>
          <w:color w:val="211F1F"/>
        </w:rPr>
        <w:t>such</w:t>
      </w:r>
      <w:r>
        <w:rPr>
          <w:color w:val="211F1F"/>
          <w:spacing w:val="-14"/>
        </w:rPr>
        <w:t xml:space="preserve"> </w:t>
      </w:r>
      <w:r>
        <w:rPr>
          <w:color w:val="211F1F"/>
        </w:rPr>
        <w:t>specialized</w:t>
      </w:r>
      <w:r>
        <w:rPr>
          <w:color w:val="211F1F"/>
          <w:spacing w:val="-13"/>
        </w:rPr>
        <w:t xml:space="preserve"> </w:t>
      </w:r>
      <w:r>
        <w:rPr>
          <w:color w:val="211F1F"/>
        </w:rPr>
        <w:t>contractors.</w:t>
      </w:r>
      <w:r>
        <w:rPr>
          <w:color w:val="211F1F"/>
          <w:spacing w:val="36"/>
        </w:rPr>
        <w:t xml:space="preserve"> </w:t>
      </w:r>
      <w:r>
        <w:rPr>
          <w:color w:val="211F1F"/>
        </w:rPr>
        <w:t>To</w:t>
      </w:r>
      <w:r>
        <w:rPr>
          <w:color w:val="211F1F"/>
          <w:spacing w:val="-14"/>
        </w:rPr>
        <w:t xml:space="preserve"> </w:t>
      </w:r>
      <w:r>
        <w:rPr>
          <w:color w:val="211F1F"/>
        </w:rPr>
        <w:t>provide</w:t>
      </w:r>
      <w:r>
        <w:rPr>
          <w:color w:val="211F1F"/>
          <w:spacing w:val="-14"/>
        </w:rPr>
        <w:t xml:space="preserve"> </w:t>
      </w:r>
      <w:r>
        <w:rPr>
          <w:color w:val="211F1F"/>
        </w:rPr>
        <w:t>an</w:t>
      </w:r>
      <w:r>
        <w:rPr>
          <w:color w:val="211F1F"/>
          <w:spacing w:val="-14"/>
        </w:rPr>
        <w:t xml:space="preserve"> </w:t>
      </w:r>
      <w:r>
        <w:rPr>
          <w:color w:val="211F1F"/>
        </w:rPr>
        <w:t>element</w:t>
      </w:r>
      <w:r>
        <w:rPr>
          <w:color w:val="211F1F"/>
          <w:spacing w:val="-8"/>
        </w:rPr>
        <w:t xml:space="preserve"> </w:t>
      </w:r>
      <w:r>
        <w:rPr>
          <w:color w:val="211F1F"/>
        </w:rPr>
        <w:t>of</w:t>
      </w:r>
      <w:r>
        <w:rPr>
          <w:color w:val="211F1F"/>
          <w:spacing w:val="-11"/>
        </w:rPr>
        <w:t xml:space="preserve"> </w:t>
      </w:r>
      <w:r>
        <w:rPr>
          <w:color w:val="211F1F"/>
        </w:rPr>
        <w:t>competition</w:t>
      </w:r>
      <w:r>
        <w:rPr>
          <w:color w:val="211F1F"/>
          <w:spacing w:val="-13"/>
        </w:rPr>
        <w:t xml:space="preserve"> </w:t>
      </w:r>
      <w:r>
        <w:rPr>
          <w:color w:val="211F1F"/>
        </w:rPr>
        <w:t>among</w:t>
      </w:r>
      <w:r>
        <w:rPr>
          <w:color w:val="211F1F"/>
          <w:spacing w:val="-14"/>
        </w:rPr>
        <w:t xml:space="preserve"> </w:t>
      </w:r>
      <w:r>
        <w:rPr>
          <w:color w:val="211F1F"/>
        </w:rPr>
        <w:t>the</w:t>
      </w:r>
      <w:r>
        <w:rPr>
          <w:color w:val="211F1F"/>
          <w:spacing w:val="-14"/>
        </w:rPr>
        <w:t xml:space="preserve"> </w:t>
      </w:r>
      <w:r>
        <w:rPr>
          <w:color w:val="211F1F"/>
        </w:rPr>
        <w:t>Tenderers</w:t>
      </w:r>
      <w:r>
        <w:rPr>
          <w:color w:val="211F1F"/>
          <w:spacing w:val="-8"/>
        </w:rPr>
        <w:t xml:space="preserve"> </w:t>
      </w:r>
      <w:r>
        <w:rPr>
          <w:color w:val="211F1F"/>
        </w:rPr>
        <w:t>in</w:t>
      </w:r>
      <w:r>
        <w:rPr>
          <w:color w:val="211F1F"/>
          <w:spacing w:val="-14"/>
        </w:rPr>
        <w:t xml:space="preserve"> </w:t>
      </w:r>
      <w:r>
        <w:rPr>
          <w:color w:val="211F1F"/>
        </w:rPr>
        <w:t>respect</w:t>
      </w:r>
      <w:r>
        <w:rPr>
          <w:color w:val="211F1F"/>
          <w:spacing w:val="-7"/>
        </w:rPr>
        <w:t xml:space="preserve"> </w:t>
      </w:r>
      <w:r>
        <w:rPr>
          <w:color w:val="211F1F"/>
        </w:rPr>
        <w:t>of any facilities, amenities, attendance, etc., to</w:t>
      </w:r>
      <w:r>
        <w:rPr>
          <w:color w:val="211F1F"/>
          <w:spacing w:val="-2"/>
        </w:rPr>
        <w:t xml:space="preserve"> </w:t>
      </w:r>
      <w:r>
        <w:rPr>
          <w:color w:val="211F1F"/>
        </w:rPr>
        <w:t>be</w:t>
      </w:r>
      <w:r>
        <w:rPr>
          <w:color w:val="211F1F"/>
          <w:spacing w:val="-4"/>
        </w:rPr>
        <w:t xml:space="preserve"> </w:t>
      </w:r>
      <w:r>
        <w:rPr>
          <w:color w:val="211F1F"/>
        </w:rPr>
        <w:t>provided</w:t>
      </w:r>
      <w:r>
        <w:rPr>
          <w:color w:val="211F1F"/>
          <w:spacing w:val="-1"/>
        </w:rPr>
        <w:t xml:space="preserve"> </w:t>
      </w:r>
      <w:r>
        <w:rPr>
          <w:color w:val="211F1F"/>
        </w:rPr>
        <w:t>by</w:t>
      </w:r>
      <w:r>
        <w:rPr>
          <w:color w:val="211F1F"/>
          <w:spacing w:val="-2"/>
        </w:rPr>
        <w:t xml:space="preserve"> </w:t>
      </w:r>
      <w:r>
        <w:rPr>
          <w:color w:val="211F1F"/>
        </w:rPr>
        <w:t>the</w:t>
      </w:r>
      <w:r>
        <w:rPr>
          <w:color w:val="211F1F"/>
          <w:spacing w:val="-3"/>
        </w:rPr>
        <w:t xml:space="preserve"> </w:t>
      </w:r>
      <w:r>
        <w:rPr>
          <w:color w:val="211F1F"/>
        </w:rPr>
        <w:t>successful</w:t>
      </w:r>
      <w:r>
        <w:rPr>
          <w:color w:val="211F1F"/>
          <w:spacing w:val="-5"/>
        </w:rPr>
        <w:t xml:space="preserve"> </w:t>
      </w:r>
      <w:r>
        <w:rPr>
          <w:color w:val="211F1F"/>
        </w:rPr>
        <w:t>Tenderer as</w:t>
      </w:r>
      <w:r>
        <w:rPr>
          <w:color w:val="211F1F"/>
          <w:spacing w:val="-1"/>
        </w:rPr>
        <w:t xml:space="preserve"> </w:t>
      </w:r>
      <w:r>
        <w:rPr>
          <w:color w:val="211F1F"/>
        </w:rPr>
        <w:t>prime</w:t>
      </w:r>
      <w:r>
        <w:rPr>
          <w:color w:val="211F1F"/>
          <w:spacing w:val="-1"/>
        </w:rPr>
        <w:t xml:space="preserve"> </w:t>
      </w:r>
      <w:r>
        <w:rPr>
          <w:color w:val="211F1F"/>
        </w:rPr>
        <w:t>Contractor for the</w:t>
      </w:r>
      <w:r>
        <w:rPr>
          <w:color w:val="211F1F"/>
          <w:spacing w:val="-4"/>
        </w:rPr>
        <w:t xml:space="preserve"> </w:t>
      </w:r>
      <w:r>
        <w:rPr>
          <w:color w:val="211F1F"/>
        </w:rPr>
        <w:t>use and</w:t>
      </w:r>
      <w:r>
        <w:rPr>
          <w:color w:val="211F1F"/>
          <w:spacing w:val="-5"/>
        </w:rPr>
        <w:t xml:space="preserve"> </w:t>
      </w:r>
      <w:r>
        <w:rPr>
          <w:color w:val="211F1F"/>
        </w:rPr>
        <w:t>convenience</w:t>
      </w:r>
      <w:r>
        <w:rPr>
          <w:color w:val="211F1F"/>
          <w:spacing w:val="-7"/>
        </w:rPr>
        <w:t xml:space="preserve"> </w:t>
      </w:r>
      <w:r>
        <w:rPr>
          <w:color w:val="211F1F"/>
        </w:rPr>
        <w:t>of</w:t>
      </w:r>
      <w:r>
        <w:rPr>
          <w:color w:val="211F1F"/>
          <w:spacing w:val="-7"/>
        </w:rPr>
        <w:t xml:space="preserve"> </w:t>
      </w:r>
      <w:r>
        <w:rPr>
          <w:color w:val="211F1F"/>
        </w:rPr>
        <w:t>the</w:t>
      </w:r>
      <w:r>
        <w:rPr>
          <w:color w:val="211F1F"/>
          <w:spacing w:val="-11"/>
        </w:rPr>
        <w:t xml:space="preserve"> </w:t>
      </w:r>
      <w:r>
        <w:rPr>
          <w:color w:val="211F1F"/>
        </w:rPr>
        <w:t>specialist</w:t>
      </w:r>
      <w:r>
        <w:rPr>
          <w:color w:val="211F1F"/>
          <w:spacing w:val="-3"/>
        </w:rPr>
        <w:t xml:space="preserve"> </w:t>
      </w:r>
      <w:r>
        <w:rPr>
          <w:color w:val="211F1F"/>
        </w:rPr>
        <w:t>contractors,</w:t>
      </w:r>
      <w:r>
        <w:rPr>
          <w:color w:val="211F1F"/>
          <w:spacing w:val="-2"/>
        </w:rPr>
        <w:t xml:space="preserve"> </w:t>
      </w:r>
      <w:r>
        <w:rPr>
          <w:color w:val="211F1F"/>
        </w:rPr>
        <w:t>each</w:t>
      </w:r>
      <w:r>
        <w:rPr>
          <w:color w:val="211F1F"/>
          <w:spacing w:val="-6"/>
        </w:rPr>
        <w:t xml:space="preserve"> </w:t>
      </w:r>
      <w:r>
        <w:rPr>
          <w:color w:val="211F1F"/>
        </w:rPr>
        <w:t>related</w:t>
      </w:r>
      <w:r>
        <w:rPr>
          <w:color w:val="211F1F"/>
          <w:spacing w:val="-5"/>
        </w:rPr>
        <w:t xml:space="preserve"> </w:t>
      </w:r>
      <w:r>
        <w:rPr>
          <w:color w:val="211F1F"/>
        </w:rPr>
        <w:t>provisional</w:t>
      </w:r>
      <w:r>
        <w:rPr>
          <w:color w:val="211F1F"/>
          <w:spacing w:val="-4"/>
        </w:rPr>
        <w:t xml:space="preserve"> </w:t>
      </w:r>
      <w:r>
        <w:rPr>
          <w:color w:val="211F1F"/>
        </w:rPr>
        <w:t>sum</w:t>
      </w:r>
      <w:r>
        <w:rPr>
          <w:color w:val="211F1F"/>
          <w:spacing w:val="-9"/>
        </w:rPr>
        <w:t xml:space="preserve"> </w:t>
      </w:r>
      <w:r>
        <w:rPr>
          <w:color w:val="211F1F"/>
        </w:rPr>
        <w:t>should</w:t>
      </w:r>
      <w:r>
        <w:rPr>
          <w:color w:val="211F1F"/>
          <w:spacing w:val="-10"/>
        </w:rPr>
        <w:t xml:space="preserve"> </w:t>
      </w:r>
      <w:r>
        <w:rPr>
          <w:color w:val="211F1F"/>
        </w:rPr>
        <w:t>be</w:t>
      </w:r>
      <w:r>
        <w:rPr>
          <w:color w:val="211F1F"/>
          <w:spacing w:val="-8"/>
        </w:rPr>
        <w:t xml:space="preserve"> </w:t>
      </w:r>
      <w:r>
        <w:rPr>
          <w:color w:val="211F1F"/>
        </w:rPr>
        <w:t>followed</w:t>
      </w:r>
      <w:r>
        <w:rPr>
          <w:color w:val="211F1F"/>
          <w:spacing w:val="-5"/>
        </w:rPr>
        <w:t xml:space="preserve"> </w:t>
      </w:r>
      <w:r>
        <w:rPr>
          <w:color w:val="211F1F"/>
        </w:rPr>
        <w:t>by</w:t>
      </w:r>
      <w:r>
        <w:rPr>
          <w:color w:val="211F1F"/>
          <w:spacing w:val="-6"/>
        </w:rPr>
        <w:t xml:space="preserve"> </w:t>
      </w:r>
      <w:r>
        <w:rPr>
          <w:color w:val="211F1F"/>
        </w:rPr>
        <w:t>an</w:t>
      </w:r>
      <w:r>
        <w:rPr>
          <w:color w:val="211F1F"/>
          <w:spacing w:val="-10"/>
        </w:rPr>
        <w:t xml:space="preserve"> </w:t>
      </w:r>
      <w:r>
        <w:rPr>
          <w:color w:val="211F1F"/>
        </w:rPr>
        <w:t>item</w:t>
      </w:r>
      <w:r>
        <w:rPr>
          <w:color w:val="211F1F"/>
          <w:spacing w:val="-9"/>
        </w:rPr>
        <w:t xml:space="preserve"> </w:t>
      </w:r>
      <w:r>
        <w:rPr>
          <w:color w:val="211F1F"/>
        </w:rPr>
        <w:t>in the Bill</w:t>
      </w:r>
      <w:r>
        <w:rPr>
          <w:color w:val="211F1F"/>
          <w:spacing w:val="-8"/>
        </w:rPr>
        <w:t xml:space="preserve"> </w:t>
      </w:r>
      <w:r>
        <w:rPr>
          <w:color w:val="211F1F"/>
        </w:rPr>
        <w:t>of</w:t>
      </w:r>
      <w:r>
        <w:rPr>
          <w:color w:val="211F1F"/>
          <w:spacing w:val="-7"/>
        </w:rPr>
        <w:t xml:space="preserve"> </w:t>
      </w:r>
      <w:r>
        <w:rPr>
          <w:color w:val="211F1F"/>
        </w:rPr>
        <w:t>Quantities</w:t>
      </w:r>
      <w:r>
        <w:rPr>
          <w:color w:val="211F1F"/>
          <w:spacing w:val="-4"/>
        </w:rPr>
        <w:t xml:space="preserve"> </w:t>
      </w:r>
      <w:r>
        <w:rPr>
          <w:color w:val="211F1F"/>
        </w:rPr>
        <w:t>inviting</w:t>
      </w:r>
      <w:r>
        <w:rPr>
          <w:color w:val="211F1F"/>
          <w:spacing w:val="-10"/>
        </w:rPr>
        <w:t xml:space="preserve"> </w:t>
      </w:r>
      <w:r>
        <w:rPr>
          <w:color w:val="211F1F"/>
        </w:rPr>
        <w:t>the</w:t>
      </w:r>
      <w:r>
        <w:rPr>
          <w:color w:val="211F1F"/>
          <w:spacing w:val="-19"/>
        </w:rPr>
        <w:t xml:space="preserve"> </w:t>
      </w:r>
      <w:r>
        <w:rPr>
          <w:color w:val="211F1F"/>
        </w:rPr>
        <w:t>Tenderer</w:t>
      </w:r>
      <w:r>
        <w:rPr>
          <w:color w:val="211F1F"/>
          <w:spacing w:val="-6"/>
        </w:rPr>
        <w:t xml:space="preserve"> </w:t>
      </w:r>
      <w:r>
        <w:rPr>
          <w:color w:val="211F1F"/>
        </w:rPr>
        <w:t>to</w:t>
      </w:r>
      <w:r>
        <w:rPr>
          <w:color w:val="211F1F"/>
          <w:spacing w:val="-5"/>
        </w:rPr>
        <w:t xml:space="preserve"> </w:t>
      </w:r>
      <w:r>
        <w:rPr>
          <w:color w:val="211F1F"/>
        </w:rPr>
        <w:t>quote</w:t>
      </w:r>
      <w:r>
        <w:rPr>
          <w:color w:val="211F1F"/>
          <w:spacing w:val="-18"/>
        </w:rPr>
        <w:t xml:space="preserve"> </w:t>
      </w:r>
      <w:r>
        <w:rPr>
          <w:color w:val="211F1F"/>
        </w:rPr>
        <w:t>a</w:t>
      </w:r>
      <w:r>
        <w:rPr>
          <w:color w:val="211F1F"/>
          <w:spacing w:val="-1"/>
        </w:rPr>
        <w:t xml:space="preserve"> </w:t>
      </w:r>
      <w:r>
        <w:rPr>
          <w:color w:val="211F1F"/>
        </w:rPr>
        <w:t>sum</w:t>
      </w:r>
      <w:r>
        <w:rPr>
          <w:color w:val="211F1F"/>
          <w:spacing w:val="-15"/>
        </w:rPr>
        <w:t xml:space="preserve"> </w:t>
      </w:r>
      <w:r>
        <w:rPr>
          <w:color w:val="211F1F"/>
        </w:rPr>
        <w:t>for</w:t>
      </w:r>
      <w:r>
        <w:rPr>
          <w:color w:val="211F1F"/>
          <w:spacing w:val="-7"/>
        </w:rPr>
        <w:t xml:space="preserve"> </w:t>
      </w:r>
      <w:r>
        <w:rPr>
          <w:color w:val="211F1F"/>
        </w:rPr>
        <w:t>such</w:t>
      </w:r>
      <w:r>
        <w:rPr>
          <w:color w:val="211F1F"/>
          <w:spacing w:val="-11"/>
        </w:rPr>
        <w:t xml:space="preserve"> </w:t>
      </w:r>
      <w:r>
        <w:rPr>
          <w:color w:val="211F1F"/>
        </w:rPr>
        <w:t>amenities, facilities,</w:t>
      </w:r>
      <w:r>
        <w:rPr>
          <w:color w:val="211F1F"/>
          <w:spacing w:val="-6"/>
        </w:rPr>
        <w:t xml:space="preserve"> </w:t>
      </w:r>
      <w:r>
        <w:rPr>
          <w:color w:val="211F1F"/>
        </w:rPr>
        <w:t>attendance,</w:t>
      </w:r>
      <w:r>
        <w:rPr>
          <w:color w:val="211F1F"/>
          <w:spacing w:val="-1"/>
        </w:rPr>
        <w:t xml:space="preserve"> </w:t>
      </w:r>
      <w:r>
        <w:rPr>
          <w:color w:val="211F1F"/>
        </w:rPr>
        <w:t>etc.</w:t>
      </w:r>
    </w:p>
    <w:p w14:paraId="05F573A3" w14:textId="77777777" w:rsidR="00BB77C0" w:rsidRDefault="00370BAA">
      <w:pPr>
        <w:pStyle w:val="BodyText"/>
        <w:spacing w:before="246" w:line="228" w:lineRule="auto"/>
        <w:ind w:left="1051" w:right="722" w:hanging="15"/>
        <w:jc w:val="both"/>
      </w:pPr>
      <w:r>
        <w:rPr>
          <w:color w:val="211F1F"/>
        </w:rPr>
        <w:t>These</w:t>
      </w:r>
      <w:r>
        <w:rPr>
          <w:color w:val="211F1F"/>
          <w:spacing w:val="-1"/>
        </w:rPr>
        <w:t xml:space="preserve"> </w:t>
      </w:r>
      <w:r>
        <w:rPr>
          <w:color w:val="211F1F"/>
        </w:rPr>
        <w:t>Notes for Preparing a Bill of Quantities are</w:t>
      </w:r>
      <w:r>
        <w:rPr>
          <w:color w:val="211F1F"/>
          <w:spacing w:val="-1"/>
        </w:rPr>
        <w:t xml:space="preserve"> </w:t>
      </w:r>
      <w:r>
        <w:rPr>
          <w:color w:val="211F1F"/>
        </w:rPr>
        <w:t>intended only as information for the</w:t>
      </w:r>
      <w:r>
        <w:rPr>
          <w:color w:val="211F1F"/>
          <w:spacing w:val="-1"/>
        </w:rPr>
        <w:t xml:space="preserve"> </w:t>
      </w:r>
      <w:r>
        <w:rPr>
          <w:color w:val="211F1F"/>
        </w:rPr>
        <w:t>Procuring Entity or the person</w:t>
      </w:r>
      <w:r>
        <w:rPr>
          <w:color w:val="211F1F"/>
          <w:spacing w:val="-1"/>
        </w:rPr>
        <w:t xml:space="preserve"> </w:t>
      </w:r>
      <w:r>
        <w:rPr>
          <w:color w:val="211F1F"/>
        </w:rPr>
        <w:t>drafting</w:t>
      </w:r>
      <w:r>
        <w:rPr>
          <w:color w:val="211F1F"/>
          <w:spacing w:val="-9"/>
        </w:rPr>
        <w:t xml:space="preserve"> </w:t>
      </w:r>
      <w:r>
        <w:rPr>
          <w:color w:val="211F1F"/>
        </w:rPr>
        <w:t>the</w:t>
      </w:r>
      <w:r>
        <w:rPr>
          <w:color w:val="211F1F"/>
          <w:spacing w:val="-16"/>
        </w:rPr>
        <w:t xml:space="preserve"> </w:t>
      </w:r>
      <w:r>
        <w:rPr>
          <w:color w:val="211F1F"/>
        </w:rPr>
        <w:t>tendering</w:t>
      </w:r>
      <w:r>
        <w:rPr>
          <w:color w:val="211F1F"/>
          <w:spacing w:val="-8"/>
        </w:rPr>
        <w:t xml:space="preserve"> </w:t>
      </w:r>
      <w:r>
        <w:rPr>
          <w:color w:val="211F1F"/>
        </w:rPr>
        <w:t>document.</w:t>
      </w:r>
      <w:r>
        <w:rPr>
          <w:color w:val="211F1F"/>
          <w:spacing w:val="40"/>
        </w:rPr>
        <w:t xml:space="preserve"> </w:t>
      </w:r>
      <w:r>
        <w:rPr>
          <w:color w:val="211F1F"/>
        </w:rPr>
        <w:t>They</w:t>
      </w:r>
      <w:r>
        <w:rPr>
          <w:color w:val="211F1F"/>
          <w:spacing w:val="-8"/>
        </w:rPr>
        <w:t xml:space="preserve"> </w:t>
      </w:r>
      <w:r>
        <w:rPr>
          <w:color w:val="211F1F"/>
        </w:rPr>
        <w:t>should</w:t>
      </w:r>
      <w:r>
        <w:rPr>
          <w:color w:val="211F1F"/>
          <w:spacing w:val="-3"/>
        </w:rPr>
        <w:t xml:space="preserve"> </w:t>
      </w:r>
      <w:r>
        <w:rPr>
          <w:color w:val="211F1F"/>
        </w:rPr>
        <w:t>not</w:t>
      </w:r>
      <w:r>
        <w:rPr>
          <w:color w:val="211F1F"/>
          <w:spacing w:val="-1"/>
        </w:rPr>
        <w:t xml:space="preserve"> </w:t>
      </w:r>
      <w:r>
        <w:rPr>
          <w:color w:val="211F1F"/>
        </w:rPr>
        <w:t>be</w:t>
      </w:r>
      <w:r>
        <w:rPr>
          <w:color w:val="211F1F"/>
          <w:spacing w:val="-11"/>
        </w:rPr>
        <w:t xml:space="preserve"> </w:t>
      </w:r>
      <w:r>
        <w:rPr>
          <w:color w:val="211F1F"/>
        </w:rPr>
        <w:t>included</w:t>
      </w:r>
      <w:r>
        <w:rPr>
          <w:color w:val="211F1F"/>
          <w:spacing w:val="-9"/>
        </w:rPr>
        <w:t xml:space="preserve"> </w:t>
      </w:r>
      <w:r>
        <w:rPr>
          <w:color w:val="211F1F"/>
        </w:rPr>
        <w:t>in</w:t>
      </w:r>
      <w:r>
        <w:rPr>
          <w:color w:val="211F1F"/>
          <w:spacing w:val="-9"/>
        </w:rPr>
        <w:t xml:space="preserve"> </w:t>
      </w:r>
      <w:r>
        <w:rPr>
          <w:color w:val="211F1F"/>
        </w:rPr>
        <w:t>the</w:t>
      </w:r>
      <w:r>
        <w:rPr>
          <w:color w:val="211F1F"/>
          <w:spacing w:val="-10"/>
        </w:rPr>
        <w:t xml:space="preserve"> </w:t>
      </w:r>
      <w:r>
        <w:rPr>
          <w:color w:val="211F1F"/>
        </w:rPr>
        <w:t>final</w:t>
      </w:r>
      <w:r>
        <w:rPr>
          <w:color w:val="211F1F"/>
          <w:spacing w:val="-8"/>
        </w:rPr>
        <w:t xml:space="preserve"> </w:t>
      </w:r>
      <w:r>
        <w:rPr>
          <w:color w:val="211F1F"/>
        </w:rPr>
        <w:t>tendering</w:t>
      </w:r>
      <w:r>
        <w:rPr>
          <w:color w:val="211F1F"/>
          <w:spacing w:val="-8"/>
        </w:rPr>
        <w:t xml:space="preserve"> </w:t>
      </w:r>
      <w:r>
        <w:rPr>
          <w:color w:val="211F1F"/>
        </w:rPr>
        <w:t>document.</w:t>
      </w:r>
    </w:p>
    <w:p w14:paraId="3461FAF3" w14:textId="77777777" w:rsidR="00BB77C0" w:rsidRDefault="00370BAA">
      <w:pPr>
        <w:pStyle w:val="Heading7"/>
        <w:numPr>
          <w:ilvl w:val="0"/>
          <w:numId w:val="34"/>
        </w:numPr>
        <w:tabs>
          <w:tab w:val="left" w:pos="1041"/>
        </w:tabs>
        <w:spacing w:before="244"/>
        <w:ind w:left="1041" w:hanging="556"/>
      </w:pPr>
      <w:bookmarkStart w:id="181" w:name="4._The_Bills_of_Quantities"/>
      <w:bookmarkEnd w:id="181"/>
      <w:r>
        <w:rPr>
          <w:color w:val="211F1F"/>
          <w:spacing w:val="-2"/>
        </w:rPr>
        <w:t>The</w:t>
      </w:r>
      <w:r>
        <w:rPr>
          <w:color w:val="211F1F"/>
          <w:spacing w:val="-18"/>
        </w:rPr>
        <w:t xml:space="preserve"> </w:t>
      </w:r>
      <w:r>
        <w:rPr>
          <w:color w:val="211F1F"/>
          <w:spacing w:val="-2"/>
        </w:rPr>
        <w:t>Bills</w:t>
      </w:r>
      <w:r>
        <w:rPr>
          <w:color w:val="211F1F"/>
          <w:spacing w:val="-15"/>
        </w:rPr>
        <w:t xml:space="preserve"> </w:t>
      </w:r>
      <w:r>
        <w:rPr>
          <w:color w:val="211F1F"/>
          <w:spacing w:val="-2"/>
        </w:rPr>
        <w:t>of</w:t>
      </w:r>
      <w:r>
        <w:rPr>
          <w:color w:val="211F1F"/>
          <w:spacing w:val="-27"/>
        </w:rPr>
        <w:t xml:space="preserve"> </w:t>
      </w:r>
      <w:r>
        <w:rPr>
          <w:color w:val="211F1F"/>
          <w:spacing w:val="-2"/>
        </w:rPr>
        <w:t>Quantities</w:t>
      </w:r>
    </w:p>
    <w:p w14:paraId="2DE501BD" w14:textId="77777777" w:rsidR="00BB77C0" w:rsidRDefault="00370BAA">
      <w:pPr>
        <w:pStyle w:val="BodyText"/>
        <w:spacing w:before="223" w:line="251" w:lineRule="exact"/>
        <w:ind w:left="1042"/>
      </w:pPr>
      <w:r>
        <w:rPr>
          <w:color w:val="211F1F"/>
        </w:rPr>
        <w:t>The</w:t>
      </w:r>
      <w:r>
        <w:rPr>
          <w:color w:val="211F1F"/>
          <w:spacing w:val="-10"/>
        </w:rPr>
        <w:t xml:space="preserve"> </w:t>
      </w:r>
      <w:r>
        <w:rPr>
          <w:color w:val="211F1F"/>
        </w:rPr>
        <w:t>Bills</w:t>
      </w:r>
      <w:r>
        <w:rPr>
          <w:color w:val="211F1F"/>
          <w:spacing w:val="-5"/>
        </w:rPr>
        <w:t xml:space="preserve"> </w:t>
      </w:r>
      <w:r>
        <w:rPr>
          <w:color w:val="211F1F"/>
        </w:rPr>
        <w:t>of</w:t>
      </w:r>
      <w:r>
        <w:rPr>
          <w:color w:val="211F1F"/>
          <w:spacing w:val="-3"/>
        </w:rPr>
        <w:t xml:space="preserve"> </w:t>
      </w:r>
      <w:r>
        <w:rPr>
          <w:color w:val="211F1F"/>
        </w:rPr>
        <w:t>Quantities</w:t>
      </w:r>
      <w:r>
        <w:rPr>
          <w:color w:val="211F1F"/>
          <w:spacing w:val="-4"/>
        </w:rPr>
        <w:t xml:space="preserve"> </w:t>
      </w:r>
      <w:r>
        <w:rPr>
          <w:color w:val="211F1F"/>
        </w:rPr>
        <w:t>should</w:t>
      </w:r>
      <w:r>
        <w:rPr>
          <w:color w:val="211F1F"/>
          <w:spacing w:val="-11"/>
        </w:rPr>
        <w:t xml:space="preserve"> </w:t>
      </w:r>
      <w:r>
        <w:rPr>
          <w:color w:val="211F1F"/>
        </w:rPr>
        <w:t>be</w:t>
      </w:r>
      <w:r>
        <w:rPr>
          <w:color w:val="211F1F"/>
          <w:spacing w:val="-12"/>
        </w:rPr>
        <w:t xml:space="preserve"> </w:t>
      </w:r>
      <w:r>
        <w:rPr>
          <w:color w:val="211F1F"/>
        </w:rPr>
        <w:t>divided</w:t>
      </w:r>
      <w:r>
        <w:rPr>
          <w:color w:val="211F1F"/>
          <w:spacing w:val="-5"/>
        </w:rPr>
        <w:t xml:space="preserve"> </w:t>
      </w:r>
      <w:r>
        <w:rPr>
          <w:color w:val="211F1F"/>
        </w:rPr>
        <w:t>generally</w:t>
      </w:r>
      <w:r>
        <w:rPr>
          <w:color w:val="211F1F"/>
          <w:spacing w:val="-6"/>
        </w:rPr>
        <w:t xml:space="preserve"> </w:t>
      </w:r>
      <w:r>
        <w:rPr>
          <w:color w:val="211F1F"/>
        </w:rPr>
        <w:t>into</w:t>
      </w:r>
      <w:r>
        <w:rPr>
          <w:color w:val="211F1F"/>
          <w:spacing w:val="-5"/>
        </w:rPr>
        <w:t xml:space="preserve"> </w:t>
      </w:r>
      <w:r>
        <w:rPr>
          <w:color w:val="211F1F"/>
        </w:rPr>
        <w:t>the</w:t>
      </w:r>
      <w:r>
        <w:rPr>
          <w:color w:val="211F1F"/>
          <w:spacing w:val="-12"/>
        </w:rPr>
        <w:t xml:space="preserve"> </w:t>
      </w:r>
      <w:r>
        <w:rPr>
          <w:color w:val="211F1F"/>
        </w:rPr>
        <w:t>following</w:t>
      </w:r>
      <w:r>
        <w:rPr>
          <w:color w:val="211F1F"/>
          <w:spacing w:val="-5"/>
        </w:rPr>
        <w:t xml:space="preserve"> </w:t>
      </w:r>
      <w:r>
        <w:rPr>
          <w:color w:val="211F1F"/>
          <w:spacing w:val="-2"/>
        </w:rPr>
        <w:t>sections:</w:t>
      </w:r>
    </w:p>
    <w:p w14:paraId="458071BF" w14:textId="77777777" w:rsidR="00BB77C0" w:rsidRDefault="00370BAA">
      <w:pPr>
        <w:pStyle w:val="ListParagraph"/>
        <w:numPr>
          <w:ilvl w:val="1"/>
          <w:numId w:val="34"/>
        </w:numPr>
        <w:tabs>
          <w:tab w:val="left" w:pos="1599"/>
        </w:tabs>
        <w:spacing w:line="247" w:lineRule="exact"/>
        <w:ind w:left="1599" w:hanging="557"/>
      </w:pPr>
      <w:r>
        <w:rPr>
          <w:color w:val="211F1F"/>
          <w:spacing w:val="-2"/>
        </w:rPr>
        <w:t>Preambles</w:t>
      </w:r>
    </w:p>
    <w:p w14:paraId="6B988E2A" w14:textId="77777777" w:rsidR="00BB77C0" w:rsidRDefault="00370BAA">
      <w:pPr>
        <w:pStyle w:val="ListParagraph"/>
        <w:numPr>
          <w:ilvl w:val="1"/>
          <w:numId w:val="34"/>
        </w:numPr>
        <w:tabs>
          <w:tab w:val="left" w:pos="1599"/>
        </w:tabs>
        <w:spacing w:line="245" w:lineRule="exact"/>
        <w:ind w:left="1599" w:hanging="557"/>
      </w:pPr>
      <w:r>
        <w:rPr>
          <w:color w:val="211F1F"/>
          <w:spacing w:val="-4"/>
        </w:rPr>
        <w:t>Preliminary</w:t>
      </w:r>
      <w:r>
        <w:rPr>
          <w:color w:val="211F1F"/>
          <w:spacing w:val="9"/>
        </w:rPr>
        <w:t xml:space="preserve"> </w:t>
      </w:r>
      <w:r>
        <w:rPr>
          <w:color w:val="211F1F"/>
          <w:spacing w:val="-2"/>
        </w:rPr>
        <w:t>items</w:t>
      </w:r>
    </w:p>
    <w:p w14:paraId="5692E308" w14:textId="77777777" w:rsidR="00BB77C0" w:rsidRDefault="00370BAA">
      <w:pPr>
        <w:pStyle w:val="ListParagraph"/>
        <w:numPr>
          <w:ilvl w:val="1"/>
          <w:numId w:val="34"/>
        </w:numPr>
        <w:tabs>
          <w:tab w:val="left" w:pos="1599"/>
        </w:tabs>
        <w:spacing w:line="245" w:lineRule="exact"/>
        <w:ind w:left="1599" w:hanging="557"/>
      </w:pPr>
      <w:r>
        <w:rPr>
          <w:color w:val="211F1F"/>
          <w:spacing w:val="-6"/>
        </w:rPr>
        <w:t>Work</w:t>
      </w:r>
      <w:r>
        <w:rPr>
          <w:color w:val="211F1F"/>
          <w:spacing w:val="-26"/>
        </w:rPr>
        <w:t xml:space="preserve"> </w:t>
      </w:r>
      <w:r>
        <w:rPr>
          <w:color w:val="211F1F"/>
          <w:spacing w:val="-2"/>
        </w:rPr>
        <w:t>Items</w:t>
      </w:r>
    </w:p>
    <w:p w14:paraId="5C1C9AD2" w14:textId="77777777" w:rsidR="00BB77C0" w:rsidRDefault="00370BAA">
      <w:pPr>
        <w:pStyle w:val="ListParagraph"/>
        <w:numPr>
          <w:ilvl w:val="0"/>
          <w:numId w:val="33"/>
        </w:numPr>
        <w:tabs>
          <w:tab w:val="left" w:pos="1599"/>
        </w:tabs>
        <w:spacing w:line="245" w:lineRule="exact"/>
        <w:ind w:hanging="557"/>
      </w:pPr>
      <w:r>
        <w:rPr>
          <w:color w:val="211F1F"/>
        </w:rPr>
        <w:t>Daywork</w:t>
      </w:r>
      <w:r>
        <w:rPr>
          <w:color w:val="211F1F"/>
          <w:spacing w:val="-12"/>
        </w:rPr>
        <w:t xml:space="preserve"> </w:t>
      </w:r>
      <w:r>
        <w:rPr>
          <w:color w:val="211F1F"/>
          <w:spacing w:val="-2"/>
        </w:rPr>
        <w:t>Schedule;and</w:t>
      </w:r>
    </w:p>
    <w:p w14:paraId="506C603A" w14:textId="77777777" w:rsidR="00BB77C0" w:rsidRDefault="00370BAA">
      <w:pPr>
        <w:pStyle w:val="ListParagraph"/>
        <w:numPr>
          <w:ilvl w:val="0"/>
          <w:numId w:val="33"/>
        </w:numPr>
        <w:tabs>
          <w:tab w:val="left" w:pos="1599"/>
        </w:tabs>
        <w:spacing w:line="248" w:lineRule="exact"/>
        <w:ind w:hanging="557"/>
      </w:pPr>
      <w:r>
        <w:rPr>
          <w:color w:val="211F1F"/>
          <w:spacing w:val="-4"/>
        </w:rPr>
        <w:t>Provisional</w:t>
      </w:r>
      <w:r>
        <w:rPr>
          <w:color w:val="211F1F"/>
          <w:spacing w:val="8"/>
        </w:rPr>
        <w:t xml:space="preserve"> </w:t>
      </w:r>
      <w:r>
        <w:rPr>
          <w:color w:val="211F1F"/>
          <w:spacing w:val="-2"/>
        </w:rPr>
        <w:t>items</w:t>
      </w:r>
    </w:p>
    <w:p w14:paraId="68B46729" w14:textId="77777777" w:rsidR="00BB77C0" w:rsidRDefault="00370BAA">
      <w:pPr>
        <w:pStyle w:val="ListParagraph"/>
        <w:numPr>
          <w:ilvl w:val="0"/>
          <w:numId w:val="33"/>
        </w:numPr>
        <w:tabs>
          <w:tab w:val="left" w:pos="1599"/>
        </w:tabs>
        <w:spacing w:line="251" w:lineRule="exact"/>
        <w:ind w:hanging="557"/>
      </w:pPr>
      <w:r>
        <w:rPr>
          <w:color w:val="211F1F"/>
          <w:spacing w:val="-2"/>
        </w:rPr>
        <w:t>Summary.</w:t>
      </w:r>
    </w:p>
    <w:p w14:paraId="6BE684C8" w14:textId="77777777" w:rsidR="00BB77C0" w:rsidRDefault="00BB77C0">
      <w:pPr>
        <w:pStyle w:val="ListParagraph"/>
        <w:spacing w:line="251" w:lineRule="exact"/>
        <w:sectPr w:rsidR="00BB77C0">
          <w:pgSz w:w="11920" w:h="16850"/>
          <w:pgMar w:top="0" w:right="0" w:bottom="0" w:left="360" w:header="720" w:footer="720" w:gutter="0"/>
          <w:cols w:space="720"/>
        </w:sectPr>
      </w:pPr>
    </w:p>
    <w:p w14:paraId="0580D449" w14:textId="77777777" w:rsidR="00BB77C0" w:rsidRDefault="00370BAA">
      <w:pPr>
        <w:pStyle w:val="BodyText"/>
      </w:pPr>
      <w:r>
        <w:rPr>
          <w:noProof/>
        </w:rPr>
        <w:lastRenderedPageBreak/>
        <mc:AlternateContent>
          <mc:Choice Requires="wpg">
            <w:drawing>
              <wp:anchor distT="0" distB="0" distL="0" distR="0" simplePos="0" relativeHeight="15779840" behindDoc="0" locked="0" layoutInCell="1" allowOverlap="1" wp14:anchorId="21DE882A" wp14:editId="711A6768">
                <wp:simplePos x="0" y="0"/>
                <wp:positionH relativeFrom="page">
                  <wp:posOffset>0</wp:posOffset>
                </wp:positionH>
                <wp:positionV relativeFrom="page">
                  <wp:posOffset>10234295</wp:posOffset>
                </wp:positionV>
                <wp:extent cx="7561580" cy="459105"/>
                <wp:effectExtent l="0" t="0" r="0" b="0"/>
                <wp:wrapNone/>
                <wp:docPr id="406" name="Group 4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1580" cy="459105"/>
                          <a:chOff x="0" y="0"/>
                          <a:chExt cx="7561580" cy="459105"/>
                        </a:xfrm>
                      </wpg:grpSpPr>
                      <wps:wsp>
                        <wps:cNvPr id="407" name="Graphic 407"/>
                        <wps:cNvSpPr/>
                        <wps:spPr>
                          <a:xfrm>
                            <a:off x="6449059" y="5714"/>
                            <a:ext cx="1110615" cy="451484"/>
                          </a:xfrm>
                          <a:custGeom>
                            <a:avLst/>
                            <a:gdLst/>
                            <a:ahLst/>
                            <a:cxnLst/>
                            <a:rect l="l" t="t" r="r" b="b"/>
                            <a:pathLst>
                              <a:path w="1110615" h="451484">
                                <a:moveTo>
                                  <a:pt x="1110614" y="0"/>
                                </a:moveTo>
                                <a:lnTo>
                                  <a:pt x="0" y="0"/>
                                </a:lnTo>
                                <a:lnTo>
                                  <a:pt x="260349" y="451483"/>
                                </a:lnTo>
                                <a:lnTo>
                                  <a:pt x="1110614" y="451483"/>
                                </a:lnTo>
                                <a:lnTo>
                                  <a:pt x="1110614" y="0"/>
                                </a:lnTo>
                                <a:close/>
                              </a:path>
                            </a:pathLst>
                          </a:custGeom>
                          <a:solidFill>
                            <a:srgbClr val="FAD2C1"/>
                          </a:solidFill>
                        </wps:spPr>
                        <wps:bodyPr wrap="square" lIns="0" tIns="0" rIns="0" bIns="0" rtlCol="0">
                          <a:prstTxWarp prst="textNoShape">
                            <a:avLst/>
                          </a:prstTxWarp>
                          <a:noAutofit/>
                        </wps:bodyPr>
                      </wps:wsp>
                      <wps:wsp>
                        <wps:cNvPr id="408" name="Graphic 408"/>
                        <wps:cNvSpPr/>
                        <wps:spPr>
                          <a:xfrm>
                            <a:off x="6449059" y="5714"/>
                            <a:ext cx="1110615" cy="451484"/>
                          </a:xfrm>
                          <a:custGeom>
                            <a:avLst/>
                            <a:gdLst/>
                            <a:ahLst/>
                            <a:cxnLst/>
                            <a:rect l="l" t="t" r="r" b="b"/>
                            <a:pathLst>
                              <a:path w="1110615" h="451484">
                                <a:moveTo>
                                  <a:pt x="0" y="0"/>
                                </a:moveTo>
                                <a:lnTo>
                                  <a:pt x="1110614" y="0"/>
                                </a:lnTo>
                                <a:lnTo>
                                  <a:pt x="1110614" y="451483"/>
                                </a:lnTo>
                                <a:lnTo>
                                  <a:pt x="260349" y="451483"/>
                                </a:lnTo>
                                <a:lnTo>
                                  <a:pt x="0" y="0"/>
                                </a:lnTo>
                              </a:path>
                            </a:pathLst>
                          </a:custGeom>
                          <a:ln w="3051">
                            <a:solidFill>
                              <a:srgbClr val="FAD2C1"/>
                            </a:solidFill>
                            <a:prstDash val="solid"/>
                          </a:ln>
                        </wps:spPr>
                        <wps:bodyPr wrap="square" lIns="0" tIns="0" rIns="0" bIns="0" rtlCol="0">
                          <a:prstTxWarp prst="textNoShape">
                            <a:avLst/>
                          </a:prstTxWarp>
                          <a:noAutofit/>
                        </wps:bodyPr>
                      </wps:wsp>
                      <wps:wsp>
                        <wps:cNvPr id="409" name="Graphic 409"/>
                        <wps:cNvSpPr/>
                        <wps:spPr>
                          <a:xfrm>
                            <a:off x="0" y="6350"/>
                            <a:ext cx="7560309" cy="1270"/>
                          </a:xfrm>
                          <a:custGeom>
                            <a:avLst/>
                            <a:gdLst/>
                            <a:ahLst/>
                            <a:cxnLst/>
                            <a:rect l="l" t="t" r="r" b="b"/>
                            <a:pathLst>
                              <a:path w="7560309">
                                <a:moveTo>
                                  <a:pt x="0" y="0"/>
                                </a:moveTo>
                                <a:lnTo>
                                  <a:pt x="7560309" y="0"/>
                                </a:lnTo>
                              </a:path>
                            </a:pathLst>
                          </a:custGeom>
                          <a:ln w="12700">
                            <a:solidFill>
                              <a:srgbClr val="FAD2C1"/>
                            </a:solidFill>
                            <a:prstDash val="solid"/>
                          </a:ln>
                        </wps:spPr>
                        <wps:bodyPr wrap="square" lIns="0" tIns="0" rIns="0" bIns="0" rtlCol="0">
                          <a:prstTxWarp prst="textNoShape">
                            <a:avLst/>
                          </a:prstTxWarp>
                          <a:noAutofit/>
                        </wps:bodyPr>
                      </wps:wsp>
                      <wps:wsp>
                        <wps:cNvPr id="410" name="Textbox 410"/>
                        <wps:cNvSpPr txBox="1"/>
                        <wps:spPr>
                          <a:xfrm>
                            <a:off x="6882130" y="37491"/>
                            <a:ext cx="147320" cy="155575"/>
                          </a:xfrm>
                          <a:prstGeom prst="rect">
                            <a:avLst/>
                          </a:prstGeom>
                        </wps:spPr>
                        <wps:txbx>
                          <w:txbxContent>
                            <w:p w14:paraId="03DE8C14" w14:textId="77777777" w:rsidR="00BB77C0" w:rsidRDefault="00370BAA">
                              <w:pPr>
                                <w:spacing w:line="244" w:lineRule="exact"/>
                              </w:pPr>
                              <w:r>
                                <w:rPr>
                                  <w:spacing w:val="-5"/>
                                </w:rPr>
                                <w:t>61</w:t>
                              </w:r>
                            </w:p>
                          </w:txbxContent>
                        </wps:txbx>
                        <wps:bodyPr wrap="square" lIns="0" tIns="0" rIns="0" bIns="0" rtlCol="0">
                          <a:noAutofit/>
                        </wps:bodyPr>
                      </wps:wsp>
                    </wpg:wgp>
                  </a:graphicData>
                </a:graphic>
              </wp:anchor>
            </w:drawing>
          </mc:Choice>
          <mc:Fallback>
            <w:pict>
              <v:group w14:anchorId="21DE882A" id="Group 406" o:spid="_x0000_s1206" style="position:absolute;margin-left:0;margin-top:805.85pt;width:595.4pt;height:36.15pt;z-index:15779840;mso-wrap-distance-left:0;mso-wrap-distance-right:0;mso-position-horizontal-relative:page;mso-position-vertical-relative:page" coordsize="75615,4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">
                <v:shape id="Graphic 407" o:spid="_x0000_s1207" style="position:absolute;left:64490;top:57;width:11106;height:4514;visibility:visible;mso-wrap-style:square;v-text-anchor:top" coordsize="1110615,4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" path="m1110614,l,,260349,451483r850265,l1110614,xe" fillcolor="#fad2c1" stroked="f">
                  <v:path arrowok="t"/>
                </v:shape>
                <v:shape id="Graphic 408" o:spid="_x0000_s1208" style="position:absolute;left:64490;top:57;width:11106;height:4514;visibility:visible;mso-wrap-style:square;v-text-anchor:top" coordsize="1110615,4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" path="m,l1110614,r,451483l260349,451483,,e" filled="f" strokecolor="#fad2c1" strokeweight=".08475mm">
                  <v:path arrowok="t"/>
                </v:shape>
                <v:shape id="Graphic 409" o:spid="_x0000_s1209" style="position:absolute;top:63;width:75603;height:13;visibility:visible;mso-wrap-style:square;v-text-anchor:top" coordsize="756030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" path="m,l7560309,e" filled="f" strokecolor="#fad2c1" strokeweight="1pt">
                  <v:path arrowok="t"/>
                </v:shape>
                <v:shape id="Textbox 410" o:spid="_x0000_s1210" type="#_x0000_t202" style="position:absolute;left:68821;top:374;width:1473;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" filled="f" stroked="f">
                  <v:textbox inset="0,0,0,0">
                    <w:txbxContent>
                      <w:p w14:paraId="03DE8C14" w14:textId="77777777" w:rsidR="00BB77C0" w:rsidRDefault="00370BAA">
                        <w:pPr>
                          <w:spacing w:line="244" w:lineRule="exact"/>
                        </w:pPr>
                        <w:r>
                          <w:rPr>
                            <w:spacing w:val="-5"/>
                          </w:rPr>
                          <w:t>61</w:t>
                        </w:r>
                      </w:p>
                    </w:txbxContent>
                  </v:textbox>
                </v:shape>
                <w10:wrap anchorx="page" anchory="page"/>
              </v:group>
            </w:pict>
          </mc:Fallback>
        </mc:AlternateContent>
      </w:r>
      <w:r>
        <w:rPr>
          <w:noProof/>
        </w:rPr>
        <mc:AlternateContent>
          <mc:Choice Requires="wpg">
            <w:drawing>
              <wp:anchor distT="0" distB="0" distL="0" distR="0" simplePos="0" relativeHeight="15780352" behindDoc="0" locked="0" layoutInCell="1" allowOverlap="1" wp14:anchorId="1CFDEACF" wp14:editId="5425BB93">
                <wp:simplePos x="0" y="0"/>
                <wp:positionH relativeFrom="page">
                  <wp:posOffset>0</wp:posOffset>
                </wp:positionH>
                <wp:positionV relativeFrom="page">
                  <wp:posOffset>762</wp:posOffset>
                </wp:positionV>
                <wp:extent cx="7559675" cy="228600"/>
                <wp:effectExtent l="0" t="0" r="0" b="0"/>
                <wp:wrapNone/>
                <wp:docPr id="411" name="Group 4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675" cy="228600"/>
                          <a:chOff x="0" y="0"/>
                          <a:chExt cx="7559675" cy="228600"/>
                        </a:xfrm>
                      </wpg:grpSpPr>
                      <wps:wsp>
                        <wps:cNvPr id="412" name="Graphic 412"/>
                        <wps:cNvSpPr/>
                        <wps:spPr>
                          <a:xfrm>
                            <a:off x="848283" y="0"/>
                            <a:ext cx="6711950" cy="228600"/>
                          </a:xfrm>
                          <a:custGeom>
                            <a:avLst/>
                            <a:gdLst/>
                            <a:ahLst/>
                            <a:cxnLst/>
                            <a:rect l="l" t="t" r="r" b="b"/>
                            <a:pathLst>
                              <a:path w="6711950" h="228600">
                                <a:moveTo>
                                  <a:pt x="6711391" y="0"/>
                                </a:moveTo>
                                <a:lnTo>
                                  <a:pt x="0" y="0"/>
                                </a:lnTo>
                                <a:lnTo>
                                  <a:pt x="184137" y="228600"/>
                                </a:lnTo>
                                <a:lnTo>
                                  <a:pt x="6711391" y="223520"/>
                                </a:lnTo>
                                <a:lnTo>
                                  <a:pt x="6711391" y="0"/>
                                </a:lnTo>
                                <a:close/>
                              </a:path>
                            </a:pathLst>
                          </a:custGeom>
                          <a:solidFill>
                            <a:srgbClr val="E6E7E8"/>
                          </a:solidFill>
                        </wps:spPr>
                        <wps:bodyPr wrap="square" lIns="0" tIns="0" rIns="0" bIns="0" rtlCol="0">
                          <a:prstTxWarp prst="textNoShape">
                            <a:avLst/>
                          </a:prstTxWarp>
                          <a:noAutofit/>
                        </wps:bodyPr>
                      </wps:wsp>
                      <wps:wsp>
                        <wps:cNvPr id="413" name="Graphic 413"/>
                        <wps:cNvSpPr/>
                        <wps:spPr>
                          <a:xfrm>
                            <a:off x="0" y="0"/>
                            <a:ext cx="655955" cy="228600"/>
                          </a:xfrm>
                          <a:custGeom>
                            <a:avLst/>
                            <a:gdLst/>
                            <a:ahLst/>
                            <a:cxnLst/>
                            <a:rect l="l" t="t" r="r" b="b"/>
                            <a:pathLst>
                              <a:path w="655955" h="228600">
                                <a:moveTo>
                                  <a:pt x="530174" y="0"/>
                                </a:moveTo>
                                <a:lnTo>
                                  <a:pt x="0" y="0"/>
                                </a:lnTo>
                                <a:lnTo>
                                  <a:pt x="0" y="228600"/>
                                </a:lnTo>
                                <a:lnTo>
                                  <a:pt x="655904" y="228600"/>
                                </a:lnTo>
                                <a:lnTo>
                                  <a:pt x="530174" y="0"/>
                                </a:lnTo>
                                <a:close/>
                              </a:path>
                            </a:pathLst>
                          </a:custGeom>
                          <a:solidFill>
                            <a:srgbClr val="00A650"/>
                          </a:solidFill>
                        </wps:spPr>
                        <wps:bodyPr wrap="square" lIns="0" tIns="0" rIns="0" bIns="0" rtlCol="0">
                          <a:prstTxWarp prst="textNoShape">
                            <a:avLst/>
                          </a:prstTxWarp>
                          <a:noAutofit/>
                        </wps:bodyPr>
                      </wps:wsp>
                      <wps:wsp>
                        <wps:cNvPr id="414" name="Graphic 414"/>
                        <wps:cNvSpPr/>
                        <wps:spPr>
                          <a:xfrm>
                            <a:off x="554304" y="0"/>
                            <a:ext cx="329565" cy="228600"/>
                          </a:xfrm>
                          <a:custGeom>
                            <a:avLst/>
                            <a:gdLst/>
                            <a:ahLst/>
                            <a:cxnLst/>
                            <a:rect l="l" t="t" r="r" b="b"/>
                            <a:pathLst>
                              <a:path w="329565" h="228600">
                                <a:moveTo>
                                  <a:pt x="203822" y="0"/>
                                </a:moveTo>
                                <a:lnTo>
                                  <a:pt x="0" y="0"/>
                                </a:lnTo>
                                <a:lnTo>
                                  <a:pt x="128904" y="228600"/>
                                </a:lnTo>
                                <a:lnTo>
                                  <a:pt x="329539" y="228600"/>
                                </a:lnTo>
                                <a:lnTo>
                                  <a:pt x="203822" y="0"/>
                                </a:lnTo>
                                <a:close/>
                              </a:path>
                            </a:pathLst>
                          </a:custGeom>
                          <a:solidFill>
                            <a:srgbClr val="EB1C22"/>
                          </a:solidFill>
                        </wps:spPr>
                        <wps:bodyPr wrap="square" lIns="0" tIns="0" rIns="0" bIns="0" rtlCol="0">
                          <a:prstTxWarp prst="textNoShape">
                            <a:avLst/>
                          </a:prstTxWarp>
                          <a:noAutofit/>
                        </wps:bodyPr>
                      </wps:wsp>
                      <wps:wsp>
                        <wps:cNvPr id="415" name="Graphic 415"/>
                        <wps:cNvSpPr/>
                        <wps:spPr>
                          <a:xfrm>
                            <a:off x="783526" y="0"/>
                            <a:ext cx="329565" cy="228600"/>
                          </a:xfrm>
                          <a:custGeom>
                            <a:avLst/>
                            <a:gdLst/>
                            <a:ahLst/>
                            <a:cxnLst/>
                            <a:rect l="l" t="t" r="r" b="b"/>
                            <a:pathLst>
                              <a:path w="329565" h="228600">
                                <a:moveTo>
                                  <a:pt x="203822" y="0"/>
                                </a:moveTo>
                                <a:lnTo>
                                  <a:pt x="0" y="0"/>
                                </a:lnTo>
                                <a:lnTo>
                                  <a:pt x="128879" y="228600"/>
                                </a:lnTo>
                                <a:lnTo>
                                  <a:pt x="329539" y="228600"/>
                                </a:lnTo>
                                <a:lnTo>
                                  <a:pt x="203822" y="0"/>
                                </a:lnTo>
                                <a:close/>
                              </a:path>
                            </a:pathLst>
                          </a:custGeom>
                          <a:solidFill>
                            <a:srgbClr val="A7A9AC"/>
                          </a:solidFill>
                        </wps:spPr>
                        <wps:bodyPr wrap="square" lIns="0" tIns="0" rIns="0" bIns="0" rtlCol="0">
                          <a:prstTxWarp prst="textNoShape">
                            <a:avLst/>
                          </a:prstTxWarp>
                          <a:noAutofit/>
                        </wps:bodyPr>
                      </wps:wsp>
                    </wpg:wgp>
                  </a:graphicData>
                </a:graphic>
              </wp:anchor>
            </w:drawing>
          </mc:Choice>
          <mc:Fallback>
            <w:pict>
              <v:group w14:anchorId="37B2AD45" id="Group 411" o:spid="_x0000_s1026" style="position:absolute;margin-left:0;margin-top:.05pt;width:595.25pt;height:18pt;z-index:15780352;mso-wrap-distance-left:0;mso-wrap-distance-right:0;mso-position-horizontal-relative:page;mso-position-vertical-relative:page" coordsize="75596,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">
                <v:shape id="Graphic 412" o:spid="_x0000_s1027" style="position:absolute;left:8482;width:67120;height:2286;visibility:visible;mso-wrap-style:square;v-text-anchor:top" coordsize="67119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" path="m6711391,l,,184137,228600r6527254,-5080l6711391,xe" fillcolor="#e6e7e8" stroked="f">
                  <v:path arrowok="t"/>
                </v:shape>
                <v:shape id="Graphic 413" o:spid="_x0000_s1028" style="position:absolute;width:6559;height:2286;visibility:visible;mso-wrap-style:square;v-text-anchor:top" coordsize="65595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" path="m530174,l,,,228600r655904,l530174,xe" fillcolor="#00a650" stroked="f">
                  <v:path arrowok="t"/>
                </v:shape>
                <v:shape id="Graphic 414" o:spid="_x0000_s1029" style="position:absolute;left:5543;width:3295;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" path="m203822,l,,128904,228600r200635,l203822,xe" fillcolor="#eb1c22" stroked="f">
                  <v:path arrowok="t"/>
                </v:shape>
                <v:shape id="Graphic 415" o:spid="_x0000_s1030" style="position:absolute;left:7835;width:3295;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" path="m203822,l,,128879,228600r200660,l203822,xe" fillcolor="#a7a9ac" stroked="f">
                  <v:path arrowok="t"/>
                </v:shape>
                <w10:wrap anchorx="page" anchory="page"/>
              </v:group>
            </w:pict>
          </mc:Fallback>
        </mc:AlternateContent>
      </w:r>
    </w:p>
    <w:p w14:paraId="3A5CB017" w14:textId="77777777" w:rsidR="00BB77C0" w:rsidRDefault="00BB77C0">
      <w:pPr>
        <w:pStyle w:val="BodyText"/>
      </w:pPr>
    </w:p>
    <w:p w14:paraId="10DC2558" w14:textId="77777777" w:rsidR="00BB77C0" w:rsidRDefault="00BB77C0">
      <w:pPr>
        <w:pStyle w:val="BodyText"/>
      </w:pPr>
    </w:p>
    <w:p w14:paraId="68916347" w14:textId="77777777" w:rsidR="00BB77C0" w:rsidRDefault="00BB77C0">
      <w:pPr>
        <w:pStyle w:val="BodyText"/>
      </w:pPr>
    </w:p>
    <w:p w14:paraId="2C9A917B" w14:textId="77777777" w:rsidR="00BB77C0" w:rsidRDefault="00BB77C0">
      <w:pPr>
        <w:pStyle w:val="BodyText"/>
        <w:spacing w:before="62"/>
      </w:pPr>
    </w:p>
    <w:p w14:paraId="40CBEABC" w14:textId="77777777" w:rsidR="00BB77C0" w:rsidRDefault="00370BAA">
      <w:pPr>
        <w:pStyle w:val="ListParagraph"/>
        <w:numPr>
          <w:ilvl w:val="0"/>
          <w:numId w:val="34"/>
        </w:numPr>
        <w:tabs>
          <w:tab w:val="left" w:pos="1041"/>
        </w:tabs>
        <w:spacing w:before="1"/>
        <w:ind w:left="1041" w:hanging="556"/>
      </w:pPr>
      <w:r>
        <w:rPr>
          <w:b/>
          <w:color w:val="211F1F"/>
          <w:spacing w:val="-4"/>
        </w:rPr>
        <w:t>The</w:t>
      </w:r>
      <w:r>
        <w:rPr>
          <w:b/>
          <w:color w:val="211F1F"/>
          <w:spacing w:val="-6"/>
        </w:rPr>
        <w:t xml:space="preserve"> </w:t>
      </w:r>
      <w:r>
        <w:rPr>
          <w:b/>
          <w:color w:val="211F1F"/>
          <w:spacing w:val="-4"/>
        </w:rPr>
        <w:t>Summary</w:t>
      </w:r>
      <w:r>
        <w:rPr>
          <w:b/>
          <w:color w:val="211F1F"/>
          <w:spacing w:val="-9"/>
        </w:rPr>
        <w:t xml:space="preserve"> </w:t>
      </w:r>
      <w:r>
        <w:rPr>
          <w:b/>
          <w:color w:val="211F1F"/>
          <w:spacing w:val="-4"/>
        </w:rPr>
        <w:t>to</w:t>
      </w:r>
      <w:r>
        <w:rPr>
          <w:b/>
          <w:color w:val="211F1F"/>
          <w:spacing w:val="-9"/>
        </w:rPr>
        <w:t xml:space="preserve"> </w:t>
      </w:r>
      <w:r>
        <w:rPr>
          <w:b/>
          <w:color w:val="211F1F"/>
          <w:spacing w:val="-4"/>
        </w:rPr>
        <w:t>the</w:t>
      </w:r>
      <w:r>
        <w:rPr>
          <w:b/>
          <w:color w:val="211F1F"/>
          <w:spacing w:val="-12"/>
        </w:rPr>
        <w:t xml:space="preserve"> </w:t>
      </w:r>
      <w:r>
        <w:rPr>
          <w:b/>
          <w:color w:val="211F1F"/>
          <w:spacing w:val="-4"/>
        </w:rPr>
        <w:t>Bills</w:t>
      </w:r>
      <w:r>
        <w:rPr>
          <w:b/>
          <w:color w:val="211F1F"/>
          <w:spacing w:val="-8"/>
        </w:rPr>
        <w:t xml:space="preserve"> </w:t>
      </w:r>
      <w:r>
        <w:rPr>
          <w:b/>
          <w:color w:val="211F1F"/>
          <w:spacing w:val="-4"/>
        </w:rPr>
        <w:t>of</w:t>
      </w:r>
      <w:r>
        <w:rPr>
          <w:b/>
          <w:color w:val="211F1F"/>
          <w:spacing w:val="-16"/>
        </w:rPr>
        <w:t xml:space="preserve"> </w:t>
      </w:r>
      <w:r>
        <w:rPr>
          <w:b/>
          <w:color w:val="211F1F"/>
          <w:spacing w:val="-4"/>
        </w:rPr>
        <w:t>Quantities</w:t>
      </w:r>
      <w:r>
        <w:rPr>
          <w:b/>
          <w:color w:val="211F1F"/>
          <w:spacing w:val="-8"/>
        </w:rPr>
        <w:t xml:space="preserve"> </w:t>
      </w:r>
      <w:r>
        <w:rPr>
          <w:color w:val="211F1F"/>
          <w:spacing w:val="-4"/>
        </w:rPr>
        <w:t>will</w:t>
      </w:r>
      <w:r>
        <w:rPr>
          <w:color w:val="211F1F"/>
          <w:spacing w:val="-14"/>
        </w:rPr>
        <w:t xml:space="preserve"> </w:t>
      </w:r>
      <w:r>
        <w:rPr>
          <w:color w:val="211F1F"/>
          <w:spacing w:val="-4"/>
        </w:rPr>
        <w:t>take</w:t>
      </w:r>
      <w:r>
        <w:rPr>
          <w:color w:val="211F1F"/>
          <w:spacing w:val="-16"/>
        </w:rPr>
        <w:t xml:space="preserve"> </w:t>
      </w:r>
      <w:r>
        <w:rPr>
          <w:color w:val="211F1F"/>
          <w:spacing w:val="-4"/>
        </w:rPr>
        <w:t>this</w:t>
      </w:r>
      <w:r>
        <w:rPr>
          <w:color w:val="211F1F"/>
          <w:spacing w:val="-8"/>
        </w:rPr>
        <w:t xml:space="preserve"> </w:t>
      </w:r>
      <w:r>
        <w:rPr>
          <w:color w:val="211F1F"/>
          <w:spacing w:val="-4"/>
        </w:rPr>
        <w:t>form</w:t>
      </w:r>
      <w:r>
        <w:rPr>
          <w:color w:val="211F1F"/>
          <w:spacing w:val="-14"/>
        </w:rPr>
        <w:t xml:space="preserve"> </w:t>
      </w:r>
      <w:r>
        <w:rPr>
          <w:color w:val="211F1F"/>
          <w:spacing w:val="-4"/>
        </w:rPr>
        <w:t>or</w:t>
      </w:r>
      <w:r>
        <w:rPr>
          <w:color w:val="211F1F"/>
          <w:spacing w:val="-10"/>
        </w:rPr>
        <w:t xml:space="preserve"> </w:t>
      </w:r>
      <w:r>
        <w:rPr>
          <w:color w:val="211F1F"/>
          <w:spacing w:val="-4"/>
        </w:rPr>
        <w:t>some</w:t>
      </w:r>
      <w:r>
        <w:rPr>
          <w:color w:val="211F1F"/>
          <w:spacing w:val="-18"/>
        </w:rPr>
        <w:t xml:space="preserve"> </w:t>
      </w:r>
      <w:r>
        <w:rPr>
          <w:color w:val="211F1F"/>
          <w:spacing w:val="-4"/>
        </w:rPr>
        <w:t>other</w:t>
      </w:r>
      <w:r>
        <w:rPr>
          <w:color w:val="211F1F"/>
          <w:spacing w:val="-6"/>
        </w:rPr>
        <w:t xml:space="preserve"> </w:t>
      </w:r>
      <w:r>
        <w:rPr>
          <w:color w:val="211F1F"/>
          <w:spacing w:val="-4"/>
        </w:rPr>
        <w:t>form</w:t>
      </w:r>
      <w:r>
        <w:rPr>
          <w:color w:val="211F1F"/>
          <w:spacing w:val="-12"/>
        </w:rPr>
        <w:t xml:space="preserve"> </w:t>
      </w:r>
      <w:r>
        <w:rPr>
          <w:color w:val="211F1F"/>
          <w:spacing w:val="-4"/>
        </w:rPr>
        <w:t>but</w:t>
      </w:r>
      <w:r>
        <w:rPr>
          <w:color w:val="211F1F"/>
          <w:spacing w:val="-8"/>
        </w:rPr>
        <w:t xml:space="preserve"> </w:t>
      </w:r>
      <w:r>
        <w:rPr>
          <w:color w:val="211F1F"/>
          <w:spacing w:val="-4"/>
        </w:rPr>
        <w:t>including</w:t>
      </w:r>
      <w:r>
        <w:rPr>
          <w:color w:val="211F1F"/>
          <w:spacing w:val="-14"/>
        </w:rPr>
        <w:t xml:space="preserve"> </w:t>
      </w:r>
      <w:r>
        <w:rPr>
          <w:color w:val="211F1F"/>
          <w:spacing w:val="-4"/>
        </w:rPr>
        <w:t>these</w:t>
      </w:r>
      <w:r>
        <w:rPr>
          <w:color w:val="211F1F"/>
          <w:spacing w:val="-16"/>
        </w:rPr>
        <w:t xml:space="preserve"> </w:t>
      </w:r>
      <w:r>
        <w:rPr>
          <w:color w:val="211F1F"/>
          <w:spacing w:val="-4"/>
        </w:rPr>
        <w:t>items.</w:t>
      </w:r>
    </w:p>
    <w:p w14:paraId="69F8F9F9" w14:textId="77777777" w:rsidR="00BB77C0" w:rsidRDefault="00BB77C0">
      <w:pPr>
        <w:pStyle w:val="BodyText"/>
        <w:rPr>
          <w:sz w:val="20"/>
        </w:rPr>
      </w:pPr>
    </w:p>
    <w:p w14:paraId="0F9AB0D5" w14:textId="77777777" w:rsidR="00BB77C0" w:rsidRDefault="00BB77C0">
      <w:pPr>
        <w:pStyle w:val="BodyText"/>
        <w:spacing w:before="34"/>
        <w:rPr>
          <w:sz w:val="20"/>
        </w:rPr>
      </w:pPr>
    </w:p>
    <w:tbl>
      <w:tblPr>
        <w:tblW w:w="0" w:type="auto"/>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54"/>
        <w:gridCol w:w="1158"/>
        <w:gridCol w:w="1455"/>
      </w:tblGrid>
      <w:tr w:rsidR="00BB77C0" w14:paraId="522CCC17" w14:textId="77777777">
        <w:trPr>
          <w:trHeight w:val="364"/>
        </w:trPr>
        <w:tc>
          <w:tcPr>
            <w:tcW w:w="6454" w:type="dxa"/>
          </w:tcPr>
          <w:p w14:paraId="3C7E9A05" w14:textId="77777777" w:rsidR="00BB77C0" w:rsidRDefault="00370BAA">
            <w:pPr>
              <w:pStyle w:val="TableParagraph"/>
              <w:spacing w:line="249" w:lineRule="exact"/>
              <w:ind w:left="110"/>
              <w:rPr>
                <w:b/>
              </w:rPr>
            </w:pPr>
            <w:r>
              <w:rPr>
                <w:b/>
                <w:spacing w:val="-2"/>
              </w:rPr>
              <w:t>SUMMARY</w:t>
            </w:r>
            <w:r>
              <w:rPr>
                <w:b/>
                <w:spacing w:val="-5"/>
              </w:rPr>
              <w:t xml:space="preserve"> </w:t>
            </w:r>
            <w:r>
              <w:rPr>
                <w:b/>
                <w:spacing w:val="-4"/>
              </w:rPr>
              <w:t>ITEMS</w:t>
            </w:r>
          </w:p>
        </w:tc>
        <w:tc>
          <w:tcPr>
            <w:tcW w:w="1158" w:type="dxa"/>
          </w:tcPr>
          <w:p w14:paraId="5FE785F6" w14:textId="77777777" w:rsidR="00BB77C0" w:rsidRDefault="00370BAA">
            <w:pPr>
              <w:pStyle w:val="TableParagraph"/>
              <w:spacing w:line="249" w:lineRule="exact"/>
              <w:ind w:left="109"/>
              <w:rPr>
                <w:i/>
              </w:rPr>
            </w:pPr>
            <w:r>
              <w:rPr>
                <w:i/>
                <w:spacing w:val="-4"/>
              </w:rPr>
              <w:t>Page</w:t>
            </w:r>
          </w:p>
        </w:tc>
        <w:tc>
          <w:tcPr>
            <w:tcW w:w="1455" w:type="dxa"/>
          </w:tcPr>
          <w:p w14:paraId="500B0788" w14:textId="77777777" w:rsidR="00BB77C0" w:rsidRDefault="00370BAA">
            <w:pPr>
              <w:pStyle w:val="TableParagraph"/>
              <w:spacing w:line="249" w:lineRule="exact"/>
              <w:ind w:left="109"/>
              <w:rPr>
                <w:i/>
              </w:rPr>
            </w:pPr>
            <w:r>
              <w:rPr>
                <w:i/>
                <w:spacing w:val="-2"/>
              </w:rPr>
              <w:t>Amount</w:t>
            </w:r>
          </w:p>
        </w:tc>
      </w:tr>
      <w:tr w:rsidR="00BB77C0" w14:paraId="0F071FEB" w14:textId="77777777">
        <w:trPr>
          <w:trHeight w:val="374"/>
        </w:trPr>
        <w:tc>
          <w:tcPr>
            <w:tcW w:w="6454" w:type="dxa"/>
          </w:tcPr>
          <w:p w14:paraId="1B9E6679" w14:textId="77777777" w:rsidR="00BB77C0" w:rsidRDefault="00370BAA">
            <w:pPr>
              <w:pStyle w:val="TableParagraph"/>
              <w:spacing w:line="250" w:lineRule="exact"/>
              <w:ind w:left="110"/>
            </w:pPr>
            <w:r>
              <w:t>Bill</w:t>
            </w:r>
            <w:r>
              <w:rPr>
                <w:spacing w:val="-12"/>
              </w:rPr>
              <w:t xml:space="preserve"> </w:t>
            </w:r>
            <w:r>
              <w:t>No. 1:</w:t>
            </w:r>
            <w:r>
              <w:rPr>
                <w:spacing w:val="43"/>
              </w:rPr>
              <w:t xml:space="preserve"> </w:t>
            </w:r>
            <w:r>
              <w:t>Preliminary</w:t>
            </w:r>
            <w:r>
              <w:rPr>
                <w:spacing w:val="-5"/>
              </w:rPr>
              <w:t xml:space="preserve"> </w:t>
            </w:r>
            <w:r>
              <w:rPr>
                <w:spacing w:val="-4"/>
              </w:rPr>
              <w:t>Items</w:t>
            </w:r>
          </w:p>
        </w:tc>
        <w:tc>
          <w:tcPr>
            <w:tcW w:w="1158" w:type="dxa"/>
          </w:tcPr>
          <w:p w14:paraId="26CDFAD0" w14:textId="77777777" w:rsidR="00BB77C0" w:rsidRDefault="00BB77C0">
            <w:pPr>
              <w:pStyle w:val="TableParagraph"/>
            </w:pPr>
          </w:p>
        </w:tc>
        <w:tc>
          <w:tcPr>
            <w:tcW w:w="1455" w:type="dxa"/>
          </w:tcPr>
          <w:p w14:paraId="471BC2A5" w14:textId="77777777" w:rsidR="00BB77C0" w:rsidRDefault="00BB77C0">
            <w:pPr>
              <w:pStyle w:val="TableParagraph"/>
            </w:pPr>
          </w:p>
        </w:tc>
      </w:tr>
      <w:tr w:rsidR="00BB77C0" w14:paraId="5CAD9E46" w14:textId="77777777">
        <w:trPr>
          <w:trHeight w:val="364"/>
        </w:trPr>
        <w:tc>
          <w:tcPr>
            <w:tcW w:w="6454" w:type="dxa"/>
          </w:tcPr>
          <w:p w14:paraId="1F602409" w14:textId="77777777" w:rsidR="00BB77C0" w:rsidRDefault="00370BAA">
            <w:pPr>
              <w:pStyle w:val="TableParagraph"/>
              <w:spacing w:line="249" w:lineRule="exact"/>
              <w:ind w:left="110"/>
            </w:pPr>
            <w:r>
              <w:t>Bill</w:t>
            </w:r>
            <w:r>
              <w:rPr>
                <w:spacing w:val="-9"/>
              </w:rPr>
              <w:t xml:space="preserve"> </w:t>
            </w:r>
            <w:r>
              <w:t>No.</w:t>
            </w:r>
            <w:r>
              <w:rPr>
                <w:spacing w:val="1"/>
              </w:rPr>
              <w:t xml:space="preserve"> </w:t>
            </w:r>
            <w:r>
              <w:t>2:</w:t>
            </w:r>
            <w:r>
              <w:rPr>
                <w:spacing w:val="46"/>
              </w:rPr>
              <w:t xml:space="preserve"> </w:t>
            </w:r>
            <w:r>
              <w:t>Work</w:t>
            </w:r>
            <w:r>
              <w:rPr>
                <w:spacing w:val="-4"/>
              </w:rPr>
              <w:t xml:space="preserve"> Items</w:t>
            </w:r>
          </w:p>
        </w:tc>
        <w:tc>
          <w:tcPr>
            <w:tcW w:w="1158" w:type="dxa"/>
          </w:tcPr>
          <w:p w14:paraId="46532072" w14:textId="77777777" w:rsidR="00BB77C0" w:rsidRDefault="00BB77C0">
            <w:pPr>
              <w:pStyle w:val="TableParagraph"/>
            </w:pPr>
          </w:p>
        </w:tc>
        <w:tc>
          <w:tcPr>
            <w:tcW w:w="1455" w:type="dxa"/>
          </w:tcPr>
          <w:p w14:paraId="7E109193" w14:textId="77777777" w:rsidR="00BB77C0" w:rsidRDefault="00BB77C0">
            <w:pPr>
              <w:pStyle w:val="TableParagraph"/>
            </w:pPr>
          </w:p>
        </w:tc>
      </w:tr>
      <w:tr w:rsidR="00BB77C0" w14:paraId="62C0BA7B" w14:textId="77777777">
        <w:trPr>
          <w:trHeight w:val="254"/>
        </w:trPr>
        <w:tc>
          <w:tcPr>
            <w:tcW w:w="6454" w:type="dxa"/>
          </w:tcPr>
          <w:p w14:paraId="0B9DD699" w14:textId="77777777" w:rsidR="00BB77C0" w:rsidRDefault="00370BAA">
            <w:pPr>
              <w:pStyle w:val="TableParagraph"/>
              <w:spacing w:line="234" w:lineRule="exact"/>
              <w:ind w:left="110"/>
            </w:pPr>
            <w:r>
              <w:t>Bill</w:t>
            </w:r>
            <w:r>
              <w:rPr>
                <w:spacing w:val="-9"/>
              </w:rPr>
              <w:t xml:space="preserve"> </w:t>
            </w:r>
            <w:r>
              <w:t>No</w:t>
            </w:r>
            <w:r>
              <w:rPr>
                <w:spacing w:val="-5"/>
              </w:rPr>
              <w:t xml:space="preserve"> </w:t>
            </w:r>
            <w:r>
              <w:t>3:</w:t>
            </w:r>
            <w:r>
              <w:rPr>
                <w:spacing w:val="-4"/>
              </w:rPr>
              <w:t xml:space="preserve"> </w:t>
            </w:r>
            <w:r>
              <w:t>Daywork</w:t>
            </w:r>
            <w:r>
              <w:rPr>
                <w:spacing w:val="-4"/>
              </w:rPr>
              <w:t xml:space="preserve"> </w:t>
            </w:r>
            <w:r>
              <w:rPr>
                <w:spacing w:val="-2"/>
              </w:rPr>
              <w:t>Summary</w:t>
            </w:r>
          </w:p>
        </w:tc>
        <w:tc>
          <w:tcPr>
            <w:tcW w:w="1158" w:type="dxa"/>
          </w:tcPr>
          <w:p w14:paraId="413E6607" w14:textId="77777777" w:rsidR="00BB77C0" w:rsidRDefault="00BB77C0">
            <w:pPr>
              <w:pStyle w:val="TableParagraph"/>
              <w:rPr>
                <w:sz w:val="18"/>
              </w:rPr>
            </w:pPr>
          </w:p>
        </w:tc>
        <w:tc>
          <w:tcPr>
            <w:tcW w:w="1455" w:type="dxa"/>
          </w:tcPr>
          <w:p w14:paraId="11DCE819" w14:textId="77777777" w:rsidR="00BB77C0" w:rsidRDefault="00BB77C0">
            <w:pPr>
              <w:pStyle w:val="TableParagraph"/>
              <w:rPr>
                <w:sz w:val="18"/>
              </w:rPr>
            </w:pPr>
          </w:p>
        </w:tc>
      </w:tr>
      <w:tr w:rsidR="00BB77C0" w14:paraId="457B4F13" w14:textId="77777777">
        <w:trPr>
          <w:trHeight w:val="254"/>
        </w:trPr>
        <w:tc>
          <w:tcPr>
            <w:tcW w:w="6454" w:type="dxa"/>
          </w:tcPr>
          <w:p w14:paraId="16BEF1C1" w14:textId="77777777" w:rsidR="00BB77C0" w:rsidRDefault="00370BAA">
            <w:pPr>
              <w:pStyle w:val="TableParagraph"/>
              <w:spacing w:line="234" w:lineRule="exact"/>
              <w:ind w:left="110"/>
            </w:pPr>
            <w:r>
              <w:t>Bill</w:t>
            </w:r>
            <w:r>
              <w:rPr>
                <w:spacing w:val="-12"/>
              </w:rPr>
              <w:t xml:space="preserve"> </w:t>
            </w:r>
            <w:r>
              <w:t>No</w:t>
            </w:r>
            <w:r>
              <w:rPr>
                <w:spacing w:val="-8"/>
              </w:rPr>
              <w:t xml:space="preserve"> </w:t>
            </w:r>
            <w:r>
              <w:t>4:</w:t>
            </w:r>
            <w:r>
              <w:rPr>
                <w:spacing w:val="-5"/>
              </w:rPr>
              <w:t xml:space="preserve"> </w:t>
            </w:r>
            <w:r>
              <w:t>Provisional</w:t>
            </w:r>
            <w:r>
              <w:rPr>
                <w:spacing w:val="-5"/>
              </w:rPr>
              <w:t xml:space="preserve"> </w:t>
            </w:r>
            <w:r>
              <w:rPr>
                <w:spacing w:val="-4"/>
              </w:rPr>
              <w:t>Sums</w:t>
            </w:r>
          </w:p>
        </w:tc>
        <w:tc>
          <w:tcPr>
            <w:tcW w:w="1158" w:type="dxa"/>
          </w:tcPr>
          <w:p w14:paraId="364D3043" w14:textId="77777777" w:rsidR="00BB77C0" w:rsidRDefault="00BB77C0">
            <w:pPr>
              <w:pStyle w:val="TableParagraph"/>
              <w:rPr>
                <w:sz w:val="18"/>
              </w:rPr>
            </w:pPr>
          </w:p>
        </w:tc>
        <w:tc>
          <w:tcPr>
            <w:tcW w:w="1455" w:type="dxa"/>
          </w:tcPr>
          <w:p w14:paraId="4A414831" w14:textId="77777777" w:rsidR="00BB77C0" w:rsidRDefault="00BB77C0">
            <w:pPr>
              <w:pStyle w:val="TableParagraph"/>
              <w:rPr>
                <w:sz w:val="18"/>
              </w:rPr>
            </w:pPr>
          </w:p>
        </w:tc>
      </w:tr>
      <w:tr w:rsidR="00BB77C0" w14:paraId="3B02DA90" w14:textId="77777777">
        <w:trPr>
          <w:trHeight w:val="369"/>
        </w:trPr>
        <w:tc>
          <w:tcPr>
            <w:tcW w:w="6454" w:type="dxa"/>
          </w:tcPr>
          <w:p w14:paraId="26956C7D" w14:textId="77777777" w:rsidR="00BB77C0" w:rsidRDefault="00370BAA">
            <w:pPr>
              <w:pStyle w:val="TableParagraph"/>
              <w:spacing w:line="249" w:lineRule="exact"/>
              <w:ind w:left="110"/>
            </w:pPr>
            <w:r>
              <w:t>Subtotal</w:t>
            </w:r>
            <w:r>
              <w:rPr>
                <w:spacing w:val="-13"/>
              </w:rPr>
              <w:t xml:space="preserve"> </w:t>
            </w:r>
            <w:r>
              <w:t>of</w:t>
            </w:r>
            <w:r>
              <w:rPr>
                <w:spacing w:val="-3"/>
              </w:rPr>
              <w:t xml:space="preserve"> </w:t>
            </w:r>
            <w:r>
              <w:t>Bills</w:t>
            </w:r>
            <w:r>
              <w:rPr>
                <w:spacing w:val="-7"/>
              </w:rPr>
              <w:t xml:space="preserve"> </w:t>
            </w:r>
            <w:r>
              <w:t>No</w:t>
            </w:r>
            <w:r>
              <w:rPr>
                <w:spacing w:val="-7"/>
              </w:rPr>
              <w:t xml:space="preserve"> </w:t>
            </w:r>
            <w:r>
              <w:t>1-</w:t>
            </w:r>
            <w:r>
              <w:rPr>
                <w:spacing w:val="-10"/>
              </w:rPr>
              <w:t>4</w:t>
            </w:r>
          </w:p>
        </w:tc>
        <w:tc>
          <w:tcPr>
            <w:tcW w:w="1158" w:type="dxa"/>
          </w:tcPr>
          <w:p w14:paraId="4D6FB00E" w14:textId="77777777" w:rsidR="00BB77C0" w:rsidRDefault="00BB77C0">
            <w:pPr>
              <w:pStyle w:val="TableParagraph"/>
            </w:pPr>
          </w:p>
        </w:tc>
        <w:tc>
          <w:tcPr>
            <w:tcW w:w="1455" w:type="dxa"/>
          </w:tcPr>
          <w:p w14:paraId="50C1EF36" w14:textId="77777777" w:rsidR="00BB77C0" w:rsidRDefault="00BB77C0">
            <w:pPr>
              <w:pStyle w:val="TableParagraph"/>
            </w:pPr>
          </w:p>
        </w:tc>
      </w:tr>
      <w:tr w:rsidR="00BB77C0" w14:paraId="4F19F312" w14:textId="77777777">
        <w:trPr>
          <w:trHeight w:val="364"/>
        </w:trPr>
        <w:tc>
          <w:tcPr>
            <w:tcW w:w="6454" w:type="dxa"/>
          </w:tcPr>
          <w:p w14:paraId="77878806" w14:textId="77777777" w:rsidR="00BB77C0" w:rsidRDefault="00370BAA">
            <w:pPr>
              <w:pStyle w:val="TableParagraph"/>
              <w:spacing w:line="249" w:lineRule="exact"/>
              <w:ind w:left="110"/>
            </w:pPr>
            <w:r>
              <w:t>Allow</w:t>
            </w:r>
            <w:r>
              <w:rPr>
                <w:spacing w:val="-14"/>
              </w:rPr>
              <w:t xml:space="preserve"> </w:t>
            </w:r>
            <w:r>
              <w:t>for</w:t>
            </w:r>
            <w:r>
              <w:rPr>
                <w:spacing w:val="-7"/>
              </w:rPr>
              <w:t xml:space="preserve"> </w:t>
            </w:r>
            <w:r>
              <w:t>any</w:t>
            </w:r>
            <w:r>
              <w:rPr>
                <w:spacing w:val="-8"/>
              </w:rPr>
              <w:t xml:space="preserve"> </w:t>
            </w:r>
            <w:r>
              <w:t>Discounts</w:t>
            </w:r>
            <w:r>
              <w:rPr>
                <w:spacing w:val="-16"/>
              </w:rPr>
              <w:t xml:space="preserve"> </w:t>
            </w:r>
            <w:r>
              <w:rPr>
                <w:spacing w:val="-10"/>
                <w:vertAlign w:val="superscript"/>
              </w:rPr>
              <w:t>i</w:t>
            </w:r>
          </w:p>
        </w:tc>
        <w:tc>
          <w:tcPr>
            <w:tcW w:w="1158" w:type="dxa"/>
          </w:tcPr>
          <w:p w14:paraId="257A337C" w14:textId="77777777" w:rsidR="00BB77C0" w:rsidRDefault="00BB77C0">
            <w:pPr>
              <w:pStyle w:val="TableParagraph"/>
            </w:pPr>
          </w:p>
        </w:tc>
        <w:tc>
          <w:tcPr>
            <w:tcW w:w="1455" w:type="dxa"/>
          </w:tcPr>
          <w:p w14:paraId="5C15E5B3" w14:textId="77777777" w:rsidR="00BB77C0" w:rsidRDefault="00BB77C0">
            <w:pPr>
              <w:pStyle w:val="TableParagraph"/>
            </w:pPr>
          </w:p>
        </w:tc>
      </w:tr>
      <w:tr w:rsidR="00BB77C0" w14:paraId="6B44D85D" w14:textId="77777777">
        <w:trPr>
          <w:trHeight w:val="364"/>
        </w:trPr>
        <w:tc>
          <w:tcPr>
            <w:tcW w:w="6454" w:type="dxa"/>
          </w:tcPr>
          <w:p w14:paraId="318EDAB9" w14:textId="77777777" w:rsidR="00BB77C0" w:rsidRDefault="00370BAA">
            <w:pPr>
              <w:pStyle w:val="TableParagraph"/>
              <w:spacing w:line="249" w:lineRule="exact"/>
              <w:ind w:left="110"/>
              <w:rPr>
                <w:b/>
              </w:rPr>
            </w:pPr>
            <w:r>
              <w:rPr>
                <w:b/>
              </w:rPr>
              <w:t>TOTAL</w:t>
            </w:r>
            <w:r>
              <w:rPr>
                <w:b/>
                <w:spacing w:val="-8"/>
              </w:rPr>
              <w:t xml:space="preserve"> </w:t>
            </w:r>
            <w:r>
              <w:rPr>
                <w:b/>
              </w:rPr>
              <w:t>TENDER</w:t>
            </w:r>
            <w:r>
              <w:rPr>
                <w:b/>
                <w:spacing w:val="-8"/>
              </w:rPr>
              <w:t xml:space="preserve"> </w:t>
            </w:r>
            <w:r>
              <w:rPr>
                <w:b/>
              </w:rPr>
              <w:t>PRICE</w:t>
            </w:r>
            <w:r>
              <w:rPr>
                <w:b/>
                <w:spacing w:val="-6"/>
              </w:rPr>
              <w:t xml:space="preserve"> </w:t>
            </w:r>
            <w:r>
              <w:rPr>
                <w:b/>
              </w:rPr>
              <w:t>Carried</w:t>
            </w:r>
            <w:r>
              <w:rPr>
                <w:b/>
                <w:spacing w:val="-6"/>
              </w:rPr>
              <w:t xml:space="preserve"> </w:t>
            </w:r>
            <w:r>
              <w:rPr>
                <w:b/>
              </w:rPr>
              <w:t>forward</w:t>
            </w:r>
            <w:r>
              <w:rPr>
                <w:b/>
                <w:spacing w:val="-10"/>
              </w:rPr>
              <w:t xml:space="preserve"> </w:t>
            </w:r>
            <w:r>
              <w:rPr>
                <w:b/>
              </w:rPr>
              <w:t>to</w:t>
            </w:r>
            <w:r>
              <w:rPr>
                <w:b/>
                <w:spacing w:val="-8"/>
              </w:rPr>
              <w:t xml:space="preserve"> </w:t>
            </w:r>
            <w:r>
              <w:rPr>
                <w:b/>
              </w:rPr>
              <w:t>Form</w:t>
            </w:r>
            <w:r>
              <w:rPr>
                <w:b/>
                <w:spacing w:val="-4"/>
              </w:rPr>
              <w:t xml:space="preserve"> </w:t>
            </w:r>
            <w:r>
              <w:rPr>
                <w:b/>
              </w:rPr>
              <w:t>of</w:t>
            </w:r>
            <w:r>
              <w:rPr>
                <w:b/>
                <w:spacing w:val="-9"/>
              </w:rPr>
              <w:t xml:space="preserve"> </w:t>
            </w:r>
            <w:r>
              <w:rPr>
                <w:b/>
                <w:spacing w:val="-2"/>
              </w:rPr>
              <w:t>Tender</w:t>
            </w:r>
          </w:p>
        </w:tc>
        <w:tc>
          <w:tcPr>
            <w:tcW w:w="1158" w:type="dxa"/>
          </w:tcPr>
          <w:p w14:paraId="5069B53C" w14:textId="77777777" w:rsidR="00BB77C0" w:rsidRDefault="00BB77C0">
            <w:pPr>
              <w:pStyle w:val="TableParagraph"/>
            </w:pPr>
          </w:p>
        </w:tc>
        <w:tc>
          <w:tcPr>
            <w:tcW w:w="1455" w:type="dxa"/>
          </w:tcPr>
          <w:p w14:paraId="025AAA53" w14:textId="77777777" w:rsidR="00BB77C0" w:rsidRDefault="00BB77C0">
            <w:pPr>
              <w:pStyle w:val="TableParagraph"/>
            </w:pPr>
          </w:p>
        </w:tc>
      </w:tr>
    </w:tbl>
    <w:p w14:paraId="4B2D5A0E" w14:textId="77777777" w:rsidR="005C3190" w:rsidRDefault="005C3190">
      <w:pPr>
        <w:pStyle w:val="TableParagraph"/>
      </w:pPr>
    </w:p>
    <w:p w14:paraId="25E495A4" w14:textId="77777777" w:rsidR="005C3190" w:rsidRPr="005C3190" w:rsidRDefault="005C3190" w:rsidP="005C3190"/>
    <w:p w14:paraId="4D4D8427" w14:textId="77777777" w:rsidR="005C3190" w:rsidRDefault="005C3190" w:rsidP="005C3190"/>
    <w:p w14:paraId="31D3A243" w14:textId="77777777" w:rsidR="005C3190" w:rsidRDefault="005C3190" w:rsidP="005C3190">
      <w:pPr>
        <w:tabs>
          <w:tab w:val="left" w:pos="915"/>
        </w:tabs>
      </w:pPr>
      <w:r>
        <w:tab/>
      </w: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3"/>
        <w:gridCol w:w="3870"/>
        <w:gridCol w:w="960"/>
        <w:gridCol w:w="955"/>
        <w:gridCol w:w="1061"/>
        <w:gridCol w:w="1358"/>
      </w:tblGrid>
      <w:tr w:rsidR="005C3190" w:rsidRPr="005C3190" w14:paraId="124EAFEA" w14:textId="77777777" w:rsidTr="00642B89">
        <w:trPr>
          <w:trHeight w:val="537"/>
        </w:trPr>
        <w:tc>
          <w:tcPr>
            <w:tcW w:w="9347" w:type="dxa"/>
            <w:gridSpan w:val="6"/>
          </w:tcPr>
          <w:p w14:paraId="1F04B2DE" w14:textId="77777777" w:rsidR="005C3190" w:rsidRPr="005C3190" w:rsidRDefault="005C3190" w:rsidP="00642B89">
            <w:pPr>
              <w:pStyle w:val="TableParagraph"/>
              <w:spacing w:before="6"/>
              <w:ind w:left="110"/>
              <w:rPr>
                <w:rFonts w:ascii="Calibri"/>
                <w:b/>
                <w:sz w:val="28"/>
                <w:szCs w:val="28"/>
              </w:rPr>
            </w:pPr>
            <w:r w:rsidRPr="005C3190">
              <w:rPr>
                <w:rFonts w:ascii="Calibri"/>
                <w:b/>
                <w:sz w:val="28"/>
                <w:szCs w:val="28"/>
              </w:rPr>
              <w:t>PROPOSED</w:t>
            </w:r>
            <w:r w:rsidRPr="005C3190">
              <w:rPr>
                <w:rFonts w:ascii="Calibri"/>
                <w:b/>
                <w:spacing w:val="-13"/>
                <w:sz w:val="28"/>
                <w:szCs w:val="28"/>
              </w:rPr>
              <w:t xml:space="preserve"> </w:t>
            </w:r>
            <w:r w:rsidRPr="005C3190">
              <w:rPr>
                <w:rFonts w:ascii="Calibri"/>
                <w:b/>
                <w:sz w:val="28"/>
                <w:szCs w:val="28"/>
              </w:rPr>
              <w:t>SUPPLY</w:t>
            </w:r>
            <w:r w:rsidRPr="005C3190">
              <w:rPr>
                <w:rFonts w:ascii="Calibri"/>
                <w:b/>
                <w:spacing w:val="-10"/>
                <w:sz w:val="28"/>
                <w:szCs w:val="28"/>
              </w:rPr>
              <w:t xml:space="preserve"> </w:t>
            </w:r>
            <w:r w:rsidRPr="005C3190">
              <w:rPr>
                <w:rFonts w:ascii="Calibri"/>
                <w:b/>
                <w:sz w:val="28"/>
                <w:szCs w:val="28"/>
              </w:rPr>
              <w:t>AND</w:t>
            </w:r>
            <w:r w:rsidRPr="005C3190">
              <w:rPr>
                <w:rFonts w:ascii="Calibri"/>
                <w:b/>
                <w:spacing w:val="-8"/>
                <w:sz w:val="28"/>
                <w:szCs w:val="28"/>
              </w:rPr>
              <w:t xml:space="preserve"> </w:t>
            </w:r>
            <w:r w:rsidRPr="005C3190">
              <w:rPr>
                <w:rFonts w:ascii="Calibri"/>
                <w:b/>
                <w:sz w:val="28"/>
                <w:szCs w:val="28"/>
              </w:rPr>
              <w:t>INSTALLATION</w:t>
            </w:r>
            <w:r w:rsidRPr="005C3190">
              <w:rPr>
                <w:rFonts w:ascii="Calibri"/>
                <w:b/>
                <w:spacing w:val="-8"/>
                <w:sz w:val="28"/>
                <w:szCs w:val="28"/>
              </w:rPr>
              <w:t xml:space="preserve"> </w:t>
            </w:r>
            <w:r w:rsidRPr="005C3190">
              <w:rPr>
                <w:rFonts w:ascii="Calibri"/>
                <w:b/>
                <w:sz w:val="28"/>
                <w:szCs w:val="28"/>
              </w:rPr>
              <w:t>OF</w:t>
            </w:r>
            <w:r w:rsidRPr="005C3190">
              <w:rPr>
                <w:rFonts w:ascii="Calibri"/>
                <w:b/>
                <w:spacing w:val="-12"/>
                <w:sz w:val="28"/>
                <w:szCs w:val="28"/>
              </w:rPr>
              <w:t xml:space="preserve"> </w:t>
            </w:r>
            <w:r w:rsidRPr="005C3190">
              <w:rPr>
                <w:rFonts w:ascii="Calibri"/>
                <w:b/>
                <w:sz w:val="28"/>
                <w:szCs w:val="28"/>
              </w:rPr>
              <w:t>A</w:t>
            </w:r>
            <w:r w:rsidRPr="005C3190">
              <w:rPr>
                <w:rFonts w:ascii="Calibri"/>
                <w:b/>
                <w:spacing w:val="-11"/>
                <w:sz w:val="28"/>
                <w:szCs w:val="28"/>
              </w:rPr>
              <w:t xml:space="preserve"> </w:t>
            </w:r>
            <w:r w:rsidRPr="005C3190">
              <w:rPr>
                <w:rFonts w:ascii="Calibri"/>
                <w:b/>
                <w:sz w:val="28"/>
                <w:szCs w:val="28"/>
              </w:rPr>
              <w:t>4</w:t>
            </w:r>
            <w:r w:rsidRPr="005C3190">
              <w:rPr>
                <w:rFonts w:ascii="Calibri"/>
                <w:b/>
                <w:spacing w:val="-8"/>
                <w:sz w:val="28"/>
                <w:szCs w:val="28"/>
              </w:rPr>
              <w:t xml:space="preserve"> </w:t>
            </w:r>
            <w:r w:rsidRPr="005C3190">
              <w:rPr>
                <w:rFonts w:ascii="Calibri"/>
                <w:b/>
                <w:sz w:val="28"/>
                <w:szCs w:val="28"/>
              </w:rPr>
              <w:t>DISC</w:t>
            </w:r>
            <w:r w:rsidRPr="005C3190">
              <w:rPr>
                <w:rFonts w:ascii="Calibri"/>
                <w:b/>
                <w:spacing w:val="-13"/>
                <w:sz w:val="28"/>
                <w:szCs w:val="28"/>
              </w:rPr>
              <w:t xml:space="preserve"> </w:t>
            </w:r>
            <w:r w:rsidRPr="005C3190">
              <w:rPr>
                <w:rFonts w:ascii="Calibri"/>
                <w:b/>
                <w:sz w:val="28"/>
                <w:szCs w:val="28"/>
              </w:rPr>
              <w:t>COFFEE</w:t>
            </w:r>
            <w:r w:rsidRPr="005C3190">
              <w:rPr>
                <w:rFonts w:ascii="Calibri"/>
                <w:b/>
                <w:spacing w:val="-9"/>
                <w:sz w:val="28"/>
                <w:szCs w:val="28"/>
              </w:rPr>
              <w:t xml:space="preserve"> </w:t>
            </w:r>
            <w:r w:rsidRPr="005C3190">
              <w:rPr>
                <w:rFonts w:ascii="Calibri"/>
                <w:b/>
                <w:sz w:val="28"/>
                <w:szCs w:val="28"/>
              </w:rPr>
              <w:t>PULPING</w:t>
            </w:r>
            <w:r w:rsidRPr="005C3190">
              <w:rPr>
                <w:rFonts w:ascii="Calibri"/>
                <w:b/>
                <w:spacing w:val="-8"/>
                <w:sz w:val="28"/>
                <w:szCs w:val="28"/>
              </w:rPr>
              <w:t xml:space="preserve"> </w:t>
            </w:r>
            <w:r w:rsidRPr="005C3190">
              <w:rPr>
                <w:rFonts w:ascii="Calibri"/>
                <w:b/>
                <w:sz w:val="28"/>
                <w:szCs w:val="28"/>
              </w:rPr>
              <w:t>MACHINE</w:t>
            </w:r>
            <w:r w:rsidRPr="005C3190">
              <w:rPr>
                <w:rFonts w:ascii="Calibri"/>
                <w:b/>
                <w:spacing w:val="-4"/>
                <w:sz w:val="28"/>
                <w:szCs w:val="28"/>
              </w:rPr>
              <w:t xml:space="preserve"> </w:t>
            </w:r>
          </w:p>
        </w:tc>
      </w:tr>
      <w:tr w:rsidR="005C3190" w14:paraId="48507B40" w14:textId="77777777" w:rsidTr="00642B89">
        <w:trPr>
          <w:trHeight w:val="460"/>
        </w:trPr>
        <w:tc>
          <w:tcPr>
            <w:tcW w:w="1143" w:type="dxa"/>
          </w:tcPr>
          <w:p w14:paraId="6FBF5F80" w14:textId="77777777" w:rsidR="005C3190" w:rsidRDefault="005C3190" w:rsidP="00642B89">
            <w:pPr>
              <w:pStyle w:val="TableParagraph"/>
            </w:pPr>
          </w:p>
        </w:tc>
        <w:tc>
          <w:tcPr>
            <w:tcW w:w="3870" w:type="dxa"/>
          </w:tcPr>
          <w:p w14:paraId="1BBF93E2" w14:textId="77777777" w:rsidR="005C3190" w:rsidRDefault="005C3190" w:rsidP="00642B89">
            <w:pPr>
              <w:pStyle w:val="TableParagraph"/>
              <w:spacing w:before="6"/>
              <w:ind w:left="110"/>
              <w:rPr>
                <w:rFonts w:ascii="Calibri"/>
                <w:b/>
              </w:rPr>
            </w:pPr>
            <w:r>
              <w:rPr>
                <w:rFonts w:ascii="Calibri"/>
                <w:b/>
                <w:spacing w:val="-2"/>
              </w:rPr>
              <w:t>DESCRIPTION</w:t>
            </w:r>
          </w:p>
        </w:tc>
        <w:tc>
          <w:tcPr>
            <w:tcW w:w="960" w:type="dxa"/>
          </w:tcPr>
          <w:p w14:paraId="1F990B9D" w14:textId="77777777" w:rsidR="005C3190" w:rsidRDefault="005C3190" w:rsidP="00642B89">
            <w:pPr>
              <w:pStyle w:val="TableParagraph"/>
              <w:spacing w:before="6"/>
              <w:ind w:left="110"/>
              <w:rPr>
                <w:rFonts w:ascii="Calibri"/>
                <w:b/>
              </w:rPr>
            </w:pPr>
            <w:r>
              <w:rPr>
                <w:rFonts w:ascii="Calibri"/>
                <w:b/>
                <w:spacing w:val="-2"/>
              </w:rPr>
              <w:t>UNITS</w:t>
            </w:r>
          </w:p>
        </w:tc>
        <w:tc>
          <w:tcPr>
            <w:tcW w:w="955" w:type="dxa"/>
          </w:tcPr>
          <w:p w14:paraId="4D5F3697" w14:textId="77777777" w:rsidR="005C3190" w:rsidRDefault="005C3190" w:rsidP="00642B89">
            <w:pPr>
              <w:pStyle w:val="TableParagraph"/>
              <w:spacing w:before="6"/>
              <w:ind w:left="115"/>
              <w:rPr>
                <w:rFonts w:ascii="Calibri"/>
                <w:b/>
              </w:rPr>
            </w:pPr>
            <w:r>
              <w:rPr>
                <w:rFonts w:ascii="Calibri"/>
                <w:b/>
                <w:spacing w:val="-5"/>
              </w:rPr>
              <w:t>QTY</w:t>
            </w:r>
          </w:p>
        </w:tc>
        <w:tc>
          <w:tcPr>
            <w:tcW w:w="1061" w:type="dxa"/>
          </w:tcPr>
          <w:p w14:paraId="58BE0D4E" w14:textId="77777777" w:rsidR="005C3190" w:rsidRDefault="005C3190" w:rsidP="00642B89">
            <w:pPr>
              <w:pStyle w:val="TableParagraph"/>
              <w:spacing w:before="6"/>
              <w:ind w:left="116"/>
              <w:rPr>
                <w:rFonts w:ascii="Calibri"/>
                <w:b/>
              </w:rPr>
            </w:pPr>
            <w:r>
              <w:rPr>
                <w:rFonts w:ascii="Calibri"/>
                <w:b/>
                <w:spacing w:val="-4"/>
              </w:rPr>
              <w:t>RATE</w:t>
            </w:r>
          </w:p>
        </w:tc>
        <w:tc>
          <w:tcPr>
            <w:tcW w:w="1358" w:type="dxa"/>
          </w:tcPr>
          <w:p w14:paraId="0E1149FF" w14:textId="77777777" w:rsidR="005C3190" w:rsidRDefault="005C3190" w:rsidP="00642B89">
            <w:pPr>
              <w:pStyle w:val="TableParagraph"/>
              <w:spacing w:before="6"/>
              <w:ind w:left="116"/>
              <w:rPr>
                <w:rFonts w:ascii="Calibri"/>
                <w:b/>
              </w:rPr>
            </w:pPr>
            <w:r>
              <w:rPr>
                <w:rFonts w:ascii="Calibri"/>
                <w:b/>
                <w:spacing w:val="-2"/>
              </w:rPr>
              <w:t>AMOUNT</w:t>
            </w:r>
          </w:p>
        </w:tc>
      </w:tr>
      <w:tr w:rsidR="005C3190" w14:paraId="4E3EAB54" w14:textId="77777777" w:rsidTr="00642B89">
        <w:trPr>
          <w:trHeight w:val="1132"/>
        </w:trPr>
        <w:tc>
          <w:tcPr>
            <w:tcW w:w="1143" w:type="dxa"/>
          </w:tcPr>
          <w:p w14:paraId="52952841" w14:textId="77777777" w:rsidR="005C3190" w:rsidRDefault="005C3190" w:rsidP="00642B89">
            <w:pPr>
              <w:pStyle w:val="TableParagraph"/>
              <w:spacing w:before="7"/>
              <w:ind w:left="110"/>
              <w:rPr>
                <w:rFonts w:ascii="Calibri"/>
              </w:rPr>
            </w:pPr>
            <w:r>
              <w:rPr>
                <w:rFonts w:ascii="Calibri"/>
                <w:spacing w:val="-4"/>
              </w:rPr>
              <w:t>2.01</w:t>
            </w:r>
          </w:p>
        </w:tc>
        <w:tc>
          <w:tcPr>
            <w:tcW w:w="3870" w:type="dxa"/>
          </w:tcPr>
          <w:p w14:paraId="3F3635EE" w14:textId="77777777" w:rsidR="005C3190" w:rsidRDefault="005C3190" w:rsidP="00642B89">
            <w:pPr>
              <w:pStyle w:val="TableParagraph"/>
              <w:spacing w:before="2"/>
              <w:ind w:left="110" w:right="379"/>
              <w:rPr>
                <w:rFonts w:ascii="Calibri"/>
                <w:b/>
              </w:rPr>
            </w:pPr>
            <w:r>
              <w:rPr>
                <w:rFonts w:ascii="Calibri"/>
                <w:b/>
              </w:rPr>
              <w:t>Supply and deliver steel made 4 disc coffee</w:t>
            </w:r>
            <w:r>
              <w:rPr>
                <w:rFonts w:ascii="Calibri"/>
                <w:b/>
                <w:spacing w:val="-13"/>
              </w:rPr>
              <w:t xml:space="preserve"> </w:t>
            </w:r>
            <w:r>
              <w:rPr>
                <w:rFonts w:ascii="Calibri"/>
                <w:b/>
              </w:rPr>
              <w:t>pulping</w:t>
            </w:r>
            <w:r>
              <w:rPr>
                <w:rFonts w:ascii="Calibri"/>
                <w:b/>
                <w:spacing w:val="-12"/>
              </w:rPr>
              <w:t xml:space="preserve"> </w:t>
            </w:r>
            <w:r>
              <w:rPr>
                <w:rFonts w:ascii="Calibri"/>
                <w:b/>
              </w:rPr>
              <w:t>machine</w:t>
            </w:r>
            <w:r>
              <w:rPr>
                <w:rFonts w:ascii="Calibri"/>
                <w:b/>
                <w:spacing w:val="-13"/>
              </w:rPr>
              <w:t xml:space="preserve"> </w:t>
            </w:r>
            <w:r>
              <w:rPr>
                <w:rFonts w:ascii="Calibri"/>
              </w:rPr>
              <w:t>or</w:t>
            </w:r>
            <w:r>
              <w:rPr>
                <w:rFonts w:ascii="Calibri"/>
                <w:spacing w:val="-12"/>
              </w:rPr>
              <w:t xml:space="preserve"> </w:t>
            </w:r>
            <w:r>
              <w:rPr>
                <w:rFonts w:ascii="Calibri"/>
                <w:b/>
              </w:rPr>
              <w:t xml:space="preserve">equivalent and approved by Engineers </w:t>
            </w:r>
            <w:r>
              <w:rPr>
                <w:rFonts w:ascii="Calibri"/>
                <w:b/>
                <w:spacing w:val="-2"/>
              </w:rPr>
              <w:t>specifications.</w:t>
            </w:r>
          </w:p>
        </w:tc>
        <w:tc>
          <w:tcPr>
            <w:tcW w:w="960" w:type="dxa"/>
          </w:tcPr>
          <w:p w14:paraId="1DBFD004" w14:textId="77777777" w:rsidR="005C3190" w:rsidRDefault="005C3190" w:rsidP="00642B89">
            <w:pPr>
              <w:pStyle w:val="TableParagraph"/>
            </w:pPr>
          </w:p>
        </w:tc>
        <w:tc>
          <w:tcPr>
            <w:tcW w:w="955" w:type="dxa"/>
          </w:tcPr>
          <w:p w14:paraId="629BFA26" w14:textId="77777777" w:rsidR="005C3190" w:rsidRDefault="005C3190" w:rsidP="00642B89">
            <w:pPr>
              <w:pStyle w:val="TableParagraph"/>
            </w:pPr>
          </w:p>
        </w:tc>
        <w:tc>
          <w:tcPr>
            <w:tcW w:w="1061" w:type="dxa"/>
          </w:tcPr>
          <w:p w14:paraId="14D875B3" w14:textId="77777777" w:rsidR="005C3190" w:rsidRDefault="005C3190" w:rsidP="00642B89">
            <w:pPr>
              <w:pStyle w:val="TableParagraph"/>
            </w:pPr>
          </w:p>
        </w:tc>
        <w:tc>
          <w:tcPr>
            <w:tcW w:w="1358" w:type="dxa"/>
          </w:tcPr>
          <w:p w14:paraId="4F280B19" w14:textId="77777777" w:rsidR="005C3190" w:rsidRDefault="005C3190" w:rsidP="00642B89">
            <w:pPr>
              <w:pStyle w:val="TableParagraph"/>
            </w:pPr>
          </w:p>
        </w:tc>
      </w:tr>
      <w:tr w:rsidR="005C3190" w14:paraId="53C8B04A" w14:textId="77777777" w:rsidTr="00642B89">
        <w:trPr>
          <w:trHeight w:val="801"/>
        </w:trPr>
        <w:tc>
          <w:tcPr>
            <w:tcW w:w="1143" w:type="dxa"/>
            <w:vMerge w:val="restart"/>
          </w:tcPr>
          <w:p w14:paraId="553F88E9" w14:textId="77777777" w:rsidR="005C3190" w:rsidRDefault="005C3190" w:rsidP="00642B89">
            <w:pPr>
              <w:pStyle w:val="TableParagraph"/>
            </w:pPr>
          </w:p>
        </w:tc>
        <w:tc>
          <w:tcPr>
            <w:tcW w:w="3870" w:type="dxa"/>
          </w:tcPr>
          <w:p w14:paraId="017432DB" w14:textId="77777777" w:rsidR="005C3190" w:rsidRDefault="005C3190" w:rsidP="00642B89">
            <w:pPr>
              <w:pStyle w:val="TableParagraph"/>
              <w:spacing w:before="1"/>
              <w:ind w:left="110"/>
              <w:rPr>
                <w:rFonts w:ascii="Calibri"/>
              </w:rPr>
            </w:pPr>
            <w:r>
              <w:rPr>
                <w:rFonts w:ascii="Calibri"/>
                <w:b/>
              </w:rPr>
              <w:t>a)</w:t>
            </w:r>
            <w:r>
              <w:rPr>
                <w:rFonts w:ascii="Calibri"/>
                <w:b/>
                <w:spacing w:val="-11"/>
              </w:rPr>
              <w:t xml:space="preserve"> </w:t>
            </w:r>
            <w:r>
              <w:rPr>
                <w:rFonts w:ascii="Calibri"/>
                <w:b/>
              </w:rPr>
              <w:t>Load</w:t>
            </w:r>
            <w:r>
              <w:rPr>
                <w:rFonts w:ascii="Calibri"/>
                <w:b/>
                <w:spacing w:val="-6"/>
              </w:rPr>
              <w:t xml:space="preserve"> </w:t>
            </w:r>
            <w:r>
              <w:rPr>
                <w:rFonts w:ascii="Calibri"/>
                <w:b/>
              </w:rPr>
              <w:t>Capacity:</w:t>
            </w:r>
            <w:r>
              <w:rPr>
                <w:rFonts w:ascii="Calibri"/>
                <w:b/>
                <w:spacing w:val="35"/>
              </w:rPr>
              <w:t xml:space="preserve"> </w:t>
            </w:r>
            <w:r>
              <w:rPr>
                <w:rFonts w:ascii="Calibri"/>
                <w:b/>
              </w:rPr>
              <w:t>4</w:t>
            </w:r>
            <w:r>
              <w:rPr>
                <w:rFonts w:ascii="Calibri"/>
                <w:b/>
                <w:spacing w:val="-11"/>
              </w:rPr>
              <w:t xml:space="preserve"> </w:t>
            </w:r>
            <w:r>
              <w:rPr>
                <w:rFonts w:ascii="Calibri"/>
                <w:b/>
              </w:rPr>
              <w:t>disc</w:t>
            </w:r>
            <w:r>
              <w:rPr>
                <w:rFonts w:ascii="Calibri"/>
                <w:b/>
                <w:spacing w:val="-8"/>
              </w:rPr>
              <w:t xml:space="preserve"> </w:t>
            </w:r>
            <w:r>
              <w:rPr>
                <w:rFonts w:ascii="Calibri"/>
              </w:rPr>
              <w:t>model</w:t>
            </w:r>
            <w:r>
              <w:rPr>
                <w:rFonts w:ascii="Calibri"/>
                <w:spacing w:val="-5"/>
              </w:rPr>
              <w:t xml:space="preserve"> </w:t>
            </w:r>
            <w:r>
              <w:rPr>
                <w:rFonts w:ascii="Calibri"/>
                <w:spacing w:val="-2"/>
              </w:rPr>
              <w:t>designed</w:t>
            </w:r>
          </w:p>
          <w:p w14:paraId="61CFB7B9" w14:textId="77777777" w:rsidR="005C3190" w:rsidRDefault="005C3190" w:rsidP="00642B89">
            <w:pPr>
              <w:pStyle w:val="TableParagraph"/>
              <w:spacing w:before="4" w:line="254" w:lineRule="exact"/>
              <w:ind w:left="110" w:right="178"/>
              <w:rPr>
                <w:rFonts w:ascii="Calibri"/>
              </w:rPr>
            </w:pPr>
            <w:r>
              <w:rPr>
                <w:rFonts w:ascii="Calibri"/>
              </w:rPr>
              <w:t>for</w:t>
            </w:r>
            <w:r>
              <w:rPr>
                <w:rFonts w:ascii="Calibri"/>
                <w:spacing w:val="-7"/>
              </w:rPr>
              <w:t xml:space="preserve"> </w:t>
            </w:r>
            <w:r>
              <w:rPr>
                <w:rFonts w:ascii="Calibri"/>
              </w:rPr>
              <w:t>high</w:t>
            </w:r>
            <w:r>
              <w:rPr>
                <w:rFonts w:ascii="Calibri"/>
                <w:spacing w:val="-8"/>
              </w:rPr>
              <w:t xml:space="preserve"> </w:t>
            </w:r>
            <w:r>
              <w:rPr>
                <w:rFonts w:ascii="Calibri"/>
              </w:rPr>
              <w:t>capacity,</w:t>
            </w:r>
            <w:r>
              <w:rPr>
                <w:rFonts w:ascii="Calibri"/>
                <w:spacing w:val="-3"/>
              </w:rPr>
              <w:t xml:space="preserve"> </w:t>
            </w:r>
            <w:r>
              <w:rPr>
                <w:rFonts w:ascii="Calibri"/>
              </w:rPr>
              <w:t>typically</w:t>
            </w:r>
            <w:r>
              <w:rPr>
                <w:rFonts w:ascii="Calibri"/>
                <w:spacing w:val="-7"/>
              </w:rPr>
              <w:t xml:space="preserve"> </w:t>
            </w:r>
            <w:r>
              <w:rPr>
                <w:rFonts w:ascii="Calibri"/>
              </w:rPr>
              <w:t>in</w:t>
            </w:r>
            <w:r>
              <w:rPr>
                <w:rFonts w:ascii="Calibri"/>
                <w:spacing w:val="-8"/>
              </w:rPr>
              <w:t xml:space="preserve"> </w:t>
            </w:r>
            <w:r>
              <w:rPr>
                <w:rFonts w:ascii="Calibri"/>
              </w:rPr>
              <w:t>the</w:t>
            </w:r>
            <w:r>
              <w:rPr>
                <w:rFonts w:ascii="Calibri"/>
                <w:spacing w:val="-7"/>
              </w:rPr>
              <w:t xml:space="preserve"> </w:t>
            </w:r>
            <w:r>
              <w:rPr>
                <w:rFonts w:ascii="Calibri"/>
              </w:rPr>
              <w:t>range of 1,000 to over 4,000 kg/hr.</w:t>
            </w:r>
          </w:p>
        </w:tc>
        <w:tc>
          <w:tcPr>
            <w:tcW w:w="960" w:type="dxa"/>
          </w:tcPr>
          <w:p w14:paraId="78C82EF0" w14:textId="77777777" w:rsidR="005C3190" w:rsidRDefault="005C3190" w:rsidP="00642B89">
            <w:pPr>
              <w:pStyle w:val="TableParagraph"/>
            </w:pPr>
          </w:p>
        </w:tc>
        <w:tc>
          <w:tcPr>
            <w:tcW w:w="955" w:type="dxa"/>
          </w:tcPr>
          <w:p w14:paraId="32BDA6B9" w14:textId="77777777" w:rsidR="005C3190" w:rsidRDefault="005C3190" w:rsidP="00642B89">
            <w:pPr>
              <w:pStyle w:val="TableParagraph"/>
            </w:pPr>
          </w:p>
        </w:tc>
        <w:tc>
          <w:tcPr>
            <w:tcW w:w="1061" w:type="dxa"/>
          </w:tcPr>
          <w:p w14:paraId="30B1D2A9" w14:textId="77777777" w:rsidR="005C3190" w:rsidRDefault="005C3190" w:rsidP="00642B89">
            <w:pPr>
              <w:pStyle w:val="TableParagraph"/>
            </w:pPr>
          </w:p>
        </w:tc>
        <w:tc>
          <w:tcPr>
            <w:tcW w:w="1358" w:type="dxa"/>
          </w:tcPr>
          <w:p w14:paraId="30EB73DD" w14:textId="77777777" w:rsidR="005C3190" w:rsidRDefault="005C3190" w:rsidP="00642B89">
            <w:pPr>
              <w:pStyle w:val="TableParagraph"/>
            </w:pPr>
          </w:p>
        </w:tc>
      </w:tr>
      <w:tr w:rsidR="005C3190" w14:paraId="7AD43B93" w14:textId="77777777" w:rsidTr="00642B89">
        <w:trPr>
          <w:trHeight w:val="1343"/>
        </w:trPr>
        <w:tc>
          <w:tcPr>
            <w:tcW w:w="1143" w:type="dxa"/>
            <w:vMerge/>
            <w:tcBorders>
              <w:top w:val="nil"/>
            </w:tcBorders>
          </w:tcPr>
          <w:p w14:paraId="551FD9E7" w14:textId="77777777" w:rsidR="005C3190" w:rsidRDefault="005C3190" w:rsidP="00642B89">
            <w:pPr>
              <w:rPr>
                <w:sz w:val="2"/>
                <w:szCs w:val="2"/>
              </w:rPr>
            </w:pPr>
          </w:p>
        </w:tc>
        <w:tc>
          <w:tcPr>
            <w:tcW w:w="3870" w:type="dxa"/>
          </w:tcPr>
          <w:p w14:paraId="41F756A6" w14:textId="77777777" w:rsidR="005C3190" w:rsidRDefault="005C3190" w:rsidP="00642B89">
            <w:pPr>
              <w:pStyle w:val="TableParagraph"/>
              <w:spacing w:before="1"/>
              <w:ind w:left="110" w:right="169"/>
              <w:jc w:val="both"/>
              <w:rPr>
                <w:rFonts w:ascii="Calibri"/>
              </w:rPr>
            </w:pPr>
            <w:r>
              <w:rPr>
                <w:rFonts w:ascii="Calibri"/>
                <w:b/>
              </w:rPr>
              <w:t>b</w:t>
            </w:r>
            <w:r>
              <w:rPr>
                <w:rFonts w:ascii="Calibri"/>
              </w:rPr>
              <w:t xml:space="preserve">) </w:t>
            </w:r>
            <w:r>
              <w:rPr>
                <w:rFonts w:ascii="Calibri"/>
                <w:b/>
              </w:rPr>
              <w:t xml:space="preserve">equipment adjustability; </w:t>
            </w:r>
            <w:r>
              <w:rPr>
                <w:rFonts w:ascii="Calibri"/>
              </w:rPr>
              <w:t>Must have adjustable gaps between the disc bulbs and chop rails to handle varying cherry sizes</w:t>
            </w:r>
            <w:r>
              <w:rPr>
                <w:rFonts w:ascii="Calibri"/>
                <w:spacing w:val="-11"/>
              </w:rPr>
              <w:t xml:space="preserve"> </w:t>
            </w:r>
            <w:r>
              <w:rPr>
                <w:rFonts w:ascii="Calibri"/>
              </w:rPr>
              <w:t>and</w:t>
            </w:r>
            <w:r>
              <w:rPr>
                <w:rFonts w:ascii="Calibri"/>
                <w:spacing w:val="-10"/>
              </w:rPr>
              <w:t xml:space="preserve"> </w:t>
            </w:r>
            <w:r>
              <w:rPr>
                <w:rFonts w:ascii="Calibri"/>
              </w:rPr>
              <w:t>to</w:t>
            </w:r>
            <w:r>
              <w:rPr>
                <w:rFonts w:ascii="Calibri"/>
                <w:spacing w:val="-11"/>
              </w:rPr>
              <w:t xml:space="preserve"> </w:t>
            </w:r>
            <w:r>
              <w:rPr>
                <w:rFonts w:ascii="Calibri"/>
              </w:rPr>
              <w:t>minimize</w:t>
            </w:r>
            <w:r>
              <w:rPr>
                <w:rFonts w:ascii="Calibri"/>
                <w:spacing w:val="-8"/>
              </w:rPr>
              <w:t xml:space="preserve"> </w:t>
            </w:r>
            <w:r>
              <w:rPr>
                <w:rFonts w:ascii="Calibri"/>
              </w:rPr>
              <w:t>bean</w:t>
            </w:r>
            <w:r>
              <w:rPr>
                <w:rFonts w:ascii="Calibri"/>
                <w:spacing w:val="-13"/>
              </w:rPr>
              <w:t xml:space="preserve"> </w:t>
            </w:r>
            <w:r>
              <w:rPr>
                <w:rFonts w:ascii="Calibri"/>
              </w:rPr>
              <w:t>damage.</w:t>
            </w:r>
            <w:r>
              <w:rPr>
                <w:rFonts w:ascii="Calibri"/>
                <w:spacing w:val="-7"/>
              </w:rPr>
              <w:t xml:space="preserve"> </w:t>
            </w:r>
            <w:r>
              <w:rPr>
                <w:rFonts w:ascii="Calibri"/>
                <w:spacing w:val="-5"/>
              </w:rPr>
              <w:t>and</w:t>
            </w:r>
          </w:p>
          <w:p w14:paraId="48C3EF14" w14:textId="77777777" w:rsidR="005C3190" w:rsidRDefault="005C3190" w:rsidP="00642B89">
            <w:pPr>
              <w:pStyle w:val="TableParagraph"/>
              <w:spacing w:line="248" w:lineRule="exact"/>
              <w:ind w:left="110"/>
              <w:jc w:val="both"/>
              <w:rPr>
                <w:rFonts w:ascii="Calibri" w:hAnsi="Calibri"/>
              </w:rPr>
            </w:pPr>
            <w:r>
              <w:rPr>
                <w:rFonts w:ascii="Calibri" w:hAnsi="Calibri"/>
                <w:b/>
              </w:rPr>
              <w:t>branded</w:t>
            </w:r>
            <w:r>
              <w:rPr>
                <w:rFonts w:ascii="Calibri" w:hAnsi="Calibri"/>
                <w:b/>
                <w:spacing w:val="-7"/>
              </w:rPr>
              <w:t xml:space="preserve"> </w:t>
            </w:r>
            <w:r>
              <w:rPr>
                <w:rFonts w:ascii="Calibri" w:hAnsi="Calibri"/>
              </w:rPr>
              <w:t>to</w:t>
            </w:r>
            <w:r>
              <w:rPr>
                <w:rFonts w:ascii="Calibri" w:hAnsi="Calibri"/>
                <w:spacing w:val="-10"/>
              </w:rPr>
              <w:t xml:space="preserve"> </w:t>
            </w:r>
            <w:r>
              <w:rPr>
                <w:rFonts w:ascii="Calibri" w:hAnsi="Calibri"/>
              </w:rPr>
              <w:t>engineers’</w:t>
            </w:r>
            <w:r>
              <w:rPr>
                <w:rFonts w:ascii="Calibri" w:hAnsi="Calibri"/>
                <w:spacing w:val="-10"/>
              </w:rPr>
              <w:t xml:space="preserve"> </w:t>
            </w:r>
            <w:r>
              <w:rPr>
                <w:rFonts w:ascii="Calibri" w:hAnsi="Calibri"/>
                <w:spacing w:val="-2"/>
              </w:rPr>
              <w:t>specifications.</w:t>
            </w:r>
          </w:p>
        </w:tc>
        <w:tc>
          <w:tcPr>
            <w:tcW w:w="960" w:type="dxa"/>
          </w:tcPr>
          <w:p w14:paraId="1FB7A4C4" w14:textId="77777777" w:rsidR="005C3190" w:rsidRDefault="005C3190" w:rsidP="00642B89">
            <w:pPr>
              <w:pStyle w:val="TableParagraph"/>
            </w:pPr>
          </w:p>
        </w:tc>
        <w:tc>
          <w:tcPr>
            <w:tcW w:w="955" w:type="dxa"/>
          </w:tcPr>
          <w:p w14:paraId="6338A627" w14:textId="77777777" w:rsidR="005C3190" w:rsidRDefault="005C3190" w:rsidP="00642B89">
            <w:pPr>
              <w:pStyle w:val="TableParagraph"/>
            </w:pPr>
          </w:p>
        </w:tc>
        <w:tc>
          <w:tcPr>
            <w:tcW w:w="1061" w:type="dxa"/>
          </w:tcPr>
          <w:p w14:paraId="0F4B13CB" w14:textId="77777777" w:rsidR="005C3190" w:rsidRDefault="005C3190" w:rsidP="00642B89">
            <w:pPr>
              <w:pStyle w:val="TableParagraph"/>
            </w:pPr>
          </w:p>
        </w:tc>
        <w:tc>
          <w:tcPr>
            <w:tcW w:w="1358" w:type="dxa"/>
          </w:tcPr>
          <w:p w14:paraId="4E42FC41" w14:textId="77777777" w:rsidR="005C3190" w:rsidRDefault="005C3190" w:rsidP="00642B89">
            <w:pPr>
              <w:pStyle w:val="TableParagraph"/>
            </w:pPr>
          </w:p>
        </w:tc>
      </w:tr>
      <w:tr w:rsidR="005C3190" w14:paraId="2F8EDB26" w14:textId="77777777" w:rsidTr="00642B89">
        <w:trPr>
          <w:trHeight w:val="806"/>
        </w:trPr>
        <w:tc>
          <w:tcPr>
            <w:tcW w:w="1143" w:type="dxa"/>
            <w:vMerge/>
            <w:tcBorders>
              <w:top w:val="nil"/>
            </w:tcBorders>
          </w:tcPr>
          <w:p w14:paraId="3AFE812C" w14:textId="77777777" w:rsidR="005C3190" w:rsidRDefault="005C3190" w:rsidP="00642B89">
            <w:pPr>
              <w:rPr>
                <w:sz w:val="2"/>
                <w:szCs w:val="2"/>
              </w:rPr>
            </w:pPr>
          </w:p>
        </w:tc>
        <w:tc>
          <w:tcPr>
            <w:tcW w:w="3870" w:type="dxa"/>
          </w:tcPr>
          <w:p w14:paraId="50AE37BF" w14:textId="77777777" w:rsidR="005C3190" w:rsidRDefault="005C3190" w:rsidP="00642B89">
            <w:pPr>
              <w:pStyle w:val="TableParagraph"/>
              <w:spacing w:line="266" w:lineRule="exact"/>
              <w:ind w:left="110"/>
              <w:rPr>
                <w:rFonts w:ascii="Calibri"/>
              </w:rPr>
            </w:pPr>
            <w:r>
              <w:rPr>
                <w:rFonts w:ascii="Calibri"/>
                <w:b/>
                <w:spacing w:val="-2"/>
              </w:rPr>
              <w:t>d)Commodity</w:t>
            </w:r>
            <w:r>
              <w:rPr>
                <w:rFonts w:ascii="Calibri"/>
                <w:b/>
                <w:spacing w:val="31"/>
              </w:rPr>
              <w:t xml:space="preserve"> </w:t>
            </w:r>
            <w:r>
              <w:rPr>
                <w:rFonts w:ascii="Calibri"/>
                <w:b/>
                <w:spacing w:val="-2"/>
              </w:rPr>
              <w:t>Assurance:6-</w:t>
            </w:r>
            <w:r>
              <w:rPr>
                <w:rFonts w:ascii="Calibri"/>
                <w:spacing w:val="-4"/>
              </w:rPr>
              <w:t>month</w:t>
            </w:r>
          </w:p>
          <w:p w14:paraId="469D6E28" w14:textId="77777777" w:rsidR="005C3190" w:rsidRDefault="005C3190" w:rsidP="00642B89">
            <w:pPr>
              <w:pStyle w:val="TableParagraph"/>
              <w:spacing w:line="260" w:lineRule="exact"/>
              <w:ind w:left="110"/>
              <w:rPr>
                <w:rFonts w:ascii="Calibri"/>
                <w:b/>
              </w:rPr>
            </w:pPr>
            <w:r>
              <w:rPr>
                <w:rFonts w:ascii="Calibri"/>
              </w:rPr>
              <w:t>warranty,</w:t>
            </w:r>
            <w:r>
              <w:rPr>
                <w:rFonts w:ascii="Calibri"/>
                <w:spacing w:val="-13"/>
              </w:rPr>
              <w:t xml:space="preserve"> </w:t>
            </w:r>
            <w:r>
              <w:rPr>
                <w:rFonts w:ascii="Calibri"/>
              </w:rPr>
              <w:t>extendable</w:t>
            </w:r>
            <w:r>
              <w:rPr>
                <w:rFonts w:ascii="Calibri"/>
                <w:spacing w:val="-13"/>
              </w:rPr>
              <w:t xml:space="preserve"> </w:t>
            </w:r>
            <w:r>
              <w:rPr>
                <w:rFonts w:ascii="Calibri"/>
              </w:rPr>
              <w:t>to</w:t>
            </w:r>
            <w:r>
              <w:rPr>
                <w:rFonts w:ascii="Calibri"/>
                <w:spacing w:val="-12"/>
              </w:rPr>
              <w:t xml:space="preserve"> </w:t>
            </w:r>
            <w:r>
              <w:rPr>
                <w:rFonts w:ascii="Calibri"/>
              </w:rPr>
              <w:t>12</w:t>
            </w:r>
            <w:r>
              <w:rPr>
                <w:rFonts w:ascii="Calibri"/>
                <w:spacing w:val="-13"/>
              </w:rPr>
              <w:t xml:space="preserve"> </w:t>
            </w:r>
            <w:r>
              <w:rPr>
                <w:rFonts w:ascii="Calibri"/>
              </w:rPr>
              <w:t>months</w:t>
            </w:r>
            <w:r>
              <w:rPr>
                <w:rFonts w:ascii="Calibri"/>
                <w:spacing w:val="-13"/>
              </w:rPr>
              <w:t xml:space="preserve"> </w:t>
            </w:r>
            <w:r>
              <w:rPr>
                <w:rFonts w:ascii="Calibri"/>
              </w:rPr>
              <w:t>for peace of mind</w:t>
            </w:r>
            <w:r>
              <w:rPr>
                <w:rFonts w:ascii="Calibri"/>
                <w:b/>
              </w:rPr>
              <w:t>.</w:t>
            </w:r>
          </w:p>
        </w:tc>
        <w:tc>
          <w:tcPr>
            <w:tcW w:w="960" w:type="dxa"/>
          </w:tcPr>
          <w:p w14:paraId="2097D138" w14:textId="77777777" w:rsidR="005C3190" w:rsidRDefault="005C3190" w:rsidP="00642B89">
            <w:pPr>
              <w:pStyle w:val="TableParagraph"/>
            </w:pPr>
          </w:p>
        </w:tc>
        <w:tc>
          <w:tcPr>
            <w:tcW w:w="955" w:type="dxa"/>
          </w:tcPr>
          <w:p w14:paraId="7B421F44" w14:textId="77777777" w:rsidR="005C3190" w:rsidRDefault="005C3190" w:rsidP="00642B89">
            <w:pPr>
              <w:pStyle w:val="TableParagraph"/>
            </w:pPr>
          </w:p>
        </w:tc>
        <w:tc>
          <w:tcPr>
            <w:tcW w:w="1061" w:type="dxa"/>
          </w:tcPr>
          <w:p w14:paraId="32B6704F" w14:textId="77777777" w:rsidR="005C3190" w:rsidRDefault="005C3190" w:rsidP="00642B89">
            <w:pPr>
              <w:pStyle w:val="TableParagraph"/>
            </w:pPr>
          </w:p>
        </w:tc>
        <w:tc>
          <w:tcPr>
            <w:tcW w:w="1358" w:type="dxa"/>
          </w:tcPr>
          <w:p w14:paraId="1BFF633D" w14:textId="77777777" w:rsidR="005C3190" w:rsidRDefault="005C3190" w:rsidP="00642B89">
            <w:pPr>
              <w:pStyle w:val="TableParagraph"/>
            </w:pPr>
          </w:p>
        </w:tc>
      </w:tr>
      <w:tr w:rsidR="005C3190" w14:paraId="5411C994" w14:textId="77777777" w:rsidTr="00642B89">
        <w:trPr>
          <w:trHeight w:val="1070"/>
        </w:trPr>
        <w:tc>
          <w:tcPr>
            <w:tcW w:w="1143" w:type="dxa"/>
          </w:tcPr>
          <w:p w14:paraId="167A1F4B" w14:textId="77777777" w:rsidR="005C3190" w:rsidRDefault="005C3190" w:rsidP="00642B89">
            <w:pPr>
              <w:pStyle w:val="TableParagraph"/>
            </w:pPr>
          </w:p>
        </w:tc>
        <w:tc>
          <w:tcPr>
            <w:tcW w:w="3870" w:type="dxa"/>
          </w:tcPr>
          <w:p w14:paraId="660F3598" w14:textId="77777777" w:rsidR="005C3190" w:rsidRDefault="005C3190" w:rsidP="00642B89">
            <w:pPr>
              <w:pStyle w:val="TableParagraph"/>
              <w:spacing w:before="1"/>
              <w:ind w:left="110"/>
              <w:rPr>
                <w:rFonts w:ascii="Calibri"/>
              </w:rPr>
            </w:pPr>
            <w:r>
              <w:rPr>
                <w:rFonts w:ascii="Calibri"/>
                <w:b/>
              </w:rPr>
              <w:t>e) Water usage</w:t>
            </w:r>
            <w:r>
              <w:rPr>
                <w:rFonts w:ascii="Calibri"/>
              </w:rPr>
              <w:t>; Modern eco-friendly models preffered for reducing water</w:t>
            </w:r>
          </w:p>
          <w:p w14:paraId="7087EEA5" w14:textId="77777777" w:rsidR="005C3190" w:rsidRDefault="005C3190" w:rsidP="00642B89">
            <w:pPr>
              <w:pStyle w:val="TableParagraph"/>
              <w:spacing w:before="4" w:line="254" w:lineRule="exact"/>
              <w:ind w:left="110" w:right="178"/>
              <w:rPr>
                <w:rFonts w:ascii="Calibri"/>
              </w:rPr>
            </w:pPr>
            <w:r>
              <w:rPr>
                <w:rFonts w:ascii="Calibri"/>
              </w:rPr>
              <w:t>consumption</w:t>
            </w:r>
            <w:r>
              <w:rPr>
                <w:rFonts w:ascii="Calibri"/>
                <w:spacing w:val="-13"/>
              </w:rPr>
              <w:t xml:space="preserve"> </w:t>
            </w:r>
            <w:r>
              <w:rPr>
                <w:rFonts w:ascii="Calibri"/>
              </w:rPr>
              <w:t>from</w:t>
            </w:r>
            <w:r>
              <w:rPr>
                <w:rFonts w:ascii="Calibri"/>
                <w:spacing w:val="-12"/>
              </w:rPr>
              <w:t xml:space="preserve"> </w:t>
            </w:r>
            <w:r>
              <w:rPr>
                <w:rFonts w:ascii="Calibri"/>
              </w:rPr>
              <w:t>20ltrs</w:t>
            </w:r>
            <w:r>
              <w:rPr>
                <w:rFonts w:ascii="Calibri"/>
                <w:spacing w:val="-13"/>
              </w:rPr>
              <w:t xml:space="preserve"> </w:t>
            </w:r>
            <w:r>
              <w:rPr>
                <w:rFonts w:ascii="Calibri"/>
              </w:rPr>
              <w:t>down</w:t>
            </w:r>
            <w:r>
              <w:rPr>
                <w:rFonts w:ascii="Calibri"/>
                <w:spacing w:val="-12"/>
              </w:rPr>
              <w:t xml:space="preserve"> </w:t>
            </w:r>
            <w:r>
              <w:rPr>
                <w:rFonts w:ascii="Calibri"/>
              </w:rPr>
              <w:t>to</w:t>
            </w:r>
            <w:r>
              <w:rPr>
                <w:rFonts w:ascii="Calibri"/>
                <w:spacing w:val="-13"/>
              </w:rPr>
              <w:t xml:space="preserve"> </w:t>
            </w:r>
            <w:r>
              <w:rPr>
                <w:rFonts w:ascii="Calibri"/>
              </w:rPr>
              <w:t>2</w:t>
            </w:r>
            <w:r>
              <w:rPr>
                <w:rFonts w:ascii="Calibri"/>
                <w:spacing w:val="-12"/>
              </w:rPr>
              <w:t xml:space="preserve"> </w:t>
            </w:r>
            <w:r>
              <w:rPr>
                <w:rFonts w:ascii="Calibri"/>
              </w:rPr>
              <w:t>ltrs per Kg.</w:t>
            </w:r>
          </w:p>
        </w:tc>
        <w:tc>
          <w:tcPr>
            <w:tcW w:w="960" w:type="dxa"/>
          </w:tcPr>
          <w:p w14:paraId="29DB1565" w14:textId="77777777" w:rsidR="005C3190" w:rsidRDefault="005C3190" w:rsidP="00642B89">
            <w:pPr>
              <w:pStyle w:val="TableParagraph"/>
            </w:pPr>
          </w:p>
        </w:tc>
        <w:tc>
          <w:tcPr>
            <w:tcW w:w="955" w:type="dxa"/>
          </w:tcPr>
          <w:p w14:paraId="54D09B6E" w14:textId="77777777" w:rsidR="005C3190" w:rsidRDefault="005C3190" w:rsidP="00642B89">
            <w:pPr>
              <w:pStyle w:val="TableParagraph"/>
            </w:pPr>
          </w:p>
        </w:tc>
        <w:tc>
          <w:tcPr>
            <w:tcW w:w="1061" w:type="dxa"/>
          </w:tcPr>
          <w:p w14:paraId="61E7BFB3" w14:textId="77777777" w:rsidR="005C3190" w:rsidRDefault="005C3190" w:rsidP="00642B89">
            <w:pPr>
              <w:pStyle w:val="TableParagraph"/>
            </w:pPr>
          </w:p>
        </w:tc>
        <w:tc>
          <w:tcPr>
            <w:tcW w:w="1358" w:type="dxa"/>
          </w:tcPr>
          <w:p w14:paraId="12B20FB8" w14:textId="77777777" w:rsidR="005C3190" w:rsidRDefault="005C3190" w:rsidP="00642B89">
            <w:pPr>
              <w:pStyle w:val="TableParagraph"/>
            </w:pPr>
          </w:p>
        </w:tc>
      </w:tr>
      <w:tr w:rsidR="005C3190" w14:paraId="22DE4373" w14:textId="77777777" w:rsidTr="00642B89">
        <w:trPr>
          <w:trHeight w:val="853"/>
        </w:trPr>
        <w:tc>
          <w:tcPr>
            <w:tcW w:w="1143" w:type="dxa"/>
          </w:tcPr>
          <w:p w14:paraId="496F1466" w14:textId="77777777" w:rsidR="005C3190" w:rsidRDefault="005C3190" w:rsidP="00642B89">
            <w:pPr>
              <w:pStyle w:val="TableParagraph"/>
            </w:pPr>
          </w:p>
        </w:tc>
        <w:tc>
          <w:tcPr>
            <w:tcW w:w="3870" w:type="dxa"/>
          </w:tcPr>
          <w:p w14:paraId="456E5A88" w14:textId="77777777" w:rsidR="005C3190" w:rsidRDefault="005C3190" w:rsidP="00642B89">
            <w:pPr>
              <w:pStyle w:val="TableParagraph"/>
              <w:spacing w:before="8" w:line="237" w:lineRule="auto"/>
              <w:ind w:left="110" w:right="190"/>
              <w:jc w:val="both"/>
              <w:rPr>
                <w:rFonts w:ascii="Calibri"/>
                <w:b/>
              </w:rPr>
            </w:pPr>
            <w:r>
              <w:rPr>
                <w:rFonts w:ascii="Calibri"/>
                <w:b/>
              </w:rPr>
              <w:t>GRAND TOTAL</w:t>
            </w:r>
            <w:r>
              <w:rPr>
                <w:rFonts w:ascii="Calibri"/>
                <w:b/>
                <w:spacing w:val="-1"/>
              </w:rPr>
              <w:t xml:space="preserve"> </w:t>
            </w:r>
            <w:r>
              <w:rPr>
                <w:rFonts w:ascii="Calibri"/>
                <w:b/>
              </w:rPr>
              <w:t>COST FOR 1</w:t>
            </w:r>
            <w:r>
              <w:rPr>
                <w:rFonts w:ascii="Calibri"/>
                <w:b/>
                <w:spacing w:val="-1"/>
              </w:rPr>
              <w:t xml:space="preserve"> </w:t>
            </w:r>
            <w:r>
              <w:rPr>
                <w:rFonts w:ascii="Calibri"/>
                <w:b/>
              </w:rPr>
              <w:t>NO. HEAVY DUTY</w:t>
            </w:r>
            <w:r>
              <w:rPr>
                <w:rFonts w:ascii="Calibri"/>
                <w:b/>
                <w:spacing w:val="-13"/>
              </w:rPr>
              <w:t xml:space="preserve"> </w:t>
            </w:r>
            <w:r>
              <w:rPr>
                <w:rFonts w:ascii="Calibri"/>
                <w:b/>
              </w:rPr>
              <w:t>COFFEE</w:t>
            </w:r>
            <w:r>
              <w:rPr>
                <w:rFonts w:ascii="Calibri"/>
                <w:b/>
                <w:spacing w:val="-12"/>
              </w:rPr>
              <w:t xml:space="preserve"> </w:t>
            </w:r>
            <w:r>
              <w:rPr>
                <w:rFonts w:ascii="Calibri"/>
                <w:b/>
              </w:rPr>
              <w:t>PULPING</w:t>
            </w:r>
            <w:r>
              <w:rPr>
                <w:rFonts w:ascii="Calibri"/>
                <w:b/>
                <w:spacing w:val="-13"/>
              </w:rPr>
              <w:t xml:space="preserve"> </w:t>
            </w:r>
            <w:r>
              <w:rPr>
                <w:rFonts w:ascii="Calibri"/>
                <w:b/>
              </w:rPr>
              <w:t>MACHINE</w:t>
            </w:r>
            <w:r>
              <w:rPr>
                <w:rFonts w:ascii="Calibri"/>
                <w:b/>
                <w:spacing w:val="7"/>
              </w:rPr>
              <w:t xml:space="preserve"> </w:t>
            </w:r>
            <w:r>
              <w:rPr>
                <w:rFonts w:ascii="Calibri"/>
                <w:b/>
              </w:rPr>
              <w:t>PLUS VAT CARRIED TO FORM OF TENDER</w:t>
            </w:r>
          </w:p>
        </w:tc>
        <w:tc>
          <w:tcPr>
            <w:tcW w:w="960" w:type="dxa"/>
          </w:tcPr>
          <w:p w14:paraId="3593E634" w14:textId="77777777" w:rsidR="005C3190" w:rsidRDefault="005C3190" w:rsidP="00642B89">
            <w:pPr>
              <w:pStyle w:val="TableParagraph"/>
            </w:pPr>
          </w:p>
        </w:tc>
        <w:tc>
          <w:tcPr>
            <w:tcW w:w="955" w:type="dxa"/>
          </w:tcPr>
          <w:p w14:paraId="05F327B8" w14:textId="77777777" w:rsidR="005C3190" w:rsidRDefault="005C3190" w:rsidP="00642B89">
            <w:pPr>
              <w:pStyle w:val="TableParagraph"/>
            </w:pPr>
          </w:p>
        </w:tc>
        <w:tc>
          <w:tcPr>
            <w:tcW w:w="1061" w:type="dxa"/>
          </w:tcPr>
          <w:p w14:paraId="5C47749D" w14:textId="77777777" w:rsidR="005C3190" w:rsidRDefault="005C3190" w:rsidP="00642B89">
            <w:pPr>
              <w:pStyle w:val="TableParagraph"/>
            </w:pPr>
          </w:p>
        </w:tc>
        <w:tc>
          <w:tcPr>
            <w:tcW w:w="1358" w:type="dxa"/>
          </w:tcPr>
          <w:p w14:paraId="3C51A2C5" w14:textId="77777777" w:rsidR="005C3190" w:rsidRDefault="005C3190" w:rsidP="00642B89">
            <w:pPr>
              <w:pStyle w:val="TableParagraph"/>
            </w:pPr>
          </w:p>
        </w:tc>
      </w:tr>
    </w:tbl>
    <w:p w14:paraId="43CE4B20" w14:textId="77777777" w:rsidR="005C3190" w:rsidRDefault="005C3190" w:rsidP="005C3190"/>
    <w:p w14:paraId="5C24D4E1" w14:textId="77777777" w:rsidR="005C3190" w:rsidRDefault="005C3190" w:rsidP="005C3190">
      <w:pPr>
        <w:tabs>
          <w:tab w:val="left" w:pos="915"/>
        </w:tabs>
      </w:pPr>
    </w:p>
    <w:p w14:paraId="0C0795CE" w14:textId="77777777" w:rsidR="00BB77C0" w:rsidRPr="005C3190" w:rsidRDefault="005C3190" w:rsidP="005C3190">
      <w:pPr>
        <w:tabs>
          <w:tab w:val="left" w:pos="915"/>
        </w:tabs>
        <w:sectPr w:rsidR="00BB77C0" w:rsidRPr="005C3190">
          <w:pgSz w:w="11920" w:h="16850"/>
          <w:pgMar w:top="0" w:right="0" w:bottom="0" w:left="360" w:header="720" w:footer="720" w:gutter="0"/>
          <w:cols w:space="720"/>
        </w:sectPr>
      </w:pPr>
      <w:r>
        <w:tab/>
      </w:r>
    </w:p>
    <w:p w14:paraId="1A0AC00D" w14:textId="77777777" w:rsidR="00BB77C0" w:rsidRDefault="00BB77C0">
      <w:pPr>
        <w:pStyle w:val="BodyText"/>
        <w:rPr>
          <w:sz w:val="20"/>
        </w:rPr>
      </w:pPr>
    </w:p>
    <w:p w14:paraId="29767FC0" w14:textId="77777777" w:rsidR="00BB77C0" w:rsidRDefault="00BB77C0">
      <w:pPr>
        <w:pStyle w:val="BodyText"/>
        <w:rPr>
          <w:sz w:val="20"/>
        </w:rPr>
      </w:pPr>
    </w:p>
    <w:p w14:paraId="420FB819" w14:textId="77777777" w:rsidR="00BB77C0" w:rsidRDefault="00BB77C0">
      <w:pPr>
        <w:pStyle w:val="BodyText"/>
        <w:rPr>
          <w:sz w:val="20"/>
        </w:rPr>
      </w:pPr>
    </w:p>
    <w:p w14:paraId="70167EA1" w14:textId="77777777" w:rsidR="00BB77C0" w:rsidRDefault="00BB77C0">
      <w:pPr>
        <w:pStyle w:val="BodyText"/>
        <w:rPr>
          <w:sz w:val="20"/>
        </w:rPr>
      </w:pPr>
    </w:p>
    <w:p w14:paraId="2A04E7BE" w14:textId="77777777" w:rsidR="00BB77C0" w:rsidRDefault="00BB77C0">
      <w:pPr>
        <w:pStyle w:val="BodyText"/>
        <w:rPr>
          <w:sz w:val="20"/>
        </w:rPr>
      </w:pPr>
    </w:p>
    <w:p w14:paraId="193B243D" w14:textId="77777777" w:rsidR="00BB77C0" w:rsidRDefault="00BB77C0">
      <w:pPr>
        <w:pStyle w:val="BodyText"/>
        <w:rPr>
          <w:sz w:val="20"/>
        </w:rPr>
      </w:pPr>
    </w:p>
    <w:p w14:paraId="0CEA0531" w14:textId="77777777" w:rsidR="00BB77C0" w:rsidRDefault="00BB77C0">
      <w:pPr>
        <w:pStyle w:val="BodyText"/>
        <w:rPr>
          <w:sz w:val="20"/>
        </w:rPr>
      </w:pPr>
    </w:p>
    <w:p w14:paraId="08D5D1CA" w14:textId="77777777" w:rsidR="00BB77C0" w:rsidRDefault="00BB77C0">
      <w:pPr>
        <w:pStyle w:val="BodyText"/>
        <w:rPr>
          <w:sz w:val="20"/>
        </w:rPr>
      </w:pPr>
    </w:p>
    <w:p w14:paraId="0DDDF393" w14:textId="77777777" w:rsidR="00BB77C0" w:rsidRDefault="00BB77C0">
      <w:pPr>
        <w:pStyle w:val="BodyText"/>
        <w:rPr>
          <w:sz w:val="20"/>
        </w:rPr>
      </w:pPr>
    </w:p>
    <w:p w14:paraId="16D602EE" w14:textId="77777777" w:rsidR="00BB77C0" w:rsidRDefault="00BB77C0">
      <w:pPr>
        <w:pStyle w:val="BodyText"/>
        <w:rPr>
          <w:sz w:val="20"/>
        </w:rPr>
      </w:pPr>
    </w:p>
    <w:p w14:paraId="2B3B249A" w14:textId="77777777" w:rsidR="00BB77C0" w:rsidRDefault="00BB77C0">
      <w:pPr>
        <w:pStyle w:val="BodyText"/>
        <w:rPr>
          <w:sz w:val="20"/>
        </w:rPr>
      </w:pPr>
    </w:p>
    <w:p w14:paraId="16F7EE02" w14:textId="77777777" w:rsidR="00BB77C0" w:rsidRDefault="00BB77C0">
      <w:pPr>
        <w:pStyle w:val="BodyText"/>
        <w:rPr>
          <w:sz w:val="20"/>
        </w:rPr>
      </w:pPr>
    </w:p>
    <w:p w14:paraId="40726FD5" w14:textId="77777777" w:rsidR="00BB77C0" w:rsidRDefault="00BB77C0">
      <w:pPr>
        <w:pStyle w:val="BodyText"/>
        <w:rPr>
          <w:sz w:val="20"/>
        </w:rPr>
      </w:pPr>
    </w:p>
    <w:p w14:paraId="0139258F" w14:textId="77777777" w:rsidR="00BB77C0" w:rsidRDefault="00BB77C0">
      <w:pPr>
        <w:pStyle w:val="BodyText"/>
        <w:rPr>
          <w:sz w:val="20"/>
        </w:rPr>
      </w:pPr>
    </w:p>
    <w:p w14:paraId="08629700" w14:textId="77777777" w:rsidR="00BB77C0" w:rsidRDefault="00BB77C0">
      <w:pPr>
        <w:pStyle w:val="BodyText"/>
        <w:rPr>
          <w:sz w:val="20"/>
        </w:rPr>
      </w:pPr>
    </w:p>
    <w:p w14:paraId="49478962" w14:textId="77777777" w:rsidR="00BB77C0" w:rsidRDefault="00BB77C0">
      <w:pPr>
        <w:pStyle w:val="BodyText"/>
        <w:rPr>
          <w:sz w:val="20"/>
        </w:rPr>
      </w:pPr>
    </w:p>
    <w:p w14:paraId="586E4449" w14:textId="77777777" w:rsidR="00BB77C0" w:rsidRDefault="00BB77C0">
      <w:pPr>
        <w:pStyle w:val="BodyText"/>
        <w:rPr>
          <w:sz w:val="20"/>
        </w:rPr>
      </w:pPr>
    </w:p>
    <w:p w14:paraId="193E9836" w14:textId="77777777" w:rsidR="00BB77C0" w:rsidRDefault="00BB77C0">
      <w:pPr>
        <w:pStyle w:val="BodyText"/>
        <w:rPr>
          <w:sz w:val="20"/>
        </w:rPr>
      </w:pPr>
    </w:p>
    <w:p w14:paraId="1162147B" w14:textId="77777777" w:rsidR="00BB77C0" w:rsidRDefault="00BB77C0">
      <w:pPr>
        <w:pStyle w:val="BodyText"/>
        <w:rPr>
          <w:sz w:val="20"/>
        </w:rPr>
      </w:pPr>
    </w:p>
    <w:p w14:paraId="7AB86362" w14:textId="77777777" w:rsidR="00BB77C0" w:rsidRDefault="00BB77C0">
      <w:pPr>
        <w:pStyle w:val="BodyText"/>
        <w:rPr>
          <w:sz w:val="20"/>
        </w:rPr>
      </w:pPr>
    </w:p>
    <w:p w14:paraId="0EC9A95B" w14:textId="77777777" w:rsidR="00BB77C0" w:rsidRDefault="00BB77C0">
      <w:pPr>
        <w:pStyle w:val="BodyText"/>
        <w:rPr>
          <w:sz w:val="20"/>
        </w:rPr>
      </w:pPr>
    </w:p>
    <w:p w14:paraId="6972BA2F" w14:textId="77777777" w:rsidR="00BB77C0" w:rsidRDefault="00BB77C0">
      <w:pPr>
        <w:pStyle w:val="BodyText"/>
        <w:spacing w:before="115"/>
        <w:rPr>
          <w:sz w:val="20"/>
        </w:rPr>
      </w:pPr>
    </w:p>
    <w:p w14:paraId="715D8AC4" w14:textId="77777777" w:rsidR="00BB77C0" w:rsidRDefault="00370BAA">
      <w:pPr>
        <w:pStyle w:val="BodyText"/>
        <w:spacing w:line="20" w:lineRule="exact"/>
        <w:ind w:left="552"/>
        <w:rPr>
          <w:sz w:val="2"/>
        </w:rPr>
      </w:pPr>
      <w:r>
        <w:rPr>
          <w:noProof/>
          <w:sz w:val="2"/>
        </w:rPr>
        <mc:AlternateContent>
          <mc:Choice Requires="wpg">
            <w:drawing>
              <wp:inline distT="0" distB="0" distL="0" distR="0" wp14:anchorId="4699CEF8" wp14:editId="15A5CE66">
                <wp:extent cx="6478905" cy="63500"/>
                <wp:effectExtent l="38100" t="0" r="26670" b="3175"/>
                <wp:docPr id="416" name="Group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8905" cy="63500"/>
                          <a:chOff x="0" y="0"/>
                          <a:chExt cx="6478905" cy="63500"/>
                        </a:xfrm>
                      </wpg:grpSpPr>
                      <wps:wsp>
                        <wps:cNvPr id="417" name="Graphic 417"/>
                        <wps:cNvSpPr/>
                        <wps:spPr>
                          <a:xfrm>
                            <a:off x="0" y="31750"/>
                            <a:ext cx="6478905" cy="1270"/>
                          </a:xfrm>
                          <a:custGeom>
                            <a:avLst/>
                            <a:gdLst/>
                            <a:ahLst/>
                            <a:cxnLst/>
                            <a:rect l="l" t="t" r="r" b="b"/>
                            <a:pathLst>
                              <a:path w="6478905">
                                <a:moveTo>
                                  <a:pt x="0" y="0"/>
                                </a:moveTo>
                                <a:lnTo>
                                  <a:pt x="6478905" y="0"/>
                                </a:lnTo>
                              </a:path>
                            </a:pathLst>
                          </a:custGeom>
                          <a:ln w="63500">
                            <a:solidFill>
                              <a:srgbClr val="A7A9AC"/>
                            </a:solidFill>
                            <a:prstDash val="solid"/>
                          </a:ln>
                        </wps:spPr>
                        <wps:bodyPr wrap="square" lIns="0" tIns="0" rIns="0" bIns="0" rtlCol="0">
                          <a:prstTxWarp prst="textNoShape">
                            <a:avLst/>
                          </a:prstTxWarp>
                          <a:noAutofit/>
                        </wps:bodyPr>
                      </wps:wsp>
                    </wpg:wgp>
                  </a:graphicData>
                </a:graphic>
              </wp:inline>
            </w:drawing>
          </mc:Choice>
          <mc:Fallback>
            <w:pict>
              <v:group w14:anchorId="42556D7D" id="Group 416" o:spid="_x0000_s1026" style="width:510.15pt;height:5pt;mso-position-horizontal-relative:char;mso-position-vertical-relative:line" coordsize="64789,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">
                <v:shape id="Graphic 417" o:spid="_x0000_s1027" style="position:absolute;top:317;width:64789;height:13;visibility:visible;mso-wrap-style:square;v-text-anchor:top" coordsize="64789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" path="m,l6478905,e" filled="f" strokecolor="#a7a9ac" strokeweight="5pt">
                  <v:path arrowok="t"/>
                </v:shape>
                <w10:anchorlock/>
              </v:group>
            </w:pict>
          </mc:Fallback>
        </mc:AlternateContent>
      </w:r>
    </w:p>
    <w:p w14:paraId="2CA17E69" w14:textId="77777777" w:rsidR="00BB77C0" w:rsidRDefault="00BB77C0">
      <w:pPr>
        <w:pStyle w:val="BodyText"/>
        <w:spacing w:before="167"/>
        <w:rPr>
          <w:sz w:val="48"/>
        </w:rPr>
      </w:pPr>
    </w:p>
    <w:p w14:paraId="4A7B49B3" w14:textId="77777777" w:rsidR="00BB77C0" w:rsidRDefault="00370BAA">
      <w:pPr>
        <w:pStyle w:val="Heading1"/>
        <w:spacing w:line="230" w:lineRule="auto"/>
        <w:ind w:left="3361"/>
      </w:pPr>
      <w:bookmarkStart w:id="182" w:name="PART_III_-_CONDITIONS_OF_CONTRACT_AND_CO"/>
      <w:bookmarkEnd w:id="182"/>
      <w:r>
        <w:rPr>
          <w:color w:val="211F1F"/>
        </w:rPr>
        <w:t>PART</w:t>
      </w:r>
      <w:r>
        <w:rPr>
          <w:color w:val="211F1F"/>
          <w:spacing w:val="-12"/>
        </w:rPr>
        <w:t xml:space="preserve"> </w:t>
      </w:r>
      <w:r>
        <w:rPr>
          <w:color w:val="211F1F"/>
        </w:rPr>
        <w:t>III</w:t>
      </w:r>
      <w:r>
        <w:rPr>
          <w:color w:val="211F1F"/>
          <w:spacing w:val="-13"/>
        </w:rPr>
        <w:t xml:space="preserve"> </w:t>
      </w:r>
      <w:r>
        <w:rPr>
          <w:color w:val="211F1F"/>
        </w:rPr>
        <w:t>-</w:t>
      </w:r>
      <w:r>
        <w:rPr>
          <w:color w:val="211F1F"/>
          <w:spacing w:val="-15"/>
        </w:rPr>
        <w:t xml:space="preserve"> </w:t>
      </w:r>
      <w:r>
        <w:rPr>
          <w:color w:val="211F1F"/>
        </w:rPr>
        <w:t>CONDITIONS</w:t>
      </w:r>
      <w:r>
        <w:rPr>
          <w:color w:val="211F1F"/>
          <w:spacing w:val="-10"/>
        </w:rPr>
        <w:t xml:space="preserve"> </w:t>
      </w:r>
      <w:r>
        <w:rPr>
          <w:color w:val="211F1F"/>
        </w:rPr>
        <w:t>OF</w:t>
      </w:r>
      <w:r>
        <w:rPr>
          <w:color w:val="211F1F"/>
          <w:spacing w:val="-18"/>
        </w:rPr>
        <w:t xml:space="preserve"> </w:t>
      </w:r>
      <w:r>
        <w:rPr>
          <w:color w:val="211F1F"/>
        </w:rPr>
        <w:t>CONTRACT AND CONTRACT FORMS</w:t>
      </w:r>
    </w:p>
    <w:p w14:paraId="76C743C5" w14:textId="77777777" w:rsidR="00BB77C0" w:rsidRDefault="00BB77C0">
      <w:pPr>
        <w:pStyle w:val="BodyText"/>
        <w:rPr>
          <w:b/>
          <w:sz w:val="20"/>
        </w:rPr>
      </w:pPr>
    </w:p>
    <w:p w14:paraId="557FE469" w14:textId="77777777" w:rsidR="00BB77C0" w:rsidRDefault="00370BAA">
      <w:pPr>
        <w:pStyle w:val="BodyText"/>
        <w:spacing w:before="196"/>
        <w:rPr>
          <w:b/>
          <w:sz w:val="20"/>
        </w:rPr>
      </w:pPr>
      <w:r>
        <w:rPr>
          <w:b/>
          <w:noProof/>
          <w:sz w:val="20"/>
        </w:rPr>
        <mc:AlternateContent>
          <mc:Choice Requires="wps">
            <w:drawing>
              <wp:anchor distT="0" distB="0" distL="0" distR="0" simplePos="0" relativeHeight="487640576" behindDoc="1" locked="0" layoutInCell="1" allowOverlap="1" wp14:anchorId="14EBCB6A" wp14:editId="34E7695D">
                <wp:simplePos x="0" y="0"/>
                <wp:positionH relativeFrom="page">
                  <wp:posOffset>540384</wp:posOffset>
                </wp:positionH>
                <wp:positionV relativeFrom="paragraph">
                  <wp:posOffset>286204</wp:posOffset>
                </wp:positionV>
                <wp:extent cx="6478905" cy="1270"/>
                <wp:effectExtent l="0" t="0" r="0" b="0"/>
                <wp:wrapTopAndBottom/>
                <wp:docPr id="418" name="Graphic 4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8905" cy="1270"/>
                        </a:xfrm>
                        <a:custGeom>
                          <a:avLst/>
                          <a:gdLst/>
                          <a:ahLst/>
                          <a:cxnLst/>
                          <a:rect l="l" t="t" r="r" b="b"/>
                          <a:pathLst>
                            <a:path w="6478905">
                              <a:moveTo>
                                <a:pt x="0" y="0"/>
                              </a:moveTo>
                              <a:lnTo>
                                <a:pt x="6478905" y="0"/>
                              </a:lnTo>
                            </a:path>
                          </a:pathLst>
                        </a:custGeom>
                        <a:ln w="63500">
                          <a:solidFill>
                            <a:srgbClr val="A7A9AC"/>
                          </a:solidFill>
                          <a:prstDash val="solid"/>
                        </a:ln>
                      </wps:spPr>
                      <wps:bodyPr wrap="square" lIns="0" tIns="0" rIns="0" bIns="0" rtlCol="0">
                        <a:prstTxWarp prst="textNoShape">
                          <a:avLst/>
                        </a:prstTxWarp>
                        <a:noAutofit/>
                      </wps:bodyPr>
                    </wps:wsp>
                  </a:graphicData>
                </a:graphic>
              </wp:anchor>
            </w:drawing>
          </mc:Choice>
          <mc:Fallback>
            <w:pict>
              <v:shape w14:anchorId="7169C63D" id="Graphic 418" o:spid="_x0000_s1026" style="position:absolute;margin-left:42.55pt;margin-top:22.55pt;width:510.15pt;height:.1pt;z-index:-15675904;visibility:visible;mso-wrap-style:square;mso-wrap-distance-left:0;mso-wrap-distance-top:0;mso-wrap-distance-right:0;mso-wrap-distance-bottom:0;mso-position-horizontal:absolute;mso-position-horizontal-relative:page;mso-position-vertical:absolute;mso-position-vertical-relative:text;v-text-anchor:top" coordsize="64789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" path="m,l6478905,e" filled="f" strokecolor="#a7a9ac" strokeweight="5pt">
                <v:path arrowok="t"/>
                <w10:wrap type="topAndBottom" anchorx="page"/>
              </v:shape>
            </w:pict>
          </mc:Fallback>
        </mc:AlternateContent>
      </w:r>
    </w:p>
    <w:p w14:paraId="266A7620" w14:textId="77777777" w:rsidR="00BB77C0" w:rsidRDefault="00BB77C0">
      <w:pPr>
        <w:pStyle w:val="BodyText"/>
        <w:rPr>
          <w:b/>
          <w:sz w:val="20"/>
        </w:rPr>
        <w:sectPr w:rsidR="00BB77C0">
          <w:pgSz w:w="11920" w:h="16850"/>
          <w:pgMar w:top="1940" w:right="0" w:bottom="280" w:left="360" w:header="720" w:footer="720" w:gutter="0"/>
          <w:cols w:space="720"/>
        </w:sectPr>
      </w:pPr>
    </w:p>
    <w:p w14:paraId="5D426544" w14:textId="77777777" w:rsidR="00BB77C0" w:rsidRDefault="00370BAA">
      <w:pPr>
        <w:pStyle w:val="Heading5"/>
        <w:spacing w:before="70"/>
        <w:ind w:left="494"/>
        <w:jc w:val="both"/>
      </w:pPr>
      <w:bookmarkStart w:id="183" w:name="SECTION_VIII_-_GENERAL_CONDITIONS_OF_CON"/>
      <w:bookmarkEnd w:id="183"/>
      <w:r>
        <w:rPr>
          <w:color w:val="211F1F"/>
        </w:rPr>
        <w:lastRenderedPageBreak/>
        <w:t>SECTION</w:t>
      </w:r>
      <w:r>
        <w:rPr>
          <w:color w:val="211F1F"/>
          <w:spacing w:val="-8"/>
        </w:rPr>
        <w:t xml:space="preserve"> </w:t>
      </w:r>
      <w:r>
        <w:rPr>
          <w:color w:val="211F1F"/>
        </w:rPr>
        <w:t>VIII</w:t>
      </w:r>
      <w:r>
        <w:rPr>
          <w:color w:val="211F1F"/>
          <w:spacing w:val="-3"/>
        </w:rPr>
        <w:t xml:space="preserve"> </w:t>
      </w:r>
      <w:r>
        <w:rPr>
          <w:color w:val="211F1F"/>
        </w:rPr>
        <w:t>-</w:t>
      </w:r>
      <w:r>
        <w:rPr>
          <w:color w:val="211F1F"/>
          <w:spacing w:val="-4"/>
        </w:rPr>
        <w:t xml:space="preserve"> </w:t>
      </w:r>
      <w:r>
        <w:rPr>
          <w:color w:val="211F1F"/>
        </w:rPr>
        <w:t>GENERAL</w:t>
      </w:r>
      <w:r>
        <w:rPr>
          <w:color w:val="211F1F"/>
          <w:spacing w:val="-3"/>
        </w:rPr>
        <w:t xml:space="preserve"> </w:t>
      </w:r>
      <w:r>
        <w:rPr>
          <w:color w:val="211F1F"/>
        </w:rPr>
        <w:t>CONDITIONS</w:t>
      </w:r>
      <w:r>
        <w:rPr>
          <w:color w:val="211F1F"/>
          <w:spacing w:val="-4"/>
        </w:rPr>
        <w:t xml:space="preserve"> </w:t>
      </w:r>
      <w:r>
        <w:rPr>
          <w:color w:val="211F1F"/>
        </w:rPr>
        <w:t>OF</w:t>
      </w:r>
      <w:r>
        <w:rPr>
          <w:color w:val="211F1F"/>
          <w:spacing w:val="-4"/>
        </w:rPr>
        <w:t xml:space="preserve"> </w:t>
      </w:r>
      <w:r>
        <w:rPr>
          <w:color w:val="211F1F"/>
          <w:spacing w:val="-2"/>
        </w:rPr>
        <w:t>CONTRACT</w:t>
      </w:r>
    </w:p>
    <w:p w14:paraId="5733D205" w14:textId="77777777" w:rsidR="00BB77C0" w:rsidRDefault="00370BAA">
      <w:pPr>
        <w:pStyle w:val="BodyText"/>
        <w:spacing w:before="240" w:line="230" w:lineRule="auto"/>
        <w:ind w:left="490" w:right="709"/>
        <w:jc w:val="both"/>
      </w:pPr>
      <w:r>
        <w:rPr>
          <w:color w:val="211F1F"/>
        </w:rPr>
        <w:t>These</w:t>
      </w:r>
      <w:r>
        <w:rPr>
          <w:color w:val="211F1F"/>
          <w:spacing w:val="-6"/>
        </w:rPr>
        <w:t xml:space="preserve"> </w:t>
      </w:r>
      <w:r>
        <w:rPr>
          <w:color w:val="211F1F"/>
        </w:rPr>
        <w:t>General</w:t>
      </w:r>
      <w:r>
        <w:rPr>
          <w:color w:val="211F1F"/>
          <w:spacing w:val="-3"/>
        </w:rPr>
        <w:t xml:space="preserve"> </w:t>
      </w:r>
      <w:r>
        <w:rPr>
          <w:color w:val="211F1F"/>
        </w:rPr>
        <w:t>Conditions of</w:t>
      </w:r>
      <w:r>
        <w:rPr>
          <w:color w:val="211F1F"/>
          <w:spacing w:val="-1"/>
        </w:rPr>
        <w:t xml:space="preserve"> </w:t>
      </w:r>
      <w:r>
        <w:rPr>
          <w:color w:val="211F1F"/>
        </w:rPr>
        <w:t>Contract (GCC),</w:t>
      </w:r>
      <w:r>
        <w:rPr>
          <w:color w:val="211F1F"/>
          <w:spacing w:val="-7"/>
        </w:rPr>
        <w:t xml:space="preserve"> </w:t>
      </w:r>
      <w:r>
        <w:rPr>
          <w:color w:val="211F1F"/>
        </w:rPr>
        <w:t>read</w:t>
      </w:r>
      <w:r>
        <w:rPr>
          <w:color w:val="211F1F"/>
          <w:spacing w:val="-4"/>
        </w:rPr>
        <w:t xml:space="preserve"> </w:t>
      </w:r>
      <w:r>
        <w:rPr>
          <w:color w:val="211F1F"/>
        </w:rPr>
        <w:t>in</w:t>
      </w:r>
      <w:r>
        <w:rPr>
          <w:color w:val="211F1F"/>
          <w:spacing w:val="-5"/>
        </w:rPr>
        <w:t xml:space="preserve"> </w:t>
      </w:r>
      <w:r>
        <w:rPr>
          <w:color w:val="211F1F"/>
        </w:rPr>
        <w:t>conjunction with</w:t>
      </w:r>
      <w:r>
        <w:rPr>
          <w:color w:val="211F1F"/>
          <w:spacing w:val="-4"/>
        </w:rPr>
        <w:t xml:space="preserve"> </w:t>
      </w:r>
      <w:r>
        <w:rPr>
          <w:color w:val="211F1F"/>
        </w:rPr>
        <w:t>the</w:t>
      </w:r>
      <w:r>
        <w:rPr>
          <w:color w:val="211F1F"/>
          <w:spacing w:val="-7"/>
        </w:rPr>
        <w:t xml:space="preserve"> </w:t>
      </w:r>
      <w:r>
        <w:rPr>
          <w:color w:val="211F1F"/>
        </w:rPr>
        <w:t>Special</w:t>
      </w:r>
      <w:r>
        <w:rPr>
          <w:color w:val="211F1F"/>
          <w:spacing w:val="-2"/>
        </w:rPr>
        <w:t xml:space="preserve"> </w:t>
      </w:r>
      <w:r>
        <w:rPr>
          <w:color w:val="211F1F"/>
        </w:rPr>
        <w:t>Conditions of</w:t>
      </w:r>
      <w:r>
        <w:rPr>
          <w:color w:val="211F1F"/>
          <w:spacing w:val="-1"/>
        </w:rPr>
        <w:t xml:space="preserve"> </w:t>
      </w:r>
      <w:r>
        <w:rPr>
          <w:color w:val="211F1F"/>
        </w:rPr>
        <w:t xml:space="preserve">Contract (SCC) and other documents listed therein, should be a complete document expressing fairly the rights and obligations of both </w:t>
      </w:r>
      <w:r>
        <w:rPr>
          <w:color w:val="211F1F"/>
          <w:spacing w:val="-2"/>
        </w:rPr>
        <w:t>parties.</w:t>
      </w:r>
    </w:p>
    <w:p w14:paraId="7A0CEE5E" w14:textId="77777777" w:rsidR="00BB77C0" w:rsidRDefault="00370BAA">
      <w:pPr>
        <w:pStyle w:val="BodyText"/>
        <w:spacing w:before="247" w:line="230" w:lineRule="auto"/>
        <w:ind w:left="490" w:right="707"/>
        <w:jc w:val="both"/>
      </w:pPr>
      <w:r>
        <w:rPr>
          <w:color w:val="211F1F"/>
        </w:rPr>
        <w:t>These</w:t>
      </w:r>
      <w:r>
        <w:rPr>
          <w:color w:val="211F1F"/>
          <w:spacing w:val="-14"/>
        </w:rPr>
        <w:t xml:space="preserve"> </w:t>
      </w:r>
      <w:r>
        <w:rPr>
          <w:color w:val="211F1F"/>
        </w:rPr>
        <w:t>General</w:t>
      </w:r>
      <w:r>
        <w:rPr>
          <w:color w:val="211F1F"/>
          <w:spacing w:val="-9"/>
        </w:rPr>
        <w:t xml:space="preserve"> </w:t>
      </w:r>
      <w:r>
        <w:rPr>
          <w:color w:val="211F1F"/>
        </w:rPr>
        <w:t>Conditions</w:t>
      </w:r>
      <w:r>
        <w:rPr>
          <w:color w:val="211F1F"/>
          <w:spacing w:val="-5"/>
        </w:rPr>
        <w:t xml:space="preserve"> </w:t>
      </w:r>
      <w:r>
        <w:rPr>
          <w:color w:val="211F1F"/>
        </w:rPr>
        <w:t>of</w:t>
      </w:r>
      <w:r>
        <w:rPr>
          <w:color w:val="211F1F"/>
          <w:spacing w:val="-8"/>
        </w:rPr>
        <w:t xml:space="preserve"> </w:t>
      </w:r>
      <w:r>
        <w:rPr>
          <w:color w:val="211F1F"/>
        </w:rPr>
        <w:t>Contract</w:t>
      </w:r>
      <w:r>
        <w:rPr>
          <w:color w:val="211F1F"/>
          <w:spacing w:val="-4"/>
        </w:rPr>
        <w:t xml:space="preserve"> </w:t>
      </w:r>
      <w:r>
        <w:rPr>
          <w:color w:val="211F1F"/>
        </w:rPr>
        <w:t>have</w:t>
      </w:r>
      <w:r>
        <w:rPr>
          <w:color w:val="211F1F"/>
          <w:spacing w:val="-13"/>
        </w:rPr>
        <w:t xml:space="preserve"> </w:t>
      </w:r>
      <w:r>
        <w:rPr>
          <w:color w:val="211F1F"/>
        </w:rPr>
        <w:t>been</w:t>
      </w:r>
      <w:r>
        <w:rPr>
          <w:color w:val="211F1F"/>
          <w:spacing w:val="-11"/>
        </w:rPr>
        <w:t xml:space="preserve"> </w:t>
      </w:r>
      <w:r>
        <w:rPr>
          <w:color w:val="211F1F"/>
        </w:rPr>
        <w:t>developed</w:t>
      </w:r>
      <w:r>
        <w:rPr>
          <w:color w:val="211F1F"/>
          <w:spacing w:val="-11"/>
        </w:rPr>
        <w:t xml:space="preserve"> </w:t>
      </w:r>
      <w:r>
        <w:rPr>
          <w:color w:val="211F1F"/>
        </w:rPr>
        <w:t>on</w:t>
      </w:r>
      <w:r>
        <w:rPr>
          <w:color w:val="211F1F"/>
          <w:spacing w:val="-11"/>
        </w:rPr>
        <w:t xml:space="preserve"> </w:t>
      </w:r>
      <w:r>
        <w:rPr>
          <w:color w:val="211F1F"/>
        </w:rPr>
        <w:t>the</w:t>
      </w:r>
      <w:r>
        <w:rPr>
          <w:color w:val="211F1F"/>
          <w:spacing w:val="-13"/>
        </w:rPr>
        <w:t xml:space="preserve"> </w:t>
      </w:r>
      <w:r>
        <w:rPr>
          <w:color w:val="211F1F"/>
        </w:rPr>
        <w:t>basis</w:t>
      </w:r>
      <w:r>
        <w:rPr>
          <w:color w:val="211F1F"/>
          <w:spacing w:val="-6"/>
        </w:rPr>
        <w:t xml:space="preserve"> </w:t>
      </w:r>
      <w:r>
        <w:rPr>
          <w:color w:val="211F1F"/>
        </w:rPr>
        <w:t>of</w:t>
      </w:r>
      <w:r>
        <w:rPr>
          <w:color w:val="211F1F"/>
          <w:spacing w:val="-8"/>
        </w:rPr>
        <w:t xml:space="preserve"> </w:t>
      </w:r>
      <w:r>
        <w:rPr>
          <w:color w:val="211F1F"/>
        </w:rPr>
        <w:t>considerable</w:t>
      </w:r>
      <w:r>
        <w:rPr>
          <w:color w:val="211F1F"/>
          <w:spacing w:val="-14"/>
        </w:rPr>
        <w:t xml:space="preserve"> </w:t>
      </w:r>
      <w:r>
        <w:rPr>
          <w:color w:val="211F1F"/>
        </w:rPr>
        <w:t>international</w:t>
      </w:r>
      <w:r>
        <w:rPr>
          <w:color w:val="211F1F"/>
          <w:spacing w:val="-8"/>
        </w:rPr>
        <w:t xml:space="preserve"> </w:t>
      </w:r>
      <w:r>
        <w:rPr>
          <w:color w:val="211F1F"/>
        </w:rPr>
        <w:t>experience</w:t>
      </w:r>
      <w:r>
        <w:rPr>
          <w:color w:val="211F1F"/>
          <w:spacing w:val="-12"/>
        </w:rPr>
        <w:t xml:space="preserve"> </w:t>
      </w:r>
      <w:r>
        <w:rPr>
          <w:color w:val="211F1F"/>
        </w:rPr>
        <w:t>in</w:t>
      </w:r>
      <w:r>
        <w:rPr>
          <w:color w:val="211F1F"/>
          <w:spacing w:val="-11"/>
        </w:rPr>
        <w:t xml:space="preserve"> </w:t>
      </w:r>
      <w:r>
        <w:rPr>
          <w:color w:val="211F1F"/>
        </w:rPr>
        <w:t>the drafting and management of contracts, bearing in mind a trend in the construction industry towards simpler, more straightforward</w:t>
      </w:r>
      <w:r>
        <w:rPr>
          <w:color w:val="211F1F"/>
          <w:spacing w:val="-25"/>
        </w:rPr>
        <w:t xml:space="preserve"> </w:t>
      </w:r>
      <w:r>
        <w:rPr>
          <w:color w:val="211F1F"/>
        </w:rPr>
        <w:t>language.</w:t>
      </w:r>
    </w:p>
    <w:p w14:paraId="5D218335" w14:textId="77777777" w:rsidR="00BB77C0" w:rsidRDefault="00370BAA">
      <w:pPr>
        <w:pStyle w:val="BodyText"/>
        <w:spacing w:before="237"/>
        <w:ind w:left="490"/>
        <w:jc w:val="both"/>
      </w:pPr>
      <w:r>
        <w:rPr>
          <w:color w:val="211F1F"/>
        </w:rPr>
        <w:t>The</w:t>
      </w:r>
      <w:r>
        <w:rPr>
          <w:color w:val="211F1F"/>
          <w:spacing w:val="-14"/>
        </w:rPr>
        <w:t xml:space="preserve"> </w:t>
      </w:r>
      <w:r>
        <w:rPr>
          <w:color w:val="211F1F"/>
        </w:rPr>
        <w:t>GCC</w:t>
      </w:r>
      <w:r>
        <w:rPr>
          <w:color w:val="211F1F"/>
          <w:spacing w:val="-4"/>
        </w:rPr>
        <w:t xml:space="preserve"> </w:t>
      </w:r>
      <w:r>
        <w:rPr>
          <w:color w:val="211F1F"/>
        </w:rPr>
        <w:t>can</w:t>
      </w:r>
      <w:r>
        <w:rPr>
          <w:color w:val="211F1F"/>
          <w:spacing w:val="-9"/>
        </w:rPr>
        <w:t xml:space="preserve"> </w:t>
      </w:r>
      <w:r>
        <w:rPr>
          <w:color w:val="211F1F"/>
        </w:rPr>
        <w:t>be</w:t>
      </w:r>
      <w:r>
        <w:rPr>
          <w:color w:val="211F1F"/>
          <w:spacing w:val="-11"/>
        </w:rPr>
        <w:t xml:space="preserve"> </w:t>
      </w:r>
      <w:r>
        <w:rPr>
          <w:color w:val="211F1F"/>
        </w:rPr>
        <w:t>used</w:t>
      </w:r>
      <w:r>
        <w:rPr>
          <w:color w:val="211F1F"/>
          <w:spacing w:val="-10"/>
        </w:rPr>
        <w:t xml:space="preserve"> </w:t>
      </w:r>
      <w:r>
        <w:rPr>
          <w:color w:val="211F1F"/>
        </w:rPr>
        <w:t>for</w:t>
      </w:r>
      <w:r>
        <w:rPr>
          <w:color w:val="211F1F"/>
          <w:spacing w:val="3"/>
        </w:rPr>
        <w:t xml:space="preserve"> </w:t>
      </w:r>
      <w:r>
        <w:rPr>
          <w:color w:val="211F1F"/>
        </w:rPr>
        <w:t>both</w:t>
      </w:r>
      <w:r>
        <w:rPr>
          <w:color w:val="211F1F"/>
          <w:spacing w:val="-10"/>
        </w:rPr>
        <w:t xml:space="preserve"> </w:t>
      </w:r>
      <w:r>
        <w:rPr>
          <w:color w:val="211F1F"/>
        </w:rPr>
        <w:t>smaller</w:t>
      </w:r>
      <w:r>
        <w:rPr>
          <w:color w:val="211F1F"/>
          <w:spacing w:val="-1"/>
        </w:rPr>
        <w:t xml:space="preserve"> </w:t>
      </w:r>
      <w:r>
        <w:rPr>
          <w:color w:val="211F1F"/>
        </w:rPr>
        <w:t>admeasurement</w:t>
      </w:r>
      <w:r>
        <w:rPr>
          <w:color w:val="211F1F"/>
          <w:spacing w:val="-3"/>
        </w:rPr>
        <w:t xml:space="preserve"> </w:t>
      </w:r>
      <w:r>
        <w:rPr>
          <w:color w:val="211F1F"/>
        </w:rPr>
        <w:t>contracts</w:t>
      </w:r>
      <w:r>
        <w:rPr>
          <w:color w:val="211F1F"/>
          <w:spacing w:val="-9"/>
        </w:rPr>
        <w:t xml:space="preserve"> </w:t>
      </w:r>
      <w:r>
        <w:rPr>
          <w:color w:val="211F1F"/>
        </w:rPr>
        <w:t>and</w:t>
      </w:r>
      <w:r>
        <w:rPr>
          <w:color w:val="211F1F"/>
          <w:spacing w:val="-9"/>
        </w:rPr>
        <w:t xml:space="preserve"> </w:t>
      </w:r>
      <w:r>
        <w:rPr>
          <w:color w:val="211F1F"/>
        </w:rPr>
        <w:t>lump</w:t>
      </w:r>
      <w:r>
        <w:rPr>
          <w:color w:val="211F1F"/>
          <w:spacing w:val="-6"/>
        </w:rPr>
        <w:t xml:space="preserve"> </w:t>
      </w:r>
      <w:r>
        <w:rPr>
          <w:color w:val="211F1F"/>
        </w:rPr>
        <w:t>sum</w:t>
      </w:r>
      <w:r>
        <w:rPr>
          <w:color w:val="211F1F"/>
          <w:spacing w:val="-8"/>
        </w:rPr>
        <w:t xml:space="preserve"> </w:t>
      </w:r>
      <w:r>
        <w:rPr>
          <w:color w:val="211F1F"/>
          <w:spacing w:val="-2"/>
        </w:rPr>
        <w:t>contracts.</w:t>
      </w:r>
    </w:p>
    <w:p w14:paraId="69B37A38" w14:textId="77777777" w:rsidR="00BB77C0" w:rsidRDefault="00370BAA">
      <w:pPr>
        <w:spacing w:before="237"/>
        <w:ind w:left="490"/>
        <w:jc w:val="both"/>
        <w:rPr>
          <w:b/>
        </w:rPr>
      </w:pPr>
      <w:r>
        <w:rPr>
          <w:b/>
          <w:color w:val="211F1F"/>
        </w:rPr>
        <w:t>General</w:t>
      </w:r>
      <w:r>
        <w:rPr>
          <w:b/>
          <w:color w:val="211F1F"/>
          <w:spacing w:val="-11"/>
        </w:rPr>
        <w:t xml:space="preserve"> </w:t>
      </w:r>
      <w:r>
        <w:rPr>
          <w:b/>
          <w:color w:val="211F1F"/>
        </w:rPr>
        <w:t>Conditions</w:t>
      </w:r>
      <w:r>
        <w:rPr>
          <w:b/>
          <w:color w:val="211F1F"/>
          <w:spacing w:val="-6"/>
        </w:rPr>
        <w:t xml:space="preserve"> </w:t>
      </w:r>
      <w:r>
        <w:rPr>
          <w:b/>
          <w:color w:val="211F1F"/>
        </w:rPr>
        <w:t>of</w:t>
      </w:r>
      <w:r>
        <w:rPr>
          <w:b/>
          <w:color w:val="211F1F"/>
          <w:spacing w:val="-8"/>
        </w:rPr>
        <w:t xml:space="preserve"> </w:t>
      </w:r>
      <w:r>
        <w:rPr>
          <w:b/>
          <w:color w:val="211F1F"/>
          <w:spacing w:val="-2"/>
        </w:rPr>
        <w:t>Contract</w:t>
      </w:r>
    </w:p>
    <w:p w14:paraId="25649AC0" w14:textId="77777777" w:rsidR="00BB77C0" w:rsidRDefault="00370BAA">
      <w:pPr>
        <w:pStyle w:val="ListParagraph"/>
        <w:numPr>
          <w:ilvl w:val="0"/>
          <w:numId w:val="32"/>
        </w:numPr>
        <w:tabs>
          <w:tab w:val="left" w:pos="757"/>
        </w:tabs>
        <w:spacing w:before="237"/>
        <w:ind w:left="757" w:hanging="267"/>
        <w:jc w:val="left"/>
        <w:rPr>
          <w:b/>
          <w:color w:val="211F1F"/>
        </w:rPr>
      </w:pPr>
      <w:r>
        <w:rPr>
          <w:b/>
          <w:color w:val="211F1F"/>
          <w:spacing w:val="-2"/>
        </w:rPr>
        <w:t>General</w:t>
      </w:r>
    </w:p>
    <w:p w14:paraId="1F917A83" w14:textId="77777777" w:rsidR="00BB77C0" w:rsidRDefault="00370BAA">
      <w:pPr>
        <w:pStyle w:val="ListParagraph"/>
        <w:numPr>
          <w:ilvl w:val="0"/>
          <w:numId w:val="23"/>
        </w:numPr>
        <w:tabs>
          <w:tab w:val="left" w:pos="1061"/>
        </w:tabs>
        <w:spacing w:before="232"/>
        <w:ind w:hanging="571"/>
        <w:jc w:val="left"/>
        <w:rPr>
          <w:b/>
        </w:rPr>
      </w:pPr>
      <w:r>
        <w:rPr>
          <w:b/>
          <w:color w:val="211F1F"/>
          <w:spacing w:val="-2"/>
        </w:rPr>
        <w:t>Definitions</w:t>
      </w:r>
    </w:p>
    <w:p w14:paraId="2B15C75C" w14:textId="77777777" w:rsidR="00BB77C0" w:rsidRDefault="00370BAA">
      <w:pPr>
        <w:pStyle w:val="ListParagraph"/>
        <w:numPr>
          <w:ilvl w:val="1"/>
          <w:numId w:val="23"/>
        </w:numPr>
        <w:tabs>
          <w:tab w:val="left" w:pos="770"/>
        </w:tabs>
        <w:spacing w:before="227"/>
        <w:ind w:left="770" w:hanging="319"/>
        <w:jc w:val="both"/>
        <w:rPr>
          <w:color w:val="211F1F"/>
        </w:rPr>
      </w:pPr>
      <w:r>
        <w:rPr>
          <w:color w:val="211F1F"/>
          <w:spacing w:val="-2"/>
        </w:rPr>
        <w:t>Bold</w:t>
      </w:r>
      <w:r>
        <w:rPr>
          <w:color w:val="211F1F"/>
          <w:spacing w:val="4"/>
        </w:rPr>
        <w:t xml:space="preserve"> </w:t>
      </w:r>
      <w:r>
        <w:rPr>
          <w:color w:val="211F1F"/>
          <w:spacing w:val="-2"/>
        </w:rPr>
        <w:t>face</w:t>
      </w:r>
      <w:r>
        <w:rPr>
          <w:color w:val="211F1F"/>
          <w:spacing w:val="-23"/>
        </w:rPr>
        <w:t xml:space="preserve"> </w:t>
      </w:r>
      <w:r>
        <w:rPr>
          <w:color w:val="211F1F"/>
          <w:spacing w:val="-2"/>
        </w:rPr>
        <w:t>type</w:t>
      </w:r>
      <w:r>
        <w:rPr>
          <w:color w:val="211F1F"/>
          <w:spacing w:val="-24"/>
        </w:rPr>
        <w:t xml:space="preserve"> </w:t>
      </w:r>
      <w:r>
        <w:rPr>
          <w:color w:val="211F1F"/>
          <w:spacing w:val="-2"/>
        </w:rPr>
        <w:t>is</w:t>
      </w:r>
      <w:r>
        <w:rPr>
          <w:color w:val="211F1F"/>
          <w:spacing w:val="-17"/>
        </w:rPr>
        <w:t xml:space="preserve"> </w:t>
      </w:r>
      <w:r>
        <w:rPr>
          <w:color w:val="211F1F"/>
          <w:spacing w:val="-2"/>
        </w:rPr>
        <w:t>used</w:t>
      </w:r>
      <w:r>
        <w:rPr>
          <w:color w:val="211F1F"/>
          <w:spacing w:val="-21"/>
        </w:rPr>
        <w:t xml:space="preserve"> </w:t>
      </w:r>
      <w:r>
        <w:rPr>
          <w:color w:val="211F1F"/>
          <w:spacing w:val="-2"/>
        </w:rPr>
        <w:t>to</w:t>
      </w:r>
      <w:r>
        <w:rPr>
          <w:color w:val="211F1F"/>
          <w:spacing w:val="-22"/>
        </w:rPr>
        <w:t xml:space="preserve"> </w:t>
      </w:r>
      <w:r>
        <w:rPr>
          <w:color w:val="211F1F"/>
          <w:spacing w:val="-2"/>
        </w:rPr>
        <w:t>identify</w:t>
      </w:r>
      <w:r>
        <w:rPr>
          <w:color w:val="211F1F"/>
          <w:spacing w:val="-22"/>
        </w:rPr>
        <w:t xml:space="preserve"> </w:t>
      </w:r>
      <w:r>
        <w:rPr>
          <w:color w:val="211F1F"/>
          <w:spacing w:val="-2"/>
        </w:rPr>
        <w:t>defined</w:t>
      </w:r>
      <w:r>
        <w:rPr>
          <w:color w:val="211F1F"/>
          <w:spacing w:val="-21"/>
        </w:rPr>
        <w:t xml:space="preserve"> </w:t>
      </w:r>
      <w:r>
        <w:rPr>
          <w:color w:val="211F1F"/>
          <w:spacing w:val="-2"/>
        </w:rPr>
        <w:t>terms.</w:t>
      </w:r>
    </w:p>
    <w:p w14:paraId="7D8DF11B" w14:textId="77777777" w:rsidR="00BB77C0" w:rsidRDefault="00370BAA">
      <w:pPr>
        <w:pStyle w:val="ListParagraph"/>
        <w:numPr>
          <w:ilvl w:val="0"/>
          <w:numId w:val="26"/>
        </w:numPr>
        <w:tabs>
          <w:tab w:val="left" w:pos="1596"/>
          <w:tab w:val="left" w:pos="1613"/>
        </w:tabs>
        <w:spacing w:before="98" w:line="228" w:lineRule="auto"/>
        <w:ind w:right="848" w:hanging="553"/>
        <w:jc w:val="both"/>
      </w:pPr>
      <w:r>
        <w:rPr>
          <w:b/>
          <w:color w:val="211F1F"/>
          <w:spacing w:val="-2"/>
        </w:rPr>
        <w:t>The</w:t>
      </w:r>
      <w:r>
        <w:rPr>
          <w:b/>
          <w:color w:val="211F1F"/>
          <w:spacing w:val="-12"/>
        </w:rPr>
        <w:t xml:space="preserve"> </w:t>
      </w:r>
      <w:r>
        <w:rPr>
          <w:b/>
          <w:color w:val="211F1F"/>
          <w:spacing w:val="-2"/>
        </w:rPr>
        <w:t>Accepted</w:t>
      </w:r>
      <w:r>
        <w:rPr>
          <w:b/>
          <w:color w:val="211F1F"/>
          <w:spacing w:val="-12"/>
        </w:rPr>
        <w:t xml:space="preserve"> </w:t>
      </w:r>
      <w:r>
        <w:rPr>
          <w:b/>
          <w:color w:val="211F1F"/>
          <w:spacing w:val="-2"/>
        </w:rPr>
        <w:t>Contract</w:t>
      </w:r>
      <w:r>
        <w:rPr>
          <w:b/>
          <w:color w:val="211F1F"/>
          <w:spacing w:val="-12"/>
        </w:rPr>
        <w:t xml:space="preserve"> </w:t>
      </w:r>
      <w:r>
        <w:rPr>
          <w:color w:val="211F1F"/>
          <w:spacing w:val="-2"/>
        </w:rPr>
        <w:t>Amount</w:t>
      </w:r>
      <w:r>
        <w:rPr>
          <w:color w:val="211F1F"/>
          <w:spacing w:val="-11"/>
        </w:rPr>
        <w:t xml:space="preserve"> </w:t>
      </w:r>
      <w:r>
        <w:rPr>
          <w:color w:val="211F1F"/>
          <w:spacing w:val="-2"/>
        </w:rPr>
        <w:t>means</w:t>
      </w:r>
      <w:r>
        <w:rPr>
          <w:color w:val="211F1F"/>
          <w:spacing w:val="-12"/>
        </w:rPr>
        <w:t xml:space="preserve"> </w:t>
      </w:r>
      <w:r>
        <w:rPr>
          <w:color w:val="211F1F"/>
          <w:spacing w:val="-2"/>
        </w:rPr>
        <w:t>the</w:t>
      </w:r>
      <w:r>
        <w:rPr>
          <w:color w:val="211F1F"/>
          <w:spacing w:val="-12"/>
        </w:rPr>
        <w:t xml:space="preserve"> </w:t>
      </w:r>
      <w:r>
        <w:rPr>
          <w:color w:val="211F1F"/>
          <w:spacing w:val="-2"/>
        </w:rPr>
        <w:t>amount</w:t>
      </w:r>
      <w:r>
        <w:rPr>
          <w:color w:val="211F1F"/>
          <w:spacing w:val="-12"/>
        </w:rPr>
        <w:t xml:space="preserve"> </w:t>
      </w:r>
      <w:r>
        <w:rPr>
          <w:color w:val="211F1F"/>
          <w:spacing w:val="-2"/>
        </w:rPr>
        <w:t>accepted</w:t>
      </w:r>
      <w:r>
        <w:rPr>
          <w:color w:val="211F1F"/>
          <w:spacing w:val="-11"/>
        </w:rPr>
        <w:t xml:space="preserve"> </w:t>
      </w:r>
      <w:r>
        <w:rPr>
          <w:color w:val="211F1F"/>
          <w:spacing w:val="-2"/>
        </w:rPr>
        <w:t>in</w:t>
      </w:r>
      <w:r>
        <w:rPr>
          <w:color w:val="211F1F"/>
          <w:spacing w:val="-12"/>
        </w:rPr>
        <w:t xml:space="preserve"> </w:t>
      </w:r>
      <w:r>
        <w:rPr>
          <w:color w:val="211F1F"/>
          <w:spacing w:val="-2"/>
        </w:rPr>
        <w:t>the</w:t>
      </w:r>
      <w:r>
        <w:rPr>
          <w:color w:val="211F1F"/>
          <w:spacing w:val="-12"/>
        </w:rPr>
        <w:t xml:space="preserve"> </w:t>
      </w:r>
      <w:r>
        <w:rPr>
          <w:color w:val="211F1F"/>
          <w:spacing w:val="-2"/>
        </w:rPr>
        <w:t>Letter</w:t>
      </w:r>
      <w:r>
        <w:rPr>
          <w:color w:val="211F1F"/>
          <w:spacing w:val="-12"/>
        </w:rPr>
        <w:t xml:space="preserve"> </w:t>
      </w:r>
      <w:r>
        <w:rPr>
          <w:color w:val="211F1F"/>
          <w:spacing w:val="-2"/>
        </w:rPr>
        <w:t>of</w:t>
      </w:r>
      <w:r>
        <w:rPr>
          <w:color w:val="211F1F"/>
          <w:spacing w:val="-11"/>
        </w:rPr>
        <w:t xml:space="preserve"> </w:t>
      </w:r>
      <w:r>
        <w:rPr>
          <w:color w:val="211F1F"/>
          <w:spacing w:val="-2"/>
        </w:rPr>
        <w:t>Acceptance</w:t>
      </w:r>
      <w:r>
        <w:rPr>
          <w:color w:val="211F1F"/>
          <w:spacing w:val="-12"/>
        </w:rPr>
        <w:t xml:space="preserve"> </w:t>
      </w:r>
      <w:r>
        <w:rPr>
          <w:color w:val="211F1F"/>
          <w:spacing w:val="-2"/>
        </w:rPr>
        <w:t>for</w:t>
      </w:r>
      <w:r>
        <w:rPr>
          <w:color w:val="211F1F"/>
          <w:spacing w:val="-12"/>
        </w:rPr>
        <w:t xml:space="preserve"> </w:t>
      </w:r>
      <w:r>
        <w:rPr>
          <w:color w:val="211F1F"/>
          <w:spacing w:val="-2"/>
        </w:rPr>
        <w:t>the</w:t>
      </w:r>
      <w:r>
        <w:rPr>
          <w:color w:val="211F1F"/>
          <w:spacing w:val="-12"/>
        </w:rPr>
        <w:t xml:space="preserve"> </w:t>
      </w:r>
      <w:r>
        <w:rPr>
          <w:color w:val="211F1F"/>
          <w:spacing w:val="-2"/>
        </w:rPr>
        <w:t xml:space="preserve">execution </w:t>
      </w:r>
      <w:r>
        <w:rPr>
          <w:color w:val="211F1F"/>
        </w:rPr>
        <w:t>and completion of the</w:t>
      </w:r>
      <w:r>
        <w:rPr>
          <w:color w:val="211F1F"/>
          <w:spacing w:val="-1"/>
        </w:rPr>
        <w:t xml:space="preserve"> </w:t>
      </w:r>
      <w:r>
        <w:rPr>
          <w:color w:val="211F1F"/>
        </w:rPr>
        <w:t>Works</w:t>
      </w:r>
      <w:r>
        <w:rPr>
          <w:color w:val="211F1F"/>
          <w:spacing w:val="-3"/>
        </w:rPr>
        <w:t xml:space="preserve"> </w:t>
      </w:r>
      <w:r>
        <w:rPr>
          <w:color w:val="211F1F"/>
        </w:rPr>
        <w:t>and the</w:t>
      </w:r>
      <w:r>
        <w:rPr>
          <w:color w:val="211F1F"/>
          <w:spacing w:val="-1"/>
        </w:rPr>
        <w:t xml:space="preserve"> </w:t>
      </w:r>
      <w:r>
        <w:rPr>
          <w:color w:val="211F1F"/>
        </w:rPr>
        <w:t>remedying of any defects.</w:t>
      </w:r>
    </w:p>
    <w:p w14:paraId="49678D19" w14:textId="77777777" w:rsidR="00BB77C0" w:rsidRDefault="00370BAA">
      <w:pPr>
        <w:pStyle w:val="ListParagraph"/>
        <w:numPr>
          <w:ilvl w:val="0"/>
          <w:numId w:val="26"/>
        </w:numPr>
        <w:tabs>
          <w:tab w:val="left" w:pos="1597"/>
          <w:tab w:val="left" w:pos="1613"/>
        </w:tabs>
        <w:spacing w:before="98" w:line="230" w:lineRule="auto"/>
        <w:ind w:right="704" w:hanging="553"/>
        <w:jc w:val="both"/>
      </w:pPr>
      <w:r>
        <w:rPr>
          <w:b/>
          <w:color w:val="211F1F"/>
        </w:rPr>
        <w:t>The</w:t>
      </w:r>
      <w:r>
        <w:rPr>
          <w:b/>
          <w:color w:val="211F1F"/>
          <w:spacing w:val="-14"/>
        </w:rPr>
        <w:t xml:space="preserve"> </w:t>
      </w:r>
      <w:r>
        <w:rPr>
          <w:b/>
          <w:color w:val="211F1F"/>
        </w:rPr>
        <w:t>Activity</w:t>
      </w:r>
      <w:r>
        <w:rPr>
          <w:b/>
          <w:color w:val="211F1F"/>
          <w:spacing w:val="-14"/>
        </w:rPr>
        <w:t xml:space="preserve"> </w:t>
      </w:r>
      <w:r>
        <w:rPr>
          <w:b/>
          <w:color w:val="211F1F"/>
        </w:rPr>
        <w:t>Schedule</w:t>
      </w:r>
      <w:r>
        <w:rPr>
          <w:b/>
          <w:color w:val="211F1F"/>
          <w:spacing w:val="-14"/>
        </w:rPr>
        <w:t xml:space="preserve"> </w:t>
      </w:r>
      <w:r>
        <w:rPr>
          <w:color w:val="211F1F"/>
        </w:rPr>
        <w:t>is</w:t>
      </w:r>
      <w:r>
        <w:rPr>
          <w:color w:val="211F1F"/>
          <w:spacing w:val="-11"/>
        </w:rPr>
        <w:t xml:space="preserve"> </w:t>
      </w:r>
      <w:r>
        <w:rPr>
          <w:color w:val="211F1F"/>
        </w:rPr>
        <w:t>a</w:t>
      </w:r>
      <w:r>
        <w:rPr>
          <w:color w:val="211F1F"/>
          <w:spacing w:val="-14"/>
        </w:rPr>
        <w:t xml:space="preserve"> </w:t>
      </w:r>
      <w:r>
        <w:rPr>
          <w:color w:val="211F1F"/>
        </w:rPr>
        <w:t>schedule</w:t>
      </w:r>
      <w:r>
        <w:rPr>
          <w:color w:val="211F1F"/>
          <w:spacing w:val="-9"/>
        </w:rPr>
        <w:t xml:space="preserve"> </w:t>
      </w:r>
      <w:r>
        <w:rPr>
          <w:color w:val="211F1F"/>
        </w:rPr>
        <w:t>of</w:t>
      </w:r>
      <w:r>
        <w:rPr>
          <w:color w:val="211F1F"/>
          <w:spacing w:val="-10"/>
        </w:rPr>
        <w:t xml:space="preserve"> </w:t>
      </w:r>
      <w:r>
        <w:rPr>
          <w:color w:val="211F1F"/>
        </w:rPr>
        <w:t>the</w:t>
      </w:r>
      <w:r>
        <w:rPr>
          <w:color w:val="211F1F"/>
          <w:spacing w:val="-14"/>
        </w:rPr>
        <w:t xml:space="preserve"> </w:t>
      </w:r>
      <w:r>
        <w:rPr>
          <w:color w:val="211F1F"/>
        </w:rPr>
        <w:t>activities</w:t>
      </w:r>
      <w:r>
        <w:rPr>
          <w:color w:val="211F1F"/>
          <w:spacing w:val="-11"/>
        </w:rPr>
        <w:t xml:space="preserve"> </w:t>
      </w:r>
      <w:r>
        <w:rPr>
          <w:color w:val="211F1F"/>
        </w:rPr>
        <w:t>comprising</w:t>
      </w:r>
      <w:r>
        <w:rPr>
          <w:color w:val="211F1F"/>
          <w:spacing w:val="-14"/>
        </w:rPr>
        <w:t xml:space="preserve"> </w:t>
      </w:r>
      <w:r>
        <w:rPr>
          <w:color w:val="211F1F"/>
        </w:rPr>
        <w:t>the</w:t>
      </w:r>
      <w:r>
        <w:rPr>
          <w:color w:val="211F1F"/>
          <w:spacing w:val="-14"/>
        </w:rPr>
        <w:t xml:space="preserve"> </w:t>
      </w:r>
      <w:r>
        <w:rPr>
          <w:color w:val="211F1F"/>
        </w:rPr>
        <w:t>construction,</w:t>
      </w:r>
      <w:r>
        <w:rPr>
          <w:color w:val="211F1F"/>
          <w:spacing w:val="-5"/>
        </w:rPr>
        <w:t xml:space="preserve"> </w:t>
      </w:r>
      <w:r>
        <w:rPr>
          <w:color w:val="211F1F"/>
        </w:rPr>
        <w:t>installation,</w:t>
      </w:r>
      <w:r>
        <w:rPr>
          <w:color w:val="211F1F"/>
          <w:spacing w:val="-10"/>
        </w:rPr>
        <w:t xml:space="preserve"> </w:t>
      </w:r>
      <w:r>
        <w:rPr>
          <w:color w:val="211F1F"/>
        </w:rPr>
        <w:t>testing,</w:t>
      </w:r>
      <w:r>
        <w:rPr>
          <w:color w:val="211F1F"/>
          <w:spacing w:val="-10"/>
        </w:rPr>
        <w:t xml:space="preserve"> </w:t>
      </w:r>
      <w:r>
        <w:rPr>
          <w:color w:val="211F1F"/>
        </w:rPr>
        <w:t xml:space="preserve">and </w:t>
      </w:r>
      <w:r>
        <w:rPr>
          <w:color w:val="211F1F"/>
          <w:spacing w:val="-2"/>
        </w:rPr>
        <w:t>commissioning</w:t>
      </w:r>
      <w:r>
        <w:rPr>
          <w:color w:val="211F1F"/>
          <w:spacing w:val="-12"/>
        </w:rPr>
        <w:t xml:space="preserve"> </w:t>
      </w:r>
      <w:r>
        <w:rPr>
          <w:color w:val="211F1F"/>
          <w:spacing w:val="-2"/>
        </w:rPr>
        <w:t>of</w:t>
      </w:r>
      <w:r>
        <w:rPr>
          <w:color w:val="211F1F"/>
          <w:spacing w:val="-12"/>
        </w:rPr>
        <w:t xml:space="preserve"> </w:t>
      </w:r>
      <w:r>
        <w:rPr>
          <w:color w:val="211F1F"/>
          <w:spacing w:val="-2"/>
        </w:rPr>
        <w:t>the</w:t>
      </w:r>
      <w:r>
        <w:rPr>
          <w:color w:val="211F1F"/>
          <w:spacing w:val="-12"/>
        </w:rPr>
        <w:t xml:space="preserve"> </w:t>
      </w:r>
      <w:r>
        <w:rPr>
          <w:color w:val="211F1F"/>
          <w:spacing w:val="-2"/>
        </w:rPr>
        <w:t>Works</w:t>
      </w:r>
      <w:r>
        <w:rPr>
          <w:color w:val="211F1F"/>
          <w:spacing w:val="-11"/>
        </w:rPr>
        <w:t xml:space="preserve"> </w:t>
      </w:r>
      <w:r>
        <w:rPr>
          <w:color w:val="211F1F"/>
          <w:spacing w:val="-2"/>
        </w:rPr>
        <w:t>in</w:t>
      </w:r>
      <w:r>
        <w:rPr>
          <w:color w:val="211F1F"/>
          <w:spacing w:val="-12"/>
        </w:rPr>
        <w:t xml:space="preserve"> </w:t>
      </w:r>
      <w:r>
        <w:rPr>
          <w:color w:val="211F1F"/>
          <w:spacing w:val="-2"/>
        </w:rPr>
        <w:t>a</w:t>
      </w:r>
      <w:r>
        <w:rPr>
          <w:color w:val="211F1F"/>
          <w:spacing w:val="-12"/>
        </w:rPr>
        <w:t xml:space="preserve"> </w:t>
      </w:r>
      <w:r>
        <w:rPr>
          <w:color w:val="211F1F"/>
          <w:spacing w:val="-2"/>
        </w:rPr>
        <w:t>lump</w:t>
      </w:r>
      <w:r>
        <w:rPr>
          <w:color w:val="211F1F"/>
          <w:spacing w:val="-12"/>
        </w:rPr>
        <w:t xml:space="preserve"> </w:t>
      </w:r>
      <w:r>
        <w:rPr>
          <w:color w:val="211F1F"/>
          <w:spacing w:val="-2"/>
        </w:rPr>
        <w:t>sum</w:t>
      </w:r>
      <w:r>
        <w:rPr>
          <w:color w:val="211F1F"/>
          <w:spacing w:val="-11"/>
        </w:rPr>
        <w:t xml:space="preserve"> </w:t>
      </w:r>
      <w:r>
        <w:rPr>
          <w:color w:val="211F1F"/>
          <w:spacing w:val="-2"/>
        </w:rPr>
        <w:t>contract.</w:t>
      </w:r>
      <w:r>
        <w:rPr>
          <w:color w:val="211F1F"/>
          <w:spacing w:val="-12"/>
        </w:rPr>
        <w:t xml:space="preserve"> </w:t>
      </w:r>
      <w:r>
        <w:rPr>
          <w:color w:val="211F1F"/>
          <w:spacing w:val="-2"/>
        </w:rPr>
        <w:t>It</w:t>
      </w:r>
      <w:r>
        <w:rPr>
          <w:color w:val="211F1F"/>
          <w:spacing w:val="-12"/>
        </w:rPr>
        <w:t xml:space="preserve"> </w:t>
      </w:r>
      <w:r>
        <w:rPr>
          <w:color w:val="211F1F"/>
          <w:spacing w:val="-2"/>
        </w:rPr>
        <w:t>includes</w:t>
      </w:r>
      <w:r>
        <w:rPr>
          <w:color w:val="211F1F"/>
          <w:spacing w:val="-12"/>
        </w:rPr>
        <w:t xml:space="preserve"> </w:t>
      </w:r>
      <w:r>
        <w:rPr>
          <w:color w:val="211F1F"/>
          <w:spacing w:val="-2"/>
        </w:rPr>
        <w:t>a</w:t>
      </w:r>
      <w:r>
        <w:rPr>
          <w:color w:val="211F1F"/>
          <w:spacing w:val="-10"/>
        </w:rPr>
        <w:t xml:space="preserve"> </w:t>
      </w:r>
      <w:r>
        <w:rPr>
          <w:color w:val="211F1F"/>
          <w:spacing w:val="-2"/>
        </w:rPr>
        <w:t>lump</w:t>
      </w:r>
      <w:r>
        <w:rPr>
          <w:color w:val="211F1F"/>
          <w:spacing w:val="-6"/>
        </w:rPr>
        <w:t xml:space="preserve"> </w:t>
      </w:r>
      <w:r>
        <w:rPr>
          <w:color w:val="211F1F"/>
          <w:spacing w:val="-2"/>
        </w:rPr>
        <w:t>sum</w:t>
      </w:r>
      <w:r>
        <w:rPr>
          <w:color w:val="211F1F"/>
          <w:spacing w:val="-12"/>
        </w:rPr>
        <w:t xml:space="preserve"> </w:t>
      </w:r>
      <w:r>
        <w:rPr>
          <w:color w:val="211F1F"/>
          <w:spacing w:val="-2"/>
        </w:rPr>
        <w:t>price</w:t>
      </w:r>
      <w:r>
        <w:rPr>
          <w:color w:val="211F1F"/>
          <w:spacing w:val="-12"/>
        </w:rPr>
        <w:t xml:space="preserve"> </w:t>
      </w:r>
      <w:r>
        <w:rPr>
          <w:color w:val="211F1F"/>
          <w:spacing w:val="-2"/>
        </w:rPr>
        <w:t>for</w:t>
      </w:r>
      <w:r>
        <w:rPr>
          <w:color w:val="211F1F"/>
          <w:spacing w:val="-3"/>
        </w:rPr>
        <w:t xml:space="preserve"> </w:t>
      </w:r>
      <w:r>
        <w:rPr>
          <w:color w:val="211F1F"/>
          <w:spacing w:val="-2"/>
        </w:rPr>
        <w:t>each</w:t>
      </w:r>
      <w:r>
        <w:rPr>
          <w:color w:val="211F1F"/>
          <w:spacing w:val="-12"/>
        </w:rPr>
        <w:t xml:space="preserve"> </w:t>
      </w:r>
      <w:r>
        <w:rPr>
          <w:color w:val="211F1F"/>
          <w:spacing w:val="-2"/>
        </w:rPr>
        <w:t>activity,</w:t>
      </w:r>
      <w:r>
        <w:rPr>
          <w:color w:val="211F1F"/>
          <w:spacing w:val="-3"/>
        </w:rPr>
        <w:t xml:space="preserve"> </w:t>
      </w:r>
      <w:r>
        <w:rPr>
          <w:color w:val="211F1F"/>
          <w:spacing w:val="-2"/>
        </w:rPr>
        <w:t>which</w:t>
      </w:r>
      <w:r>
        <w:rPr>
          <w:color w:val="211F1F"/>
          <w:spacing w:val="3"/>
        </w:rPr>
        <w:t xml:space="preserve"> </w:t>
      </w:r>
      <w:r>
        <w:rPr>
          <w:color w:val="211F1F"/>
          <w:spacing w:val="-2"/>
        </w:rPr>
        <w:t xml:space="preserve">is </w:t>
      </w:r>
      <w:r>
        <w:rPr>
          <w:color w:val="211F1F"/>
        </w:rPr>
        <w:t>used</w:t>
      </w:r>
      <w:r>
        <w:rPr>
          <w:color w:val="211F1F"/>
          <w:spacing w:val="-8"/>
        </w:rPr>
        <w:t xml:space="preserve"> </w:t>
      </w:r>
      <w:r>
        <w:rPr>
          <w:color w:val="211F1F"/>
        </w:rPr>
        <w:t>for valuations</w:t>
      </w:r>
      <w:r>
        <w:rPr>
          <w:color w:val="211F1F"/>
          <w:spacing w:val="-1"/>
        </w:rPr>
        <w:t xml:space="preserve"> </w:t>
      </w:r>
      <w:r>
        <w:rPr>
          <w:color w:val="211F1F"/>
        </w:rPr>
        <w:t>and</w:t>
      </w:r>
      <w:r>
        <w:rPr>
          <w:color w:val="211F1F"/>
          <w:spacing w:val="-8"/>
        </w:rPr>
        <w:t xml:space="preserve"> </w:t>
      </w:r>
      <w:r>
        <w:rPr>
          <w:color w:val="211F1F"/>
        </w:rPr>
        <w:t>for assessing</w:t>
      </w:r>
      <w:r>
        <w:rPr>
          <w:color w:val="211F1F"/>
          <w:spacing w:val="-8"/>
        </w:rPr>
        <w:t xml:space="preserve"> </w:t>
      </w:r>
      <w:r>
        <w:rPr>
          <w:color w:val="211F1F"/>
        </w:rPr>
        <w:t>the</w:t>
      </w:r>
      <w:r>
        <w:rPr>
          <w:color w:val="211F1F"/>
          <w:spacing w:val="-5"/>
        </w:rPr>
        <w:t xml:space="preserve"> </w:t>
      </w:r>
      <w:r>
        <w:rPr>
          <w:color w:val="211F1F"/>
        </w:rPr>
        <w:t>effects</w:t>
      </w:r>
      <w:r>
        <w:rPr>
          <w:color w:val="211F1F"/>
          <w:spacing w:val="-1"/>
        </w:rPr>
        <w:t xml:space="preserve"> </w:t>
      </w:r>
      <w:r>
        <w:rPr>
          <w:color w:val="211F1F"/>
        </w:rPr>
        <w:t>of</w:t>
      </w:r>
      <w:r>
        <w:rPr>
          <w:color w:val="211F1F"/>
          <w:spacing w:val="-5"/>
        </w:rPr>
        <w:t xml:space="preserve"> </w:t>
      </w:r>
      <w:r>
        <w:rPr>
          <w:color w:val="211F1F"/>
        </w:rPr>
        <w:t>Variations</w:t>
      </w:r>
      <w:r>
        <w:rPr>
          <w:color w:val="211F1F"/>
          <w:spacing w:val="-7"/>
        </w:rPr>
        <w:t xml:space="preserve"> </w:t>
      </w:r>
      <w:r>
        <w:rPr>
          <w:color w:val="211F1F"/>
        </w:rPr>
        <w:t>and</w:t>
      </w:r>
      <w:r>
        <w:rPr>
          <w:color w:val="211F1F"/>
          <w:spacing w:val="-8"/>
        </w:rPr>
        <w:t xml:space="preserve"> </w:t>
      </w:r>
      <w:r>
        <w:rPr>
          <w:color w:val="211F1F"/>
        </w:rPr>
        <w:t>Compensation</w:t>
      </w:r>
      <w:r>
        <w:rPr>
          <w:color w:val="211F1F"/>
          <w:spacing w:val="-7"/>
        </w:rPr>
        <w:t xml:space="preserve"> </w:t>
      </w:r>
      <w:r>
        <w:rPr>
          <w:color w:val="211F1F"/>
        </w:rPr>
        <w:t>Events.</w:t>
      </w:r>
    </w:p>
    <w:p w14:paraId="249CCE54" w14:textId="77777777" w:rsidR="00BB77C0" w:rsidRDefault="00370BAA">
      <w:pPr>
        <w:pStyle w:val="ListParagraph"/>
        <w:numPr>
          <w:ilvl w:val="0"/>
          <w:numId w:val="26"/>
        </w:numPr>
        <w:tabs>
          <w:tab w:val="left" w:pos="1599"/>
          <w:tab w:val="left" w:pos="1613"/>
        </w:tabs>
        <w:spacing w:before="96" w:line="237" w:lineRule="auto"/>
        <w:ind w:right="1009" w:hanging="553"/>
      </w:pPr>
      <w:r>
        <w:rPr>
          <w:b/>
          <w:color w:val="211F1F"/>
        </w:rPr>
        <w:t>The</w:t>
      </w:r>
      <w:r>
        <w:rPr>
          <w:b/>
          <w:color w:val="211F1F"/>
          <w:spacing w:val="-8"/>
        </w:rPr>
        <w:t xml:space="preserve"> </w:t>
      </w:r>
      <w:r>
        <w:rPr>
          <w:b/>
          <w:color w:val="211F1F"/>
        </w:rPr>
        <w:t>Adjudicator</w:t>
      </w:r>
      <w:r>
        <w:rPr>
          <w:b/>
          <w:color w:val="211F1F"/>
          <w:spacing w:val="-1"/>
        </w:rPr>
        <w:t xml:space="preserve"> </w:t>
      </w:r>
      <w:r>
        <w:rPr>
          <w:color w:val="211F1F"/>
        </w:rPr>
        <w:t>is</w:t>
      </w:r>
      <w:r>
        <w:rPr>
          <w:color w:val="211F1F"/>
          <w:spacing w:val="-5"/>
        </w:rPr>
        <w:t xml:space="preserve"> </w:t>
      </w:r>
      <w:r>
        <w:rPr>
          <w:color w:val="211F1F"/>
        </w:rPr>
        <w:t>the</w:t>
      </w:r>
      <w:r>
        <w:rPr>
          <w:color w:val="211F1F"/>
          <w:spacing w:val="-8"/>
        </w:rPr>
        <w:t xml:space="preserve"> </w:t>
      </w:r>
      <w:r>
        <w:rPr>
          <w:color w:val="211F1F"/>
        </w:rPr>
        <w:t>person</w:t>
      </w:r>
      <w:r>
        <w:rPr>
          <w:color w:val="211F1F"/>
          <w:spacing w:val="-9"/>
        </w:rPr>
        <w:t xml:space="preserve"> </w:t>
      </w:r>
      <w:r>
        <w:rPr>
          <w:color w:val="211F1F"/>
        </w:rPr>
        <w:t>appointed</w:t>
      </w:r>
      <w:r>
        <w:rPr>
          <w:color w:val="211F1F"/>
          <w:spacing w:val="-9"/>
        </w:rPr>
        <w:t xml:space="preserve"> </w:t>
      </w:r>
      <w:r>
        <w:rPr>
          <w:color w:val="211F1F"/>
        </w:rPr>
        <w:t>jointly</w:t>
      </w:r>
      <w:r>
        <w:rPr>
          <w:color w:val="211F1F"/>
          <w:spacing w:val="-10"/>
        </w:rPr>
        <w:t xml:space="preserve"> </w:t>
      </w:r>
      <w:r>
        <w:rPr>
          <w:color w:val="211F1F"/>
        </w:rPr>
        <w:t>by</w:t>
      </w:r>
      <w:r>
        <w:rPr>
          <w:color w:val="211F1F"/>
          <w:spacing w:val="-10"/>
        </w:rPr>
        <w:t xml:space="preserve"> </w:t>
      </w:r>
      <w:r>
        <w:rPr>
          <w:color w:val="211F1F"/>
        </w:rPr>
        <w:t>the</w:t>
      </w:r>
      <w:r>
        <w:rPr>
          <w:color w:val="211F1F"/>
          <w:spacing w:val="-2"/>
        </w:rPr>
        <w:t xml:space="preserve"> </w:t>
      </w:r>
      <w:r>
        <w:rPr>
          <w:color w:val="211F1F"/>
        </w:rPr>
        <w:t>Procuring</w:t>
      </w:r>
      <w:r>
        <w:rPr>
          <w:color w:val="211F1F"/>
          <w:spacing w:val="-9"/>
        </w:rPr>
        <w:t xml:space="preserve"> </w:t>
      </w:r>
      <w:r>
        <w:rPr>
          <w:color w:val="211F1F"/>
        </w:rPr>
        <w:t>Entity</w:t>
      </w:r>
      <w:r>
        <w:rPr>
          <w:color w:val="211F1F"/>
          <w:spacing w:val="-10"/>
        </w:rPr>
        <w:t xml:space="preserve"> </w:t>
      </w:r>
      <w:r>
        <w:rPr>
          <w:color w:val="211F1F"/>
        </w:rPr>
        <w:t>and</w:t>
      </w:r>
      <w:r>
        <w:rPr>
          <w:color w:val="211F1F"/>
          <w:spacing w:val="-10"/>
        </w:rPr>
        <w:t xml:space="preserve"> </w:t>
      </w:r>
      <w:r>
        <w:rPr>
          <w:color w:val="211F1F"/>
        </w:rPr>
        <w:t>the</w:t>
      </w:r>
      <w:r>
        <w:rPr>
          <w:color w:val="211F1F"/>
          <w:spacing w:val="-11"/>
        </w:rPr>
        <w:t xml:space="preserve"> </w:t>
      </w:r>
      <w:r>
        <w:rPr>
          <w:color w:val="211F1F"/>
        </w:rPr>
        <w:t>Contractor</w:t>
      </w:r>
      <w:r>
        <w:rPr>
          <w:color w:val="211F1F"/>
          <w:spacing w:val="-1"/>
        </w:rPr>
        <w:t xml:space="preserve"> </w:t>
      </w:r>
      <w:r>
        <w:rPr>
          <w:color w:val="211F1F"/>
        </w:rPr>
        <w:t>to</w:t>
      </w:r>
      <w:r>
        <w:rPr>
          <w:color w:val="211F1F"/>
          <w:spacing w:val="-10"/>
        </w:rPr>
        <w:t xml:space="preserve"> </w:t>
      </w:r>
      <w:r>
        <w:rPr>
          <w:color w:val="211F1F"/>
        </w:rPr>
        <w:t>resolve disputes</w:t>
      </w:r>
      <w:r>
        <w:rPr>
          <w:color w:val="211F1F"/>
          <w:spacing w:val="-15"/>
        </w:rPr>
        <w:t xml:space="preserve"> </w:t>
      </w:r>
      <w:r>
        <w:rPr>
          <w:color w:val="211F1F"/>
        </w:rPr>
        <w:t>in</w:t>
      </w:r>
      <w:r>
        <w:rPr>
          <w:color w:val="211F1F"/>
          <w:spacing w:val="-16"/>
        </w:rPr>
        <w:t xml:space="preserve"> </w:t>
      </w:r>
      <w:r>
        <w:rPr>
          <w:color w:val="211F1F"/>
        </w:rPr>
        <w:t>the</w:t>
      </w:r>
      <w:r>
        <w:rPr>
          <w:color w:val="211F1F"/>
          <w:spacing w:val="-17"/>
        </w:rPr>
        <w:t xml:space="preserve"> </w:t>
      </w:r>
      <w:r>
        <w:rPr>
          <w:color w:val="211F1F"/>
        </w:rPr>
        <w:t>first</w:t>
      </w:r>
      <w:r>
        <w:rPr>
          <w:color w:val="211F1F"/>
          <w:spacing w:val="-9"/>
        </w:rPr>
        <w:t xml:space="preserve"> </w:t>
      </w:r>
      <w:r>
        <w:rPr>
          <w:color w:val="211F1F"/>
        </w:rPr>
        <w:t>instance,</w:t>
      </w:r>
      <w:r>
        <w:rPr>
          <w:color w:val="211F1F"/>
          <w:spacing w:val="-17"/>
        </w:rPr>
        <w:t xml:space="preserve"> </w:t>
      </w:r>
      <w:r>
        <w:rPr>
          <w:color w:val="211F1F"/>
        </w:rPr>
        <w:t>as</w:t>
      </w:r>
      <w:r>
        <w:rPr>
          <w:color w:val="211F1F"/>
          <w:spacing w:val="-15"/>
        </w:rPr>
        <w:t xml:space="preserve"> </w:t>
      </w:r>
      <w:r>
        <w:rPr>
          <w:color w:val="211F1F"/>
        </w:rPr>
        <w:t>provided</w:t>
      </w:r>
      <w:r>
        <w:rPr>
          <w:color w:val="211F1F"/>
          <w:spacing w:val="-15"/>
        </w:rPr>
        <w:t xml:space="preserve"> </w:t>
      </w:r>
      <w:r>
        <w:rPr>
          <w:color w:val="211F1F"/>
        </w:rPr>
        <w:t>for</w:t>
      </w:r>
      <w:r>
        <w:rPr>
          <w:color w:val="211F1F"/>
          <w:spacing w:val="-7"/>
        </w:rPr>
        <w:t xml:space="preserve"> </w:t>
      </w:r>
      <w:r>
        <w:rPr>
          <w:color w:val="211F1F"/>
        </w:rPr>
        <w:t>in</w:t>
      </w:r>
      <w:r>
        <w:rPr>
          <w:color w:val="211F1F"/>
          <w:spacing w:val="-16"/>
        </w:rPr>
        <w:t xml:space="preserve"> </w:t>
      </w:r>
      <w:r>
        <w:rPr>
          <w:color w:val="211F1F"/>
        </w:rPr>
        <w:t>GCC</w:t>
      </w:r>
      <w:r>
        <w:rPr>
          <w:color w:val="211F1F"/>
          <w:spacing w:val="-9"/>
        </w:rPr>
        <w:t xml:space="preserve"> </w:t>
      </w:r>
      <w:r>
        <w:rPr>
          <w:color w:val="211F1F"/>
        </w:rPr>
        <w:t>23.</w:t>
      </w:r>
    </w:p>
    <w:p w14:paraId="2EA4229E" w14:textId="77777777" w:rsidR="00BB77C0" w:rsidRDefault="00370BAA">
      <w:pPr>
        <w:pStyle w:val="ListParagraph"/>
        <w:numPr>
          <w:ilvl w:val="0"/>
          <w:numId w:val="26"/>
        </w:numPr>
        <w:tabs>
          <w:tab w:val="left" w:pos="1599"/>
        </w:tabs>
        <w:spacing w:before="78"/>
        <w:ind w:left="1599" w:hanging="538"/>
      </w:pPr>
      <w:r>
        <w:rPr>
          <w:b/>
          <w:color w:val="211F1F"/>
          <w:spacing w:val="-4"/>
        </w:rPr>
        <w:t>Bill</w:t>
      </w:r>
      <w:r>
        <w:rPr>
          <w:b/>
          <w:color w:val="211F1F"/>
          <w:spacing w:val="-8"/>
        </w:rPr>
        <w:t xml:space="preserve"> </w:t>
      </w:r>
      <w:r>
        <w:rPr>
          <w:b/>
          <w:color w:val="211F1F"/>
          <w:spacing w:val="-4"/>
        </w:rPr>
        <w:t>of</w:t>
      </w:r>
      <w:r>
        <w:rPr>
          <w:b/>
          <w:color w:val="211F1F"/>
          <w:spacing w:val="-16"/>
        </w:rPr>
        <w:t xml:space="preserve"> </w:t>
      </w:r>
      <w:r>
        <w:rPr>
          <w:b/>
          <w:color w:val="211F1F"/>
          <w:spacing w:val="-4"/>
        </w:rPr>
        <w:t>Quantities</w:t>
      </w:r>
      <w:r>
        <w:rPr>
          <w:b/>
          <w:color w:val="211F1F"/>
          <w:spacing w:val="-1"/>
        </w:rPr>
        <w:t xml:space="preserve"> </w:t>
      </w:r>
      <w:r>
        <w:rPr>
          <w:color w:val="211F1F"/>
          <w:spacing w:val="-4"/>
        </w:rPr>
        <w:t>means</w:t>
      </w:r>
      <w:r>
        <w:rPr>
          <w:color w:val="211F1F"/>
          <w:spacing w:val="-3"/>
        </w:rPr>
        <w:t xml:space="preserve"> </w:t>
      </w:r>
      <w:r>
        <w:rPr>
          <w:color w:val="211F1F"/>
          <w:spacing w:val="-4"/>
        </w:rPr>
        <w:t>the</w:t>
      </w:r>
      <w:r>
        <w:rPr>
          <w:color w:val="211F1F"/>
          <w:spacing w:val="-15"/>
        </w:rPr>
        <w:t xml:space="preserve"> </w:t>
      </w:r>
      <w:r>
        <w:rPr>
          <w:color w:val="211F1F"/>
          <w:spacing w:val="-4"/>
        </w:rPr>
        <w:t>priced</w:t>
      </w:r>
      <w:r>
        <w:rPr>
          <w:color w:val="211F1F"/>
          <w:spacing w:val="-15"/>
        </w:rPr>
        <w:t xml:space="preserve"> </w:t>
      </w:r>
      <w:r>
        <w:rPr>
          <w:color w:val="211F1F"/>
          <w:spacing w:val="-4"/>
        </w:rPr>
        <w:t>and</w:t>
      </w:r>
      <w:r>
        <w:rPr>
          <w:color w:val="211F1F"/>
          <w:spacing w:val="-15"/>
        </w:rPr>
        <w:t xml:space="preserve"> </w:t>
      </w:r>
      <w:r>
        <w:rPr>
          <w:color w:val="211F1F"/>
          <w:spacing w:val="-4"/>
        </w:rPr>
        <w:t>completed</w:t>
      </w:r>
      <w:r>
        <w:rPr>
          <w:color w:val="211F1F"/>
          <w:spacing w:val="-13"/>
        </w:rPr>
        <w:t xml:space="preserve"> </w:t>
      </w:r>
      <w:r>
        <w:rPr>
          <w:color w:val="211F1F"/>
          <w:spacing w:val="-4"/>
        </w:rPr>
        <w:t>Bill</w:t>
      </w:r>
      <w:r>
        <w:rPr>
          <w:color w:val="211F1F"/>
          <w:spacing w:val="-6"/>
        </w:rPr>
        <w:t xml:space="preserve"> </w:t>
      </w:r>
      <w:r>
        <w:rPr>
          <w:color w:val="211F1F"/>
          <w:spacing w:val="-4"/>
        </w:rPr>
        <w:t>of</w:t>
      </w:r>
      <w:r>
        <w:rPr>
          <w:color w:val="211F1F"/>
          <w:spacing w:val="-12"/>
        </w:rPr>
        <w:t xml:space="preserve"> </w:t>
      </w:r>
      <w:r>
        <w:rPr>
          <w:color w:val="211F1F"/>
          <w:spacing w:val="-4"/>
        </w:rPr>
        <w:t>Quantities</w:t>
      </w:r>
      <w:r>
        <w:rPr>
          <w:color w:val="211F1F"/>
          <w:spacing w:val="-6"/>
        </w:rPr>
        <w:t xml:space="preserve"> </w:t>
      </w:r>
      <w:r>
        <w:rPr>
          <w:color w:val="211F1F"/>
          <w:spacing w:val="-4"/>
        </w:rPr>
        <w:t>forming</w:t>
      </w:r>
      <w:r>
        <w:rPr>
          <w:color w:val="211F1F"/>
          <w:spacing w:val="-8"/>
        </w:rPr>
        <w:t xml:space="preserve"> </w:t>
      </w:r>
      <w:r>
        <w:rPr>
          <w:color w:val="211F1F"/>
          <w:spacing w:val="-4"/>
        </w:rPr>
        <w:t>part</w:t>
      </w:r>
      <w:r>
        <w:rPr>
          <w:color w:val="211F1F"/>
          <w:spacing w:val="-8"/>
        </w:rPr>
        <w:t xml:space="preserve"> </w:t>
      </w:r>
      <w:r>
        <w:rPr>
          <w:color w:val="211F1F"/>
          <w:spacing w:val="-4"/>
        </w:rPr>
        <w:t>of</w:t>
      </w:r>
      <w:r>
        <w:rPr>
          <w:color w:val="211F1F"/>
          <w:spacing w:val="-9"/>
        </w:rPr>
        <w:t xml:space="preserve"> </w:t>
      </w:r>
      <w:r>
        <w:rPr>
          <w:color w:val="211F1F"/>
          <w:spacing w:val="-4"/>
        </w:rPr>
        <w:t>the</w:t>
      </w:r>
      <w:r>
        <w:rPr>
          <w:color w:val="211F1F"/>
          <w:spacing w:val="-11"/>
        </w:rPr>
        <w:t xml:space="preserve"> </w:t>
      </w:r>
      <w:r>
        <w:rPr>
          <w:color w:val="211F1F"/>
          <w:spacing w:val="-4"/>
        </w:rPr>
        <w:t>Bid.</w:t>
      </w:r>
    </w:p>
    <w:p w14:paraId="69D0C06B" w14:textId="77777777" w:rsidR="00BB77C0" w:rsidRDefault="00370BAA">
      <w:pPr>
        <w:pStyle w:val="ListParagraph"/>
        <w:numPr>
          <w:ilvl w:val="0"/>
          <w:numId w:val="26"/>
        </w:numPr>
        <w:tabs>
          <w:tab w:val="left" w:pos="1599"/>
        </w:tabs>
        <w:spacing w:before="88"/>
        <w:ind w:left="1599" w:hanging="543"/>
      </w:pPr>
      <w:r>
        <w:rPr>
          <w:b/>
          <w:color w:val="211F1F"/>
          <w:spacing w:val="-2"/>
        </w:rPr>
        <w:t>Compensation</w:t>
      </w:r>
      <w:r>
        <w:rPr>
          <w:b/>
          <w:color w:val="211F1F"/>
          <w:spacing w:val="-26"/>
        </w:rPr>
        <w:t xml:space="preserve"> </w:t>
      </w:r>
      <w:r>
        <w:rPr>
          <w:b/>
          <w:color w:val="211F1F"/>
          <w:spacing w:val="-2"/>
        </w:rPr>
        <w:t>Events</w:t>
      </w:r>
      <w:r>
        <w:rPr>
          <w:b/>
          <w:color w:val="211F1F"/>
          <w:spacing w:val="-20"/>
        </w:rPr>
        <w:t xml:space="preserve"> </w:t>
      </w:r>
      <w:r>
        <w:rPr>
          <w:color w:val="211F1F"/>
          <w:spacing w:val="-2"/>
        </w:rPr>
        <w:t>are</w:t>
      </w:r>
      <w:r>
        <w:rPr>
          <w:color w:val="211F1F"/>
          <w:spacing w:val="-28"/>
        </w:rPr>
        <w:t xml:space="preserve"> </w:t>
      </w:r>
      <w:r>
        <w:rPr>
          <w:color w:val="211F1F"/>
          <w:spacing w:val="-2"/>
        </w:rPr>
        <w:t>those</w:t>
      </w:r>
      <w:r>
        <w:rPr>
          <w:color w:val="211F1F"/>
          <w:spacing w:val="-22"/>
        </w:rPr>
        <w:t xml:space="preserve"> </w:t>
      </w:r>
      <w:r>
        <w:rPr>
          <w:color w:val="211F1F"/>
          <w:spacing w:val="-2"/>
        </w:rPr>
        <w:t>defined</w:t>
      </w:r>
      <w:r>
        <w:rPr>
          <w:color w:val="211F1F"/>
          <w:spacing w:val="-20"/>
        </w:rPr>
        <w:t xml:space="preserve"> </w:t>
      </w:r>
      <w:r>
        <w:rPr>
          <w:color w:val="211F1F"/>
          <w:spacing w:val="-2"/>
        </w:rPr>
        <w:t>in</w:t>
      </w:r>
      <w:r>
        <w:rPr>
          <w:color w:val="211F1F"/>
          <w:spacing w:val="-22"/>
        </w:rPr>
        <w:t xml:space="preserve"> </w:t>
      </w:r>
      <w:r>
        <w:rPr>
          <w:color w:val="211F1F"/>
          <w:spacing w:val="-2"/>
        </w:rPr>
        <w:t>GCC</w:t>
      </w:r>
      <w:r>
        <w:rPr>
          <w:color w:val="211F1F"/>
          <w:spacing w:val="-19"/>
        </w:rPr>
        <w:t xml:space="preserve"> </w:t>
      </w:r>
      <w:r>
        <w:rPr>
          <w:color w:val="211F1F"/>
          <w:spacing w:val="-2"/>
        </w:rPr>
        <w:t>Clause</w:t>
      </w:r>
      <w:r>
        <w:rPr>
          <w:color w:val="211F1F"/>
          <w:spacing w:val="-26"/>
        </w:rPr>
        <w:t xml:space="preserve"> </w:t>
      </w:r>
      <w:r>
        <w:rPr>
          <w:color w:val="211F1F"/>
          <w:spacing w:val="-2"/>
        </w:rPr>
        <w:t>42</w:t>
      </w:r>
      <w:r>
        <w:rPr>
          <w:color w:val="211F1F"/>
          <w:spacing w:val="-16"/>
        </w:rPr>
        <w:t xml:space="preserve"> </w:t>
      </w:r>
      <w:r>
        <w:rPr>
          <w:color w:val="211F1F"/>
          <w:spacing w:val="-2"/>
        </w:rPr>
        <w:t>hereunder.</w:t>
      </w:r>
    </w:p>
    <w:p w14:paraId="0872AB7B" w14:textId="77777777" w:rsidR="00BB77C0" w:rsidRDefault="00370BAA">
      <w:pPr>
        <w:pStyle w:val="ListParagraph"/>
        <w:numPr>
          <w:ilvl w:val="0"/>
          <w:numId w:val="26"/>
        </w:numPr>
        <w:tabs>
          <w:tab w:val="left" w:pos="1599"/>
          <w:tab w:val="left" w:pos="1608"/>
        </w:tabs>
        <w:spacing w:before="88"/>
        <w:ind w:left="1608" w:right="1183" w:hanging="553"/>
      </w:pPr>
      <w:r>
        <w:rPr>
          <w:b/>
          <w:color w:val="211F1F"/>
        </w:rPr>
        <w:t>The</w:t>
      </w:r>
      <w:r>
        <w:rPr>
          <w:b/>
          <w:color w:val="211F1F"/>
          <w:spacing w:val="-9"/>
        </w:rPr>
        <w:t xml:space="preserve"> </w:t>
      </w:r>
      <w:r>
        <w:rPr>
          <w:b/>
          <w:color w:val="211F1F"/>
        </w:rPr>
        <w:t>Completion</w:t>
      </w:r>
      <w:r>
        <w:rPr>
          <w:b/>
          <w:color w:val="211F1F"/>
          <w:spacing w:val="-12"/>
        </w:rPr>
        <w:t xml:space="preserve"> </w:t>
      </w:r>
      <w:r>
        <w:rPr>
          <w:b/>
          <w:color w:val="211F1F"/>
        </w:rPr>
        <w:t>Date</w:t>
      </w:r>
      <w:r>
        <w:rPr>
          <w:b/>
          <w:color w:val="211F1F"/>
          <w:spacing w:val="-8"/>
        </w:rPr>
        <w:t xml:space="preserve"> </w:t>
      </w:r>
      <w:r>
        <w:rPr>
          <w:color w:val="211F1F"/>
        </w:rPr>
        <w:t>is</w:t>
      </w:r>
      <w:r>
        <w:rPr>
          <w:color w:val="211F1F"/>
          <w:spacing w:val="-5"/>
        </w:rPr>
        <w:t xml:space="preserve"> </w:t>
      </w:r>
      <w:r>
        <w:rPr>
          <w:color w:val="211F1F"/>
        </w:rPr>
        <w:t>the</w:t>
      </w:r>
      <w:r>
        <w:rPr>
          <w:color w:val="211F1F"/>
          <w:spacing w:val="-8"/>
        </w:rPr>
        <w:t xml:space="preserve"> </w:t>
      </w:r>
      <w:r>
        <w:rPr>
          <w:color w:val="211F1F"/>
        </w:rPr>
        <w:t>date</w:t>
      </w:r>
      <w:r>
        <w:rPr>
          <w:color w:val="211F1F"/>
          <w:spacing w:val="-7"/>
        </w:rPr>
        <w:t xml:space="preserve"> </w:t>
      </w:r>
      <w:r>
        <w:rPr>
          <w:color w:val="211F1F"/>
        </w:rPr>
        <w:t>of</w:t>
      </w:r>
      <w:r>
        <w:rPr>
          <w:color w:val="211F1F"/>
          <w:spacing w:val="-7"/>
        </w:rPr>
        <w:t xml:space="preserve"> </w:t>
      </w:r>
      <w:r>
        <w:rPr>
          <w:color w:val="211F1F"/>
        </w:rPr>
        <w:t>completion</w:t>
      </w:r>
      <w:r>
        <w:rPr>
          <w:color w:val="211F1F"/>
          <w:spacing w:val="-4"/>
        </w:rPr>
        <w:t xml:space="preserve"> </w:t>
      </w:r>
      <w:r>
        <w:rPr>
          <w:color w:val="211F1F"/>
        </w:rPr>
        <w:t>of</w:t>
      </w:r>
      <w:r>
        <w:rPr>
          <w:color w:val="211F1F"/>
          <w:spacing w:val="-7"/>
        </w:rPr>
        <w:t xml:space="preserve"> </w:t>
      </w:r>
      <w:r>
        <w:rPr>
          <w:color w:val="211F1F"/>
        </w:rPr>
        <w:t>the</w:t>
      </w:r>
      <w:r>
        <w:rPr>
          <w:color w:val="211F1F"/>
          <w:spacing w:val="-12"/>
        </w:rPr>
        <w:t xml:space="preserve"> </w:t>
      </w:r>
      <w:r>
        <w:rPr>
          <w:color w:val="211F1F"/>
        </w:rPr>
        <w:t>Works</w:t>
      </w:r>
      <w:r>
        <w:rPr>
          <w:color w:val="211F1F"/>
          <w:spacing w:val="-14"/>
        </w:rPr>
        <w:t xml:space="preserve"> </w:t>
      </w:r>
      <w:r>
        <w:rPr>
          <w:color w:val="211F1F"/>
        </w:rPr>
        <w:t>as</w:t>
      </w:r>
      <w:r>
        <w:rPr>
          <w:color w:val="211F1F"/>
          <w:spacing w:val="-5"/>
        </w:rPr>
        <w:t xml:space="preserve"> </w:t>
      </w:r>
      <w:r>
        <w:rPr>
          <w:color w:val="211F1F"/>
        </w:rPr>
        <w:t>certified</w:t>
      </w:r>
      <w:r>
        <w:rPr>
          <w:color w:val="211F1F"/>
          <w:spacing w:val="-9"/>
        </w:rPr>
        <w:t xml:space="preserve"> </w:t>
      </w:r>
      <w:r>
        <w:rPr>
          <w:color w:val="211F1F"/>
        </w:rPr>
        <w:t>by</w:t>
      </w:r>
      <w:r>
        <w:rPr>
          <w:color w:val="211F1F"/>
          <w:spacing w:val="-10"/>
        </w:rPr>
        <w:t xml:space="preserve"> </w:t>
      </w:r>
      <w:r>
        <w:rPr>
          <w:color w:val="211F1F"/>
        </w:rPr>
        <w:t>the</w:t>
      </w:r>
      <w:r>
        <w:rPr>
          <w:color w:val="211F1F"/>
          <w:spacing w:val="-12"/>
        </w:rPr>
        <w:t xml:space="preserve"> </w:t>
      </w:r>
      <w:r>
        <w:rPr>
          <w:color w:val="211F1F"/>
        </w:rPr>
        <w:t>Project</w:t>
      </w:r>
      <w:r>
        <w:rPr>
          <w:color w:val="211F1F"/>
          <w:spacing w:val="-4"/>
        </w:rPr>
        <w:t xml:space="preserve"> </w:t>
      </w:r>
      <w:r>
        <w:rPr>
          <w:color w:val="211F1F"/>
        </w:rPr>
        <w:t>Manager,</w:t>
      </w:r>
      <w:r>
        <w:rPr>
          <w:color w:val="211F1F"/>
          <w:spacing w:val="-7"/>
        </w:rPr>
        <w:t xml:space="preserve"> </w:t>
      </w:r>
      <w:r>
        <w:rPr>
          <w:color w:val="211F1F"/>
        </w:rPr>
        <w:t>in accordance with GCC Sub-Clause 53.1.</w:t>
      </w:r>
    </w:p>
    <w:p w14:paraId="322942A9" w14:textId="77777777" w:rsidR="00BB77C0" w:rsidRDefault="00370BAA">
      <w:pPr>
        <w:pStyle w:val="ListParagraph"/>
        <w:numPr>
          <w:ilvl w:val="0"/>
          <w:numId w:val="26"/>
        </w:numPr>
        <w:tabs>
          <w:tab w:val="left" w:pos="1599"/>
          <w:tab w:val="left" w:pos="1608"/>
        </w:tabs>
        <w:spacing w:before="86" w:line="232" w:lineRule="auto"/>
        <w:ind w:left="1608" w:right="901" w:hanging="553"/>
      </w:pPr>
      <w:r>
        <w:rPr>
          <w:b/>
          <w:color w:val="211F1F"/>
        </w:rPr>
        <w:t>The</w:t>
      </w:r>
      <w:r>
        <w:rPr>
          <w:b/>
          <w:color w:val="211F1F"/>
          <w:spacing w:val="-14"/>
        </w:rPr>
        <w:t xml:space="preserve"> </w:t>
      </w:r>
      <w:r>
        <w:rPr>
          <w:b/>
          <w:color w:val="211F1F"/>
        </w:rPr>
        <w:t>Contract</w:t>
      </w:r>
      <w:r>
        <w:rPr>
          <w:b/>
          <w:color w:val="211F1F"/>
          <w:spacing w:val="-14"/>
        </w:rPr>
        <w:t xml:space="preserve"> </w:t>
      </w:r>
      <w:r>
        <w:rPr>
          <w:color w:val="211F1F"/>
        </w:rPr>
        <w:t>is</w:t>
      </w:r>
      <w:r>
        <w:rPr>
          <w:color w:val="211F1F"/>
          <w:spacing w:val="-14"/>
        </w:rPr>
        <w:t xml:space="preserve"> </w:t>
      </w:r>
      <w:r>
        <w:rPr>
          <w:color w:val="211F1F"/>
        </w:rPr>
        <w:t>the</w:t>
      </w:r>
      <w:r>
        <w:rPr>
          <w:color w:val="211F1F"/>
          <w:spacing w:val="-14"/>
        </w:rPr>
        <w:t xml:space="preserve"> </w:t>
      </w:r>
      <w:r>
        <w:rPr>
          <w:color w:val="211F1F"/>
        </w:rPr>
        <w:t>Contract</w:t>
      </w:r>
      <w:r>
        <w:rPr>
          <w:color w:val="211F1F"/>
          <w:spacing w:val="-13"/>
        </w:rPr>
        <w:t xml:space="preserve"> </w:t>
      </w:r>
      <w:r>
        <w:rPr>
          <w:color w:val="211F1F"/>
        </w:rPr>
        <w:t>between</w:t>
      </w:r>
      <w:r>
        <w:rPr>
          <w:color w:val="211F1F"/>
          <w:spacing w:val="-17"/>
        </w:rPr>
        <w:t xml:space="preserve"> </w:t>
      </w:r>
      <w:r>
        <w:rPr>
          <w:color w:val="211F1F"/>
        </w:rPr>
        <w:t>the</w:t>
      </w:r>
      <w:r>
        <w:rPr>
          <w:color w:val="211F1F"/>
          <w:spacing w:val="-14"/>
        </w:rPr>
        <w:t xml:space="preserve"> </w:t>
      </w:r>
      <w:r>
        <w:rPr>
          <w:color w:val="211F1F"/>
        </w:rPr>
        <w:t>Procuring</w:t>
      </w:r>
      <w:r>
        <w:rPr>
          <w:color w:val="211F1F"/>
          <w:spacing w:val="-14"/>
        </w:rPr>
        <w:t xml:space="preserve"> </w:t>
      </w:r>
      <w:r>
        <w:rPr>
          <w:color w:val="211F1F"/>
        </w:rPr>
        <w:t>Entity</w:t>
      </w:r>
      <w:r>
        <w:rPr>
          <w:color w:val="211F1F"/>
          <w:spacing w:val="-14"/>
        </w:rPr>
        <w:t xml:space="preserve"> </w:t>
      </w:r>
      <w:r>
        <w:rPr>
          <w:color w:val="211F1F"/>
        </w:rPr>
        <w:t>and</w:t>
      </w:r>
      <w:r>
        <w:rPr>
          <w:color w:val="211F1F"/>
          <w:spacing w:val="-17"/>
        </w:rPr>
        <w:t xml:space="preserve"> </w:t>
      </w:r>
      <w:r>
        <w:rPr>
          <w:color w:val="211F1F"/>
        </w:rPr>
        <w:t>the</w:t>
      </w:r>
      <w:r>
        <w:rPr>
          <w:color w:val="211F1F"/>
          <w:spacing w:val="-14"/>
        </w:rPr>
        <w:t xml:space="preserve"> </w:t>
      </w:r>
      <w:r>
        <w:rPr>
          <w:color w:val="211F1F"/>
        </w:rPr>
        <w:t>Contractor</w:t>
      </w:r>
      <w:r>
        <w:rPr>
          <w:color w:val="211F1F"/>
          <w:spacing w:val="-12"/>
        </w:rPr>
        <w:t xml:space="preserve"> </w:t>
      </w:r>
      <w:r>
        <w:rPr>
          <w:color w:val="211F1F"/>
        </w:rPr>
        <w:t>to</w:t>
      </w:r>
      <w:r>
        <w:rPr>
          <w:color w:val="211F1F"/>
          <w:spacing w:val="-14"/>
        </w:rPr>
        <w:t xml:space="preserve"> </w:t>
      </w:r>
      <w:r>
        <w:rPr>
          <w:color w:val="211F1F"/>
        </w:rPr>
        <w:t>execute,</w:t>
      </w:r>
      <w:r>
        <w:rPr>
          <w:color w:val="211F1F"/>
          <w:spacing w:val="-7"/>
        </w:rPr>
        <w:t xml:space="preserve"> </w:t>
      </w:r>
      <w:r>
        <w:rPr>
          <w:color w:val="211F1F"/>
        </w:rPr>
        <w:t>complete,</w:t>
      </w:r>
      <w:r>
        <w:rPr>
          <w:color w:val="211F1F"/>
          <w:spacing w:val="-8"/>
        </w:rPr>
        <w:t xml:space="preserve"> </w:t>
      </w:r>
      <w:r>
        <w:rPr>
          <w:color w:val="211F1F"/>
        </w:rPr>
        <w:t>and maintain</w:t>
      </w:r>
      <w:r>
        <w:rPr>
          <w:color w:val="211F1F"/>
          <w:spacing w:val="-7"/>
        </w:rPr>
        <w:t xml:space="preserve"> </w:t>
      </w:r>
      <w:r>
        <w:rPr>
          <w:color w:val="211F1F"/>
        </w:rPr>
        <w:t>the</w:t>
      </w:r>
      <w:r>
        <w:rPr>
          <w:color w:val="211F1F"/>
          <w:spacing w:val="-16"/>
        </w:rPr>
        <w:t xml:space="preserve"> </w:t>
      </w:r>
      <w:r>
        <w:rPr>
          <w:color w:val="211F1F"/>
        </w:rPr>
        <w:t>Works.</w:t>
      </w:r>
      <w:r>
        <w:rPr>
          <w:color w:val="211F1F"/>
          <w:spacing w:val="-5"/>
        </w:rPr>
        <w:t xml:space="preserve"> </w:t>
      </w:r>
      <w:r>
        <w:rPr>
          <w:color w:val="211F1F"/>
        </w:rPr>
        <w:t>It</w:t>
      </w:r>
      <w:r>
        <w:rPr>
          <w:color w:val="211F1F"/>
          <w:spacing w:val="-1"/>
        </w:rPr>
        <w:t xml:space="preserve"> </w:t>
      </w:r>
      <w:r>
        <w:rPr>
          <w:color w:val="211F1F"/>
        </w:rPr>
        <w:t>consists</w:t>
      </w:r>
      <w:r>
        <w:rPr>
          <w:color w:val="211F1F"/>
          <w:spacing w:val="-1"/>
        </w:rPr>
        <w:t xml:space="preserve"> </w:t>
      </w:r>
      <w:r>
        <w:rPr>
          <w:color w:val="211F1F"/>
        </w:rPr>
        <w:t>of</w:t>
      </w:r>
      <w:r>
        <w:rPr>
          <w:color w:val="211F1F"/>
          <w:spacing w:val="-5"/>
        </w:rPr>
        <w:t xml:space="preserve"> </w:t>
      </w:r>
      <w:r>
        <w:rPr>
          <w:color w:val="211F1F"/>
        </w:rPr>
        <w:t>the</w:t>
      </w:r>
      <w:r>
        <w:rPr>
          <w:color w:val="211F1F"/>
          <w:spacing w:val="-5"/>
        </w:rPr>
        <w:t xml:space="preserve"> </w:t>
      </w:r>
      <w:r>
        <w:rPr>
          <w:color w:val="211F1F"/>
        </w:rPr>
        <w:t>documents</w:t>
      </w:r>
      <w:r>
        <w:rPr>
          <w:color w:val="211F1F"/>
          <w:spacing w:val="-1"/>
        </w:rPr>
        <w:t xml:space="preserve"> </w:t>
      </w:r>
      <w:r>
        <w:rPr>
          <w:color w:val="211F1F"/>
        </w:rPr>
        <w:t>listed</w:t>
      </w:r>
      <w:r>
        <w:rPr>
          <w:color w:val="211F1F"/>
          <w:spacing w:val="-7"/>
        </w:rPr>
        <w:t xml:space="preserve"> </w:t>
      </w:r>
      <w:r>
        <w:rPr>
          <w:color w:val="211F1F"/>
        </w:rPr>
        <w:t>in</w:t>
      </w:r>
      <w:r>
        <w:rPr>
          <w:color w:val="211F1F"/>
          <w:spacing w:val="-15"/>
        </w:rPr>
        <w:t xml:space="preserve"> </w:t>
      </w:r>
      <w:r>
        <w:rPr>
          <w:color w:val="211F1F"/>
        </w:rPr>
        <w:t>GCC</w:t>
      </w:r>
      <w:r>
        <w:rPr>
          <w:color w:val="211F1F"/>
          <w:spacing w:val="-1"/>
        </w:rPr>
        <w:t xml:space="preserve"> </w:t>
      </w:r>
      <w:r>
        <w:rPr>
          <w:color w:val="211F1F"/>
        </w:rPr>
        <w:t>Sub-Clause</w:t>
      </w:r>
      <w:r>
        <w:rPr>
          <w:color w:val="211F1F"/>
          <w:spacing w:val="-10"/>
        </w:rPr>
        <w:t xml:space="preserve"> </w:t>
      </w:r>
      <w:r>
        <w:rPr>
          <w:color w:val="211F1F"/>
        </w:rPr>
        <w:t>2.3</w:t>
      </w:r>
      <w:r>
        <w:rPr>
          <w:color w:val="211F1F"/>
          <w:spacing w:val="-8"/>
        </w:rPr>
        <w:t xml:space="preserve"> </w:t>
      </w:r>
      <w:r>
        <w:rPr>
          <w:color w:val="211F1F"/>
        </w:rPr>
        <w:t>below.</w:t>
      </w:r>
    </w:p>
    <w:p w14:paraId="73EF10FA" w14:textId="77777777" w:rsidR="00BB77C0" w:rsidRDefault="00370BAA">
      <w:pPr>
        <w:pStyle w:val="ListParagraph"/>
        <w:numPr>
          <w:ilvl w:val="0"/>
          <w:numId w:val="26"/>
        </w:numPr>
        <w:tabs>
          <w:tab w:val="left" w:pos="1599"/>
        </w:tabs>
        <w:spacing w:before="89"/>
        <w:ind w:left="1599" w:hanging="538"/>
      </w:pPr>
      <w:r>
        <w:rPr>
          <w:b/>
          <w:color w:val="211F1F"/>
          <w:spacing w:val="-2"/>
        </w:rPr>
        <w:t>The</w:t>
      </w:r>
      <w:r>
        <w:rPr>
          <w:b/>
          <w:color w:val="211F1F"/>
          <w:spacing w:val="-21"/>
        </w:rPr>
        <w:t xml:space="preserve"> </w:t>
      </w:r>
      <w:r>
        <w:rPr>
          <w:b/>
          <w:color w:val="211F1F"/>
          <w:spacing w:val="-2"/>
        </w:rPr>
        <w:t>Contractor</w:t>
      </w:r>
      <w:r>
        <w:rPr>
          <w:b/>
          <w:color w:val="211F1F"/>
          <w:spacing w:val="-19"/>
        </w:rPr>
        <w:t xml:space="preserve"> </w:t>
      </w:r>
      <w:r>
        <w:rPr>
          <w:color w:val="211F1F"/>
          <w:spacing w:val="-2"/>
        </w:rPr>
        <w:t>is</w:t>
      </w:r>
      <w:r>
        <w:rPr>
          <w:color w:val="211F1F"/>
          <w:spacing w:val="-21"/>
        </w:rPr>
        <w:t xml:space="preserve"> </w:t>
      </w:r>
      <w:r>
        <w:rPr>
          <w:color w:val="211F1F"/>
          <w:spacing w:val="-2"/>
        </w:rPr>
        <w:t>the</w:t>
      </w:r>
      <w:r>
        <w:rPr>
          <w:color w:val="211F1F"/>
          <w:spacing w:val="-24"/>
        </w:rPr>
        <w:t xml:space="preserve"> </w:t>
      </w:r>
      <w:r>
        <w:rPr>
          <w:color w:val="211F1F"/>
          <w:spacing w:val="-2"/>
        </w:rPr>
        <w:t>party</w:t>
      </w:r>
      <w:r>
        <w:rPr>
          <w:color w:val="211F1F"/>
          <w:spacing w:val="-21"/>
        </w:rPr>
        <w:t xml:space="preserve"> </w:t>
      </w:r>
      <w:r>
        <w:rPr>
          <w:color w:val="211F1F"/>
          <w:spacing w:val="-2"/>
        </w:rPr>
        <w:t>whose</w:t>
      </w:r>
      <w:r>
        <w:rPr>
          <w:color w:val="211F1F"/>
          <w:spacing w:val="-18"/>
        </w:rPr>
        <w:t xml:space="preserve"> </w:t>
      </w:r>
      <w:r>
        <w:rPr>
          <w:color w:val="211F1F"/>
          <w:spacing w:val="-2"/>
        </w:rPr>
        <w:t>Bid</w:t>
      </w:r>
      <w:r>
        <w:rPr>
          <w:color w:val="211F1F"/>
          <w:spacing w:val="-22"/>
        </w:rPr>
        <w:t xml:space="preserve"> </w:t>
      </w:r>
      <w:r>
        <w:rPr>
          <w:color w:val="211F1F"/>
          <w:spacing w:val="-2"/>
        </w:rPr>
        <w:t>to</w:t>
      </w:r>
      <w:r>
        <w:rPr>
          <w:color w:val="211F1F"/>
          <w:spacing w:val="-21"/>
        </w:rPr>
        <w:t xml:space="preserve"> </w:t>
      </w:r>
      <w:r>
        <w:rPr>
          <w:color w:val="211F1F"/>
          <w:spacing w:val="-2"/>
        </w:rPr>
        <w:t>carry</w:t>
      </w:r>
      <w:r>
        <w:rPr>
          <w:color w:val="211F1F"/>
          <w:spacing w:val="-22"/>
        </w:rPr>
        <w:t xml:space="preserve"> </w:t>
      </w:r>
      <w:r>
        <w:rPr>
          <w:color w:val="211F1F"/>
          <w:spacing w:val="-2"/>
        </w:rPr>
        <w:t>out</w:t>
      </w:r>
      <w:r>
        <w:rPr>
          <w:color w:val="211F1F"/>
          <w:spacing w:val="-21"/>
        </w:rPr>
        <w:t xml:space="preserve"> </w:t>
      </w:r>
      <w:r>
        <w:rPr>
          <w:color w:val="211F1F"/>
          <w:spacing w:val="-2"/>
        </w:rPr>
        <w:t>the</w:t>
      </w:r>
      <w:r>
        <w:rPr>
          <w:color w:val="211F1F"/>
          <w:spacing w:val="-28"/>
        </w:rPr>
        <w:t xml:space="preserve"> </w:t>
      </w:r>
      <w:r>
        <w:rPr>
          <w:color w:val="211F1F"/>
          <w:spacing w:val="-2"/>
        </w:rPr>
        <w:t>Works</w:t>
      </w:r>
      <w:r>
        <w:rPr>
          <w:color w:val="211F1F"/>
          <w:spacing w:val="-20"/>
        </w:rPr>
        <w:t xml:space="preserve"> </w:t>
      </w:r>
      <w:r>
        <w:rPr>
          <w:color w:val="211F1F"/>
          <w:spacing w:val="-2"/>
        </w:rPr>
        <w:t>has</w:t>
      </w:r>
      <w:r>
        <w:rPr>
          <w:color w:val="211F1F"/>
          <w:spacing w:val="-17"/>
        </w:rPr>
        <w:t xml:space="preserve"> </w:t>
      </w:r>
      <w:r>
        <w:rPr>
          <w:color w:val="211F1F"/>
          <w:spacing w:val="-2"/>
        </w:rPr>
        <w:t>been</w:t>
      </w:r>
      <w:r>
        <w:rPr>
          <w:color w:val="211F1F"/>
          <w:spacing w:val="-21"/>
        </w:rPr>
        <w:t xml:space="preserve"> </w:t>
      </w:r>
      <w:r>
        <w:rPr>
          <w:color w:val="211F1F"/>
          <w:spacing w:val="-2"/>
        </w:rPr>
        <w:t>accepted</w:t>
      </w:r>
      <w:r>
        <w:rPr>
          <w:color w:val="211F1F"/>
          <w:spacing w:val="-22"/>
        </w:rPr>
        <w:t xml:space="preserve"> </w:t>
      </w:r>
      <w:r>
        <w:rPr>
          <w:color w:val="211F1F"/>
          <w:spacing w:val="-2"/>
        </w:rPr>
        <w:t>by</w:t>
      </w:r>
      <w:r>
        <w:rPr>
          <w:color w:val="211F1F"/>
          <w:spacing w:val="-21"/>
        </w:rPr>
        <w:t xml:space="preserve"> </w:t>
      </w:r>
      <w:r>
        <w:rPr>
          <w:color w:val="211F1F"/>
          <w:spacing w:val="-2"/>
        </w:rPr>
        <w:t>the</w:t>
      </w:r>
      <w:r>
        <w:rPr>
          <w:color w:val="211F1F"/>
          <w:spacing w:val="-24"/>
        </w:rPr>
        <w:t xml:space="preserve"> </w:t>
      </w:r>
      <w:r>
        <w:rPr>
          <w:color w:val="211F1F"/>
          <w:spacing w:val="-2"/>
        </w:rPr>
        <w:t>Procuring</w:t>
      </w:r>
      <w:r>
        <w:rPr>
          <w:color w:val="211F1F"/>
          <w:spacing w:val="-20"/>
        </w:rPr>
        <w:t xml:space="preserve"> </w:t>
      </w:r>
      <w:r>
        <w:rPr>
          <w:color w:val="211F1F"/>
          <w:spacing w:val="-2"/>
        </w:rPr>
        <w:t>Entity.</w:t>
      </w:r>
    </w:p>
    <w:p w14:paraId="356B40E1" w14:textId="77777777" w:rsidR="00BB77C0" w:rsidRDefault="00370BAA">
      <w:pPr>
        <w:pStyle w:val="ListParagraph"/>
        <w:numPr>
          <w:ilvl w:val="0"/>
          <w:numId w:val="26"/>
        </w:numPr>
        <w:tabs>
          <w:tab w:val="left" w:pos="1599"/>
          <w:tab w:val="left" w:pos="1608"/>
        </w:tabs>
        <w:spacing w:before="98" w:line="228" w:lineRule="auto"/>
        <w:ind w:left="1608" w:right="906" w:hanging="553"/>
      </w:pPr>
      <w:r>
        <w:rPr>
          <w:b/>
          <w:color w:val="211F1F"/>
        </w:rPr>
        <w:t>The</w:t>
      </w:r>
      <w:r>
        <w:rPr>
          <w:b/>
          <w:color w:val="211F1F"/>
          <w:spacing w:val="-10"/>
        </w:rPr>
        <w:t xml:space="preserve"> </w:t>
      </w:r>
      <w:r>
        <w:rPr>
          <w:b/>
          <w:color w:val="211F1F"/>
        </w:rPr>
        <w:t>Contractor's</w:t>
      </w:r>
      <w:r>
        <w:rPr>
          <w:b/>
          <w:color w:val="211F1F"/>
          <w:spacing w:val="-5"/>
        </w:rPr>
        <w:t xml:space="preserve"> </w:t>
      </w:r>
      <w:r>
        <w:rPr>
          <w:b/>
          <w:color w:val="211F1F"/>
        </w:rPr>
        <w:t>Bid</w:t>
      </w:r>
      <w:r>
        <w:rPr>
          <w:b/>
          <w:color w:val="211F1F"/>
          <w:spacing w:val="-9"/>
        </w:rPr>
        <w:t xml:space="preserve"> </w:t>
      </w:r>
      <w:r>
        <w:rPr>
          <w:color w:val="211F1F"/>
        </w:rPr>
        <w:t>is</w:t>
      </w:r>
      <w:r>
        <w:rPr>
          <w:color w:val="211F1F"/>
          <w:spacing w:val="-6"/>
        </w:rPr>
        <w:t xml:space="preserve"> </w:t>
      </w:r>
      <w:r>
        <w:rPr>
          <w:color w:val="211F1F"/>
        </w:rPr>
        <w:t>the</w:t>
      </w:r>
      <w:r>
        <w:rPr>
          <w:color w:val="211F1F"/>
          <w:spacing w:val="-12"/>
        </w:rPr>
        <w:t xml:space="preserve"> </w:t>
      </w:r>
      <w:r>
        <w:rPr>
          <w:color w:val="211F1F"/>
        </w:rPr>
        <w:t>completed</w:t>
      </w:r>
      <w:r>
        <w:rPr>
          <w:color w:val="211F1F"/>
          <w:spacing w:val="-10"/>
        </w:rPr>
        <w:t xml:space="preserve"> </w:t>
      </w:r>
      <w:r>
        <w:rPr>
          <w:color w:val="211F1F"/>
        </w:rPr>
        <w:t>bidding</w:t>
      </w:r>
      <w:r>
        <w:rPr>
          <w:color w:val="211F1F"/>
          <w:spacing w:val="-11"/>
        </w:rPr>
        <w:t xml:space="preserve"> </w:t>
      </w:r>
      <w:r>
        <w:rPr>
          <w:color w:val="211F1F"/>
        </w:rPr>
        <w:t>document</w:t>
      </w:r>
      <w:r>
        <w:rPr>
          <w:color w:val="211F1F"/>
          <w:spacing w:val="-5"/>
        </w:rPr>
        <w:t xml:space="preserve"> </w:t>
      </w:r>
      <w:r>
        <w:rPr>
          <w:color w:val="211F1F"/>
        </w:rPr>
        <w:t>submitted</w:t>
      </w:r>
      <w:r>
        <w:rPr>
          <w:color w:val="211F1F"/>
          <w:spacing w:val="-10"/>
        </w:rPr>
        <w:t xml:space="preserve"> </w:t>
      </w:r>
      <w:r>
        <w:rPr>
          <w:color w:val="211F1F"/>
        </w:rPr>
        <w:t>by</w:t>
      </w:r>
      <w:r>
        <w:rPr>
          <w:color w:val="211F1F"/>
          <w:spacing w:val="-14"/>
        </w:rPr>
        <w:t xml:space="preserve"> </w:t>
      </w:r>
      <w:r>
        <w:rPr>
          <w:color w:val="211F1F"/>
        </w:rPr>
        <w:t>the</w:t>
      </w:r>
      <w:r>
        <w:rPr>
          <w:color w:val="211F1F"/>
          <w:spacing w:val="-12"/>
        </w:rPr>
        <w:t xml:space="preserve"> </w:t>
      </w:r>
      <w:r>
        <w:rPr>
          <w:color w:val="211F1F"/>
        </w:rPr>
        <w:t>Contractor</w:t>
      </w:r>
      <w:r>
        <w:rPr>
          <w:color w:val="211F1F"/>
          <w:spacing w:val="-7"/>
        </w:rPr>
        <w:t xml:space="preserve"> </w:t>
      </w:r>
      <w:r>
        <w:rPr>
          <w:color w:val="211F1F"/>
        </w:rPr>
        <w:t>to</w:t>
      </w:r>
      <w:r>
        <w:rPr>
          <w:color w:val="211F1F"/>
          <w:spacing w:val="-11"/>
        </w:rPr>
        <w:t xml:space="preserve"> </w:t>
      </w:r>
      <w:r>
        <w:rPr>
          <w:color w:val="211F1F"/>
        </w:rPr>
        <w:t>the</w:t>
      </w:r>
      <w:r>
        <w:rPr>
          <w:color w:val="211F1F"/>
          <w:spacing w:val="-12"/>
        </w:rPr>
        <w:t xml:space="preserve"> </w:t>
      </w:r>
      <w:r>
        <w:rPr>
          <w:color w:val="211F1F"/>
        </w:rPr>
        <w:t xml:space="preserve">Procuring </w:t>
      </w:r>
      <w:r>
        <w:rPr>
          <w:color w:val="211F1F"/>
          <w:spacing w:val="-2"/>
        </w:rPr>
        <w:t>Entity.</w:t>
      </w:r>
    </w:p>
    <w:p w14:paraId="6EA4CD87" w14:textId="77777777" w:rsidR="00BB77C0" w:rsidRDefault="00370BAA">
      <w:pPr>
        <w:pStyle w:val="ListParagraph"/>
        <w:numPr>
          <w:ilvl w:val="0"/>
          <w:numId w:val="26"/>
        </w:numPr>
        <w:tabs>
          <w:tab w:val="left" w:pos="1599"/>
          <w:tab w:val="left" w:pos="1608"/>
        </w:tabs>
        <w:spacing w:before="100" w:line="228" w:lineRule="auto"/>
        <w:ind w:left="1608" w:right="887" w:hanging="553"/>
      </w:pPr>
      <w:r>
        <w:rPr>
          <w:b/>
          <w:color w:val="211F1F"/>
        </w:rPr>
        <w:t>The</w:t>
      </w:r>
      <w:r>
        <w:rPr>
          <w:b/>
          <w:color w:val="211F1F"/>
          <w:spacing w:val="-14"/>
        </w:rPr>
        <w:t xml:space="preserve"> </w:t>
      </w:r>
      <w:r>
        <w:rPr>
          <w:b/>
          <w:color w:val="211F1F"/>
        </w:rPr>
        <w:t>Contract</w:t>
      </w:r>
      <w:r>
        <w:rPr>
          <w:b/>
          <w:color w:val="211F1F"/>
          <w:spacing w:val="-14"/>
        </w:rPr>
        <w:t xml:space="preserve"> </w:t>
      </w:r>
      <w:r>
        <w:rPr>
          <w:b/>
          <w:color w:val="211F1F"/>
        </w:rPr>
        <w:t>Price</w:t>
      </w:r>
      <w:r>
        <w:rPr>
          <w:b/>
          <w:color w:val="211F1F"/>
          <w:spacing w:val="-19"/>
        </w:rPr>
        <w:t xml:space="preserve"> </w:t>
      </w:r>
      <w:r>
        <w:rPr>
          <w:color w:val="211F1F"/>
        </w:rPr>
        <w:t>is</w:t>
      </w:r>
      <w:r>
        <w:rPr>
          <w:color w:val="211F1F"/>
          <w:spacing w:val="-14"/>
        </w:rPr>
        <w:t xml:space="preserve"> </w:t>
      </w:r>
      <w:r>
        <w:rPr>
          <w:color w:val="211F1F"/>
        </w:rPr>
        <w:t>the</w:t>
      </w:r>
      <w:r>
        <w:rPr>
          <w:color w:val="211F1F"/>
          <w:spacing w:val="-28"/>
        </w:rPr>
        <w:t xml:space="preserve"> </w:t>
      </w:r>
      <w:r>
        <w:rPr>
          <w:color w:val="211F1F"/>
        </w:rPr>
        <w:t>Accepted</w:t>
      </w:r>
      <w:r>
        <w:rPr>
          <w:color w:val="211F1F"/>
          <w:spacing w:val="-17"/>
        </w:rPr>
        <w:t xml:space="preserve"> </w:t>
      </w:r>
      <w:r>
        <w:rPr>
          <w:color w:val="211F1F"/>
        </w:rPr>
        <w:t>Contract</w:t>
      </w:r>
      <w:r>
        <w:rPr>
          <w:color w:val="211F1F"/>
          <w:spacing w:val="-24"/>
        </w:rPr>
        <w:t xml:space="preserve"> </w:t>
      </w:r>
      <w:r>
        <w:rPr>
          <w:color w:val="211F1F"/>
        </w:rPr>
        <w:t>Amount</w:t>
      </w:r>
      <w:r>
        <w:rPr>
          <w:color w:val="211F1F"/>
          <w:spacing w:val="-14"/>
        </w:rPr>
        <w:t xml:space="preserve"> </w:t>
      </w:r>
      <w:r>
        <w:rPr>
          <w:color w:val="211F1F"/>
        </w:rPr>
        <w:t>stated</w:t>
      </w:r>
      <w:r>
        <w:rPr>
          <w:color w:val="211F1F"/>
          <w:spacing w:val="-17"/>
        </w:rPr>
        <w:t xml:space="preserve"> </w:t>
      </w:r>
      <w:r>
        <w:rPr>
          <w:color w:val="211F1F"/>
        </w:rPr>
        <w:t>in</w:t>
      </w:r>
      <w:r>
        <w:rPr>
          <w:color w:val="211F1F"/>
          <w:spacing w:val="-17"/>
        </w:rPr>
        <w:t xml:space="preserve"> </w:t>
      </w:r>
      <w:r>
        <w:rPr>
          <w:color w:val="211F1F"/>
        </w:rPr>
        <w:t>the</w:t>
      </w:r>
      <w:r>
        <w:rPr>
          <w:color w:val="211F1F"/>
          <w:spacing w:val="-19"/>
        </w:rPr>
        <w:t xml:space="preserve"> </w:t>
      </w:r>
      <w:r>
        <w:rPr>
          <w:color w:val="211F1F"/>
        </w:rPr>
        <w:t>Letter</w:t>
      </w:r>
      <w:r>
        <w:rPr>
          <w:color w:val="211F1F"/>
          <w:spacing w:val="-13"/>
        </w:rPr>
        <w:t xml:space="preserve"> </w:t>
      </w:r>
      <w:r>
        <w:rPr>
          <w:color w:val="211F1F"/>
        </w:rPr>
        <w:t>of</w:t>
      </w:r>
      <w:r>
        <w:rPr>
          <w:color w:val="211F1F"/>
          <w:spacing w:val="-23"/>
        </w:rPr>
        <w:t xml:space="preserve"> </w:t>
      </w:r>
      <w:r>
        <w:rPr>
          <w:color w:val="211F1F"/>
        </w:rPr>
        <w:t>Acceptance</w:t>
      </w:r>
      <w:r>
        <w:rPr>
          <w:color w:val="211F1F"/>
          <w:spacing w:val="-18"/>
        </w:rPr>
        <w:t xml:space="preserve"> </w:t>
      </w:r>
      <w:r>
        <w:rPr>
          <w:color w:val="211F1F"/>
        </w:rPr>
        <w:t>and</w:t>
      </w:r>
      <w:r>
        <w:rPr>
          <w:color w:val="211F1F"/>
          <w:spacing w:val="-17"/>
        </w:rPr>
        <w:t xml:space="preserve"> </w:t>
      </w:r>
      <w:r>
        <w:rPr>
          <w:color w:val="211F1F"/>
        </w:rPr>
        <w:t>thereafter</w:t>
      </w:r>
      <w:r>
        <w:rPr>
          <w:color w:val="211F1F"/>
          <w:spacing w:val="-14"/>
        </w:rPr>
        <w:t xml:space="preserve"> </w:t>
      </w:r>
      <w:r>
        <w:rPr>
          <w:color w:val="211F1F"/>
        </w:rPr>
        <w:t>as adjusted in accordance with the Contract.</w:t>
      </w:r>
    </w:p>
    <w:p w14:paraId="436DB36C" w14:textId="77777777" w:rsidR="00BB77C0" w:rsidRDefault="00370BAA">
      <w:pPr>
        <w:pStyle w:val="ListParagraph"/>
        <w:numPr>
          <w:ilvl w:val="0"/>
          <w:numId w:val="26"/>
        </w:numPr>
        <w:tabs>
          <w:tab w:val="left" w:pos="1599"/>
        </w:tabs>
        <w:spacing w:before="95"/>
        <w:ind w:left="1599" w:hanging="543"/>
      </w:pPr>
      <w:r>
        <w:rPr>
          <w:b/>
          <w:color w:val="211F1F"/>
          <w:spacing w:val="-4"/>
        </w:rPr>
        <w:t>Days</w:t>
      </w:r>
      <w:r>
        <w:rPr>
          <w:b/>
          <w:color w:val="211F1F"/>
          <w:spacing w:val="-7"/>
        </w:rPr>
        <w:t xml:space="preserve"> </w:t>
      </w:r>
      <w:r>
        <w:rPr>
          <w:color w:val="211F1F"/>
          <w:spacing w:val="-4"/>
        </w:rPr>
        <w:t>are</w:t>
      </w:r>
      <w:r>
        <w:rPr>
          <w:color w:val="211F1F"/>
          <w:spacing w:val="-16"/>
        </w:rPr>
        <w:t xml:space="preserve"> </w:t>
      </w:r>
      <w:r>
        <w:rPr>
          <w:color w:val="211F1F"/>
          <w:spacing w:val="-4"/>
        </w:rPr>
        <w:t>calendar</w:t>
      </w:r>
      <w:r>
        <w:rPr>
          <w:color w:val="211F1F"/>
          <w:spacing w:val="-3"/>
        </w:rPr>
        <w:t xml:space="preserve"> </w:t>
      </w:r>
      <w:r>
        <w:rPr>
          <w:color w:val="211F1F"/>
          <w:spacing w:val="-4"/>
        </w:rPr>
        <w:t>days;</w:t>
      </w:r>
      <w:r>
        <w:rPr>
          <w:color w:val="211F1F"/>
          <w:spacing w:val="-6"/>
        </w:rPr>
        <w:t xml:space="preserve"> </w:t>
      </w:r>
      <w:r>
        <w:rPr>
          <w:color w:val="211F1F"/>
          <w:spacing w:val="-4"/>
        </w:rPr>
        <w:t>months</w:t>
      </w:r>
      <w:r>
        <w:rPr>
          <w:color w:val="211F1F"/>
          <w:spacing w:val="-6"/>
        </w:rPr>
        <w:t xml:space="preserve"> </w:t>
      </w:r>
      <w:r>
        <w:rPr>
          <w:color w:val="211F1F"/>
          <w:spacing w:val="-4"/>
        </w:rPr>
        <w:t>are</w:t>
      </w:r>
      <w:r>
        <w:rPr>
          <w:color w:val="211F1F"/>
          <w:spacing w:val="-17"/>
        </w:rPr>
        <w:t xml:space="preserve"> </w:t>
      </w:r>
      <w:r>
        <w:rPr>
          <w:color w:val="211F1F"/>
          <w:spacing w:val="-4"/>
        </w:rPr>
        <w:t>calendar</w:t>
      </w:r>
      <w:r>
        <w:rPr>
          <w:color w:val="211F1F"/>
          <w:spacing w:val="-8"/>
        </w:rPr>
        <w:t xml:space="preserve"> </w:t>
      </w:r>
      <w:r>
        <w:rPr>
          <w:color w:val="211F1F"/>
          <w:spacing w:val="-4"/>
        </w:rPr>
        <w:t>months.</w:t>
      </w:r>
    </w:p>
    <w:p w14:paraId="628907FB" w14:textId="77777777" w:rsidR="00BB77C0" w:rsidRDefault="00370BAA">
      <w:pPr>
        <w:pStyle w:val="ListParagraph"/>
        <w:numPr>
          <w:ilvl w:val="0"/>
          <w:numId w:val="26"/>
        </w:numPr>
        <w:tabs>
          <w:tab w:val="left" w:pos="1599"/>
          <w:tab w:val="left" w:pos="1608"/>
        </w:tabs>
        <w:spacing w:before="98" w:line="228" w:lineRule="auto"/>
        <w:ind w:left="1608" w:right="853" w:hanging="553"/>
      </w:pPr>
      <w:r>
        <w:rPr>
          <w:b/>
          <w:color w:val="211F1F"/>
        </w:rPr>
        <w:t>Day</w:t>
      </w:r>
      <w:r>
        <w:rPr>
          <w:b/>
          <w:color w:val="211F1F"/>
          <w:spacing w:val="-12"/>
        </w:rPr>
        <w:t xml:space="preserve"> </w:t>
      </w:r>
      <w:r>
        <w:rPr>
          <w:b/>
          <w:color w:val="211F1F"/>
        </w:rPr>
        <w:t>work</w:t>
      </w:r>
      <w:r>
        <w:rPr>
          <w:color w:val="211F1F"/>
        </w:rPr>
        <w:t>s</w:t>
      </w:r>
      <w:r>
        <w:rPr>
          <w:color w:val="211F1F"/>
          <w:spacing w:val="-10"/>
        </w:rPr>
        <w:t xml:space="preserve"> </w:t>
      </w:r>
      <w:r>
        <w:rPr>
          <w:color w:val="211F1F"/>
        </w:rPr>
        <w:t>are</w:t>
      </w:r>
      <w:r>
        <w:rPr>
          <w:color w:val="211F1F"/>
          <w:spacing w:val="-14"/>
        </w:rPr>
        <w:t xml:space="preserve"> </w:t>
      </w:r>
      <w:r>
        <w:rPr>
          <w:color w:val="211F1F"/>
        </w:rPr>
        <w:t>varied</w:t>
      </w:r>
      <w:r>
        <w:rPr>
          <w:color w:val="211F1F"/>
          <w:spacing w:val="-10"/>
        </w:rPr>
        <w:t xml:space="preserve"> </w:t>
      </w:r>
      <w:r>
        <w:rPr>
          <w:color w:val="211F1F"/>
        </w:rPr>
        <w:t>work</w:t>
      </w:r>
      <w:r>
        <w:rPr>
          <w:color w:val="211F1F"/>
          <w:spacing w:val="-14"/>
        </w:rPr>
        <w:t xml:space="preserve"> </w:t>
      </w:r>
      <w:r>
        <w:rPr>
          <w:color w:val="211F1F"/>
        </w:rPr>
        <w:t>inputs</w:t>
      </w:r>
      <w:r>
        <w:rPr>
          <w:color w:val="211F1F"/>
          <w:spacing w:val="-10"/>
        </w:rPr>
        <w:t xml:space="preserve"> </w:t>
      </w:r>
      <w:r>
        <w:rPr>
          <w:color w:val="211F1F"/>
        </w:rPr>
        <w:t>subject</w:t>
      </w:r>
      <w:r>
        <w:rPr>
          <w:color w:val="211F1F"/>
          <w:spacing w:val="-9"/>
        </w:rPr>
        <w:t xml:space="preserve"> </w:t>
      </w:r>
      <w:r>
        <w:rPr>
          <w:color w:val="211F1F"/>
        </w:rPr>
        <w:t>to</w:t>
      </w:r>
      <w:r>
        <w:rPr>
          <w:color w:val="211F1F"/>
          <w:spacing w:val="-14"/>
        </w:rPr>
        <w:t xml:space="preserve"> </w:t>
      </w:r>
      <w:r>
        <w:rPr>
          <w:color w:val="211F1F"/>
        </w:rPr>
        <w:t>payment</w:t>
      </w:r>
      <w:r>
        <w:rPr>
          <w:color w:val="211F1F"/>
          <w:spacing w:val="-4"/>
        </w:rPr>
        <w:t xml:space="preserve"> </w:t>
      </w:r>
      <w:r>
        <w:rPr>
          <w:color w:val="211F1F"/>
        </w:rPr>
        <w:t>on</w:t>
      </w:r>
      <w:r>
        <w:rPr>
          <w:color w:val="211F1F"/>
          <w:spacing w:val="-14"/>
        </w:rPr>
        <w:t xml:space="preserve"> </w:t>
      </w:r>
      <w:r>
        <w:rPr>
          <w:color w:val="211F1F"/>
        </w:rPr>
        <w:t>a</w:t>
      </w:r>
      <w:r>
        <w:rPr>
          <w:color w:val="211F1F"/>
          <w:spacing w:val="-8"/>
        </w:rPr>
        <w:t xml:space="preserve"> </w:t>
      </w:r>
      <w:r>
        <w:rPr>
          <w:color w:val="211F1F"/>
        </w:rPr>
        <w:t>time</w:t>
      </w:r>
      <w:r>
        <w:rPr>
          <w:color w:val="211F1F"/>
          <w:spacing w:val="-14"/>
        </w:rPr>
        <w:t xml:space="preserve"> </w:t>
      </w:r>
      <w:r>
        <w:rPr>
          <w:color w:val="211F1F"/>
        </w:rPr>
        <w:t>basis</w:t>
      </w:r>
      <w:r>
        <w:rPr>
          <w:color w:val="211F1F"/>
          <w:spacing w:val="-9"/>
        </w:rPr>
        <w:t xml:space="preserve"> </w:t>
      </w:r>
      <w:r>
        <w:rPr>
          <w:color w:val="211F1F"/>
        </w:rPr>
        <w:t>for</w:t>
      </w:r>
      <w:r>
        <w:rPr>
          <w:color w:val="211F1F"/>
          <w:spacing w:val="-8"/>
        </w:rPr>
        <w:t xml:space="preserve"> </w:t>
      </w:r>
      <w:r>
        <w:rPr>
          <w:color w:val="211F1F"/>
        </w:rPr>
        <w:t>the</w:t>
      </w:r>
      <w:r>
        <w:rPr>
          <w:color w:val="211F1F"/>
          <w:spacing w:val="-14"/>
        </w:rPr>
        <w:t xml:space="preserve"> </w:t>
      </w:r>
      <w:r>
        <w:rPr>
          <w:color w:val="211F1F"/>
        </w:rPr>
        <w:t>Contractor's</w:t>
      </w:r>
      <w:r>
        <w:rPr>
          <w:color w:val="211F1F"/>
          <w:spacing w:val="-9"/>
        </w:rPr>
        <w:t xml:space="preserve"> </w:t>
      </w:r>
      <w:r>
        <w:rPr>
          <w:color w:val="211F1F"/>
        </w:rPr>
        <w:t>employees</w:t>
      </w:r>
      <w:r>
        <w:rPr>
          <w:color w:val="211F1F"/>
          <w:spacing w:val="-9"/>
        </w:rPr>
        <w:t xml:space="preserve"> </w:t>
      </w:r>
      <w:r>
        <w:rPr>
          <w:color w:val="211F1F"/>
        </w:rPr>
        <w:t>and Equipment, in addition to payments for associated Materials and Plant.</w:t>
      </w:r>
    </w:p>
    <w:p w14:paraId="3E04088B" w14:textId="77777777" w:rsidR="00BB77C0" w:rsidRDefault="00370BAA">
      <w:pPr>
        <w:pStyle w:val="ListParagraph"/>
        <w:numPr>
          <w:ilvl w:val="0"/>
          <w:numId w:val="26"/>
        </w:numPr>
        <w:tabs>
          <w:tab w:val="left" w:pos="1599"/>
        </w:tabs>
        <w:spacing w:before="90"/>
        <w:ind w:left="1599" w:hanging="543"/>
      </w:pPr>
      <w:r>
        <w:rPr>
          <w:b/>
          <w:color w:val="211F1F"/>
          <w:spacing w:val="-4"/>
        </w:rPr>
        <w:t>ADefect</w:t>
      </w:r>
      <w:r>
        <w:rPr>
          <w:b/>
          <w:color w:val="211F1F"/>
          <w:spacing w:val="-10"/>
        </w:rPr>
        <w:t xml:space="preserve"> </w:t>
      </w:r>
      <w:r>
        <w:rPr>
          <w:color w:val="211F1F"/>
          <w:spacing w:val="-4"/>
        </w:rPr>
        <w:t>is</w:t>
      </w:r>
      <w:r>
        <w:rPr>
          <w:color w:val="211F1F"/>
          <w:spacing w:val="-8"/>
        </w:rPr>
        <w:t xml:space="preserve"> </w:t>
      </w:r>
      <w:r>
        <w:rPr>
          <w:color w:val="211F1F"/>
          <w:spacing w:val="-4"/>
        </w:rPr>
        <w:t>any</w:t>
      </w:r>
      <w:r>
        <w:rPr>
          <w:color w:val="211F1F"/>
          <w:spacing w:val="-13"/>
        </w:rPr>
        <w:t xml:space="preserve"> </w:t>
      </w:r>
      <w:r>
        <w:rPr>
          <w:color w:val="211F1F"/>
          <w:spacing w:val="-4"/>
        </w:rPr>
        <w:t>part</w:t>
      </w:r>
      <w:r>
        <w:rPr>
          <w:color w:val="211F1F"/>
          <w:spacing w:val="-7"/>
        </w:rPr>
        <w:t xml:space="preserve"> </w:t>
      </w:r>
      <w:r>
        <w:rPr>
          <w:color w:val="211F1F"/>
          <w:spacing w:val="-4"/>
        </w:rPr>
        <w:t>of</w:t>
      </w:r>
      <w:r>
        <w:rPr>
          <w:color w:val="211F1F"/>
          <w:spacing w:val="-10"/>
        </w:rPr>
        <w:t xml:space="preserve"> </w:t>
      </w:r>
      <w:r>
        <w:rPr>
          <w:color w:val="211F1F"/>
          <w:spacing w:val="-4"/>
        </w:rPr>
        <w:t>the</w:t>
      </w:r>
      <w:r>
        <w:rPr>
          <w:color w:val="211F1F"/>
          <w:spacing w:val="-22"/>
        </w:rPr>
        <w:t xml:space="preserve"> </w:t>
      </w:r>
      <w:r>
        <w:rPr>
          <w:color w:val="211F1F"/>
          <w:spacing w:val="-4"/>
        </w:rPr>
        <w:t>Works</w:t>
      </w:r>
      <w:r>
        <w:rPr>
          <w:color w:val="211F1F"/>
          <w:spacing w:val="-7"/>
        </w:rPr>
        <w:t xml:space="preserve"> </w:t>
      </w:r>
      <w:r>
        <w:rPr>
          <w:color w:val="211F1F"/>
          <w:spacing w:val="-4"/>
        </w:rPr>
        <w:t>not</w:t>
      </w:r>
      <w:r>
        <w:rPr>
          <w:color w:val="211F1F"/>
          <w:spacing w:val="-6"/>
        </w:rPr>
        <w:t xml:space="preserve"> </w:t>
      </w:r>
      <w:r>
        <w:rPr>
          <w:color w:val="211F1F"/>
          <w:spacing w:val="-4"/>
        </w:rPr>
        <w:t>completed</w:t>
      </w:r>
      <w:r>
        <w:rPr>
          <w:color w:val="211F1F"/>
          <w:spacing w:val="-13"/>
        </w:rPr>
        <w:t xml:space="preserve"> </w:t>
      </w:r>
      <w:r>
        <w:rPr>
          <w:color w:val="211F1F"/>
          <w:spacing w:val="-4"/>
        </w:rPr>
        <w:t>in</w:t>
      </w:r>
      <w:r>
        <w:rPr>
          <w:color w:val="211F1F"/>
          <w:spacing w:val="-15"/>
        </w:rPr>
        <w:t xml:space="preserve"> </w:t>
      </w:r>
      <w:r>
        <w:rPr>
          <w:color w:val="211F1F"/>
          <w:spacing w:val="-4"/>
        </w:rPr>
        <w:t>accordance</w:t>
      </w:r>
      <w:r>
        <w:rPr>
          <w:color w:val="211F1F"/>
          <w:spacing w:val="-15"/>
        </w:rPr>
        <w:t xml:space="preserve"> </w:t>
      </w:r>
      <w:r>
        <w:rPr>
          <w:color w:val="211F1F"/>
          <w:spacing w:val="-4"/>
        </w:rPr>
        <w:t>with</w:t>
      </w:r>
      <w:r>
        <w:rPr>
          <w:color w:val="211F1F"/>
          <w:spacing w:val="-14"/>
        </w:rPr>
        <w:t xml:space="preserve"> </w:t>
      </w:r>
      <w:r>
        <w:rPr>
          <w:color w:val="211F1F"/>
          <w:spacing w:val="-4"/>
        </w:rPr>
        <w:t>the</w:t>
      </w:r>
      <w:r>
        <w:rPr>
          <w:color w:val="211F1F"/>
          <w:spacing w:val="-9"/>
        </w:rPr>
        <w:t xml:space="preserve"> </w:t>
      </w:r>
      <w:r>
        <w:rPr>
          <w:color w:val="211F1F"/>
          <w:spacing w:val="-4"/>
        </w:rPr>
        <w:t>Contract.</w:t>
      </w:r>
    </w:p>
    <w:p w14:paraId="3BC8869A" w14:textId="77777777" w:rsidR="00BB77C0" w:rsidRDefault="00370BAA">
      <w:pPr>
        <w:pStyle w:val="ListParagraph"/>
        <w:numPr>
          <w:ilvl w:val="0"/>
          <w:numId w:val="26"/>
        </w:numPr>
        <w:tabs>
          <w:tab w:val="left" w:pos="1594"/>
          <w:tab w:val="left" w:pos="1608"/>
        </w:tabs>
        <w:spacing w:before="94" w:line="232" w:lineRule="auto"/>
        <w:ind w:left="1608" w:right="905" w:hanging="553"/>
      </w:pPr>
      <w:r>
        <w:rPr>
          <w:b/>
          <w:color w:val="211F1F"/>
          <w:spacing w:val="-2"/>
        </w:rPr>
        <w:t>The</w:t>
      </w:r>
      <w:r>
        <w:rPr>
          <w:b/>
          <w:color w:val="211F1F"/>
          <w:spacing w:val="-9"/>
        </w:rPr>
        <w:t xml:space="preserve"> </w:t>
      </w:r>
      <w:r>
        <w:rPr>
          <w:b/>
          <w:color w:val="211F1F"/>
          <w:spacing w:val="-2"/>
        </w:rPr>
        <w:t>Defects</w:t>
      </w:r>
      <w:r>
        <w:rPr>
          <w:b/>
          <w:color w:val="211F1F"/>
          <w:spacing w:val="-11"/>
        </w:rPr>
        <w:t xml:space="preserve"> </w:t>
      </w:r>
      <w:r>
        <w:rPr>
          <w:color w:val="211F1F"/>
          <w:spacing w:val="-2"/>
        </w:rPr>
        <w:t>Liability</w:t>
      </w:r>
      <w:r>
        <w:rPr>
          <w:color w:val="211F1F"/>
          <w:spacing w:val="-17"/>
        </w:rPr>
        <w:t xml:space="preserve"> </w:t>
      </w:r>
      <w:r>
        <w:rPr>
          <w:color w:val="211F1F"/>
          <w:spacing w:val="-2"/>
        </w:rPr>
        <w:t>Certificate</w:t>
      </w:r>
      <w:r>
        <w:rPr>
          <w:color w:val="211F1F"/>
          <w:spacing w:val="-18"/>
        </w:rPr>
        <w:t xml:space="preserve"> </w:t>
      </w:r>
      <w:r>
        <w:rPr>
          <w:color w:val="211F1F"/>
          <w:spacing w:val="-2"/>
        </w:rPr>
        <w:t>is</w:t>
      </w:r>
      <w:r>
        <w:rPr>
          <w:color w:val="211F1F"/>
          <w:spacing w:val="-12"/>
        </w:rPr>
        <w:t xml:space="preserve"> </w:t>
      </w:r>
      <w:r>
        <w:rPr>
          <w:color w:val="211F1F"/>
          <w:spacing w:val="-2"/>
        </w:rPr>
        <w:t>the</w:t>
      </w:r>
      <w:r>
        <w:rPr>
          <w:color w:val="211F1F"/>
          <w:spacing w:val="-19"/>
        </w:rPr>
        <w:t xml:space="preserve"> </w:t>
      </w:r>
      <w:r>
        <w:rPr>
          <w:color w:val="211F1F"/>
          <w:spacing w:val="-2"/>
        </w:rPr>
        <w:t>certificate</w:t>
      </w:r>
      <w:r>
        <w:rPr>
          <w:color w:val="211F1F"/>
          <w:spacing w:val="-13"/>
        </w:rPr>
        <w:t xml:space="preserve"> </w:t>
      </w:r>
      <w:r>
        <w:rPr>
          <w:color w:val="211F1F"/>
          <w:spacing w:val="-2"/>
        </w:rPr>
        <w:t>issued</w:t>
      </w:r>
      <w:r>
        <w:rPr>
          <w:color w:val="211F1F"/>
          <w:spacing w:val="-17"/>
        </w:rPr>
        <w:t xml:space="preserve"> </w:t>
      </w:r>
      <w:r>
        <w:rPr>
          <w:color w:val="211F1F"/>
          <w:spacing w:val="-2"/>
        </w:rPr>
        <w:t>by</w:t>
      </w:r>
      <w:r>
        <w:rPr>
          <w:color w:val="211F1F"/>
          <w:spacing w:val="-12"/>
        </w:rPr>
        <w:t xml:space="preserve"> </w:t>
      </w:r>
      <w:r>
        <w:rPr>
          <w:color w:val="211F1F"/>
          <w:spacing w:val="-2"/>
        </w:rPr>
        <w:t>Project</w:t>
      </w:r>
      <w:r>
        <w:rPr>
          <w:color w:val="211F1F"/>
          <w:spacing w:val="-6"/>
        </w:rPr>
        <w:t xml:space="preserve"> </w:t>
      </w:r>
      <w:r>
        <w:rPr>
          <w:color w:val="211F1F"/>
          <w:spacing w:val="-2"/>
        </w:rPr>
        <w:t>Manager</w:t>
      </w:r>
      <w:r>
        <w:rPr>
          <w:color w:val="211F1F"/>
          <w:spacing w:val="-8"/>
        </w:rPr>
        <w:t xml:space="preserve"> </w:t>
      </w:r>
      <w:r>
        <w:rPr>
          <w:color w:val="211F1F"/>
          <w:spacing w:val="-2"/>
        </w:rPr>
        <w:t>upon</w:t>
      </w:r>
      <w:r>
        <w:rPr>
          <w:color w:val="211F1F"/>
          <w:spacing w:val="-12"/>
        </w:rPr>
        <w:t xml:space="preserve"> </w:t>
      </w:r>
      <w:r>
        <w:rPr>
          <w:color w:val="211F1F"/>
          <w:spacing w:val="-2"/>
        </w:rPr>
        <w:t>correction</w:t>
      </w:r>
      <w:r>
        <w:rPr>
          <w:color w:val="211F1F"/>
          <w:spacing w:val="-12"/>
        </w:rPr>
        <w:t xml:space="preserve"> </w:t>
      </w:r>
      <w:r>
        <w:rPr>
          <w:color w:val="211F1F"/>
          <w:spacing w:val="-2"/>
        </w:rPr>
        <w:t>of</w:t>
      </w:r>
      <w:r>
        <w:rPr>
          <w:color w:val="211F1F"/>
          <w:spacing w:val="-9"/>
        </w:rPr>
        <w:t xml:space="preserve"> </w:t>
      </w:r>
      <w:r>
        <w:rPr>
          <w:color w:val="211F1F"/>
          <w:spacing w:val="-2"/>
        </w:rPr>
        <w:t>defects</w:t>
      </w:r>
      <w:r>
        <w:rPr>
          <w:color w:val="211F1F"/>
          <w:spacing w:val="-11"/>
        </w:rPr>
        <w:t xml:space="preserve"> </w:t>
      </w:r>
      <w:r>
        <w:rPr>
          <w:color w:val="211F1F"/>
          <w:spacing w:val="-2"/>
        </w:rPr>
        <w:t xml:space="preserve">by </w:t>
      </w:r>
      <w:r>
        <w:rPr>
          <w:color w:val="211F1F"/>
        </w:rPr>
        <w:t>the</w:t>
      </w:r>
      <w:r>
        <w:rPr>
          <w:color w:val="211F1F"/>
          <w:spacing w:val="-28"/>
        </w:rPr>
        <w:t xml:space="preserve"> </w:t>
      </w:r>
      <w:r>
        <w:rPr>
          <w:color w:val="211F1F"/>
        </w:rPr>
        <w:t>Contractor.</w:t>
      </w:r>
    </w:p>
    <w:p w14:paraId="16E08E13" w14:textId="77777777" w:rsidR="00BB77C0" w:rsidRDefault="00370BAA">
      <w:pPr>
        <w:pStyle w:val="ListParagraph"/>
        <w:numPr>
          <w:ilvl w:val="0"/>
          <w:numId w:val="26"/>
        </w:numPr>
        <w:tabs>
          <w:tab w:val="left" w:pos="1594"/>
          <w:tab w:val="left" w:pos="1604"/>
        </w:tabs>
        <w:spacing w:before="91" w:line="237" w:lineRule="auto"/>
        <w:ind w:left="1604" w:right="959" w:hanging="548"/>
      </w:pPr>
      <w:r>
        <w:rPr>
          <w:b/>
          <w:color w:val="211F1F"/>
          <w:spacing w:val="-2"/>
        </w:rPr>
        <w:t>The</w:t>
      </w:r>
      <w:r>
        <w:rPr>
          <w:b/>
          <w:color w:val="211F1F"/>
          <w:spacing w:val="-19"/>
        </w:rPr>
        <w:t xml:space="preserve"> </w:t>
      </w:r>
      <w:r>
        <w:rPr>
          <w:b/>
          <w:color w:val="211F1F"/>
          <w:spacing w:val="-2"/>
        </w:rPr>
        <w:t>Defects</w:t>
      </w:r>
      <w:r>
        <w:rPr>
          <w:b/>
          <w:color w:val="211F1F"/>
          <w:spacing w:val="-21"/>
        </w:rPr>
        <w:t xml:space="preserve"> </w:t>
      </w:r>
      <w:r>
        <w:rPr>
          <w:b/>
          <w:color w:val="211F1F"/>
          <w:spacing w:val="-2"/>
        </w:rPr>
        <w:t>Liability</w:t>
      </w:r>
      <w:r>
        <w:rPr>
          <w:b/>
          <w:color w:val="211F1F"/>
          <w:spacing w:val="-17"/>
        </w:rPr>
        <w:t xml:space="preserve"> </w:t>
      </w:r>
      <w:r>
        <w:rPr>
          <w:b/>
          <w:color w:val="211F1F"/>
          <w:spacing w:val="-2"/>
        </w:rPr>
        <w:t>Period</w:t>
      </w:r>
      <w:r>
        <w:rPr>
          <w:b/>
          <w:color w:val="211F1F"/>
          <w:spacing w:val="-14"/>
        </w:rPr>
        <w:t xml:space="preserve"> </w:t>
      </w:r>
      <w:r>
        <w:rPr>
          <w:color w:val="211F1F"/>
          <w:spacing w:val="-2"/>
        </w:rPr>
        <w:t>is</w:t>
      </w:r>
      <w:r>
        <w:rPr>
          <w:color w:val="211F1F"/>
          <w:spacing w:val="-17"/>
        </w:rPr>
        <w:t xml:space="preserve"> </w:t>
      </w:r>
      <w:r>
        <w:rPr>
          <w:color w:val="211F1F"/>
          <w:spacing w:val="-2"/>
        </w:rPr>
        <w:t>the</w:t>
      </w:r>
      <w:r>
        <w:rPr>
          <w:color w:val="211F1F"/>
          <w:spacing w:val="-19"/>
        </w:rPr>
        <w:t xml:space="preserve"> </w:t>
      </w:r>
      <w:r>
        <w:rPr>
          <w:color w:val="211F1F"/>
          <w:spacing w:val="-2"/>
        </w:rPr>
        <w:t>period</w:t>
      </w:r>
      <w:r>
        <w:rPr>
          <w:color w:val="211F1F"/>
          <w:spacing w:val="-16"/>
        </w:rPr>
        <w:t xml:space="preserve"> </w:t>
      </w:r>
      <w:r>
        <w:rPr>
          <w:b/>
          <w:color w:val="211F1F"/>
          <w:spacing w:val="-2"/>
        </w:rPr>
        <w:t>named</w:t>
      </w:r>
      <w:r>
        <w:rPr>
          <w:b/>
          <w:color w:val="211F1F"/>
          <w:spacing w:val="-20"/>
        </w:rPr>
        <w:t xml:space="preserve"> </w:t>
      </w:r>
      <w:r>
        <w:rPr>
          <w:b/>
          <w:color w:val="211F1F"/>
          <w:spacing w:val="-2"/>
        </w:rPr>
        <w:t>in</w:t>
      </w:r>
      <w:r>
        <w:rPr>
          <w:b/>
          <w:color w:val="211F1F"/>
          <w:spacing w:val="-20"/>
        </w:rPr>
        <w:t xml:space="preserve"> </w:t>
      </w:r>
      <w:r>
        <w:rPr>
          <w:b/>
          <w:color w:val="211F1F"/>
          <w:spacing w:val="-2"/>
        </w:rPr>
        <w:t>the</w:t>
      </w:r>
      <w:r>
        <w:rPr>
          <w:b/>
          <w:color w:val="211F1F"/>
          <w:spacing w:val="-14"/>
        </w:rPr>
        <w:t xml:space="preserve"> </w:t>
      </w:r>
      <w:r>
        <w:rPr>
          <w:b/>
          <w:color w:val="211F1F"/>
          <w:spacing w:val="-2"/>
        </w:rPr>
        <w:t>SCC</w:t>
      </w:r>
      <w:r>
        <w:rPr>
          <w:b/>
          <w:color w:val="211F1F"/>
          <w:spacing w:val="-18"/>
        </w:rPr>
        <w:t xml:space="preserve"> </w:t>
      </w:r>
      <w:r>
        <w:rPr>
          <w:color w:val="211F1F"/>
          <w:spacing w:val="-2"/>
        </w:rPr>
        <w:t>pursuant</w:t>
      </w:r>
      <w:r>
        <w:rPr>
          <w:color w:val="211F1F"/>
          <w:spacing w:val="-15"/>
        </w:rPr>
        <w:t xml:space="preserve"> </w:t>
      </w:r>
      <w:r>
        <w:rPr>
          <w:color w:val="211F1F"/>
          <w:spacing w:val="-2"/>
        </w:rPr>
        <w:t>to</w:t>
      </w:r>
      <w:r>
        <w:rPr>
          <w:color w:val="211F1F"/>
          <w:spacing w:val="-22"/>
        </w:rPr>
        <w:t xml:space="preserve"> </w:t>
      </w:r>
      <w:r>
        <w:rPr>
          <w:color w:val="211F1F"/>
          <w:spacing w:val="-2"/>
        </w:rPr>
        <w:t>Sub-Clause</w:t>
      </w:r>
      <w:r>
        <w:rPr>
          <w:color w:val="211F1F"/>
          <w:spacing w:val="-18"/>
        </w:rPr>
        <w:t xml:space="preserve"> </w:t>
      </w:r>
      <w:r>
        <w:rPr>
          <w:color w:val="211F1F"/>
          <w:spacing w:val="-2"/>
        </w:rPr>
        <w:t>34.1</w:t>
      </w:r>
      <w:r>
        <w:rPr>
          <w:color w:val="211F1F"/>
          <w:spacing w:val="-22"/>
        </w:rPr>
        <w:t xml:space="preserve"> </w:t>
      </w:r>
      <w:r>
        <w:rPr>
          <w:color w:val="211F1F"/>
          <w:spacing w:val="-2"/>
        </w:rPr>
        <w:t>and</w:t>
      </w:r>
      <w:r>
        <w:rPr>
          <w:color w:val="211F1F"/>
          <w:spacing w:val="-22"/>
        </w:rPr>
        <w:t xml:space="preserve"> </w:t>
      </w:r>
      <w:r>
        <w:rPr>
          <w:color w:val="211F1F"/>
          <w:spacing w:val="-2"/>
        </w:rPr>
        <w:t xml:space="preserve">calculated </w:t>
      </w:r>
      <w:r>
        <w:rPr>
          <w:color w:val="211F1F"/>
        </w:rPr>
        <w:t>from</w:t>
      </w:r>
      <w:r>
        <w:rPr>
          <w:color w:val="211F1F"/>
          <w:spacing w:val="-7"/>
        </w:rPr>
        <w:t xml:space="preserve"> </w:t>
      </w:r>
      <w:r>
        <w:rPr>
          <w:color w:val="211F1F"/>
        </w:rPr>
        <w:t>the Completion Date.</w:t>
      </w:r>
    </w:p>
    <w:p w14:paraId="3FB7375C" w14:textId="77777777" w:rsidR="00BB77C0" w:rsidRDefault="00370BAA">
      <w:pPr>
        <w:pStyle w:val="ListParagraph"/>
        <w:numPr>
          <w:ilvl w:val="0"/>
          <w:numId w:val="26"/>
        </w:numPr>
        <w:tabs>
          <w:tab w:val="left" w:pos="1592"/>
          <w:tab w:val="left" w:pos="1604"/>
        </w:tabs>
        <w:spacing w:before="86" w:line="230" w:lineRule="auto"/>
        <w:ind w:left="1604" w:right="709" w:hanging="553"/>
        <w:jc w:val="both"/>
      </w:pPr>
      <w:r>
        <w:rPr>
          <w:b/>
          <w:color w:val="211F1F"/>
        </w:rPr>
        <w:t>Drawings</w:t>
      </w:r>
      <w:r>
        <w:rPr>
          <w:b/>
          <w:color w:val="211F1F"/>
          <w:spacing w:val="-9"/>
        </w:rPr>
        <w:t xml:space="preserve"> </w:t>
      </w:r>
      <w:r>
        <w:rPr>
          <w:color w:val="211F1F"/>
        </w:rPr>
        <w:t>means</w:t>
      </w:r>
      <w:r>
        <w:rPr>
          <w:color w:val="211F1F"/>
          <w:spacing w:val="-1"/>
        </w:rPr>
        <w:t xml:space="preserve"> </w:t>
      </w:r>
      <w:r>
        <w:rPr>
          <w:color w:val="211F1F"/>
        </w:rPr>
        <w:t>the</w:t>
      </w:r>
      <w:r>
        <w:rPr>
          <w:color w:val="211F1F"/>
          <w:spacing w:val="-8"/>
        </w:rPr>
        <w:t xml:space="preserve"> </w:t>
      </w:r>
      <w:r>
        <w:rPr>
          <w:color w:val="211F1F"/>
        </w:rPr>
        <w:t>drawings of</w:t>
      </w:r>
      <w:r>
        <w:rPr>
          <w:color w:val="211F1F"/>
          <w:spacing w:val="-8"/>
        </w:rPr>
        <w:t xml:space="preserve"> </w:t>
      </w:r>
      <w:r>
        <w:rPr>
          <w:color w:val="211F1F"/>
        </w:rPr>
        <w:t>the</w:t>
      </w:r>
      <w:r>
        <w:rPr>
          <w:color w:val="211F1F"/>
          <w:spacing w:val="-14"/>
        </w:rPr>
        <w:t xml:space="preserve"> </w:t>
      </w:r>
      <w:r>
        <w:rPr>
          <w:color w:val="211F1F"/>
        </w:rPr>
        <w:t>Works,</w:t>
      </w:r>
      <w:r>
        <w:rPr>
          <w:color w:val="211F1F"/>
          <w:spacing w:val="-8"/>
        </w:rPr>
        <w:t xml:space="preserve"> </w:t>
      </w:r>
      <w:r>
        <w:rPr>
          <w:color w:val="211F1F"/>
        </w:rPr>
        <w:t>as</w:t>
      </w:r>
      <w:r>
        <w:rPr>
          <w:color w:val="211F1F"/>
          <w:spacing w:val="-6"/>
        </w:rPr>
        <w:t xml:space="preserve"> </w:t>
      </w:r>
      <w:r>
        <w:rPr>
          <w:color w:val="211F1F"/>
        </w:rPr>
        <w:t>included</w:t>
      </w:r>
      <w:r>
        <w:rPr>
          <w:color w:val="211F1F"/>
          <w:spacing w:val="-6"/>
        </w:rPr>
        <w:t xml:space="preserve"> </w:t>
      </w:r>
      <w:r>
        <w:rPr>
          <w:color w:val="211F1F"/>
        </w:rPr>
        <w:t>in</w:t>
      </w:r>
      <w:r>
        <w:rPr>
          <w:color w:val="211F1F"/>
          <w:spacing w:val="-11"/>
        </w:rPr>
        <w:t xml:space="preserve"> </w:t>
      </w:r>
      <w:r>
        <w:rPr>
          <w:color w:val="211F1F"/>
        </w:rPr>
        <w:t>the</w:t>
      </w:r>
      <w:r>
        <w:rPr>
          <w:color w:val="211F1F"/>
          <w:spacing w:val="-9"/>
        </w:rPr>
        <w:t xml:space="preserve"> </w:t>
      </w:r>
      <w:r>
        <w:rPr>
          <w:color w:val="211F1F"/>
        </w:rPr>
        <w:t>Contract,</w:t>
      </w:r>
      <w:r>
        <w:rPr>
          <w:color w:val="211F1F"/>
          <w:spacing w:val="-8"/>
        </w:rPr>
        <w:t xml:space="preserve"> </w:t>
      </w:r>
      <w:r>
        <w:rPr>
          <w:color w:val="211F1F"/>
        </w:rPr>
        <w:t>and</w:t>
      </w:r>
      <w:r>
        <w:rPr>
          <w:color w:val="211F1F"/>
          <w:spacing w:val="-11"/>
        </w:rPr>
        <w:t xml:space="preserve"> </w:t>
      </w:r>
      <w:r>
        <w:rPr>
          <w:color w:val="211F1F"/>
        </w:rPr>
        <w:t>any</w:t>
      </w:r>
      <w:r>
        <w:rPr>
          <w:color w:val="211F1F"/>
          <w:spacing w:val="-11"/>
        </w:rPr>
        <w:t xml:space="preserve"> </w:t>
      </w:r>
      <w:r>
        <w:rPr>
          <w:color w:val="211F1F"/>
        </w:rPr>
        <w:t>additional</w:t>
      </w:r>
      <w:r>
        <w:rPr>
          <w:color w:val="211F1F"/>
          <w:spacing w:val="-10"/>
        </w:rPr>
        <w:t xml:space="preserve"> </w:t>
      </w:r>
      <w:r>
        <w:rPr>
          <w:color w:val="211F1F"/>
        </w:rPr>
        <w:t>and</w:t>
      </w:r>
      <w:r>
        <w:rPr>
          <w:color w:val="211F1F"/>
          <w:spacing w:val="-6"/>
        </w:rPr>
        <w:t xml:space="preserve"> </w:t>
      </w:r>
      <w:r>
        <w:rPr>
          <w:color w:val="211F1F"/>
        </w:rPr>
        <w:t>modified drawings issued by (or on behalf of) the Procuring Entity in accordance with the Contract, include calculations and</w:t>
      </w:r>
      <w:r>
        <w:rPr>
          <w:color w:val="211F1F"/>
          <w:spacing w:val="-3"/>
        </w:rPr>
        <w:t xml:space="preserve"> </w:t>
      </w:r>
      <w:r>
        <w:rPr>
          <w:color w:val="211F1F"/>
        </w:rPr>
        <w:t>other information</w:t>
      </w:r>
      <w:r>
        <w:rPr>
          <w:color w:val="211F1F"/>
          <w:spacing w:val="-1"/>
        </w:rPr>
        <w:t xml:space="preserve"> </w:t>
      </w:r>
      <w:r>
        <w:rPr>
          <w:color w:val="211F1F"/>
        </w:rPr>
        <w:t>provided</w:t>
      </w:r>
      <w:r>
        <w:rPr>
          <w:color w:val="211F1F"/>
          <w:spacing w:val="-3"/>
        </w:rPr>
        <w:t xml:space="preserve"> </w:t>
      </w:r>
      <w:r>
        <w:rPr>
          <w:color w:val="211F1F"/>
        </w:rPr>
        <w:t>or approved</w:t>
      </w:r>
      <w:r>
        <w:rPr>
          <w:color w:val="211F1F"/>
          <w:spacing w:val="-3"/>
        </w:rPr>
        <w:t xml:space="preserve"> </w:t>
      </w:r>
      <w:r>
        <w:rPr>
          <w:color w:val="211F1F"/>
        </w:rPr>
        <w:t>by</w:t>
      </w:r>
      <w:r>
        <w:rPr>
          <w:color w:val="211F1F"/>
          <w:spacing w:val="-1"/>
        </w:rPr>
        <w:t xml:space="preserve"> </w:t>
      </w:r>
      <w:r>
        <w:rPr>
          <w:color w:val="211F1F"/>
        </w:rPr>
        <w:t>the</w:t>
      </w:r>
      <w:r>
        <w:rPr>
          <w:color w:val="211F1F"/>
          <w:spacing w:val="-5"/>
        </w:rPr>
        <w:t xml:space="preserve"> </w:t>
      </w:r>
      <w:r>
        <w:rPr>
          <w:color w:val="211F1F"/>
        </w:rPr>
        <w:t>Project Manager for the execution</w:t>
      </w:r>
      <w:r>
        <w:rPr>
          <w:color w:val="211F1F"/>
          <w:spacing w:val="-2"/>
        </w:rPr>
        <w:t xml:space="preserve"> </w:t>
      </w:r>
      <w:r>
        <w:rPr>
          <w:color w:val="211F1F"/>
        </w:rPr>
        <w:t xml:space="preserve">of the </w:t>
      </w:r>
      <w:r>
        <w:rPr>
          <w:color w:val="211F1F"/>
          <w:spacing w:val="-2"/>
        </w:rPr>
        <w:t>Contract.</w:t>
      </w:r>
    </w:p>
    <w:p w14:paraId="72D390B2" w14:textId="77777777" w:rsidR="00BB77C0" w:rsidRDefault="00370BAA">
      <w:pPr>
        <w:pStyle w:val="ListParagraph"/>
        <w:numPr>
          <w:ilvl w:val="0"/>
          <w:numId w:val="26"/>
        </w:numPr>
        <w:tabs>
          <w:tab w:val="left" w:pos="1589"/>
          <w:tab w:val="left" w:pos="1604"/>
        </w:tabs>
        <w:spacing w:before="102" w:line="228" w:lineRule="auto"/>
        <w:ind w:left="1604" w:right="889" w:hanging="553"/>
      </w:pPr>
      <w:r>
        <w:rPr>
          <w:b/>
          <w:color w:val="211F1F"/>
          <w:spacing w:val="-2"/>
        </w:rPr>
        <w:t>The</w:t>
      </w:r>
      <w:r>
        <w:rPr>
          <w:b/>
          <w:color w:val="211F1F"/>
          <w:spacing w:val="-12"/>
        </w:rPr>
        <w:t xml:space="preserve"> </w:t>
      </w:r>
      <w:r>
        <w:rPr>
          <w:b/>
          <w:color w:val="211F1F"/>
          <w:spacing w:val="-2"/>
        </w:rPr>
        <w:t>Procuring</w:t>
      </w:r>
      <w:r>
        <w:rPr>
          <w:b/>
          <w:color w:val="211F1F"/>
          <w:spacing w:val="-10"/>
        </w:rPr>
        <w:t xml:space="preserve"> </w:t>
      </w:r>
      <w:r>
        <w:rPr>
          <w:b/>
          <w:color w:val="211F1F"/>
          <w:spacing w:val="-2"/>
        </w:rPr>
        <w:t>Entity</w:t>
      </w:r>
      <w:r>
        <w:rPr>
          <w:b/>
          <w:color w:val="211F1F"/>
          <w:spacing w:val="-7"/>
        </w:rPr>
        <w:t xml:space="preserve"> </w:t>
      </w:r>
      <w:r>
        <w:rPr>
          <w:color w:val="211F1F"/>
          <w:spacing w:val="-2"/>
        </w:rPr>
        <w:t>is</w:t>
      </w:r>
      <w:r>
        <w:rPr>
          <w:color w:val="211F1F"/>
          <w:spacing w:val="-12"/>
        </w:rPr>
        <w:t xml:space="preserve"> </w:t>
      </w:r>
      <w:r>
        <w:rPr>
          <w:color w:val="211F1F"/>
          <w:spacing w:val="-2"/>
        </w:rPr>
        <w:t>the</w:t>
      </w:r>
      <w:r>
        <w:rPr>
          <w:color w:val="211F1F"/>
          <w:spacing w:val="-13"/>
        </w:rPr>
        <w:t xml:space="preserve"> </w:t>
      </w:r>
      <w:r>
        <w:rPr>
          <w:color w:val="211F1F"/>
          <w:spacing w:val="-2"/>
        </w:rPr>
        <w:t>party</w:t>
      </w:r>
      <w:r>
        <w:rPr>
          <w:color w:val="211F1F"/>
          <w:spacing w:val="-12"/>
        </w:rPr>
        <w:t xml:space="preserve"> </w:t>
      </w:r>
      <w:r>
        <w:rPr>
          <w:color w:val="211F1F"/>
          <w:spacing w:val="-2"/>
        </w:rPr>
        <w:t>who</w:t>
      </w:r>
      <w:r>
        <w:rPr>
          <w:color w:val="211F1F"/>
          <w:spacing w:val="-12"/>
        </w:rPr>
        <w:t xml:space="preserve"> </w:t>
      </w:r>
      <w:r>
        <w:rPr>
          <w:color w:val="211F1F"/>
          <w:spacing w:val="-2"/>
        </w:rPr>
        <w:t>employs the</w:t>
      </w:r>
      <w:r>
        <w:rPr>
          <w:color w:val="211F1F"/>
          <w:spacing w:val="-14"/>
        </w:rPr>
        <w:t xml:space="preserve"> </w:t>
      </w:r>
      <w:r>
        <w:rPr>
          <w:color w:val="211F1F"/>
          <w:spacing w:val="-2"/>
        </w:rPr>
        <w:t>Contractor</w:t>
      </w:r>
      <w:r>
        <w:rPr>
          <w:color w:val="211F1F"/>
          <w:spacing w:val="-13"/>
        </w:rPr>
        <w:t xml:space="preserve"> </w:t>
      </w:r>
      <w:r>
        <w:rPr>
          <w:color w:val="211F1F"/>
          <w:spacing w:val="-2"/>
        </w:rPr>
        <w:t>to</w:t>
      </w:r>
      <w:r>
        <w:rPr>
          <w:color w:val="211F1F"/>
          <w:spacing w:val="-8"/>
        </w:rPr>
        <w:t xml:space="preserve"> </w:t>
      </w:r>
      <w:r>
        <w:rPr>
          <w:color w:val="211F1F"/>
          <w:spacing w:val="-2"/>
        </w:rPr>
        <w:t>carry</w:t>
      </w:r>
      <w:r>
        <w:rPr>
          <w:color w:val="211F1F"/>
          <w:spacing w:val="-12"/>
        </w:rPr>
        <w:t xml:space="preserve"> </w:t>
      </w:r>
      <w:r>
        <w:rPr>
          <w:color w:val="211F1F"/>
          <w:spacing w:val="-2"/>
        </w:rPr>
        <w:t>out</w:t>
      </w:r>
      <w:r>
        <w:rPr>
          <w:color w:val="211F1F"/>
          <w:spacing w:val="-12"/>
        </w:rPr>
        <w:t xml:space="preserve"> </w:t>
      </w:r>
      <w:r>
        <w:rPr>
          <w:color w:val="211F1F"/>
          <w:spacing w:val="-2"/>
        </w:rPr>
        <w:t>the</w:t>
      </w:r>
      <w:r>
        <w:rPr>
          <w:color w:val="211F1F"/>
          <w:spacing w:val="-14"/>
        </w:rPr>
        <w:t xml:space="preserve"> </w:t>
      </w:r>
      <w:r>
        <w:rPr>
          <w:color w:val="211F1F"/>
          <w:spacing w:val="-2"/>
        </w:rPr>
        <w:t>Works,</w:t>
      </w:r>
      <w:r>
        <w:rPr>
          <w:color w:val="211F1F"/>
          <w:spacing w:val="-6"/>
        </w:rPr>
        <w:t xml:space="preserve"> </w:t>
      </w:r>
      <w:r>
        <w:rPr>
          <w:b/>
          <w:color w:val="211F1F"/>
          <w:spacing w:val="-2"/>
        </w:rPr>
        <w:t>as</w:t>
      </w:r>
      <w:r>
        <w:rPr>
          <w:b/>
          <w:color w:val="211F1F"/>
          <w:spacing w:val="-12"/>
        </w:rPr>
        <w:t xml:space="preserve"> </w:t>
      </w:r>
      <w:r>
        <w:rPr>
          <w:b/>
          <w:color w:val="211F1F"/>
          <w:spacing w:val="-2"/>
        </w:rPr>
        <w:t>specified</w:t>
      </w:r>
      <w:r>
        <w:rPr>
          <w:b/>
          <w:color w:val="211F1F"/>
          <w:spacing w:val="-11"/>
        </w:rPr>
        <w:t xml:space="preserve"> </w:t>
      </w:r>
      <w:r>
        <w:rPr>
          <w:b/>
          <w:color w:val="211F1F"/>
          <w:spacing w:val="-2"/>
        </w:rPr>
        <w:t>in</w:t>
      </w:r>
      <w:r>
        <w:rPr>
          <w:b/>
          <w:color w:val="211F1F"/>
          <w:spacing w:val="-11"/>
        </w:rPr>
        <w:t xml:space="preserve"> </w:t>
      </w:r>
      <w:r>
        <w:rPr>
          <w:b/>
          <w:color w:val="211F1F"/>
          <w:spacing w:val="-2"/>
        </w:rPr>
        <w:t xml:space="preserve">the </w:t>
      </w:r>
      <w:r>
        <w:rPr>
          <w:b/>
          <w:color w:val="211F1F"/>
        </w:rPr>
        <w:t xml:space="preserve">SCC, </w:t>
      </w:r>
      <w:r>
        <w:rPr>
          <w:color w:val="211F1F"/>
        </w:rPr>
        <w:t>who is also the Procuring Entity.</w:t>
      </w:r>
    </w:p>
    <w:p w14:paraId="3962F96C" w14:textId="77777777" w:rsidR="00BB77C0" w:rsidRDefault="00370BAA">
      <w:pPr>
        <w:pStyle w:val="ListParagraph"/>
        <w:numPr>
          <w:ilvl w:val="0"/>
          <w:numId w:val="26"/>
        </w:numPr>
        <w:tabs>
          <w:tab w:val="left" w:pos="1599"/>
          <w:tab w:val="left" w:pos="1608"/>
        </w:tabs>
        <w:spacing w:before="92" w:line="237" w:lineRule="auto"/>
        <w:ind w:left="1608" w:right="1023" w:hanging="553"/>
      </w:pPr>
      <w:r>
        <w:rPr>
          <w:b/>
          <w:color w:val="211F1F"/>
        </w:rPr>
        <w:t>Equipmen</w:t>
      </w:r>
      <w:r>
        <w:rPr>
          <w:color w:val="211F1F"/>
        </w:rPr>
        <w:t>t is</w:t>
      </w:r>
      <w:r>
        <w:rPr>
          <w:color w:val="211F1F"/>
          <w:spacing w:val="-1"/>
        </w:rPr>
        <w:t xml:space="preserve"> </w:t>
      </w:r>
      <w:r>
        <w:rPr>
          <w:color w:val="211F1F"/>
        </w:rPr>
        <w:t>the</w:t>
      </w:r>
      <w:r>
        <w:rPr>
          <w:color w:val="211F1F"/>
          <w:spacing w:val="-13"/>
        </w:rPr>
        <w:t xml:space="preserve"> </w:t>
      </w:r>
      <w:r>
        <w:rPr>
          <w:color w:val="211F1F"/>
        </w:rPr>
        <w:t>Contractor's</w:t>
      </w:r>
      <w:r>
        <w:rPr>
          <w:color w:val="211F1F"/>
          <w:spacing w:val="-5"/>
        </w:rPr>
        <w:t xml:space="preserve"> </w:t>
      </w:r>
      <w:r>
        <w:rPr>
          <w:color w:val="211F1F"/>
        </w:rPr>
        <w:t>machinery</w:t>
      </w:r>
      <w:r>
        <w:rPr>
          <w:color w:val="211F1F"/>
          <w:spacing w:val="-10"/>
        </w:rPr>
        <w:t xml:space="preserve"> </w:t>
      </w:r>
      <w:r>
        <w:rPr>
          <w:color w:val="211F1F"/>
        </w:rPr>
        <w:t>and</w:t>
      </w:r>
      <w:r>
        <w:rPr>
          <w:color w:val="211F1F"/>
          <w:spacing w:val="-11"/>
        </w:rPr>
        <w:t xml:space="preserve"> </w:t>
      </w:r>
      <w:r>
        <w:rPr>
          <w:color w:val="211F1F"/>
        </w:rPr>
        <w:t>vehicles</w:t>
      </w:r>
      <w:r>
        <w:rPr>
          <w:color w:val="211F1F"/>
          <w:spacing w:val="-1"/>
        </w:rPr>
        <w:t xml:space="preserve"> </w:t>
      </w:r>
      <w:r>
        <w:rPr>
          <w:color w:val="211F1F"/>
        </w:rPr>
        <w:t>brought</w:t>
      </w:r>
      <w:r>
        <w:rPr>
          <w:color w:val="211F1F"/>
          <w:spacing w:val="-5"/>
        </w:rPr>
        <w:t xml:space="preserve"> </w:t>
      </w:r>
      <w:r>
        <w:rPr>
          <w:color w:val="211F1F"/>
        </w:rPr>
        <w:t>temporarily</w:t>
      </w:r>
      <w:r>
        <w:rPr>
          <w:color w:val="211F1F"/>
          <w:spacing w:val="-10"/>
        </w:rPr>
        <w:t xml:space="preserve"> </w:t>
      </w:r>
      <w:r>
        <w:rPr>
          <w:color w:val="211F1F"/>
        </w:rPr>
        <w:t>to</w:t>
      </w:r>
      <w:r>
        <w:rPr>
          <w:color w:val="211F1F"/>
          <w:spacing w:val="-11"/>
        </w:rPr>
        <w:t xml:space="preserve"> </w:t>
      </w:r>
      <w:r>
        <w:rPr>
          <w:color w:val="211F1F"/>
        </w:rPr>
        <w:t>the</w:t>
      </w:r>
      <w:r>
        <w:rPr>
          <w:color w:val="211F1F"/>
          <w:spacing w:val="-13"/>
        </w:rPr>
        <w:t xml:space="preserve"> </w:t>
      </w:r>
      <w:r>
        <w:rPr>
          <w:color w:val="211F1F"/>
        </w:rPr>
        <w:t>Site</w:t>
      </w:r>
      <w:r>
        <w:rPr>
          <w:color w:val="211F1F"/>
          <w:spacing w:val="-13"/>
        </w:rPr>
        <w:t xml:space="preserve"> </w:t>
      </w:r>
      <w:r>
        <w:rPr>
          <w:color w:val="211F1F"/>
        </w:rPr>
        <w:t>to</w:t>
      </w:r>
      <w:r>
        <w:rPr>
          <w:color w:val="211F1F"/>
          <w:spacing w:val="-11"/>
        </w:rPr>
        <w:t xml:space="preserve"> </w:t>
      </w:r>
      <w:r>
        <w:rPr>
          <w:color w:val="211F1F"/>
        </w:rPr>
        <w:t>construct</w:t>
      </w:r>
      <w:r>
        <w:rPr>
          <w:color w:val="211F1F"/>
          <w:spacing w:val="-4"/>
        </w:rPr>
        <w:t xml:space="preserve"> </w:t>
      </w:r>
      <w:r>
        <w:rPr>
          <w:color w:val="211F1F"/>
        </w:rPr>
        <w:t xml:space="preserve">the </w:t>
      </w:r>
      <w:r>
        <w:rPr>
          <w:color w:val="211F1F"/>
          <w:spacing w:val="-2"/>
        </w:rPr>
        <w:t>Works.</w:t>
      </w:r>
    </w:p>
    <w:p w14:paraId="25076859" w14:textId="77777777" w:rsidR="00BB77C0" w:rsidRDefault="00BB77C0">
      <w:pPr>
        <w:pStyle w:val="ListParagraph"/>
        <w:spacing w:line="237" w:lineRule="auto"/>
        <w:sectPr w:rsidR="00BB77C0">
          <w:pgSz w:w="11920" w:h="16850"/>
          <w:pgMar w:top="740" w:right="0" w:bottom="280" w:left="360" w:header="720" w:footer="720" w:gutter="0"/>
          <w:cols w:space="720"/>
        </w:sectPr>
      </w:pPr>
    </w:p>
    <w:p w14:paraId="283AD615" w14:textId="77777777" w:rsidR="00BB77C0" w:rsidRDefault="00370BAA">
      <w:pPr>
        <w:pStyle w:val="ListParagraph"/>
        <w:numPr>
          <w:ilvl w:val="0"/>
          <w:numId w:val="26"/>
        </w:numPr>
        <w:tabs>
          <w:tab w:val="left" w:pos="1597"/>
          <w:tab w:val="left" w:pos="1613"/>
        </w:tabs>
        <w:spacing w:before="79" w:line="228" w:lineRule="auto"/>
        <w:ind w:right="1385" w:hanging="553"/>
        <w:jc w:val="both"/>
      </w:pPr>
      <w:r>
        <w:rPr>
          <w:b/>
          <w:color w:val="211F1F"/>
        </w:rPr>
        <w:lastRenderedPageBreak/>
        <w:t>“In</w:t>
      </w:r>
      <w:r>
        <w:rPr>
          <w:b/>
          <w:color w:val="211F1F"/>
          <w:spacing w:val="-7"/>
        </w:rPr>
        <w:t xml:space="preserve"> </w:t>
      </w:r>
      <w:r>
        <w:rPr>
          <w:b/>
          <w:color w:val="211F1F"/>
        </w:rPr>
        <w:t>writing” or</w:t>
      </w:r>
      <w:r>
        <w:rPr>
          <w:b/>
          <w:color w:val="211F1F"/>
          <w:spacing w:val="-3"/>
        </w:rPr>
        <w:t xml:space="preserve"> </w:t>
      </w:r>
      <w:r>
        <w:rPr>
          <w:b/>
          <w:color w:val="211F1F"/>
        </w:rPr>
        <w:t xml:space="preserve">“written” </w:t>
      </w:r>
      <w:r>
        <w:rPr>
          <w:color w:val="211F1F"/>
        </w:rPr>
        <w:t>means hand-written, type-written,</w:t>
      </w:r>
      <w:r>
        <w:rPr>
          <w:color w:val="211F1F"/>
          <w:spacing w:val="-3"/>
        </w:rPr>
        <w:t xml:space="preserve"> </w:t>
      </w:r>
      <w:r>
        <w:rPr>
          <w:color w:val="211F1F"/>
        </w:rPr>
        <w:t>printed</w:t>
      </w:r>
      <w:r>
        <w:rPr>
          <w:color w:val="211F1F"/>
          <w:spacing w:val="-5"/>
        </w:rPr>
        <w:t xml:space="preserve"> </w:t>
      </w:r>
      <w:r>
        <w:rPr>
          <w:color w:val="211F1F"/>
        </w:rPr>
        <w:t>or electronically</w:t>
      </w:r>
      <w:r>
        <w:rPr>
          <w:color w:val="211F1F"/>
          <w:spacing w:val="-4"/>
        </w:rPr>
        <w:t xml:space="preserve"> </w:t>
      </w:r>
      <w:r>
        <w:rPr>
          <w:color w:val="211F1F"/>
        </w:rPr>
        <w:t>made,</w:t>
      </w:r>
      <w:r>
        <w:rPr>
          <w:color w:val="211F1F"/>
          <w:spacing w:val="-2"/>
        </w:rPr>
        <w:t xml:space="preserve"> </w:t>
      </w:r>
      <w:r>
        <w:rPr>
          <w:color w:val="211F1F"/>
        </w:rPr>
        <w:t>and resulting in a permanent record;</w:t>
      </w:r>
    </w:p>
    <w:p w14:paraId="74339C7F" w14:textId="77777777" w:rsidR="00BB77C0" w:rsidRDefault="00370BAA">
      <w:pPr>
        <w:pStyle w:val="ListParagraph"/>
        <w:numPr>
          <w:ilvl w:val="0"/>
          <w:numId w:val="26"/>
        </w:numPr>
        <w:tabs>
          <w:tab w:val="left" w:pos="1598"/>
        </w:tabs>
        <w:spacing w:before="89"/>
        <w:ind w:left="1598" w:hanging="537"/>
        <w:jc w:val="both"/>
      </w:pPr>
      <w:r>
        <w:rPr>
          <w:color w:val="211F1F"/>
          <w:spacing w:val="-4"/>
        </w:rPr>
        <w:t>The</w:t>
      </w:r>
      <w:r>
        <w:rPr>
          <w:color w:val="211F1F"/>
          <w:spacing w:val="-15"/>
        </w:rPr>
        <w:t xml:space="preserve"> </w:t>
      </w:r>
      <w:r>
        <w:rPr>
          <w:color w:val="211F1F"/>
          <w:spacing w:val="-4"/>
        </w:rPr>
        <w:t>Initial</w:t>
      </w:r>
      <w:r>
        <w:rPr>
          <w:color w:val="211F1F"/>
          <w:spacing w:val="-11"/>
        </w:rPr>
        <w:t xml:space="preserve"> </w:t>
      </w:r>
      <w:r>
        <w:rPr>
          <w:color w:val="211F1F"/>
          <w:spacing w:val="-4"/>
        </w:rPr>
        <w:t>Contract</w:t>
      </w:r>
      <w:r>
        <w:rPr>
          <w:color w:val="211F1F"/>
          <w:spacing w:val="-5"/>
        </w:rPr>
        <w:t xml:space="preserve"> </w:t>
      </w:r>
      <w:r>
        <w:rPr>
          <w:color w:val="211F1F"/>
          <w:spacing w:val="-4"/>
        </w:rPr>
        <w:t>Price</w:t>
      </w:r>
      <w:r>
        <w:rPr>
          <w:color w:val="211F1F"/>
          <w:spacing w:val="-10"/>
        </w:rPr>
        <w:t xml:space="preserve"> </w:t>
      </w:r>
      <w:r>
        <w:rPr>
          <w:color w:val="211F1F"/>
          <w:spacing w:val="-4"/>
        </w:rPr>
        <w:t>is</w:t>
      </w:r>
      <w:r>
        <w:rPr>
          <w:color w:val="211F1F"/>
          <w:spacing w:val="-6"/>
        </w:rPr>
        <w:t xml:space="preserve"> </w:t>
      </w:r>
      <w:r>
        <w:rPr>
          <w:color w:val="211F1F"/>
          <w:spacing w:val="-4"/>
        </w:rPr>
        <w:t>the</w:t>
      </w:r>
      <w:r>
        <w:rPr>
          <w:color w:val="211F1F"/>
          <w:spacing w:val="-9"/>
        </w:rPr>
        <w:t xml:space="preserve"> </w:t>
      </w:r>
      <w:r>
        <w:rPr>
          <w:color w:val="211F1F"/>
          <w:spacing w:val="-4"/>
        </w:rPr>
        <w:t>Contract</w:t>
      </w:r>
      <w:r>
        <w:rPr>
          <w:color w:val="211F1F"/>
          <w:spacing w:val="-11"/>
        </w:rPr>
        <w:t xml:space="preserve"> </w:t>
      </w:r>
      <w:r>
        <w:rPr>
          <w:color w:val="211F1F"/>
          <w:spacing w:val="-4"/>
        </w:rPr>
        <w:t>Price</w:t>
      </w:r>
      <w:r>
        <w:rPr>
          <w:color w:val="211F1F"/>
          <w:spacing w:val="-10"/>
        </w:rPr>
        <w:t xml:space="preserve"> </w:t>
      </w:r>
      <w:r>
        <w:rPr>
          <w:color w:val="211F1F"/>
          <w:spacing w:val="-4"/>
        </w:rPr>
        <w:t>listed</w:t>
      </w:r>
      <w:r>
        <w:rPr>
          <w:color w:val="211F1F"/>
          <w:spacing w:val="-13"/>
        </w:rPr>
        <w:t xml:space="preserve"> </w:t>
      </w:r>
      <w:r>
        <w:rPr>
          <w:color w:val="211F1F"/>
          <w:spacing w:val="-4"/>
        </w:rPr>
        <w:t>in</w:t>
      </w:r>
      <w:r>
        <w:rPr>
          <w:color w:val="211F1F"/>
          <w:spacing w:val="-8"/>
        </w:rPr>
        <w:t xml:space="preserve"> </w:t>
      </w:r>
      <w:r>
        <w:rPr>
          <w:color w:val="211F1F"/>
          <w:spacing w:val="-4"/>
        </w:rPr>
        <w:t>the</w:t>
      </w:r>
      <w:r>
        <w:rPr>
          <w:color w:val="211F1F"/>
          <w:spacing w:val="-9"/>
        </w:rPr>
        <w:t xml:space="preserve"> </w:t>
      </w:r>
      <w:r>
        <w:rPr>
          <w:color w:val="211F1F"/>
          <w:spacing w:val="-4"/>
        </w:rPr>
        <w:t>Procuring</w:t>
      </w:r>
      <w:r>
        <w:rPr>
          <w:color w:val="211F1F"/>
          <w:spacing w:val="-6"/>
        </w:rPr>
        <w:t xml:space="preserve"> </w:t>
      </w:r>
      <w:r>
        <w:rPr>
          <w:color w:val="211F1F"/>
          <w:spacing w:val="-4"/>
        </w:rPr>
        <w:t>Entity's</w:t>
      </w:r>
      <w:r>
        <w:rPr>
          <w:color w:val="211F1F"/>
          <w:spacing w:val="-6"/>
        </w:rPr>
        <w:t xml:space="preserve"> </w:t>
      </w:r>
      <w:r>
        <w:rPr>
          <w:color w:val="211F1F"/>
          <w:spacing w:val="-4"/>
        </w:rPr>
        <w:t>Letter</w:t>
      </w:r>
      <w:r>
        <w:rPr>
          <w:color w:val="211F1F"/>
          <w:spacing w:val="-2"/>
        </w:rPr>
        <w:t xml:space="preserve"> </w:t>
      </w:r>
      <w:r>
        <w:rPr>
          <w:color w:val="211F1F"/>
          <w:spacing w:val="-4"/>
        </w:rPr>
        <w:t>of</w:t>
      </w:r>
      <w:r>
        <w:rPr>
          <w:color w:val="211F1F"/>
          <w:spacing w:val="-21"/>
        </w:rPr>
        <w:t xml:space="preserve"> </w:t>
      </w:r>
      <w:r>
        <w:rPr>
          <w:color w:val="211F1F"/>
          <w:spacing w:val="-4"/>
        </w:rPr>
        <w:t>Acceptance.</w:t>
      </w:r>
    </w:p>
    <w:p w14:paraId="7B07AF2A" w14:textId="77777777" w:rsidR="00BB77C0" w:rsidRDefault="00370BAA">
      <w:pPr>
        <w:pStyle w:val="ListParagraph"/>
        <w:numPr>
          <w:ilvl w:val="0"/>
          <w:numId w:val="26"/>
        </w:numPr>
        <w:tabs>
          <w:tab w:val="left" w:pos="1596"/>
          <w:tab w:val="left" w:pos="1608"/>
        </w:tabs>
        <w:spacing w:before="101" w:line="230" w:lineRule="auto"/>
        <w:ind w:left="1608" w:right="706" w:hanging="553"/>
        <w:jc w:val="both"/>
      </w:pPr>
      <w:r>
        <w:rPr>
          <w:b/>
          <w:color w:val="211F1F"/>
        </w:rPr>
        <w:t>The</w:t>
      </w:r>
      <w:r>
        <w:rPr>
          <w:b/>
          <w:color w:val="211F1F"/>
          <w:spacing w:val="-3"/>
        </w:rPr>
        <w:t xml:space="preserve"> </w:t>
      </w:r>
      <w:r>
        <w:rPr>
          <w:b/>
          <w:color w:val="211F1F"/>
        </w:rPr>
        <w:t>Intended</w:t>
      </w:r>
      <w:r>
        <w:rPr>
          <w:b/>
          <w:color w:val="211F1F"/>
          <w:spacing w:val="-4"/>
        </w:rPr>
        <w:t xml:space="preserve"> </w:t>
      </w:r>
      <w:r>
        <w:rPr>
          <w:b/>
          <w:color w:val="211F1F"/>
        </w:rPr>
        <w:t>Completion</w:t>
      </w:r>
      <w:r>
        <w:rPr>
          <w:b/>
          <w:color w:val="211F1F"/>
          <w:spacing w:val="-7"/>
        </w:rPr>
        <w:t xml:space="preserve"> </w:t>
      </w:r>
      <w:r>
        <w:rPr>
          <w:b/>
          <w:color w:val="211F1F"/>
        </w:rPr>
        <w:t>Date</w:t>
      </w:r>
      <w:r>
        <w:rPr>
          <w:b/>
          <w:color w:val="211F1F"/>
          <w:spacing w:val="-3"/>
        </w:rPr>
        <w:t xml:space="preserve"> </w:t>
      </w:r>
      <w:r>
        <w:rPr>
          <w:color w:val="211F1F"/>
        </w:rPr>
        <w:t>is</w:t>
      </w:r>
      <w:r>
        <w:rPr>
          <w:color w:val="211F1F"/>
          <w:spacing w:val="-1"/>
        </w:rPr>
        <w:t xml:space="preserve"> </w:t>
      </w:r>
      <w:r>
        <w:rPr>
          <w:color w:val="211F1F"/>
        </w:rPr>
        <w:t>the</w:t>
      </w:r>
      <w:r>
        <w:rPr>
          <w:color w:val="211F1F"/>
          <w:spacing w:val="-7"/>
        </w:rPr>
        <w:t xml:space="preserve"> </w:t>
      </w:r>
      <w:r>
        <w:rPr>
          <w:color w:val="211F1F"/>
        </w:rPr>
        <w:t>date</w:t>
      </w:r>
      <w:r>
        <w:rPr>
          <w:color w:val="211F1F"/>
          <w:spacing w:val="-7"/>
        </w:rPr>
        <w:t xml:space="preserve"> </w:t>
      </w:r>
      <w:r>
        <w:rPr>
          <w:color w:val="211F1F"/>
        </w:rPr>
        <w:t>on</w:t>
      </w:r>
      <w:r>
        <w:rPr>
          <w:color w:val="211F1F"/>
          <w:spacing w:val="-2"/>
        </w:rPr>
        <w:t xml:space="preserve"> </w:t>
      </w:r>
      <w:r>
        <w:rPr>
          <w:color w:val="211F1F"/>
        </w:rPr>
        <w:t>which</w:t>
      </w:r>
      <w:r>
        <w:rPr>
          <w:color w:val="211F1F"/>
          <w:spacing w:val="-5"/>
        </w:rPr>
        <w:t xml:space="preserve"> </w:t>
      </w:r>
      <w:r>
        <w:rPr>
          <w:color w:val="211F1F"/>
        </w:rPr>
        <w:t>it</w:t>
      </w:r>
      <w:r>
        <w:rPr>
          <w:color w:val="211F1F"/>
          <w:spacing w:val="-1"/>
        </w:rPr>
        <w:t xml:space="preserve"> </w:t>
      </w:r>
      <w:r>
        <w:rPr>
          <w:color w:val="211F1F"/>
        </w:rPr>
        <w:t>is</w:t>
      </w:r>
      <w:r>
        <w:rPr>
          <w:color w:val="211F1F"/>
          <w:spacing w:val="-5"/>
        </w:rPr>
        <w:t xml:space="preserve"> </w:t>
      </w:r>
      <w:r>
        <w:rPr>
          <w:color w:val="211F1F"/>
        </w:rPr>
        <w:t>intended</w:t>
      </w:r>
      <w:r>
        <w:rPr>
          <w:color w:val="211F1F"/>
          <w:spacing w:val="-10"/>
        </w:rPr>
        <w:t xml:space="preserve"> </w:t>
      </w:r>
      <w:r>
        <w:rPr>
          <w:color w:val="211F1F"/>
        </w:rPr>
        <w:t>that the</w:t>
      </w:r>
      <w:r>
        <w:rPr>
          <w:color w:val="211F1F"/>
          <w:spacing w:val="-7"/>
        </w:rPr>
        <w:t xml:space="preserve"> </w:t>
      </w:r>
      <w:r>
        <w:rPr>
          <w:color w:val="211F1F"/>
        </w:rPr>
        <w:t>Contractor shall</w:t>
      </w:r>
      <w:r>
        <w:rPr>
          <w:color w:val="211F1F"/>
          <w:spacing w:val="-5"/>
        </w:rPr>
        <w:t xml:space="preserve"> </w:t>
      </w:r>
      <w:r>
        <w:rPr>
          <w:color w:val="211F1F"/>
        </w:rPr>
        <w:t>complete</w:t>
      </w:r>
      <w:r>
        <w:rPr>
          <w:color w:val="211F1F"/>
          <w:spacing w:val="-6"/>
        </w:rPr>
        <w:t xml:space="preserve"> </w:t>
      </w:r>
      <w:r>
        <w:rPr>
          <w:color w:val="211F1F"/>
        </w:rPr>
        <w:t>the Works. The Intended Completion</w:t>
      </w:r>
      <w:r>
        <w:rPr>
          <w:color w:val="211F1F"/>
          <w:spacing w:val="-1"/>
        </w:rPr>
        <w:t xml:space="preserve"> </w:t>
      </w:r>
      <w:r>
        <w:rPr>
          <w:color w:val="211F1F"/>
        </w:rPr>
        <w:t xml:space="preserve">Date is </w:t>
      </w:r>
      <w:r>
        <w:rPr>
          <w:b/>
          <w:color w:val="211F1F"/>
        </w:rPr>
        <w:t>specified in the SCC</w:t>
      </w:r>
      <w:r>
        <w:rPr>
          <w:color w:val="211F1F"/>
        </w:rPr>
        <w:t>.</w:t>
      </w:r>
      <w:r>
        <w:rPr>
          <w:color w:val="211F1F"/>
          <w:spacing w:val="40"/>
        </w:rPr>
        <w:t xml:space="preserve"> </w:t>
      </w:r>
      <w:r>
        <w:rPr>
          <w:color w:val="211F1F"/>
        </w:rPr>
        <w:t>The Intended</w:t>
      </w:r>
      <w:r>
        <w:rPr>
          <w:color w:val="211F1F"/>
          <w:spacing w:val="-2"/>
        </w:rPr>
        <w:t xml:space="preserve"> </w:t>
      </w:r>
      <w:r>
        <w:rPr>
          <w:color w:val="211F1F"/>
        </w:rPr>
        <w:t>Completion Date may be revised</w:t>
      </w:r>
      <w:r>
        <w:rPr>
          <w:color w:val="211F1F"/>
          <w:spacing w:val="-3"/>
        </w:rPr>
        <w:t xml:space="preserve"> </w:t>
      </w:r>
      <w:r>
        <w:rPr>
          <w:color w:val="211F1F"/>
        </w:rPr>
        <w:t>only</w:t>
      </w:r>
      <w:r>
        <w:rPr>
          <w:color w:val="211F1F"/>
          <w:spacing w:val="-8"/>
        </w:rPr>
        <w:t xml:space="preserve"> </w:t>
      </w:r>
      <w:r>
        <w:rPr>
          <w:color w:val="211F1F"/>
        </w:rPr>
        <w:t>by</w:t>
      </w:r>
      <w:r>
        <w:rPr>
          <w:color w:val="211F1F"/>
          <w:spacing w:val="-9"/>
        </w:rPr>
        <w:t xml:space="preserve"> </w:t>
      </w:r>
      <w:r>
        <w:rPr>
          <w:color w:val="211F1F"/>
        </w:rPr>
        <w:t>the</w:t>
      </w:r>
      <w:r>
        <w:rPr>
          <w:color w:val="211F1F"/>
          <w:spacing w:val="-12"/>
        </w:rPr>
        <w:t xml:space="preserve"> </w:t>
      </w:r>
      <w:r>
        <w:rPr>
          <w:color w:val="211F1F"/>
        </w:rPr>
        <w:t>Project</w:t>
      </w:r>
      <w:r>
        <w:rPr>
          <w:color w:val="211F1F"/>
          <w:spacing w:val="-7"/>
        </w:rPr>
        <w:t xml:space="preserve"> </w:t>
      </w:r>
      <w:r>
        <w:rPr>
          <w:color w:val="211F1F"/>
        </w:rPr>
        <w:t>Manager by</w:t>
      </w:r>
      <w:r>
        <w:rPr>
          <w:color w:val="211F1F"/>
          <w:spacing w:val="-9"/>
        </w:rPr>
        <w:t xml:space="preserve"> </w:t>
      </w:r>
      <w:r>
        <w:rPr>
          <w:color w:val="211F1F"/>
        </w:rPr>
        <w:t>issuing</w:t>
      </w:r>
      <w:r>
        <w:rPr>
          <w:color w:val="211F1F"/>
          <w:spacing w:val="-9"/>
        </w:rPr>
        <w:t xml:space="preserve"> </w:t>
      </w:r>
      <w:r>
        <w:rPr>
          <w:color w:val="211F1F"/>
        </w:rPr>
        <w:t>an</w:t>
      </w:r>
      <w:r>
        <w:rPr>
          <w:color w:val="211F1F"/>
          <w:spacing w:val="-9"/>
        </w:rPr>
        <w:t xml:space="preserve"> </w:t>
      </w:r>
      <w:r>
        <w:rPr>
          <w:color w:val="211F1F"/>
        </w:rPr>
        <w:t>extension</w:t>
      </w:r>
      <w:r>
        <w:rPr>
          <w:color w:val="211F1F"/>
          <w:spacing w:val="-8"/>
        </w:rPr>
        <w:t xml:space="preserve"> </w:t>
      </w:r>
      <w:r>
        <w:rPr>
          <w:color w:val="211F1F"/>
        </w:rPr>
        <w:t>of</w:t>
      </w:r>
      <w:r>
        <w:rPr>
          <w:color w:val="211F1F"/>
          <w:spacing w:val="-12"/>
        </w:rPr>
        <w:t xml:space="preserve"> </w:t>
      </w:r>
      <w:r>
        <w:rPr>
          <w:color w:val="211F1F"/>
        </w:rPr>
        <w:t>time</w:t>
      </w:r>
      <w:r>
        <w:rPr>
          <w:color w:val="211F1F"/>
          <w:spacing w:val="-4"/>
        </w:rPr>
        <w:t xml:space="preserve"> </w:t>
      </w:r>
      <w:r>
        <w:rPr>
          <w:color w:val="211F1F"/>
        </w:rPr>
        <w:t>or an</w:t>
      </w:r>
      <w:r>
        <w:rPr>
          <w:color w:val="211F1F"/>
          <w:spacing w:val="-9"/>
        </w:rPr>
        <w:t xml:space="preserve"> </w:t>
      </w:r>
      <w:r>
        <w:rPr>
          <w:color w:val="211F1F"/>
        </w:rPr>
        <w:t>acceleration</w:t>
      </w:r>
      <w:r>
        <w:rPr>
          <w:color w:val="211F1F"/>
          <w:spacing w:val="-8"/>
        </w:rPr>
        <w:t xml:space="preserve"> </w:t>
      </w:r>
      <w:r>
        <w:rPr>
          <w:color w:val="211F1F"/>
        </w:rPr>
        <w:t>order.</w:t>
      </w:r>
    </w:p>
    <w:p w14:paraId="70D7E859" w14:textId="77777777" w:rsidR="00BB77C0" w:rsidRDefault="00370BAA">
      <w:pPr>
        <w:pStyle w:val="ListParagraph"/>
        <w:numPr>
          <w:ilvl w:val="0"/>
          <w:numId w:val="26"/>
        </w:numPr>
        <w:tabs>
          <w:tab w:val="left" w:pos="1597"/>
        </w:tabs>
        <w:spacing w:before="90"/>
        <w:ind w:left="1597" w:hanging="541"/>
        <w:jc w:val="both"/>
      </w:pPr>
      <w:r>
        <w:rPr>
          <w:b/>
          <w:color w:val="211F1F"/>
          <w:spacing w:val="-4"/>
        </w:rPr>
        <w:t>Materials</w:t>
      </w:r>
      <w:r>
        <w:rPr>
          <w:b/>
          <w:color w:val="211F1F"/>
          <w:spacing w:val="-1"/>
        </w:rPr>
        <w:t xml:space="preserve"> </w:t>
      </w:r>
      <w:r>
        <w:rPr>
          <w:color w:val="211F1F"/>
          <w:spacing w:val="-4"/>
        </w:rPr>
        <w:t>are</w:t>
      </w:r>
      <w:r>
        <w:rPr>
          <w:color w:val="211F1F"/>
          <w:spacing w:val="-14"/>
        </w:rPr>
        <w:t xml:space="preserve"> </w:t>
      </w:r>
      <w:r>
        <w:rPr>
          <w:color w:val="211F1F"/>
          <w:spacing w:val="-4"/>
        </w:rPr>
        <w:t>all</w:t>
      </w:r>
      <w:r>
        <w:rPr>
          <w:color w:val="211F1F"/>
          <w:spacing w:val="-6"/>
        </w:rPr>
        <w:t xml:space="preserve"> </w:t>
      </w:r>
      <w:r>
        <w:rPr>
          <w:color w:val="211F1F"/>
          <w:spacing w:val="-4"/>
        </w:rPr>
        <w:t>supplies,</w:t>
      </w:r>
      <w:r>
        <w:rPr>
          <w:color w:val="211F1F"/>
          <w:spacing w:val="-3"/>
        </w:rPr>
        <w:t xml:space="preserve"> </w:t>
      </w:r>
      <w:r>
        <w:rPr>
          <w:color w:val="211F1F"/>
          <w:spacing w:val="-4"/>
        </w:rPr>
        <w:t>including</w:t>
      </w:r>
      <w:r>
        <w:rPr>
          <w:color w:val="211F1F"/>
          <w:spacing w:val="-7"/>
        </w:rPr>
        <w:t xml:space="preserve"> </w:t>
      </w:r>
      <w:r>
        <w:rPr>
          <w:color w:val="211F1F"/>
          <w:spacing w:val="-4"/>
        </w:rPr>
        <w:t>consumables,</w:t>
      </w:r>
      <w:r>
        <w:rPr>
          <w:color w:val="211F1F"/>
          <w:spacing w:val="-1"/>
        </w:rPr>
        <w:t xml:space="preserve"> </w:t>
      </w:r>
      <w:r>
        <w:rPr>
          <w:color w:val="211F1F"/>
          <w:spacing w:val="-4"/>
        </w:rPr>
        <w:t>used</w:t>
      </w:r>
      <w:r>
        <w:rPr>
          <w:color w:val="211F1F"/>
          <w:spacing w:val="-12"/>
        </w:rPr>
        <w:t xml:space="preserve"> </w:t>
      </w:r>
      <w:r>
        <w:rPr>
          <w:color w:val="211F1F"/>
          <w:spacing w:val="-4"/>
        </w:rPr>
        <w:t>by</w:t>
      </w:r>
      <w:r>
        <w:rPr>
          <w:color w:val="211F1F"/>
          <w:spacing w:val="-1"/>
        </w:rPr>
        <w:t xml:space="preserve"> </w:t>
      </w:r>
      <w:r>
        <w:rPr>
          <w:color w:val="211F1F"/>
          <w:spacing w:val="-4"/>
        </w:rPr>
        <w:t>the</w:t>
      </w:r>
      <w:r>
        <w:rPr>
          <w:color w:val="211F1F"/>
          <w:spacing w:val="-9"/>
        </w:rPr>
        <w:t xml:space="preserve"> </w:t>
      </w:r>
      <w:r>
        <w:rPr>
          <w:color w:val="211F1F"/>
          <w:spacing w:val="-4"/>
        </w:rPr>
        <w:t>Contractor</w:t>
      </w:r>
      <w:r>
        <w:rPr>
          <w:color w:val="211F1F"/>
        </w:rPr>
        <w:t xml:space="preserve"> </w:t>
      </w:r>
      <w:r>
        <w:rPr>
          <w:color w:val="211F1F"/>
          <w:spacing w:val="-4"/>
        </w:rPr>
        <w:t>for</w:t>
      </w:r>
      <w:r>
        <w:rPr>
          <w:color w:val="211F1F"/>
          <w:spacing w:val="-3"/>
        </w:rPr>
        <w:t xml:space="preserve"> </w:t>
      </w:r>
      <w:r>
        <w:rPr>
          <w:color w:val="211F1F"/>
          <w:spacing w:val="-4"/>
        </w:rPr>
        <w:t>incorporation</w:t>
      </w:r>
      <w:r>
        <w:rPr>
          <w:color w:val="211F1F"/>
          <w:spacing w:val="-12"/>
        </w:rPr>
        <w:t xml:space="preserve"> </w:t>
      </w:r>
      <w:r>
        <w:rPr>
          <w:color w:val="211F1F"/>
          <w:spacing w:val="-4"/>
        </w:rPr>
        <w:t>in</w:t>
      </w:r>
      <w:r>
        <w:rPr>
          <w:color w:val="211F1F"/>
          <w:spacing w:val="-7"/>
        </w:rPr>
        <w:t xml:space="preserve"> </w:t>
      </w:r>
      <w:r>
        <w:rPr>
          <w:color w:val="211F1F"/>
          <w:spacing w:val="-4"/>
        </w:rPr>
        <w:t>the</w:t>
      </w:r>
      <w:r>
        <w:rPr>
          <w:color w:val="211F1F"/>
          <w:spacing w:val="-14"/>
        </w:rPr>
        <w:t xml:space="preserve"> </w:t>
      </w:r>
      <w:r>
        <w:rPr>
          <w:color w:val="211F1F"/>
          <w:spacing w:val="-4"/>
        </w:rPr>
        <w:t>Works.</w:t>
      </w:r>
    </w:p>
    <w:p w14:paraId="25F9958B" w14:textId="77777777" w:rsidR="00BB77C0" w:rsidRDefault="00370BAA">
      <w:pPr>
        <w:pStyle w:val="ListParagraph"/>
        <w:numPr>
          <w:ilvl w:val="0"/>
          <w:numId w:val="26"/>
        </w:numPr>
        <w:tabs>
          <w:tab w:val="left" w:pos="1591"/>
          <w:tab w:val="left" w:pos="1608"/>
        </w:tabs>
        <w:spacing w:before="90" w:line="237" w:lineRule="auto"/>
        <w:ind w:left="1608" w:right="1061" w:hanging="553"/>
        <w:jc w:val="both"/>
      </w:pPr>
      <w:r>
        <w:rPr>
          <w:b/>
          <w:color w:val="211F1F"/>
        </w:rPr>
        <w:t>Plant</w:t>
      </w:r>
      <w:r>
        <w:rPr>
          <w:b/>
          <w:color w:val="211F1F"/>
          <w:spacing w:val="-9"/>
        </w:rPr>
        <w:t xml:space="preserve"> </w:t>
      </w:r>
      <w:r>
        <w:rPr>
          <w:b/>
          <w:color w:val="211F1F"/>
        </w:rPr>
        <w:t>i</w:t>
      </w:r>
      <w:r>
        <w:rPr>
          <w:color w:val="211F1F"/>
        </w:rPr>
        <w:t>s</w:t>
      </w:r>
      <w:r>
        <w:rPr>
          <w:color w:val="211F1F"/>
          <w:spacing w:val="-7"/>
        </w:rPr>
        <w:t xml:space="preserve"> </w:t>
      </w:r>
      <w:r>
        <w:rPr>
          <w:color w:val="211F1F"/>
        </w:rPr>
        <w:t>any</w:t>
      </w:r>
      <w:r>
        <w:rPr>
          <w:color w:val="211F1F"/>
          <w:spacing w:val="-7"/>
        </w:rPr>
        <w:t xml:space="preserve"> </w:t>
      </w:r>
      <w:r>
        <w:rPr>
          <w:color w:val="211F1F"/>
        </w:rPr>
        <w:t>integral</w:t>
      </w:r>
      <w:r>
        <w:rPr>
          <w:color w:val="211F1F"/>
          <w:spacing w:val="-6"/>
        </w:rPr>
        <w:t xml:space="preserve"> </w:t>
      </w:r>
      <w:r>
        <w:rPr>
          <w:color w:val="211F1F"/>
        </w:rPr>
        <w:t>part</w:t>
      </w:r>
      <w:r>
        <w:rPr>
          <w:color w:val="211F1F"/>
          <w:spacing w:val="-11"/>
        </w:rPr>
        <w:t xml:space="preserve"> </w:t>
      </w:r>
      <w:r>
        <w:rPr>
          <w:color w:val="211F1F"/>
        </w:rPr>
        <w:t>of</w:t>
      </w:r>
      <w:r>
        <w:rPr>
          <w:color w:val="211F1F"/>
          <w:spacing w:val="-9"/>
        </w:rPr>
        <w:t xml:space="preserve"> </w:t>
      </w:r>
      <w:r>
        <w:rPr>
          <w:color w:val="211F1F"/>
        </w:rPr>
        <w:t>the</w:t>
      </w:r>
      <w:r>
        <w:rPr>
          <w:color w:val="211F1F"/>
          <w:spacing w:val="-14"/>
        </w:rPr>
        <w:t xml:space="preserve"> </w:t>
      </w:r>
      <w:r>
        <w:rPr>
          <w:color w:val="211F1F"/>
        </w:rPr>
        <w:t>Works</w:t>
      </w:r>
      <w:r>
        <w:rPr>
          <w:color w:val="211F1F"/>
          <w:spacing w:val="-11"/>
        </w:rPr>
        <w:t xml:space="preserve"> </w:t>
      </w:r>
      <w:r>
        <w:rPr>
          <w:color w:val="211F1F"/>
        </w:rPr>
        <w:t>that</w:t>
      </w:r>
      <w:r>
        <w:rPr>
          <w:color w:val="211F1F"/>
          <w:spacing w:val="-6"/>
        </w:rPr>
        <w:t xml:space="preserve"> </w:t>
      </w:r>
      <w:r>
        <w:rPr>
          <w:color w:val="211F1F"/>
        </w:rPr>
        <w:t>shall</w:t>
      </w:r>
      <w:r>
        <w:rPr>
          <w:color w:val="211F1F"/>
          <w:spacing w:val="-11"/>
        </w:rPr>
        <w:t xml:space="preserve"> </w:t>
      </w:r>
      <w:r>
        <w:rPr>
          <w:color w:val="211F1F"/>
        </w:rPr>
        <w:t>have</w:t>
      </w:r>
      <w:r>
        <w:rPr>
          <w:color w:val="211F1F"/>
          <w:spacing w:val="-14"/>
        </w:rPr>
        <w:t xml:space="preserve"> </w:t>
      </w:r>
      <w:r>
        <w:rPr>
          <w:color w:val="211F1F"/>
        </w:rPr>
        <w:t>a</w:t>
      </w:r>
      <w:r>
        <w:rPr>
          <w:color w:val="211F1F"/>
          <w:spacing w:val="-5"/>
        </w:rPr>
        <w:t xml:space="preserve"> </w:t>
      </w:r>
      <w:r>
        <w:rPr>
          <w:color w:val="211F1F"/>
        </w:rPr>
        <w:t>mechanical, electrical,</w:t>
      </w:r>
      <w:r>
        <w:rPr>
          <w:color w:val="211F1F"/>
          <w:spacing w:val="-5"/>
        </w:rPr>
        <w:t xml:space="preserve"> </w:t>
      </w:r>
      <w:r>
        <w:rPr>
          <w:color w:val="211F1F"/>
        </w:rPr>
        <w:t>chemical,</w:t>
      </w:r>
      <w:r>
        <w:rPr>
          <w:color w:val="211F1F"/>
          <w:spacing w:val="-5"/>
        </w:rPr>
        <w:t xml:space="preserve"> </w:t>
      </w:r>
      <w:r>
        <w:rPr>
          <w:color w:val="211F1F"/>
        </w:rPr>
        <w:t>or</w:t>
      </w:r>
      <w:r>
        <w:rPr>
          <w:color w:val="211F1F"/>
          <w:spacing w:val="-5"/>
        </w:rPr>
        <w:t xml:space="preserve"> </w:t>
      </w:r>
      <w:r>
        <w:rPr>
          <w:color w:val="211F1F"/>
        </w:rPr>
        <w:t xml:space="preserve">biological </w:t>
      </w:r>
      <w:r>
        <w:rPr>
          <w:color w:val="211F1F"/>
          <w:spacing w:val="-2"/>
        </w:rPr>
        <w:t>function.</w:t>
      </w:r>
    </w:p>
    <w:p w14:paraId="72EACF08" w14:textId="77777777" w:rsidR="00BB77C0" w:rsidRDefault="00370BAA">
      <w:pPr>
        <w:pStyle w:val="ListParagraph"/>
        <w:numPr>
          <w:ilvl w:val="0"/>
          <w:numId w:val="26"/>
        </w:numPr>
        <w:tabs>
          <w:tab w:val="left" w:pos="1592"/>
          <w:tab w:val="left" w:pos="1608"/>
        </w:tabs>
        <w:spacing w:before="90" w:line="230" w:lineRule="auto"/>
        <w:ind w:left="1608" w:right="711" w:hanging="553"/>
        <w:jc w:val="both"/>
      </w:pPr>
      <w:r>
        <w:rPr>
          <w:b/>
          <w:color w:val="211F1F"/>
        </w:rPr>
        <w:t>The Project</w:t>
      </w:r>
      <w:r>
        <w:rPr>
          <w:b/>
          <w:color w:val="211F1F"/>
          <w:spacing w:val="-4"/>
        </w:rPr>
        <w:t xml:space="preserve"> </w:t>
      </w:r>
      <w:r>
        <w:rPr>
          <w:b/>
          <w:color w:val="211F1F"/>
        </w:rPr>
        <w:t>Manager</w:t>
      </w:r>
      <w:r>
        <w:rPr>
          <w:b/>
          <w:color w:val="211F1F"/>
          <w:spacing w:val="-4"/>
        </w:rPr>
        <w:t xml:space="preserve"> </w:t>
      </w:r>
      <w:r>
        <w:rPr>
          <w:color w:val="211F1F"/>
        </w:rPr>
        <w:t>is</w:t>
      </w:r>
      <w:r>
        <w:rPr>
          <w:color w:val="211F1F"/>
          <w:spacing w:val="-2"/>
        </w:rPr>
        <w:t xml:space="preserve"> </w:t>
      </w:r>
      <w:r>
        <w:rPr>
          <w:color w:val="211F1F"/>
        </w:rPr>
        <w:t>the</w:t>
      </w:r>
      <w:r>
        <w:rPr>
          <w:color w:val="211F1F"/>
          <w:spacing w:val="-8"/>
        </w:rPr>
        <w:t xml:space="preserve"> </w:t>
      </w:r>
      <w:r>
        <w:rPr>
          <w:color w:val="211F1F"/>
        </w:rPr>
        <w:t>person</w:t>
      </w:r>
      <w:r>
        <w:rPr>
          <w:color w:val="211F1F"/>
          <w:spacing w:val="-6"/>
        </w:rPr>
        <w:t xml:space="preserve"> </w:t>
      </w:r>
      <w:r>
        <w:rPr>
          <w:b/>
          <w:color w:val="211F1F"/>
        </w:rPr>
        <w:t>named</w:t>
      </w:r>
      <w:r>
        <w:rPr>
          <w:b/>
          <w:color w:val="211F1F"/>
          <w:spacing w:val="-4"/>
        </w:rPr>
        <w:t xml:space="preserve"> </w:t>
      </w:r>
      <w:r>
        <w:rPr>
          <w:b/>
          <w:color w:val="211F1F"/>
        </w:rPr>
        <w:t>in</w:t>
      </w:r>
      <w:r>
        <w:rPr>
          <w:b/>
          <w:color w:val="211F1F"/>
          <w:spacing w:val="-9"/>
        </w:rPr>
        <w:t xml:space="preserve"> </w:t>
      </w:r>
      <w:r>
        <w:rPr>
          <w:b/>
          <w:color w:val="211F1F"/>
        </w:rPr>
        <w:t>the</w:t>
      </w:r>
      <w:r>
        <w:rPr>
          <w:b/>
          <w:color w:val="211F1F"/>
          <w:spacing w:val="-4"/>
        </w:rPr>
        <w:t xml:space="preserve"> </w:t>
      </w:r>
      <w:r>
        <w:rPr>
          <w:b/>
          <w:color w:val="211F1F"/>
        </w:rPr>
        <w:t>SCC</w:t>
      </w:r>
      <w:r>
        <w:rPr>
          <w:b/>
          <w:color w:val="211F1F"/>
          <w:spacing w:val="-3"/>
        </w:rPr>
        <w:t xml:space="preserve"> </w:t>
      </w:r>
      <w:r>
        <w:rPr>
          <w:color w:val="211F1F"/>
        </w:rPr>
        <w:t>(or</w:t>
      </w:r>
      <w:r>
        <w:rPr>
          <w:color w:val="211F1F"/>
          <w:spacing w:val="-4"/>
        </w:rPr>
        <w:t xml:space="preserve"> </w:t>
      </w:r>
      <w:r>
        <w:rPr>
          <w:color w:val="211F1F"/>
        </w:rPr>
        <w:t>any</w:t>
      </w:r>
      <w:r>
        <w:rPr>
          <w:color w:val="211F1F"/>
          <w:spacing w:val="-6"/>
        </w:rPr>
        <w:t xml:space="preserve"> </w:t>
      </w:r>
      <w:r>
        <w:rPr>
          <w:color w:val="211F1F"/>
        </w:rPr>
        <w:t>other competent</w:t>
      </w:r>
      <w:r>
        <w:rPr>
          <w:color w:val="211F1F"/>
          <w:spacing w:val="-1"/>
        </w:rPr>
        <w:t xml:space="preserve"> </w:t>
      </w:r>
      <w:r>
        <w:rPr>
          <w:color w:val="211F1F"/>
        </w:rPr>
        <w:t>person</w:t>
      </w:r>
      <w:r>
        <w:rPr>
          <w:color w:val="211F1F"/>
          <w:spacing w:val="-6"/>
        </w:rPr>
        <w:t xml:space="preserve"> </w:t>
      </w:r>
      <w:r>
        <w:rPr>
          <w:color w:val="211F1F"/>
        </w:rPr>
        <w:t>appointed</w:t>
      </w:r>
      <w:r>
        <w:rPr>
          <w:color w:val="211F1F"/>
          <w:spacing w:val="-5"/>
        </w:rPr>
        <w:t xml:space="preserve"> </w:t>
      </w:r>
      <w:r>
        <w:rPr>
          <w:color w:val="211F1F"/>
        </w:rPr>
        <w:t>by</w:t>
      </w:r>
      <w:r>
        <w:rPr>
          <w:color w:val="211F1F"/>
          <w:spacing w:val="-7"/>
        </w:rPr>
        <w:t xml:space="preserve"> </w:t>
      </w:r>
      <w:r>
        <w:rPr>
          <w:color w:val="211F1F"/>
        </w:rPr>
        <w:t>the Procuring Entity and notified to the Contractor, to act in replacement of the Project Manager) who is responsible</w:t>
      </w:r>
      <w:r>
        <w:rPr>
          <w:color w:val="211F1F"/>
          <w:spacing w:val="-6"/>
        </w:rPr>
        <w:t xml:space="preserve"> </w:t>
      </w:r>
      <w:r>
        <w:rPr>
          <w:color w:val="211F1F"/>
        </w:rPr>
        <w:t>for supervising</w:t>
      </w:r>
      <w:r>
        <w:rPr>
          <w:color w:val="211F1F"/>
          <w:spacing w:val="-4"/>
        </w:rPr>
        <w:t xml:space="preserve"> </w:t>
      </w:r>
      <w:r>
        <w:rPr>
          <w:color w:val="211F1F"/>
        </w:rPr>
        <w:t>the</w:t>
      </w:r>
      <w:r>
        <w:rPr>
          <w:color w:val="211F1F"/>
          <w:spacing w:val="-1"/>
        </w:rPr>
        <w:t xml:space="preserve"> </w:t>
      </w:r>
      <w:r>
        <w:rPr>
          <w:color w:val="211F1F"/>
        </w:rPr>
        <w:t>execution of the</w:t>
      </w:r>
      <w:r>
        <w:rPr>
          <w:color w:val="211F1F"/>
          <w:spacing w:val="-14"/>
        </w:rPr>
        <w:t xml:space="preserve"> </w:t>
      </w:r>
      <w:r>
        <w:rPr>
          <w:color w:val="211F1F"/>
        </w:rPr>
        <w:t>Works and</w:t>
      </w:r>
      <w:r>
        <w:rPr>
          <w:color w:val="211F1F"/>
          <w:spacing w:val="-5"/>
        </w:rPr>
        <w:t xml:space="preserve"> </w:t>
      </w:r>
      <w:r>
        <w:rPr>
          <w:color w:val="211F1F"/>
        </w:rPr>
        <w:t>administering</w:t>
      </w:r>
      <w:r>
        <w:rPr>
          <w:color w:val="211F1F"/>
          <w:spacing w:val="-4"/>
        </w:rPr>
        <w:t xml:space="preserve"> </w:t>
      </w:r>
      <w:r>
        <w:rPr>
          <w:color w:val="211F1F"/>
        </w:rPr>
        <w:t>the</w:t>
      </w:r>
      <w:r>
        <w:rPr>
          <w:color w:val="211F1F"/>
          <w:spacing w:val="-1"/>
        </w:rPr>
        <w:t xml:space="preserve"> </w:t>
      </w:r>
      <w:r>
        <w:rPr>
          <w:color w:val="211F1F"/>
        </w:rPr>
        <w:t>Contract.</w:t>
      </w:r>
    </w:p>
    <w:p w14:paraId="3515686F" w14:textId="77777777" w:rsidR="00BB77C0" w:rsidRDefault="00370BAA">
      <w:pPr>
        <w:pStyle w:val="ListParagraph"/>
        <w:numPr>
          <w:ilvl w:val="0"/>
          <w:numId w:val="26"/>
        </w:numPr>
        <w:tabs>
          <w:tab w:val="left" w:pos="1592"/>
        </w:tabs>
        <w:spacing w:before="90"/>
        <w:ind w:left="1592" w:hanging="536"/>
        <w:jc w:val="both"/>
      </w:pPr>
      <w:r>
        <w:rPr>
          <w:b/>
          <w:color w:val="211F1F"/>
          <w:spacing w:val="-4"/>
        </w:rPr>
        <w:t>SCC</w:t>
      </w:r>
      <w:r>
        <w:rPr>
          <w:b/>
          <w:color w:val="211F1F"/>
          <w:spacing w:val="-7"/>
        </w:rPr>
        <w:t xml:space="preserve"> </w:t>
      </w:r>
      <w:r>
        <w:rPr>
          <w:color w:val="211F1F"/>
          <w:spacing w:val="-4"/>
        </w:rPr>
        <w:t>means</w:t>
      </w:r>
      <w:r>
        <w:rPr>
          <w:color w:val="211F1F"/>
          <w:spacing w:val="-9"/>
        </w:rPr>
        <w:t xml:space="preserve"> </w:t>
      </w:r>
      <w:r>
        <w:rPr>
          <w:color w:val="211F1F"/>
          <w:spacing w:val="-4"/>
        </w:rPr>
        <w:t>Special</w:t>
      </w:r>
      <w:r>
        <w:rPr>
          <w:color w:val="211F1F"/>
          <w:spacing w:val="-16"/>
        </w:rPr>
        <w:t xml:space="preserve"> </w:t>
      </w:r>
      <w:r>
        <w:rPr>
          <w:color w:val="211F1F"/>
          <w:spacing w:val="-4"/>
        </w:rPr>
        <w:t>Conditions</w:t>
      </w:r>
      <w:r>
        <w:rPr>
          <w:color w:val="211F1F"/>
          <w:spacing w:val="-3"/>
        </w:rPr>
        <w:t xml:space="preserve"> </w:t>
      </w:r>
      <w:r>
        <w:rPr>
          <w:color w:val="211F1F"/>
          <w:spacing w:val="-4"/>
        </w:rPr>
        <w:t>of</w:t>
      </w:r>
      <w:r>
        <w:rPr>
          <w:color w:val="211F1F"/>
          <w:spacing w:val="-7"/>
        </w:rPr>
        <w:t xml:space="preserve"> </w:t>
      </w:r>
      <w:r>
        <w:rPr>
          <w:color w:val="211F1F"/>
          <w:spacing w:val="-4"/>
        </w:rPr>
        <w:t>Contract.</w:t>
      </w:r>
    </w:p>
    <w:p w14:paraId="11542DFD" w14:textId="77777777" w:rsidR="00BB77C0" w:rsidRDefault="00370BAA">
      <w:pPr>
        <w:pStyle w:val="ListParagraph"/>
        <w:numPr>
          <w:ilvl w:val="0"/>
          <w:numId w:val="26"/>
        </w:numPr>
        <w:tabs>
          <w:tab w:val="left" w:pos="1592"/>
        </w:tabs>
        <w:spacing w:before="87"/>
        <w:ind w:left="1592" w:hanging="536"/>
        <w:jc w:val="both"/>
      </w:pPr>
      <w:r>
        <w:rPr>
          <w:b/>
          <w:color w:val="211F1F"/>
          <w:spacing w:val="-2"/>
        </w:rPr>
        <w:t>The</w:t>
      </w:r>
      <w:r>
        <w:rPr>
          <w:b/>
          <w:color w:val="211F1F"/>
          <w:spacing w:val="-20"/>
        </w:rPr>
        <w:t xml:space="preserve"> </w:t>
      </w:r>
      <w:r>
        <w:rPr>
          <w:b/>
          <w:color w:val="211F1F"/>
          <w:spacing w:val="-2"/>
        </w:rPr>
        <w:t>Site</w:t>
      </w:r>
      <w:r>
        <w:rPr>
          <w:b/>
          <w:color w:val="211F1F"/>
          <w:spacing w:val="-22"/>
        </w:rPr>
        <w:t xml:space="preserve"> </w:t>
      </w:r>
      <w:r>
        <w:rPr>
          <w:color w:val="211F1F"/>
          <w:spacing w:val="-2"/>
        </w:rPr>
        <w:t>is</w:t>
      </w:r>
      <w:r>
        <w:rPr>
          <w:color w:val="211F1F"/>
          <w:spacing w:val="-20"/>
        </w:rPr>
        <w:t xml:space="preserve"> </w:t>
      </w:r>
      <w:r>
        <w:rPr>
          <w:color w:val="211F1F"/>
          <w:spacing w:val="-2"/>
        </w:rPr>
        <w:t>thearea</w:t>
      </w:r>
      <w:r>
        <w:rPr>
          <w:color w:val="211F1F"/>
          <w:spacing w:val="-17"/>
        </w:rPr>
        <w:t xml:space="preserve"> </w:t>
      </w:r>
      <w:r>
        <w:rPr>
          <w:color w:val="211F1F"/>
          <w:spacing w:val="-2"/>
        </w:rPr>
        <w:t>of</w:t>
      </w:r>
      <w:r>
        <w:rPr>
          <w:color w:val="211F1F"/>
          <w:spacing w:val="-18"/>
        </w:rPr>
        <w:t xml:space="preserve"> </w:t>
      </w:r>
      <w:r>
        <w:rPr>
          <w:color w:val="211F1F"/>
          <w:spacing w:val="-2"/>
        </w:rPr>
        <w:t>the</w:t>
      </w:r>
      <w:r>
        <w:rPr>
          <w:color w:val="211F1F"/>
          <w:spacing w:val="-22"/>
        </w:rPr>
        <w:t xml:space="preserve"> </w:t>
      </w:r>
      <w:r>
        <w:rPr>
          <w:color w:val="211F1F"/>
          <w:spacing w:val="-2"/>
        </w:rPr>
        <w:t>works</w:t>
      </w:r>
      <w:r>
        <w:rPr>
          <w:color w:val="211F1F"/>
          <w:spacing w:val="-20"/>
        </w:rPr>
        <w:t xml:space="preserve"> </w:t>
      </w:r>
      <w:r>
        <w:rPr>
          <w:color w:val="211F1F"/>
          <w:spacing w:val="-2"/>
        </w:rPr>
        <w:t>as</w:t>
      </w:r>
      <w:r>
        <w:rPr>
          <w:color w:val="211F1F"/>
          <w:spacing w:val="-19"/>
        </w:rPr>
        <w:t xml:space="preserve"> </w:t>
      </w:r>
      <w:r>
        <w:rPr>
          <w:b/>
          <w:color w:val="211F1F"/>
          <w:spacing w:val="-2"/>
        </w:rPr>
        <w:t>defined</w:t>
      </w:r>
      <w:r>
        <w:rPr>
          <w:b/>
          <w:color w:val="211F1F"/>
          <w:spacing w:val="-17"/>
        </w:rPr>
        <w:t xml:space="preserve"> </w:t>
      </w:r>
      <w:r>
        <w:rPr>
          <w:b/>
          <w:color w:val="211F1F"/>
          <w:spacing w:val="-2"/>
        </w:rPr>
        <w:t>as</w:t>
      </w:r>
      <w:r>
        <w:rPr>
          <w:b/>
          <w:color w:val="211F1F"/>
          <w:spacing w:val="-20"/>
        </w:rPr>
        <w:t xml:space="preserve"> </w:t>
      </w:r>
      <w:r>
        <w:rPr>
          <w:b/>
          <w:color w:val="211F1F"/>
          <w:spacing w:val="-2"/>
        </w:rPr>
        <w:t>such</w:t>
      </w:r>
      <w:r>
        <w:rPr>
          <w:b/>
          <w:color w:val="211F1F"/>
          <w:spacing w:val="-24"/>
        </w:rPr>
        <w:t xml:space="preserve"> </w:t>
      </w:r>
      <w:r>
        <w:rPr>
          <w:b/>
          <w:color w:val="211F1F"/>
          <w:spacing w:val="-2"/>
        </w:rPr>
        <w:t>in</w:t>
      </w:r>
      <w:r>
        <w:rPr>
          <w:b/>
          <w:color w:val="211F1F"/>
          <w:spacing w:val="-23"/>
        </w:rPr>
        <w:t xml:space="preserve"> </w:t>
      </w:r>
      <w:r>
        <w:rPr>
          <w:b/>
          <w:color w:val="211F1F"/>
          <w:spacing w:val="-2"/>
        </w:rPr>
        <w:t>the</w:t>
      </w:r>
      <w:r>
        <w:rPr>
          <w:b/>
          <w:color w:val="211F1F"/>
          <w:spacing w:val="-17"/>
        </w:rPr>
        <w:t xml:space="preserve"> </w:t>
      </w:r>
      <w:r>
        <w:rPr>
          <w:b/>
          <w:color w:val="211F1F"/>
          <w:spacing w:val="-4"/>
        </w:rPr>
        <w:t>SCC</w:t>
      </w:r>
      <w:r>
        <w:rPr>
          <w:color w:val="211F1F"/>
          <w:spacing w:val="-4"/>
        </w:rPr>
        <w:t>.</w:t>
      </w:r>
    </w:p>
    <w:p w14:paraId="6574F735" w14:textId="77777777" w:rsidR="00BB77C0" w:rsidRDefault="00370BAA">
      <w:pPr>
        <w:pStyle w:val="ListParagraph"/>
        <w:numPr>
          <w:ilvl w:val="0"/>
          <w:numId w:val="26"/>
        </w:numPr>
        <w:tabs>
          <w:tab w:val="left" w:pos="1604"/>
        </w:tabs>
        <w:spacing w:before="90" w:line="237" w:lineRule="auto"/>
        <w:ind w:left="1604" w:right="1246" w:hanging="534"/>
      </w:pPr>
      <w:r>
        <w:rPr>
          <w:b/>
          <w:color w:val="211F1F"/>
        </w:rPr>
        <w:t>Site</w:t>
      </w:r>
      <w:r>
        <w:rPr>
          <w:b/>
          <w:color w:val="211F1F"/>
          <w:spacing w:val="-14"/>
        </w:rPr>
        <w:t xml:space="preserve"> </w:t>
      </w:r>
      <w:r>
        <w:rPr>
          <w:b/>
          <w:color w:val="211F1F"/>
        </w:rPr>
        <w:t>Investigation</w:t>
      </w:r>
      <w:r>
        <w:rPr>
          <w:b/>
          <w:color w:val="211F1F"/>
          <w:spacing w:val="-19"/>
        </w:rPr>
        <w:t xml:space="preserve"> </w:t>
      </w:r>
      <w:r>
        <w:rPr>
          <w:b/>
          <w:color w:val="211F1F"/>
        </w:rPr>
        <w:t>Reports</w:t>
      </w:r>
      <w:r>
        <w:rPr>
          <w:b/>
          <w:color w:val="211F1F"/>
          <w:spacing w:val="-14"/>
        </w:rPr>
        <w:t xml:space="preserve"> </w:t>
      </w:r>
      <w:r>
        <w:rPr>
          <w:color w:val="211F1F"/>
        </w:rPr>
        <w:t>are</w:t>
      </w:r>
      <w:r>
        <w:rPr>
          <w:color w:val="211F1F"/>
          <w:spacing w:val="-14"/>
        </w:rPr>
        <w:t xml:space="preserve"> </w:t>
      </w:r>
      <w:r>
        <w:rPr>
          <w:color w:val="211F1F"/>
        </w:rPr>
        <w:t>those</w:t>
      </w:r>
      <w:r>
        <w:rPr>
          <w:color w:val="211F1F"/>
          <w:spacing w:val="-19"/>
        </w:rPr>
        <w:t xml:space="preserve"> </w:t>
      </w:r>
      <w:r>
        <w:rPr>
          <w:color w:val="211F1F"/>
        </w:rPr>
        <w:t>that</w:t>
      </w:r>
      <w:r>
        <w:rPr>
          <w:color w:val="211F1F"/>
          <w:spacing w:val="-14"/>
        </w:rPr>
        <w:t xml:space="preserve"> </w:t>
      </w:r>
      <w:r>
        <w:rPr>
          <w:color w:val="211F1F"/>
        </w:rPr>
        <w:t>were</w:t>
      </w:r>
      <w:r>
        <w:rPr>
          <w:color w:val="211F1F"/>
          <w:spacing w:val="-14"/>
        </w:rPr>
        <w:t xml:space="preserve"> </w:t>
      </w:r>
      <w:r>
        <w:rPr>
          <w:color w:val="211F1F"/>
        </w:rPr>
        <w:t>included</w:t>
      </w:r>
      <w:r>
        <w:rPr>
          <w:color w:val="211F1F"/>
          <w:spacing w:val="-6"/>
        </w:rPr>
        <w:t xml:space="preserve"> </w:t>
      </w:r>
      <w:r>
        <w:rPr>
          <w:color w:val="211F1F"/>
        </w:rPr>
        <w:t>in</w:t>
      </w:r>
      <w:r>
        <w:rPr>
          <w:color w:val="211F1F"/>
          <w:spacing w:val="-17"/>
        </w:rPr>
        <w:t xml:space="preserve"> </w:t>
      </w:r>
      <w:r>
        <w:rPr>
          <w:color w:val="211F1F"/>
        </w:rPr>
        <w:t>the</w:t>
      </w:r>
      <w:r>
        <w:rPr>
          <w:color w:val="211F1F"/>
          <w:spacing w:val="-14"/>
        </w:rPr>
        <w:t xml:space="preserve"> </w:t>
      </w:r>
      <w:r>
        <w:rPr>
          <w:color w:val="211F1F"/>
        </w:rPr>
        <w:t>bidding</w:t>
      </w:r>
      <w:r>
        <w:rPr>
          <w:color w:val="211F1F"/>
          <w:spacing w:val="-12"/>
        </w:rPr>
        <w:t xml:space="preserve"> </w:t>
      </w:r>
      <w:r>
        <w:rPr>
          <w:color w:val="211F1F"/>
        </w:rPr>
        <w:t>document</w:t>
      </w:r>
      <w:r>
        <w:rPr>
          <w:color w:val="211F1F"/>
          <w:spacing w:val="-13"/>
        </w:rPr>
        <w:t xml:space="preserve"> </w:t>
      </w:r>
      <w:r>
        <w:rPr>
          <w:color w:val="211F1F"/>
        </w:rPr>
        <w:t>and</w:t>
      </w:r>
      <w:r>
        <w:rPr>
          <w:color w:val="211F1F"/>
          <w:spacing w:val="-14"/>
        </w:rPr>
        <w:t xml:space="preserve"> </w:t>
      </w:r>
      <w:r>
        <w:rPr>
          <w:color w:val="211F1F"/>
        </w:rPr>
        <w:t>are</w:t>
      </w:r>
      <w:r>
        <w:rPr>
          <w:color w:val="211F1F"/>
          <w:spacing w:val="-19"/>
        </w:rPr>
        <w:t xml:space="preserve"> </w:t>
      </w:r>
      <w:r>
        <w:rPr>
          <w:color w:val="211F1F"/>
        </w:rPr>
        <w:t>factual</w:t>
      </w:r>
      <w:r>
        <w:rPr>
          <w:color w:val="211F1F"/>
          <w:spacing w:val="-6"/>
        </w:rPr>
        <w:t xml:space="preserve"> </w:t>
      </w:r>
      <w:r>
        <w:rPr>
          <w:color w:val="211F1F"/>
        </w:rPr>
        <w:t>and interpretative</w:t>
      </w:r>
      <w:r>
        <w:rPr>
          <w:color w:val="211F1F"/>
          <w:spacing w:val="-15"/>
        </w:rPr>
        <w:t xml:space="preserve"> </w:t>
      </w:r>
      <w:r>
        <w:rPr>
          <w:color w:val="211F1F"/>
        </w:rPr>
        <w:t>reports</w:t>
      </w:r>
      <w:r>
        <w:rPr>
          <w:color w:val="211F1F"/>
          <w:spacing w:val="-18"/>
        </w:rPr>
        <w:t xml:space="preserve"> </w:t>
      </w:r>
      <w:r>
        <w:rPr>
          <w:color w:val="211F1F"/>
        </w:rPr>
        <w:t>about</w:t>
      </w:r>
      <w:r>
        <w:rPr>
          <w:color w:val="211F1F"/>
          <w:spacing w:val="-17"/>
        </w:rPr>
        <w:t xml:space="preserve"> </w:t>
      </w:r>
      <w:r>
        <w:rPr>
          <w:color w:val="211F1F"/>
        </w:rPr>
        <w:t>the</w:t>
      </w:r>
      <w:r>
        <w:rPr>
          <w:color w:val="211F1F"/>
          <w:spacing w:val="-16"/>
        </w:rPr>
        <w:t xml:space="preserve"> </w:t>
      </w:r>
      <w:r>
        <w:rPr>
          <w:color w:val="211F1F"/>
        </w:rPr>
        <w:t>surface</w:t>
      </w:r>
      <w:r>
        <w:rPr>
          <w:color w:val="211F1F"/>
          <w:spacing w:val="-21"/>
        </w:rPr>
        <w:t xml:space="preserve"> </w:t>
      </w:r>
      <w:r>
        <w:rPr>
          <w:color w:val="211F1F"/>
        </w:rPr>
        <w:t>and</w:t>
      </w:r>
      <w:r>
        <w:rPr>
          <w:color w:val="211F1F"/>
          <w:spacing w:val="-13"/>
        </w:rPr>
        <w:t xml:space="preserve"> </w:t>
      </w:r>
      <w:r>
        <w:rPr>
          <w:color w:val="211F1F"/>
        </w:rPr>
        <w:t>subsurface</w:t>
      </w:r>
      <w:r>
        <w:rPr>
          <w:color w:val="211F1F"/>
          <w:spacing w:val="-16"/>
        </w:rPr>
        <w:t xml:space="preserve"> </w:t>
      </w:r>
      <w:r>
        <w:rPr>
          <w:color w:val="211F1F"/>
        </w:rPr>
        <w:t>conditions</w:t>
      </w:r>
      <w:r>
        <w:rPr>
          <w:color w:val="211F1F"/>
          <w:spacing w:val="-7"/>
        </w:rPr>
        <w:t xml:space="preserve"> </w:t>
      </w:r>
      <w:r>
        <w:rPr>
          <w:color w:val="211F1F"/>
        </w:rPr>
        <w:t>at</w:t>
      </w:r>
      <w:r>
        <w:rPr>
          <w:color w:val="211F1F"/>
          <w:spacing w:val="-13"/>
        </w:rPr>
        <w:t xml:space="preserve"> </w:t>
      </w:r>
      <w:r>
        <w:rPr>
          <w:color w:val="211F1F"/>
        </w:rPr>
        <w:t>the</w:t>
      </w:r>
      <w:r>
        <w:rPr>
          <w:color w:val="211F1F"/>
          <w:spacing w:val="-15"/>
        </w:rPr>
        <w:t xml:space="preserve"> </w:t>
      </w:r>
      <w:r>
        <w:rPr>
          <w:color w:val="211F1F"/>
        </w:rPr>
        <w:t>Site.</w:t>
      </w:r>
    </w:p>
    <w:p w14:paraId="533CA437" w14:textId="77777777" w:rsidR="00BB77C0" w:rsidRDefault="00370BAA">
      <w:pPr>
        <w:pStyle w:val="ListParagraph"/>
        <w:numPr>
          <w:ilvl w:val="0"/>
          <w:numId w:val="26"/>
        </w:numPr>
        <w:tabs>
          <w:tab w:val="left" w:pos="1604"/>
        </w:tabs>
        <w:spacing w:before="89" w:line="232" w:lineRule="auto"/>
        <w:ind w:left="1604" w:right="1388" w:hanging="534"/>
      </w:pPr>
      <w:r>
        <w:rPr>
          <w:b/>
          <w:color w:val="211F1F"/>
          <w:spacing w:val="-2"/>
        </w:rPr>
        <w:t>Specification</w:t>
      </w:r>
      <w:r>
        <w:rPr>
          <w:b/>
          <w:color w:val="211F1F"/>
          <w:spacing w:val="-14"/>
        </w:rPr>
        <w:t xml:space="preserve"> </w:t>
      </w:r>
      <w:r>
        <w:rPr>
          <w:color w:val="211F1F"/>
          <w:spacing w:val="-2"/>
        </w:rPr>
        <w:t>means</w:t>
      </w:r>
      <w:r>
        <w:rPr>
          <w:color w:val="211F1F"/>
          <w:spacing w:val="-16"/>
        </w:rPr>
        <w:t xml:space="preserve"> </w:t>
      </w:r>
      <w:r>
        <w:rPr>
          <w:color w:val="211F1F"/>
          <w:spacing w:val="-2"/>
        </w:rPr>
        <w:t>the</w:t>
      </w:r>
      <w:r>
        <w:rPr>
          <w:color w:val="211F1F"/>
          <w:spacing w:val="-19"/>
        </w:rPr>
        <w:t xml:space="preserve"> </w:t>
      </w:r>
      <w:r>
        <w:rPr>
          <w:color w:val="211F1F"/>
          <w:spacing w:val="-2"/>
        </w:rPr>
        <w:t>Specification</w:t>
      </w:r>
      <w:r>
        <w:rPr>
          <w:color w:val="211F1F"/>
          <w:spacing w:val="-16"/>
        </w:rPr>
        <w:t xml:space="preserve"> </w:t>
      </w:r>
      <w:r>
        <w:rPr>
          <w:color w:val="211F1F"/>
          <w:spacing w:val="-2"/>
        </w:rPr>
        <w:t>of</w:t>
      </w:r>
      <w:r>
        <w:rPr>
          <w:color w:val="211F1F"/>
          <w:spacing w:val="-12"/>
        </w:rPr>
        <w:t xml:space="preserve"> </w:t>
      </w:r>
      <w:r>
        <w:rPr>
          <w:color w:val="211F1F"/>
          <w:spacing w:val="-2"/>
        </w:rPr>
        <w:t>the</w:t>
      </w:r>
      <w:r>
        <w:rPr>
          <w:color w:val="211F1F"/>
          <w:spacing w:val="-19"/>
        </w:rPr>
        <w:t xml:space="preserve"> </w:t>
      </w:r>
      <w:r>
        <w:rPr>
          <w:color w:val="211F1F"/>
          <w:spacing w:val="-2"/>
        </w:rPr>
        <w:t>Works</w:t>
      </w:r>
      <w:r>
        <w:rPr>
          <w:color w:val="211F1F"/>
          <w:spacing w:val="-16"/>
        </w:rPr>
        <w:t xml:space="preserve"> </w:t>
      </w:r>
      <w:r>
        <w:rPr>
          <w:color w:val="211F1F"/>
          <w:spacing w:val="-2"/>
        </w:rPr>
        <w:t>included</w:t>
      </w:r>
      <w:r>
        <w:rPr>
          <w:color w:val="211F1F"/>
          <w:spacing w:val="-12"/>
        </w:rPr>
        <w:t xml:space="preserve"> </w:t>
      </w:r>
      <w:r>
        <w:rPr>
          <w:color w:val="211F1F"/>
          <w:spacing w:val="-2"/>
        </w:rPr>
        <w:t>in</w:t>
      </w:r>
      <w:r>
        <w:rPr>
          <w:color w:val="211F1F"/>
          <w:spacing w:val="-12"/>
        </w:rPr>
        <w:t xml:space="preserve"> </w:t>
      </w:r>
      <w:r>
        <w:rPr>
          <w:color w:val="211F1F"/>
          <w:spacing w:val="-2"/>
        </w:rPr>
        <w:t>the</w:t>
      </w:r>
      <w:r>
        <w:rPr>
          <w:color w:val="211F1F"/>
          <w:spacing w:val="-14"/>
        </w:rPr>
        <w:t xml:space="preserve"> </w:t>
      </w:r>
      <w:r>
        <w:rPr>
          <w:color w:val="211F1F"/>
          <w:spacing w:val="-2"/>
        </w:rPr>
        <w:t>Contract</w:t>
      </w:r>
      <w:r>
        <w:rPr>
          <w:color w:val="211F1F"/>
          <w:spacing w:val="-15"/>
        </w:rPr>
        <w:t xml:space="preserve"> </w:t>
      </w:r>
      <w:r>
        <w:rPr>
          <w:color w:val="211F1F"/>
          <w:spacing w:val="-2"/>
        </w:rPr>
        <w:t>and</w:t>
      </w:r>
      <w:r>
        <w:rPr>
          <w:color w:val="211F1F"/>
          <w:spacing w:val="-17"/>
        </w:rPr>
        <w:t xml:space="preserve"> </w:t>
      </w:r>
      <w:r>
        <w:rPr>
          <w:color w:val="211F1F"/>
          <w:spacing w:val="-2"/>
        </w:rPr>
        <w:t>any</w:t>
      </w:r>
      <w:r>
        <w:rPr>
          <w:color w:val="211F1F"/>
          <w:spacing w:val="-16"/>
        </w:rPr>
        <w:t xml:space="preserve"> </w:t>
      </w:r>
      <w:r>
        <w:rPr>
          <w:color w:val="211F1F"/>
          <w:spacing w:val="-2"/>
        </w:rPr>
        <w:t>modification</w:t>
      </w:r>
      <w:r>
        <w:rPr>
          <w:color w:val="211F1F"/>
          <w:spacing w:val="-12"/>
        </w:rPr>
        <w:t xml:space="preserve"> </w:t>
      </w:r>
      <w:r>
        <w:rPr>
          <w:color w:val="211F1F"/>
          <w:spacing w:val="-2"/>
        </w:rPr>
        <w:t xml:space="preserve">or </w:t>
      </w:r>
      <w:r>
        <w:rPr>
          <w:color w:val="211F1F"/>
        </w:rPr>
        <w:t>addition</w:t>
      </w:r>
      <w:r>
        <w:rPr>
          <w:color w:val="211F1F"/>
          <w:spacing w:val="-7"/>
        </w:rPr>
        <w:t xml:space="preserve"> </w:t>
      </w:r>
      <w:r>
        <w:rPr>
          <w:color w:val="211F1F"/>
        </w:rPr>
        <w:t>made</w:t>
      </w:r>
      <w:r>
        <w:rPr>
          <w:color w:val="211F1F"/>
          <w:spacing w:val="-8"/>
        </w:rPr>
        <w:t xml:space="preserve"> </w:t>
      </w:r>
      <w:r>
        <w:rPr>
          <w:color w:val="211F1F"/>
        </w:rPr>
        <w:t>or</w:t>
      </w:r>
      <w:r>
        <w:rPr>
          <w:color w:val="211F1F"/>
          <w:spacing w:val="-3"/>
        </w:rPr>
        <w:t xml:space="preserve"> </w:t>
      </w:r>
      <w:r>
        <w:rPr>
          <w:color w:val="211F1F"/>
        </w:rPr>
        <w:t>approved</w:t>
      </w:r>
      <w:r>
        <w:rPr>
          <w:color w:val="211F1F"/>
          <w:spacing w:val="-12"/>
        </w:rPr>
        <w:t xml:space="preserve"> </w:t>
      </w:r>
      <w:r>
        <w:rPr>
          <w:color w:val="211F1F"/>
        </w:rPr>
        <w:t>by</w:t>
      </w:r>
      <w:r>
        <w:rPr>
          <w:color w:val="211F1F"/>
          <w:spacing w:val="-13"/>
        </w:rPr>
        <w:t xml:space="preserve"> </w:t>
      </w:r>
      <w:r>
        <w:rPr>
          <w:color w:val="211F1F"/>
        </w:rPr>
        <w:t>the</w:t>
      </w:r>
      <w:r>
        <w:rPr>
          <w:color w:val="211F1F"/>
          <w:spacing w:val="-16"/>
        </w:rPr>
        <w:t xml:space="preserve"> </w:t>
      </w:r>
      <w:r>
        <w:rPr>
          <w:color w:val="211F1F"/>
        </w:rPr>
        <w:t>Project Manager.</w:t>
      </w:r>
    </w:p>
    <w:p w14:paraId="5874A467" w14:textId="77777777" w:rsidR="00BB77C0" w:rsidRDefault="00370BAA">
      <w:pPr>
        <w:pStyle w:val="ListParagraph"/>
        <w:numPr>
          <w:ilvl w:val="0"/>
          <w:numId w:val="26"/>
        </w:numPr>
        <w:tabs>
          <w:tab w:val="left" w:pos="1613"/>
        </w:tabs>
        <w:spacing w:before="87" w:line="237" w:lineRule="auto"/>
        <w:ind w:right="829" w:hanging="534"/>
      </w:pPr>
      <w:r>
        <w:rPr>
          <w:b/>
          <w:color w:val="211F1F"/>
        </w:rPr>
        <w:t>The</w:t>
      </w:r>
      <w:r>
        <w:rPr>
          <w:b/>
          <w:color w:val="211F1F"/>
          <w:spacing w:val="-9"/>
        </w:rPr>
        <w:t xml:space="preserve"> </w:t>
      </w:r>
      <w:r>
        <w:rPr>
          <w:b/>
          <w:color w:val="211F1F"/>
        </w:rPr>
        <w:t>Start</w:t>
      </w:r>
      <w:r>
        <w:rPr>
          <w:b/>
          <w:color w:val="211F1F"/>
          <w:spacing w:val="-3"/>
        </w:rPr>
        <w:t xml:space="preserve"> </w:t>
      </w:r>
      <w:r>
        <w:rPr>
          <w:b/>
          <w:color w:val="211F1F"/>
        </w:rPr>
        <w:t>Date</w:t>
      </w:r>
      <w:r>
        <w:rPr>
          <w:b/>
          <w:color w:val="211F1F"/>
          <w:spacing w:val="-8"/>
        </w:rPr>
        <w:t xml:space="preserve"> </w:t>
      </w:r>
      <w:r>
        <w:rPr>
          <w:color w:val="211F1F"/>
        </w:rPr>
        <w:t>is</w:t>
      </w:r>
      <w:r>
        <w:rPr>
          <w:color w:val="211F1F"/>
          <w:spacing w:val="-6"/>
        </w:rPr>
        <w:t xml:space="preserve"> </w:t>
      </w:r>
      <w:r>
        <w:rPr>
          <w:b/>
          <w:color w:val="211F1F"/>
        </w:rPr>
        <w:t>given</w:t>
      </w:r>
      <w:r>
        <w:rPr>
          <w:b/>
          <w:color w:val="211F1F"/>
          <w:spacing w:val="-9"/>
        </w:rPr>
        <w:t xml:space="preserve"> </w:t>
      </w:r>
      <w:r>
        <w:rPr>
          <w:b/>
          <w:color w:val="211F1F"/>
        </w:rPr>
        <w:t>in</w:t>
      </w:r>
      <w:r>
        <w:rPr>
          <w:b/>
          <w:color w:val="211F1F"/>
          <w:spacing w:val="-13"/>
        </w:rPr>
        <w:t xml:space="preserve"> </w:t>
      </w:r>
      <w:r>
        <w:rPr>
          <w:b/>
          <w:color w:val="211F1F"/>
        </w:rPr>
        <w:t>the</w:t>
      </w:r>
      <w:r>
        <w:rPr>
          <w:b/>
          <w:color w:val="211F1F"/>
          <w:spacing w:val="-4"/>
        </w:rPr>
        <w:t xml:space="preserve"> </w:t>
      </w:r>
      <w:r>
        <w:rPr>
          <w:b/>
          <w:color w:val="211F1F"/>
        </w:rPr>
        <w:t>SCC</w:t>
      </w:r>
      <w:r>
        <w:rPr>
          <w:color w:val="211F1F"/>
        </w:rPr>
        <w:t>.</w:t>
      </w:r>
      <w:r>
        <w:rPr>
          <w:color w:val="211F1F"/>
          <w:spacing w:val="-4"/>
        </w:rPr>
        <w:t xml:space="preserve"> </w:t>
      </w:r>
      <w:r>
        <w:rPr>
          <w:color w:val="211F1F"/>
        </w:rPr>
        <w:t>It</w:t>
      </w:r>
      <w:r>
        <w:rPr>
          <w:color w:val="211F1F"/>
          <w:spacing w:val="-5"/>
        </w:rPr>
        <w:t xml:space="preserve"> </w:t>
      </w:r>
      <w:r>
        <w:rPr>
          <w:color w:val="211F1F"/>
        </w:rPr>
        <w:t>is</w:t>
      </w:r>
      <w:r>
        <w:rPr>
          <w:color w:val="211F1F"/>
          <w:spacing w:val="-6"/>
        </w:rPr>
        <w:t xml:space="preserve"> </w:t>
      </w:r>
      <w:r>
        <w:rPr>
          <w:color w:val="211F1F"/>
        </w:rPr>
        <w:t>the</w:t>
      </w:r>
      <w:r>
        <w:rPr>
          <w:color w:val="211F1F"/>
          <w:spacing w:val="-8"/>
        </w:rPr>
        <w:t xml:space="preserve"> </w:t>
      </w:r>
      <w:r>
        <w:rPr>
          <w:color w:val="211F1F"/>
        </w:rPr>
        <w:t>latest</w:t>
      </w:r>
      <w:r>
        <w:rPr>
          <w:color w:val="211F1F"/>
          <w:spacing w:val="-5"/>
        </w:rPr>
        <w:t xml:space="preserve"> </w:t>
      </w:r>
      <w:r>
        <w:rPr>
          <w:color w:val="211F1F"/>
        </w:rPr>
        <w:t>date</w:t>
      </w:r>
      <w:r>
        <w:rPr>
          <w:color w:val="211F1F"/>
          <w:spacing w:val="-3"/>
        </w:rPr>
        <w:t xml:space="preserve"> </w:t>
      </w:r>
      <w:r>
        <w:rPr>
          <w:color w:val="211F1F"/>
        </w:rPr>
        <w:t>when</w:t>
      </w:r>
      <w:r>
        <w:rPr>
          <w:color w:val="211F1F"/>
          <w:spacing w:val="-11"/>
        </w:rPr>
        <w:t xml:space="preserve"> </w:t>
      </w:r>
      <w:r>
        <w:rPr>
          <w:color w:val="211F1F"/>
        </w:rPr>
        <w:t>the</w:t>
      </w:r>
      <w:r>
        <w:rPr>
          <w:color w:val="211F1F"/>
          <w:spacing w:val="-8"/>
        </w:rPr>
        <w:t xml:space="preserve"> </w:t>
      </w:r>
      <w:r>
        <w:rPr>
          <w:color w:val="211F1F"/>
        </w:rPr>
        <w:t>Contractor</w:t>
      </w:r>
      <w:r>
        <w:rPr>
          <w:color w:val="211F1F"/>
          <w:spacing w:val="-2"/>
        </w:rPr>
        <w:t xml:space="preserve"> </w:t>
      </w:r>
      <w:r>
        <w:rPr>
          <w:color w:val="211F1F"/>
        </w:rPr>
        <w:t>shall</w:t>
      </w:r>
      <w:r>
        <w:rPr>
          <w:color w:val="211F1F"/>
          <w:spacing w:val="-10"/>
        </w:rPr>
        <w:t xml:space="preserve"> </w:t>
      </w:r>
      <w:r>
        <w:rPr>
          <w:color w:val="211F1F"/>
        </w:rPr>
        <w:t>commence</w:t>
      </w:r>
      <w:r>
        <w:rPr>
          <w:color w:val="211F1F"/>
          <w:spacing w:val="-3"/>
        </w:rPr>
        <w:t xml:space="preserve"> </w:t>
      </w:r>
      <w:r>
        <w:rPr>
          <w:color w:val="211F1F"/>
        </w:rPr>
        <w:t>execution of</w:t>
      </w:r>
      <w:r>
        <w:rPr>
          <w:color w:val="211F1F"/>
          <w:spacing w:val="-18"/>
        </w:rPr>
        <w:t xml:space="preserve"> </w:t>
      </w:r>
      <w:r>
        <w:rPr>
          <w:color w:val="211F1F"/>
        </w:rPr>
        <w:t>the</w:t>
      </w:r>
      <w:r>
        <w:rPr>
          <w:color w:val="211F1F"/>
          <w:spacing w:val="-28"/>
        </w:rPr>
        <w:t xml:space="preserve"> </w:t>
      </w:r>
      <w:r>
        <w:rPr>
          <w:color w:val="211F1F"/>
        </w:rPr>
        <w:t>Works.</w:t>
      </w:r>
      <w:r>
        <w:rPr>
          <w:color w:val="211F1F"/>
          <w:spacing w:val="51"/>
        </w:rPr>
        <w:t xml:space="preserve"> </w:t>
      </w:r>
      <w:r>
        <w:rPr>
          <w:color w:val="211F1F"/>
        </w:rPr>
        <w:t>It</w:t>
      </w:r>
      <w:r>
        <w:rPr>
          <w:color w:val="211F1F"/>
          <w:spacing w:val="-15"/>
        </w:rPr>
        <w:t xml:space="preserve"> </w:t>
      </w:r>
      <w:r>
        <w:rPr>
          <w:color w:val="211F1F"/>
        </w:rPr>
        <w:t>does</w:t>
      </w:r>
      <w:r>
        <w:rPr>
          <w:color w:val="211F1F"/>
          <w:spacing w:val="-15"/>
        </w:rPr>
        <w:t xml:space="preserve"> </w:t>
      </w:r>
      <w:r>
        <w:rPr>
          <w:color w:val="211F1F"/>
        </w:rPr>
        <w:t>not</w:t>
      </w:r>
      <w:r>
        <w:rPr>
          <w:color w:val="211F1F"/>
          <w:spacing w:val="-15"/>
        </w:rPr>
        <w:t xml:space="preserve"> </w:t>
      </w:r>
      <w:r>
        <w:rPr>
          <w:color w:val="211F1F"/>
        </w:rPr>
        <w:t>necessarily</w:t>
      </w:r>
      <w:r>
        <w:rPr>
          <w:color w:val="211F1F"/>
          <w:spacing w:val="-20"/>
        </w:rPr>
        <w:t xml:space="preserve"> </w:t>
      </w:r>
      <w:r>
        <w:rPr>
          <w:color w:val="211F1F"/>
        </w:rPr>
        <w:t>coincide</w:t>
      </w:r>
      <w:r>
        <w:rPr>
          <w:color w:val="211F1F"/>
          <w:spacing w:val="-22"/>
        </w:rPr>
        <w:t xml:space="preserve"> </w:t>
      </w:r>
      <w:r>
        <w:rPr>
          <w:color w:val="211F1F"/>
        </w:rPr>
        <w:t>with</w:t>
      </w:r>
      <w:r>
        <w:rPr>
          <w:color w:val="211F1F"/>
          <w:spacing w:val="-21"/>
        </w:rPr>
        <w:t xml:space="preserve"> </w:t>
      </w:r>
      <w:r>
        <w:rPr>
          <w:color w:val="211F1F"/>
        </w:rPr>
        <w:t>any</w:t>
      </w:r>
      <w:r>
        <w:rPr>
          <w:color w:val="211F1F"/>
          <w:spacing w:val="-20"/>
        </w:rPr>
        <w:t xml:space="preserve"> </w:t>
      </w:r>
      <w:r>
        <w:rPr>
          <w:color w:val="211F1F"/>
        </w:rPr>
        <w:t>of</w:t>
      </w:r>
      <w:r>
        <w:rPr>
          <w:color w:val="211F1F"/>
          <w:spacing w:val="-18"/>
        </w:rPr>
        <w:t xml:space="preserve"> </w:t>
      </w:r>
      <w:r>
        <w:rPr>
          <w:color w:val="211F1F"/>
        </w:rPr>
        <w:t>the</w:t>
      </w:r>
      <w:r>
        <w:rPr>
          <w:color w:val="211F1F"/>
          <w:spacing w:val="-23"/>
        </w:rPr>
        <w:t xml:space="preserve"> </w:t>
      </w:r>
      <w:r>
        <w:rPr>
          <w:color w:val="211F1F"/>
        </w:rPr>
        <w:t>Site</w:t>
      </w:r>
      <w:r>
        <w:rPr>
          <w:color w:val="211F1F"/>
          <w:spacing w:val="-22"/>
        </w:rPr>
        <w:t xml:space="preserve"> </w:t>
      </w:r>
      <w:r>
        <w:rPr>
          <w:color w:val="211F1F"/>
        </w:rPr>
        <w:t>Possession</w:t>
      </w:r>
      <w:r>
        <w:rPr>
          <w:color w:val="211F1F"/>
          <w:spacing w:val="-15"/>
        </w:rPr>
        <w:t xml:space="preserve"> </w:t>
      </w:r>
      <w:r>
        <w:rPr>
          <w:color w:val="211F1F"/>
        </w:rPr>
        <w:t>Dates.</w:t>
      </w:r>
    </w:p>
    <w:p w14:paraId="0DD3D5C4" w14:textId="77777777" w:rsidR="00BB77C0" w:rsidRDefault="00370BAA">
      <w:pPr>
        <w:pStyle w:val="ListParagraph"/>
        <w:numPr>
          <w:ilvl w:val="0"/>
          <w:numId w:val="26"/>
        </w:numPr>
        <w:tabs>
          <w:tab w:val="left" w:pos="1599"/>
          <w:tab w:val="left" w:pos="1604"/>
        </w:tabs>
        <w:spacing w:before="88" w:line="232" w:lineRule="auto"/>
        <w:ind w:left="1604" w:right="858" w:hanging="543"/>
      </w:pPr>
      <w:r>
        <w:rPr>
          <w:b/>
          <w:color w:val="211F1F"/>
        </w:rPr>
        <w:t>A</w:t>
      </w:r>
      <w:r>
        <w:rPr>
          <w:b/>
          <w:color w:val="211F1F"/>
          <w:spacing w:val="-14"/>
        </w:rPr>
        <w:t xml:space="preserve"> </w:t>
      </w:r>
      <w:r>
        <w:rPr>
          <w:b/>
          <w:color w:val="211F1F"/>
        </w:rPr>
        <w:t>Subcontractor</w:t>
      </w:r>
      <w:r>
        <w:rPr>
          <w:b/>
          <w:color w:val="211F1F"/>
          <w:spacing w:val="-14"/>
        </w:rPr>
        <w:t xml:space="preserve"> </w:t>
      </w:r>
      <w:r>
        <w:rPr>
          <w:color w:val="211F1F"/>
        </w:rPr>
        <w:t>is</w:t>
      </w:r>
      <w:r>
        <w:rPr>
          <w:color w:val="211F1F"/>
          <w:spacing w:val="-14"/>
        </w:rPr>
        <w:t xml:space="preserve"> </w:t>
      </w:r>
      <w:r>
        <w:rPr>
          <w:color w:val="211F1F"/>
        </w:rPr>
        <w:t>a</w:t>
      </w:r>
      <w:r>
        <w:rPr>
          <w:color w:val="211F1F"/>
          <w:spacing w:val="-13"/>
        </w:rPr>
        <w:t xml:space="preserve"> </w:t>
      </w:r>
      <w:r>
        <w:rPr>
          <w:color w:val="211F1F"/>
        </w:rPr>
        <w:t>person</w:t>
      </w:r>
      <w:r>
        <w:rPr>
          <w:color w:val="211F1F"/>
          <w:spacing w:val="-14"/>
        </w:rPr>
        <w:t xml:space="preserve"> </w:t>
      </w:r>
      <w:r>
        <w:rPr>
          <w:color w:val="211F1F"/>
        </w:rPr>
        <w:t>or</w:t>
      </w:r>
      <w:r>
        <w:rPr>
          <w:color w:val="211F1F"/>
          <w:spacing w:val="-14"/>
        </w:rPr>
        <w:t xml:space="preserve"> </w:t>
      </w:r>
      <w:r>
        <w:rPr>
          <w:color w:val="211F1F"/>
        </w:rPr>
        <w:t>corporate</w:t>
      </w:r>
      <w:r>
        <w:rPr>
          <w:color w:val="211F1F"/>
          <w:spacing w:val="-18"/>
        </w:rPr>
        <w:t xml:space="preserve"> </w:t>
      </w:r>
      <w:r>
        <w:rPr>
          <w:color w:val="211F1F"/>
        </w:rPr>
        <w:t>body</w:t>
      </w:r>
      <w:r>
        <w:rPr>
          <w:color w:val="211F1F"/>
          <w:spacing w:val="-10"/>
        </w:rPr>
        <w:t xml:space="preserve"> </w:t>
      </w:r>
      <w:r>
        <w:rPr>
          <w:color w:val="211F1F"/>
        </w:rPr>
        <w:t>who</w:t>
      </w:r>
      <w:r>
        <w:rPr>
          <w:color w:val="211F1F"/>
          <w:spacing w:val="-17"/>
        </w:rPr>
        <w:t xml:space="preserve"> </w:t>
      </w:r>
      <w:r>
        <w:rPr>
          <w:color w:val="211F1F"/>
        </w:rPr>
        <w:t>has</w:t>
      </w:r>
      <w:r>
        <w:rPr>
          <w:color w:val="211F1F"/>
          <w:spacing w:val="-8"/>
        </w:rPr>
        <w:t xml:space="preserve"> </w:t>
      </w:r>
      <w:r>
        <w:rPr>
          <w:color w:val="211F1F"/>
        </w:rPr>
        <w:t>a</w:t>
      </w:r>
      <w:r>
        <w:rPr>
          <w:color w:val="211F1F"/>
          <w:spacing w:val="-11"/>
        </w:rPr>
        <w:t xml:space="preserve"> </w:t>
      </w:r>
      <w:r>
        <w:rPr>
          <w:color w:val="211F1F"/>
        </w:rPr>
        <w:t>Contract</w:t>
      </w:r>
      <w:r>
        <w:rPr>
          <w:color w:val="211F1F"/>
          <w:spacing w:val="-12"/>
        </w:rPr>
        <w:t xml:space="preserve"> </w:t>
      </w:r>
      <w:r>
        <w:rPr>
          <w:color w:val="211F1F"/>
        </w:rPr>
        <w:t>with</w:t>
      </w:r>
      <w:r>
        <w:rPr>
          <w:color w:val="211F1F"/>
          <w:spacing w:val="-17"/>
        </w:rPr>
        <w:t xml:space="preserve"> </w:t>
      </w:r>
      <w:r>
        <w:rPr>
          <w:color w:val="211F1F"/>
        </w:rPr>
        <w:t>the</w:t>
      </w:r>
      <w:r>
        <w:rPr>
          <w:color w:val="211F1F"/>
          <w:spacing w:val="-14"/>
        </w:rPr>
        <w:t xml:space="preserve"> </w:t>
      </w:r>
      <w:r>
        <w:rPr>
          <w:color w:val="211F1F"/>
        </w:rPr>
        <w:t>Contractor</w:t>
      </w:r>
      <w:r>
        <w:rPr>
          <w:color w:val="211F1F"/>
          <w:spacing w:val="-10"/>
        </w:rPr>
        <w:t xml:space="preserve"> </w:t>
      </w:r>
      <w:r>
        <w:rPr>
          <w:color w:val="211F1F"/>
        </w:rPr>
        <w:t>to</w:t>
      </w:r>
      <w:r>
        <w:rPr>
          <w:color w:val="211F1F"/>
          <w:spacing w:val="-17"/>
        </w:rPr>
        <w:t xml:space="preserve"> </w:t>
      </w:r>
      <w:r>
        <w:rPr>
          <w:color w:val="211F1F"/>
        </w:rPr>
        <w:t>carry</w:t>
      </w:r>
      <w:r>
        <w:rPr>
          <w:color w:val="211F1F"/>
          <w:spacing w:val="-16"/>
        </w:rPr>
        <w:t xml:space="preserve"> </w:t>
      </w:r>
      <w:r>
        <w:rPr>
          <w:color w:val="211F1F"/>
        </w:rPr>
        <w:t>out</w:t>
      </w:r>
      <w:r>
        <w:rPr>
          <w:color w:val="211F1F"/>
          <w:spacing w:val="-13"/>
        </w:rPr>
        <w:t xml:space="preserve"> </w:t>
      </w:r>
      <w:r>
        <w:rPr>
          <w:color w:val="211F1F"/>
        </w:rPr>
        <w:t>a</w:t>
      </w:r>
      <w:r>
        <w:rPr>
          <w:color w:val="211F1F"/>
          <w:spacing w:val="-11"/>
        </w:rPr>
        <w:t xml:space="preserve"> </w:t>
      </w:r>
      <w:r>
        <w:rPr>
          <w:color w:val="211F1F"/>
        </w:rPr>
        <w:t>part of the work</w:t>
      </w:r>
      <w:r>
        <w:rPr>
          <w:color w:val="211F1F"/>
          <w:spacing w:val="-1"/>
        </w:rPr>
        <w:t xml:space="preserve"> </w:t>
      </w:r>
      <w:r>
        <w:rPr>
          <w:color w:val="211F1F"/>
        </w:rPr>
        <w:t>in</w:t>
      </w:r>
      <w:r>
        <w:rPr>
          <w:color w:val="211F1F"/>
          <w:spacing w:val="-1"/>
        </w:rPr>
        <w:t xml:space="preserve"> </w:t>
      </w:r>
      <w:r>
        <w:rPr>
          <w:color w:val="211F1F"/>
        </w:rPr>
        <w:t>the</w:t>
      </w:r>
      <w:r>
        <w:rPr>
          <w:color w:val="211F1F"/>
          <w:spacing w:val="-3"/>
        </w:rPr>
        <w:t xml:space="preserve"> </w:t>
      </w:r>
      <w:r>
        <w:rPr>
          <w:color w:val="211F1F"/>
        </w:rPr>
        <w:t>Contract, which</w:t>
      </w:r>
      <w:r>
        <w:rPr>
          <w:color w:val="211F1F"/>
          <w:spacing w:val="-1"/>
        </w:rPr>
        <w:t xml:space="preserve"> </w:t>
      </w:r>
      <w:r>
        <w:rPr>
          <w:color w:val="211F1F"/>
        </w:rPr>
        <w:t>includes work on</w:t>
      </w:r>
      <w:r>
        <w:rPr>
          <w:color w:val="211F1F"/>
          <w:spacing w:val="-1"/>
        </w:rPr>
        <w:t xml:space="preserve"> </w:t>
      </w:r>
      <w:r>
        <w:rPr>
          <w:color w:val="211F1F"/>
        </w:rPr>
        <w:t>the</w:t>
      </w:r>
      <w:r>
        <w:rPr>
          <w:color w:val="211F1F"/>
          <w:spacing w:val="-3"/>
        </w:rPr>
        <w:t xml:space="preserve"> </w:t>
      </w:r>
      <w:r>
        <w:rPr>
          <w:color w:val="211F1F"/>
        </w:rPr>
        <w:t>Site.</w:t>
      </w:r>
    </w:p>
    <w:p w14:paraId="12BC8B96" w14:textId="77777777" w:rsidR="00BB77C0" w:rsidRDefault="00370BAA">
      <w:pPr>
        <w:pStyle w:val="ListParagraph"/>
        <w:numPr>
          <w:ilvl w:val="0"/>
          <w:numId w:val="26"/>
        </w:numPr>
        <w:tabs>
          <w:tab w:val="left" w:pos="1599"/>
        </w:tabs>
        <w:spacing w:before="95" w:line="232" w:lineRule="auto"/>
        <w:ind w:left="1599" w:right="1009"/>
      </w:pPr>
      <w:r>
        <w:rPr>
          <w:b/>
          <w:color w:val="211F1F"/>
        </w:rPr>
        <w:t>Temporary</w:t>
      </w:r>
      <w:r>
        <w:rPr>
          <w:b/>
          <w:color w:val="211F1F"/>
          <w:spacing w:val="-14"/>
        </w:rPr>
        <w:t xml:space="preserve"> </w:t>
      </w:r>
      <w:r>
        <w:rPr>
          <w:b/>
          <w:color w:val="211F1F"/>
        </w:rPr>
        <w:t>Works</w:t>
      </w:r>
      <w:r>
        <w:rPr>
          <w:b/>
          <w:color w:val="211F1F"/>
          <w:spacing w:val="-14"/>
        </w:rPr>
        <w:t xml:space="preserve"> </w:t>
      </w:r>
      <w:r>
        <w:rPr>
          <w:color w:val="211F1F"/>
        </w:rPr>
        <w:t>are</w:t>
      </w:r>
      <w:r>
        <w:rPr>
          <w:color w:val="211F1F"/>
          <w:spacing w:val="-14"/>
        </w:rPr>
        <w:t xml:space="preserve"> </w:t>
      </w:r>
      <w:r>
        <w:rPr>
          <w:color w:val="211F1F"/>
        </w:rPr>
        <w:t>works</w:t>
      </w:r>
      <w:r>
        <w:rPr>
          <w:color w:val="211F1F"/>
          <w:spacing w:val="-12"/>
        </w:rPr>
        <w:t xml:space="preserve"> </w:t>
      </w:r>
      <w:r>
        <w:rPr>
          <w:color w:val="211F1F"/>
        </w:rPr>
        <w:t>designed,</w:t>
      </w:r>
      <w:r>
        <w:rPr>
          <w:color w:val="211F1F"/>
          <w:spacing w:val="-3"/>
        </w:rPr>
        <w:t xml:space="preserve"> </w:t>
      </w:r>
      <w:r>
        <w:rPr>
          <w:color w:val="211F1F"/>
        </w:rPr>
        <w:t>constructed,</w:t>
      </w:r>
      <w:r>
        <w:rPr>
          <w:color w:val="211F1F"/>
          <w:spacing w:val="-9"/>
        </w:rPr>
        <w:t xml:space="preserve"> </w:t>
      </w:r>
      <w:r>
        <w:rPr>
          <w:color w:val="211F1F"/>
        </w:rPr>
        <w:t>installed,</w:t>
      </w:r>
      <w:r>
        <w:rPr>
          <w:color w:val="211F1F"/>
          <w:spacing w:val="-9"/>
        </w:rPr>
        <w:t xml:space="preserve"> </w:t>
      </w:r>
      <w:r>
        <w:rPr>
          <w:color w:val="211F1F"/>
        </w:rPr>
        <w:t>and</w:t>
      </w:r>
      <w:r>
        <w:rPr>
          <w:color w:val="211F1F"/>
          <w:spacing w:val="-14"/>
        </w:rPr>
        <w:t xml:space="preserve"> </w:t>
      </w:r>
      <w:r>
        <w:rPr>
          <w:color w:val="211F1F"/>
        </w:rPr>
        <w:t>removed</w:t>
      </w:r>
      <w:r>
        <w:rPr>
          <w:color w:val="211F1F"/>
          <w:spacing w:val="-11"/>
        </w:rPr>
        <w:t xml:space="preserve"> </w:t>
      </w:r>
      <w:r>
        <w:rPr>
          <w:color w:val="211F1F"/>
        </w:rPr>
        <w:t>by</w:t>
      </w:r>
      <w:r>
        <w:rPr>
          <w:color w:val="211F1F"/>
          <w:spacing w:val="-14"/>
        </w:rPr>
        <w:t xml:space="preserve"> </w:t>
      </w:r>
      <w:r>
        <w:rPr>
          <w:color w:val="211F1F"/>
        </w:rPr>
        <w:t>the</w:t>
      </w:r>
      <w:r>
        <w:rPr>
          <w:color w:val="211F1F"/>
          <w:spacing w:val="-14"/>
        </w:rPr>
        <w:t xml:space="preserve"> </w:t>
      </w:r>
      <w:r>
        <w:rPr>
          <w:color w:val="211F1F"/>
        </w:rPr>
        <w:t>Contractor</w:t>
      </w:r>
      <w:r>
        <w:rPr>
          <w:color w:val="211F1F"/>
          <w:spacing w:val="-7"/>
        </w:rPr>
        <w:t xml:space="preserve"> </w:t>
      </w:r>
      <w:r>
        <w:rPr>
          <w:color w:val="211F1F"/>
        </w:rPr>
        <w:t>that</w:t>
      </w:r>
      <w:r>
        <w:rPr>
          <w:color w:val="211F1F"/>
          <w:spacing w:val="-10"/>
        </w:rPr>
        <w:t xml:space="preserve"> </w:t>
      </w:r>
      <w:r>
        <w:rPr>
          <w:color w:val="211F1F"/>
        </w:rPr>
        <w:t>are needed</w:t>
      </w:r>
      <w:r>
        <w:rPr>
          <w:color w:val="211F1F"/>
          <w:spacing w:val="-17"/>
        </w:rPr>
        <w:t xml:space="preserve"> </w:t>
      </w:r>
      <w:r>
        <w:rPr>
          <w:color w:val="211F1F"/>
        </w:rPr>
        <w:t>for</w:t>
      </w:r>
      <w:r>
        <w:rPr>
          <w:color w:val="211F1F"/>
          <w:spacing w:val="-1"/>
        </w:rPr>
        <w:t xml:space="preserve"> </w:t>
      </w:r>
      <w:r>
        <w:rPr>
          <w:color w:val="211F1F"/>
        </w:rPr>
        <w:t>construction</w:t>
      </w:r>
      <w:r>
        <w:rPr>
          <w:color w:val="211F1F"/>
          <w:spacing w:val="-10"/>
        </w:rPr>
        <w:t xml:space="preserve"> </w:t>
      </w:r>
      <w:r>
        <w:rPr>
          <w:color w:val="211F1F"/>
        </w:rPr>
        <w:t>or installation</w:t>
      </w:r>
      <w:r>
        <w:rPr>
          <w:color w:val="211F1F"/>
          <w:spacing w:val="-11"/>
        </w:rPr>
        <w:t xml:space="preserve"> </w:t>
      </w:r>
      <w:r>
        <w:rPr>
          <w:color w:val="211F1F"/>
        </w:rPr>
        <w:t>of</w:t>
      </w:r>
      <w:r>
        <w:rPr>
          <w:color w:val="211F1F"/>
          <w:spacing w:val="-6"/>
        </w:rPr>
        <w:t xml:space="preserve"> </w:t>
      </w:r>
      <w:r>
        <w:rPr>
          <w:color w:val="211F1F"/>
        </w:rPr>
        <w:t>the</w:t>
      </w:r>
      <w:r>
        <w:rPr>
          <w:color w:val="211F1F"/>
          <w:spacing w:val="-19"/>
        </w:rPr>
        <w:t xml:space="preserve"> </w:t>
      </w:r>
      <w:r>
        <w:rPr>
          <w:color w:val="211F1F"/>
        </w:rPr>
        <w:t>Works.</w:t>
      </w:r>
    </w:p>
    <w:p w14:paraId="6643A2A0" w14:textId="77777777" w:rsidR="00BB77C0" w:rsidRDefault="00370BAA">
      <w:pPr>
        <w:pStyle w:val="ListParagraph"/>
        <w:numPr>
          <w:ilvl w:val="0"/>
          <w:numId w:val="26"/>
        </w:numPr>
        <w:tabs>
          <w:tab w:val="left" w:pos="1594"/>
        </w:tabs>
        <w:spacing w:before="85"/>
        <w:ind w:left="1594" w:hanging="538"/>
      </w:pPr>
      <w:r>
        <w:rPr>
          <w:b/>
          <w:color w:val="211F1F"/>
          <w:spacing w:val="-2"/>
        </w:rPr>
        <w:t>A</w:t>
      </w:r>
      <w:r>
        <w:rPr>
          <w:b/>
          <w:color w:val="211F1F"/>
          <w:spacing w:val="-11"/>
        </w:rPr>
        <w:t xml:space="preserve"> </w:t>
      </w:r>
      <w:r>
        <w:rPr>
          <w:b/>
          <w:color w:val="211F1F"/>
          <w:spacing w:val="-2"/>
        </w:rPr>
        <w:t>Variation</w:t>
      </w:r>
      <w:r>
        <w:rPr>
          <w:b/>
          <w:color w:val="211F1F"/>
          <w:spacing w:val="-24"/>
        </w:rPr>
        <w:t xml:space="preserve"> </w:t>
      </w:r>
      <w:r>
        <w:rPr>
          <w:color w:val="211F1F"/>
          <w:spacing w:val="-2"/>
        </w:rPr>
        <w:t>is</w:t>
      </w:r>
      <w:r>
        <w:rPr>
          <w:color w:val="211F1F"/>
          <w:spacing w:val="-17"/>
        </w:rPr>
        <w:t xml:space="preserve"> </w:t>
      </w:r>
      <w:r>
        <w:rPr>
          <w:color w:val="211F1F"/>
          <w:spacing w:val="-2"/>
        </w:rPr>
        <w:t>an</w:t>
      </w:r>
      <w:r>
        <w:rPr>
          <w:color w:val="211F1F"/>
          <w:spacing w:val="-22"/>
        </w:rPr>
        <w:t xml:space="preserve"> </w:t>
      </w:r>
      <w:r>
        <w:rPr>
          <w:color w:val="211F1F"/>
          <w:spacing w:val="-2"/>
        </w:rPr>
        <w:t>instruction</w:t>
      </w:r>
      <w:r>
        <w:rPr>
          <w:color w:val="211F1F"/>
          <w:spacing w:val="-21"/>
        </w:rPr>
        <w:t xml:space="preserve"> </w:t>
      </w:r>
      <w:r>
        <w:rPr>
          <w:color w:val="211F1F"/>
          <w:spacing w:val="-2"/>
        </w:rPr>
        <w:t>given</w:t>
      </w:r>
      <w:r>
        <w:rPr>
          <w:color w:val="211F1F"/>
          <w:spacing w:val="-17"/>
        </w:rPr>
        <w:t xml:space="preserve"> </w:t>
      </w:r>
      <w:r>
        <w:rPr>
          <w:color w:val="211F1F"/>
          <w:spacing w:val="-2"/>
        </w:rPr>
        <w:t>by</w:t>
      </w:r>
      <w:r>
        <w:rPr>
          <w:color w:val="211F1F"/>
          <w:spacing w:val="-22"/>
        </w:rPr>
        <w:t xml:space="preserve"> </w:t>
      </w:r>
      <w:r>
        <w:rPr>
          <w:color w:val="211F1F"/>
          <w:spacing w:val="-2"/>
        </w:rPr>
        <w:t>the</w:t>
      </w:r>
      <w:r>
        <w:rPr>
          <w:color w:val="211F1F"/>
          <w:spacing w:val="-18"/>
        </w:rPr>
        <w:t xml:space="preserve"> </w:t>
      </w:r>
      <w:r>
        <w:rPr>
          <w:color w:val="211F1F"/>
          <w:spacing w:val="-2"/>
        </w:rPr>
        <w:t>Project</w:t>
      </w:r>
      <w:r>
        <w:rPr>
          <w:color w:val="211F1F"/>
          <w:spacing w:val="-20"/>
        </w:rPr>
        <w:t xml:space="preserve"> </w:t>
      </w:r>
      <w:r>
        <w:rPr>
          <w:color w:val="211F1F"/>
          <w:spacing w:val="-2"/>
        </w:rPr>
        <w:t>Manager</w:t>
      </w:r>
      <w:r>
        <w:rPr>
          <w:color w:val="211F1F"/>
          <w:spacing w:val="-10"/>
        </w:rPr>
        <w:t xml:space="preserve"> </w:t>
      </w:r>
      <w:r>
        <w:rPr>
          <w:color w:val="211F1F"/>
          <w:spacing w:val="-2"/>
        </w:rPr>
        <w:t>which</w:t>
      </w:r>
      <w:r>
        <w:rPr>
          <w:color w:val="211F1F"/>
          <w:spacing w:val="-22"/>
        </w:rPr>
        <w:t xml:space="preserve"> </w:t>
      </w:r>
      <w:r>
        <w:rPr>
          <w:color w:val="211F1F"/>
          <w:spacing w:val="-2"/>
        </w:rPr>
        <w:t>varies</w:t>
      </w:r>
      <w:r>
        <w:rPr>
          <w:color w:val="211F1F"/>
          <w:spacing w:val="-16"/>
        </w:rPr>
        <w:t xml:space="preserve"> </w:t>
      </w:r>
      <w:r>
        <w:rPr>
          <w:color w:val="211F1F"/>
          <w:spacing w:val="-2"/>
        </w:rPr>
        <w:t>the</w:t>
      </w:r>
      <w:r>
        <w:rPr>
          <w:color w:val="211F1F"/>
          <w:spacing w:val="-28"/>
        </w:rPr>
        <w:t xml:space="preserve"> </w:t>
      </w:r>
      <w:r>
        <w:rPr>
          <w:color w:val="211F1F"/>
          <w:spacing w:val="-2"/>
        </w:rPr>
        <w:t>Works.</w:t>
      </w:r>
    </w:p>
    <w:p w14:paraId="4BC2C99D" w14:textId="77777777" w:rsidR="00BB77C0" w:rsidRDefault="00370BAA">
      <w:pPr>
        <w:pStyle w:val="ListParagraph"/>
        <w:numPr>
          <w:ilvl w:val="0"/>
          <w:numId w:val="26"/>
        </w:numPr>
        <w:tabs>
          <w:tab w:val="left" w:pos="1594"/>
          <w:tab w:val="left" w:pos="1599"/>
        </w:tabs>
        <w:spacing w:before="89" w:line="237" w:lineRule="auto"/>
        <w:ind w:left="1599" w:right="1388" w:hanging="543"/>
      </w:pPr>
      <w:r>
        <w:rPr>
          <w:b/>
          <w:color w:val="211F1F"/>
        </w:rPr>
        <w:t>The</w:t>
      </w:r>
      <w:r>
        <w:rPr>
          <w:b/>
          <w:color w:val="211F1F"/>
          <w:spacing w:val="-8"/>
        </w:rPr>
        <w:t xml:space="preserve"> </w:t>
      </w:r>
      <w:r>
        <w:rPr>
          <w:b/>
          <w:color w:val="211F1F"/>
        </w:rPr>
        <w:t>Works</w:t>
      </w:r>
      <w:r>
        <w:rPr>
          <w:b/>
          <w:color w:val="211F1F"/>
          <w:spacing w:val="-9"/>
        </w:rPr>
        <w:t xml:space="preserve"> </w:t>
      </w:r>
      <w:r>
        <w:rPr>
          <w:color w:val="211F1F"/>
        </w:rPr>
        <w:t>are</w:t>
      </w:r>
      <w:r>
        <w:rPr>
          <w:color w:val="211F1F"/>
          <w:spacing w:val="-12"/>
        </w:rPr>
        <w:t xml:space="preserve"> </w:t>
      </w:r>
      <w:r>
        <w:rPr>
          <w:color w:val="211F1F"/>
        </w:rPr>
        <w:t>what</w:t>
      </w:r>
      <w:r>
        <w:rPr>
          <w:color w:val="211F1F"/>
          <w:spacing w:val="-5"/>
        </w:rPr>
        <w:t xml:space="preserve"> </w:t>
      </w:r>
      <w:r>
        <w:rPr>
          <w:color w:val="211F1F"/>
        </w:rPr>
        <w:t>the</w:t>
      </w:r>
      <w:r>
        <w:rPr>
          <w:color w:val="211F1F"/>
          <w:spacing w:val="-12"/>
        </w:rPr>
        <w:t xml:space="preserve"> </w:t>
      </w:r>
      <w:r>
        <w:rPr>
          <w:color w:val="211F1F"/>
        </w:rPr>
        <w:t>Contract</w:t>
      </w:r>
      <w:r>
        <w:rPr>
          <w:color w:val="211F1F"/>
          <w:spacing w:val="-9"/>
        </w:rPr>
        <w:t xml:space="preserve"> </w:t>
      </w:r>
      <w:r>
        <w:rPr>
          <w:color w:val="211F1F"/>
        </w:rPr>
        <w:t>requires</w:t>
      </w:r>
      <w:r>
        <w:rPr>
          <w:color w:val="211F1F"/>
          <w:spacing w:val="-5"/>
        </w:rPr>
        <w:t xml:space="preserve"> </w:t>
      </w:r>
      <w:r>
        <w:rPr>
          <w:color w:val="211F1F"/>
        </w:rPr>
        <w:t>the</w:t>
      </w:r>
      <w:r>
        <w:rPr>
          <w:color w:val="211F1F"/>
          <w:spacing w:val="-12"/>
        </w:rPr>
        <w:t xml:space="preserve"> </w:t>
      </w:r>
      <w:r>
        <w:rPr>
          <w:color w:val="211F1F"/>
        </w:rPr>
        <w:t>Contractor</w:t>
      </w:r>
      <w:r>
        <w:rPr>
          <w:color w:val="211F1F"/>
          <w:spacing w:val="-2"/>
        </w:rPr>
        <w:t xml:space="preserve"> </w:t>
      </w:r>
      <w:r>
        <w:rPr>
          <w:color w:val="211F1F"/>
        </w:rPr>
        <w:t>to</w:t>
      </w:r>
      <w:r>
        <w:rPr>
          <w:color w:val="211F1F"/>
          <w:spacing w:val="-10"/>
        </w:rPr>
        <w:t xml:space="preserve"> </w:t>
      </w:r>
      <w:r>
        <w:rPr>
          <w:color w:val="211F1F"/>
        </w:rPr>
        <w:t>construct,</w:t>
      </w:r>
      <w:r>
        <w:rPr>
          <w:color w:val="211F1F"/>
          <w:spacing w:val="-3"/>
        </w:rPr>
        <w:t xml:space="preserve"> </w:t>
      </w:r>
      <w:r>
        <w:rPr>
          <w:color w:val="211F1F"/>
        </w:rPr>
        <w:t>install,</w:t>
      </w:r>
      <w:r>
        <w:rPr>
          <w:color w:val="211F1F"/>
          <w:spacing w:val="-4"/>
        </w:rPr>
        <w:t xml:space="preserve"> </w:t>
      </w:r>
      <w:r>
        <w:rPr>
          <w:color w:val="211F1F"/>
        </w:rPr>
        <w:t>and</w:t>
      </w:r>
      <w:r>
        <w:rPr>
          <w:color w:val="211F1F"/>
          <w:spacing w:val="-10"/>
        </w:rPr>
        <w:t xml:space="preserve"> </w:t>
      </w:r>
      <w:r>
        <w:rPr>
          <w:color w:val="211F1F"/>
        </w:rPr>
        <w:t>turn</w:t>
      </w:r>
      <w:r>
        <w:rPr>
          <w:color w:val="211F1F"/>
          <w:spacing w:val="-10"/>
        </w:rPr>
        <w:t xml:space="preserve"> </w:t>
      </w:r>
      <w:r>
        <w:rPr>
          <w:color w:val="211F1F"/>
        </w:rPr>
        <w:t>over to</w:t>
      </w:r>
      <w:r>
        <w:rPr>
          <w:color w:val="211F1F"/>
          <w:spacing w:val="-10"/>
        </w:rPr>
        <w:t xml:space="preserve"> </w:t>
      </w:r>
      <w:r>
        <w:rPr>
          <w:color w:val="211F1F"/>
        </w:rPr>
        <w:t>the Procuring</w:t>
      </w:r>
      <w:r>
        <w:rPr>
          <w:color w:val="211F1F"/>
          <w:spacing w:val="-14"/>
        </w:rPr>
        <w:t xml:space="preserve"> </w:t>
      </w:r>
      <w:r>
        <w:rPr>
          <w:color w:val="211F1F"/>
        </w:rPr>
        <w:t>Entity,</w:t>
      </w:r>
      <w:r>
        <w:rPr>
          <w:color w:val="211F1F"/>
          <w:spacing w:val="-12"/>
        </w:rPr>
        <w:t xml:space="preserve"> </w:t>
      </w:r>
      <w:r>
        <w:rPr>
          <w:b/>
          <w:color w:val="211F1F"/>
        </w:rPr>
        <w:t>as</w:t>
      </w:r>
      <w:r>
        <w:rPr>
          <w:b/>
          <w:color w:val="211F1F"/>
          <w:spacing w:val="-2"/>
        </w:rPr>
        <w:t xml:space="preserve"> </w:t>
      </w:r>
      <w:r>
        <w:rPr>
          <w:b/>
          <w:color w:val="211F1F"/>
        </w:rPr>
        <w:t>defined</w:t>
      </w:r>
      <w:r>
        <w:rPr>
          <w:b/>
          <w:color w:val="211F1F"/>
          <w:spacing w:val="-12"/>
        </w:rPr>
        <w:t xml:space="preserve"> </w:t>
      </w:r>
      <w:r>
        <w:rPr>
          <w:b/>
          <w:color w:val="211F1F"/>
        </w:rPr>
        <w:t>in</w:t>
      </w:r>
      <w:r>
        <w:rPr>
          <w:b/>
          <w:color w:val="211F1F"/>
          <w:spacing w:val="-13"/>
        </w:rPr>
        <w:t xml:space="preserve"> </w:t>
      </w:r>
      <w:r>
        <w:rPr>
          <w:b/>
          <w:color w:val="211F1F"/>
        </w:rPr>
        <w:t>the</w:t>
      </w:r>
      <w:r>
        <w:rPr>
          <w:b/>
          <w:color w:val="211F1F"/>
          <w:spacing w:val="-12"/>
        </w:rPr>
        <w:t xml:space="preserve"> </w:t>
      </w:r>
      <w:r>
        <w:rPr>
          <w:b/>
          <w:color w:val="211F1F"/>
        </w:rPr>
        <w:t>SCC</w:t>
      </w:r>
      <w:r>
        <w:rPr>
          <w:color w:val="211F1F"/>
        </w:rPr>
        <w:t>.</w:t>
      </w:r>
    </w:p>
    <w:p w14:paraId="0ABD5EAF" w14:textId="77777777" w:rsidR="00BB77C0" w:rsidRDefault="00370BAA">
      <w:pPr>
        <w:pStyle w:val="Heading7"/>
        <w:numPr>
          <w:ilvl w:val="0"/>
          <w:numId w:val="23"/>
        </w:numPr>
        <w:tabs>
          <w:tab w:val="left" w:pos="1074"/>
        </w:tabs>
        <w:spacing w:before="237"/>
        <w:ind w:left="1074" w:hanging="354"/>
        <w:jc w:val="left"/>
      </w:pPr>
      <w:bookmarkStart w:id="184" w:name="2._Interpretation"/>
      <w:bookmarkEnd w:id="184"/>
      <w:r>
        <w:rPr>
          <w:color w:val="211F1F"/>
          <w:spacing w:val="-2"/>
        </w:rPr>
        <w:t>Interpretation</w:t>
      </w:r>
    </w:p>
    <w:p w14:paraId="1DE62077" w14:textId="77777777" w:rsidR="00BB77C0" w:rsidRDefault="00370BAA">
      <w:pPr>
        <w:pStyle w:val="ListParagraph"/>
        <w:numPr>
          <w:ilvl w:val="1"/>
          <w:numId w:val="23"/>
        </w:numPr>
        <w:tabs>
          <w:tab w:val="left" w:pos="1169"/>
          <w:tab w:val="left" w:pos="1171"/>
        </w:tabs>
        <w:spacing w:before="240" w:line="230" w:lineRule="auto"/>
        <w:ind w:right="843" w:hanging="360"/>
        <w:jc w:val="both"/>
        <w:rPr>
          <w:color w:val="211F1F"/>
        </w:rPr>
      </w:pPr>
      <w:r>
        <w:rPr>
          <w:color w:val="211F1F"/>
        </w:rPr>
        <w:t>In interpreting these GCC, words indicating one gender include all genders. Words indicating the singular also include the plural and words indicating the plural also include the singular. Headings have no significance.</w:t>
      </w:r>
      <w:r>
        <w:rPr>
          <w:color w:val="211F1F"/>
          <w:spacing w:val="-14"/>
        </w:rPr>
        <w:t xml:space="preserve"> </w:t>
      </w:r>
      <w:r>
        <w:rPr>
          <w:color w:val="211F1F"/>
        </w:rPr>
        <w:t>Words</w:t>
      </w:r>
      <w:r>
        <w:rPr>
          <w:color w:val="211F1F"/>
          <w:spacing w:val="-14"/>
        </w:rPr>
        <w:t xml:space="preserve"> </w:t>
      </w:r>
      <w:r>
        <w:rPr>
          <w:color w:val="211F1F"/>
        </w:rPr>
        <w:t>have</w:t>
      </w:r>
      <w:r>
        <w:rPr>
          <w:color w:val="211F1F"/>
          <w:spacing w:val="-14"/>
        </w:rPr>
        <w:t xml:space="preserve"> </w:t>
      </w:r>
      <w:r>
        <w:rPr>
          <w:color w:val="211F1F"/>
        </w:rPr>
        <w:t>their</w:t>
      </w:r>
      <w:r>
        <w:rPr>
          <w:color w:val="211F1F"/>
          <w:spacing w:val="-13"/>
        </w:rPr>
        <w:t xml:space="preserve"> </w:t>
      </w:r>
      <w:r>
        <w:rPr>
          <w:color w:val="211F1F"/>
        </w:rPr>
        <w:t>normal</w:t>
      </w:r>
      <w:r>
        <w:rPr>
          <w:color w:val="211F1F"/>
          <w:spacing w:val="-14"/>
        </w:rPr>
        <w:t xml:space="preserve"> </w:t>
      </w:r>
      <w:r>
        <w:rPr>
          <w:color w:val="211F1F"/>
        </w:rPr>
        <w:t>meaning</w:t>
      </w:r>
      <w:r>
        <w:rPr>
          <w:color w:val="211F1F"/>
          <w:spacing w:val="-14"/>
        </w:rPr>
        <w:t xml:space="preserve"> </w:t>
      </w:r>
      <w:r>
        <w:rPr>
          <w:color w:val="211F1F"/>
        </w:rPr>
        <w:t>under</w:t>
      </w:r>
      <w:r>
        <w:rPr>
          <w:color w:val="211F1F"/>
          <w:spacing w:val="-14"/>
        </w:rPr>
        <w:t xml:space="preserve"> </w:t>
      </w:r>
      <w:r>
        <w:rPr>
          <w:color w:val="211F1F"/>
        </w:rPr>
        <w:t>the</w:t>
      </w:r>
      <w:r>
        <w:rPr>
          <w:color w:val="211F1F"/>
          <w:spacing w:val="-13"/>
        </w:rPr>
        <w:t xml:space="preserve"> </w:t>
      </w:r>
      <w:r>
        <w:rPr>
          <w:color w:val="211F1F"/>
        </w:rPr>
        <w:t>language</w:t>
      </w:r>
      <w:r>
        <w:rPr>
          <w:color w:val="211F1F"/>
          <w:spacing w:val="-14"/>
        </w:rPr>
        <w:t xml:space="preserve"> </w:t>
      </w:r>
      <w:r>
        <w:rPr>
          <w:color w:val="211F1F"/>
        </w:rPr>
        <w:t>of</w:t>
      </w:r>
      <w:r>
        <w:rPr>
          <w:color w:val="211F1F"/>
          <w:spacing w:val="-14"/>
        </w:rPr>
        <w:t xml:space="preserve"> </w:t>
      </w:r>
      <w:r>
        <w:rPr>
          <w:color w:val="211F1F"/>
        </w:rPr>
        <w:t>the</w:t>
      </w:r>
      <w:r>
        <w:rPr>
          <w:color w:val="211F1F"/>
          <w:spacing w:val="-14"/>
        </w:rPr>
        <w:t xml:space="preserve"> </w:t>
      </w:r>
      <w:r>
        <w:rPr>
          <w:color w:val="211F1F"/>
        </w:rPr>
        <w:t>Contract</w:t>
      </w:r>
      <w:r>
        <w:rPr>
          <w:color w:val="211F1F"/>
          <w:spacing w:val="-13"/>
        </w:rPr>
        <w:t xml:space="preserve"> </w:t>
      </w:r>
      <w:r>
        <w:rPr>
          <w:color w:val="211F1F"/>
        </w:rPr>
        <w:t>unless</w:t>
      </w:r>
      <w:r>
        <w:rPr>
          <w:color w:val="211F1F"/>
          <w:spacing w:val="-14"/>
        </w:rPr>
        <w:t xml:space="preserve"> </w:t>
      </w:r>
      <w:r>
        <w:rPr>
          <w:color w:val="211F1F"/>
        </w:rPr>
        <w:t>specifically</w:t>
      </w:r>
      <w:r>
        <w:rPr>
          <w:color w:val="211F1F"/>
          <w:spacing w:val="-14"/>
        </w:rPr>
        <w:t xml:space="preserve"> </w:t>
      </w:r>
      <w:r>
        <w:rPr>
          <w:color w:val="211F1F"/>
        </w:rPr>
        <w:t>defined. The Project Manager shall provide instructions clarifying queries about these GCC.</w:t>
      </w:r>
    </w:p>
    <w:p w14:paraId="2078343F" w14:textId="77777777" w:rsidR="00BB77C0" w:rsidRDefault="00370BAA">
      <w:pPr>
        <w:pStyle w:val="ListParagraph"/>
        <w:numPr>
          <w:ilvl w:val="1"/>
          <w:numId w:val="23"/>
        </w:numPr>
        <w:tabs>
          <w:tab w:val="left" w:pos="1169"/>
          <w:tab w:val="left" w:pos="1171"/>
        </w:tabs>
        <w:spacing w:before="243" w:line="230" w:lineRule="auto"/>
        <w:ind w:right="839" w:hanging="360"/>
        <w:jc w:val="both"/>
        <w:rPr>
          <w:color w:val="211F1F"/>
        </w:rPr>
      </w:pPr>
      <w:r>
        <w:rPr>
          <w:color w:val="211F1F"/>
        </w:rPr>
        <w:t>If sectional completion is specified in the SCC, references in the GCC to the Works, the Completion Date, and</w:t>
      </w:r>
      <w:r>
        <w:rPr>
          <w:color w:val="211F1F"/>
          <w:spacing w:val="-14"/>
        </w:rPr>
        <w:t xml:space="preserve"> </w:t>
      </w:r>
      <w:r>
        <w:rPr>
          <w:color w:val="211F1F"/>
        </w:rPr>
        <w:t>the</w:t>
      </w:r>
      <w:r>
        <w:rPr>
          <w:color w:val="211F1F"/>
          <w:spacing w:val="-14"/>
        </w:rPr>
        <w:t xml:space="preserve"> </w:t>
      </w:r>
      <w:r>
        <w:rPr>
          <w:color w:val="211F1F"/>
        </w:rPr>
        <w:t>Intended</w:t>
      </w:r>
      <w:r>
        <w:rPr>
          <w:color w:val="211F1F"/>
          <w:spacing w:val="-14"/>
        </w:rPr>
        <w:t xml:space="preserve"> </w:t>
      </w:r>
      <w:r>
        <w:rPr>
          <w:color w:val="211F1F"/>
        </w:rPr>
        <w:t>Completion</w:t>
      </w:r>
      <w:r>
        <w:rPr>
          <w:color w:val="211F1F"/>
          <w:spacing w:val="-11"/>
        </w:rPr>
        <w:t xml:space="preserve"> </w:t>
      </w:r>
      <w:r>
        <w:rPr>
          <w:color w:val="211F1F"/>
        </w:rPr>
        <w:t>Date</w:t>
      </w:r>
      <w:r>
        <w:rPr>
          <w:color w:val="211F1F"/>
          <w:spacing w:val="-14"/>
        </w:rPr>
        <w:t xml:space="preserve"> </w:t>
      </w:r>
      <w:r>
        <w:rPr>
          <w:color w:val="211F1F"/>
        </w:rPr>
        <w:t>apply</w:t>
      </w:r>
      <w:r>
        <w:rPr>
          <w:color w:val="211F1F"/>
          <w:spacing w:val="-14"/>
        </w:rPr>
        <w:t xml:space="preserve"> </w:t>
      </w:r>
      <w:r>
        <w:rPr>
          <w:color w:val="211F1F"/>
        </w:rPr>
        <w:t>to</w:t>
      </w:r>
      <w:r>
        <w:rPr>
          <w:color w:val="211F1F"/>
          <w:spacing w:val="-13"/>
        </w:rPr>
        <w:t xml:space="preserve"> </w:t>
      </w:r>
      <w:r>
        <w:rPr>
          <w:color w:val="211F1F"/>
        </w:rPr>
        <w:t>any</w:t>
      </w:r>
      <w:r>
        <w:rPr>
          <w:color w:val="211F1F"/>
          <w:spacing w:val="-10"/>
        </w:rPr>
        <w:t xml:space="preserve"> </w:t>
      </w:r>
      <w:r>
        <w:rPr>
          <w:color w:val="211F1F"/>
        </w:rPr>
        <w:t>Section</w:t>
      </w:r>
      <w:r>
        <w:rPr>
          <w:color w:val="211F1F"/>
          <w:spacing w:val="-10"/>
        </w:rPr>
        <w:t xml:space="preserve"> </w:t>
      </w:r>
      <w:r>
        <w:rPr>
          <w:color w:val="211F1F"/>
        </w:rPr>
        <w:t>of</w:t>
      </w:r>
      <w:r>
        <w:rPr>
          <w:color w:val="211F1F"/>
          <w:spacing w:val="-12"/>
        </w:rPr>
        <w:t xml:space="preserve"> </w:t>
      </w:r>
      <w:r>
        <w:rPr>
          <w:color w:val="211F1F"/>
        </w:rPr>
        <w:t>the</w:t>
      </w:r>
      <w:r>
        <w:rPr>
          <w:color w:val="211F1F"/>
          <w:spacing w:val="-14"/>
        </w:rPr>
        <w:t xml:space="preserve"> </w:t>
      </w:r>
      <w:r>
        <w:rPr>
          <w:color w:val="211F1F"/>
        </w:rPr>
        <w:t>Works</w:t>
      </w:r>
      <w:r>
        <w:rPr>
          <w:color w:val="211F1F"/>
          <w:spacing w:val="-9"/>
        </w:rPr>
        <w:t xml:space="preserve"> </w:t>
      </w:r>
      <w:r>
        <w:rPr>
          <w:color w:val="211F1F"/>
        </w:rPr>
        <w:t>(other</w:t>
      </w:r>
      <w:r>
        <w:rPr>
          <w:color w:val="211F1F"/>
          <w:spacing w:val="-6"/>
        </w:rPr>
        <w:t xml:space="preserve"> </w:t>
      </w:r>
      <w:r>
        <w:rPr>
          <w:color w:val="211F1F"/>
        </w:rPr>
        <w:t>than</w:t>
      </w:r>
      <w:r>
        <w:rPr>
          <w:color w:val="211F1F"/>
          <w:spacing w:val="-14"/>
        </w:rPr>
        <w:t xml:space="preserve"> </w:t>
      </w:r>
      <w:r>
        <w:rPr>
          <w:color w:val="211F1F"/>
        </w:rPr>
        <w:t>references</w:t>
      </w:r>
      <w:r>
        <w:rPr>
          <w:color w:val="211F1F"/>
          <w:spacing w:val="-8"/>
        </w:rPr>
        <w:t xml:space="preserve"> </w:t>
      </w:r>
      <w:r>
        <w:rPr>
          <w:color w:val="211F1F"/>
        </w:rPr>
        <w:t>to</w:t>
      </w:r>
      <w:r>
        <w:rPr>
          <w:color w:val="211F1F"/>
          <w:spacing w:val="-14"/>
        </w:rPr>
        <w:t xml:space="preserve"> </w:t>
      </w:r>
      <w:r>
        <w:rPr>
          <w:color w:val="211F1F"/>
        </w:rPr>
        <w:t>the</w:t>
      </w:r>
      <w:r>
        <w:rPr>
          <w:color w:val="211F1F"/>
          <w:spacing w:val="-11"/>
        </w:rPr>
        <w:t xml:space="preserve"> </w:t>
      </w:r>
      <w:r>
        <w:rPr>
          <w:color w:val="211F1F"/>
        </w:rPr>
        <w:t>Completion Date and Intended Completion Date for the whole of the Works).</w:t>
      </w:r>
    </w:p>
    <w:p w14:paraId="3E792583" w14:textId="77777777" w:rsidR="00BB77C0" w:rsidRDefault="00370BAA">
      <w:pPr>
        <w:pStyle w:val="ListParagraph"/>
        <w:numPr>
          <w:ilvl w:val="1"/>
          <w:numId w:val="23"/>
        </w:numPr>
        <w:tabs>
          <w:tab w:val="left" w:pos="1169"/>
        </w:tabs>
        <w:spacing w:before="238"/>
        <w:ind w:left="1169" w:hanging="358"/>
        <w:rPr>
          <w:color w:val="211F1F"/>
        </w:rPr>
      </w:pPr>
      <w:r>
        <w:rPr>
          <w:color w:val="211F1F"/>
        </w:rPr>
        <w:t>The</w:t>
      </w:r>
      <w:r>
        <w:rPr>
          <w:color w:val="211F1F"/>
          <w:spacing w:val="-9"/>
        </w:rPr>
        <w:t xml:space="preserve"> </w:t>
      </w:r>
      <w:r>
        <w:rPr>
          <w:color w:val="211F1F"/>
        </w:rPr>
        <w:t>documents</w:t>
      </w:r>
      <w:r>
        <w:rPr>
          <w:color w:val="211F1F"/>
          <w:spacing w:val="-5"/>
        </w:rPr>
        <w:t xml:space="preserve"> </w:t>
      </w:r>
      <w:r>
        <w:rPr>
          <w:color w:val="211F1F"/>
        </w:rPr>
        <w:t>forming</w:t>
      </w:r>
      <w:r>
        <w:rPr>
          <w:color w:val="211F1F"/>
          <w:spacing w:val="-9"/>
        </w:rPr>
        <w:t xml:space="preserve"> </w:t>
      </w:r>
      <w:r>
        <w:rPr>
          <w:color w:val="211F1F"/>
        </w:rPr>
        <w:t>the</w:t>
      </w:r>
      <w:r>
        <w:rPr>
          <w:color w:val="211F1F"/>
          <w:spacing w:val="-11"/>
        </w:rPr>
        <w:t xml:space="preserve"> </w:t>
      </w:r>
      <w:r>
        <w:rPr>
          <w:color w:val="211F1F"/>
        </w:rPr>
        <w:t>Contract</w:t>
      </w:r>
      <w:r>
        <w:rPr>
          <w:color w:val="211F1F"/>
          <w:spacing w:val="-3"/>
        </w:rPr>
        <w:t xml:space="preserve"> </w:t>
      </w:r>
      <w:r>
        <w:rPr>
          <w:color w:val="211F1F"/>
        </w:rPr>
        <w:t>shall</w:t>
      </w:r>
      <w:r>
        <w:rPr>
          <w:color w:val="211F1F"/>
          <w:spacing w:val="-9"/>
        </w:rPr>
        <w:t xml:space="preserve"> </w:t>
      </w:r>
      <w:r>
        <w:rPr>
          <w:color w:val="211F1F"/>
        </w:rPr>
        <w:t>be</w:t>
      </w:r>
      <w:r>
        <w:rPr>
          <w:color w:val="211F1F"/>
          <w:spacing w:val="-11"/>
        </w:rPr>
        <w:t xml:space="preserve"> </w:t>
      </w:r>
      <w:r>
        <w:rPr>
          <w:color w:val="211F1F"/>
        </w:rPr>
        <w:t>interpreted</w:t>
      </w:r>
      <w:r>
        <w:rPr>
          <w:color w:val="211F1F"/>
          <w:spacing w:val="-9"/>
        </w:rPr>
        <w:t xml:space="preserve"> </w:t>
      </w:r>
      <w:r>
        <w:rPr>
          <w:color w:val="211F1F"/>
        </w:rPr>
        <w:t>in</w:t>
      </w:r>
      <w:r>
        <w:rPr>
          <w:color w:val="211F1F"/>
          <w:spacing w:val="-9"/>
        </w:rPr>
        <w:t xml:space="preserve"> </w:t>
      </w:r>
      <w:r>
        <w:rPr>
          <w:color w:val="211F1F"/>
        </w:rPr>
        <w:t>the</w:t>
      </w:r>
      <w:r>
        <w:rPr>
          <w:color w:val="211F1F"/>
          <w:spacing w:val="-12"/>
        </w:rPr>
        <w:t xml:space="preserve"> </w:t>
      </w:r>
      <w:r>
        <w:rPr>
          <w:color w:val="211F1F"/>
        </w:rPr>
        <w:t>following</w:t>
      </w:r>
      <w:r>
        <w:rPr>
          <w:color w:val="211F1F"/>
          <w:spacing w:val="-5"/>
        </w:rPr>
        <w:t xml:space="preserve"> </w:t>
      </w:r>
      <w:r>
        <w:rPr>
          <w:color w:val="211F1F"/>
        </w:rPr>
        <w:t>order</w:t>
      </w:r>
      <w:r>
        <w:rPr>
          <w:color w:val="211F1F"/>
          <w:spacing w:val="-2"/>
        </w:rPr>
        <w:t xml:space="preserve"> </w:t>
      </w:r>
      <w:r>
        <w:rPr>
          <w:color w:val="211F1F"/>
        </w:rPr>
        <w:t>of</w:t>
      </w:r>
      <w:r>
        <w:rPr>
          <w:color w:val="211F1F"/>
          <w:spacing w:val="-6"/>
        </w:rPr>
        <w:t xml:space="preserve"> </w:t>
      </w:r>
      <w:r>
        <w:rPr>
          <w:color w:val="211F1F"/>
          <w:spacing w:val="-2"/>
        </w:rPr>
        <w:t>priority:</w:t>
      </w:r>
    </w:p>
    <w:p w14:paraId="48A0D726" w14:textId="77777777" w:rsidR="00BB77C0" w:rsidRDefault="00370BAA">
      <w:pPr>
        <w:pStyle w:val="ListParagraph"/>
        <w:numPr>
          <w:ilvl w:val="0"/>
          <w:numId w:val="27"/>
        </w:numPr>
        <w:tabs>
          <w:tab w:val="left" w:pos="1594"/>
        </w:tabs>
        <w:spacing w:before="35"/>
      </w:pPr>
      <w:r>
        <w:rPr>
          <w:color w:val="211F1F"/>
          <w:spacing w:val="-2"/>
        </w:rPr>
        <w:t>Agreement,</w:t>
      </w:r>
    </w:p>
    <w:p w14:paraId="5D6AAE5C" w14:textId="77777777" w:rsidR="00BB77C0" w:rsidRDefault="00370BAA">
      <w:pPr>
        <w:pStyle w:val="ListParagraph"/>
        <w:numPr>
          <w:ilvl w:val="0"/>
          <w:numId w:val="27"/>
        </w:numPr>
        <w:tabs>
          <w:tab w:val="left" w:pos="1594"/>
        </w:tabs>
        <w:spacing w:before="40"/>
      </w:pPr>
      <w:r>
        <w:rPr>
          <w:color w:val="211F1F"/>
          <w:spacing w:val="-4"/>
        </w:rPr>
        <w:t>Letter</w:t>
      </w:r>
      <w:r>
        <w:rPr>
          <w:color w:val="211F1F"/>
          <w:spacing w:val="-8"/>
        </w:rPr>
        <w:t xml:space="preserve"> </w:t>
      </w:r>
      <w:r>
        <w:rPr>
          <w:color w:val="211F1F"/>
          <w:spacing w:val="-4"/>
        </w:rPr>
        <w:t>of</w:t>
      </w:r>
      <w:r>
        <w:rPr>
          <w:color w:val="211F1F"/>
          <w:spacing w:val="-23"/>
        </w:rPr>
        <w:t xml:space="preserve"> </w:t>
      </w:r>
      <w:r>
        <w:rPr>
          <w:color w:val="211F1F"/>
          <w:spacing w:val="-4"/>
        </w:rPr>
        <w:t>Acceptance,</w:t>
      </w:r>
    </w:p>
    <w:p w14:paraId="60AFEC4A" w14:textId="77777777" w:rsidR="00BB77C0" w:rsidRDefault="00370BAA">
      <w:pPr>
        <w:pStyle w:val="ListParagraph"/>
        <w:numPr>
          <w:ilvl w:val="0"/>
          <w:numId w:val="27"/>
        </w:numPr>
        <w:tabs>
          <w:tab w:val="left" w:pos="1594"/>
        </w:tabs>
        <w:spacing w:before="40"/>
      </w:pPr>
      <w:r>
        <w:rPr>
          <w:color w:val="211F1F"/>
          <w:spacing w:val="-2"/>
        </w:rPr>
        <w:t>Contractor's</w:t>
      </w:r>
      <w:r>
        <w:rPr>
          <w:color w:val="211F1F"/>
          <w:spacing w:val="-11"/>
        </w:rPr>
        <w:t xml:space="preserve"> </w:t>
      </w:r>
      <w:r>
        <w:rPr>
          <w:color w:val="211F1F"/>
          <w:spacing w:val="-4"/>
        </w:rPr>
        <w:t>Bid,</w:t>
      </w:r>
    </w:p>
    <w:p w14:paraId="5808D029" w14:textId="77777777" w:rsidR="00BB77C0" w:rsidRDefault="00370BAA">
      <w:pPr>
        <w:pStyle w:val="ListParagraph"/>
        <w:numPr>
          <w:ilvl w:val="0"/>
          <w:numId w:val="27"/>
        </w:numPr>
        <w:tabs>
          <w:tab w:val="left" w:pos="1594"/>
        </w:tabs>
        <w:spacing w:before="40"/>
      </w:pPr>
      <w:r>
        <w:rPr>
          <w:color w:val="211F1F"/>
          <w:spacing w:val="-4"/>
        </w:rPr>
        <w:t>Special</w:t>
      </w:r>
      <w:r>
        <w:rPr>
          <w:color w:val="211F1F"/>
          <w:spacing w:val="-17"/>
        </w:rPr>
        <w:t xml:space="preserve"> </w:t>
      </w:r>
      <w:r>
        <w:rPr>
          <w:color w:val="211F1F"/>
          <w:spacing w:val="-4"/>
        </w:rPr>
        <w:t>Conditions</w:t>
      </w:r>
      <w:r>
        <w:rPr>
          <w:color w:val="211F1F"/>
          <w:spacing w:val="2"/>
        </w:rPr>
        <w:t xml:space="preserve"> </w:t>
      </w:r>
      <w:r>
        <w:rPr>
          <w:color w:val="211F1F"/>
          <w:spacing w:val="-4"/>
        </w:rPr>
        <w:t>of</w:t>
      </w:r>
      <w:r>
        <w:rPr>
          <w:color w:val="211F1F"/>
          <w:spacing w:val="-1"/>
        </w:rPr>
        <w:t xml:space="preserve"> </w:t>
      </w:r>
      <w:r>
        <w:rPr>
          <w:color w:val="211F1F"/>
          <w:spacing w:val="-4"/>
        </w:rPr>
        <w:t>Contract,</w:t>
      </w:r>
    </w:p>
    <w:p w14:paraId="6526A9B5" w14:textId="77777777" w:rsidR="00BB77C0" w:rsidRDefault="00370BAA">
      <w:pPr>
        <w:pStyle w:val="ListParagraph"/>
        <w:numPr>
          <w:ilvl w:val="0"/>
          <w:numId w:val="27"/>
        </w:numPr>
        <w:tabs>
          <w:tab w:val="left" w:pos="1594"/>
        </w:tabs>
        <w:spacing w:before="40"/>
      </w:pPr>
      <w:r>
        <w:rPr>
          <w:color w:val="211F1F"/>
          <w:spacing w:val="-4"/>
        </w:rPr>
        <w:t>General</w:t>
      </w:r>
      <w:r>
        <w:rPr>
          <w:color w:val="211F1F"/>
          <w:spacing w:val="-11"/>
        </w:rPr>
        <w:t xml:space="preserve"> </w:t>
      </w:r>
      <w:r>
        <w:rPr>
          <w:color w:val="211F1F"/>
          <w:spacing w:val="-4"/>
        </w:rPr>
        <w:t>Conditions</w:t>
      </w:r>
      <w:r>
        <w:rPr>
          <w:color w:val="211F1F"/>
          <w:spacing w:val="1"/>
        </w:rPr>
        <w:t xml:space="preserve"> </w:t>
      </w:r>
      <w:r>
        <w:rPr>
          <w:color w:val="211F1F"/>
          <w:spacing w:val="-4"/>
        </w:rPr>
        <w:t>of</w:t>
      </w:r>
      <w:r>
        <w:rPr>
          <w:color w:val="211F1F"/>
          <w:spacing w:val="3"/>
        </w:rPr>
        <w:t xml:space="preserve"> </w:t>
      </w:r>
      <w:r>
        <w:rPr>
          <w:color w:val="211F1F"/>
          <w:spacing w:val="-4"/>
        </w:rPr>
        <w:t>Contract,</w:t>
      </w:r>
      <w:r>
        <w:rPr>
          <w:color w:val="211F1F"/>
          <w:spacing w:val="3"/>
        </w:rPr>
        <w:t xml:space="preserve"> </w:t>
      </w:r>
      <w:r>
        <w:rPr>
          <w:color w:val="211F1F"/>
          <w:spacing w:val="-4"/>
        </w:rPr>
        <w:t>including</w:t>
      </w:r>
      <w:r>
        <w:rPr>
          <w:color w:val="211F1F"/>
          <w:spacing w:val="-24"/>
        </w:rPr>
        <w:t xml:space="preserve"> </w:t>
      </w:r>
      <w:r>
        <w:rPr>
          <w:color w:val="211F1F"/>
          <w:spacing w:val="-4"/>
        </w:rPr>
        <w:t>Appendices,</w:t>
      </w:r>
    </w:p>
    <w:p w14:paraId="1749656A" w14:textId="77777777" w:rsidR="00BB77C0" w:rsidRDefault="00370BAA">
      <w:pPr>
        <w:pStyle w:val="ListParagraph"/>
        <w:numPr>
          <w:ilvl w:val="0"/>
          <w:numId w:val="27"/>
        </w:numPr>
        <w:tabs>
          <w:tab w:val="left" w:pos="1594"/>
        </w:tabs>
        <w:spacing w:before="40"/>
      </w:pPr>
      <w:r>
        <w:rPr>
          <w:color w:val="211F1F"/>
          <w:spacing w:val="-2"/>
        </w:rPr>
        <w:t>Specifications,</w:t>
      </w:r>
    </w:p>
    <w:p w14:paraId="75C4531E" w14:textId="77777777" w:rsidR="00BB77C0" w:rsidRDefault="00370BAA">
      <w:pPr>
        <w:pStyle w:val="ListParagraph"/>
        <w:numPr>
          <w:ilvl w:val="0"/>
          <w:numId w:val="27"/>
        </w:numPr>
        <w:tabs>
          <w:tab w:val="left" w:pos="1594"/>
        </w:tabs>
        <w:spacing w:before="40"/>
      </w:pPr>
      <w:r>
        <w:rPr>
          <w:color w:val="211F1F"/>
          <w:spacing w:val="-2"/>
        </w:rPr>
        <w:t>Drawings,</w:t>
      </w:r>
    </w:p>
    <w:p w14:paraId="07B5AE46" w14:textId="77777777" w:rsidR="00BB77C0" w:rsidRDefault="00370BAA">
      <w:pPr>
        <w:pStyle w:val="ListParagraph"/>
        <w:numPr>
          <w:ilvl w:val="0"/>
          <w:numId w:val="27"/>
        </w:numPr>
        <w:tabs>
          <w:tab w:val="left" w:pos="1594"/>
        </w:tabs>
        <w:spacing w:before="87"/>
      </w:pPr>
      <w:r>
        <w:rPr>
          <w:color w:val="211F1F"/>
          <w:spacing w:val="-2"/>
        </w:rPr>
        <w:t>Bill</w:t>
      </w:r>
      <w:r>
        <w:rPr>
          <w:color w:val="211F1F"/>
          <w:spacing w:val="-20"/>
        </w:rPr>
        <w:t xml:space="preserve"> </w:t>
      </w:r>
      <w:r>
        <w:rPr>
          <w:color w:val="211F1F"/>
          <w:spacing w:val="-2"/>
        </w:rPr>
        <w:t>of</w:t>
      </w:r>
      <w:r>
        <w:rPr>
          <w:color w:val="211F1F"/>
          <w:spacing w:val="-13"/>
        </w:rPr>
        <w:t xml:space="preserve"> </w:t>
      </w:r>
      <w:r>
        <w:rPr>
          <w:color w:val="211F1F"/>
          <w:spacing w:val="-2"/>
        </w:rPr>
        <w:t>Quantities</w:t>
      </w:r>
      <w:r>
        <w:rPr>
          <w:color w:val="211F1F"/>
          <w:spacing w:val="-2"/>
          <w:vertAlign w:val="superscript"/>
        </w:rPr>
        <w:t>6</w:t>
      </w:r>
      <w:r>
        <w:rPr>
          <w:color w:val="211F1F"/>
          <w:spacing w:val="-2"/>
        </w:rPr>
        <w:t>,</w:t>
      </w:r>
      <w:r>
        <w:rPr>
          <w:color w:val="211F1F"/>
          <w:spacing w:val="-13"/>
        </w:rPr>
        <w:t xml:space="preserve"> </w:t>
      </w:r>
      <w:r>
        <w:rPr>
          <w:color w:val="211F1F"/>
          <w:spacing w:val="-5"/>
        </w:rPr>
        <w:t>and</w:t>
      </w:r>
    </w:p>
    <w:p w14:paraId="5FEB5705" w14:textId="77777777" w:rsidR="00BB77C0" w:rsidRDefault="00370BAA">
      <w:pPr>
        <w:pStyle w:val="ListParagraph"/>
        <w:numPr>
          <w:ilvl w:val="0"/>
          <w:numId w:val="27"/>
        </w:numPr>
        <w:tabs>
          <w:tab w:val="left" w:pos="1594"/>
        </w:tabs>
        <w:spacing w:before="36"/>
      </w:pPr>
      <w:r>
        <w:rPr>
          <w:color w:val="211F1F"/>
          <w:spacing w:val="-4"/>
        </w:rPr>
        <w:t>any</w:t>
      </w:r>
      <w:r>
        <w:rPr>
          <w:color w:val="211F1F"/>
          <w:spacing w:val="-16"/>
        </w:rPr>
        <w:t xml:space="preserve"> </w:t>
      </w:r>
      <w:r>
        <w:rPr>
          <w:color w:val="211F1F"/>
          <w:spacing w:val="-4"/>
        </w:rPr>
        <w:t>other</w:t>
      </w:r>
      <w:r>
        <w:rPr>
          <w:color w:val="211F1F"/>
          <w:spacing w:val="-6"/>
        </w:rPr>
        <w:t xml:space="preserve"> </w:t>
      </w:r>
      <w:r>
        <w:rPr>
          <w:color w:val="211F1F"/>
          <w:spacing w:val="-4"/>
        </w:rPr>
        <w:t>document</w:t>
      </w:r>
      <w:r>
        <w:rPr>
          <w:color w:val="211F1F"/>
          <w:spacing w:val="-7"/>
        </w:rPr>
        <w:t xml:space="preserve"> </w:t>
      </w:r>
      <w:r>
        <w:rPr>
          <w:b/>
          <w:color w:val="211F1F"/>
          <w:spacing w:val="-4"/>
        </w:rPr>
        <w:t>listed</w:t>
      </w:r>
      <w:r>
        <w:rPr>
          <w:b/>
          <w:color w:val="211F1F"/>
          <w:spacing w:val="-13"/>
        </w:rPr>
        <w:t xml:space="preserve"> </w:t>
      </w:r>
      <w:r>
        <w:rPr>
          <w:b/>
          <w:color w:val="211F1F"/>
          <w:spacing w:val="-4"/>
        </w:rPr>
        <w:t>in</w:t>
      </w:r>
      <w:r>
        <w:rPr>
          <w:b/>
          <w:color w:val="211F1F"/>
          <w:spacing w:val="-19"/>
        </w:rPr>
        <w:t xml:space="preserve"> </w:t>
      </w:r>
      <w:r>
        <w:rPr>
          <w:b/>
          <w:color w:val="211F1F"/>
          <w:spacing w:val="-4"/>
        </w:rPr>
        <w:t>the</w:t>
      </w:r>
      <w:r>
        <w:rPr>
          <w:b/>
          <w:color w:val="211F1F"/>
          <w:spacing w:val="-12"/>
        </w:rPr>
        <w:t xml:space="preserve"> </w:t>
      </w:r>
      <w:r>
        <w:rPr>
          <w:b/>
          <w:color w:val="211F1F"/>
          <w:spacing w:val="-4"/>
        </w:rPr>
        <w:t>SCC</w:t>
      </w:r>
      <w:r>
        <w:rPr>
          <w:b/>
          <w:color w:val="211F1F"/>
          <w:spacing w:val="-18"/>
        </w:rPr>
        <w:t xml:space="preserve"> </w:t>
      </w:r>
      <w:r>
        <w:rPr>
          <w:color w:val="211F1F"/>
          <w:spacing w:val="-4"/>
        </w:rPr>
        <w:t>as</w:t>
      </w:r>
      <w:r>
        <w:rPr>
          <w:color w:val="211F1F"/>
          <w:spacing w:val="-14"/>
        </w:rPr>
        <w:t xml:space="preserve"> </w:t>
      </w:r>
      <w:r>
        <w:rPr>
          <w:color w:val="211F1F"/>
          <w:spacing w:val="-4"/>
        </w:rPr>
        <w:t>forming</w:t>
      </w:r>
      <w:r>
        <w:rPr>
          <w:color w:val="211F1F"/>
          <w:spacing w:val="-16"/>
        </w:rPr>
        <w:t xml:space="preserve"> </w:t>
      </w:r>
      <w:r>
        <w:rPr>
          <w:color w:val="211F1F"/>
          <w:spacing w:val="-4"/>
        </w:rPr>
        <w:t>part</w:t>
      </w:r>
      <w:r>
        <w:rPr>
          <w:color w:val="211F1F"/>
          <w:spacing w:val="-3"/>
        </w:rPr>
        <w:t xml:space="preserve"> </w:t>
      </w:r>
      <w:r>
        <w:rPr>
          <w:color w:val="211F1F"/>
          <w:spacing w:val="-4"/>
        </w:rPr>
        <w:t>of</w:t>
      </w:r>
      <w:r>
        <w:rPr>
          <w:color w:val="211F1F"/>
          <w:spacing w:val="-11"/>
        </w:rPr>
        <w:t xml:space="preserve"> </w:t>
      </w:r>
      <w:r>
        <w:rPr>
          <w:color w:val="211F1F"/>
          <w:spacing w:val="-4"/>
        </w:rPr>
        <w:t>the</w:t>
      </w:r>
      <w:r>
        <w:rPr>
          <w:color w:val="211F1F"/>
          <w:spacing w:val="-18"/>
        </w:rPr>
        <w:t xml:space="preserve"> </w:t>
      </w:r>
      <w:r>
        <w:rPr>
          <w:color w:val="211F1F"/>
          <w:spacing w:val="-4"/>
        </w:rPr>
        <w:t>Contract.</w:t>
      </w:r>
    </w:p>
    <w:p w14:paraId="62763F5E" w14:textId="77777777" w:rsidR="00BB77C0" w:rsidRDefault="00BB77C0">
      <w:pPr>
        <w:pStyle w:val="BodyText"/>
      </w:pPr>
    </w:p>
    <w:p w14:paraId="6D69F035" w14:textId="77777777" w:rsidR="00BB77C0" w:rsidRDefault="00BB77C0">
      <w:pPr>
        <w:pStyle w:val="BodyText"/>
        <w:spacing w:before="9"/>
      </w:pPr>
    </w:p>
    <w:p w14:paraId="14311326" w14:textId="77777777" w:rsidR="00BB77C0" w:rsidRDefault="00370BAA">
      <w:pPr>
        <w:spacing w:before="1"/>
        <w:ind w:left="360"/>
        <w:rPr>
          <w:i/>
          <w:sz w:val="18"/>
        </w:rPr>
      </w:pPr>
      <w:r>
        <w:rPr>
          <w:i/>
          <w:color w:val="211F1F"/>
          <w:position w:val="8"/>
          <w:sz w:val="18"/>
        </w:rPr>
        <w:t>6</w:t>
      </w:r>
      <w:r>
        <w:rPr>
          <w:i/>
          <w:color w:val="211F1F"/>
          <w:sz w:val="18"/>
        </w:rPr>
        <w:t>In</w:t>
      </w:r>
      <w:r>
        <w:rPr>
          <w:i/>
          <w:color w:val="211F1F"/>
          <w:spacing w:val="-10"/>
          <w:sz w:val="18"/>
        </w:rPr>
        <w:t xml:space="preserve"> </w:t>
      </w:r>
      <w:r>
        <w:rPr>
          <w:i/>
          <w:color w:val="211F1F"/>
          <w:sz w:val="18"/>
        </w:rPr>
        <w:t>lump</w:t>
      </w:r>
      <w:r>
        <w:rPr>
          <w:i/>
          <w:color w:val="211F1F"/>
          <w:spacing w:val="-9"/>
          <w:sz w:val="18"/>
        </w:rPr>
        <w:t xml:space="preserve"> </w:t>
      </w:r>
      <w:r>
        <w:rPr>
          <w:i/>
          <w:color w:val="211F1F"/>
          <w:sz w:val="18"/>
        </w:rPr>
        <w:t>sum</w:t>
      </w:r>
      <w:r>
        <w:rPr>
          <w:i/>
          <w:color w:val="211F1F"/>
          <w:spacing w:val="-11"/>
          <w:sz w:val="18"/>
        </w:rPr>
        <w:t xml:space="preserve"> </w:t>
      </w:r>
      <w:r>
        <w:rPr>
          <w:i/>
          <w:color w:val="211F1F"/>
          <w:sz w:val="18"/>
        </w:rPr>
        <w:t>contracts,</w:t>
      </w:r>
      <w:r>
        <w:rPr>
          <w:i/>
          <w:color w:val="211F1F"/>
          <w:spacing w:val="-6"/>
          <w:sz w:val="18"/>
        </w:rPr>
        <w:t xml:space="preserve"> </w:t>
      </w:r>
      <w:r>
        <w:rPr>
          <w:i/>
          <w:color w:val="211F1F"/>
          <w:sz w:val="18"/>
        </w:rPr>
        <w:t>delete</w:t>
      </w:r>
      <w:r>
        <w:rPr>
          <w:i/>
          <w:color w:val="211F1F"/>
          <w:spacing w:val="-7"/>
          <w:sz w:val="18"/>
        </w:rPr>
        <w:t xml:space="preserve"> </w:t>
      </w:r>
      <w:r>
        <w:rPr>
          <w:i/>
          <w:color w:val="211F1F"/>
          <w:sz w:val="18"/>
        </w:rPr>
        <w:t>“Bill</w:t>
      </w:r>
      <w:r>
        <w:rPr>
          <w:i/>
          <w:color w:val="211F1F"/>
          <w:spacing w:val="-8"/>
          <w:sz w:val="18"/>
        </w:rPr>
        <w:t xml:space="preserve"> </w:t>
      </w:r>
      <w:r>
        <w:rPr>
          <w:i/>
          <w:color w:val="211F1F"/>
          <w:sz w:val="18"/>
        </w:rPr>
        <w:t>of</w:t>
      </w:r>
      <w:r>
        <w:rPr>
          <w:i/>
          <w:color w:val="211F1F"/>
          <w:spacing w:val="-2"/>
          <w:sz w:val="18"/>
        </w:rPr>
        <w:t xml:space="preserve"> </w:t>
      </w:r>
      <w:r>
        <w:rPr>
          <w:i/>
          <w:color w:val="211F1F"/>
          <w:sz w:val="18"/>
        </w:rPr>
        <w:t>Quantities”</w:t>
      </w:r>
      <w:r>
        <w:rPr>
          <w:i/>
          <w:color w:val="211F1F"/>
          <w:spacing w:val="-5"/>
          <w:sz w:val="18"/>
        </w:rPr>
        <w:t xml:space="preserve"> </w:t>
      </w:r>
      <w:r>
        <w:rPr>
          <w:i/>
          <w:color w:val="211F1F"/>
          <w:sz w:val="18"/>
        </w:rPr>
        <w:t>and</w:t>
      </w:r>
      <w:r>
        <w:rPr>
          <w:i/>
          <w:color w:val="211F1F"/>
          <w:spacing w:val="-4"/>
          <w:sz w:val="18"/>
        </w:rPr>
        <w:t xml:space="preserve"> </w:t>
      </w:r>
      <w:r>
        <w:rPr>
          <w:i/>
          <w:color w:val="211F1F"/>
          <w:sz w:val="18"/>
        </w:rPr>
        <w:t>replace</w:t>
      </w:r>
      <w:r>
        <w:rPr>
          <w:i/>
          <w:color w:val="211F1F"/>
          <w:spacing w:val="-9"/>
          <w:sz w:val="18"/>
        </w:rPr>
        <w:t xml:space="preserve"> </w:t>
      </w:r>
      <w:r>
        <w:rPr>
          <w:i/>
          <w:color w:val="211F1F"/>
          <w:sz w:val="18"/>
        </w:rPr>
        <w:t>with “Activity</w:t>
      </w:r>
      <w:r>
        <w:rPr>
          <w:i/>
          <w:color w:val="211F1F"/>
          <w:spacing w:val="-8"/>
          <w:sz w:val="18"/>
        </w:rPr>
        <w:t xml:space="preserve"> </w:t>
      </w:r>
      <w:r>
        <w:rPr>
          <w:i/>
          <w:color w:val="211F1F"/>
          <w:spacing w:val="-2"/>
          <w:sz w:val="18"/>
        </w:rPr>
        <w:t>Schedule.”</w:t>
      </w:r>
    </w:p>
    <w:p w14:paraId="39B84FE1" w14:textId="77777777" w:rsidR="00BB77C0" w:rsidRDefault="00370BAA">
      <w:pPr>
        <w:pStyle w:val="BodyText"/>
        <w:spacing w:before="9"/>
        <w:rPr>
          <w:i/>
          <w:sz w:val="5"/>
        </w:rPr>
      </w:pPr>
      <w:r>
        <w:rPr>
          <w:i/>
          <w:noProof/>
          <w:sz w:val="5"/>
        </w:rPr>
        <mc:AlternateContent>
          <mc:Choice Requires="wps">
            <w:drawing>
              <wp:anchor distT="0" distB="0" distL="0" distR="0" simplePos="0" relativeHeight="487641088" behindDoc="1" locked="0" layoutInCell="1" allowOverlap="1" wp14:anchorId="2CC1F60B" wp14:editId="2808D4FF">
                <wp:simplePos x="0" y="0"/>
                <wp:positionH relativeFrom="page">
                  <wp:posOffset>539750</wp:posOffset>
                </wp:positionH>
                <wp:positionV relativeFrom="paragraph">
                  <wp:posOffset>57561</wp:posOffset>
                </wp:positionV>
                <wp:extent cx="1814830" cy="1270"/>
                <wp:effectExtent l="0" t="0" r="0" b="0"/>
                <wp:wrapTopAndBottom/>
                <wp:docPr id="419" name="Graphic 4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14830" cy="1270"/>
                        </a:xfrm>
                        <a:custGeom>
                          <a:avLst/>
                          <a:gdLst/>
                          <a:ahLst/>
                          <a:cxnLst/>
                          <a:rect l="l" t="t" r="r" b="b"/>
                          <a:pathLst>
                            <a:path w="1814830">
                              <a:moveTo>
                                <a:pt x="0" y="0"/>
                              </a:moveTo>
                              <a:lnTo>
                                <a:pt x="1814830" y="0"/>
                              </a:lnTo>
                            </a:path>
                          </a:pathLst>
                        </a:custGeom>
                        <a:ln w="6350">
                          <a:solidFill>
                            <a:srgbClr val="211F1F"/>
                          </a:solidFill>
                          <a:prstDash val="solid"/>
                        </a:ln>
                      </wps:spPr>
                      <wps:bodyPr wrap="square" lIns="0" tIns="0" rIns="0" bIns="0" rtlCol="0">
                        <a:prstTxWarp prst="textNoShape">
                          <a:avLst/>
                        </a:prstTxWarp>
                        <a:noAutofit/>
                      </wps:bodyPr>
                    </wps:wsp>
                  </a:graphicData>
                </a:graphic>
              </wp:anchor>
            </w:drawing>
          </mc:Choice>
          <mc:Fallback>
            <w:pict>
              <v:shape w14:anchorId="7A88C790" id="Graphic 419" o:spid="_x0000_s1026" style="position:absolute;margin-left:42.5pt;margin-top:4.55pt;width:142.9pt;height:.1pt;z-index:-15675392;visibility:visible;mso-wrap-style:square;mso-wrap-distance-left:0;mso-wrap-distance-top:0;mso-wrap-distance-right:0;mso-wrap-distance-bottom:0;mso-position-horizontal:absolute;mso-position-horizontal-relative:page;mso-position-vertical:absolute;mso-position-vertical-relative:text;v-text-anchor:top" coordsize="1814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" path="m,l1814830,e" filled="f" strokecolor="#211f1f" strokeweight=".5pt">
                <v:path arrowok="t"/>
                <w10:wrap type="topAndBottom" anchorx="page"/>
              </v:shape>
            </w:pict>
          </mc:Fallback>
        </mc:AlternateContent>
      </w:r>
    </w:p>
    <w:p w14:paraId="6EDD319E" w14:textId="77777777" w:rsidR="00BB77C0" w:rsidRDefault="00BB77C0">
      <w:pPr>
        <w:pStyle w:val="BodyText"/>
        <w:rPr>
          <w:i/>
          <w:sz w:val="5"/>
        </w:rPr>
        <w:sectPr w:rsidR="00BB77C0">
          <w:pgSz w:w="11920" w:h="16850"/>
          <w:pgMar w:top="760" w:right="0" w:bottom="280" w:left="360" w:header="720" w:footer="720" w:gutter="0"/>
          <w:cols w:space="720"/>
        </w:sectPr>
      </w:pPr>
    </w:p>
    <w:p w14:paraId="36C57428" w14:textId="77777777" w:rsidR="00BB77C0" w:rsidRDefault="00370BAA">
      <w:pPr>
        <w:pStyle w:val="Heading7"/>
        <w:numPr>
          <w:ilvl w:val="0"/>
          <w:numId w:val="23"/>
        </w:numPr>
        <w:tabs>
          <w:tab w:val="left" w:pos="1079"/>
        </w:tabs>
        <w:spacing w:before="62"/>
        <w:ind w:left="1079" w:hanging="359"/>
        <w:jc w:val="both"/>
      </w:pPr>
      <w:bookmarkStart w:id="185" w:name="3._Language_andLaw"/>
      <w:bookmarkEnd w:id="185"/>
      <w:r>
        <w:rPr>
          <w:color w:val="211F1F"/>
        </w:rPr>
        <w:lastRenderedPageBreak/>
        <w:t>Language</w:t>
      </w:r>
      <w:r>
        <w:rPr>
          <w:color w:val="211F1F"/>
          <w:spacing w:val="-11"/>
        </w:rPr>
        <w:t xml:space="preserve"> </w:t>
      </w:r>
      <w:r>
        <w:rPr>
          <w:color w:val="211F1F"/>
          <w:spacing w:val="-2"/>
        </w:rPr>
        <w:t>andLaw</w:t>
      </w:r>
    </w:p>
    <w:p w14:paraId="500602D0" w14:textId="77777777" w:rsidR="00BB77C0" w:rsidRDefault="00370BAA">
      <w:pPr>
        <w:pStyle w:val="ListParagraph"/>
        <w:numPr>
          <w:ilvl w:val="1"/>
          <w:numId w:val="23"/>
        </w:numPr>
        <w:tabs>
          <w:tab w:val="left" w:pos="1169"/>
        </w:tabs>
        <w:spacing w:before="184"/>
        <w:ind w:left="1169" w:hanging="358"/>
        <w:jc w:val="both"/>
        <w:rPr>
          <w:color w:val="211F1F"/>
        </w:rPr>
      </w:pPr>
      <w:r>
        <w:rPr>
          <w:color w:val="211F1F"/>
        </w:rPr>
        <w:t>The</w:t>
      </w:r>
      <w:r>
        <w:rPr>
          <w:color w:val="211F1F"/>
          <w:spacing w:val="-16"/>
        </w:rPr>
        <w:t xml:space="preserve"> </w:t>
      </w:r>
      <w:r>
        <w:rPr>
          <w:color w:val="211F1F"/>
        </w:rPr>
        <w:t>language</w:t>
      </w:r>
      <w:r>
        <w:rPr>
          <w:color w:val="211F1F"/>
          <w:spacing w:val="-14"/>
        </w:rPr>
        <w:t xml:space="preserve"> </w:t>
      </w:r>
      <w:r>
        <w:rPr>
          <w:color w:val="211F1F"/>
        </w:rPr>
        <w:t>of</w:t>
      </w:r>
      <w:r>
        <w:rPr>
          <w:color w:val="211F1F"/>
          <w:spacing w:val="-14"/>
        </w:rPr>
        <w:t xml:space="preserve"> </w:t>
      </w:r>
      <w:r>
        <w:rPr>
          <w:color w:val="211F1F"/>
        </w:rPr>
        <w:t>the</w:t>
      </w:r>
      <w:r>
        <w:rPr>
          <w:color w:val="211F1F"/>
          <w:spacing w:val="-19"/>
        </w:rPr>
        <w:t xml:space="preserve"> </w:t>
      </w:r>
      <w:r>
        <w:rPr>
          <w:color w:val="211F1F"/>
        </w:rPr>
        <w:t>Contract</w:t>
      </w:r>
      <w:r>
        <w:rPr>
          <w:color w:val="211F1F"/>
          <w:spacing w:val="-13"/>
        </w:rPr>
        <w:t xml:space="preserve"> </w:t>
      </w:r>
      <w:r>
        <w:rPr>
          <w:color w:val="211F1F"/>
        </w:rPr>
        <w:t>is</w:t>
      </w:r>
      <w:r>
        <w:rPr>
          <w:color w:val="211F1F"/>
          <w:spacing w:val="-13"/>
        </w:rPr>
        <w:t xml:space="preserve"> </w:t>
      </w:r>
      <w:r>
        <w:rPr>
          <w:color w:val="211F1F"/>
        </w:rPr>
        <w:t>English</w:t>
      </w:r>
      <w:r>
        <w:rPr>
          <w:color w:val="211F1F"/>
          <w:spacing w:val="-17"/>
        </w:rPr>
        <w:t xml:space="preserve"> </w:t>
      </w:r>
      <w:r>
        <w:rPr>
          <w:color w:val="211F1F"/>
        </w:rPr>
        <w:t>Language</w:t>
      </w:r>
      <w:r>
        <w:rPr>
          <w:color w:val="211F1F"/>
          <w:spacing w:val="-14"/>
        </w:rPr>
        <w:t xml:space="preserve"> </w:t>
      </w:r>
      <w:r>
        <w:rPr>
          <w:color w:val="211F1F"/>
        </w:rPr>
        <w:t>and</w:t>
      </w:r>
      <w:r>
        <w:rPr>
          <w:color w:val="211F1F"/>
          <w:spacing w:val="-17"/>
        </w:rPr>
        <w:t xml:space="preserve"> </w:t>
      </w:r>
      <w:r>
        <w:rPr>
          <w:color w:val="211F1F"/>
        </w:rPr>
        <w:t>the</w:t>
      </w:r>
      <w:r>
        <w:rPr>
          <w:color w:val="211F1F"/>
          <w:spacing w:val="-14"/>
        </w:rPr>
        <w:t xml:space="preserve"> </w:t>
      </w:r>
      <w:r>
        <w:rPr>
          <w:color w:val="211F1F"/>
        </w:rPr>
        <w:t>law</w:t>
      </w:r>
      <w:r>
        <w:rPr>
          <w:color w:val="211F1F"/>
          <w:spacing w:val="-14"/>
        </w:rPr>
        <w:t xml:space="preserve"> </w:t>
      </w:r>
      <w:r>
        <w:rPr>
          <w:color w:val="211F1F"/>
        </w:rPr>
        <w:t>governing</w:t>
      </w:r>
      <w:r>
        <w:rPr>
          <w:color w:val="211F1F"/>
          <w:spacing w:val="-12"/>
        </w:rPr>
        <w:t xml:space="preserve"> </w:t>
      </w:r>
      <w:r>
        <w:rPr>
          <w:color w:val="211F1F"/>
        </w:rPr>
        <w:t>the</w:t>
      </w:r>
      <w:r>
        <w:rPr>
          <w:color w:val="211F1F"/>
          <w:spacing w:val="-14"/>
        </w:rPr>
        <w:t xml:space="preserve"> </w:t>
      </w:r>
      <w:r>
        <w:rPr>
          <w:color w:val="211F1F"/>
        </w:rPr>
        <w:t>Contract</w:t>
      </w:r>
      <w:r>
        <w:rPr>
          <w:color w:val="211F1F"/>
          <w:spacing w:val="-12"/>
        </w:rPr>
        <w:t xml:space="preserve"> </w:t>
      </w:r>
      <w:r>
        <w:rPr>
          <w:color w:val="211F1F"/>
        </w:rPr>
        <w:t>are</w:t>
      </w:r>
      <w:r>
        <w:rPr>
          <w:color w:val="211F1F"/>
          <w:spacing w:val="-14"/>
        </w:rPr>
        <w:t xml:space="preserve"> </w:t>
      </w:r>
      <w:r>
        <w:rPr>
          <w:color w:val="211F1F"/>
        </w:rPr>
        <w:t>the</w:t>
      </w:r>
      <w:r>
        <w:rPr>
          <w:color w:val="211F1F"/>
          <w:spacing w:val="-14"/>
        </w:rPr>
        <w:t xml:space="preserve"> </w:t>
      </w:r>
      <w:r>
        <w:rPr>
          <w:color w:val="211F1F"/>
        </w:rPr>
        <w:t>Laws</w:t>
      </w:r>
      <w:r>
        <w:rPr>
          <w:color w:val="211F1F"/>
          <w:spacing w:val="-8"/>
        </w:rPr>
        <w:t xml:space="preserve"> </w:t>
      </w:r>
      <w:r>
        <w:rPr>
          <w:color w:val="211F1F"/>
        </w:rPr>
        <w:t>of</w:t>
      </w:r>
      <w:r>
        <w:rPr>
          <w:color w:val="211F1F"/>
          <w:spacing w:val="-9"/>
        </w:rPr>
        <w:t xml:space="preserve"> </w:t>
      </w:r>
      <w:r>
        <w:rPr>
          <w:color w:val="211F1F"/>
          <w:spacing w:val="-2"/>
        </w:rPr>
        <w:t>Kenya.</w:t>
      </w:r>
    </w:p>
    <w:p w14:paraId="11A6CF11" w14:textId="77777777" w:rsidR="00BB77C0" w:rsidRDefault="00BB77C0">
      <w:pPr>
        <w:pStyle w:val="BodyText"/>
      </w:pPr>
    </w:p>
    <w:p w14:paraId="47626910" w14:textId="77777777" w:rsidR="00BB77C0" w:rsidRDefault="00BB77C0">
      <w:pPr>
        <w:pStyle w:val="BodyText"/>
        <w:spacing w:before="67"/>
      </w:pPr>
    </w:p>
    <w:p w14:paraId="256552E5" w14:textId="77777777" w:rsidR="00BB77C0" w:rsidRDefault="00370BAA">
      <w:pPr>
        <w:pStyle w:val="ListParagraph"/>
        <w:numPr>
          <w:ilvl w:val="1"/>
          <w:numId w:val="23"/>
        </w:numPr>
        <w:tabs>
          <w:tab w:val="left" w:pos="1169"/>
          <w:tab w:val="left" w:pos="1171"/>
        </w:tabs>
        <w:spacing w:line="228" w:lineRule="auto"/>
        <w:ind w:right="844" w:hanging="360"/>
        <w:jc w:val="both"/>
        <w:rPr>
          <w:color w:val="211F1F"/>
        </w:rPr>
      </w:pPr>
      <w:r>
        <w:rPr>
          <w:color w:val="211F1F"/>
        </w:rPr>
        <w:t>Throughout</w:t>
      </w:r>
      <w:r>
        <w:rPr>
          <w:color w:val="211F1F"/>
          <w:spacing w:val="-1"/>
        </w:rPr>
        <w:t xml:space="preserve"> </w:t>
      </w:r>
      <w:r>
        <w:rPr>
          <w:color w:val="211F1F"/>
        </w:rPr>
        <w:t>the</w:t>
      </w:r>
      <w:r>
        <w:rPr>
          <w:color w:val="211F1F"/>
          <w:spacing w:val="-8"/>
        </w:rPr>
        <w:t xml:space="preserve"> </w:t>
      </w:r>
      <w:r>
        <w:rPr>
          <w:color w:val="211F1F"/>
        </w:rPr>
        <w:t>execution</w:t>
      </w:r>
      <w:r>
        <w:rPr>
          <w:color w:val="211F1F"/>
          <w:spacing w:val="-6"/>
        </w:rPr>
        <w:t xml:space="preserve"> </w:t>
      </w:r>
      <w:r>
        <w:rPr>
          <w:color w:val="211F1F"/>
        </w:rPr>
        <w:t>of</w:t>
      </w:r>
      <w:r>
        <w:rPr>
          <w:color w:val="211F1F"/>
          <w:spacing w:val="-3"/>
        </w:rPr>
        <w:t xml:space="preserve"> </w:t>
      </w:r>
      <w:r>
        <w:rPr>
          <w:color w:val="211F1F"/>
        </w:rPr>
        <w:t>the</w:t>
      </w:r>
      <w:r>
        <w:rPr>
          <w:color w:val="211F1F"/>
          <w:spacing w:val="-8"/>
        </w:rPr>
        <w:t xml:space="preserve"> </w:t>
      </w:r>
      <w:r>
        <w:rPr>
          <w:color w:val="211F1F"/>
        </w:rPr>
        <w:t>Contract,</w:t>
      </w:r>
      <w:r>
        <w:rPr>
          <w:color w:val="211F1F"/>
          <w:spacing w:val="-3"/>
        </w:rPr>
        <w:t xml:space="preserve"> </w:t>
      </w:r>
      <w:r>
        <w:rPr>
          <w:color w:val="211F1F"/>
        </w:rPr>
        <w:t>the</w:t>
      </w:r>
      <w:r>
        <w:rPr>
          <w:color w:val="211F1F"/>
          <w:spacing w:val="-8"/>
        </w:rPr>
        <w:t xml:space="preserve"> </w:t>
      </w:r>
      <w:r>
        <w:rPr>
          <w:color w:val="211F1F"/>
        </w:rPr>
        <w:t>Contractor shall</w:t>
      </w:r>
      <w:r>
        <w:rPr>
          <w:color w:val="211F1F"/>
          <w:spacing w:val="-6"/>
        </w:rPr>
        <w:t xml:space="preserve"> </w:t>
      </w:r>
      <w:r>
        <w:rPr>
          <w:color w:val="211F1F"/>
        </w:rPr>
        <w:t>comply</w:t>
      </w:r>
      <w:r>
        <w:rPr>
          <w:color w:val="211F1F"/>
          <w:spacing w:val="-6"/>
        </w:rPr>
        <w:t xml:space="preserve"> </w:t>
      </w:r>
      <w:r>
        <w:rPr>
          <w:color w:val="211F1F"/>
        </w:rPr>
        <w:t>with</w:t>
      </w:r>
      <w:r>
        <w:rPr>
          <w:color w:val="211F1F"/>
          <w:spacing w:val="-6"/>
        </w:rPr>
        <w:t xml:space="preserve"> </w:t>
      </w:r>
      <w:r>
        <w:rPr>
          <w:color w:val="211F1F"/>
        </w:rPr>
        <w:t>the</w:t>
      </w:r>
      <w:r>
        <w:rPr>
          <w:color w:val="211F1F"/>
          <w:spacing w:val="-8"/>
        </w:rPr>
        <w:t xml:space="preserve"> </w:t>
      </w:r>
      <w:r>
        <w:rPr>
          <w:color w:val="211F1F"/>
        </w:rPr>
        <w:t>import</w:t>
      </w:r>
      <w:r>
        <w:rPr>
          <w:color w:val="211F1F"/>
          <w:spacing w:val="-1"/>
        </w:rPr>
        <w:t xml:space="preserve"> </w:t>
      </w:r>
      <w:r>
        <w:rPr>
          <w:color w:val="211F1F"/>
        </w:rPr>
        <w:t>of</w:t>
      </w:r>
      <w:r>
        <w:rPr>
          <w:color w:val="211F1F"/>
          <w:spacing w:val="-3"/>
        </w:rPr>
        <w:t xml:space="preserve"> </w:t>
      </w:r>
      <w:r>
        <w:rPr>
          <w:color w:val="211F1F"/>
        </w:rPr>
        <w:t>goods</w:t>
      </w:r>
      <w:r>
        <w:rPr>
          <w:color w:val="211F1F"/>
          <w:spacing w:val="-2"/>
        </w:rPr>
        <w:t xml:space="preserve"> </w:t>
      </w:r>
      <w:r>
        <w:rPr>
          <w:color w:val="211F1F"/>
        </w:rPr>
        <w:t>and</w:t>
      </w:r>
      <w:r>
        <w:rPr>
          <w:color w:val="211F1F"/>
          <w:spacing w:val="-6"/>
        </w:rPr>
        <w:t xml:space="preserve"> </w:t>
      </w:r>
      <w:r>
        <w:rPr>
          <w:color w:val="211F1F"/>
        </w:rPr>
        <w:t>services prohibitions in the Procuring Entity's Country when</w:t>
      </w:r>
    </w:p>
    <w:p w14:paraId="3B29EAFE" w14:textId="77777777" w:rsidR="00BB77C0" w:rsidRDefault="00370BAA">
      <w:pPr>
        <w:pStyle w:val="ListParagraph"/>
        <w:numPr>
          <w:ilvl w:val="0"/>
          <w:numId w:val="31"/>
        </w:numPr>
        <w:tabs>
          <w:tab w:val="left" w:pos="1594"/>
        </w:tabs>
        <w:spacing w:before="119"/>
        <w:jc w:val="both"/>
      </w:pPr>
      <w:r>
        <w:rPr>
          <w:color w:val="211F1F"/>
          <w:spacing w:val="-4"/>
        </w:rPr>
        <w:t>as</w:t>
      </w:r>
      <w:r>
        <w:rPr>
          <w:color w:val="211F1F"/>
          <w:spacing w:val="-14"/>
        </w:rPr>
        <w:t xml:space="preserve"> </w:t>
      </w:r>
      <w:r>
        <w:rPr>
          <w:color w:val="211F1F"/>
          <w:spacing w:val="-4"/>
        </w:rPr>
        <w:t>a</w:t>
      </w:r>
      <w:r>
        <w:rPr>
          <w:color w:val="211F1F"/>
          <w:spacing w:val="-2"/>
        </w:rPr>
        <w:t xml:space="preserve"> </w:t>
      </w:r>
      <w:r>
        <w:rPr>
          <w:color w:val="211F1F"/>
          <w:spacing w:val="-4"/>
        </w:rPr>
        <w:t>matter</w:t>
      </w:r>
      <w:r>
        <w:rPr>
          <w:color w:val="211F1F"/>
          <w:spacing w:val="-2"/>
        </w:rPr>
        <w:t xml:space="preserve"> </w:t>
      </w:r>
      <w:r>
        <w:rPr>
          <w:color w:val="211F1F"/>
          <w:spacing w:val="-4"/>
        </w:rPr>
        <w:t>of</w:t>
      </w:r>
      <w:r>
        <w:rPr>
          <w:color w:val="211F1F"/>
        </w:rPr>
        <w:t xml:space="preserve"> </w:t>
      </w:r>
      <w:r>
        <w:rPr>
          <w:color w:val="211F1F"/>
          <w:spacing w:val="-4"/>
        </w:rPr>
        <w:t>law</w:t>
      </w:r>
      <w:r>
        <w:rPr>
          <w:color w:val="211F1F"/>
          <w:spacing w:val="-14"/>
        </w:rPr>
        <w:t xml:space="preserve"> </w:t>
      </w:r>
      <w:r>
        <w:rPr>
          <w:color w:val="211F1F"/>
          <w:spacing w:val="-4"/>
        </w:rPr>
        <w:t>or</w:t>
      </w:r>
      <w:r>
        <w:rPr>
          <w:color w:val="211F1F"/>
          <w:spacing w:val="-2"/>
        </w:rPr>
        <w:t xml:space="preserve"> </w:t>
      </w:r>
      <w:r>
        <w:rPr>
          <w:color w:val="211F1F"/>
          <w:spacing w:val="-4"/>
        </w:rPr>
        <w:t>official</w:t>
      </w:r>
      <w:r>
        <w:rPr>
          <w:color w:val="211F1F"/>
          <w:spacing w:val="-22"/>
        </w:rPr>
        <w:t xml:space="preserve"> </w:t>
      </w:r>
      <w:r>
        <w:rPr>
          <w:color w:val="211F1F"/>
          <w:spacing w:val="-4"/>
        </w:rPr>
        <w:t>regulations,</w:t>
      </w:r>
      <w:r>
        <w:rPr>
          <w:color w:val="211F1F"/>
          <w:spacing w:val="-2"/>
        </w:rPr>
        <w:t xml:space="preserve"> </w:t>
      </w:r>
      <w:r>
        <w:rPr>
          <w:color w:val="211F1F"/>
          <w:spacing w:val="-4"/>
        </w:rPr>
        <w:t>Kenya</w:t>
      </w:r>
      <w:r>
        <w:rPr>
          <w:color w:val="211F1F"/>
          <w:spacing w:val="-2"/>
        </w:rPr>
        <w:t xml:space="preserve"> </w:t>
      </w:r>
      <w:r>
        <w:rPr>
          <w:color w:val="211F1F"/>
          <w:spacing w:val="-4"/>
        </w:rPr>
        <w:t>prohibits</w:t>
      </w:r>
      <w:r>
        <w:rPr>
          <w:color w:val="211F1F"/>
          <w:spacing w:val="-10"/>
        </w:rPr>
        <w:t xml:space="preserve"> </w:t>
      </w:r>
      <w:r>
        <w:rPr>
          <w:color w:val="211F1F"/>
          <w:spacing w:val="-4"/>
        </w:rPr>
        <w:t>commercialrelations</w:t>
      </w:r>
      <w:r>
        <w:rPr>
          <w:color w:val="211F1F"/>
          <w:spacing w:val="2"/>
        </w:rPr>
        <w:t xml:space="preserve"> </w:t>
      </w:r>
      <w:r>
        <w:rPr>
          <w:color w:val="211F1F"/>
          <w:spacing w:val="-4"/>
        </w:rPr>
        <w:t>with</w:t>
      </w:r>
      <w:r>
        <w:rPr>
          <w:color w:val="211F1F"/>
          <w:spacing w:val="-11"/>
        </w:rPr>
        <w:t xml:space="preserve"> </w:t>
      </w:r>
      <w:r>
        <w:rPr>
          <w:color w:val="211F1F"/>
          <w:spacing w:val="-4"/>
        </w:rPr>
        <w:t>that</w:t>
      </w:r>
      <w:r>
        <w:rPr>
          <w:color w:val="211F1F"/>
          <w:spacing w:val="2"/>
        </w:rPr>
        <w:t xml:space="preserve"> </w:t>
      </w:r>
      <w:r>
        <w:rPr>
          <w:color w:val="211F1F"/>
          <w:spacing w:val="-4"/>
        </w:rPr>
        <w:t>country;</w:t>
      </w:r>
      <w:r>
        <w:rPr>
          <w:color w:val="211F1F"/>
          <w:spacing w:val="-11"/>
        </w:rPr>
        <w:t xml:space="preserve"> </w:t>
      </w:r>
      <w:r>
        <w:rPr>
          <w:color w:val="211F1F"/>
          <w:spacing w:val="-5"/>
        </w:rPr>
        <w:t>or</w:t>
      </w:r>
    </w:p>
    <w:p w14:paraId="5228D6E8" w14:textId="77777777" w:rsidR="00BB77C0" w:rsidRDefault="00370BAA">
      <w:pPr>
        <w:pStyle w:val="ListParagraph"/>
        <w:numPr>
          <w:ilvl w:val="0"/>
          <w:numId w:val="31"/>
        </w:numPr>
        <w:tabs>
          <w:tab w:val="left" w:pos="1594"/>
        </w:tabs>
        <w:spacing w:before="48" w:line="230" w:lineRule="auto"/>
        <w:ind w:right="704"/>
        <w:jc w:val="both"/>
      </w:pPr>
      <w:r>
        <w:rPr>
          <w:color w:val="211F1F"/>
        </w:rPr>
        <w:t>by</w:t>
      </w:r>
      <w:r>
        <w:rPr>
          <w:color w:val="211F1F"/>
          <w:spacing w:val="-14"/>
        </w:rPr>
        <w:t xml:space="preserve"> </w:t>
      </w:r>
      <w:r>
        <w:rPr>
          <w:color w:val="211F1F"/>
        </w:rPr>
        <w:t>an</w:t>
      </w:r>
      <w:r>
        <w:rPr>
          <w:color w:val="211F1F"/>
          <w:spacing w:val="-14"/>
        </w:rPr>
        <w:t xml:space="preserve"> </w:t>
      </w:r>
      <w:r>
        <w:rPr>
          <w:color w:val="211F1F"/>
        </w:rPr>
        <w:t>act</w:t>
      </w:r>
      <w:r>
        <w:rPr>
          <w:color w:val="211F1F"/>
          <w:spacing w:val="-14"/>
        </w:rPr>
        <w:t xml:space="preserve"> </w:t>
      </w:r>
      <w:r>
        <w:rPr>
          <w:color w:val="211F1F"/>
        </w:rPr>
        <w:t>of</w:t>
      </w:r>
      <w:r>
        <w:rPr>
          <w:color w:val="211F1F"/>
          <w:spacing w:val="-7"/>
        </w:rPr>
        <w:t xml:space="preserve"> </w:t>
      </w:r>
      <w:r>
        <w:rPr>
          <w:color w:val="211F1F"/>
        </w:rPr>
        <w:t>compliance</w:t>
      </w:r>
      <w:r>
        <w:rPr>
          <w:color w:val="211F1F"/>
          <w:spacing w:val="-12"/>
        </w:rPr>
        <w:t xml:space="preserve"> </w:t>
      </w:r>
      <w:r>
        <w:rPr>
          <w:color w:val="211F1F"/>
        </w:rPr>
        <w:t>with</w:t>
      </w:r>
      <w:r>
        <w:rPr>
          <w:color w:val="211F1F"/>
          <w:spacing w:val="-14"/>
        </w:rPr>
        <w:t xml:space="preserve"> </w:t>
      </w:r>
      <w:r>
        <w:rPr>
          <w:color w:val="211F1F"/>
        </w:rPr>
        <w:t>a</w:t>
      </w:r>
      <w:r>
        <w:rPr>
          <w:color w:val="211F1F"/>
          <w:spacing w:val="-8"/>
        </w:rPr>
        <w:t xml:space="preserve"> </w:t>
      </w:r>
      <w:r>
        <w:rPr>
          <w:color w:val="211F1F"/>
        </w:rPr>
        <w:t>decision</w:t>
      </w:r>
      <w:r>
        <w:rPr>
          <w:color w:val="211F1F"/>
          <w:spacing w:val="-14"/>
        </w:rPr>
        <w:t xml:space="preserve"> </w:t>
      </w:r>
      <w:r>
        <w:rPr>
          <w:color w:val="211F1F"/>
        </w:rPr>
        <w:t>of</w:t>
      </w:r>
      <w:r>
        <w:rPr>
          <w:color w:val="211F1F"/>
          <w:spacing w:val="-7"/>
        </w:rPr>
        <w:t xml:space="preserve"> </w:t>
      </w:r>
      <w:r>
        <w:rPr>
          <w:color w:val="211F1F"/>
        </w:rPr>
        <w:t>the</w:t>
      </w:r>
      <w:r>
        <w:rPr>
          <w:color w:val="211F1F"/>
          <w:spacing w:val="-14"/>
        </w:rPr>
        <w:t xml:space="preserve"> </w:t>
      </w:r>
      <w:r>
        <w:rPr>
          <w:color w:val="211F1F"/>
        </w:rPr>
        <w:t>United</w:t>
      </w:r>
      <w:r>
        <w:rPr>
          <w:color w:val="211F1F"/>
          <w:spacing w:val="-14"/>
        </w:rPr>
        <w:t xml:space="preserve"> </w:t>
      </w:r>
      <w:r>
        <w:rPr>
          <w:color w:val="211F1F"/>
        </w:rPr>
        <w:t>Nations</w:t>
      </w:r>
      <w:r>
        <w:rPr>
          <w:color w:val="211F1F"/>
          <w:spacing w:val="-10"/>
        </w:rPr>
        <w:t xml:space="preserve"> </w:t>
      </w:r>
      <w:r>
        <w:rPr>
          <w:color w:val="211F1F"/>
        </w:rPr>
        <w:t>Security</w:t>
      </w:r>
      <w:r>
        <w:rPr>
          <w:color w:val="211F1F"/>
          <w:spacing w:val="-14"/>
        </w:rPr>
        <w:t xml:space="preserve"> </w:t>
      </w:r>
      <w:r>
        <w:rPr>
          <w:color w:val="211F1F"/>
        </w:rPr>
        <w:t>Council</w:t>
      </w:r>
      <w:r>
        <w:rPr>
          <w:color w:val="211F1F"/>
          <w:spacing w:val="-9"/>
        </w:rPr>
        <w:t xml:space="preserve"> </w:t>
      </w:r>
      <w:r>
        <w:rPr>
          <w:color w:val="211F1F"/>
        </w:rPr>
        <w:t>taken</w:t>
      </w:r>
      <w:r>
        <w:rPr>
          <w:color w:val="211F1F"/>
          <w:spacing w:val="-14"/>
        </w:rPr>
        <w:t xml:space="preserve"> </w:t>
      </w:r>
      <w:r>
        <w:rPr>
          <w:color w:val="211F1F"/>
        </w:rPr>
        <w:t>under</w:t>
      </w:r>
      <w:r>
        <w:rPr>
          <w:color w:val="211F1F"/>
          <w:spacing w:val="-2"/>
        </w:rPr>
        <w:t xml:space="preserve"> </w:t>
      </w:r>
      <w:r>
        <w:rPr>
          <w:color w:val="211F1F"/>
        </w:rPr>
        <w:t>Chapter</w:t>
      </w:r>
      <w:r>
        <w:rPr>
          <w:color w:val="211F1F"/>
          <w:spacing w:val="-11"/>
        </w:rPr>
        <w:t xml:space="preserve"> </w:t>
      </w:r>
      <w:r>
        <w:rPr>
          <w:color w:val="211F1F"/>
        </w:rPr>
        <w:t>VII</w:t>
      </w:r>
      <w:r>
        <w:rPr>
          <w:color w:val="211F1F"/>
          <w:spacing w:val="-12"/>
        </w:rPr>
        <w:t xml:space="preserve"> </w:t>
      </w:r>
      <w:r>
        <w:rPr>
          <w:color w:val="211F1F"/>
        </w:rPr>
        <w:t xml:space="preserve">of </w:t>
      </w:r>
      <w:r>
        <w:rPr>
          <w:color w:val="211F1F"/>
          <w:spacing w:val="-2"/>
        </w:rPr>
        <w:t>the</w:t>
      </w:r>
      <w:r>
        <w:rPr>
          <w:color w:val="211F1F"/>
          <w:spacing w:val="-12"/>
        </w:rPr>
        <w:t xml:space="preserve"> </w:t>
      </w:r>
      <w:r>
        <w:rPr>
          <w:color w:val="211F1F"/>
          <w:spacing w:val="-2"/>
        </w:rPr>
        <w:t>Charter</w:t>
      </w:r>
      <w:r>
        <w:rPr>
          <w:color w:val="211F1F"/>
          <w:spacing w:val="-12"/>
        </w:rPr>
        <w:t xml:space="preserve"> </w:t>
      </w:r>
      <w:r>
        <w:rPr>
          <w:color w:val="211F1F"/>
          <w:spacing w:val="-2"/>
        </w:rPr>
        <w:t>of</w:t>
      </w:r>
      <w:r>
        <w:rPr>
          <w:color w:val="211F1F"/>
          <w:spacing w:val="-12"/>
        </w:rPr>
        <w:t xml:space="preserve"> </w:t>
      </w:r>
      <w:r>
        <w:rPr>
          <w:color w:val="211F1F"/>
          <w:spacing w:val="-2"/>
        </w:rPr>
        <w:t>the</w:t>
      </w:r>
      <w:r>
        <w:rPr>
          <w:color w:val="211F1F"/>
          <w:spacing w:val="-11"/>
        </w:rPr>
        <w:t xml:space="preserve"> </w:t>
      </w:r>
      <w:r>
        <w:rPr>
          <w:color w:val="211F1F"/>
          <w:spacing w:val="-2"/>
        </w:rPr>
        <w:t>United</w:t>
      </w:r>
      <w:r>
        <w:rPr>
          <w:color w:val="211F1F"/>
          <w:spacing w:val="-12"/>
        </w:rPr>
        <w:t xml:space="preserve"> </w:t>
      </w:r>
      <w:r>
        <w:rPr>
          <w:color w:val="211F1F"/>
          <w:spacing w:val="-2"/>
        </w:rPr>
        <w:t>Nations,</w:t>
      </w:r>
      <w:r>
        <w:rPr>
          <w:color w:val="211F1F"/>
          <w:spacing w:val="-12"/>
        </w:rPr>
        <w:t xml:space="preserve"> </w:t>
      </w:r>
      <w:r>
        <w:rPr>
          <w:color w:val="211F1F"/>
          <w:spacing w:val="-2"/>
        </w:rPr>
        <w:t>Kenya</w:t>
      </w:r>
      <w:r>
        <w:rPr>
          <w:color w:val="211F1F"/>
          <w:spacing w:val="-12"/>
        </w:rPr>
        <w:t xml:space="preserve"> </w:t>
      </w:r>
      <w:r>
        <w:rPr>
          <w:color w:val="211F1F"/>
          <w:spacing w:val="-2"/>
        </w:rPr>
        <w:t>prohibits</w:t>
      </w:r>
      <w:r>
        <w:rPr>
          <w:color w:val="211F1F"/>
          <w:spacing w:val="-11"/>
        </w:rPr>
        <w:t xml:space="preserve"> </w:t>
      </w:r>
      <w:r>
        <w:rPr>
          <w:color w:val="211F1F"/>
          <w:spacing w:val="-2"/>
        </w:rPr>
        <w:t>any</w:t>
      </w:r>
      <w:r>
        <w:rPr>
          <w:color w:val="211F1F"/>
          <w:spacing w:val="-12"/>
        </w:rPr>
        <w:t xml:space="preserve"> </w:t>
      </w:r>
      <w:r>
        <w:rPr>
          <w:color w:val="211F1F"/>
          <w:spacing w:val="-2"/>
        </w:rPr>
        <w:t>import</w:t>
      </w:r>
      <w:r>
        <w:rPr>
          <w:color w:val="211F1F"/>
          <w:spacing w:val="-12"/>
        </w:rPr>
        <w:t xml:space="preserve"> </w:t>
      </w:r>
      <w:r>
        <w:rPr>
          <w:color w:val="211F1F"/>
          <w:spacing w:val="-2"/>
        </w:rPr>
        <w:t>of</w:t>
      </w:r>
      <w:r>
        <w:rPr>
          <w:color w:val="211F1F"/>
          <w:spacing w:val="-12"/>
        </w:rPr>
        <w:t xml:space="preserve"> </w:t>
      </w:r>
      <w:r>
        <w:rPr>
          <w:color w:val="211F1F"/>
          <w:spacing w:val="-2"/>
        </w:rPr>
        <w:t>goods</w:t>
      </w:r>
      <w:r>
        <w:rPr>
          <w:color w:val="211F1F"/>
          <w:spacing w:val="-11"/>
        </w:rPr>
        <w:t xml:space="preserve"> </w:t>
      </w:r>
      <w:r>
        <w:rPr>
          <w:color w:val="211F1F"/>
          <w:spacing w:val="-2"/>
        </w:rPr>
        <w:t>from</w:t>
      </w:r>
      <w:r>
        <w:rPr>
          <w:color w:val="211F1F"/>
          <w:spacing w:val="-12"/>
        </w:rPr>
        <w:t xml:space="preserve"> </w:t>
      </w:r>
      <w:r>
        <w:rPr>
          <w:color w:val="211F1F"/>
          <w:spacing w:val="-2"/>
        </w:rPr>
        <w:t>that</w:t>
      </w:r>
      <w:r>
        <w:rPr>
          <w:color w:val="211F1F"/>
          <w:spacing w:val="-12"/>
        </w:rPr>
        <w:t xml:space="preserve"> </w:t>
      </w:r>
      <w:r>
        <w:rPr>
          <w:color w:val="211F1F"/>
          <w:spacing w:val="-2"/>
        </w:rPr>
        <w:t>country</w:t>
      </w:r>
      <w:r>
        <w:rPr>
          <w:color w:val="211F1F"/>
          <w:spacing w:val="-12"/>
        </w:rPr>
        <w:t xml:space="preserve"> </w:t>
      </w:r>
      <w:r>
        <w:rPr>
          <w:color w:val="211F1F"/>
          <w:spacing w:val="-2"/>
        </w:rPr>
        <w:t>or</w:t>
      </w:r>
      <w:r>
        <w:rPr>
          <w:color w:val="211F1F"/>
          <w:spacing w:val="-11"/>
        </w:rPr>
        <w:t xml:space="preserve"> </w:t>
      </w:r>
      <w:r>
        <w:rPr>
          <w:color w:val="211F1F"/>
          <w:spacing w:val="-2"/>
        </w:rPr>
        <w:t>any</w:t>
      </w:r>
      <w:r>
        <w:rPr>
          <w:color w:val="211F1F"/>
          <w:spacing w:val="-12"/>
        </w:rPr>
        <w:t xml:space="preserve"> </w:t>
      </w:r>
      <w:r>
        <w:rPr>
          <w:color w:val="211F1F"/>
          <w:spacing w:val="-2"/>
        </w:rPr>
        <w:t>payments</w:t>
      </w:r>
      <w:r>
        <w:rPr>
          <w:color w:val="211F1F"/>
          <w:spacing w:val="-12"/>
        </w:rPr>
        <w:t xml:space="preserve"> </w:t>
      </w:r>
      <w:r>
        <w:rPr>
          <w:color w:val="211F1F"/>
          <w:spacing w:val="-2"/>
        </w:rPr>
        <w:t xml:space="preserve">to </w:t>
      </w:r>
      <w:r>
        <w:rPr>
          <w:color w:val="211F1F"/>
        </w:rPr>
        <w:t>any country, person, or entity in that country.</w:t>
      </w:r>
    </w:p>
    <w:p w14:paraId="03C96ACF" w14:textId="77777777" w:rsidR="00BB77C0" w:rsidRDefault="00BB77C0">
      <w:pPr>
        <w:pStyle w:val="BodyText"/>
        <w:spacing w:before="249"/>
      </w:pPr>
    </w:p>
    <w:p w14:paraId="61134996" w14:textId="77777777" w:rsidR="00BB77C0" w:rsidRDefault="00370BAA">
      <w:pPr>
        <w:pStyle w:val="Heading7"/>
        <w:numPr>
          <w:ilvl w:val="0"/>
          <w:numId w:val="23"/>
        </w:numPr>
        <w:tabs>
          <w:tab w:val="left" w:pos="1074"/>
        </w:tabs>
        <w:ind w:left="1074" w:hanging="354"/>
        <w:jc w:val="both"/>
      </w:pPr>
      <w:bookmarkStart w:id="186" w:name="4._Project_Manager's_Decisions"/>
      <w:bookmarkEnd w:id="186"/>
      <w:r>
        <w:rPr>
          <w:color w:val="211F1F"/>
        </w:rPr>
        <w:t>Project</w:t>
      </w:r>
      <w:r>
        <w:rPr>
          <w:color w:val="211F1F"/>
          <w:spacing w:val="-12"/>
        </w:rPr>
        <w:t xml:space="preserve"> </w:t>
      </w:r>
      <w:r>
        <w:rPr>
          <w:color w:val="211F1F"/>
        </w:rPr>
        <w:t>Manager's</w:t>
      </w:r>
      <w:r>
        <w:rPr>
          <w:color w:val="211F1F"/>
          <w:spacing w:val="-9"/>
        </w:rPr>
        <w:t xml:space="preserve"> </w:t>
      </w:r>
      <w:r>
        <w:rPr>
          <w:color w:val="211F1F"/>
          <w:spacing w:val="-2"/>
        </w:rPr>
        <w:t>Decisions</w:t>
      </w:r>
    </w:p>
    <w:p w14:paraId="3BFAD6C9" w14:textId="77777777" w:rsidR="00BB77C0" w:rsidRDefault="00BB77C0">
      <w:pPr>
        <w:pStyle w:val="BodyText"/>
        <w:spacing w:before="192"/>
        <w:rPr>
          <w:b/>
        </w:rPr>
      </w:pPr>
    </w:p>
    <w:p w14:paraId="210EA7F3" w14:textId="77777777" w:rsidR="00BB77C0" w:rsidRDefault="00370BAA">
      <w:pPr>
        <w:pStyle w:val="ListParagraph"/>
        <w:numPr>
          <w:ilvl w:val="1"/>
          <w:numId w:val="23"/>
        </w:numPr>
        <w:tabs>
          <w:tab w:val="left" w:pos="1169"/>
          <w:tab w:val="left" w:pos="1171"/>
        </w:tabs>
        <w:spacing w:line="237" w:lineRule="auto"/>
        <w:ind w:right="923" w:hanging="360"/>
        <w:jc w:val="both"/>
        <w:rPr>
          <w:color w:val="211F1F"/>
        </w:rPr>
      </w:pPr>
      <w:r>
        <w:rPr>
          <w:color w:val="211F1F"/>
        </w:rPr>
        <w:t>Except</w:t>
      </w:r>
      <w:r>
        <w:rPr>
          <w:color w:val="211F1F"/>
          <w:spacing w:val="-14"/>
        </w:rPr>
        <w:t xml:space="preserve"> </w:t>
      </w:r>
      <w:r>
        <w:rPr>
          <w:color w:val="211F1F"/>
        </w:rPr>
        <w:t>where</w:t>
      </w:r>
      <w:r>
        <w:rPr>
          <w:color w:val="211F1F"/>
          <w:spacing w:val="-14"/>
        </w:rPr>
        <w:t xml:space="preserve"> </w:t>
      </w:r>
      <w:r>
        <w:rPr>
          <w:color w:val="211F1F"/>
        </w:rPr>
        <w:t>otherwise</w:t>
      </w:r>
      <w:r>
        <w:rPr>
          <w:color w:val="211F1F"/>
          <w:spacing w:val="-14"/>
        </w:rPr>
        <w:t xml:space="preserve"> </w:t>
      </w:r>
      <w:r>
        <w:rPr>
          <w:color w:val="211F1F"/>
        </w:rPr>
        <w:t>specifically</w:t>
      </w:r>
      <w:r>
        <w:rPr>
          <w:color w:val="211F1F"/>
          <w:spacing w:val="-13"/>
        </w:rPr>
        <w:t xml:space="preserve"> </w:t>
      </w:r>
      <w:r>
        <w:rPr>
          <w:color w:val="211F1F"/>
        </w:rPr>
        <w:t>stated,</w:t>
      </w:r>
      <w:r>
        <w:rPr>
          <w:color w:val="211F1F"/>
          <w:spacing w:val="-14"/>
        </w:rPr>
        <w:t xml:space="preserve"> </w:t>
      </w:r>
      <w:r>
        <w:rPr>
          <w:color w:val="211F1F"/>
        </w:rPr>
        <w:t>the</w:t>
      </w:r>
      <w:r>
        <w:rPr>
          <w:color w:val="211F1F"/>
          <w:spacing w:val="-14"/>
        </w:rPr>
        <w:t xml:space="preserve"> </w:t>
      </w:r>
      <w:r>
        <w:rPr>
          <w:color w:val="211F1F"/>
        </w:rPr>
        <w:t>Project</w:t>
      </w:r>
      <w:r>
        <w:rPr>
          <w:color w:val="211F1F"/>
          <w:spacing w:val="-13"/>
        </w:rPr>
        <w:t xml:space="preserve"> </w:t>
      </w:r>
      <w:r>
        <w:rPr>
          <w:color w:val="211F1F"/>
        </w:rPr>
        <w:t>Manager</w:t>
      </w:r>
      <w:r>
        <w:rPr>
          <w:color w:val="211F1F"/>
          <w:spacing w:val="-7"/>
        </w:rPr>
        <w:t xml:space="preserve"> </w:t>
      </w:r>
      <w:r>
        <w:rPr>
          <w:color w:val="211F1F"/>
        </w:rPr>
        <w:t>shall</w:t>
      </w:r>
      <w:r>
        <w:rPr>
          <w:color w:val="211F1F"/>
          <w:spacing w:val="-10"/>
        </w:rPr>
        <w:t xml:space="preserve"> </w:t>
      </w:r>
      <w:r>
        <w:rPr>
          <w:color w:val="211F1F"/>
        </w:rPr>
        <w:t>decide</w:t>
      </w:r>
      <w:r>
        <w:rPr>
          <w:color w:val="211F1F"/>
          <w:spacing w:val="-14"/>
        </w:rPr>
        <w:t xml:space="preserve"> </w:t>
      </w:r>
      <w:r>
        <w:rPr>
          <w:color w:val="211F1F"/>
        </w:rPr>
        <w:t>contractual</w:t>
      </w:r>
      <w:r>
        <w:rPr>
          <w:color w:val="211F1F"/>
          <w:spacing w:val="-14"/>
        </w:rPr>
        <w:t xml:space="preserve"> </w:t>
      </w:r>
      <w:r>
        <w:rPr>
          <w:color w:val="211F1F"/>
        </w:rPr>
        <w:t>matters</w:t>
      </w:r>
      <w:r>
        <w:rPr>
          <w:color w:val="211F1F"/>
          <w:spacing w:val="-10"/>
        </w:rPr>
        <w:t xml:space="preserve"> </w:t>
      </w:r>
      <w:r>
        <w:rPr>
          <w:color w:val="211F1F"/>
        </w:rPr>
        <w:t>between</w:t>
      </w:r>
      <w:r>
        <w:rPr>
          <w:color w:val="211F1F"/>
          <w:spacing w:val="-14"/>
        </w:rPr>
        <w:t xml:space="preserve"> </w:t>
      </w:r>
      <w:r>
        <w:rPr>
          <w:color w:val="211F1F"/>
        </w:rPr>
        <w:t>the Procuring</w:t>
      </w:r>
      <w:r>
        <w:rPr>
          <w:color w:val="211F1F"/>
          <w:spacing w:val="-14"/>
        </w:rPr>
        <w:t xml:space="preserve"> </w:t>
      </w:r>
      <w:r>
        <w:rPr>
          <w:color w:val="211F1F"/>
        </w:rPr>
        <w:t>Entity</w:t>
      </w:r>
      <w:r>
        <w:rPr>
          <w:color w:val="211F1F"/>
          <w:spacing w:val="-19"/>
        </w:rPr>
        <w:t xml:space="preserve"> </w:t>
      </w:r>
      <w:r>
        <w:rPr>
          <w:color w:val="211F1F"/>
        </w:rPr>
        <w:t>and</w:t>
      </w:r>
      <w:r>
        <w:rPr>
          <w:color w:val="211F1F"/>
          <w:spacing w:val="-20"/>
        </w:rPr>
        <w:t xml:space="preserve"> </w:t>
      </w:r>
      <w:r>
        <w:rPr>
          <w:color w:val="211F1F"/>
        </w:rPr>
        <w:t>the</w:t>
      </w:r>
      <w:r>
        <w:rPr>
          <w:color w:val="211F1F"/>
          <w:spacing w:val="-17"/>
        </w:rPr>
        <w:t xml:space="preserve"> </w:t>
      </w:r>
      <w:r>
        <w:rPr>
          <w:color w:val="211F1F"/>
        </w:rPr>
        <w:t>Contractor</w:t>
      </w:r>
      <w:r>
        <w:rPr>
          <w:color w:val="211F1F"/>
          <w:spacing w:val="-6"/>
        </w:rPr>
        <w:t xml:space="preserve"> </w:t>
      </w:r>
      <w:r>
        <w:rPr>
          <w:color w:val="211F1F"/>
        </w:rPr>
        <w:t>in</w:t>
      </w:r>
      <w:r>
        <w:rPr>
          <w:color w:val="211F1F"/>
          <w:spacing w:val="-20"/>
        </w:rPr>
        <w:t xml:space="preserve"> </w:t>
      </w:r>
      <w:r>
        <w:rPr>
          <w:color w:val="211F1F"/>
        </w:rPr>
        <w:t>the</w:t>
      </w:r>
      <w:r>
        <w:rPr>
          <w:color w:val="211F1F"/>
          <w:spacing w:val="-23"/>
        </w:rPr>
        <w:t xml:space="preserve"> </w:t>
      </w:r>
      <w:r>
        <w:rPr>
          <w:color w:val="211F1F"/>
        </w:rPr>
        <w:t>role</w:t>
      </w:r>
      <w:r>
        <w:rPr>
          <w:color w:val="211F1F"/>
          <w:spacing w:val="-16"/>
        </w:rPr>
        <w:t xml:space="preserve"> </w:t>
      </w:r>
      <w:r>
        <w:rPr>
          <w:color w:val="211F1F"/>
        </w:rPr>
        <w:t>representing</w:t>
      </w:r>
      <w:r>
        <w:rPr>
          <w:color w:val="211F1F"/>
          <w:spacing w:val="-14"/>
        </w:rPr>
        <w:t xml:space="preserve"> </w:t>
      </w:r>
      <w:r>
        <w:rPr>
          <w:color w:val="211F1F"/>
        </w:rPr>
        <w:t>the</w:t>
      </w:r>
      <w:r>
        <w:rPr>
          <w:color w:val="211F1F"/>
          <w:spacing w:val="-17"/>
        </w:rPr>
        <w:t xml:space="preserve"> </w:t>
      </w:r>
      <w:r>
        <w:rPr>
          <w:color w:val="211F1F"/>
        </w:rPr>
        <w:t>Procuring</w:t>
      </w:r>
      <w:r>
        <w:rPr>
          <w:color w:val="211F1F"/>
          <w:spacing w:val="-14"/>
        </w:rPr>
        <w:t xml:space="preserve"> </w:t>
      </w:r>
      <w:r>
        <w:rPr>
          <w:color w:val="211F1F"/>
        </w:rPr>
        <w:t>Entity.</w:t>
      </w:r>
    </w:p>
    <w:p w14:paraId="4A4DE154" w14:textId="77777777" w:rsidR="00BB77C0" w:rsidRDefault="00370BAA">
      <w:pPr>
        <w:pStyle w:val="Heading7"/>
        <w:numPr>
          <w:ilvl w:val="0"/>
          <w:numId w:val="23"/>
        </w:numPr>
        <w:tabs>
          <w:tab w:val="left" w:pos="1074"/>
        </w:tabs>
        <w:spacing w:before="237"/>
        <w:ind w:left="1074" w:hanging="354"/>
        <w:jc w:val="both"/>
      </w:pPr>
      <w:bookmarkStart w:id="187" w:name="5._Delegation"/>
      <w:bookmarkEnd w:id="187"/>
      <w:r>
        <w:rPr>
          <w:color w:val="211F1F"/>
          <w:spacing w:val="-2"/>
        </w:rPr>
        <w:t>Delegation</w:t>
      </w:r>
    </w:p>
    <w:p w14:paraId="28CA3B5E" w14:textId="77777777" w:rsidR="00BB77C0" w:rsidRDefault="00370BAA">
      <w:pPr>
        <w:pStyle w:val="ListParagraph"/>
        <w:numPr>
          <w:ilvl w:val="1"/>
          <w:numId w:val="23"/>
        </w:numPr>
        <w:tabs>
          <w:tab w:val="left" w:pos="1169"/>
          <w:tab w:val="left" w:pos="1171"/>
        </w:tabs>
        <w:spacing w:before="192" w:line="230" w:lineRule="auto"/>
        <w:ind w:right="841" w:hanging="360"/>
        <w:jc w:val="both"/>
        <w:rPr>
          <w:color w:val="211F1F"/>
        </w:rPr>
      </w:pPr>
      <w:r>
        <w:rPr>
          <w:color w:val="211F1F"/>
          <w:spacing w:val="-4"/>
        </w:rPr>
        <w:t>Otherwise</w:t>
      </w:r>
      <w:r>
        <w:rPr>
          <w:color w:val="211F1F"/>
          <w:spacing w:val="-10"/>
        </w:rPr>
        <w:t xml:space="preserve"> </w:t>
      </w:r>
      <w:r>
        <w:rPr>
          <w:b/>
          <w:color w:val="211F1F"/>
          <w:spacing w:val="-4"/>
        </w:rPr>
        <w:t>specified</w:t>
      </w:r>
      <w:r>
        <w:rPr>
          <w:b/>
          <w:color w:val="211F1F"/>
          <w:spacing w:val="-10"/>
        </w:rPr>
        <w:t xml:space="preserve"> </w:t>
      </w:r>
      <w:r>
        <w:rPr>
          <w:b/>
          <w:color w:val="211F1F"/>
          <w:spacing w:val="-4"/>
        </w:rPr>
        <w:t>in</w:t>
      </w:r>
      <w:r>
        <w:rPr>
          <w:b/>
          <w:color w:val="211F1F"/>
          <w:spacing w:val="-9"/>
        </w:rPr>
        <w:t xml:space="preserve"> </w:t>
      </w:r>
      <w:r>
        <w:rPr>
          <w:b/>
          <w:color w:val="211F1F"/>
          <w:spacing w:val="-4"/>
        </w:rPr>
        <w:t>the</w:t>
      </w:r>
      <w:r>
        <w:rPr>
          <w:b/>
          <w:color w:val="211F1F"/>
          <w:spacing w:val="-5"/>
        </w:rPr>
        <w:t xml:space="preserve"> </w:t>
      </w:r>
      <w:r>
        <w:rPr>
          <w:b/>
          <w:color w:val="211F1F"/>
          <w:spacing w:val="-4"/>
        </w:rPr>
        <w:t xml:space="preserve">SCC, </w:t>
      </w:r>
      <w:r>
        <w:rPr>
          <w:color w:val="211F1F"/>
          <w:spacing w:val="-4"/>
        </w:rPr>
        <w:t>the</w:t>
      </w:r>
      <w:r>
        <w:rPr>
          <w:color w:val="211F1F"/>
          <w:spacing w:val="-10"/>
        </w:rPr>
        <w:t xml:space="preserve"> </w:t>
      </w:r>
      <w:r>
        <w:rPr>
          <w:color w:val="211F1F"/>
          <w:spacing w:val="-4"/>
        </w:rPr>
        <w:t>Project Manager</w:t>
      </w:r>
      <w:r>
        <w:rPr>
          <w:color w:val="211F1F"/>
        </w:rPr>
        <w:t xml:space="preserve"> </w:t>
      </w:r>
      <w:r>
        <w:rPr>
          <w:color w:val="211F1F"/>
          <w:spacing w:val="-4"/>
        </w:rPr>
        <w:t>may</w:t>
      </w:r>
      <w:r>
        <w:rPr>
          <w:color w:val="211F1F"/>
          <w:spacing w:val="-8"/>
        </w:rPr>
        <w:t xml:space="preserve"> </w:t>
      </w:r>
      <w:r>
        <w:rPr>
          <w:color w:val="211F1F"/>
          <w:spacing w:val="-4"/>
        </w:rPr>
        <w:t>delegate</w:t>
      </w:r>
      <w:r>
        <w:rPr>
          <w:color w:val="211F1F"/>
          <w:spacing w:val="-10"/>
        </w:rPr>
        <w:t xml:space="preserve"> </w:t>
      </w:r>
      <w:r>
        <w:rPr>
          <w:color w:val="211F1F"/>
          <w:spacing w:val="-4"/>
        </w:rPr>
        <w:t>any of his duties and</w:t>
      </w:r>
      <w:r>
        <w:rPr>
          <w:color w:val="211F1F"/>
          <w:spacing w:val="-8"/>
        </w:rPr>
        <w:t xml:space="preserve"> </w:t>
      </w:r>
      <w:r>
        <w:rPr>
          <w:color w:val="211F1F"/>
          <w:spacing w:val="-4"/>
        </w:rPr>
        <w:t>responsibilities to</w:t>
      </w:r>
      <w:r>
        <w:rPr>
          <w:color w:val="211F1F"/>
          <w:spacing w:val="-7"/>
        </w:rPr>
        <w:t xml:space="preserve"> </w:t>
      </w:r>
      <w:r>
        <w:rPr>
          <w:color w:val="211F1F"/>
          <w:spacing w:val="-4"/>
        </w:rPr>
        <w:t xml:space="preserve">other </w:t>
      </w:r>
      <w:r>
        <w:rPr>
          <w:color w:val="211F1F"/>
          <w:spacing w:val="-2"/>
        </w:rPr>
        <w:t>people,</w:t>
      </w:r>
      <w:r>
        <w:rPr>
          <w:color w:val="211F1F"/>
          <w:spacing w:val="-8"/>
        </w:rPr>
        <w:t xml:space="preserve"> </w:t>
      </w:r>
      <w:r>
        <w:rPr>
          <w:color w:val="211F1F"/>
          <w:spacing w:val="-2"/>
        </w:rPr>
        <w:t>except</w:t>
      </w:r>
      <w:r>
        <w:rPr>
          <w:color w:val="211F1F"/>
          <w:spacing w:val="-7"/>
        </w:rPr>
        <w:t xml:space="preserve"> </w:t>
      </w:r>
      <w:r>
        <w:rPr>
          <w:color w:val="211F1F"/>
          <w:spacing w:val="-2"/>
        </w:rPr>
        <w:t>to</w:t>
      </w:r>
      <w:r>
        <w:rPr>
          <w:color w:val="211F1F"/>
          <w:spacing w:val="-8"/>
        </w:rPr>
        <w:t xml:space="preserve"> </w:t>
      </w:r>
      <w:r>
        <w:rPr>
          <w:color w:val="211F1F"/>
          <w:spacing w:val="-2"/>
        </w:rPr>
        <w:t>the</w:t>
      </w:r>
      <w:r>
        <w:rPr>
          <w:color w:val="211F1F"/>
          <w:spacing w:val="-12"/>
        </w:rPr>
        <w:t xml:space="preserve"> </w:t>
      </w:r>
      <w:r>
        <w:rPr>
          <w:color w:val="211F1F"/>
          <w:spacing w:val="-2"/>
        </w:rPr>
        <w:t>Adjudicator,</w:t>
      </w:r>
      <w:r>
        <w:rPr>
          <w:color w:val="211F1F"/>
          <w:spacing w:val="-5"/>
        </w:rPr>
        <w:t xml:space="preserve"> </w:t>
      </w:r>
      <w:r>
        <w:rPr>
          <w:color w:val="211F1F"/>
          <w:spacing w:val="-2"/>
        </w:rPr>
        <w:t>after</w:t>
      </w:r>
      <w:r>
        <w:rPr>
          <w:color w:val="211F1F"/>
          <w:spacing w:val="-5"/>
        </w:rPr>
        <w:t xml:space="preserve"> </w:t>
      </w:r>
      <w:r>
        <w:rPr>
          <w:color w:val="211F1F"/>
          <w:spacing w:val="-2"/>
        </w:rPr>
        <w:t>notifying</w:t>
      </w:r>
      <w:r>
        <w:rPr>
          <w:color w:val="211F1F"/>
          <w:spacing w:val="-8"/>
        </w:rPr>
        <w:t xml:space="preserve"> </w:t>
      </w:r>
      <w:r>
        <w:rPr>
          <w:color w:val="211F1F"/>
          <w:spacing w:val="-2"/>
        </w:rPr>
        <w:t>the</w:t>
      </w:r>
      <w:r>
        <w:rPr>
          <w:color w:val="211F1F"/>
          <w:spacing w:val="-5"/>
        </w:rPr>
        <w:t xml:space="preserve"> </w:t>
      </w:r>
      <w:r>
        <w:rPr>
          <w:color w:val="211F1F"/>
          <w:spacing w:val="-2"/>
        </w:rPr>
        <w:t>Contractor,</w:t>
      </w:r>
      <w:r>
        <w:rPr>
          <w:color w:val="211F1F"/>
          <w:spacing w:val="-10"/>
        </w:rPr>
        <w:t xml:space="preserve"> </w:t>
      </w:r>
      <w:r>
        <w:rPr>
          <w:color w:val="211F1F"/>
          <w:spacing w:val="-2"/>
        </w:rPr>
        <w:t>and</w:t>
      </w:r>
      <w:r>
        <w:rPr>
          <w:color w:val="211F1F"/>
          <w:spacing w:val="-8"/>
        </w:rPr>
        <w:t xml:space="preserve"> </w:t>
      </w:r>
      <w:r>
        <w:rPr>
          <w:color w:val="211F1F"/>
          <w:spacing w:val="-2"/>
        </w:rPr>
        <w:t>may</w:t>
      </w:r>
      <w:r>
        <w:rPr>
          <w:color w:val="211F1F"/>
          <w:spacing w:val="-12"/>
        </w:rPr>
        <w:t xml:space="preserve"> </w:t>
      </w:r>
      <w:r>
        <w:rPr>
          <w:color w:val="211F1F"/>
          <w:spacing w:val="-2"/>
        </w:rPr>
        <w:t>revoke</w:t>
      </w:r>
      <w:r>
        <w:rPr>
          <w:color w:val="211F1F"/>
          <w:spacing w:val="-10"/>
        </w:rPr>
        <w:t xml:space="preserve"> </w:t>
      </w:r>
      <w:r>
        <w:rPr>
          <w:color w:val="211F1F"/>
          <w:spacing w:val="-2"/>
        </w:rPr>
        <w:t>any</w:t>
      </w:r>
      <w:r>
        <w:rPr>
          <w:color w:val="211F1F"/>
          <w:spacing w:val="-3"/>
        </w:rPr>
        <w:t xml:space="preserve"> </w:t>
      </w:r>
      <w:r>
        <w:rPr>
          <w:color w:val="211F1F"/>
          <w:spacing w:val="-2"/>
        </w:rPr>
        <w:t>delegation</w:t>
      </w:r>
      <w:r>
        <w:rPr>
          <w:color w:val="211F1F"/>
          <w:spacing w:val="-3"/>
        </w:rPr>
        <w:t xml:space="preserve"> </w:t>
      </w:r>
      <w:r>
        <w:rPr>
          <w:color w:val="211F1F"/>
          <w:spacing w:val="-2"/>
        </w:rPr>
        <w:t xml:space="preserve">after notifying </w:t>
      </w:r>
      <w:r>
        <w:rPr>
          <w:color w:val="211F1F"/>
        </w:rPr>
        <w:t>the</w:t>
      </w:r>
      <w:r>
        <w:rPr>
          <w:color w:val="211F1F"/>
          <w:spacing w:val="-28"/>
        </w:rPr>
        <w:t xml:space="preserve"> </w:t>
      </w:r>
      <w:r>
        <w:rPr>
          <w:color w:val="211F1F"/>
        </w:rPr>
        <w:t>Contractor.</w:t>
      </w:r>
    </w:p>
    <w:p w14:paraId="7154558B" w14:textId="77777777" w:rsidR="00BB77C0" w:rsidRDefault="00370BAA">
      <w:pPr>
        <w:pStyle w:val="Heading7"/>
        <w:numPr>
          <w:ilvl w:val="0"/>
          <w:numId w:val="23"/>
        </w:numPr>
        <w:tabs>
          <w:tab w:val="left" w:pos="1074"/>
        </w:tabs>
        <w:spacing w:before="238"/>
        <w:ind w:left="1074" w:hanging="354"/>
        <w:jc w:val="both"/>
      </w:pPr>
      <w:bookmarkStart w:id="188" w:name="6._Communications"/>
      <w:bookmarkEnd w:id="188"/>
      <w:r>
        <w:rPr>
          <w:color w:val="211F1F"/>
          <w:spacing w:val="-2"/>
        </w:rPr>
        <w:t>Communications</w:t>
      </w:r>
    </w:p>
    <w:p w14:paraId="4B62B1E0" w14:textId="77777777" w:rsidR="00BB77C0" w:rsidRDefault="00370BAA">
      <w:pPr>
        <w:pStyle w:val="ListParagraph"/>
        <w:numPr>
          <w:ilvl w:val="1"/>
          <w:numId w:val="23"/>
        </w:numPr>
        <w:tabs>
          <w:tab w:val="left" w:pos="1164"/>
          <w:tab w:val="left" w:pos="1171"/>
        </w:tabs>
        <w:spacing w:before="190" w:line="232" w:lineRule="auto"/>
        <w:ind w:right="846" w:hanging="360"/>
        <w:jc w:val="both"/>
        <w:rPr>
          <w:color w:val="211F1F"/>
        </w:rPr>
      </w:pPr>
      <w:r>
        <w:rPr>
          <w:color w:val="211F1F"/>
        </w:rPr>
        <w:t>Communications</w:t>
      </w:r>
      <w:r>
        <w:rPr>
          <w:color w:val="211F1F"/>
          <w:spacing w:val="-14"/>
        </w:rPr>
        <w:t xml:space="preserve"> </w:t>
      </w:r>
      <w:r>
        <w:rPr>
          <w:color w:val="211F1F"/>
        </w:rPr>
        <w:t>between</w:t>
      </w:r>
      <w:r>
        <w:rPr>
          <w:color w:val="211F1F"/>
          <w:spacing w:val="-14"/>
        </w:rPr>
        <w:t xml:space="preserve"> </w:t>
      </w:r>
      <w:r>
        <w:rPr>
          <w:color w:val="211F1F"/>
        </w:rPr>
        <w:t>parties</w:t>
      </w:r>
      <w:r>
        <w:rPr>
          <w:color w:val="211F1F"/>
          <w:spacing w:val="-10"/>
        </w:rPr>
        <w:t xml:space="preserve"> </w:t>
      </w:r>
      <w:r>
        <w:rPr>
          <w:color w:val="211F1F"/>
        </w:rPr>
        <w:t>that</w:t>
      </w:r>
      <w:r>
        <w:rPr>
          <w:color w:val="211F1F"/>
          <w:spacing w:val="-9"/>
        </w:rPr>
        <w:t xml:space="preserve"> </w:t>
      </w:r>
      <w:r>
        <w:rPr>
          <w:color w:val="211F1F"/>
        </w:rPr>
        <w:t>are</w:t>
      </w:r>
      <w:r>
        <w:rPr>
          <w:color w:val="211F1F"/>
          <w:spacing w:val="-14"/>
        </w:rPr>
        <w:t xml:space="preserve"> </w:t>
      </w:r>
      <w:r>
        <w:rPr>
          <w:color w:val="211F1F"/>
        </w:rPr>
        <w:t>referred</w:t>
      </w:r>
      <w:r>
        <w:rPr>
          <w:color w:val="211F1F"/>
          <w:spacing w:val="-14"/>
        </w:rPr>
        <w:t xml:space="preserve"> </w:t>
      </w:r>
      <w:r>
        <w:rPr>
          <w:color w:val="211F1F"/>
        </w:rPr>
        <w:t>to</w:t>
      </w:r>
      <w:r>
        <w:rPr>
          <w:color w:val="211F1F"/>
          <w:spacing w:val="-10"/>
        </w:rPr>
        <w:t xml:space="preserve"> </w:t>
      </w:r>
      <w:r>
        <w:rPr>
          <w:color w:val="211F1F"/>
        </w:rPr>
        <w:t>in</w:t>
      </w:r>
      <w:r>
        <w:rPr>
          <w:color w:val="211F1F"/>
          <w:spacing w:val="-14"/>
        </w:rPr>
        <w:t xml:space="preserve"> </w:t>
      </w:r>
      <w:r>
        <w:rPr>
          <w:color w:val="211F1F"/>
        </w:rPr>
        <w:t>the</w:t>
      </w:r>
      <w:r>
        <w:rPr>
          <w:color w:val="211F1F"/>
          <w:spacing w:val="-14"/>
        </w:rPr>
        <w:t xml:space="preserve"> </w:t>
      </w:r>
      <w:r>
        <w:rPr>
          <w:color w:val="211F1F"/>
        </w:rPr>
        <w:t>Conditions</w:t>
      </w:r>
      <w:r>
        <w:rPr>
          <w:color w:val="211F1F"/>
          <w:spacing w:val="-9"/>
        </w:rPr>
        <w:t xml:space="preserve"> </w:t>
      </w:r>
      <w:r>
        <w:rPr>
          <w:color w:val="211F1F"/>
        </w:rPr>
        <w:t>shall</w:t>
      </w:r>
      <w:r>
        <w:rPr>
          <w:color w:val="211F1F"/>
          <w:spacing w:val="-9"/>
        </w:rPr>
        <w:t xml:space="preserve"> </w:t>
      </w:r>
      <w:r>
        <w:rPr>
          <w:color w:val="211F1F"/>
        </w:rPr>
        <w:t>be</w:t>
      </w:r>
      <w:r>
        <w:rPr>
          <w:color w:val="211F1F"/>
          <w:spacing w:val="-12"/>
        </w:rPr>
        <w:t xml:space="preserve"> </w:t>
      </w:r>
      <w:r>
        <w:rPr>
          <w:color w:val="211F1F"/>
        </w:rPr>
        <w:t>effective</w:t>
      </w:r>
      <w:r>
        <w:rPr>
          <w:color w:val="211F1F"/>
          <w:spacing w:val="-12"/>
        </w:rPr>
        <w:t xml:space="preserve"> </w:t>
      </w:r>
      <w:r>
        <w:rPr>
          <w:color w:val="211F1F"/>
        </w:rPr>
        <w:t>only</w:t>
      </w:r>
      <w:r>
        <w:rPr>
          <w:color w:val="211F1F"/>
          <w:spacing w:val="-14"/>
        </w:rPr>
        <w:t xml:space="preserve"> </w:t>
      </w:r>
      <w:r>
        <w:rPr>
          <w:color w:val="211F1F"/>
        </w:rPr>
        <w:t>when</w:t>
      </w:r>
      <w:r>
        <w:rPr>
          <w:color w:val="211F1F"/>
          <w:spacing w:val="-10"/>
        </w:rPr>
        <w:t xml:space="preserve"> </w:t>
      </w:r>
      <w:r>
        <w:rPr>
          <w:color w:val="211F1F"/>
        </w:rPr>
        <w:t>in</w:t>
      </w:r>
      <w:r>
        <w:rPr>
          <w:color w:val="211F1F"/>
          <w:spacing w:val="-10"/>
        </w:rPr>
        <w:t xml:space="preserve"> </w:t>
      </w:r>
      <w:r>
        <w:rPr>
          <w:color w:val="211F1F"/>
        </w:rPr>
        <w:t>writing. A notice shall be effective only when</w:t>
      </w:r>
      <w:r>
        <w:rPr>
          <w:color w:val="211F1F"/>
          <w:spacing w:val="-4"/>
        </w:rPr>
        <w:t xml:space="preserve"> </w:t>
      </w:r>
      <w:r>
        <w:rPr>
          <w:color w:val="211F1F"/>
        </w:rPr>
        <w:t>it is delivered.</w:t>
      </w:r>
    </w:p>
    <w:p w14:paraId="244ECC4C" w14:textId="77777777" w:rsidR="00BB77C0" w:rsidRDefault="00370BAA">
      <w:pPr>
        <w:pStyle w:val="Heading7"/>
        <w:numPr>
          <w:ilvl w:val="0"/>
          <w:numId w:val="23"/>
        </w:numPr>
        <w:tabs>
          <w:tab w:val="left" w:pos="1079"/>
        </w:tabs>
        <w:spacing w:before="243"/>
        <w:ind w:left="1079" w:hanging="359"/>
        <w:jc w:val="both"/>
      </w:pPr>
      <w:bookmarkStart w:id="189" w:name="7._Subcontracting"/>
      <w:bookmarkEnd w:id="189"/>
      <w:r>
        <w:rPr>
          <w:color w:val="211F1F"/>
          <w:spacing w:val="-2"/>
        </w:rPr>
        <w:t>Subcontracting</w:t>
      </w:r>
    </w:p>
    <w:p w14:paraId="7E0044FD" w14:textId="77777777" w:rsidR="00BB77C0" w:rsidRDefault="00370BAA">
      <w:pPr>
        <w:pStyle w:val="ListParagraph"/>
        <w:numPr>
          <w:ilvl w:val="1"/>
          <w:numId w:val="23"/>
        </w:numPr>
        <w:tabs>
          <w:tab w:val="left" w:pos="1169"/>
          <w:tab w:val="left" w:pos="1171"/>
        </w:tabs>
        <w:spacing w:before="192" w:line="230" w:lineRule="auto"/>
        <w:ind w:right="851" w:hanging="360"/>
        <w:jc w:val="both"/>
        <w:rPr>
          <w:color w:val="211F1F"/>
        </w:rPr>
      </w:pPr>
      <w:r>
        <w:rPr>
          <w:color w:val="211F1F"/>
        </w:rPr>
        <w:t xml:space="preserve">The Contractor may subcontract with the approval of the Project Manager, but may not assign the Contract without the approval of the Procuring Entity in writing. Subcontracting shall not alter the Contractor's </w:t>
      </w:r>
      <w:r>
        <w:rPr>
          <w:color w:val="211F1F"/>
          <w:spacing w:val="-2"/>
        </w:rPr>
        <w:t>obligations.</w:t>
      </w:r>
    </w:p>
    <w:p w14:paraId="6B63A5C1" w14:textId="77777777" w:rsidR="00BB77C0" w:rsidRDefault="00370BAA">
      <w:pPr>
        <w:pStyle w:val="Heading7"/>
        <w:numPr>
          <w:ilvl w:val="0"/>
          <w:numId w:val="23"/>
        </w:numPr>
        <w:tabs>
          <w:tab w:val="left" w:pos="1079"/>
        </w:tabs>
        <w:spacing w:before="242"/>
        <w:ind w:left="1079" w:hanging="359"/>
        <w:jc w:val="both"/>
      </w:pPr>
      <w:bookmarkStart w:id="190" w:name="8._Other_Contractors"/>
      <w:bookmarkEnd w:id="190"/>
      <w:r>
        <w:rPr>
          <w:color w:val="211F1F"/>
        </w:rPr>
        <w:t>Other</w:t>
      </w:r>
      <w:r>
        <w:rPr>
          <w:color w:val="211F1F"/>
          <w:spacing w:val="-6"/>
        </w:rPr>
        <w:t xml:space="preserve"> </w:t>
      </w:r>
      <w:r>
        <w:rPr>
          <w:color w:val="211F1F"/>
          <w:spacing w:val="-2"/>
        </w:rPr>
        <w:t>Contractors</w:t>
      </w:r>
    </w:p>
    <w:p w14:paraId="68DAC317" w14:textId="77777777" w:rsidR="00BB77C0" w:rsidRDefault="00370BAA">
      <w:pPr>
        <w:pStyle w:val="ListParagraph"/>
        <w:numPr>
          <w:ilvl w:val="1"/>
          <w:numId w:val="23"/>
        </w:numPr>
        <w:tabs>
          <w:tab w:val="left" w:pos="1169"/>
          <w:tab w:val="left" w:pos="1171"/>
        </w:tabs>
        <w:spacing w:before="193" w:line="230" w:lineRule="auto"/>
        <w:ind w:right="834" w:hanging="360"/>
        <w:jc w:val="both"/>
        <w:rPr>
          <w:color w:val="211F1F"/>
        </w:rPr>
      </w:pPr>
      <w:r>
        <w:rPr>
          <w:color w:val="211F1F"/>
        </w:rPr>
        <w:t>The</w:t>
      </w:r>
      <w:r>
        <w:rPr>
          <w:color w:val="211F1F"/>
          <w:spacing w:val="-3"/>
        </w:rPr>
        <w:t xml:space="preserve"> </w:t>
      </w:r>
      <w:r>
        <w:rPr>
          <w:color w:val="211F1F"/>
        </w:rPr>
        <w:t>Contractor shall cooperate</w:t>
      </w:r>
      <w:r>
        <w:rPr>
          <w:color w:val="211F1F"/>
          <w:spacing w:val="-3"/>
        </w:rPr>
        <w:t xml:space="preserve"> </w:t>
      </w:r>
      <w:r>
        <w:rPr>
          <w:color w:val="211F1F"/>
        </w:rPr>
        <w:t>and</w:t>
      </w:r>
      <w:r>
        <w:rPr>
          <w:color w:val="211F1F"/>
          <w:spacing w:val="-1"/>
        </w:rPr>
        <w:t xml:space="preserve"> </w:t>
      </w:r>
      <w:r>
        <w:rPr>
          <w:color w:val="211F1F"/>
        </w:rPr>
        <w:t>share the</w:t>
      </w:r>
      <w:r>
        <w:rPr>
          <w:color w:val="211F1F"/>
          <w:spacing w:val="-3"/>
        </w:rPr>
        <w:t xml:space="preserve"> </w:t>
      </w:r>
      <w:r>
        <w:rPr>
          <w:color w:val="211F1F"/>
        </w:rPr>
        <w:t>Site with other contractors, public authorities, utilities, and</w:t>
      </w:r>
      <w:r>
        <w:rPr>
          <w:color w:val="211F1F"/>
          <w:spacing w:val="-1"/>
        </w:rPr>
        <w:t xml:space="preserve"> </w:t>
      </w:r>
      <w:r>
        <w:rPr>
          <w:color w:val="211F1F"/>
        </w:rPr>
        <w:t xml:space="preserve">the </w:t>
      </w:r>
      <w:r>
        <w:rPr>
          <w:color w:val="211F1F"/>
          <w:spacing w:val="-2"/>
        </w:rPr>
        <w:t>Procuring</w:t>
      </w:r>
      <w:r>
        <w:rPr>
          <w:color w:val="211F1F"/>
          <w:spacing w:val="-7"/>
        </w:rPr>
        <w:t xml:space="preserve"> </w:t>
      </w:r>
      <w:r>
        <w:rPr>
          <w:color w:val="211F1F"/>
          <w:spacing w:val="-2"/>
        </w:rPr>
        <w:t>Entity</w:t>
      </w:r>
      <w:r>
        <w:rPr>
          <w:color w:val="211F1F"/>
          <w:spacing w:val="-8"/>
        </w:rPr>
        <w:t xml:space="preserve"> </w:t>
      </w:r>
      <w:r>
        <w:rPr>
          <w:color w:val="211F1F"/>
          <w:spacing w:val="-2"/>
        </w:rPr>
        <w:t>between</w:t>
      </w:r>
      <w:r>
        <w:rPr>
          <w:color w:val="211F1F"/>
          <w:spacing w:val="-8"/>
        </w:rPr>
        <w:t xml:space="preserve"> </w:t>
      </w:r>
      <w:r>
        <w:rPr>
          <w:color w:val="211F1F"/>
          <w:spacing w:val="-2"/>
        </w:rPr>
        <w:t>the</w:t>
      </w:r>
      <w:r>
        <w:rPr>
          <w:color w:val="211F1F"/>
          <w:spacing w:val="-10"/>
        </w:rPr>
        <w:t xml:space="preserve"> </w:t>
      </w:r>
      <w:r>
        <w:rPr>
          <w:color w:val="211F1F"/>
          <w:spacing w:val="-2"/>
        </w:rPr>
        <w:t>dates given</w:t>
      </w:r>
      <w:r>
        <w:rPr>
          <w:color w:val="211F1F"/>
          <w:spacing w:val="-8"/>
        </w:rPr>
        <w:t xml:space="preserve"> </w:t>
      </w:r>
      <w:r>
        <w:rPr>
          <w:color w:val="211F1F"/>
          <w:spacing w:val="-2"/>
        </w:rPr>
        <w:t>in</w:t>
      </w:r>
      <w:r>
        <w:rPr>
          <w:color w:val="211F1F"/>
          <w:spacing w:val="-8"/>
        </w:rPr>
        <w:t xml:space="preserve"> </w:t>
      </w:r>
      <w:r>
        <w:rPr>
          <w:color w:val="211F1F"/>
          <w:spacing w:val="-2"/>
        </w:rPr>
        <w:t>the</w:t>
      </w:r>
      <w:r>
        <w:rPr>
          <w:color w:val="211F1F"/>
          <w:spacing w:val="-10"/>
        </w:rPr>
        <w:t xml:space="preserve"> </w:t>
      </w:r>
      <w:r>
        <w:rPr>
          <w:color w:val="211F1F"/>
          <w:spacing w:val="-2"/>
        </w:rPr>
        <w:t>Schedule</w:t>
      </w:r>
      <w:r>
        <w:rPr>
          <w:color w:val="211F1F"/>
          <w:spacing w:val="-5"/>
        </w:rPr>
        <w:t xml:space="preserve"> </w:t>
      </w:r>
      <w:r>
        <w:rPr>
          <w:color w:val="211F1F"/>
          <w:spacing w:val="-2"/>
        </w:rPr>
        <w:t>of</w:t>
      </w:r>
      <w:r>
        <w:rPr>
          <w:color w:val="211F1F"/>
          <w:spacing w:val="-5"/>
        </w:rPr>
        <w:t xml:space="preserve"> </w:t>
      </w:r>
      <w:r>
        <w:rPr>
          <w:color w:val="211F1F"/>
          <w:spacing w:val="-2"/>
        </w:rPr>
        <w:t>Other</w:t>
      </w:r>
      <w:r>
        <w:rPr>
          <w:color w:val="211F1F"/>
          <w:spacing w:val="-5"/>
        </w:rPr>
        <w:t xml:space="preserve"> </w:t>
      </w:r>
      <w:r>
        <w:rPr>
          <w:color w:val="211F1F"/>
          <w:spacing w:val="-2"/>
        </w:rPr>
        <w:t>Contractors,</w:t>
      </w:r>
      <w:r>
        <w:rPr>
          <w:color w:val="211F1F"/>
          <w:spacing w:val="-10"/>
        </w:rPr>
        <w:t xml:space="preserve"> </w:t>
      </w:r>
      <w:r>
        <w:rPr>
          <w:color w:val="211F1F"/>
          <w:spacing w:val="-2"/>
        </w:rPr>
        <w:t>as</w:t>
      </w:r>
      <w:r>
        <w:rPr>
          <w:color w:val="211F1F"/>
          <w:spacing w:val="-8"/>
        </w:rPr>
        <w:t xml:space="preserve"> </w:t>
      </w:r>
      <w:r>
        <w:rPr>
          <w:b/>
          <w:color w:val="211F1F"/>
          <w:spacing w:val="-2"/>
        </w:rPr>
        <w:t>referred</w:t>
      </w:r>
      <w:r>
        <w:rPr>
          <w:b/>
          <w:color w:val="211F1F"/>
          <w:spacing w:val="-6"/>
        </w:rPr>
        <w:t xml:space="preserve"> </w:t>
      </w:r>
      <w:r>
        <w:rPr>
          <w:b/>
          <w:color w:val="211F1F"/>
          <w:spacing w:val="-2"/>
        </w:rPr>
        <w:t>to</w:t>
      </w:r>
      <w:r>
        <w:rPr>
          <w:b/>
          <w:color w:val="211F1F"/>
          <w:spacing w:val="-4"/>
        </w:rPr>
        <w:t xml:space="preserve"> </w:t>
      </w:r>
      <w:r>
        <w:rPr>
          <w:b/>
          <w:color w:val="211F1F"/>
          <w:spacing w:val="-2"/>
        </w:rPr>
        <w:t>in</w:t>
      </w:r>
      <w:r>
        <w:rPr>
          <w:b/>
          <w:color w:val="211F1F"/>
          <w:spacing w:val="-11"/>
        </w:rPr>
        <w:t xml:space="preserve"> </w:t>
      </w:r>
      <w:r>
        <w:rPr>
          <w:b/>
          <w:color w:val="211F1F"/>
          <w:spacing w:val="-2"/>
        </w:rPr>
        <w:t>the</w:t>
      </w:r>
      <w:r>
        <w:rPr>
          <w:b/>
          <w:color w:val="211F1F"/>
          <w:spacing w:val="-5"/>
        </w:rPr>
        <w:t xml:space="preserve"> </w:t>
      </w:r>
      <w:r>
        <w:rPr>
          <w:b/>
          <w:color w:val="211F1F"/>
          <w:spacing w:val="-2"/>
        </w:rPr>
        <w:t>SCC.</w:t>
      </w:r>
      <w:r>
        <w:rPr>
          <w:b/>
          <w:color w:val="211F1F"/>
          <w:spacing w:val="-11"/>
        </w:rPr>
        <w:t xml:space="preserve"> </w:t>
      </w:r>
      <w:r>
        <w:rPr>
          <w:color w:val="211F1F"/>
          <w:spacing w:val="-2"/>
        </w:rPr>
        <w:t>The Contractor</w:t>
      </w:r>
      <w:r>
        <w:rPr>
          <w:color w:val="211F1F"/>
          <w:spacing w:val="-11"/>
        </w:rPr>
        <w:t xml:space="preserve"> </w:t>
      </w:r>
      <w:r>
        <w:rPr>
          <w:color w:val="211F1F"/>
          <w:spacing w:val="-2"/>
        </w:rPr>
        <w:t>shall</w:t>
      </w:r>
      <w:r>
        <w:rPr>
          <w:color w:val="211F1F"/>
          <w:spacing w:val="-12"/>
        </w:rPr>
        <w:t xml:space="preserve"> </w:t>
      </w:r>
      <w:r>
        <w:rPr>
          <w:color w:val="211F1F"/>
          <w:spacing w:val="-2"/>
        </w:rPr>
        <w:t>also</w:t>
      </w:r>
      <w:r>
        <w:rPr>
          <w:color w:val="211F1F"/>
          <w:spacing w:val="-6"/>
        </w:rPr>
        <w:t xml:space="preserve"> </w:t>
      </w:r>
      <w:r>
        <w:rPr>
          <w:color w:val="211F1F"/>
          <w:spacing w:val="-2"/>
        </w:rPr>
        <w:t>provide</w:t>
      </w:r>
      <w:r>
        <w:rPr>
          <w:color w:val="211F1F"/>
          <w:spacing w:val="-5"/>
        </w:rPr>
        <w:t xml:space="preserve"> </w:t>
      </w:r>
      <w:r>
        <w:rPr>
          <w:color w:val="211F1F"/>
          <w:spacing w:val="-2"/>
        </w:rPr>
        <w:t>facilities</w:t>
      </w:r>
      <w:r>
        <w:rPr>
          <w:color w:val="211F1F"/>
          <w:spacing w:val="-7"/>
        </w:rPr>
        <w:t xml:space="preserve"> </w:t>
      </w:r>
      <w:r>
        <w:rPr>
          <w:color w:val="211F1F"/>
          <w:spacing w:val="-2"/>
        </w:rPr>
        <w:t>and</w:t>
      </w:r>
      <w:r>
        <w:rPr>
          <w:color w:val="211F1F"/>
          <w:spacing w:val="-8"/>
        </w:rPr>
        <w:t xml:space="preserve"> </w:t>
      </w:r>
      <w:r>
        <w:rPr>
          <w:color w:val="211F1F"/>
          <w:spacing w:val="-2"/>
        </w:rPr>
        <w:t>services for</w:t>
      </w:r>
      <w:r>
        <w:rPr>
          <w:color w:val="211F1F"/>
          <w:spacing w:val="-10"/>
        </w:rPr>
        <w:t xml:space="preserve"> </w:t>
      </w:r>
      <w:r>
        <w:rPr>
          <w:color w:val="211F1F"/>
          <w:spacing w:val="-2"/>
        </w:rPr>
        <w:t>them</w:t>
      </w:r>
      <w:r>
        <w:rPr>
          <w:color w:val="211F1F"/>
          <w:spacing w:val="-7"/>
        </w:rPr>
        <w:t xml:space="preserve"> </w:t>
      </w:r>
      <w:r>
        <w:rPr>
          <w:color w:val="211F1F"/>
          <w:spacing w:val="-2"/>
        </w:rPr>
        <w:t>as</w:t>
      </w:r>
      <w:r>
        <w:rPr>
          <w:color w:val="211F1F"/>
          <w:spacing w:val="-8"/>
        </w:rPr>
        <w:t xml:space="preserve"> </w:t>
      </w:r>
      <w:r>
        <w:rPr>
          <w:color w:val="211F1F"/>
          <w:spacing w:val="-2"/>
        </w:rPr>
        <w:t>described</w:t>
      </w:r>
      <w:r>
        <w:rPr>
          <w:color w:val="211F1F"/>
          <w:spacing w:val="-8"/>
        </w:rPr>
        <w:t xml:space="preserve"> </w:t>
      </w:r>
      <w:r>
        <w:rPr>
          <w:color w:val="211F1F"/>
          <w:spacing w:val="-2"/>
        </w:rPr>
        <w:t>in</w:t>
      </w:r>
      <w:r>
        <w:rPr>
          <w:color w:val="211F1F"/>
          <w:spacing w:val="-8"/>
        </w:rPr>
        <w:t xml:space="preserve"> </w:t>
      </w:r>
      <w:r>
        <w:rPr>
          <w:color w:val="211F1F"/>
          <w:spacing w:val="-2"/>
        </w:rPr>
        <w:t>the</w:t>
      </w:r>
      <w:r>
        <w:rPr>
          <w:color w:val="211F1F"/>
          <w:spacing w:val="-12"/>
        </w:rPr>
        <w:t xml:space="preserve"> </w:t>
      </w:r>
      <w:r>
        <w:rPr>
          <w:color w:val="211F1F"/>
          <w:spacing w:val="-2"/>
        </w:rPr>
        <w:t>Schedule.</w:t>
      </w:r>
      <w:r>
        <w:rPr>
          <w:color w:val="211F1F"/>
          <w:spacing w:val="-9"/>
        </w:rPr>
        <w:t xml:space="preserve"> </w:t>
      </w:r>
      <w:r>
        <w:rPr>
          <w:color w:val="211F1F"/>
          <w:spacing w:val="-2"/>
        </w:rPr>
        <w:t>The</w:t>
      </w:r>
      <w:r>
        <w:rPr>
          <w:color w:val="211F1F"/>
          <w:spacing w:val="-5"/>
        </w:rPr>
        <w:t xml:space="preserve"> </w:t>
      </w:r>
      <w:r>
        <w:rPr>
          <w:color w:val="211F1F"/>
          <w:spacing w:val="-2"/>
        </w:rPr>
        <w:t xml:space="preserve">Procuring Entity </w:t>
      </w:r>
      <w:r>
        <w:rPr>
          <w:color w:val="211F1F"/>
        </w:rPr>
        <w:t>may</w:t>
      </w:r>
      <w:r>
        <w:rPr>
          <w:color w:val="211F1F"/>
          <w:spacing w:val="-9"/>
        </w:rPr>
        <w:t xml:space="preserve"> </w:t>
      </w:r>
      <w:r>
        <w:rPr>
          <w:color w:val="211F1F"/>
        </w:rPr>
        <w:t>modify</w:t>
      </w:r>
      <w:r>
        <w:rPr>
          <w:color w:val="211F1F"/>
          <w:spacing w:val="-10"/>
        </w:rPr>
        <w:t xml:space="preserve"> </w:t>
      </w:r>
      <w:r>
        <w:rPr>
          <w:color w:val="211F1F"/>
        </w:rPr>
        <w:t>the</w:t>
      </w:r>
      <w:r>
        <w:rPr>
          <w:color w:val="211F1F"/>
          <w:spacing w:val="-12"/>
        </w:rPr>
        <w:t xml:space="preserve"> </w:t>
      </w:r>
      <w:r>
        <w:rPr>
          <w:color w:val="211F1F"/>
        </w:rPr>
        <w:t>Schedule</w:t>
      </w:r>
      <w:r>
        <w:rPr>
          <w:color w:val="211F1F"/>
          <w:spacing w:val="-5"/>
        </w:rPr>
        <w:t xml:space="preserve"> </w:t>
      </w:r>
      <w:r>
        <w:rPr>
          <w:color w:val="211F1F"/>
        </w:rPr>
        <w:t>of</w:t>
      </w:r>
      <w:r>
        <w:rPr>
          <w:color w:val="211F1F"/>
          <w:spacing w:val="-6"/>
        </w:rPr>
        <w:t xml:space="preserve"> </w:t>
      </w:r>
      <w:r>
        <w:rPr>
          <w:color w:val="211F1F"/>
        </w:rPr>
        <w:t>Other Contractors,</w:t>
      </w:r>
      <w:r>
        <w:rPr>
          <w:color w:val="211F1F"/>
          <w:spacing w:val="-10"/>
        </w:rPr>
        <w:t xml:space="preserve"> </w:t>
      </w:r>
      <w:r>
        <w:rPr>
          <w:color w:val="211F1F"/>
        </w:rPr>
        <w:t>and</w:t>
      </w:r>
      <w:r>
        <w:rPr>
          <w:color w:val="211F1F"/>
          <w:spacing w:val="-10"/>
        </w:rPr>
        <w:t xml:space="preserve"> </w:t>
      </w:r>
      <w:r>
        <w:rPr>
          <w:color w:val="211F1F"/>
        </w:rPr>
        <w:t>shall</w:t>
      </w:r>
      <w:r>
        <w:rPr>
          <w:color w:val="211F1F"/>
          <w:spacing w:val="-9"/>
        </w:rPr>
        <w:t xml:space="preserve"> </w:t>
      </w:r>
      <w:r>
        <w:rPr>
          <w:color w:val="211F1F"/>
        </w:rPr>
        <w:t>notify</w:t>
      </w:r>
      <w:r>
        <w:rPr>
          <w:color w:val="211F1F"/>
          <w:spacing w:val="-9"/>
        </w:rPr>
        <w:t xml:space="preserve"> </w:t>
      </w:r>
      <w:r>
        <w:rPr>
          <w:color w:val="211F1F"/>
        </w:rPr>
        <w:t>the</w:t>
      </w:r>
      <w:r>
        <w:rPr>
          <w:color w:val="211F1F"/>
          <w:spacing w:val="-12"/>
        </w:rPr>
        <w:t xml:space="preserve"> </w:t>
      </w:r>
      <w:r>
        <w:rPr>
          <w:color w:val="211F1F"/>
        </w:rPr>
        <w:t>Contractor of</w:t>
      </w:r>
      <w:r>
        <w:rPr>
          <w:color w:val="211F1F"/>
          <w:spacing w:val="-6"/>
        </w:rPr>
        <w:t xml:space="preserve"> </w:t>
      </w:r>
      <w:r>
        <w:rPr>
          <w:color w:val="211F1F"/>
        </w:rPr>
        <w:t>any</w:t>
      </w:r>
      <w:r>
        <w:rPr>
          <w:color w:val="211F1F"/>
          <w:spacing w:val="-16"/>
        </w:rPr>
        <w:t xml:space="preserve"> </w:t>
      </w:r>
      <w:r>
        <w:rPr>
          <w:color w:val="211F1F"/>
        </w:rPr>
        <w:t>such</w:t>
      </w:r>
      <w:r>
        <w:rPr>
          <w:color w:val="211F1F"/>
          <w:spacing w:val="-4"/>
        </w:rPr>
        <w:t xml:space="preserve"> </w:t>
      </w:r>
      <w:r>
        <w:rPr>
          <w:color w:val="211F1F"/>
        </w:rPr>
        <w:t>modification.</w:t>
      </w:r>
    </w:p>
    <w:p w14:paraId="2B7B2B70" w14:textId="77777777" w:rsidR="00BB77C0" w:rsidRDefault="00370BAA">
      <w:pPr>
        <w:pStyle w:val="Heading7"/>
        <w:numPr>
          <w:ilvl w:val="0"/>
          <w:numId w:val="23"/>
        </w:numPr>
        <w:tabs>
          <w:tab w:val="left" w:pos="1079"/>
        </w:tabs>
        <w:spacing w:before="240"/>
        <w:ind w:left="1079" w:hanging="359"/>
        <w:jc w:val="both"/>
      </w:pPr>
      <w:bookmarkStart w:id="191" w:name="9._Personnel_andEquipment"/>
      <w:bookmarkEnd w:id="191"/>
      <w:r>
        <w:rPr>
          <w:color w:val="211F1F"/>
        </w:rPr>
        <w:t>Personnel</w:t>
      </w:r>
      <w:r>
        <w:rPr>
          <w:color w:val="211F1F"/>
          <w:spacing w:val="-10"/>
        </w:rPr>
        <w:t xml:space="preserve"> </w:t>
      </w:r>
      <w:r>
        <w:rPr>
          <w:color w:val="211F1F"/>
          <w:spacing w:val="-2"/>
        </w:rPr>
        <w:t>andEquipment</w:t>
      </w:r>
    </w:p>
    <w:p w14:paraId="2F3E389D" w14:textId="77777777" w:rsidR="00BB77C0" w:rsidRDefault="00370BAA">
      <w:pPr>
        <w:pStyle w:val="ListParagraph"/>
        <w:numPr>
          <w:ilvl w:val="1"/>
          <w:numId w:val="23"/>
        </w:numPr>
        <w:tabs>
          <w:tab w:val="left" w:pos="1169"/>
          <w:tab w:val="left" w:pos="1171"/>
        </w:tabs>
        <w:spacing w:before="192" w:line="230" w:lineRule="auto"/>
        <w:ind w:right="838" w:hanging="360"/>
        <w:jc w:val="both"/>
        <w:rPr>
          <w:color w:val="211F1F"/>
        </w:rPr>
      </w:pPr>
      <w:r>
        <w:rPr>
          <w:color w:val="211F1F"/>
        </w:rPr>
        <w:t>The Contractor shall employ the key personnel and use the equipment identified in its Bid, to carry out the Works or other personnel and equipment approved by the Project Manager. The Project Manager shall approve any proposed replacement of key personnel and equipment only if their relevant qualifications or characteristics are substantially equal to or better than those proposed in the Bid.</w:t>
      </w:r>
    </w:p>
    <w:p w14:paraId="010E991C" w14:textId="77777777" w:rsidR="00BB77C0" w:rsidRDefault="00370BAA">
      <w:pPr>
        <w:pStyle w:val="ListParagraph"/>
        <w:numPr>
          <w:ilvl w:val="1"/>
          <w:numId w:val="23"/>
        </w:numPr>
        <w:tabs>
          <w:tab w:val="left" w:pos="1169"/>
          <w:tab w:val="left" w:pos="1171"/>
        </w:tabs>
        <w:spacing w:before="195" w:line="230" w:lineRule="auto"/>
        <w:ind w:right="848" w:hanging="360"/>
        <w:jc w:val="both"/>
        <w:rPr>
          <w:color w:val="211F1F"/>
        </w:rPr>
      </w:pPr>
      <w:r>
        <w:rPr>
          <w:color w:val="211F1F"/>
        </w:rPr>
        <w:t>If the Project Manager asks the Contractor to</w:t>
      </w:r>
      <w:r>
        <w:rPr>
          <w:color w:val="211F1F"/>
          <w:spacing w:val="-2"/>
        </w:rPr>
        <w:t xml:space="preserve"> </w:t>
      </w:r>
      <w:r>
        <w:rPr>
          <w:color w:val="211F1F"/>
        </w:rPr>
        <w:t>remove a person who is a member of the Contractor's staff or work</w:t>
      </w:r>
      <w:r>
        <w:rPr>
          <w:color w:val="211F1F"/>
          <w:spacing w:val="-1"/>
        </w:rPr>
        <w:t xml:space="preserve"> </w:t>
      </w:r>
      <w:r>
        <w:rPr>
          <w:color w:val="211F1F"/>
        </w:rPr>
        <w:t>force, stating the</w:t>
      </w:r>
      <w:r>
        <w:rPr>
          <w:color w:val="211F1F"/>
          <w:spacing w:val="-3"/>
        </w:rPr>
        <w:t xml:space="preserve"> </w:t>
      </w:r>
      <w:r>
        <w:rPr>
          <w:color w:val="211F1F"/>
        </w:rPr>
        <w:t>reasons, the</w:t>
      </w:r>
      <w:r>
        <w:rPr>
          <w:color w:val="211F1F"/>
          <w:spacing w:val="-3"/>
        </w:rPr>
        <w:t xml:space="preserve"> </w:t>
      </w:r>
      <w:r>
        <w:rPr>
          <w:color w:val="211F1F"/>
        </w:rPr>
        <w:t>Contractor shall ensure that the</w:t>
      </w:r>
      <w:r>
        <w:rPr>
          <w:color w:val="211F1F"/>
          <w:spacing w:val="-3"/>
        </w:rPr>
        <w:t xml:space="preserve"> </w:t>
      </w:r>
      <w:r>
        <w:rPr>
          <w:color w:val="211F1F"/>
        </w:rPr>
        <w:t>person leaves the</w:t>
      </w:r>
      <w:r>
        <w:rPr>
          <w:color w:val="211F1F"/>
          <w:spacing w:val="-3"/>
        </w:rPr>
        <w:t xml:space="preserve"> </w:t>
      </w:r>
      <w:r>
        <w:rPr>
          <w:color w:val="211F1F"/>
        </w:rPr>
        <w:t>Site within</w:t>
      </w:r>
      <w:r>
        <w:rPr>
          <w:color w:val="211F1F"/>
          <w:spacing w:val="-1"/>
        </w:rPr>
        <w:t xml:space="preserve"> </w:t>
      </w:r>
      <w:r>
        <w:rPr>
          <w:color w:val="211F1F"/>
        </w:rPr>
        <w:t>seven days and has no further connection with the work in the Contract.</w:t>
      </w:r>
    </w:p>
    <w:p w14:paraId="281471E2" w14:textId="77777777" w:rsidR="00BB77C0" w:rsidRDefault="00370BAA">
      <w:pPr>
        <w:pStyle w:val="ListParagraph"/>
        <w:numPr>
          <w:ilvl w:val="1"/>
          <w:numId w:val="23"/>
        </w:numPr>
        <w:tabs>
          <w:tab w:val="left" w:pos="1169"/>
          <w:tab w:val="left" w:pos="1171"/>
        </w:tabs>
        <w:spacing w:before="196" w:line="232" w:lineRule="auto"/>
        <w:ind w:right="838" w:hanging="360"/>
        <w:jc w:val="both"/>
        <w:rPr>
          <w:color w:val="211F1F"/>
        </w:rPr>
      </w:pPr>
      <w:r>
        <w:rPr>
          <w:color w:val="211F1F"/>
        </w:rPr>
        <w:t>If the Procuring Entity, Project Manager or Contractor determines, that any employee of the Contractor be determined to</w:t>
      </w:r>
      <w:r>
        <w:rPr>
          <w:color w:val="211F1F"/>
          <w:spacing w:val="-1"/>
        </w:rPr>
        <w:t xml:space="preserve"> </w:t>
      </w:r>
      <w:r>
        <w:rPr>
          <w:color w:val="211F1F"/>
        </w:rPr>
        <w:t>have</w:t>
      </w:r>
      <w:r>
        <w:rPr>
          <w:color w:val="211F1F"/>
          <w:spacing w:val="-1"/>
        </w:rPr>
        <w:t xml:space="preserve"> </w:t>
      </w:r>
      <w:r>
        <w:rPr>
          <w:color w:val="211F1F"/>
        </w:rPr>
        <w:t>engaged</w:t>
      </w:r>
      <w:r>
        <w:rPr>
          <w:color w:val="211F1F"/>
          <w:spacing w:val="-1"/>
        </w:rPr>
        <w:t xml:space="preserve"> </w:t>
      </w:r>
      <w:r>
        <w:rPr>
          <w:color w:val="211F1F"/>
        </w:rPr>
        <w:t>in Fraud</w:t>
      </w:r>
      <w:r>
        <w:rPr>
          <w:color w:val="211F1F"/>
          <w:spacing w:val="-4"/>
        </w:rPr>
        <w:t xml:space="preserve"> </w:t>
      </w:r>
      <w:r>
        <w:rPr>
          <w:color w:val="211F1F"/>
        </w:rPr>
        <w:t>and</w:t>
      </w:r>
      <w:r>
        <w:rPr>
          <w:color w:val="211F1F"/>
          <w:spacing w:val="-1"/>
        </w:rPr>
        <w:t xml:space="preserve"> </w:t>
      </w:r>
      <w:r>
        <w:rPr>
          <w:color w:val="211F1F"/>
        </w:rPr>
        <w:t>Corruption</w:t>
      </w:r>
      <w:r>
        <w:rPr>
          <w:color w:val="211F1F"/>
          <w:spacing w:val="-1"/>
        </w:rPr>
        <w:t xml:space="preserve"> </w:t>
      </w:r>
      <w:r>
        <w:rPr>
          <w:color w:val="211F1F"/>
        </w:rPr>
        <w:t>during the</w:t>
      </w:r>
      <w:r>
        <w:rPr>
          <w:color w:val="211F1F"/>
          <w:spacing w:val="-2"/>
        </w:rPr>
        <w:t xml:space="preserve"> </w:t>
      </w:r>
      <w:r>
        <w:rPr>
          <w:color w:val="211F1F"/>
        </w:rPr>
        <w:t>execution of the</w:t>
      </w:r>
      <w:r>
        <w:rPr>
          <w:color w:val="211F1F"/>
          <w:spacing w:val="-6"/>
        </w:rPr>
        <w:t xml:space="preserve"> </w:t>
      </w:r>
      <w:r>
        <w:rPr>
          <w:color w:val="211F1F"/>
        </w:rPr>
        <w:t>Works, then</w:t>
      </w:r>
      <w:r>
        <w:rPr>
          <w:color w:val="211F1F"/>
          <w:spacing w:val="-5"/>
        </w:rPr>
        <w:t xml:space="preserve"> </w:t>
      </w:r>
      <w:r>
        <w:rPr>
          <w:color w:val="211F1F"/>
        </w:rPr>
        <w:t>that employee shall be removed in accordance with Clause 9.2 above.</w:t>
      </w:r>
    </w:p>
    <w:p w14:paraId="3361B31C" w14:textId="77777777" w:rsidR="00BB77C0" w:rsidRDefault="00370BAA">
      <w:pPr>
        <w:pStyle w:val="Heading7"/>
        <w:numPr>
          <w:ilvl w:val="0"/>
          <w:numId w:val="23"/>
        </w:numPr>
        <w:tabs>
          <w:tab w:val="left" w:pos="1075"/>
        </w:tabs>
        <w:spacing w:before="237"/>
        <w:ind w:left="1075" w:hanging="355"/>
        <w:jc w:val="both"/>
      </w:pPr>
      <w:bookmarkStart w:id="192" w:name="10._Procuring_Entity's_and_Contractor's_"/>
      <w:bookmarkEnd w:id="192"/>
      <w:r>
        <w:rPr>
          <w:color w:val="211F1F"/>
          <w:spacing w:val="-4"/>
        </w:rPr>
        <w:t>Procuring</w:t>
      </w:r>
      <w:r>
        <w:rPr>
          <w:color w:val="211F1F"/>
          <w:spacing w:val="-2"/>
        </w:rPr>
        <w:t xml:space="preserve"> </w:t>
      </w:r>
      <w:r>
        <w:rPr>
          <w:color w:val="211F1F"/>
          <w:spacing w:val="-4"/>
        </w:rPr>
        <w:t>Entity's</w:t>
      </w:r>
      <w:r>
        <w:rPr>
          <w:color w:val="211F1F"/>
        </w:rPr>
        <w:t xml:space="preserve"> </w:t>
      </w:r>
      <w:r>
        <w:rPr>
          <w:color w:val="211F1F"/>
          <w:spacing w:val="-4"/>
        </w:rPr>
        <w:t>and</w:t>
      </w:r>
      <w:r>
        <w:rPr>
          <w:color w:val="211F1F"/>
          <w:spacing w:val="-5"/>
        </w:rPr>
        <w:t xml:space="preserve"> </w:t>
      </w:r>
      <w:r>
        <w:rPr>
          <w:color w:val="211F1F"/>
          <w:spacing w:val="-4"/>
        </w:rPr>
        <w:t>Contractor's</w:t>
      </w:r>
      <w:r>
        <w:rPr>
          <w:color w:val="211F1F"/>
          <w:spacing w:val="1"/>
        </w:rPr>
        <w:t xml:space="preserve"> </w:t>
      </w:r>
      <w:r>
        <w:rPr>
          <w:color w:val="211F1F"/>
          <w:spacing w:val="-4"/>
        </w:rPr>
        <w:t>Risks</w:t>
      </w:r>
    </w:p>
    <w:p w14:paraId="46210D81" w14:textId="77777777" w:rsidR="00BB77C0" w:rsidRDefault="00370BAA">
      <w:pPr>
        <w:pStyle w:val="ListParagraph"/>
        <w:numPr>
          <w:ilvl w:val="1"/>
          <w:numId w:val="23"/>
        </w:numPr>
        <w:tabs>
          <w:tab w:val="left" w:pos="1168"/>
          <w:tab w:val="left" w:pos="1171"/>
        </w:tabs>
        <w:spacing w:before="190" w:line="232" w:lineRule="auto"/>
        <w:ind w:right="838" w:hanging="360"/>
        <w:jc w:val="both"/>
        <w:rPr>
          <w:color w:val="211F1F"/>
        </w:rPr>
      </w:pPr>
      <w:r>
        <w:rPr>
          <w:color w:val="211F1F"/>
          <w:spacing w:val="-2"/>
        </w:rPr>
        <w:t>The</w:t>
      </w:r>
      <w:r>
        <w:rPr>
          <w:color w:val="211F1F"/>
          <w:spacing w:val="-8"/>
        </w:rPr>
        <w:t xml:space="preserve"> </w:t>
      </w:r>
      <w:r>
        <w:rPr>
          <w:color w:val="211F1F"/>
          <w:spacing w:val="-2"/>
        </w:rPr>
        <w:t>Procuring</w:t>
      </w:r>
      <w:r>
        <w:rPr>
          <w:color w:val="211F1F"/>
          <w:spacing w:val="-6"/>
        </w:rPr>
        <w:t xml:space="preserve"> </w:t>
      </w:r>
      <w:r>
        <w:rPr>
          <w:color w:val="211F1F"/>
          <w:spacing w:val="-2"/>
        </w:rPr>
        <w:t>Entity</w:t>
      </w:r>
      <w:r>
        <w:rPr>
          <w:color w:val="211F1F"/>
          <w:spacing w:val="-6"/>
        </w:rPr>
        <w:t xml:space="preserve"> </w:t>
      </w:r>
      <w:r>
        <w:rPr>
          <w:color w:val="211F1F"/>
          <w:spacing w:val="-2"/>
        </w:rPr>
        <w:t>carries</w:t>
      </w:r>
      <w:r>
        <w:rPr>
          <w:color w:val="211F1F"/>
          <w:spacing w:val="-6"/>
        </w:rPr>
        <w:t xml:space="preserve"> </w:t>
      </w:r>
      <w:r>
        <w:rPr>
          <w:color w:val="211F1F"/>
          <w:spacing w:val="-2"/>
        </w:rPr>
        <w:t>the</w:t>
      </w:r>
      <w:r>
        <w:rPr>
          <w:color w:val="211F1F"/>
          <w:spacing w:val="-12"/>
        </w:rPr>
        <w:t xml:space="preserve"> </w:t>
      </w:r>
      <w:r>
        <w:rPr>
          <w:color w:val="211F1F"/>
          <w:spacing w:val="-2"/>
        </w:rPr>
        <w:t>risks which this</w:t>
      </w:r>
      <w:r>
        <w:rPr>
          <w:color w:val="211F1F"/>
          <w:spacing w:val="-6"/>
        </w:rPr>
        <w:t xml:space="preserve"> </w:t>
      </w:r>
      <w:r>
        <w:rPr>
          <w:color w:val="211F1F"/>
          <w:spacing w:val="-2"/>
        </w:rPr>
        <w:t>Contract states</w:t>
      </w:r>
      <w:r>
        <w:rPr>
          <w:color w:val="211F1F"/>
          <w:spacing w:val="-6"/>
        </w:rPr>
        <w:t xml:space="preserve"> </w:t>
      </w:r>
      <w:r>
        <w:rPr>
          <w:color w:val="211F1F"/>
          <w:spacing w:val="-2"/>
        </w:rPr>
        <w:t>are</w:t>
      </w:r>
      <w:r>
        <w:rPr>
          <w:color w:val="211F1F"/>
          <w:spacing w:val="-8"/>
        </w:rPr>
        <w:t xml:space="preserve"> </w:t>
      </w:r>
      <w:r>
        <w:rPr>
          <w:color w:val="211F1F"/>
          <w:spacing w:val="-2"/>
        </w:rPr>
        <w:t>Procuring</w:t>
      </w:r>
      <w:r>
        <w:rPr>
          <w:color w:val="211F1F"/>
          <w:spacing w:val="-5"/>
        </w:rPr>
        <w:t xml:space="preserve"> </w:t>
      </w:r>
      <w:r>
        <w:rPr>
          <w:color w:val="211F1F"/>
          <w:spacing w:val="-2"/>
        </w:rPr>
        <w:t>Entity's</w:t>
      </w:r>
      <w:r>
        <w:rPr>
          <w:color w:val="211F1F"/>
          <w:spacing w:val="-5"/>
        </w:rPr>
        <w:t xml:space="preserve"> </w:t>
      </w:r>
      <w:r>
        <w:rPr>
          <w:color w:val="211F1F"/>
          <w:spacing w:val="-2"/>
        </w:rPr>
        <w:t>risks,</w:t>
      </w:r>
      <w:r>
        <w:rPr>
          <w:color w:val="211F1F"/>
          <w:spacing w:val="-9"/>
        </w:rPr>
        <w:t xml:space="preserve"> </w:t>
      </w:r>
      <w:r>
        <w:rPr>
          <w:color w:val="211F1F"/>
          <w:spacing w:val="-2"/>
        </w:rPr>
        <w:t>and</w:t>
      </w:r>
      <w:r>
        <w:rPr>
          <w:color w:val="211F1F"/>
          <w:spacing w:val="-6"/>
        </w:rPr>
        <w:t xml:space="preserve"> </w:t>
      </w:r>
      <w:r>
        <w:rPr>
          <w:color w:val="211F1F"/>
          <w:spacing w:val="-2"/>
        </w:rPr>
        <w:t>the</w:t>
      </w:r>
      <w:r>
        <w:rPr>
          <w:color w:val="211F1F"/>
          <w:spacing w:val="-8"/>
        </w:rPr>
        <w:t xml:space="preserve"> </w:t>
      </w:r>
      <w:r>
        <w:rPr>
          <w:color w:val="211F1F"/>
          <w:spacing w:val="-2"/>
        </w:rPr>
        <w:t xml:space="preserve">Contractor </w:t>
      </w:r>
      <w:r>
        <w:rPr>
          <w:color w:val="211F1F"/>
        </w:rPr>
        <w:t>carries the</w:t>
      </w:r>
      <w:r>
        <w:rPr>
          <w:color w:val="211F1F"/>
          <w:spacing w:val="-1"/>
        </w:rPr>
        <w:t xml:space="preserve"> </w:t>
      </w:r>
      <w:r>
        <w:rPr>
          <w:color w:val="211F1F"/>
        </w:rPr>
        <w:t>risks which this Contract states are</w:t>
      </w:r>
      <w:r>
        <w:rPr>
          <w:color w:val="211F1F"/>
          <w:spacing w:val="-1"/>
        </w:rPr>
        <w:t xml:space="preserve"> </w:t>
      </w:r>
      <w:r>
        <w:rPr>
          <w:color w:val="211F1F"/>
        </w:rPr>
        <w:t>Contractor's risks.</w:t>
      </w:r>
    </w:p>
    <w:p w14:paraId="7D0FE544" w14:textId="77777777" w:rsidR="00BB77C0" w:rsidRDefault="00BB77C0">
      <w:pPr>
        <w:pStyle w:val="ListParagraph"/>
        <w:spacing w:line="232" w:lineRule="auto"/>
        <w:jc w:val="both"/>
        <w:sectPr w:rsidR="00BB77C0">
          <w:pgSz w:w="11920" w:h="16850"/>
          <w:pgMar w:top="920" w:right="0" w:bottom="280" w:left="360" w:header="720" w:footer="720" w:gutter="0"/>
          <w:cols w:space="720"/>
        </w:sectPr>
      </w:pPr>
    </w:p>
    <w:p w14:paraId="65DB4A4D" w14:textId="77777777" w:rsidR="00BB77C0" w:rsidRDefault="00370BAA">
      <w:pPr>
        <w:pStyle w:val="Heading7"/>
        <w:numPr>
          <w:ilvl w:val="0"/>
          <w:numId w:val="23"/>
        </w:numPr>
        <w:tabs>
          <w:tab w:val="left" w:pos="1075"/>
        </w:tabs>
        <w:spacing w:before="79"/>
        <w:ind w:left="1075" w:hanging="355"/>
        <w:jc w:val="left"/>
      </w:pPr>
      <w:bookmarkStart w:id="193" w:name="11._Procuring_Entity's_Risks"/>
      <w:bookmarkEnd w:id="193"/>
      <w:r>
        <w:rPr>
          <w:color w:val="211F1F"/>
          <w:spacing w:val="-2"/>
        </w:rPr>
        <w:lastRenderedPageBreak/>
        <w:t>Procuring</w:t>
      </w:r>
      <w:r>
        <w:rPr>
          <w:color w:val="211F1F"/>
          <w:spacing w:val="5"/>
        </w:rPr>
        <w:t xml:space="preserve"> </w:t>
      </w:r>
      <w:r>
        <w:rPr>
          <w:color w:val="211F1F"/>
          <w:spacing w:val="-2"/>
        </w:rPr>
        <w:t>Entity's</w:t>
      </w:r>
      <w:r>
        <w:rPr>
          <w:color w:val="211F1F"/>
          <w:spacing w:val="-15"/>
        </w:rPr>
        <w:t xml:space="preserve"> </w:t>
      </w:r>
      <w:r>
        <w:rPr>
          <w:color w:val="211F1F"/>
          <w:spacing w:val="-4"/>
        </w:rPr>
        <w:t>Risks</w:t>
      </w:r>
    </w:p>
    <w:p w14:paraId="28BE5BB1" w14:textId="77777777" w:rsidR="00BB77C0" w:rsidRDefault="00370BAA">
      <w:pPr>
        <w:pStyle w:val="ListParagraph"/>
        <w:numPr>
          <w:ilvl w:val="1"/>
          <w:numId w:val="23"/>
        </w:numPr>
        <w:tabs>
          <w:tab w:val="left" w:pos="1168"/>
          <w:tab w:val="left" w:pos="1171"/>
        </w:tabs>
        <w:spacing w:before="190" w:line="237" w:lineRule="auto"/>
        <w:ind w:right="925" w:hanging="360"/>
        <w:rPr>
          <w:color w:val="211F1F"/>
        </w:rPr>
      </w:pPr>
      <w:r>
        <w:rPr>
          <w:color w:val="211F1F"/>
          <w:spacing w:val="-2"/>
        </w:rPr>
        <w:t>From</w:t>
      </w:r>
      <w:r>
        <w:rPr>
          <w:color w:val="211F1F"/>
          <w:spacing w:val="-10"/>
        </w:rPr>
        <w:t xml:space="preserve"> </w:t>
      </w:r>
      <w:r>
        <w:rPr>
          <w:color w:val="211F1F"/>
          <w:spacing w:val="-2"/>
        </w:rPr>
        <w:t>the</w:t>
      </w:r>
      <w:r>
        <w:rPr>
          <w:color w:val="211F1F"/>
          <w:spacing w:val="-9"/>
        </w:rPr>
        <w:t xml:space="preserve"> </w:t>
      </w:r>
      <w:r>
        <w:rPr>
          <w:color w:val="211F1F"/>
          <w:spacing w:val="-2"/>
        </w:rPr>
        <w:t>Start Date</w:t>
      </w:r>
      <w:r>
        <w:rPr>
          <w:color w:val="211F1F"/>
          <w:spacing w:val="-9"/>
        </w:rPr>
        <w:t xml:space="preserve"> </w:t>
      </w:r>
      <w:r>
        <w:rPr>
          <w:color w:val="211F1F"/>
          <w:spacing w:val="-2"/>
        </w:rPr>
        <w:t>until</w:t>
      </w:r>
      <w:r>
        <w:rPr>
          <w:color w:val="211F1F"/>
          <w:spacing w:val="-11"/>
        </w:rPr>
        <w:t xml:space="preserve"> </w:t>
      </w:r>
      <w:r>
        <w:rPr>
          <w:color w:val="211F1F"/>
          <w:spacing w:val="-2"/>
        </w:rPr>
        <w:t>the</w:t>
      </w:r>
      <w:r>
        <w:rPr>
          <w:color w:val="211F1F"/>
          <w:spacing w:val="-9"/>
        </w:rPr>
        <w:t xml:space="preserve"> </w:t>
      </w:r>
      <w:r>
        <w:rPr>
          <w:color w:val="211F1F"/>
          <w:spacing w:val="-2"/>
        </w:rPr>
        <w:t>Defects Liability</w:t>
      </w:r>
      <w:r>
        <w:rPr>
          <w:color w:val="211F1F"/>
          <w:spacing w:val="-12"/>
        </w:rPr>
        <w:t xml:space="preserve"> </w:t>
      </w:r>
      <w:r>
        <w:rPr>
          <w:color w:val="211F1F"/>
          <w:spacing w:val="-2"/>
        </w:rPr>
        <w:t>Certificate</w:t>
      </w:r>
      <w:r>
        <w:rPr>
          <w:color w:val="211F1F"/>
          <w:spacing w:val="-9"/>
        </w:rPr>
        <w:t xml:space="preserve"> </w:t>
      </w:r>
      <w:r>
        <w:rPr>
          <w:color w:val="211F1F"/>
          <w:spacing w:val="-2"/>
        </w:rPr>
        <w:t>has been</w:t>
      </w:r>
      <w:r>
        <w:rPr>
          <w:color w:val="211F1F"/>
          <w:spacing w:val="-12"/>
        </w:rPr>
        <w:t xml:space="preserve"> </w:t>
      </w:r>
      <w:r>
        <w:rPr>
          <w:color w:val="211F1F"/>
          <w:spacing w:val="-2"/>
        </w:rPr>
        <w:t>issued, the</w:t>
      </w:r>
      <w:r>
        <w:rPr>
          <w:color w:val="211F1F"/>
          <w:spacing w:val="-9"/>
        </w:rPr>
        <w:t xml:space="preserve"> </w:t>
      </w:r>
      <w:r>
        <w:rPr>
          <w:color w:val="211F1F"/>
          <w:spacing w:val="-2"/>
        </w:rPr>
        <w:t>following</w:t>
      </w:r>
      <w:r>
        <w:rPr>
          <w:color w:val="211F1F"/>
          <w:spacing w:val="-7"/>
        </w:rPr>
        <w:t xml:space="preserve"> </w:t>
      </w:r>
      <w:r>
        <w:rPr>
          <w:color w:val="211F1F"/>
          <w:spacing w:val="-2"/>
        </w:rPr>
        <w:t>are</w:t>
      </w:r>
      <w:r>
        <w:rPr>
          <w:color w:val="211F1F"/>
          <w:spacing w:val="-9"/>
        </w:rPr>
        <w:t xml:space="preserve"> </w:t>
      </w:r>
      <w:r>
        <w:rPr>
          <w:color w:val="211F1F"/>
          <w:spacing w:val="-2"/>
        </w:rPr>
        <w:t>Procuring</w:t>
      </w:r>
      <w:r>
        <w:rPr>
          <w:color w:val="211F1F"/>
          <w:spacing w:val="-6"/>
        </w:rPr>
        <w:t xml:space="preserve"> </w:t>
      </w:r>
      <w:r>
        <w:rPr>
          <w:color w:val="211F1F"/>
          <w:spacing w:val="-2"/>
        </w:rPr>
        <w:t>Entity's risks:</w:t>
      </w:r>
    </w:p>
    <w:p w14:paraId="29D06879" w14:textId="77777777" w:rsidR="00BB77C0" w:rsidRDefault="00370BAA">
      <w:pPr>
        <w:pStyle w:val="ListParagraph"/>
        <w:numPr>
          <w:ilvl w:val="0"/>
          <w:numId w:val="28"/>
        </w:numPr>
        <w:tabs>
          <w:tab w:val="left" w:pos="1587"/>
          <w:tab w:val="left" w:pos="1623"/>
        </w:tabs>
        <w:spacing w:before="104" w:line="237" w:lineRule="auto"/>
        <w:ind w:right="952" w:hanging="361"/>
      </w:pPr>
      <w:r>
        <w:rPr>
          <w:color w:val="211F1F"/>
          <w:spacing w:val="-2"/>
        </w:rPr>
        <w:t>The</w:t>
      </w:r>
      <w:r>
        <w:rPr>
          <w:color w:val="211F1F"/>
          <w:spacing w:val="-19"/>
        </w:rPr>
        <w:t xml:space="preserve"> </w:t>
      </w:r>
      <w:r>
        <w:rPr>
          <w:color w:val="211F1F"/>
          <w:spacing w:val="-2"/>
        </w:rPr>
        <w:t>risk</w:t>
      </w:r>
      <w:r>
        <w:rPr>
          <w:color w:val="211F1F"/>
          <w:spacing w:val="-16"/>
        </w:rPr>
        <w:t xml:space="preserve"> </w:t>
      </w:r>
      <w:r>
        <w:rPr>
          <w:color w:val="211F1F"/>
          <w:spacing w:val="-2"/>
        </w:rPr>
        <w:t>of</w:t>
      </w:r>
      <w:r>
        <w:rPr>
          <w:color w:val="211F1F"/>
          <w:spacing w:val="-12"/>
        </w:rPr>
        <w:t xml:space="preserve"> </w:t>
      </w:r>
      <w:r>
        <w:rPr>
          <w:color w:val="211F1F"/>
          <w:spacing w:val="-2"/>
        </w:rPr>
        <w:t>personal</w:t>
      </w:r>
      <w:r>
        <w:rPr>
          <w:color w:val="211F1F"/>
          <w:spacing w:val="-15"/>
        </w:rPr>
        <w:t xml:space="preserve"> </w:t>
      </w:r>
      <w:r>
        <w:rPr>
          <w:color w:val="211F1F"/>
          <w:spacing w:val="-2"/>
        </w:rPr>
        <w:t>injury,</w:t>
      </w:r>
      <w:r>
        <w:rPr>
          <w:color w:val="211F1F"/>
          <w:spacing w:val="-14"/>
        </w:rPr>
        <w:t xml:space="preserve"> </w:t>
      </w:r>
      <w:r>
        <w:rPr>
          <w:color w:val="211F1F"/>
          <w:spacing w:val="-2"/>
        </w:rPr>
        <w:t>death,</w:t>
      </w:r>
      <w:r>
        <w:rPr>
          <w:color w:val="211F1F"/>
          <w:spacing w:val="-6"/>
        </w:rPr>
        <w:t xml:space="preserve"> </w:t>
      </w:r>
      <w:r>
        <w:rPr>
          <w:color w:val="211F1F"/>
          <w:spacing w:val="-2"/>
        </w:rPr>
        <w:t>or</w:t>
      </w:r>
      <w:r>
        <w:rPr>
          <w:color w:val="211F1F"/>
          <w:spacing w:val="-5"/>
        </w:rPr>
        <w:t xml:space="preserve"> </w:t>
      </w:r>
      <w:r>
        <w:rPr>
          <w:color w:val="211F1F"/>
          <w:spacing w:val="-2"/>
        </w:rPr>
        <w:t>loss</w:t>
      </w:r>
      <w:r>
        <w:rPr>
          <w:color w:val="211F1F"/>
          <w:spacing w:val="-12"/>
        </w:rPr>
        <w:t xml:space="preserve"> </w:t>
      </w:r>
      <w:r>
        <w:rPr>
          <w:color w:val="211F1F"/>
          <w:spacing w:val="-2"/>
        </w:rPr>
        <w:t>of</w:t>
      </w:r>
      <w:r>
        <w:rPr>
          <w:color w:val="211F1F"/>
          <w:spacing w:val="-14"/>
        </w:rPr>
        <w:t xml:space="preserve"> </w:t>
      </w:r>
      <w:r>
        <w:rPr>
          <w:color w:val="211F1F"/>
          <w:spacing w:val="-2"/>
        </w:rPr>
        <w:t>or</w:t>
      </w:r>
      <w:r>
        <w:rPr>
          <w:color w:val="211F1F"/>
          <w:spacing w:val="-10"/>
        </w:rPr>
        <w:t xml:space="preserve"> </w:t>
      </w:r>
      <w:r>
        <w:rPr>
          <w:color w:val="211F1F"/>
          <w:spacing w:val="-2"/>
        </w:rPr>
        <w:t>damage</w:t>
      </w:r>
      <w:r>
        <w:rPr>
          <w:color w:val="211F1F"/>
          <w:spacing w:val="-14"/>
        </w:rPr>
        <w:t xml:space="preserve"> </w:t>
      </w:r>
      <w:r>
        <w:rPr>
          <w:color w:val="211F1F"/>
          <w:spacing w:val="-2"/>
        </w:rPr>
        <w:t>to</w:t>
      </w:r>
      <w:r>
        <w:rPr>
          <w:color w:val="211F1F"/>
          <w:spacing w:val="-17"/>
        </w:rPr>
        <w:t xml:space="preserve"> </w:t>
      </w:r>
      <w:r>
        <w:rPr>
          <w:color w:val="211F1F"/>
          <w:spacing w:val="-2"/>
        </w:rPr>
        <w:t>property</w:t>
      </w:r>
      <w:r>
        <w:rPr>
          <w:color w:val="211F1F"/>
          <w:spacing w:val="-12"/>
        </w:rPr>
        <w:t xml:space="preserve"> </w:t>
      </w:r>
      <w:r>
        <w:rPr>
          <w:color w:val="211F1F"/>
          <w:spacing w:val="-2"/>
        </w:rPr>
        <w:t>(excluding</w:t>
      </w:r>
      <w:r>
        <w:rPr>
          <w:color w:val="211F1F"/>
          <w:spacing w:val="-16"/>
        </w:rPr>
        <w:t xml:space="preserve"> </w:t>
      </w:r>
      <w:r>
        <w:rPr>
          <w:color w:val="211F1F"/>
          <w:spacing w:val="-2"/>
        </w:rPr>
        <w:t>the</w:t>
      </w:r>
      <w:r>
        <w:rPr>
          <w:color w:val="211F1F"/>
          <w:spacing w:val="-19"/>
        </w:rPr>
        <w:t xml:space="preserve"> </w:t>
      </w:r>
      <w:r>
        <w:rPr>
          <w:color w:val="211F1F"/>
          <w:spacing w:val="-2"/>
        </w:rPr>
        <w:t>Works,</w:t>
      </w:r>
      <w:r>
        <w:rPr>
          <w:color w:val="211F1F"/>
          <w:spacing w:val="-14"/>
        </w:rPr>
        <w:t xml:space="preserve"> </w:t>
      </w:r>
      <w:r>
        <w:rPr>
          <w:color w:val="211F1F"/>
          <w:spacing w:val="-2"/>
        </w:rPr>
        <w:t>Plant,</w:t>
      </w:r>
      <w:r>
        <w:rPr>
          <w:color w:val="211F1F"/>
          <w:spacing w:val="-10"/>
        </w:rPr>
        <w:t xml:space="preserve"> </w:t>
      </w:r>
      <w:r>
        <w:rPr>
          <w:color w:val="211F1F"/>
          <w:spacing w:val="-2"/>
        </w:rPr>
        <w:t xml:space="preserve">Materials, </w:t>
      </w:r>
      <w:r>
        <w:rPr>
          <w:color w:val="211F1F"/>
        </w:rPr>
        <w:t>and</w:t>
      </w:r>
      <w:r>
        <w:rPr>
          <w:color w:val="211F1F"/>
          <w:spacing w:val="-2"/>
        </w:rPr>
        <w:t xml:space="preserve"> </w:t>
      </w:r>
      <w:r>
        <w:rPr>
          <w:color w:val="211F1F"/>
        </w:rPr>
        <w:t>Equipment), which</w:t>
      </w:r>
      <w:r>
        <w:rPr>
          <w:color w:val="211F1F"/>
          <w:spacing w:val="-2"/>
        </w:rPr>
        <w:t xml:space="preserve"> </w:t>
      </w:r>
      <w:r>
        <w:rPr>
          <w:color w:val="211F1F"/>
        </w:rPr>
        <w:t>are due to</w:t>
      </w:r>
    </w:p>
    <w:p w14:paraId="3B44B543" w14:textId="77777777" w:rsidR="00BB77C0" w:rsidRDefault="00370BAA">
      <w:pPr>
        <w:pStyle w:val="ListParagraph"/>
        <w:numPr>
          <w:ilvl w:val="1"/>
          <w:numId w:val="28"/>
        </w:numPr>
        <w:tabs>
          <w:tab w:val="left" w:pos="2108"/>
        </w:tabs>
        <w:spacing w:before="37" w:line="232" w:lineRule="auto"/>
        <w:ind w:right="904"/>
      </w:pPr>
      <w:r>
        <w:rPr>
          <w:color w:val="211F1F"/>
          <w:spacing w:val="-2"/>
        </w:rPr>
        <w:t>use</w:t>
      </w:r>
      <w:r>
        <w:rPr>
          <w:color w:val="211F1F"/>
          <w:spacing w:val="-14"/>
        </w:rPr>
        <w:t xml:space="preserve"> </w:t>
      </w:r>
      <w:r>
        <w:rPr>
          <w:color w:val="211F1F"/>
          <w:spacing w:val="-2"/>
        </w:rPr>
        <w:t>or</w:t>
      </w:r>
      <w:r>
        <w:rPr>
          <w:color w:val="211F1F"/>
          <w:spacing w:val="-4"/>
        </w:rPr>
        <w:t xml:space="preserve"> </w:t>
      </w:r>
      <w:r>
        <w:rPr>
          <w:color w:val="211F1F"/>
          <w:spacing w:val="-2"/>
        </w:rPr>
        <w:t>occupation</w:t>
      </w:r>
      <w:r>
        <w:rPr>
          <w:color w:val="211F1F"/>
          <w:spacing w:val="-12"/>
        </w:rPr>
        <w:t xml:space="preserve"> </w:t>
      </w:r>
      <w:r>
        <w:rPr>
          <w:color w:val="211F1F"/>
          <w:spacing w:val="-2"/>
        </w:rPr>
        <w:t>of</w:t>
      </w:r>
      <w:r>
        <w:rPr>
          <w:color w:val="211F1F"/>
          <w:spacing w:val="-8"/>
        </w:rPr>
        <w:t xml:space="preserve"> </w:t>
      </w:r>
      <w:r>
        <w:rPr>
          <w:color w:val="211F1F"/>
          <w:spacing w:val="-2"/>
        </w:rPr>
        <w:t>the</w:t>
      </w:r>
      <w:r>
        <w:rPr>
          <w:color w:val="211F1F"/>
          <w:spacing w:val="-14"/>
        </w:rPr>
        <w:t xml:space="preserve"> </w:t>
      </w:r>
      <w:r>
        <w:rPr>
          <w:color w:val="211F1F"/>
          <w:spacing w:val="-2"/>
        </w:rPr>
        <w:t>Site</w:t>
      </w:r>
      <w:r>
        <w:rPr>
          <w:color w:val="211F1F"/>
          <w:spacing w:val="-14"/>
        </w:rPr>
        <w:t xml:space="preserve"> </w:t>
      </w:r>
      <w:r>
        <w:rPr>
          <w:color w:val="211F1F"/>
          <w:spacing w:val="-2"/>
        </w:rPr>
        <w:t>by</w:t>
      </w:r>
      <w:r>
        <w:rPr>
          <w:color w:val="211F1F"/>
          <w:spacing w:val="-12"/>
        </w:rPr>
        <w:t xml:space="preserve"> </w:t>
      </w:r>
      <w:r>
        <w:rPr>
          <w:color w:val="211F1F"/>
          <w:spacing w:val="-2"/>
        </w:rPr>
        <w:t>the</w:t>
      </w:r>
      <w:r>
        <w:rPr>
          <w:color w:val="211F1F"/>
          <w:spacing w:val="-18"/>
        </w:rPr>
        <w:t xml:space="preserve"> </w:t>
      </w:r>
      <w:r>
        <w:rPr>
          <w:color w:val="211F1F"/>
          <w:spacing w:val="-2"/>
        </w:rPr>
        <w:t>Works</w:t>
      </w:r>
      <w:r>
        <w:rPr>
          <w:color w:val="211F1F"/>
          <w:spacing w:val="-12"/>
        </w:rPr>
        <w:t xml:space="preserve"> </w:t>
      </w:r>
      <w:r>
        <w:rPr>
          <w:color w:val="211F1F"/>
          <w:spacing w:val="-2"/>
        </w:rPr>
        <w:t>or</w:t>
      </w:r>
      <w:r>
        <w:rPr>
          <w:color w:val="211F1F"/>
          <w:spacing w:val="-9"/>
        </w:rPr>
        <w:t xml:space="preserve"> </w:t>
      </w:r>
      <w:r>
        <w:rPr>
          <w:color w:val="211F1F"/>
          <w:spacing w:val="-2"/>
        </w:rPr>
        <w:t>for</w:t>
      </w:r>
      <w:r>
        <w:rPr>
          <w:color w:val="211F1F"/>
          <w:spacing w:val="-9"/>
        </w:rPr>
        <w:t xml:space="preserve"> </w:t>
      </w:r>
      <w:r>
        <w:rPr>
          <w:color w:val="211F1F"/>
          <w:spacing w:val="-2"/>
        </w:rPr>
        <w:t>the</w:t>
      </w:r>
      <w:r>
        <w:rPr>
          <w:color w:val="211F1F"/>
          <w:spacing w:val="-14"/>
        </w:rPr>
        <w:t xml:space="preserve"> </w:t>
      </w:r>
      <w:r>
        <w:rPr>
          <w:color w:val="211F1F"/>
          <w:spacing w:val="-2"/>
        </w:rPr>
        <w:t>purpose</w:t>
      </w:r>
      <w:r>
        <w:rPr>
          <w:color w:val="211F1F"/>
          <w:spacing w:val="-13"/>
        </w:rPr>
        <w:t xml:space="preserve"> </w:t>
      </w:r>
      <w:r>
        <w:rPr>
          <w:color w:val="211F1F"/>
          <w:spacing w:val="-2"/>
        </w:rPr>
        <w:t>of</w:t>
      </w:r>
      <w:r>
        <w:rPr>
          <w:color w:val="211F1F"/>
          <w:spacing w:val="-8"/>
        </w:rPr>
        <w:t xml:space="preserve"> </w:t>
      </w:r>
      <w:r>
        <w:rPr>
          <w:color w:val="211F1F"/>
          <w:spacing w:val="-2"/>
        </w:rPr>
        <w:t>the</w:t>
      </w:r>
      <w:r>
        <w:rPr>
          <w:color w:val="211F1F"/>
          <w:spacing w:val="-24"/>
        </w:rPr>
        <w:t xml:space="preserve"> </w:t>
      </w:r>
      <w:r>
        <w:rPr>
          <w:color w:val="211F1F"/>
          <w:spacing w:val="-2"/>
        </w:rPr>
        <w:t>Works,</w:t>
      </w:r>
      <w:r>
        <w:rPr>
          <w:color w:val="211F1F"/>
          <w:spacing w:val="-9"/>
        </w:rPr>
        <w:t xml:space="preserve"> </w:t>
      </w:r>
      <w:r>
        <w:rPr>
          <w:color w:val="211F1F"/>
          <w:spacing w:val="-2"/>
        </w:rPr>
        <w:t>which</w:t>
      </w:r>
      <w:r>
        <w:rPr>
          <w:color w:val="211F1F"/>
          <w:spacing w:val="-12"/>
        </w:rPr>
        <w:t xml:space="preserve"> </w:t>
      </w:r>
      <w:r>
        <w:rPr>
          <w:color w:val="211F1F"/>
          <w:spacing w:val="-2"/>
        </w:rPr>
        <w:t>is</w:t>
      </w:r>
      <w:r>
        <w:rPr>
          <w:color w:val="211F1F"/>
          <w:spacing w:val="-7"/>
        </w:rPr>
        <w:t xml:space="preserve"> </w:t>
      </w:r>
      <w:r>
        <w:rPr>
          <w:color w:val="211F1F"/>
          <w:spacing w:val="-2"/>
        </w:rPr>
        <w:t>the</w:t>
      </w:r>
      <w:r>
        <w:rPr>
          <w:color w:val="211F1F"/>
          <w:spacing w:val="-14"/>
        </w:rPr>
        <w:t xml:space="preserve"> </w:t>
      </w:r>
      <w:r>
        <w:rPr>
          <w:color w:val="211F1F"/>
          <w:spacing w:val="-2"/>
        </w:rPr>
        <w:t xml:space="preserve">unavoidable </w:t>
      </w:r>
      <w:r>
        <w:rPr>
          <w:color w:val="211F1F"/>
        </w:rPr>
        <w:t>result of the Works or</w:t>
      </w:r>
    </w:p>
    <w:p w14:paraId="55EA93DF" w14:textId="77777777" w:rsidR="00BB77C0" w:rsidRDefault="00370BAA">
      <w:pPr>
        <w:pStyle w:val="ListParagraph"/>
        <w:numPr>
          <w:ilvl w:val="1"/>
          <w:numId w:val="28"/>
        </w:numPr>
        <w:tabs>
          <w:tab w:val="left" w:pos="2108"/>
        </w:tabs>
        <w:spacing w:before="42" w:line="232" w:lineRule="auto"/>
        <w:ind w:right="913"/>
      </w:pPr>
      <w:r>
        <w:rPr>
          <w:color w:val="211F1F"/>
        </w:rPr>
        <w:t>negligence,</w:t>
      </w:r>
      <w:r>
        <w:rPr>
          <w:color w:val="211F1F"/>
          <w:spacing w:val="-14"/>
        </w:rPr>
        <w:t xml:space="preserve"> </w:t>
      </w:r>
      <w:r>
        <w:rPr>
          <w:color w:val="211F1F"/>
        </w:rPr>
        <w:t>breach</w:t>
      </w:r>
      <w:r>
        <w:rPr>
          <w:color w:val="211F1F"/>
          <w:spacing w:val="-11"/>
        </w:rPr>
        <w:t xml:space="preserve"> </w:t>
      </w:r>
      <w:r>
        <w:rPr>
          <w:color w:val="211F1F"/>
        </w:rPr>
        <w:t>of</w:t>
      </w:r>
      <w:r>
        <w:rPr>
          <w:color w:val="211F1F"/>
          <w:spacing w:val="-12"/>
        </w:rPr>
        <w:t xml:space="preserve"> </w:t>
      </w:r>
      <w:r>
        <w:rPr>
          <w:color w:val="211F1F"/>
        </w:rPr>
        <w:t>statutory</w:t>
      </w:r>
      <w:r>
        <w:rPr>
          <w:color w:val="211F1F"/>
          <w:spacing w:val="-14"/>
        </w:rPr>
        <w:t xml:space="preserve"> </w:t>
      </w:r>
      <w:r>
        <w:rPr>
          <w:color w:val="211F1F"/>
        </w:rPr>
        <w:t>duty,</w:t>
      </w:r>
      <w:r>
        <w:rPr>
          <w:color w:val="211F1F"/>
          <w:spacing w:val="-12"/>
        </w:rPr>
        <w:t xml:space="preserve"> </w:t>
      </w:r>
      <w:r>
        <w:rPr>
          <w:color w:val="211F1F"/>
        </w:rPr>
        <w:t>or</w:t>
      </w:r>
      <w:r>
        <w:rPr>
          <w:color w:val="211F1F"/>
          <w:spacing w:val="-8"/>
        </w:rPr>
        <w:t xml:space="preserve"> </w:t>
      </w:r>
      <w:r>
        <w:rPr>
          <w:color w:val="211F1F"/>
        </w:rPr>
        <w:t>interference</w:t>
      </w:r>
      <w:r>
        <w:rPr>
          <w:color w:val="211F1F"/>
          <w:spacing w:val="-12"/>
        </w:rPr>
        <w:t xml:space="preserve"> </w:t>
      </w:r>
      <w:r>
        <w:rPr>
          <w:color w:val="211F1F"/>
        </w:rPr>
        <w:t>with</w:t>
      </w:r>
      <w:r>
        <w:rPr>
          <w:color w:val="211F1F"/>
          <w:spacing w:val="-14"/>
        </w:rPr>
        <w:t xml:space="preserve"> </w:t>
      </w:r>
      <w:r>
        <w:rPr>
          <w:color w:val="211F1F"/>
        </w:rPr>
        <w:t>any</w:t>
      </w:r>
      <w:r>
        <w:rPr>
          <w:color w:val="211F1F"/>
          <w:spacing w:val="-11"/>
        </w:rPr>
        <w:t xml:space="preserve"> </w:t>
      </w:r>
      <w:r>
        <w:rPr>
          <w:color w:val="211F1F"/>
        </w:rPr>
        <w:t>legal</w:t>
      </w:r>
      <w:r>
        <w:rPr>
          <w:color w:val="211F1F"/>
          <w:spacing w:val="-14"/>
        </w:rPr>
        <w:t xml:space="preserve"> </w:t>
      </w:r>
      <w:r>
        <w:rPr>
          <w:color w:val="211F1F"/>
        </w:rPr>
        <w:t>right</w:t>
      </w:r>
      <w:r>
        <w:rPr>
          <w:color w:val="211F1F"/>
          <w:spacing w:val="-10"/>
        </w:rPr>
        <w:t xml:space="preserve"> </w:t>
      </w:r>
      <w:r>
        <w:rPr>
          <w:color w:val="211F1F"/>
        </w:rPr>
        <w:t>by</w:t>
      </w:r>
      <w:r>
        <w:rPr>
          <w:color w:val="211F1F"/>
          <w:spacing w:val="-14"/>
        </w:rPr>
        <w:t xml:space="preserve"> </w:t>
      </w:r>
      <w:r>
        <w:rPr>
          <w:color w:val="211F1F"/>
        </w:rPr>
        <w:t>the</w:t>
      </w:r>
      <w:r>
        <w:rPr>
          <w:color w:val="211F1F"/>
          <w:spacing w:val="-14"/>
        </w:rPr>
        <w:t xml:space="preserve"> </w:t>
      </w:r>
      <w:r>
        <w:rPr>
          <w:color w:val="211F1F"/>
        </w:rPr>
        <w:t>Procuring</w:t>
      </w:r>
      <w:r>
        <w:rPr>
          <w:color w:val="211F1F"/>
          <w:spacing w:val="-14"/>
        </w:rPr>
        <w:t xml:space="preserve"> </w:t>
      </w:r>
      <w:r>
        <w:rPr>
          <w:color w:val="211F1F"/>
        </w:rPr>
        <w:t>Entity</w:t>
      </w:r>
      <w:r>
        <w:rPr>
          <w:color w:val="211F1F"/>
          <w:spacing w:val="-14"/>
        </w:rPr>
        <w:t xml:space="preserve"> </w:t>
      </w:r>
      <w:r>
        <w:rPr>
          <w:color w:val="211F1F"/>
        </w:rPr>
        <w:t>or by any person employed by or contracted</w:t>
      </w:r>
      <w:r>
        <w:rPr>
          <w:color w:val="211F1F"/>
          <w:spacing w:val="-4"/>
        </w:rPr>
        <w:t xml:space="preserve"> </w:t>
      </w:r>
      <w:r>
        <w:rPr>
          <w:color w:val="211F1F"/>
        </w:rPr>
        <w:t>to him</w:t>
      </w:r>
      <w:r>
        <w:rPr>
          <w:color w:val="211F1F"/>
          <w:spacing w:val="-3"/>
        </w:rPr>
        <w:t xml:space="preserve"> </w:t>
      </w:r>
      <w:r>
        <w:rPr>
          <w:color w:val="211F1F"/>
        </w:rPr>
        <w:t>except the</w:t>
      </w:r>
      <w:r>
        <w:rPr>
          <w:color w:val="211F1F"/>
          <w:spacing w:val="-2"/>
        </w:rPr>
        <w:t xml:space="preserve"> </w:t>
      </w:r>
      <w:r>
        <w:rPr>
          <w:color w:val="211F1F"/>
        </w:rPr>
        <w:t>Contractor.</w:t>
      </w:r>
    </w:p>
    <w:p w14:paraId="2337A542" w14:textId="77777777" w:rsidR="00BB77C0" w:rsidRDefault="00BB77C0">
      <w:pPr>
        <w:pStyle w:val="BodyText"/>
        <w:spacing w:before="88"/>
      </w:pPr>
    </w:p>
    <w:p w14:paraId="28CBA740" w14:textId="77777777" w:rsidR="00BB77C0" w:rsidRDefault="00370BAA">
      <w:pPr>
        <w:pStyle w:val="ListParagraph"/>
        <w:numPr>
          <w:ilvl w:val="0"/>
          <w:numId w:val="28"/>
        </w:numPr>
        <w:tabs>
          <w:tab w:val="left" w:pos="1587"/>
          <w:tab w:val="left" w:pos="1618"/>
        </w:tabs>
        <w:spacing w:before="1" w:line="230" w:lineRule="auto"/>
        <w:ind w:left="1618" w:right="836" w:hanging="361"/>
        <w:jc w:val="both"/>
      </w:pPr>
      <w:r>
        <w:rPr>
          <w:color w:val="211F1F"/>
          <w:spacing w:val="-2"/>
        </w:rPr>
        <w:t>The</w:t>
      </w:r>
      <w:r>
        <w:rPr>
          <w:color w:val="211F1F"/>
          <w:spacing w:val="-12"/>
        </w:rPr>
        <w:t xml:space="preserve"> </w:t>
      </w:r>
      <w:r>
        <w:rPr>
          <w:color w:val="211F1F"/>
          <w:spacing w:val="-2"/>
        </w:rPr>
        <w:t>risk</w:t>
      </w:r>
      <w:r>
        <w:rPr>
          <w:color w:val="211F1F"/>
          <w:spacing w:val="-12"/>
        </w:rPr>
        <w:t xml:space="preserve"> </w:t>
      </w:r>
      <w:r>
        <w:rPr>
          <w:color w:val="211F1F"/>
          <w:spacing w:val="-2"/>
        </w:rPr>
        <w:t>of</w:t>
      </w:r>
      <w:r>
        <w:rPr>
          <w:color w:val="211F1F"/>
          <w:spacing w:val="-12"/>
        </w:rPr>
        <w:t xml:space="preserve"> </w:t>
      </w:r>
      <w:r>
        <w:rPr>
          <w:color w:val="211F1F"/>
          <w:spacing w:val="-2"/>
        </w:rPr>
        <w:t>damage</w:t>
      </w:r>
      <w:r>
        <w:rPr>
          <w:color w:val="211F1F"/>
          <w:spacing w:val="-11"/>
        </w:rPr>
        <w:t xml:space="preserve"> </w:t>
      </w:r>
      <w:r>
        <w:rPr>
          <w:color w:val="211F1F"/>
          <w:spacing w:val="-2"/>
        </w:rPr>
        <w:t>to</w:t>
      </w:r>
      <w:r>
        <w:rPr>
          <w:color w:val="211F1F"/>
          <w:spacing w:val="-12"/>
        </w:rPr>
        <w:t xml:space="preserve"> </w:t>
      </w:r>
      <w:r>
        <w:rPr>
          <w:color w:val="211F1F"/>
          <w:spacing w:val="-2"/>
        </w:rPr>
        <w:t>the</w:t>
      </w:r>
      <w:r>
        <w:rPr>
          <w:color w:val="211F1F"/>
          <w:spacing w:val="-12"/>
        </w:rPr>
        <w:t xml:space="preserve"> </w:t>
      </w:r>
      <w:r>
        <w:rPr>
          <w:color w:val="211F1F"/>
          <w:spacing w:val="-2"/>
        </w:rPr>
        <w:t>Works,</w:t>
      </w:r>
      <w:r>
        <w:rPr>
          <w:color w:val="211F1F"/>
          <w:spacing w:val="-12"/>
        </w:rPr>
        <w:t xml:space="preserve"> </w:t>
      </w:r>
      <w:r>
        <w:rPr>
          <w:color w:val="211F1F"/>
          <w:spacing w:val="-2"/>
        </w:rPr>
        <w:t>Plant,</w:t>
      </w:r>
      <w:r>
        <w:rPr>
          <w:color w:val="211F1F"/>
          <w:spacing w:val="-11"/>
        </w:rPr>
        <w:t xml:space="preserve"> </w:t>
      </w:r>
      <w:r>
        <w:rPr>
          <w:color w:val="211F1F"/>
          <w:spacing w:val="-2"/>
        </w:rPr>
        <w:t>Materials,</w:t>
      </w:r>
      <w:r>
        <w:rPr>
          <w:color w:val="211F1F"/>
          <w:spacing w:val="-12"/>
        </w:rPr>
        <w:t xml:space="preserve"> </w:t>
      </w:r>
      <w:r>
        <w:rPr>
          <w:color w:val="211F1F"/>
          <w:spacing w:val="-2"/>
        </w:rPr>
        <w:t>and</w:t>
      </w:r>
      <w:r>
        <w:rPr>
          <w:color w:val="211F1F"/>
          <w:spacing w:val="-12"/>
        </w:rPr>
        <w:t xml:space="preserve"> </w:t>
      </w:r>
      <w:r>
        <w:rPr>
          <w:color w:val="211F1F"/>
          <w:spacing w:val="-2"/>
        </w:rPr>
        <w:t>Equipment</w:t>
      </w:r>
      <w:r>
        <w:rPr>
          <w:color w:val="211F1F"/>
          <w:spacing w:val="-12"/>
        </w:rPr>
        <w:t xml:space="preserve"> </w:t>
      </w:r>
      <w:r>
        <w:rPr>
          <w:color w:val="211F1F"/>
          <w:spacing w:val="-2"/>
        </w:rPr>
        <w:t>to</w:t>
      </w:r>
      <w:r>
        <w:rPr>
          <w:color w:val="211F1F"/>
          <w:spacing w:val="-11"/>
        </w:rPr>
        <w:t xml:space="preserve"> </w:t>
      </w:r>
      <w:r>
        <w:rPr>
          <w:color w:val="211F1F"/>
          <w:spacing w:val="-2"/>
        </w:rPr>
        <w:t>the</w:t>
      </w:r>
      <w:r>
        <w:rPr>
          <w:color w:val="211F1F"/>
          <w:spacing w:val="-12"/>
        </w:rPr>
        <w:t xml:space="preserve"> </w:t>
      </w:r>
      <w:r>
        <w:rPr>
          <w:color w:val="211F1F"/>
          <w:spacing w:val="-2"/>
        </w:rPr>
        <w:t>extent</w:t>
      </w:r>
      <w:r>
        <w:rPr>
          <w:color w:val="211F1F"/>
          <w:spacing w:val="-12"/>
        </w:rPr>
        <w:t xml:space="preserve"> </w:t>
      </w:r>
      <w:r>
        <w:rPr>
          <w:color w:val="211F1F"/>
          <w:spacing w:val="-2"/>
        </w:rPr>
        <w:t>that</w:t>
      </w:r>
      <w:r>
        <w:rPr>
          <w:color w:val="211F1F"/>
          <w:spacing w:val="-12"/>
        </w:rPr>
        <w:t xml:space="preserve"> </w:t>
      </w:r>
      <w:r>
        <w:rPr>
          <w:color w:val="211F1F"/>
          <w:spacing w:val="-2"/>
        </w:rPr>
        <w:t>it</w:t>
      </w:r>
      <w:r>
        <w:rPr>
          <w:color w:val="211F1F"/>
          <w:spacing w:val="-11"/>
        </w:rPr>
        <w:t xml:space="preserve"> </w:t>
      </w:r>
      <w:r>
        <w:rPr>
          <w:color w:val="211F1F"/>
          <w:spacing w:val="-2"/>
        </w:rPr>
        <w:t>is</w:t>
      </w:r>
      <w:r>
        <w:rPr>
          <w:color w:val="211F1F"/>
          <w:spacing w:val="-12"/>
        </w:rPr>
        <w:t xml:space="preserve"> </w:t>
      </w:r>
      <w:r>
        <w:rPr>
          <w:color w:val="211F1F"/>
          <w:spacing w:val="-2"/>
        </w:rPr>
        <w:t>due</w:t>
      </w:r>
      <w:r>
        <w:rPr>
          <w:color w:val="211F1F"/>
          <w:spacing w:val="-12"/>
        </w:rPr>
        <w:t xml:space="preserve"> </w:t>
      </w:r>
      <w:r>
        <w:rPr>
          <w:color w:val="211F1F"/>
          <w:spacing w:val="-2"/>
        </w:rPr>
        <w:t>to</w:t>
      </w:r>
      <w:r>
        <w:rPr>
          <w:color w:val="211F1F"/>
          <w:spacing w:val="-12"/>
        </w:rPr>
        <w:t xml:space="preserve"> </w:t>
      </w:r>
      <w:r>
        <w:rPr>
          <w:color w:val="211F1F"/>
          <w:spacing w:val="-2"/>
        </w:rPr>
        <w:t>a</w:t>
      </w:r>
      <w:r>
        <w:rPr>
          <w:color w:val="211F1F"/>
          <w:spacing w:val="-7"/>
        </w:rPr>
        <w:t xml:space="preserve"> </w:t>
      </w:r>
      <w:r>
        <w:rPr>
          <w:color w:val="211F1F"/>
          <w:spacing w:val="-2"/>
        </w:rPr>
        <w:t>fault</w:t>
      </w:r>
      <w:r>
        <w:rPr>
          <w:color w:val="211F1F"/>
          <w:spacing w:val="-8"/>
        </w:rPr>
        <w:t xml:space="preserve"> </w:t>
      </w:r>
      <w:r>
        <w:rPr>
          <w:color w:val="211F1F"/>
          <w:spacing w:val="-2"/>
        </w:rPr>
        <w:t>of</w:t>
      </w:r>
      <w:r>
        <w:rPr>
          <w:color w:val="211F1F"/>
          <w:spacing w:val="-12"/>
        </w:rPr>
        <w:t xml:space="preserve"> </w:t>
      </w:r>
      <w:r>
        <w:rPr>
          <w:color w:val="211F1F"/>
          <w:spacing w:val="-2"/>
        </w:rPr>
        <w:t xml:space="preserve">the </w:t>
      </w:r>
      <w:r>
        <w:rPr>
          <w:color w:val="211F1F"/>
        </w:rPr>
        <w:t>Procuring</w:t>
      </w:r>
      <w:r>
        <w:rPr>
          <w:color w:val="211F1F"/>
          <w:spacing w:val="-1"/>
        </w:rPr>
        <w:t xml:space="preserve"> </w:t>
      </w:r>
      <w:r>
        <w:rPr>
          <w:color w:val="211F1F"/>
        </w:rPr>
        <w:t>Entity</w:t>
      </w:r>
      <w:r>
        <w:rPr>
          <w:color w:val="211F1F"/>
          <w:spacing w:val="-1"/>
        </w:rPr>
        <w:t xml:space="preserve"> </w:t>
      </w:r>
      <w:r>
        <w:rPr>
          <w:color w:val="211F1F"/>
        </w:rPr>
        <w:t>or in</w:t>
      </w:r>
      <w:r>
        <w:rPr>
          <w:color w:val="211F1F"/>
          <w:spacing w:val="-2"/>
        </w:rPr>
        <w:t xml:space="preserve"> </w:t>
      </w:r>
      <w:r>
        <w:rPr>
          <w:color w:val="211F1F"/>
        </w:rPr>
        <w:t>the</w:t>
      </w:r>
      <w:r>
        <w:rPr>
          <w:color w:val="211F1F"/>
          <w:spacing w:val="-4"/>
        </w:rPr>
        <w:t xml:space="preserve"> </w:t>
      </w:r>
      <w:r>
        <w:rPr>
          <w:color w:val="211F1F"/>
        </w:rPr>
        <w:t>Procuring Entity's design, or due</w:t>
      </w:r>
      <w:r>
        <w:rPr>
          <w:color w:val="211F1F"/>
          <w:spacing w:val="-4"/>
        </w:rPr>
        <w:t xml:space="preserve"> </w:t>
      </w:r>
      <w:r>
        <w:rPr>
          <w:color w:val="211F1F"/>
        </w:rPr>
        <w:t>to</w:t>
      </w:r>
      <w:r>
        <w:rPr>
          <w:color w:val="211F1F"/>
          <w:spacing w:val="-2"/>
        </w:rPr>
        <w:t xml:space="preserve"> </w:t>
      </w:r>
      <w:r>
        <w:rPr>
          <w:color w:val="211F1F"/>
        </w:rPr>
        <w:t>war or radioactive</w:t>
      </w:r>
      <w:r>
        <w:rPr>
          <w:color w:val="211F1F"/>
          <w:spacing w:val="-4"/>
        </w:rPr>
        <w:t xml:space="preserve"> </w:t>
      </w:r>
      <w:r>
        <w:rPr>
          <w:color w:val="211F1F"/>
        </w:rPr>
        <w:t>contaminationdirectly affecting</w:t>
      </w:r>
      <w:r>
        <w:rPr>
          <w:color w:val="211F1F"/>
          <w:spacing w:val="-3"/>
        </w:rPr>
        <w:t xml:space="preserve"> </w:t>
      </w:r>
      <w:r>
        <w:rPr>
          <w:color w:val="211F1F"/>
        </w:rPr>
        <w:t>the country where the</w:t>
      </w:r>
      <w:r>
        <w:rPr>
          <w:color w:val="211F1F"/>
          <w:spacing w:val="-6"/>
        </w:rPr>
        <w:t xml:space="preserve"> </w:t>
      </w:r>
      <w:r>
        <w:rPr>
          <w:color w:val="211F1F"/>
        </w:rPr>
        <w:t>Works are to be executed.</w:t>
      </w:r>
    </w:p>
    <w:p w14:paraId="27DC06A9" w14:textId="77777777" w:rsidR="00BB77C0" w:rsidRDefault="00370BAA">
      <w:pPr>
        <w:pStyle w:val="ListParagraph"/>
        <w:numPr>
          <w:ilvl w:val="1"/>
          <w:numId w:val="23"/>
        </w:numPr>
        <w:tabs>
          <w:tab w:val="left" w:pos="1163"/>
          <w:tab w:val="left" w:pos="1171"/>
        </w:tabs>
        <w:spacing w:before="200" w:line="228" w:lineRule="auto"/>
        <w:ind w:right="889" w:hanging="360"/>
        <w:rPr>
          <w:color w:val="211F1F"/>
        </w:rPr>
      </w:pPr>
      <w:r>
        <w:rPr>
          <w:color w:val="211F1F"/>
        </w:rPr>
        <w:t>From</w:t>
      </w:r>
      <w:r>
        <w:rPr>
          <w:color w:val="211F1F"/>
          <w:spacing w:val="-20"/>
        </w:rPr>
        <w:t xml:space="preserve"> </w:t>
      </w:r>
      <w:r>
        <w:rPr>
          <w:color w:val="211F1F"/>
        </w:rPr>
        <w:t>the</w:t>
      </w:r>
      <w:r>
        <w:rPr>
          <w:color w:val="211F1F"/>
          <w:spacing w:val="-14"/>
        </w:rPr>
        <w:t xml:space="preserve"> </w:t>
      </w:r>
      <w:r>
        <w:rPr>
          <w:color w:val="211F1F"/>
        </w:rPr>
        <w:t>Completion</w:t>
      </w:r>
      <w:r>
        <w:rPr>
          <w:color w:val="211F1F"/>
          <w:spacing w:val="-16"/>
        </w:rPr>
        <w:t xml:space="preserve"> </w:t>
      </w:r>
      <w:r>
        <w:rPr>
          <w:color w:val="211F1F"/>
        </w:rPr>
        <w:t>Date</w:t>
      </w:r>
      <w:r>
        <w:rPr>
          <w:color w:val="211F1F"/>
          <w:spacing w:val="-19"/>
        </w:rPr>
        <w:t xml:space="preserve"> </w:t>
      </w:r>
      <w:r>
        <w:rPr>
          <w:color w:val="211F1F"/>
        </w:rPr>
        <w:t>until</w:t>
      </w:r>
      <w:r>
        <w:rPr>
          <w:color w:val="211F1F"/>
          <w:spacing w:val="-14"/>
        </w:rPr>
        <w:t xml:space="preserve"> </w:t>
      </w:r>
      <w:r>
        <w:rPr>
          <w:color w:val="211F1F"/>
        </w:rPr>
        <w:t>the</w:t>
      </w:r>
      <w:r>
        <w:rPr>
          <w:color w:val="211F1F"/>
          <w:spacing w:val="-14"/>
        </w:rPr>
        <w:t xml:space="preserve"> </w:t>
      </w:r>
      <w:r>
        <w:rPr>
          <w:color w:val="211F1F"/>
        </w:rPr>
        <w:t>Defects</w:t>
      </w:r>
      <w:r>
        <w:rPr>
          <w:color w:val="211F1F"/>
          <w:spacing w:val="-14"/>
        </w:rPr>
        <w:t xml:space="preserve"> </w:t>
      </w:r>
      <w:r>
        <w:rPr>
          <w:color w:val="211F1F"/>
        </w:rPr>
        <w:t>Liability</w:t>
      </w:r>
      <w:r>
        <w:rPr>
          <w:color w:val="211F1F"/>
          <w:spacing w:val="-16"/>
        </w:rPr>
        <w:t xml:space="preserve"> </w:t>
      </w:r>
      <w:r>
        <w:rPr>
          <w:color w:val="211F1F"/>
        </w:rPr>
        <w:t>Certificate</w:t>
      </w:r>
      <w:r>
        <w:rPr>
          <w:color w:val="211F1F"/>
          <w:spacing w:val="-14"/>
        </w:rPr>
        <w:t xml:space="preserve"> </w:t>
      </w:r>
      <w:r>
        <w:rPr>
          <w:color w:val="211F1F"/>
        </w:rPr>
        <w:t>has</w:t>
      </w:r>
      <w:r>
        <w:rPr>
          <w:color w:val="211F1F"/>
          <w:spacing w:val="-13"/>
        </w:rPr>
        <w:t xml:space="preserve"> </w:t>
      </w:r>
      <w:r>
        <w:rPr>
          <w:color w:val="211F1F"/>
        </w:rPr>
        <w:t>been</w:t>
      </w:r>
      <w:r>
        <w:rPr>
          <w:color w:val="211F1F"/>
          <w:spacing w:val="-14"/>
        </w:rPr>
        <w:t xml:space="preserve"> </w:t>
      </w:r>
      <w:r>
        <w:rPr>
          <w:color w:val="211F1F"/>
        </w:rPr>
        <w:t>issued,</w:t>
      </w:r>
      <w:r>
        <w:rPr>
          <w:color w:val="211F1F"/>
          <w:spacing w:val="-12"/>
        </w:rPr>
        <w:t xml:space="preserve"> </w:t>
      </w:r>
      <w:r>
        <w:rPr>
          <w:color w:val="211F1F"/>
        </w:rPr>
        <w:t>the</w:t>
      </w:r>
      <w:r>
        <w:rPr>
          <w:color w:val="211F1F"/>
          <w:spacing w:val="-14"/>
        </w:rPr>
        <w:t xml:space="preserve"> </w:t>
      </w:r>
      <w:r>
        <w:rPr>
          <w:color w:val="211F1F"/>
        </w:rPr>
        <w:t>risk</w:t>
      </w:r>
      <w:r>
        <w:rPr>
          <w:color w:val="211F1F"/>
          <w:spacing w:val="-13"/>
        </w:rPr>
        <w:t xml:space="preserve"> </w:t>
      </w:r>
      <w:r>
        <w:rPr>
          <w:color w:val="211F1F"/>
        </w:rPr>
        <w:t>of</w:t>
      </w:r>
      <w:r>
        <w:rPr>
          <w:color w:val="211F1F"/>
          <w:spacing w:val="-11"/>
        </w:rPr>
        <w:t xml:space="preserve"> </w:t>
      </w:r>
      <w:r>
        <w:rPr>
          <w:color w:val="211F1F"/>
        </w:rPr>
        <w:t>loss</w:t>
      </w:r>
      <w:r>
        <w:rPr>
          <w:color w:val="211F1F"/>
          <w:spacing w:val="-8"/>
        </w:rPr>
        <w:t xml:space="preserve"> </w:t>
      </w:r>
      <w:r>
        <w:rPr>
          <w:color w:val="211F1F"/>
        </w:rPr>
        <w:t>of</w:t>
      </w:r>
      <w:r>
        <w:rPr>
          <w:color w:val="211F1F"/>
          <w:spacing w:val="-11"/>
        </w:rPr>
        <w:t xml:space="preserve"> </w:t>
      </w:r>
      <w:r>
        <w:rPr>
          <w:color w:val="211F1F"/>
        </w:rPr>
        <w:t>or</w:t>
      </w:r>
      <w:r>
        <w:rPr>
          <w:color w:val="211F1F"/>
          <w:spacing w:val="-6"/>
        </w:rPr>
        <w:t xml:space="preserve"> </w:t>
      </w:r>
      <w:r>
        <w:rPr>
          <w:color w:val="211F1F"/>
        </w:rPr>
        <w:t>damage to the</w:t>
      </w:r>
      <w:r>
        <w:rPr>
          <w:color w:val="211F1F"/>
          <w:spacing w:val="-23"/>
        </w:rPr>
        <w:t xml:space="preserve"> </w:t>
      </w:r>
      <w:r>
        <w:rPr>
          <w:color w:val="211F1F"/>
        </w:rPr>
        <w:t>Works,</w:t>
      </w:r>
      <w:r>
        <w:rPr>
          <w:color w:val="211F1F"/>
          <w:spacing w:val="-6"/>
        </w:rPr>
        <w:t xml:space="preserve"> </w:t>
      </w:r>
      <w:r>
        <w:rPr>
          <w:color w:val="211F1F"/>
        </w:rPr>
        <w:t>Plant,</w:t>
      </w:r>
      <w:r>
        <w:rPr>
          <w:color w:val="211F1F"/>
          <w:spacing w:val="-6"/>
        </w:rPr>
        <w:t xml:space="preserve"> </w:t>
      </w:r>
      <w:r>
        <w:rPr>
          <w:color w:val="211F1F"/>
        </w:rPr>
        <w:t>and</w:t>
      </w:r>
      <w:r>
        <w:rPr>
          <w:color w:val="211F1F"/>
          <w:spacing w:val="-16"/>
        </w:rPr>
        <w:t xml:space="preserve"> </w:t>
      </w:r>
      <w:r>
        <w:rPr>
          <w:color w:val="211F1F"/>
        </w:rPr>
        <w:t>Materials</w:t>
      </w:r>
      <w:r>
        <w:rPr>
          <w:color w:val="211F1F"/>
          <w:spacing w:val="-8"/>
        </w:rPr>
        <w:t xml:space="preserve"> </w:t>
      </w:r>
      <w:r>
        <w:rPr>
          <w:color w:val="211F1F"/>
        </w:rPr>
        <w:t>is</w:t>
      </w:r>
      <w:r>
        <w:rPr>
          <w:color w:val="211F1F"/>
          <w:spacing w:val="-4"/>
        </w:rPr>
        <w:t xml:space="preserve"> </w:t>
      </w:r>
      <w:r>
        <w:rPr>
          <w:color w:val="211F1F"/>
        </w:rPr>
        <w:t>a</w:t>
      </w:r>
      <w:r>
        <w:rPr>
          <w:color w:val="211F1F"/>
          <w:spacing w:val="-6"/>
        </w:rPr>
        <w:t xml:space="preserve"> </w:t>
      </w:r>
      <w:r>
        <w:rPr>
          <w:color w:val="211F1F"/>
        </w:rPr>
        <w:t>Procuring</w:t>
      </w:r>
      <w:r>
        <w:rPr>
          <w:color w:val="211F1F"/>
          <w:spacing w:val="-9"/>
        </w:rPr>
        <w:t xml:space="preserve"> </w:t>
      </w:r>
      <w:r>
        <w:rPr>
          <w:color w:val="211F1F"/>
        </w:rPr>
        <w:t>Entity's</w:t>
      </w:r>
      <w:r>
        <w:rPr>
          <w:color w:val="211F1F"/>
          <w:spacing w:val="-3"/>
        </w:rPr>
        <w:t xml:space="preserve"> </w:t>
      </w:r>
      <w:r>
        <w:rPr>
          <w:color w:val="211F1F"/>
        </w:rPr>
        <w:t>risk</w:t>
      </w:r>
      <w:r>
        <w:rPr>
          <w:color w:val="211F1F"/>
          <w:spacing w:val="-9"/>
        </w:rPr>
        <w:t xml:space="preserve"> </w:t>
      </w:r>
      <w:r>
        <w:rPr>
          <w:color w:val="211F1F"/>
        </w:rPr>
        <w:t>except</w:t>
      </w:r>
      <w:r>
        <w:rPr>
          <w:color w:val="211F1F"/>
          <w:spacing w:val="-3"/>
        </w:rPr>
        <w:t xml:space="preserve"> </w:t>
      </w:r>
      <w:r>
        <w:rPr>
          <w:color w:val="211F1F"/>
        </w:rPr>
        <w:t>loss</w:t>
      </w:r>
      <w:r>
        <w:rPr>
          <w:color w:val="211F1F"/>
          <w:spacing w:val="-3"/>
        </w:rPr>
        <w:t xml:space="preserve"> </w:t>
      </w:r>
      <w:r>
        <w:rPr>
          <w:color w:val="211F1F"/>
        </w:rPr>
        <w:t>or damage</w:t>
      </w:r>
      <w:r>
        <w:rPr>
          <w:color w:val="211F1F"/>
          <w:spacing w:val="-12"/>
        </w:rPr>
        <w:t xml:space="preserve"> </w:t>
      </w:r>
      <w:r>
        <w:rPr>
          <w:color w:val="211F1F"/>
        </w:rPr>
        <w:t>due</w:t>
      </w:r>
      <w:r>
        <w:rPr>
          <w:color w:val="211F1F"/>
          <w:spacing w:val="-11"/>
        </w:rPr>
        <w:t xml:space="preserve"> </w:t>
      </w:r>
      <w:r>
        <w:rPr>
          <w:color w:val="211F1F"/>
        </w:rPr>
        <w:t>to</w:t>
      </w:r>
    </w:p>
    <w:p w14:paraId="3EF85504" w14:textId="77777777" w:rsidR="00BB77C0" w:rsidRDefault="00370BAA">
      <w:pPr>
        <w:pStyle w:val="ListParagraph"/>
        <w:numPr>
          <w:ilvl w:val="0"/>
          <w:numId w:val="30"/>
        </w:numPr>
        <w:tabs>
          <w:tab w:val="left" w:pos="1589"/>
        </w:tabs>
        <w:spacing w:before="119"/>
        <w:ind w:hanging="528"/>
      </w:pPr>
      <w:r>
        <w:rPr>
          <w:color w:val="211F1F"/>
          <w:spacing w:val="-4"/>
        </w:rPr>
        <w:t>a</w:t>
      </w:r>
      <w:r>
        <w:rPr>
          <w:color w:val="211F1F"/>
          <w:spacing w:val="-7"/>
        </w:rPr>
        <w:t xml:space="preserve"> </w:t>
      </w:r>
      <w:r>
        <w:rPr>
          <w:color w:val="211F1F"/>
          <w:spacing w:val="-4"/>
        </w:rPr>
        <w:t>Defect</w:t>
      </w:r>
      <w:r>
        <w:rPr>
          <w:color w:val="211F1F"/>
          <w:spacing w:val="-3"/>
        </w:rPr>
        <w:t xml:space="preserve"> </w:t>
      </w:r>
      <w:r>
        <w:rPr>
          <w:color w:val="211F1F"/>
          <w:spacing w:val="-4"/>
        </w:rPr>
        <w:t>which</w:t>
      </w:r>
      <w:r>
        <w:rPr>
          <w:color w:val="211F1F"/>
          <w:spacing w:val="-10"/>
        </w:rPr>
        <w:t xml:space="preserve"> </w:t>
      </w:r>
      <w:r>
        <w:rPr>
          <w:color w:val="211F1F"/>
          <w:spacing w:val="-4"/>
        </w:rPr>
        <w:t>existed</w:t>
      </w:r>
      <w:r>
        <w:rPr>
          <w:color w:val="211F1F"/>
          <w:spacing w:val="-16"/>
        </w:rPr>
        <w:t xml:space="preserve"> </w:t>
      </w:r>
      <w:r>
        <w:rPr>
          <w:color w:val="211F1F"/>
          <w:spacing w:val="-4"/>
        </w:rPr>
        <w:t>on</w:t>
      </w:r>
      <w:r>
        <w:rPr>
          <w:color w:val="211F1F"/>
          <w:spacing w:val="-16"/>
        </w:rPr>
        <w:t xml:space="preserve"> </w:t>
      </w:r>
      <w:r>
        <w:rPr>
          <w:color w:val="211F1F"/>
          <w:spacing w:val="-4"/>
        </w:rPr>
        <w:t>the</w:t>
      </w:r>
      <w:r>
        <w:rPr>
          <w:color w:val="211F1F"/>
          <w:spacing w:val="-12"/>
        </w:rPr>
        <w:t xml:space="preserve"> </w:t>
      </w:r>
      <w:r>
        <w:rPr>
          <w:color w:val="211F1F"/>
          <w:spacing w:val="-4"/>
        </w:rPr>
        <w:t>Completion</w:t>
      </w:r>
      <w:r>
        <w:rPr>
          <w:color w:val="211F1F"/>
          <w:spacing w:val="-8"/>
        </w:rPr>
        <w:t xml:space="preserve"> </w:t>
      </w:r>
      <w:r>
        <w:rPr>
          <w:color w:val="211F1F"/>
          <w:spacing w:val="-4"/>
        </w:rPr>
        <w:t>Date,</w:t>
      </w:r>
    </w:p>
    <w:p w14:paraId="57E24934" w14:textId="77777777" w:rsidR="00BB77C0" w:rsidRDefault="00370BAA">
      <w:pPr>
        <w:pStyle w:val="ListParagraph"/>
        <w:numPr>
          <w:ilvl w:val="0"/>
          <w:numId w:val="30"/>
        </w:numPr>
        <w:tabs>
          <w:tab w:val="left" w:pos="1589"/>
        </w:tabs>
        <w:spacing w:before="44"/>
        <w:ind w:hanging="528"/>
      </w:pPr>
      <w:r>
        <w:rPr>
          <w:color w:val="211F1F"/>
          <w:spacing w:val="-4"/>
        </w:rPr>
        <w:t>an</w:t>
      </w:r>
      <w:r>
        <w:rPr>
          <w:color w:val="211F1F"/>
          <w:spacing w:val="-15"/>
        </w:rPr>
        <w:t xml:space="preserve"> </w:t>
      </w:r>
      <w:r>
        <w:rPr>
          <w:color w:val="211F1F"/>
          <w:spacing w:val="-4"/>
        </w:rPr>
        <w:t>event</w:t>
      </w:r>
      <w:r>
        <w:rPr>
          <w:color w:val="211F1F"/>
        </w:rPr>
        <w:t xml:space="preserve"> </w:t>
      </w:r>
      <w:r>
        <w:rPr>
          <w:color w:val="211F1F"/>
          <w:spacing w:val="-4"/>
        </w:rPr>
        <w:t>occurring</w:t>
      </w:r>
      <w:r>
        <w:rPr>
          <w:color w:val="211F1F"/>
          <w:spacing w:val="-13"/>
        </w:rPr>
        <w:t xml:space="preserve"> </w:t>
      </w:r>
      <w:r>
        <w:rPr>
          <w:color w:val="211F1F"/>
          <w:spacing w:val="-4"/>
        </w:rPr>
        <w:t>before</w:t>
      </w:r>
      <w:r>
        <w:rPr>
          <w:color w:val="211F1F"/>
          <w:spacing w:val="-11"/>
        </w:rPr>
        <w:t xml:space="preserve"> </w:t>
      </w:r>
      <w:r>
        <w:rPr>
          <w:color w:val="211F1F"/>
          <w:spacing w:val="-4"/>
        </w:rPr>
        <w:t>the</w:t>
      </w:r>
      <w:r>
        <w:rPr>
          <w:color w:val="211F1F"/>
          <w:spacing w:val="-15"/>
        </w:rPr>
        <w:t xml:space="preserve"> </w:t>
      </w:r>
      <w:r>
        <w:rPr>
          <w:color w:val="211F1F"/>
          <w:spacing w:val="-4"/>
        </w:rPr>
        <w:t>Completion</w:t>
      </w:r>
      <w:r>
        <w:rPr>
          <w:color w:val="211F1F"/>
          <w:spacing w:val="-7"/>
        </w:rPr>
        <w:t xml:space="preserve"> </w:t>
      </w:r>
      <w:r>
        <w:rPr>
          <w:color w:val="211F1F"/>
          <w:spacing w:val="-4"/>
        </w:rPr>
        <w:t>Date,</w:t>
      </w:r>
      <w:r>
        <w:rPr>
          <w:color w:val="211F1F"/>
          <w:spacing w:val="-11"/>
        </w:rPr>
        <w:t xml:space="preserve"> </w:t>
      </w:r>
      <w:r>
        <w:rPr>
          <w:color w:val="211F1F"/>
          <w:spacing w:val="-4"/>
        </w:rPr>
        <w:t>which</w:t>
      </w:r>
      <w:r>
        <w:rPr>
          <w:color w:val="211F1F"/>
          <w:spacing w:val="-8"/>
        </w:rPr>
        <w:t xml:space="preserve"> </w:t>
      </w:r>
      <w:r>
        <w:rPr>
          <w:color w:val="211F1F"/>
          <w:spacing w:val="-4"/>
        </w:rPr>
        <w:t>was</w:t>
      </w:r>
      <w:r>
        <w:rPr>
          <w:color w:val="211F1F"/>
          <w:spacing w:val="-2"/>
        </w:rPr>
        <w:t xml:space="preserve"> </w:t>
      </w:r>
      <w:r>
        <w:rPr>
          <w:color w:val="211F1F"/>
          <w:spacing w:val="-4"/>
        </w:rPr>
        <w:t>not</w:t>
      </w:r>
      <w:r>
        <w:rPr>
          <w:color w:val="211F1F"/>
        </w:rPr>
        <w:t xml:space="preserve"> </w:t>
      </w:r>
      <w:r>
        <w:rPr>
          <w:color w:val="211F1F"/>
          <w:spacing w:val="-4"/>
        </w:rPr>
        <w:t>itself</w:t>
      </w:r>
      <w:r>
        <w:rPr>
          <w:color w:val="211F1F"/>
          <w:spacing w:val="-10"/>
        </w:rPr>
        <w:t xml:space="preserve"> </w:t>
      </w:r>
      <w:r>
        <w:rPr>
          <w:color w:val="211F1F"/>
          <w:spacing w:val="-4"/>
        </w:rPr>
        <w:t>a</w:t>
      </w:r>
      <w:r>
        <w:rPr>
          <w:color w:val="211F1F"/>
          <w:spacing w:val="-9"/>
        </w:rPr>
        <w:t xml:space="preserve"> </w:t>
      </w:r>
      <w:r>
        <w:rPr>
          <w:color w:val="211F1F"/>
          <w:spacing w:val="-4"/>
        </w:rPr>
        <w:t>Procuring</w:t>
      </w:r>
      <w:r>
        <w:rPr>
          <w:color w:val="211F1F"/>
          <w:spacing w:val="-7"/>
        </w:rPr>
        <w:t xml:space="preserve"> </w:t>
      </w:r>
      <w:r>
        <w:rPr>
          <w:color w:val="211F1F"/>
          <w:spacing w:val="-4"/>
        </w:rPr>
        <w:t>Entity's</w:t>
      </w:r>
      <w:r>
        <w:rPr>
          <w:color w:val="211F1F"/>
          <w:spacing w:val="-13"/>
        </w:rPr>
        <w:t xml:space="preserve"> </w:t>
      </w:r>
      <w:r>
        <w:rPr>
          <w:color w:val="211F1F"/>
          <w:spacing w:val="-4"/>
        </w:rPr>
        <w:t>risk,</w:t>
      </w:r>
      <w:r>
        <w:rPr>
          <w:color w:val="211F1F"/>
          <w:spacing w:val="-5"/>
        </w:rPr>
        <w:t xml:space="preserve"> or</w:t>
      </w:r>
    </w:p>
    <w:p w14:paraId="1F1F260F" w14:textId="77777777" w:rsidR="00BB77C0" w:rsidRDefault="00370BAA">
      <w:pPr>
        <w:pStyle w:val="ListParagraph"/>
        <w:numPr>
          <w:ilvl w:val="0"/>
          <w:numId w:val="30"/>
        </w:numPr>
        <w:tabs>
          <w:tab w:val="left" w:pos="1589"/>
        </w:tabs>
        <w:spacing w:before="36"/>
        <w:ind w:hanging="533"/>
      </w:pPr>
      <w:r>
        <w:rPr>
          <w:color w:val="211F1F"/>
          <w:spacing w:val="-4"/>
        </w:rPr>
        <w:t>the</w:t>
      </w:r>
      <w:r>
        <w:rPr>
          <w:color w:val="211F1F"/>
          <w:spacing w:val="-17"/>
        </w:rPr>
        <w:t xml:space="preserve"> </w:t>
      </w:r>
      <w:r>
        <w:rPr>
          <w:color w:val="211F1F"/>
          <w:spacing w:val="-4"/>
        </w:rPr>
        <w:t>activities</w:t>
      </w:r>
      <w:r>
        <w:rPr>
          <w:color w:val="211F1F"/>
        </w:rPr>
        <w:t xml:space="preserve"> </w:t>
      </w:r>
      <w:r>
        <w:rPr>
          <w:color w:val="211F1F"/>
          <w:spacing w:val="-4"/>
        </w:rPr>
        <w:t>of</w:t>
      </w:r>
      <w:r>
        <w:rPr>
          <w:color w:val="211F1F"/>
          <w:spacing w:val="-11"/>
        </w:rPr>
        <w:t xml:space="preserve"> </w:t>
      </w:r>
      <w:r>
        <w:rPr>
          <w:color w:val="211F1F"/>
          <w:spacing w:val="-4"/>
        </w:rPr>
        <w:t>the</w:t>
      </w:r>
      <w:r>
        <w:rPr>
          <w:color w:val="211F1F"/>
          <w:spacing w:val="-16"/>
        </w:rPr>
        <w:t xml:space="preserve"> </w:t>
      </w:r>
      <w:r>
        <w:rPr>
          <w:color w:val="211F1F"/>
          <w:spacing w:val="-4"/>
        </w:rPr>
        <w:t>Contractor</w:t>
      </w:r>
      <w:r>
        <w:rPr>
          <w:color w:val="211F1F"/>
          <w:spacing w:val="-3"/>
        </w:rPr>
        <w:t xml:space="preserve"> </w:t>
      </w:r>
      <w:r>
        <w:rPr>
          <w:color w:val="211F1F"/>
          <w:spacing w:val="-4"/>
        </w:rPr>
        <w:t>on</w:t>
      </w:r>
      <w:r>
        <w:rPr>
          <w:color w:val="211F1F"/>
          <w:spacing w:val="-8"/>
        </w:rPr>
        <w:t xml:space="preserve"> </w:t>
      </w:r>
      <w:r>
        <w:rPr>
          <w:color w:val="211F1F"/>
          <w:spacing w:val="-4"/>
        </w:rPr>
        <w:t>the</w:t>
      </w:r>
      <w:r>
        <w:rPr>
          <w:color w:val="211F1F"/>
          <w:spacing w:val="-10"/>
        </w:rPr>
        <w:t xml:space="preserve"> </w:t>
      </w:r>
      <w:r>
        <w:rPr>
          <w:color w:val="211F1F"/>
          <w:spacing w:val="-4"/>
        </w:rPr>
        <w:t>Site</w:t>
      </w:r>
      <w:r>
        <w:rPr>
          <w:color w:val="211F1F"/>
          <w:spacing w:val="-16"/>
        </w:rPr>
        <w:t xml:space="preserve"> </w:t>
      </w:r>
      <w:r>
        <w:rPr>
          <w:color w:val="211F1F"/>
          <w:spacing w:val="-4"/>
        </w:rPr>
        <w:t>after</w:t>
      </w:r>
      <w:r>
        <w:rPr>
          <w:color w:val="211F1F"/>
          <w:spacing w:val="-9"/>
        </w:rPr>
        <w:t xml:space="preserve"> </w:t>
      </w:r>
      <w:r>
        <w:rPr>
          <w:color w:val="211F1F"/>
          <w:spacing w:val="-4"/>
        </w:rPr>
        <w:t>the</w:t>
      </w:r>
      <w:r>
        <w:rPr>
          <w:color w:val="211F1F"/>
          <w:spacing w:val="-10"/>
        </w:rPr>
        <w:t xml:space="preserve"> </w:t>
      </w:r>
      <w:r>
        <w:rPr>
          <w:color w:val="211F1F"/>
          <w:spacing w:val="-4"/>
        </w:rPr>
        <w:t>Completion</w:t>
      </w:r>
      <w:r>
        <w:rPr>
          <w:color w:val="211F1F"/>
          <w:spacing w:val="-6"/>
        </w:rPr>
        <w:t xml:space="preserve"> </w:t>
      </w:r>
      <w:r>
        <w:rPr>
          <w:color w:val="211F1F"/>
          <w:spacing w:val="-4"/>
        </w:rPr>
        <w:t>Date.</w:t>
      </w:r>
    </w:p>
    <w:p w14:paraId="0903E2F2" w14:textId="77777777" w:rsidR="00BB77C0" w:rsidRDefault="00370BAA">
      <w:pPr>
        <w:pStyle w:val="Heading7"/>
        <w:numPr>
          <w:ilvl w:val="0"/>
          <w:numId w:val="23"/>
        </w:numPr>
        <w:tabs>
          <w:tab w:val="left" w:pos="1075"/>
        </w:tabs>
        <w:spacing w:before="241"/>
        <w:ind w:left="1075" w:hanging="355"/>
        <w:jc w:val="left"/>
      </w:pPr>
      <w:bookmarkStart w:id="194" w:name="12._Contractor's_Risks"/>
      <w:bookmarkEnd w:id="194"/>
      <w:r>
        <w:rPr>
          <w:color w:val="211F1F"/>
          <w:spacing w:val="-2"/>
        </w:rPr>
        <w:t>Contractor's</w:t>
      </w:r>
      <w:r>
        <w:rPr>
          <w:color w:val="211F1F"/>
          <w:spacing w:val="-13"/>
        </w:rPr>
        <w:t xml:space="preserve"> </w:t>
      </w:r>
      <w:r>
        <w:rPr>
          <w:color w:val="211F1F"/>
          <w:spacing w:val="-4"/>
        </w:rPr>
        <w:t>Risks</w:t>
      </w:r>
    </w:p>
    <w:p w14:paraId="75261B0D" w14:textId="77777777" w:rsidR="00BB77C0" w:rsidRDefault="00370BAA">
      <w:pPr>
        <w:pStyle w:val="ListParagraph"/>
        <w:numPr>
          <w:ilvl w:val="1"/>
          <w:numId w:val="23"/>
        </w:numPr>
        <w:tabs>
          <w:tab w:val="left" w:pos="1163"/>
          <w:tab w:val="left" w:pos="1171"/>
        </w:tabs>
        <w:spacing w:before="197" w:line="230" w:lineRule="auto"/>
        <w:ind w:right="841" w:hanging="360"/>
        <w:jc w:val="both"/>
        <w:rPr>
          <w:color w:val="211F1F"/>
        </w:rPr>
      </w:pPr>
      <w:r>
        <w:rPr>
          <w:color w:val="211F1F"/>
          <w:spacing w:val="-2"/>
        </w:rPr>
        <w:t>From</w:t>
      </w:r>
      <w:r>
        <w:rPr>
          <w:color w:val="211F1F"/>
          <w:spacing w:val="-12"/>
        </w:rPr>
        <w:t xml:space="preserve"> </w:t>
      </w:r>
      <w:r>
        <w:rPr>
          <w:color w:val="211F1F"/>
          <w:spacing w:val="-2"/>
        </w:rPr>
        <w:t>the</w:t>
      </w:r>
      <w:r>
        <w:rPr>
          <w:color w:val="211F1F"/>
          <w:spacing w:val="-12"/>
        </w:rPr>
        <w:t xml:space="preserve"> </w:t>
      </w:r>
      <w:r>
        <w:rPr>
          <w:color w:val="211F1F"/>
          <w:spacing w:val="-2"/>
        </w:rPr>
        <w:t>Starting</w:t>
      </w:r>
      <w:r>
        <w:rPr>
          <w:color w:val="211F1F"/>
          <w:spacing w:val="-9"/>
        </w:rPr>
        <w:t xml:space="preserve"> </w:t>
      </w:r>
      <w:r>
        <w:rPr>
          <w:color w:val="211F1F"/>
          <w:spacing w:val="-2"/>
        </w:rPr>
        <w:t>Date</w:t>
      </w:r>
      <w:r>
        <w:rPr>
          <w:color w:val="211F1F"/>
          <w:spacing w:val="-12"/>
        </w:rPr>
        <w:t xml:space="preserve"> </w:t>
      </w:r>
      <w:r>
        <w:rPr>
          <w:color w:val="211F1F"/>
          <w:spacing w:val="-2"/>
        </w:rPr>
        <w:t>until</w:t>
      </w:r>
      <w:r>
        <w:rPr>
          <w:color w:val="211F1F"/>
          <w:spacing w:val="-11"/>
        </w:rPr>
        <w:t xml:space="preserve"> </w:t>
      </w:r>
      <w:r>
        <w:rPr>
          <w:color w:val="211F1F"/>
          <w:spacing w:val="-2"/>
        </w:rPr>
        <w:t>the</w:t>
      </w:r>
      <w:r>
        <w:rPr>
          <w:color w:val="211F1F"/>
          <w:spacing w:val="-9"/>
        </w:rPr>
        <w:t xml:space="preserve"> </w:t>
      </w:r>
      <w:r>
        <w:rPr>
          <w:color w:val="211F1F"/>
          <w:spacing w:val="-2"/>
        </w:rPr>
        <w:t>Defects</w:t>
      </w:r>
      <w:r>
        <w:rPr>
          <w:color w:val="211F1F"/>
          <w:spacing w:val="-7"/>
        </w:rPr>
        <w:t xml:space="preserve"> </w:t>
      </w:r>
      <w:r>
        <w:rPr>
          <w:color w:val="211F1F"/>
          <w:spacing w:val="-2"/>
        </w:rPr>
        <w:t>Liability</w:t>
      </w:r>
      <w:r>
        <w:rPr>
          <w:color w:val="211F1F"/>
          <w:spacing w:val="-12"/>
        </w:rPr>
        <w:t xml:space="preserve"> </w:t>
      </w:r>
      <w:r>
        <w:rPr>
          <w:color w:val="211F1F"/>
          <w:spacing w:val="-2"/>
        </w:rPr>
        <w:t>Certificate</w:t>
      </w:r>
      <w:r>
        <w:rPr>
          <w:color w:val="211F1F"/>
          <w:spacing w:val="-8"/>
        </w:rPr>
        <w:t xml:space="preserve"> </w:t>
      </w:r>
      <w:r>
        <w:rPr>
          <w:color w:val="211F1F"/>
          <w:spacing w:val="-2"/>
        </w:rPr>
        <w:t>has</w:t>
      </w:r>
      <w:r>
        <w:rPr>
          <w:color w:val="211F1F"/>
          <w:spacing w:val="-7"/>
        </w:rPr>
        <w:t xml:space="preserve"> </w:t>
      </w:r>
      <w:r>
        <w:rPr>
          <w:color w:val="211F1F"/>
          <w:spacing w:val="-2"/>
        </w:rPr>
        <w:t>been</w:t>
      </w:r>
      <w:r>
        <w:rPr>
          <w:color w:val="211F1F"/>
          <w:spacing w:val="-7"/>
        </w:rPr>
        <w:t xml:space="preserve"> </w:t>
      </w:r>
      <w:r>
        <w:rPr>
          <w:color w:val="211F1F"/>
          <w:spacing w:val="-2"/>
        </w:rPr>
        <w:t>issued,</w:t>
      </w:r>
      <w:r>
        <w:rPr>
          <w:color w:val="211F1F"/>
          <w:spacing w:val="-4"/>
        </w:rPr>
        <w:t xml:space="preserve"> </w:t>
      </w:r>
      <w:r>
        <w:rPr>
          <w:color w:val="211F1F"/>
          <w:spacing w:val="-2"/>
        </w:rPr>
        <w:t>the</w:t>
      </w:r>
      <w:r>
        <w:rPr>
          <w:color w:val="211F1F"/>
          <w:spacing w:val="-12"/>
        </w:rPr>
        <w:t xml:space="preserve"> </w:t>
      </w:r>
      <w:r>
        <w:rPr>
          <w:color w:val="211F1F"/>
          <w:spacing w:val="-2"/>
        </w:rPr>
        <w:t>risks</w:t>
      </w:r>
      <w:r>
        <w:rPr>
          <w:color w:val="211F1F"/>
          <w:spacing w:val="-7"/>
        </w:rPr>
        <w:t xml:space="preserve"> </w:t>
      </w:r>
      <w:r>
        <w:rPr>
          <w:color w:val="211F1F"/>
          <w:spacing w:val="-2"/>
        </w:rPr>
        <w:t>of</w:t>
      </w:r>
      <w:r>
        <w:rPr>
          <w:color w:val="211F1F"/>
          <w:spacing w:val="-9"/>
        </w:rPr>
        <w:t xml:space="preserve"> </w:t>
      </w:r>
      <w:r>
        <w:rPr>
          <w:color w:val="211F1F"/>
          <w:spacing w:val="-2"/>
        </w:rPr>
        <w:t>personal</w:t>
      </w:r>
      <w:r>
        <w:rPr>
          <w:color w:val="211F1F"/>
          <w:spacing w:val="-11"/>
        </w:rPr>
        <w:t xml:space="preserve"> </w:t>
      </w:r>
      <w:r>
        <w:rPr>
          <w:color w:val="211F1F"/>
          <w:spacing w:val="-2"/>
        </w:rPr>
        <w:t>injury,</w:t>
      </w:r>
      <w:r>
        <w:rPr>
          <w:color w:val="211F1F"/>
          <w:spacing w:val="-4"/>
        </w:rPr>
        <w:t xml:space="preserve"> </w:t>
      </w:r>
      <w:r>
        <w:rPr>
          <w:color w:val="211F1F"/>
          <w:spacing w:val="-2"/>
        </w:rPr>
        <w:t xml:space="preserve">death, </w:t>
      </w:r>
      <w:r>
        <w:rPr>
          <w:color w:val="211F1F"/>
        </w:rPr>
        <w:t>and</w:t>
      </w:r>
      <w:r>
        <w:rPr>
          <w:color w:val="211F1F"/>
          <w:spacing w:val="-14"/>
        </w:rPr>
        <w:t xml:space="preserve"> </w:t>
      </w:r>
      <w:r>
        <w:rPr>
          <w:color w:val="211F1F"/>
        </w:rPr>
        <w:t>loss</w:t>
      </w:r>
      <w:r>
        <w:rPr>
          <w:color w:val="211F1F"/>
          <w:spacing w:val="-9"/>
        </w:rPr>
        <w:t xml:space="preserve"> </w:t>
      </w:r>
      <w:r>
        <w:rPr>
          <w:color w:val="211F1F"/>
        </w:rPr>
        <w:t>of</w:t>
      </w:r>
      <w:r>
        <w:rPr>
          <w:color w:val="211F1F"/>
          <w:spacing w:val="-10"/>
        </w:rPr>
        <w:t xml:space="preserve"> </w:t>
      </w:r>
      <w:r>
        <w:rPr>
          <w:color w:val="211F1F"/>
        </w:rPr>
        <w:t>or</w:t>
      </w:r>
      <w:r>
        <w:rPr>
          <w:color w:val="211F1F"/>
          <w:spacing w:val="-5"/>
        </w:rPr>
        <w:t xml:space="preserve"> </w:t>
      </w:r>
      <w:r>
        <w:rPr>
          <w:color w:val="211F1F"/>
        </w:rPr>
        <w:t>damage</w:t>
      </w:r>
      <w:r>
        <w:rPr>
          <w:color w:val="211F1F"/>
          <w:spacing w:val="-14"/>
        </w:rPr>
        <w:t xml:space="preserve"> </w:t>
      </w:r>
      <w:r>
        <w:rPr>
          <w:color w:val="211F1F"/>
        </w:rPr>
        <w:t>to</w:t>
      </w:r>
      <w:r>
        <w:rPr>
          <w:color w:val="211F1F"/>
          <w:spacing w:val="-12"/>
        </w:rPr>
        <w:t xml:space="preserve"> </w:t>
      </w:r>
      <w:r>
        <w:rPr>
          <w:color w:val="211F1F"/>
        </w:rPr>
        <w:t>property</w:t>
      </w:r>
      <w:r>
        <w:rPr>
          <w:color w:val="211F1F"/>
          <w:spacing w:val="-11"/>
        </w:rPr>
        <w:t xml:space="preserve"> </w:t>
      </w:r>
      <w:r>
        <w:rPr>
          <w:color w:val="211F1F"/>
        </w:rPr>
        <w:t>(including,</w:t>
      </w:r>
      <w:r>
        <w:rPr>
          <w:color w:val="211F1F"/>
          <w:spacing w:val="-5"/>
        </w:rPr>
        <w:t xml:space="preserve"> </w:t>
      </w:r>
      <w:r>
        <w:rPr>
          <w:color w:val="211F1F"/>
        </w:rPr>
        <w:t>without</w:t>
      </w:r>
      <w:r>
        <w:rPr>
          <w:color w:val="211F1F"/>
          <w:spacing w:val="-7"/>
        </w:rPr>
        <w:t xml:space="preserve"> </w:t>
      </w:r>
      <w:r>
        <w:rPr>
          <w:color w:val="211F1F"/>
        </w:rPr>
        <w:t>limitation,</w:t>
      </w:r>
      <w:r>
        <w:rPr>
          <w:color w:val="211F1F"/>
          <w:spacing w:val="-10"/>
        </w:rPr>
        <w:t xml:space="preserve"> </w:t>
      </w:r>
      <w:r>
        <w:rPr>
          <w:color w:val="211F1F"/>
        </w:rPr>
        <w:t>the</w:t>
      </w:r>
      <w:r>
        <w:rPr>
          <w:color w:val="211F1F"/>
          <w:spacing w:val="-14"/>
        </w:rPr>
        <w:t xml:space="preserve"> </w:t>
      </w:r>
      <w:r>
        <w:rPr>
          <w:color w:val="211F1F"/>
        </w:rPr>
        <w:t>Works,</w:t>
      </w:r>
      <w:r>
        <w:rPr>
          <w:color w:val="211F1F"/>
          <w:spacing w:val="-9"/>
        </w:rPr>
        <w:t xml:space="preserve"> </w:t>
      </w:r>
      <w:r>
        <w:rPr>
          <w:color w:val="211F1F"/>
        </w:rPr>
        <w:t>Plant,</w:t>
      </w:r>
      <w:r>
        <w:rPr>
          <w:color w:val="211F1F"/>
          <w:spacing w:val="-10"/>
        </w:rPr>
        <w:t xml:space="preserve"> </w:t>
      </w:r>
      <w:r>
        <w:rPr>
          <w:color w:val="211F1F"/>
        </w:rPr>
        <w:t>Materials,</w:t>
      </w:r>
      <w:r>
        <w:rPr>
          <w:color w:val="211F1F"/>
          <w:spacing w:val="-10"/>
        </w:rPr>
        <w:t xml:space="preserve"> </w:t>
      </w:r>
      <w:r>
        <w:rPr>
          <w:color w:val="211F1F"/>
        </w:rPr>
        <w:t>and</w:t>
      </w:r>
      <w:r>
        <w:rPr>
          <w:color w:val="211F1F"/>
          <w:spacing w:val="-12"/>
        </w:rPr>
        <w:t xml:space="preserve"> </w:t>
      </w:r>
      <w:r>
        <w:rPr>
          <w:color w:val="211F1F"/>
        </w:rPr>
        <w:t>Equipment) which are not Procuring Entity's risks are Contractor's risks.</w:t>
      </w:r>
    </w:p>
    <w:p w14:paraId="51E8CA51" w14:textId="77777777" w:rsidR="00BB77C0" w:rsidRDefault="00370BAA">
      <w:pPr>
        <w:pStyle w:val="Heading7"/>
        <w:numPr>
          <w:ilvl w:val="0"/>
          <w:numId w:val="23"/>
        </w:numPr>
        <w:tabs>
          <w:tab w:val="left" w:pos="1075"/>
        </w:tabs>
        <w:spacing w:before="243"/>
        <w:ind w:left="1075" w:hanging="355"/>
        <w:jc w:val="left"/>
      </w:pPr>
      <w:bookmarkStart w:id="195" w:name="13._Insurance"/>
      <w:bookmarkEnd w:id="195"/>
      <w:r>
        <w:rPr>
          <w:color w:val="211F1F"/>
          <w:spacing w:val="-2"/>
        </w:rPr>
        <w:t>Insurance</w:t>
      </w:r>
    </w:p>
    <w:p w14:paraId="6AA6645C" w14:textId="77777777" w:rsidR="00BB77C0" w:rsidRDefault="00370BAA">
      <w:pPr>
        <w:pStyle w:val="ListParagraph"/>
        <w:numPr>
          <w:ilvl w:val="1"/>
          <w:numId w:val="23"/>
        </w:numPr>
        <w:tabs>
          <w:tab w:val="left" w:pos="1162"/>
          <w:tab w:val="left" w:pos="1166"/>
        </w:tabs>
        <w:spacing w:before="192" w:line="230" w:lineRule="auto"/>
        <w:ind w:left="1166" w:right="836"/>
        <w:jc w:val="both"/>
        <w:rPr>
          <w:color w:val="211F1F"/>
        </w:rPr>
      </w:pPr>
      <w:r>
        <w:rPr>
          <w:color w:val="211F1F"/>
          <w:spacing w:val="-2"/>
        </w:rPr>
        <w:t>The</w:t>
      </w:r>
      <w:r>
        <w:rPr>
          <w:color w:val="211F1F"/>
          <w:spacing w:val="-14"/>
        </w:rPr>
        <w:t xml:space="preserve"> </w:t>
      </w:r>
      <w:r>
        <w:rPr>
          <w:color w:val="211F1F"/>
          <w:spacing w:val="-2"/>
        </w:rPr>
        <w:t>Contractor</w:t>
      </w:r>
      <w:r>
        <w:rPr>
          <w:color w:val="211F1F"/>
          <w:spacing w:val="-12"/>
        </w:rPr>
        <w:t xml:space="preserve"> </w:t>
      </w:r>
      <w:r>
        <w:rPr>
          <w:color w:val="211F1F"/>
          <w:spacing w:val="-2"/>
        </w:rPr>
        <w:t>shall</w:t>
      </w:r>
      <w:r>
        <w:rPr>
          <w:color w:val="211F1F"/>
          <w:spacing w:val="-12"/>
        </w:rPr>
        <w:t xml:space="preserve"> </w:t>
      </w:r>
      <w:r>
        <w:rPr>
          <w:color w:val="211F1F"/>
          <w:spacing w:val="-2"/>
        </w:rPr>
        <w:t>provide,</w:t>
      </w:r>
      <w:r>
        <w:rPr>
          <w:color w:val="211F1F"/>
          <w:spacing w:val="-11"/>
        </w:rPr>
        <w:t xml:space="preserve"> </w:t>
      </w:r>
      <w:r>
        <w:rPr>
          <w:color w:val="211F1F"/>
          <w:spacing w:val="-2"/>
        </w:rPr>
        <w:t>in</w:t>
      </w:r>
      <w:r>
        <w:rPr>
          <w:color w:val="211F1F"/>
          <w:spacing w:val="-12"/>
        </w:rPr>
        <w:t xml:space="preserve"> </w:t>
      </w:r>
      <w:r>
        <w:rPr>
          <w:color w:val="211F1F"/>
          <w:spacing w:val="-2"/>
        </w:rPr>
        <w:t>the</w:t>
      </w:r>
      <w:r>
        <w:rPr>
          <w:color w:val="211F1F"/>
          <w:spacing w:val="-12"/>
        </w:rPr>
        <w:t xml:space="preserve"> </w:t>
      </w:r>
      <w:r>
        <w:rPr>
          <w:color w:val="211F1F"/>
          <w:spacing w:val="-2"/>
        </w:rPr>
        <w:t>joint</w:t>
      </w:r>
      <w:r>
        <w:rPr>
          <w:color w:val="211F1F"/>
          <w:spacing w:val="-12"/>
        </w:rPr>
        <w:t xml:space="preserve"> </w:t>
      </w:r>
      <w:r>
        <w:rPr>
          <w:color w:val="211F1F"/>
          <w:spacing w:val="-2"/>
        </w:rPr>
        <w:t>names</w:t>
      </w:r>
      <w:r>
        <w:rPr>
          <w:color w:val="211F1F"/>
          <w:spacing w:val="-11"/>
        </w:rPr>
        <w:t xml:space="preserve"> </w:t>
      </w:r>
      <w:r>
        <w:rPr>
          <w:color w:val="211F1F"/>
          <w:spacing w:val="-2"/>
        </w:rPr>
        <w:t>of</w:t>
      </w:r>
      <w:r>
        <w:rPr>
          <w:color w:val="211F1F"/>
          <w:spacing w:val="-12"/>
        </w:rPr>
        <w:t xml:space="preserve"> </w:t>
      </w:r>
      <w:r>
        <w:rPr>
          <w:color w:val="211F1F"/>
          <w:spacing w:val="-2"/>
        </w:rPr>
        <w:t>the</w:t>
      </w:r>
      <w:r>
        <w:rPr>
          <w:color w:val="211F1F"/>
          <w:spacing w:val="-12"/>
        </w:rPr>
        <w:t xml:space="preserve"> </w:t>
      </w:r>
      <w:r>
        <w:rPr>
          <w:color w:val="211F1F"/>
          <w:spacing w:val="-2"/>
        </w:rPr>
        <w:t>Procuring</w:t>
      </w:r>
      <w:r>
        <w:rPr>
          <w:color w:val="211F1F"/>
          <w:spacing w:val="-12"/>
        </w:rPr>
        <w:t xml:space="preserve"> </w:t>
      </w:r>
      <w:r>
        <w:rPr>
          <w:color w:val="211F1F"/>
          <w:spacing w:val="-2"/>
        </w:rPr>
        <w:t>Entity</w:t>
      </w:r>
      <w:r>
        <w:rPr>
          <w:color w:val="211F1F"/>
          <w:spacing w:val="-11"/>
        </w:rPr>
        <w:t xml:space="preserve"> </w:t>
      </w:r>
      <w:r>
        <w:rPr>
          <w:color w:val="211F1F"/>
          <w:spacing w:val="-2"/>
        </w:rPr>
        <w:t>and</w:t>
      </w:r>
      <w:r>
        <w:rPr>
          <w:color w:val="211F1F"/>
          <w:spacing w:val="-12"/>
        </w:rPr>
        <w:t xml:space="preserve"> </w:t>
      </w:r>
      <w:r>
        <w:rPr>
          <w:color w:val="211F1F"/>
          <w:spacing w:val="-2"/>
        </w:rPr>
        <w:t>the</w:t>
      </w:r>
      <w:r>
        <w:rPr>
          <w:color w:val="211F1F"/>
          <w:spacing w:val="-12"/>
        </w:rPr>
        <w:t xml:space="preserve"> </w:t>
      </w:r>
      <w:r>
        <w:rPr>
          <w:color w:val="211F1F"/>
          <w:spacing w:val="-2"/>
        </w:rPr>
        <w:t>Contractor,</w:t>
      </w:r>
      <w:r>
        <w:rPr>
          <w:color w:val="211F1F"/>
          <w:spacing w:val="-12"/>
        </w:rPr>
        <w:t xml:space="preserve"> </w:t>
      </w:r>
      <w:r>
        <w:rPr>
          <w:color w:val="211F1F"/>
          <w:spacing w:val="-2"/>
        </w:rPr>
        <w:t>insurance</w:t>
      </w:r>
      <w:r>
        <w:rPr>
          <w:color w:val="211F1F"/>
          <w:spacing w:val="-11"/>
        </w:rPr>
        <w:t xml:space="preserve"> </w:t>
      </w:r>
      <w:r>
        <w:rPr>
          <w:color w:val="211F1F"/>
          <w:spacing w:val="-2"/>
        </w:rPr>
        <w:t xml:space="preserve">coverfrom </w:t>
      </w:r>
      <w:r>
        <w:rPr>
          <w:color w:val="211F1F"/>
          <w:spacing w:val="-4"/>
        </w:rPr>
        <w:t>the</w:t>
      </w:r>
      <w:r>
        <w:rPr>
          <w:color w:val="211F1F"/>
          <w:spacing w:val="-10"/>
        </w:rPr>
        <w:t xml:space="preserve"> </w:t>
      </w:r>
      <w:r>
        <w:rPr>
          <w:color w:val="211F1F"/>
          <w:spacing w:val="-4"/>
        </w:rPr>
        <w:t>Start</w:t>
      </w:r>
      <w:r>
        <w:rPr>
          <w:color w:val="211F1F"/>
          <w:spacing w:val="-10"/>
        </w:rPr>
        <w:t xml:space="preserve"> </w:t>
      </w:r>
      <w:r>
        <w:rPr>
          <w:color w:val="211F1F"/>
          <w:spacing w:val="-4"/>
        </w:rPr>
        <w:t>Date</w:t>
      </w:r>
      <w:r>
        <w:rPr>
          <w:color w:val="211F1F"/>
          <w:spacing w:val="-10"/>
        </w:rPr>
        <w:t xml:space="preserve"> </w:t>
      </w:r>
      <w:r>
        <w:rPr>
          <w:color w:val="211F1F"/>
          <w:spacing w:val="-4"/>
        </w:rPr>
        <w:t>to</w:t>
      </w:r>
      <w:r>
        <w:rPr>
          <w:color w:val="211F1F"/>
          <w:spacing w:val="-9"/>
        </w:rPr>
        <w:t xml:space="preserve"> </w:t>
      </w:r>
      <w:r>
        <w:rPr>
          <w:color w:val="211F1F"/>
          <w:spacing w:val="-4"/>
        </w:rPr>
        <w:t>the</w:t>
      </w:r>
      <w:r>
        <w:rPr>
          <w:color w:val="211F1F"/>
          <w:spacing w:val="-6"/>
        </w:rPr>
        <w:t xml:space="preserve"> </w:t>
      </w:r>
      <w:r>
        <w:rPr>
          <w:color w:val="211F1F"/>
          <w:spacing w:val="-4"/>
        </w:rPr>
        <w:t>end of</w:t>
      </w:r>
      <w:r>
        <w:rPr>
          <w:color w:val="211F1F"/>
          <w:spacing w:val="-10"/>
        </w:rPr>
        <w:t xml:space="preserve"> </w:t>
      </w:r>
      <w:r>
        <w:rPr>
          <w:color w:val="211F1F"/>
          <w:spacing w:val="-4"/>
        </w:rPr>
        <w:t>the</w:t>
      </w:r>
      <w:r>
        <w:rPr>
          <w:color w:val="211F1F"/>
          <w:spacing w:val="-5"/>
        </w:rPr>
        <w:t xml:space="preserve"> </w:t>
      </w:r>
      <w:r>
        <w:rPr>
          <w:color w:val="211F1F"/>
          <w:spacing w:val="-4"/>
        </w:rPr>
        <w:t>Defects Liability</w:t>
      </w:r>
      <w:r>
        <w:rPr>
          <w:color w:val="211F1F"/>
          <w:spacing w:val="-10"/>
        </w:rPr>
        <w:t xml:space="preserve"> </w:t>
      </w:r>
      <w:r>
        <w:rPr>
          <w:color w:val="211F1F"/>
          <w:spacing w:val="-4"/>
        </w:rPr>
        <w:t>Period,</w:t>
      </w:r>
      <w:r>
        <w:rPr>
          <w:color w:val="211F1F"/>
          <w:spacing w:val="4"/>
        </w:rPr>
        <w:t xml:space="preserve"> </w:t>
      </w:r>
      <w:r>
        <w:rPr>
          <w:color w:val="211F1F"/>
          <w:spacing w:val="-4"/>
        </w:rPr>
        <w:t>in</w:t>
      </w:r>
      <w:r>
        <w:rPr>
          <w:color w:val="211F1F"/>
          <w:spacing w:val="-9"/>
        </w:rPr>
        <w:t xml:space="preserve"> </w:t>
      </w:r>
      <w:r>
        <w:rPr>
          <w:color w:val="211F1F"/>
          <w:spacing w:val="-4"/>
        </w:rPr>
        <w:t>the</w:t>
      </w:r>
      <w:r>
        <w:rPr>
          <w:color w:val="211F1F"/>
          <w:spacing w:val="-10"/>
        </w:rPr>
        <w:t xml:space="preserve"> </w:t>
      </w:r>
      <w:r>
        <w:rPr>
          <w:color w:val="211F1F"/>
          <w:spacing w:val="-4"/>
        </w:rPr>
        <w:t>amounts</w:t>
      </w:r>
      <w:r>
        <w:rPr>
          <w:color w:val="211F1F"/>
          <w:spacing w:val="-9"/>
        </w:rPr>
        <w:t xml:space="preserve"> </w:t>
      </w:r>
      <w:r>
        <w:rPr>
          <w:color w:val="211F1F"/>
          <w:spacing w:val="-4"/>
        </w:rPr>
        <w:t xml:space="preserve">and deductibles </w:t>
      </w:r>
      <w:r>
        <w:rPr>
          <w:b/>
          <w:color w:val="211F1F"/>
          <w:spacing w:val="-4"/>
        </w:rPr>
        <w:t>stated</w:t>
      </w:r>
      <w:r>
        <w:rPr>
          <w:b/>
          <w:color w:val="211F1F"/>
          <w:spacing w:val="-10"/>
        </w:rPr>
        <w:t xml:space="preserve"> </w:t>
      </w:r>
      <w:r>
        <w:rPr>
          <w:b/>
          <w:color w:val="211F1F"/>
          <w:spacing w:val="-4"/>
        </w:rPr>
        <w:t>in</w:t>
      </w:r>
      <w:r>
        <w:rPr>
          <w:b/>
          <w:color w:val="211F1F"/>
          <w:spacing w:val="-7"/>
        </w:rPr>
        <w:t xml:space="preserve"> </w:t>
      </w:r>
      <w:r>
        <w:rPr>
          <w:b/>
          <w:color w:val="211F1F"/>
          <w:spacing w:val="-4"/>
        </w:rPr>
        <w:t>the</w:t>
      </w:r>
      <w:r>
        <w:rPr>
          <w:b/>
          <w:color w:val="211F1F"/>
          <w:spacing w:val="-7"/>
        </w:rPr>
        <w:t xml:space="preserve"> </w:t>
      </w:r>
      <w:r>
        <w:rPr>
          <w:b/>
          <w:color w:val="211F1F"/>
          <w:spacing w:val="-4"/>
        </w:rPr>
        <w:t>SCC</w:t>
      </w:r>
      <w:r>
        <w:rPr>
          <w:b/>
          <w:color w:val="211F1F"/>
          <w:spacing w:val="-10"/>
        </w:rPr>
        <w:t xml:space="preserve"> </w:t>
      </w:r>
      <w:r>
        <w:rPr>
          <w:color w:val="211F1F"/>
          <w:spacing w:val="-4"/>
        </w:rPr>
        <w:t>for</w:t>
      </w:r>
      <w:r>
        <w:rPr>
          <w:color w:val="211F1F"/>
          <w:spacing w:val="-5"/>
        </w:rPr>
        <w:t xml:space="preserve"> </w:t>
      </w:r>
      <w:r>
        <w:rPr>
          <w:color w:val="211F1F"/>
          <w:spacing w:val="-4"/>
        </w:rPr>
        <w:t xml:space="preserve">the </w:t>
      </w:r>
      <w:r>
        <w:rPr>
          <w:color w:val="211F1F"/>
        </w:rPr>
        <w:t>following events which are due to the Contractor's risks:</w:t>
      </w:r>
    </w:p>
    <w:p w14:paraId="0C64FC96" w14:textId="77777777" w:rsidR="00BB77C0" w:rsidRDefault="00370BAA">
      <w:pPr>
        <w:pStyle w:val="ListParagraph"/>
        <w:numPr>
          <w:ilvl w:val="0"/>
          <w:numId w:val="29"/>
        </w:numPr>
        <w:tabs>
          <w:tab w:val="left" w:pos="1588"/>
        </w:tabs>
        <w:spacing w:before="118"/>
        <w:ind w:left="1588" w:hanging="330"/>
        <w:jc w:val="both"/>
      </w:pPr>
      <w:r>
        <w:rPr>
          <w:color w:val="211F1F"/>
          <w:spacing w:val="-4"/>
        </w:rPr>
        <w:t>loss</w:t>
      </w:r>
      <w:r>
        <w:rPr>
          <w:color w:val="211F1F"/>
          <w:spacing w:val="-9"/>
        </w:rPr>
        <w:t xml:space="preserve"> </w:t>
      </w:r>
      <w:r>
        <w:rPr>
          <w:color w:val="211F1F"/>
          <w:spacing w:val="-4"/>
        </w:rPr>
        <w:t>of</w:t>
      </w:r>
      <w:r>
        <w:rPr>
          <w:color w:val="211F1F"/>
          <w:spacing w:val="-11"/>
        </w:rPr>
        <w:t xml:space="preserve"> </w:t>
      </w:r>
      <w:r>
        <w:rPr>
          <w:color w:val="211F1F"/>
          <w:spacing w:val="-4"/>
        </w:rPr>
        <w:t>or</w:t>
      </w:r>
      <w:r>
        <w:rPr>
          <w:color w:val="211F1F"/>
          <w:spacing w:val="-12"/>
        </w:rPr>
        <w:t xml:space="preserve"> </w:t>
      </w:r>
      <w:r>
        <w:rPr>
          <w:color w:val="211F1F"/>
          <w:spacing w:val="-4"/>
        </w:rPr>
        <w:t>damage</w:t>
      </w:r>
      <w:r>
        <w:rPr>
          <w:color w:val="211F1F"/>
          <w:spacing w:val="-16"/>
        </w:rPr>
        <w:t xml:space="preserve"> </w:t>
      </w:r>
      <w:r>
        <w:rPr>
          <w:color w:val="211F1F"/>
          <w:spacing w:val="-4"/>
        </w:rPr>
        <w:t>to</w:t>
      </w:r>
      <w:r>
        <w:rPr>
          <w:color w:val="211F1F"/>
          <w:spacing w:val="-16"/>
        </w:rPr>
        <w:t xml:space="preserve"> </w:t>
      </w:r>
      <w:r>
        <w:rPr>
          <w:color w:val="211F1F"/>
          <w:spacing w:val="-4"/>
        </w:rPr>
        <w:t>the</w:t>
      </w:r>
      <w:r>
        <w:rPr>
          <w:color w:val="211F1F"/>
          <w:spacing w:val="-22"/>
        </w:rPr>
        <w:t xml:space="preserve"> </w:t>
      </w:r>
      <w:r>
        <w:rPr>
          <w:color w:val="211F1F"/>
          <w:spacing w:val="-4"/>
        </w:rPr>
        <w:t>Works,</w:t>
      </w:r>
      <w:r>
        <w:rPr>
          <w:color w:val="211F1F"/>
          <w:spacing w:val="-18"/>
        </w:rPr>
        <w:t xml:space="preserve"> </w:t>
      </w:r>
      <w:r>
        <w:rPr>
          <w:color w:val="211F1F"/>
          <w:spacing w:val="-4"/>
        </w:rPr>
        <w:t>Plant,</w:t>
      </w:r>
      <w:r>
        <w:rPr>
          <w:color w:val="211F1F"/>
          <w:spacing w:val="-11"/>
        </w:rPr>
        <w:t xml:space="preserve"> </w:t>
      </w:r>
      <w:r>
        <w:rPr>
          <w:color w:val="211F1F"/>
          <w:spacing w:val="-4"/>
        </w:rPr>
        <w:t>and</w:t>
      </w:r>
      <w:r>
        <w:rPr>
          <w:color w:val="211F1F"/>
          <w:spacing w:val="-20"/>
        </w:rPr>
        <w:t xml:space="preserve"> </w:t>
      </w:r>
      <w:r>
        <w:rPr>
          <w:color w:val="211F1F"/>
          <w:spacing w:val="-4"/>
        </w:rPr>
        <w:t>Materials;</w:t>
      </w:r>
    </w:p>
    <w:p w14:paraId="193AADD5" w14:textId="77777777" w:rsidR="00BB77C0" w:rsidRDefault="00370BAA">
      <w:pPr>
        <w:pStyle w:val="ListParagraph"/>
        <w:numPr>
          <w:ilvl w:val="0"/>
          <w:numId w:val="29"/>
        </w:numPr>
        <w:tabs>
          <w:tab w:val="left" w:pos="1588"/>
        </w:tabs>
        <w:spacing w:before="40"/>
        <w:ind w:left="1588" w:hanging="330"/>
        <w:jc w:val="both"/>
      </w:pPr>
      <w:r>
        <w:rPr>
          <w:color w:val="211F1F"/>
          <w:spacing w:val="-4"/>
        </w:rPr>
        <w:t>loss</w:t>
      </w:r>
      <w:r>
        <w:rPr>
          <w:color w:val="211F1F"/>
          <w:spacing w:val="-11"/>
        </w:rPr>
        <w:t xml:space="preserve"> </w:t>
      </w:r>
      <w:r>
        <w:rPr>
          <w:color w:val="211F1F"/>
          <w:spacing w:val="-4"/>
        </w:rPr>
        <w:t>of</w:t>
      </w:r>
      <w:r>
        <w:rPr>
          <w:color w:val="211F1F"/>
          <w:spacing w:val="-14"/>
        </w:rPr>
        <w:t xml:space="preserve"> </w:t>
      </w:r>
      <w:r>
        <w:rPr>
          <w:color w:val="211F1F"/>
          <w:spacing w:val="-4"/>
        </w:rPr>
        <w:t>or</w:t>
      </w:r>
      <w:r>
        <w:rPr>
          <w:color w:val="211F1F"/>
          <w:spacing w:val="-8"/>
        </w:rPr>
        <w:t xml:space="preserve"> </w:t>
      </w:r>
      <w:r>
        <w:rPr>
          <w:color w:val="211F1F"/>
          <w:spacing w:val="-4"/>
        </w:rPr>
        <w:t>damage</w:t>
      </w:r>
      <w:r>
        <w:rPr>
          <w:color w:val="211F1F"/>
          <w:spacing w:val="-18"/>
        </w:rPr>
        <w:t xml:space="preserve"> </w:t>
      </w:r>
      <w:r>
        <w:rPr>
          <w:color w:val="211F1F"/>
          <w:spacing w:val="-4"/>
        </w:rPr>
        <w:t>to</w:t>
      </w:r>
      <w:r>
        <w:rPr>
          <w:color w:val="211F1F"/>
          <w:spacing w:val="-17"/>
        </w:rPr>
        <w:t xml:space="preserve"> </w:t>
      </w:r>
      <w:r>
        <w:rPr>
          <w:color w:val="211F1F"/>
          <w:spacing w:val="-4"/>
        </w:rPr>
        <w:t>Equipment;</w:t>
      </w:r>
    </w:p>
    <w:p w14:paraId="7B2B85B7" w14:textId="77777777" w:rsidR="00BB77C0" w:rsidRDefault="00370BAA">
      <w:pPr>
        <w:pStyle w:val="ListParagraph"/>
        <w:numPr>
          <w:ilvl w:val="0"/>
          <w:numId w:val="29"/>
        </w:numPr>
        <w:tabs>
          <w:tab w:val="left" w:pos="1587"/>
          <w:tab w:val="left" w:pos="1594"/>
        </w:tabs>
        <w:spacing w:before="46" w:line="232" w:lineRule="auto"/>
        <w:ind w:left="1594" w:right="860" w:hanging="342"/>
        <w:jc w:val="both"/>
      </w:pPr>
      <w:r>
        <w:rPr>
          <w:color w:val="211F1F"/>
        </w:rPr>
        <w:t>loss</w:t>
      </w:r>
      <w:r>
        <w:rPr>
          <w:color w:val="211F1F"/>
          <w:spacing w:val="-14"/>
        </w:rPr>
        <w:t xml:space="preserve"> </w:t>
      </w:r>
      <w:r>
        <w:rPr>
          <w:color w:val="211F1F"/>
        </w:rPr>
        <w:t>of</w:t>
      </w:r>
      <w:r>
        <w:rPr>
          <w:color w:val="211F1F"/>
          <w:spacing w:val="-14"/>
        </w:rPr>
        <w:t xml:space="preserve"> </w:t>
      </w:r>
      <w:r>
        <w:rPr>
          <w:color w:val="211F1F"/>
        </w:rPr>
        <w:t>or</w:t>
      </w:r>
      <w:r>
        <w:rPr>
          <w:color w:val="211F1F"/>
          <w:spacing w:val="-14"/>
        </w:rPr>
        <w:t xml:space="preserve"> </w:t>
      </w:r>
      <w:r>
        <w:rPr>
          <w:color w:val="211F1F"/>
        </w:rPr>
        <w:t>damage</w:t>
      </w:r>
      <w:r>
        <w:rPr>
          <w:color w:val="211F1F"/>
          <w:spacing w:val="-13"/>
        </w:rPr>
        <w:t xml:space="preserve"> </w:t>
      </w:r>
      <w:r>
        <w:rPr>
          <w:color w:val="211F1F"/>
        </w:rPr>
        <w:t>to</w:t>
      </w:r>
      <w:r>
        <w:rPr>
          <w:color w:val="211F1F"/>
          <w:spacing w:val="-14"/>
        </w:rPr>
        <w:t xml:space="preserve"> </w:t>
      </w:r>
      <w:r>
        <w:rPr>
          <w:color w:val="211F1F"/>
        </w:rPr>
        <w:t>property</w:t>
      </w:r>
      <w:r>
        <w:rPr>
          <w:color w:val="211F1F"/>
          <w:spacing w:val="-14"/>
        </w:rPr>
        <w:t xml:space="preserve"> </w:t>
      </w:r>
      <w:r>
        <w:rPr>
          <w:color w:val="211F1F"/>
        </w:rPr>
        <w:t>(except</w:t>
      </w:r>
      <w:r>
        <w:rPr>
          <w:color w:val="211F1F"/>
          <w:spacing w:val="-14"/>
        </w:rPr>
        <w:t xml:space="preserve"> </w:t>
      </w:r>
      <w:r>
        <w:rPr>
          <w:color w:val="211F1F"/>
        </w:rPr>
        <w:t>the</w:t>
      </w:r>
      <w:r>
        <w:rPr>
          <w:color w:val="211F1F"/>
          <w:spacing w:val="-13"/>
        </w:rPr>
        <w:t xml:space="preserve"> </w:t>
      </w:r>
      <w:r>
        <w:rPr>
          <w:color w:val="211F1F"/>
        </w:rPr>
        <w:t>Works,</w:t>
      </w:r>
      <w:r>
        <w:rPr>
          <w:color w:val="211F1F"/>
          <w:spacing w:val="-14"/>
        </w:rPr>
        <w:t xml:space="preserve"> </w:t>
      </w:r>
      <w:r>
        <w:rPr>
          <w:color w:val="211F1F"/>
        </w:rPr>
        <w:t>Plant,</w:t>
      </w:r>
      <w:r>
        <w:rPr>
          <w:color w:val="211F1F"/>
          <w:spacing w:val="-14"/>
        </w:rPr>
        <w:t xml:space="preserve"> </w:t>
      </w:r>
      <w:r>
        <w:rPr>
          <w:color w:val="211F1F"/>
        </w:rPr>
        <w:t>Materials,</w:t>
      </w:r>
      <w:r>
        <w:rPr>
          <w:color w:val="211F1F"/>
          <w:spacing w:val="-14"/>
        </w:rPr>
        <w:t xml:space="preserve"> </w:t>
      </w:r>
      <w:r>
        <w:rPr>
          <w:color w:val="211F1F"/>
        </w:rPr>
        <w:t>and</w:t>
      </w:r>
      <w:r>
        <w:rPr>
          <w:color w:val="211F1F"/>
          <w:spacing w:val="-13"/>
        </w:rPr>
        <w:t xml:space="preserve"> </w:t>
      </w:r>
      <w:r>
        <w:rPr>
          <w:color w:val="211F1F"/>
        </w:rPr>
        <w:t>Equipment)</w:t>
      </w:r>
      <w:r>
        <w:rPr>
          <w:color w:val="211F1F"/>
          <w:spacing w:val="-14"/>
        </w:rPr>
        <w:t xml:space="preserve"> </w:t>
      </w:r>
      <w:r>
        <w:rPr>
          <w:color w:val="211F1F"/>
        </w:rPr>
        <w:t>in</w:t>
      </w:r>
      <w:r>
        <w:rPr>
          <w:color w:val="211F1F"/>
          <w:spacing w:val="-14"/>
        </w:rPr>
        <w:t xml:space="preserve"> </w:t>
      </w:r>
      <w:r>
        <w:rPr>
          <w:color w:val="211F1F"/>
        </w:rPr>
        <w:t>connection</w:t>
      </w:r>
      <w:r>
        <w:rPr>
          <w:color w:val="211F1F"/>
          <w:spacing w:val="-13"/>
        </w:rPr>
        <w:t xml:space="preserve"> </w:t>
      </w:r>
      <w:r>
        <w:rPr>
          <w:color w:val="211F1F"/>
        </w:rPr>
        <w:t>with</w:t>
      </w:r>
      <w:r>
        <w:rPr>
          <w:color w:val="211F1F"/>
          <w:spacing w:val="-14"/>
        </w:rPr>
        <w:t xml:space="preserve"> </w:t>
      </w:r>
      <w:r>
        <w:rPr>
          <w:color w:val="211F1F"/>
        </w:rPr>
        <w:t>the Contract;</w:t>
      </w:r>
      <w:r>
        <w:rPr>
          <w:color w:val="211F1F"/>
          <w:spacing w:val="-20"/>
        </w:rPr>
        <w:t xml:space="preserve"> </w:t>
      </w:r>
      <w:r>
        <w:rPr>
          <w:color w:val="211F1F"/>
        </w:rPr>
        <w:t>and</w:t>
      </w:r>
    </w:p>
    <w:p w14:paraId="4FB5A64E" w14:textId="77777777" w:rsidR="00BB77C0" w:rsidRDefault="00370BAA">
      <w:pPr>
        <w:pStyle w:val="ListParagraph"/>
        <w:numPr>
          <w:ilvl w:val="0"/>
          <w:numId w:val="29"/>
        </w:numPr>
        <w:tabs>
          <w:tab w:val="left" w:pos="1593"/>
        </w:tabs>
        <w:spacing w:before="36"/>
        <w:ind w:left="1593" w:hanging="335"/>
        <w:jc w:val="both"/>
      </w:pPr>
      <w:r>
        <w:rPr>
          <w:color w:val="211F1F"/>
          <w:spacing w:val="-4"/>
        </w:rPr>
        <w:t>personal</w:t>
      </w:r>
      <w:r>
        <w:rPr>
          <w:color w:val="211F1F"/>
          <w:spacing w:val="-15"/>
        </w:rPr>
        <w:t xml:space="preserve"> </w:t>
      </w:r>
      <w:r>
        <w:rPr>
          <w:color w:val="211F1F"/>
          <w:spacing w:val="-4"/>
        </w:rPr>
        <w:t>injury</w:t>
      </w:r>
      <w:r>
        <w:rPr>
          <w:color w:val="211F1F"/>
          <w:spacing w:val="-7"/>
        </w:rPr>
        <w:t xml:space="preserve"> </w:t>
      </w:r>
      <w:r>
        <w:rPr>
          <w:color w:val="211F1F"/>
          <w:spacing w:val="-4"/>
        </w:rPr>
        <w:t>or</w:t>
      </w:r>
      <w:r>
        <w:rPr>
          <w:color w:val="211F1F"/>
          <w:spacing w:val="2"/>
        </w:rPr>
        <w:t xml:space="preserve"> </w:t>
      </w:r>
      <w:r>
        <w:rPr>
          <w:color w:val="211F1F"/>
          <w:spacing w:val="-4"/>
        </w:rPr>
        <w:t>death.</w:t>
      </w:r>
    </w:p>
    <w:p w14:paraId="06B9DCAD" w14:textId="77777777" w:rsidR="00BB77C0" w:rsidRDefault="00370BAA">
      <w:pPr>
        <w:pStyle w:val="ListParagraph"/>
        <w:numPr>
          <w:ilvl w:val="1"/>
          <w:numId w:val="23"/>
        </w:numPr>
        <w:tabs>
          <w:tab w:val="left" w:pos="1168"/>
          <w:tab w:val="left" w:pos="1171"/>
        </w:tabs>
        <w:spacing w:before="196" w:line="230" w:lineRule="auto"/>
        <w:ind w:right="838" w:hanging="360"/>
        <w:jc w:val="both"/>
        <w:rPr>
          <w:color w:val="211F1F"/>
        </w:rPr>
      </w:pPr>
      <w:r>
        <w:rPr>
          <w:color w:val="211F1F"/>
          <w:spacing w:val="-2"/>
        </w:rPr>
        <w:t>Policies</w:t>
      </w:r>
      <w:r>
        <w:rPr>
          <w:color w:val="211F1F"/>
          <w:spacing w:val="-12"/>
        </w:rPr>
        <w:t xml:space="preserve"> </w:t>
      </w:r>
      <w:r>
        <w:rPr>
          <w:color w:val="211F1F"/>
          <w:spacing w:val="-2"/>
        </w:rPr>
        <w:t>and</w:t>
      </w:r>
      <w:r>
        <w:rPr>
          <w:color w:val="211F1F"/>
          <w:spacing w:val="-12"/>
        </w:rPr>
        <w:t xml:space="preserve"> </w:t>
      </w:r>
      <w:r>
        <w:rPr>
          <w:color w:val="211F1F"/>
          <w:spacing w:val="-2"/>
        </w:rPr>
        <w:t>certificates</w:t>
      </w:r>
      <w:r>
        <w:rPr>
          <w:color w:val="211F1F"/>
          <w:spacing w:val="-10"/>
        </w:rPr>
        <w:t xml:space="preserve"> </w:t>
      </w:r>
      <w:r>
        <w:rPr>
          <w:color w:val="211F1F"/>
          <w:spacing w:val="-2"/>
        </w:rPr>
        <w:t>for</w:t>
      </w:r>
      <w:r>
        <w:rPr>
          <w:color w:val="211F1F"/>
          <w:spacing w:val="-4"/>
        </w:rPr>
        <w:t xml:space="preserve"> </w:t>
      </w:r>
      <w:r>
        <w:rPr>
          <w:color w:val="211F1F"/>
          <w:spacing w:val="-2"/>
        </w:rPr>
        <w:t>insurance</w:t>
      </w:r>
      <w:r>
        <w:rPr>
          <w:color w:val="211F1F"/>
          <w:spacing w:val="-12"/>
        </w:rPr>
        <w:t xml:space="preserve"> </w:t>
      </w:r>
      <w:r>
        <w:rPr>
          <w:color w:val="211F1F"/>
          <w:spacing w:val="-2"/>
        </w:rPr>
        <w:t>shall</w:t>
      </w:r>
      <w:r>
        <w:rPr>
          <w:color w:val="211F1F"/>
          <w:spacing w:val="-11"/>
        </w:rPr>
        <w:t xml:space="preserve"> </w:t>
      </w:r>
      <w:r>
        <w:rPr>
          <w:color w:val="211F1F"/>
          <w:spacing w:val="-2"/>
        </w:rPr>
        <w:t>be</w:t>
      </w:r>
      <w:r>
        <w:rPr>
          <w:color w:val="211F1F"/>
          <w:spacing w:val="-12"/>
        </w:rPr>
        <w:t xml:space="preserve"> </w:t>
      </w:r>
      <w:r>
        <w:rPr>
          <w:color w:val="211F1F"/>
          <w:spacing w:val="-2"/>
        </w:rPr>
        <w:t>delivered</w:t>
      </w:r>
      <w:r>
        <w:rPr>
          <w:color w:val="211F1F"/>
          <w:spacing w:val="-12"/>
        </w:rPr>
        <w:t xml:space="preserve"> </w:t>
      </w:r>
      <w:r>
        <w:rPr>
          <w:color w:val="211F1F"/>
          <w:spacing w:val="-2"/>
        </w:rPr>
        <w:t>by</w:t>
      </w:r>
      <w:r>
        <w:rPr>
          <w:color w:val="211F1F"/>
          <w:spacing w:val="-7"/>
        </w:rPr>
        <w:t xml:space="preserve"> </w:t>
      </w:r>
      <w:r>
        <w:rPr>
          <w:color w:val="211F1F"/>
          <w:spacing w:val="-2"/>
        </w:rPr>
        <w:t>the</w:t>
      </w:r>
      <w:r>
        <w:rPr>
          <w:color w:val="211F1F"/>
          <w:spacing w:val="-12"/>
        </w:rPr>
        <w:t xml:space="preserve"> </w:t>
      </w:r>
      <w:r>
        <w:rPr>
          <w:color w:val="211F1F"/>
          <w:spacing w:val="-2"/>
        </w:rPr>
        <w:t>Contractor</w:t>
      </w:r>
      <w:r>
        <w:rPr>
          <w:color w:val="211F1F"/>
          <w:spacing w:val="-9"/>
        </w:rPr>
        <w:t xml:space="preserve"> </w:t>
      </w:r>
      <w:r>
        <w:rPr>
          <w:color w:val="211F1F"/>
          <w:spacing w:val="-2"/>
        </w:rPr>
        <w:t>to</w:t>
      </w:r>
      <w:r>
        <w:rPr>
          <w:color w:val="211F1F"/>
          <w:spacing w:val="-12"/>
        </w:rPr>
        <w:t xml:space="preserve"> </w:t>
      </w:r>
      <w:r>
        <w:rPr>
          <w:color w:val="211F1F"/>
          <w:spacing w:val="-2"/>
        </w:rPr>
        <w:t>the</w:t>
      </w:r>
      <w:r>
        <w:rPr>
          <w:color w:val="211F1F"/>
          <w:spacing w:val="-9"/>
        </w:rPr>
        <w:t xml:space="preserve"> </w:t>
      </w:r>
      <w:r>
        <w:rPr>
          <w:color w:val="211F1F"/>
          <w:spacing w:val="-2"/>
        </w:rPr>
        <w:t>Project</w:t>
      </w:r>
      <w:r>
        <w:rPr>
          <w:color w:val="211F1F"/>
          <w:spacing w:val="-11"/>
        </w:rPr>
        <w:t xml:space="preserve"> </w:t>
      </w:r>
      <w:r>
        <w:rPr>
          <w:color w:val="211F1F"/>
          <w:spacing w:val="-2"/>
        </w:rPr>
        <w:t>Manager</w:t>
      </w:r>
      <w:r>
        <w:rPr>
          <w:color w:val="211F1F"/>
          <w:spacing w:val="-5"/>
        </w:rPr>
        <w:t xml:space="preserve"> </w:t>
      </w:r>
      <w:r>
        <w:rPr>
          <w:color w:val="211F1F"/>
          <w:spacing w:val="-2"/>
        </w:rPr>
        <w:t>for</w:t>
      </w:r>
      <w:r>
        <w:rPr>
          <w:color w:val="211F1F"/>
          <w:spacing w:val="-10"/>
        </w:rPr>
        <w:t xml:space="preserve"> </w:t>
      </w:r>
      <w:r>
        <w:rPr>
          <w:color w:val="211F1F"/>
          <w:spacing w:val="-2"/>
        </w:rPr>
        <w:t>the</w:t>
      </w:r>
      <w:r>
        <w:rPr>
          <w:color w:val="211F1F"/>
          <w:spacing w:val="-12"/>
        </w:rPr>
        <w:t xml:space="preserve"> </w:t>
      </w:r>
      <w:r>
        <w:rPr>
          <w:color w:val="211F1F"/>
          <w:spacing w:val="-2"/>
        </w:rPr>
        <w:t>Project Manager's</w:t>
      </w:r>
      <w:r>
        <w:rPr>
          <w:color w:val="211F1F"/>
          <w:spacing w:val="-12"/>
        </w:rPr>
        <w:t xml:space="preserve"> </w:t>
      </w:r>
      <w:r>
        <w:rPr>
          <w:color w:val="211F1F"/>
          <w:spacing w:val="-2"/>
        </w:rPr>
        <w:t>approval</w:t>
      </w:r>
      <w:r>
        <w:rPr>
          <w:color w:val="211F1F"/>
          <w:spacing w:val="-12"/>
        </w:rPr>
        <w:t xml:space="preserve"> </w:t>
      </w:r>
      <w:r>
        <w:rPr>
          <w:color w:val="211F1F"/>
          <w:spacing w:val="-2"/>
        </w:rPr>
        <w:t>before</w:t>
      </w:r>
      <w:r>
        <w:rPr>
          <w:color w:val="211F1F"/>
          <w:spacing w:val="-12"/>
        </w:rPr>
        <w:t xml:space="preserve"> </w:t>
      </w:r>
      <w:r>
        <w:rPr>
          <w:color w:val="211F1F"/>
          <w:spacing w:val="-2"/>
        </w:rPr>
        <w:t>the</w:t>
      </w:r>
      <w:r>
        <w:rPr>
          <w:color w:val="211F1F"/>
          <w:spacing w:val="-11"/>
        </w:rPr>
        <w:t xml:space="preserve"> </w:t>
      </w:r>
      <w:r>
        <w:rPr>
          <w:color w:val="211F1F"/>
          <w:spacing w:val="-2"/>
        </w:rPr>
        <w:t>Start</w:t>
      </w:r>
      <w:r>
        <w:rPr>
          <w:color w:val="211F1F"/>
          <w:spacing w:val="-12"/>
        </w:rPr>
        <w:t xml:space="preserve"> </w:t>
      </w:r>
      <w:r>
        <w:rPr>
          <w:color w:val="211F1F"/>
          <w:spacing w:val="-2"/>
        </w:rPr>
        <w:t>Date.</w:t>
      </w:r>
      <w:r>
        <w:rPr>
          <w:color w:val="211F1F"/>
          <w:spacing w:val="-12"/>
        </w:rPr>
        <w:t xml:space="preserve"> </w:t>
      </w:r>
      <w:r>
        <w:rPr>
          <w:color w:val="211F1F"/>
          <w:spacing w:val="-2"/>
        </w:rPr>
        <w:t>All</w:t>
      </w:r>
      <w:r>
        <w:rPr>
          <w:color w:val="211F1F"/>
          <w:spacing w:val="-12"/>
        </w:rPr>
        <w:t xml:space="preserve"> </w:t>
      </w:r>
      <w:r>
        <w:rPr>
          <w:color w:val="211F1F"/>
          <w:spacing w:val="-2"/>
        </w:rPr>
        <w:t>such</w:t>
      </w:r>
      <w:r>
        <w:rPr>
          <w:color w:val="211F1F"/>
          <w:spacing w:val="-11"/>
        </w:rPr>
        <w:t xml:space="preserve"> </w:t>
      </w:r>
      <w:r>
        <w:rPr>
          <w:color w:val="211F1F"/>
          <w:spacing w:val="-2"/>
        </w:rPr>
        <w:t>insurance</w:t>
      </w:r>
      <w:r>
        <w:rPr>
          <w:color w:val="211F1F"/>
          <w:spacing w:val="-12"/>
        </w:rPr>
        <w:t xml:space="preserve"> </w:t>
      </w:r>
      <w:r>
        <w:rPr>
          <w:color w:val="211F1F"/>
          <w:spacing w:val="-2"/>
        </w:rPr>
        <w:t>shall</w:t>
      </w:r>
      <w:r>
        <w:rPr>
          <w:color w:val="211F1F"/>
          <w:spacing w:val="-12"/>
        </w:rPr>
        <w:t xml:space="preserve"> </w:t>
      </w:r>
      <w:r>
        <w:rPr>
          <w:color w:val="211F1F"/>
          <w:spacing w:val="-2"/>
        </w:rPr>
        <w:t>provide</w:t>
      </w:r>
      <w:r>
        <w:rPr>
          <w:color w:val="211F1F"/>
          <w:spacing w:val="-12"/>
        </w:rPr>
        <w:t xml:space="preserve"> </w:t>
      </w:r>
      <w:r>
        <w:rPr>
          <w:color w:val="211F1F"/>
          <w:spacing w:val="-2"/>
        </w:rPr>
        <w:t>for</w:t>
      </w:r>
      <w:r>
        <w:rPr>
          <w:color w:val="211F1F"/>
          <w:spacing w:val="-11"/>
        </w:rPr>
        <w:t xml:space="preserve"> </w:t>
      </w:r>
      <w:r>
        <w:rPr>
          <w:color w:val="211F1F"/>
          <w:spacing w:val="-2"/>
        </w:rPr>
        <w:t>compensation</w:t>
      </w:r>
      <w:r>
        <w:rPr>
          <w:color w:val="211F1F"/>
          <w:spacing w:val="-12"/>
        </w:rPr>
        <w:t xml:space="preserve"> </w:t>
      </w:r>
      <w:r>
        <w:rPr>
          <w:color w:val="211F1F"/>
          <w:spacing w:val="-2"/>
        </w:rPr>
        <w:t>to</w:t>
      </w:r>
      <w:r>
        <w:rPr>
          <w:color w:val="211F1F"/>
          <w:spacing w:val="-12"/>
        </w:rPr>
        <w:t xml:space="preserve"> </w:t>
      </w:r>
      <w:r>
        <w:rPr>
          <w:color w:val="211F1F"/>
          <w:spacing w:val="-2"/>
        </w:rPr>
        <w:t>be</w:t>
      </w:r>
      <w:r>
        <w:rPr>
          <w:color w:val="211F1F"/>
          <w:spacing w:val="-12"/>
        </w:rPr>
        <w:t xml:space="preserve"> </w:t>
      </w:r>
      <w:r>
        <w:rPr>
          <w:color w:val="211F1F"/>
          <w:spacing w:val="-2"/>
        </w:rPr>
        <w:t>payable</w:t>
      </w:r>
      <w:r>
        <w:rPr>
          <w:color w:val="211F1F"/>
          <w:spacing w:val="-11"/>
        </w:rPr>
        <w:t xml:space="preserve"> </w:t>
      </w:r>
      <w:r>
        <w:rPr>
          <w:color w:val="211F1F"/>
          <w:spacing w:val="-2"/>
        </w:rPr>
        <w:t>in</w:t>
      </w:r>
      <w:r>
        <w:rPr>
          <w:color w:val="211F1F"/>
          <w:spacing w:val="-12"/>
        </w:rPr>
        <w:t xml:space="preserve"> </w:t>
      </w:r>
      <w:r>
        <w:rPr>
          <w:color w:val="211F1F"/>
          <w:spacing w:val="-2"/>
        </w:rPr>
        <w:t xml:space="preserve">the </w:t>
      </w:r>
      <w:r>
        <w:rPr>
          <w:color w:val="211F1F"/>
        </w:rPr>
        <w:t>types and</w:t>
      </w:r>
      <w:r>
        <w:rPr>
          <w:color w:val="211F1F"/>
          <w:spacing w:val="-3"/>
        </w:rPr>
        <w:t xml:space="preserve"> </w:t>
      </w:r>
      <w:r>
        <w:rPr>
          <w:color w:val="211F1F"/>
        </w:rPr>
        <w:t>proportions of currencies</w:t>
      </w:r>
      <w:r>
        <w:rPr>
          <w:color w:val="211F1F"/>
          <w:spacing w:val="-2"/>
        </w:rPr>
        <w:t xml:space="preserve"> </w:t>
      </w:r>
      <w:r>
        <w:rPr>
          <w:color w:val="211F1F"/>
        </w:rPr>
        <w:t>required</w:t>
      </w:r>
      <w:r>
        <w:rPr>
          <w:color w:val="211F1F"/>
          <w:spacing w:val="-3"/>
        </w:rPr>
        <w:t xml:space="preserve"> </w:t>
      </w:r>
      <w:r>
        <w:rPr>
          <w:color w:val="211F1F"/>
        </w:rPr>
        <w:t>to</w:t>
      </w:r>
      <w:r>
        <w:rPr>
          <w:color w:val="211F1F"/>
          <w:spacing w:val="-3"/>
        </w:rPr>
        <w:t xml:space="preserve"> </w:t>
      </w:r>
      <w:r>
        <w:rPr>
          <w:color w:val="211F1F"/>
        </w:rPr>
        <w:t>rectify</w:t>
      </w:r>
      <w:r>
        <w:rPr>
          <w:color w:val="211F1F"/>
          <w:spacing w:val="-9"/>
        </w:rPr>
        <w:t xml:space="preserve"> </w:t>
      </w:r>
      <w:r>
        <w:rPr>
          <w:color w:val="211F1F"/>
        </w:rPr>
        <w:t>the</w:t>
      </w:r>
      <w:r>
        <w:rPr>
          <w:color w:val="211F1F"/>
          <w:spacing w:val="-5"/>
        </w:rPr>
        <w:t xml:space="preserve"> </w:t>
      </w:r>
      <w:r>
        <w:rPr>
          <w:color w:val="211F1F"/>
        </w:rPr>
        <w:t>loss or damage</w:t>
      </w:r>
      <w:r>
        <w:rPr>
          <w:color w:val="211F1F"/>
          <w:spacing w:val="-10"/>
        </w:rPr>
        <w:t xml:space="preserve"> </w:t>
      </w:r>
      <w:r>
        <w:rPr>
          <w:color w:val="211F1F"/>
        </w:rPr>
        <w:t>incurred.</w:t>
      </w:r>
    </w:p>
    <w:p w14:paraId="23538043" w14:textId="77777777" w:rsidR="00BB77C0" w:rsidRDefault="00370BAA">
      <w:pPr>
        <w:pStyle w:val="ListParagraph"/>
        <w:numPr>
          <w:ilvl w:val="1"/>
          <w:numId w:val="23"/>
        </w:numPr>
        <w:tabs>
          <w:tab w:val="left" w:pos="1168"/>
          <w:tab w:val="left" w:pos="1171"/>
        </w:tabs>
        <w:spacing w:before="199" w:line="230" w:lineRule="auto"/>
        <w:ind w:right="839" w:hanging="360"/>
        <w:jc w:val="both"/>
        <w:rPr>
          <w:color w:val="211F1F"/>
        </w:rPr>
      </w:pPr>
      <w:r>
        <w:rPr>
          <w:color w:val="211F1F"/>
        </w:rPr>
        <w:t>If</w:t>
      </w:r>
      <w:r>
        <w:rPr>
          <w:color w:val="211F1F"/>
          <w:spacing w:val="-14"/>
        </w:rPr>
        <w:t xml:space="preserve"> </w:t>
      </w:r>
      <w:r>
        <w:rPr>
          <w:color w:val="211F1F"/>
        </w:rPr>
        <w:t>the</w:t>
      </w:r>
      <w:r>
        <w:rPr>
          <w:color w:val="211F1F"/>
          <w:spacing w:val="-14"/>
        </w:rPr>
        <w:t xml:space="preserve"> </w:t>
      </w:r>
      <w:r>
        <w:rPr>
          <w:color w:val="211F1F"/>
        </w:rPr>
        <w:t>Contractor</w:t>
      </w:r>
      <w:r>
        <w:rPr>
          <w:color w:val="211F1F"/>
          <w:spacing w:val="-14"/>
        </w:rPr>
        <w:t xml:space="preserve"> </w:t>
      </w:r>
      <w:r>
        <w:rPr>
          <w:color w:val="211F1F"/>
        </w:rPr>
        <w:t>does</w:t>
      </w:r>
      <w:r>
        <w:rPr>
          <w:color w:val="211F1F"/>
          <w:spacing w:val="-13"/>
        </w:rPr>
        <w:t xml:space="preserve"> </w:t>
      </w:r>
      <w:r>
        <w:rPr>
          <w:color w:val="211F1F"/>
        </w:rPr>
        <w:t>not</w:t>
      </w:r>
      <w:r>
        <w:rPr>
          <w:color w:val="211F1F"/>
          <w:spacing w:val="-13"/>
        </w:rPr>
        <w:t xml:space="preserve"> </w:t>
      </w:r>
      <w:r>
        <w:rPr>
          <w:color w:val="211F1F"/>
        </w:rPr>
        <w:t>provide</w:t>
      </w:r>
      <w:r>
        <w:rPr>
          <w:color w:val="211F1F"/>
          <w:spacing w:val="-13"/>
        </w:rPr>
        <w:t xml:space="preserve"> </w:t>
      </w:r>
      <w:r>
        <w:rPr>
          <w:color w:val="211F1F"/>
        </w:rPr>
        <w:t>any</w:t>
      </w:r>
      <w:r>
        <w:rPr>
          <w:color w:val="211F1F"/>
          <w:spacing w:val="-14"/>
        </w:rPr>
        <w:t xml:space="preserve"> </w:t>
      </w:r>
      <w:r>
        <w:rPr>
          <w:color w:val="211F1F"/>
        </w:rPr>
        <w:t>of</w:t>
      </w:r>
      <w:r>
        <w:rPr>
          <w:color w:val="211F1F"/>
          <w:spacing w:val="-13"/>
        </w:rPr>
        <w:t xml:space="preserve"> </w:t>
      </w:r>
      <w:r>
        <w:rPr>
          <w:color w:val="211F1F"/>
        </w:rPr>
        <w:t>the</w:t>
      </w:r>
      <w:r>
        <w:rPr>
          <w:color w:val="211F1F"/>
          <w:spacing w:val="-14"/>
        </w:rPr>
        <w:t xml:space="preserve"> </w:t>
      </w:r>
      <w:r>
        <w:rPr>
          <w:color w:val="211F1F"/>
        </w:rPr>
        <w:t>policies</w:t>
      </w:r>
      <w:r>
        <w:rPr>
          <w:color w:val="211F1F"/>
          <w:spacing w:val="-11"/>
        </w:rPr>
        <w:t xml:space="preserve"> </w:t>
      </w:r>
      <w:r>
        <w:rPr>
          <w:color w:val="211F1F"/>
        </w:rPr>
        <w:t>and</w:t>
      </w:r>
      <w:r>
        <w:rPr>
          <w:color w:val="211F1F"/>
          <w:spacing w:val="-14"/>
        </w:rPr>
        <w:t xml:space="preserve"> </w:t>
      </w:r>
      <w:r>
        <w:rPr>
          <w:color w:val="211F1F"/>
        </w:rPr>
        <w:t>certificates</w:t>
      </w:r>
      <w:r>
        <w:rPr>
          <w:color w:val="211F1F"/>
          <w:spacing w:val="-10"/>
        </w:rPr>
        <w:t xml:space="preserve"> </w:t>
      </w:r>
      <w:r>
        <w:rPr>
          <w:color w:val="211F1F"/>
        </w:rPr>
        <w:t>required,</w:t>
      </w:r>
      <w:r>
        <w:rPr>
          <w:color w:val="211F1F"/>
          <w:spacing w:val="-9"/>
        </w:rPr>
        <w:t xml:space="preserve"> </w:t>
      </w:r>
      <w:r>
        <w:rPr>
          <w:color w:val="211F1F"/>
        </w:rPr>
        <w:t>the</w:t>
      </w:r>
      <w:r>
        <w:rPr>
          <w:color w:val="211F1F"/>
          <w:spacing w:val="-14"/>
        </w:rPr>
        <w:t xml:space="preserve"> </w:t>
      </w:r>
      <w:r>
        <w:rPr>
          <w:color w:val="211F1F"/>
        </w:rPr>
        <w:t>Procuring</w:t>
      </w:r>
      <w:r>
        <w:rPr>
          <w:color w:val="211F1F"/>
          <w:spacing w:val="-14"/>
        </w:rPr>
        <w:t xml:space="preserve"> </w:t>
      </w:r>
      <w:r>
        <w:rPr>
          <w:color w:val="211F1F"/>
        </w:rPr>
        <w:t>Entity</w:t>
      </w:r>
      <w:r>
        <w:rPr>
          <w:color w:val="211F1F"/>
          <w:spacing w:val="-11"/>
        </w:rPr>
        <w:t xml:space="preserve"> </w:t>
      </w:r>
      <w:r>
        <w:rPr>
          <w:color w:val="211F1F"/>
        </w:rPr>
        <w:t>may</w:t>
      </w:r>
      <w:r>
        <w:rPr>
          <w:color w:val="211F1F"/>
          <w:spacing w:val="-12"/>
        </w:rPr>
        <w:t xml:space="preserve"> </w:t>
      </w:r>
      <w:r>
        <w:rPr>
          <w:color w:val="211F1F"/>
        </w:rPr>
        <w:t>effect the</w:t>
      </w:r>
      <w:r>
        <w:rPr>
          <w:color w:val="211F1F"/>
          <w:spacing w:val="-6"/>
        </w:rPr>
        <w:t xml:space="preserve"> </w:t>
      </w:r>
      <w:r>
        <w:rPr>
          <w:color w:val="211F1F"/>
        </w:rPr>
        <w:t>insurance</w:t>
      </w:r>
      <w:r>
        <w:rPr>
          <w:color w:val="211F1F"/>
          <w:spacing w:val="-6"/>
        </w:rPr>
        <w:t xml:space="preserve"> </w:t>
      </w:r>
      <w:r>
        <w:rPr>
          <w:color w:val="211F1F"/>
        </w:rPr>
        <w:t>which</w:t>
      </w:r>
      <w:r>
        <w:rPr>
          <w:color w:val="211F1F"/>
          <w:spacing w:val="-4"/>
        </w:rPr>
        <w:t xml:space="preserve"> </w:t>
      </w:r>
      <w:r>
        <w:rPr>
          <w:color w:val="211F1F"/>
        </w:rPr>
        <w:t>the</w:t>
      </w:r>
      <w:r>
        <w:rPr>
          <w:color w:val="211F1F"/>
          <w:spacing w:val="-7"/>
        </w:rPr>
        <w:t xml:space="preserve"> </w:t>
      </w:r>
      <w:r>
        <w:rPr>
          <w:color w:val="211F1F"/>
        </w:rPr>
        <w:t>Contractor should</w:t>
      </w:r>
      <w:r>
        <w:rPr>
          <w:color w:val="211F1F"/>
          <w:spacing w:val="-5"/>
        </w:rPr>
        <w:t xml:space="preserve"> </w:t>
      </w:r>
      <w:r>
        <w:rPr>
          <w:color w:val="211F1F"/>
        </w:rPr>
        <w:t>have</w:t>
      </w:r>
      <w:r>
        <w:rPr>
          <w:color w:val="211F1F"/>
          <w:spacing w:val="-6"/>
        </w:rPr>
        <w:t xml:space="preserve"> </w:t>
      </w:r>
      <w:r>
        <w:rPr>
          <w:color w:val="211F1F"/>
        </w:rPr>
        <w:t>provided</w:t>
      </w:r>
      <w:r>
        <w:rPr>
          <w:color w:val="211F1F"/>
          <w:spacing w:val="-4"/>
        </w:rPr>
        <w:t xml:space="preserve"> </w:t>
      </w:r>
      <w:r>
        <w:rPr>
          <w:color w:val="211F1F"/>
        </w:rPr>
        <w:t>and</w:t>
      </w:r>
      <w:r>
        <w:rPr>
          <w:color w:val="211F1F"/>
          <w:spacing w:val="-4"/>
        </w:rPr>
        <w:t xml:space="preserve"> </w:t>
      </w:r>
      <w:r>
        <w:rPr>
          <w:color w:val="211F1F"/>
        </w:rPr>
        <w:t>recover the</w:t>
      </w:r>
      <w:r>
        <w:rPr>
          <w:color w:val="211F1F"/>
          <w:spacing w:val="-6"/>
        </w:rPr>
        <w:t xml:space="preserve"> </w:t>
      </w:r>
      <w:r>
        <w:rPr>
          <w:color w:val="211F1F"/>
        </w:rPr>
        <w:t>premiums the</w:t>
      </w:r>
      <w:r>
        <w:rPr>
          <w:color w:val="211F1F"/>
          <w:spacing w:val="-6"/>
        </w:rPr>
        <w:t xml:space="preserve"> </w:t>
      </w:r>
      <w:r>
        <w:rPr>
          <w:color w:val="211F1F"/>
        </w:rPr>
        <w:t>Procuring</w:t>
      </w:r>
      <w:r>
        <w:rPr>
          <w:color w:val="211F1F"/>
          <w:spacing w:val="-4"/>
        </w:rPr>
        <w:t xml:space="preserve"> </w:t>
      </w:r>
      <w:r>
        <w:rPr>
          <w:color w:val="211F1F"/>
        </w:rPr>
        <w:t>Entity</w:t>
      </w:r>
      <w:r>
        <w:rPr>
          <w:color w:val="211F1F"/>
          <w:spacing w:val="-4"/>
        </w:rPr>
        <w:t xml:space="preserve"> </w:t>
      </w:r>
      <w:r>
        <w:rPr>
          <w:color w:val="211F1F"/>
        </w:rPr>
        <w:t>has paid from payments otherwise due</w:t>
      </w:r>
      <w:r>
        <w:rPr>
          <w:color w:val="211F1F"/>
          <w:spacing w:val="-1"/>
        </w:rPr>
        <w:t xml:space="preserve"> </w:t>
      </w:r>
      <w:r>
        <w:rPr>
          <w:color w:val="211F1F"/>
        </w:rPr>
        <w:t>to the Contractor or, if no payment is due, the</w:t>
      </w:r>
      <w:r>
        <w:rPr>
          <w:color w:val="211F1F"/>
          <w:spacing w:val="-1"/>
        </w:rPr>
        <w:t xml:space="preserve"> </w:t>
      </w:r>
      <w:r>
        <w:rPr>
          <w:color w:val="211F1F"/>
        </w:rPr>
        <w:t>payment of the</w:t>
      </w:r>
      <w:r>
        <w:rPr>
          <w:color w:val="211F1F"/>
          <w:spacing w:val="-1"/>
        </w:rPr>
        <w:t xml:space="preserve"> </w:t>
      </w:r>
      <w:r>
        <w:rPr>
          <w:color w:val="211F1F"/>
        </w:rPr>
        <w:t>premiums shall be a debt due.</w:t>
      </w:r>
    </w:p>
    <w:p w14:paraId="556C52A5" w14:textId="77777777" w:rsidR="00BB77C0" w:rsidRDefault="00370BAA">
      <w:pPr>
        <w:pStyle w:val="ListParagraph"/>
        <w:numPr>
          <w:ilvl w:val="1"/>
          <w:numId w:val="23"/>
        </w:numPr>
        <w:tabs>
          <w:tab w:val="left" w:pos="1168"/>
        </w:tabs>
        <w:spacing w:before="192"/>
        <w:ind w:left="1168" w:hanging="357"/>
        <w:rPr>
          <w:color w:val="211F1F"/>
        </w:rPr>
      </w:pPr>
      <w:r>
        <w:rPr>
          <w:color w:val="211F1F"/>
        </w:rPr>
        <w:t>Alterations</w:t>
      </w:r>
      <w:r>
        <w:rPr>
          <w:color w:val="211F1F"/>
          <w:spacing w:val="-7"/>
        </w:rPr>
        <w:t xml:space="preserve"> </w:t>
      </w:r>
      <w:r>
        <w:rPr>
          <w:color w:val="211F1F"/>
        </w:rPr>
        <w:t>to</w:t>
      </w:r>
      <w:r>
        <w:rPr>
          <w:color w:val="211F1F"/>
          <w:spacing w:val="-9"/>
        </w:rPr>
        <w:t xml:space="preserve"> </w:t>
      </w:r>
      <w:r>
        <w:rPr>
          <w:color w:val="211F1F"/>
        </w:rPr>
        <w:t>the</w:t>
      </w:r>
      <w:r>
        <w:rPr>
          <w:color w:val="211F1F"/>
          <w:spacing w:val="-12"/>
        </w:rPr>
        <w:t xml:space="preserve"> </w:t>
      </w:r>
      <w:r>
        <w:rPr>
          <w:color w:val="211F1F"/>
        </w:rPr>
        <w:t>terms of</w:t>
      </w:r>
      <w:r>
        <w:rPr>
          <w:color w:val="211F1F"/>
          <w:spacing w:val="-7"/>
        </w:rPr>
        <w:t xml:space="preserve"> </w:t>
      </w:r>
      <w:r>
        <w:rPr>
          <w:color w:val="211F1F"/>
        </w:rPr>
        <w:t>an</w:t>
      </w:r>
      <w:r>
        <w:rPr>
          <w:color w:val="211F1F"/>
          <w:spacing w:val="-10"/>
        </w:rPr>
        <w:t xml:space="preserve"> </w:t>
      </w:r>
      <w:r>
        <w:rPr>
          <w:color w:val="211F1F"/>
        </w:rPr>
        <w:t>insurance</w:t>
      </w:r>
      <w:r>
        <w:rPr>
          <w:color w:val="211F1F"/>
          <w:spacing w:val="-10"/>
        </w:rPr>
        <w:t xml:space="preserve"> </w:t>
      </w:r>
      <w:r>
        <w:rPr>
          <w:color w:val="211F1F"/>
        </w:rPr>
        <w:t>shall</w:t>
      </w:r>
      <w:r>
        <w:rPr>
          <w:color w:val="211F1F"/>
          <w:spacing w:val="-4"/>
        </w:rPr>
        <w:t xml:space="preserve"> </w:t>
      </w:r>
      <w:r>
        <w:rPr>
          <w:color w:val="211F1F"/>
        </w:rPr>
        <w:t>not be</w:t>
      </w:r>
      <w:r>
        <w:rPr>
          <w:color w:val="211F1F"/>
          <w:spacing w:val="-8"/>
        </w:rPr>
        <w:t xml:space="preserve"> </w:t>
      </w:r>
      <w:r>
        <w:rPr>
          <w:color w:val="211F1F"/>
        </w:rPr>
        <w:t>made</w:t>
      </w:r>
      <w:r>
        <w:rPr>
          <w:color w:val="211F1F"/>
          <w:spacing w:val="-7"/>
        </w:rPr>
        <w:t xml:space="preserve"> </w:t>
      </w:r>
      <w:r>
        <w:rPr>
          <w:color w:val="211F1F"/>
        </w:rPr>
        <w:t>without</w:t>
      </w:r>
      <w:r>
        <w:rPr>
          <w:color w:val="211F1F"/>
          <w:spacing w:val="1"/>
        </w:rPr>
        <w:t xml:space="preserve"> </w:t>
      </w:r>
      <w:r>
        <w:rPr>
          <w:color w:val="211F1F"/>
        </w:rPr>
        <w:t>the</w:t>
      </w:r>
      <w:r>
        <w:rPr>
          <w:color w:val="211F1F"/>
          <w:spacing w:val="-12"/>
        </w:rPr>
        <w:t xml:space="preserve"> </w:t>
      </w:r>
      <w:r>
        <w:rPr>
          <w:color w:val="211F1F"/>
        </w:rPr>
        <w:t>approval</w:t>
      </w:r>
      <w:r>
        <w:rPr>
          <w:color w:val="211F1F"/>
          <w:spacing w:val="-3"/>
        </w:rPr>
        <w:t xml:space="preserve"> </w:t>
      </w:r>
      <w:r>
        <w:rPr>
          <w:color w:val="211F1F"/>
        </w:rPr>
        <w:t>of</w:t>
      </w:r>
      <w:r>
        <w:rPr>
          <w:color w:val="211F1F"/>
          <w:spacing w:val="-7"/>
        </w:rPr>
        <w:t xml:space="preserve"> </w:t>
      </w:r>
      <w:r>
        <w:rPr>
          <w:color w:val="211F1F"/>
        </w:rPr>
        <w:t>the</w:t>
      </w:r>
      <w:r>
        <w:rPr>
          <w:color w:val="211F1F"/>
          <w:spacing w:val="-11"/>
        </w:rPr>
        <w:t xml:space="preserve"> </w:t>
      </w:r>
      <w:r>
        <w:rPr>
          <w:color w:val="211F1F"/>
        </w:rPr>
        <w:t>Project</w:t>
      </w:r>
      <w:r>
        <w:rPr>
          <w:color w:val="211F1F"/>
          <w:spacing w:val="-4"/>
        </w:rPr>
        <w:t xml:space="preserve"> </w:t>
      </w:r>
      <w:r>
        <w:rPr>
          <w:color w:val="211F1F"/>
          <w:spacing w:val="-2"/>
        </w:rPr>
        <w:t>Manager.</w:t>
      </w:r>
    </w:p>
    <w:p w14:paraId="37AB68A5" w14:textId="77777777" w:rsidR="00BB77C0" w:rsidRDefault="00370BAA">
      <w:pPr>
        <w:pStyle w:val="ListParagraph"/>
        <w:numPr>
          <w:ilvl w:val="1"/>
          <w:numId w:val="23"/>
        </w:numPr>
        <w:tabs>
          <w:tab w:val="left" w:pos="1168"/>
        </w:tabs>
        <w:spacing w:before="188"/>
        <w:ind w:left="1168" w:hanging="357"/>
        <w:rPr>
          <w:color w:val="211F1F"/>
        </w:rPr>
      </w:pPr>
      <w:r>
        <w:rPr>
          <w:color w:val="211F1F"/>
        </w:rPr>
        <w:t>Both</w:t>
      </w:r>
      <w:r>
        <w:rPr>
          <w:color w:val="211F1F"/>
          <w:spacing w:val="-13"/>
        </w:rPr>
        <w:t xml:space="preserve"> </w:t>
      </w:r>
      <w:r>
        <w:rPr>
          <w:color w:val="211F1F"/>
        </w:rPr>
        <w:t>parties</w:t>
      </w:r>
      <w:r>
        <w:rPr>
          <w:color w:val="211F1F"/>
          <w:spacing w:val="-6"/>
        </w:rPr>
        <w:t xml:space="preserve"> </w:t>
      </w:r>
      <w:r>
        <w:rPr>
          <w:color w:val="211F1F"/>
        </w:rPr>
        <w:t>shall</w:t>
      </w:r>
      <w:r>
        <w:rPr>
          <w:color w:val="211F1F"/>
          <w:spacing w:val="-10"/>
        </w:rPr>
        <w:t xml:space="preserve"> </w:t>
      </w:r>
      <w:r>
        <w:rPr>
          <w:color w:val="211F1F"/>
        </w:rPr>
        <w:t>comply</w:t>
      </w:r>
      <w:r>
        <w:rPr>
          <w:color w:val="211F1F"/>
          <w:spacing w:val="-10"/>
        </w:rPr>
        <w:t xml:space="preserve"> </w:t>
      </w:r>
      <w:r>
        <w:rPr>
          <w:color w:val="211F1F"/>
        </w:rPr>
        <w:t>with</w:t>
      </w:r>
      <w:r>
        <w:rPr>
          <w:color w:val="211F1F"/>
          <w:spacing w:val="-6"/>
        </w:rPr>
        <w:t xml:space="preserve"> </w:t>
      </w:r>
      <w:r>
        <w:rPr>
          <w:color w:val="211F1F"/>
        </w:rPr>
        <w:t>any</w:t>
      </w:r>
      <w:r>
        <w:rPr>
          <w:color w:val="211F1F"/>
          <w:spacing w:val="-11"/>
        </w:rPr>
        <w:t xml:space="preserve"> </w:t>
      </w:r>
      <w:r>
        <w:rPr>
          <w:color w:val="211F1F"/>
        </w:rPr>
        <w:t>conditions of</w:t>
      </w:r>
      <w:r>
        <w:rPr>
          <w:color w:val="211F1F"/>
          <w:spacing w:val="-3"/>
        </w:rPr>
        <w:t xml:space="preserve"> </w:t>
      </w:r>
      <w:r>
        <w:rPr>
          <w:color w:val="211F1F"/>
        </w:rPr>
        <w:t>the</w:t>
      </w:r>
      <w:r>
        <w:rPr>
          <w:color w:val="211F1F"/>
          <w:spacing w:val="-9"/>
        </w:rPr>
        <w:t xml:space="preserve"> </w:t>
      </w:r>
      <w:r>
        <w:rPr>
          <w:color w:val="211F1F"/>
        </w:rPr>
        <w:t>insurance</w:t>
      </w:r>
      <w:r>
        <w:rPr>
          <w:color w:val="211F1F"/>
          <w:spacing w:val="-6"/>
        </w:rPr>
        <w:t xml:space="preserve"> </w:t>
      </w:r>
      <w:r>
        <w:rPr>
          <w:color w:val="211F1F"/>
          <w:spacing w:val="-2"/>
        </w:rPr>
        <w:t>policies.</w:t>
      </w:r>
    </w:p>
    <w:p w14:paraId="45DA6093" w14:textId="77777777" w:rsidR="00BB77C0" w:rsidRDefault="00370BAA">
      <w:pPr>
        <w:pStyle w:val="Heading7"/>
        <w:numPr>
          <w:ilvl w:val="0"/>
          <w:numId w:val="23"/>
        </w:numPr>
        <w:tabs>
          <w:tab w:val="left" w:pos="1080"/>
        </w:tabs>
        <w:spacing w:before="242"/>
        <w:ind w:left="1080" w:hanging="360"/>
        <w:jc w:val="left"/>
      </w:pPr>
      <w:bookmarkStart w:id="196" w:name="14._Site_Data"/>
      <w:bookmarkEnd w:id="196"/>
      <w:r>
        <w:rPr>
          <w:color w:val="211F1F"/>
          <w:spacing w:val="-2"/>
        </w:rPr>
        <w:t>Site</w:t>
      </w:r>
      <w:r>
        <w:rPr>
          <w:color w:val="211F1F"/>
          <w:spacing w:val="-20"/>
        </w:rPr>
        <w:t xml:space="preserve"> </w:t>
      </w:r>
      <w:r>
        <w:rPr>
          <w:color w:val="211F1F"/>
          <w:spacing w:val="-4"/>
        </w:rPr>
        <w:t>Data</w:t>
      </w:r>
    </w:p>
    <w:p w14:paraId="65B7D10D" w14:textId="77777777" w:rsidR="00BB77C0" w:rsidRDefault="00370BAA">
      <w:pPr>
        <w:pStyle w:val="ListParagraph"/>
        <w:numPr>
          <w:ilvl w:val="1"/>
          <w:numId w:val="23"/>
        </w:numPr>
        <w:tabs>
          <w:tab w:val="left" w:pos="1163"/>
          <w:tab w:val="left" w:pos="1171"/>
        </w:tabs>
        <w:spacing w:before="190" w:line="232" w:lineRule="auto"/>
        <w:ind w:right="838" w:hanging="360"/>
        <w:jc w:val="both"/>
        <w:rPr>
          <w:color w:val="211F1F"/>
        </w:rPr>
      </w:pPr>
      <w:r>
        <w:rPr>
          <w:color w:val="211F1F"/>
        </w:rPr>
        <w:t>The</w:t>
      </w:r>
      <w:r>
        <w:rPr>
          <w:color w:val="211F1F"/>
          <w:spacing w:val="-14"/>
        </w:rPr>
        <w:t xml:space="preserve"> </w:t>
      </w:r>
      <w:r>
        <w:rPr>
          <w:color w:val="211F1F"/>
        </w:rPr>
        <w:t>Contractor</w:t>
      </w:r>
      <w:r>
        <w:rPr>
          <w:color w:val="211F1F"/>
          <w:spacing w:val="-14"/>
        </w:rPr>
        <w:t xml:space="preserve"> </w:t>
      </w:r>
      <w:r>
        <w:rPr>
          <w:color w:val="211F1F"/>
        </w:rPr>
        <w:t>shall</w:t>
      </w:r>
      <w:r>
        <w:rPr>
          <w:color w:val="211F1F"/>
          <w:spacing w:val="-14"/>
        </w:rPr>
        <w:t xml:space="preserve"> </w:t>
      </w:r>
      <w:r>
        <w:rPr>
          <w:color w:val="211F1F"/>
        </w:rPr>
        <w:t>be</w:t>
      </w:r>
      <w:r>
        <w:rPr>
          <w:color w:val="211F1F"/>
          <w:spacing w:val="-13"/>
        </w:rPr>
        <w:t xml:space="preserve"> </w:t>
      </w:r>
      <w:r>
        <w:rPr>
          <w:color w:val="211F1F"/>
        </w:rPr>
        <w:t>deemed</w:t>
      </w:r>
      <w:r>
        <w:rPr>
          <w:color w:val="211F1F"/>
          <w:spacing w:val="-14"/>
        </w:rPr>
        <w:t xml:space="preserve"> </w:t>
      </w:r>
      <w:r>
        <w:rPr>
          <w:color w:val="211F1F"/>
        </w:rPr>
        <w:t>to</w:t>
      </w:r>
      <w:r>
        <w:rPr>
          <w:color w:val="211F1F"/>
          <w:spacing w:val="-14"/>
        </w:rPr>
        <w:t xml:space="preserve"> </w:t>
      </w:r>
      <w:r>
        <w:rPr>
          <w:color w:val="211F1F"/>
        </w:rPr>
        <w:t>have</w:t>
      </w:r>
      <w:r>
        <w:rPr>
          <w:color w:val="211F1F"/>
          <w:spacing w:val="-14"/>
        </w:rPr>
        <w:t xml:space="preserve"> </w:t>
      </w:r>
      <w:r>
        <w:rPr>
          <w:color w:val="211F1F"/>
        </w:rPr>
        <w:t>examined</w:t>
      </w:r>
      <w:r>
        <w:rPr>
          <w:color w:val="211F1F"/>
          <w:spacing w:val="-13"/>
        </w:rPr>
        <w:t xml:space="preserve"> </w:t>
      </w:r>
      <w:r>
        <w:rPr>
          <w:color w:val="211F1F"/>
        </w:rPr>
        <w:t>any</w:t>
      </w:r>
      <w:r>
        <w:rPr>
          <w:color w:val="211F1F"/>
          <w:spacing w:val="-14"/>
        </w:rPr>
        <w:t xml:space="preserve"> </w:t>
      </w:r>
      <w:r>
        <w:rPr>
          <w:color w:val="211F1F"/>
        </w:rPr>
        <w:t>Site</w:t>
      </w:r>
      <w:r>
        <w:rPr>
          <w:color w:val="211F1F"/>
          <w:spacing w:val="-14"/>
        </w:rPr>
        <w:t xml:space="preserve"> </w:t>
      </w:r>
      <w:r>
        <w:rPr>
          <w:color w:val="211F1F"/>
        </w:rPr>
        <w:t>Data</w:t>
      </w:r>
      <w:r>
        <w:rPr>
          <w:color w:val="211F1F"/>
          <w:spacing w:val="-14"/>
        </w:rPr>
        <w:t xml:space="preserve"> </w:t>
      </w:r>
      <w:r>
        <w:rPr>
          <w:b/>
          <w:color w:val="211F1F"/>
        </w:rPr>
        <w:t>referred</w:t>
      </w:r>
      <w:r>
        <w:rPr>
          <w:b/>
          <w:color w:val="211F1F"/>
          <w:spacing w:val="-13"/>
        </w:rPr>
        <w:t xml:space="preserve"> </w:t>
      </w:r>
      <w:r>
        <w:rPr>
          <w:b/>
          <w:color w:val="211F1F"/>
        </w:rPr>
        <w:t>to</w:t>
      </w:r>
      <w:r>
        <w:rPr>
          <w:b/>
          <w:color w:val="211F1F"/>
          <w:spacing w:val="-14"/>
        </w:rPr>
        <w:t xml:space="preserve"> </w:t>
      </w:r>
      <w:r>
        <w:rPr>
          <w:b/>
          <w:color w:val="211F1F"/>
        </w:rPr>
        <w:t>in</w:t>
      </w:r>
      <w:r>
        <w:rPr>
          <w:b/>
          <w:color w:val="211F1F"/>
          <w:spacing w:val="-14"/>
        </w:rPr>
        <w:t xml:space="preserve"> </w:t>
      </w:r>
      <w:r>
        <w:rPr>
          <w:b/>
          <w:color w:val="211F1F"/>
        </w:rPr>
        <w:t>the</w:t>
      </w:r>
      <w:r>
        <w:rPr>
          <w:b/>
          <w:color w:val="211F1F"/>
          <w:spacing w:val="-14"/>
        </w:rPr>
        <w:t xml:space="preserve"> </w:t>
      </w:r>
      <w:r>
        <w:rPr>
          <w:b/>
          <w:color w:val="211F1F"/>
        </w:rPr>
        <w:t>SCC</w:t>
      </w:r>
      <w:r>
        <w:rPr>
          <w:color w:val="211F1F"/>
        </w:rPr>
        <w:t>,</w:t>
      </w:r>
      <w:r>
        <w:rPr>
          <w:color w:val="211F1F"/>
          <w:spacing w:val="-13"/>
        </w:rPr>
        <w:t xml:space="preserve"> </w:t>
      </w:r>
      <w:r>
        <w:rPr>
          <w:color w:val="211F1F"/>
        </w:rPr>
        <w:t>supplemented</w:t>
      </w:r>
      <w:r>
        <w:rPr>
          <w:color w:val="211F1F"/>
          <w:spacing w:val="-14"/>
        </w:rPr>
        <w:t xml:space="preserve"> </w:t>
      </w:r>
      <w:r>
        <w:rPr>
          <w:color w:val="211F1F"/>
        </w:rPr>
        <w:t>by</w:t>
      </w:r>
      <w:r>
        <w:rPr>
          <w:color w:val="211F1F"/>
          <w:spacing w:val="-14"/>
        </w:rPr>
        <w:t xml:space="preserve"> </w:t>
      </w:r>
      <w:r>
        <w:rPr>
          <w:color w:val="211F1F"/>
        </w:rPr>
        <w:t xml:space="preserve">any </w:t>
      </w:r>
      <w:bookmarkStart w:id="197" w:name="15._Contractor_to_Construct_the_Works"/>
      <w:bookmarkEnd w:id="197"/>
      <w:r>
        <w:rPr>
          <w:color w:val="211F1F"/>
        </w:rPr>
        <w:t>information available to the Contractor.</w:t>
      </w:r>
    </w:p>
    <w:p w14:paraId="57DBBDE8" w14:textId="77777777" w:rsidR="00BB77C0" w:rsidRDefault="00370BAA">
      <w:pPr>
        <w:pStyle w:val="Heading7"/>
        <w:numPr>
          <w:ilvl w:val="0"/>
          <w:numId w:val="23"/>
        </w:numPr>
        <w:tabs>
          <w:tab w:val="left" w:pos="1075"/>
        </w:tabs>
        <w:spacing w:before="243"/>
        <w:ind w:left="1075" w:hanging="355"/>
        <w:jc w:val="left"/>
      </w:pPr>
      <w:r>
        <w:rPr>
          <w:color w:val="211F1F"/>
          <w:spacing w:val="-4"/>
        </w:rPr>
        <w:t>Contractor</w:t>
      </w:r>
      <w:r>
        <w:rPr>
          <w:color w:val="211F1F"/>
          <w:spacing w:val="-18"/>
        </w:rPr>
        <w:t xml:space="preserve"> </w:t>
      </w:r>
      <w:r>
        <w:rPr>
          <w:color w:val="211F1F"/>
          <w:spacing w:val="-4"/>
        </w:rPr>
        <w:t>to Construct</w:t>
      </w:r>
      <w:r>
        <w:rPr>
          <w:color w:val="211F1F"/>
          <w:spacing w:val="-6"/>
        </w:rPr>
        <w:t xml:space="preserve"> </w:t>
      </w:r>
      <w:r>
        <w:rPr>
          <w:color w:val="211F1F"/>
          <w:spacing w:val="-4"/>
        </w:rPr>
        <w:t>the</w:t>
      </w:r>
      <w:r>
        <w:rPr>
          <w:color w:val="211F1F"/>
          <w:spacing w:val="-12"/>
        </w:rPr>
        <w:t xml:space="preserve"> </w:t>
      </w:r>
      <w:r>
        <w:rPr>
          <w:color w:val="211F1F"/>
          <w:spacing w:val="-4"/>
        </w:rPr>
        <w:t>Works</w:t>
      </w:r>
    </w:p>
    <w:p w14:paraId="2411537C" w14:textId="77777777" w:rsidR="00BB77C0" w:rsidRDefault="00370BAA">
      <w:pPr>
        <w:pStyle w:val="ListParagraph"/>
        <w:numPr>
          <w:ilvl w:val="1"/>
          <w:numId w:val="23"/>
        </w:numPr>
        <w:tabs>
          <w:tab w:val="left" w:pos="1168"/>
        </w:tabs>
        <w:spacing w:before="188"/>
        <w:ind w:left="1168" w:hanging="357"/>
        <w:rPr>
          <w:color w:val="211F1F"/>
        </w:rPr>
      </w:pPr>
      <w:r>
        <w:rPr>
          <w:color w:val="211F1F"/>
          <w:spacing w:val="-4"/>
        </w:rPr>
        <w:t>The</w:t>
      </w:r>
      <w:r>
        <w:rPr>
          <w:color w:val="211F1F"/>
          <w:spacing w:val="-13"/>
        </w:rPr>
        <w:t xml:space="preserve"> </w:t>
      </w:r>
      <w:r>
        <w:rPr>
          <w:color w:val="211F1F"/>
          <w:spacing w:val="-4"/>
        </w:rPr>
        <w:t>Contractor</w:t>
      </w:r>
      <w:r>
        <w:rPr>
          <w:color w:val="211F1F"/>
          <w:spacing w:val="-5"/>
        </w:rPr>
        <w:t xml:space="preserve"> </w:t>
      </w:r>
      <w:r>
        <w:rPr>
          <w:color w:val="211F1F"/>
          <w:spacing w:val="-4"/>
        </w:rPr>
        <w:t>shall</w:t>
      </w:r>
      <w:r>
        <w:rPr>
          <w:color w:val="211F1F"/>
          <w:spacing w:val="-8"/>
        </w:rPr>
        <w:t xml:space="preserve"> </w:t>
      </w:r>
      <w:r>
        <w:rPr>
          <w:color w:val="211F1F"/>
          <w:spacing w:val="-4"/>
        </w:rPr>
        <w:t>construct</w:t>
      </w:r>
      <w:r>
        <w:rPr>
          <w:color w:val="211F1F"/>
          <w:spacing w:val="-8"/>
        </w:rPr>
        <w:t xml:space="preserve"> </w:t>
      </w:r>
      <w:r>
        <w:rPr>
          <w:color w:val="211F1F"/>
          <w:spacing w:val="-4"/>
        </w:rPr>
        <w:t>and</w:t>
      </w:r>
      <w:r>
        <w:rPr>
          <w:color w:val="211F1F"/>
          <w:spacing w:val="-10"/>
        </w:rPr>
        <w:t xml:space="preserve"> </w:t>
      </w:r>
      <w:r>
        <w:rPr>
          <w:color w:val="211F1F"/>
          <w:spacing w:val="-4"/>
        </w:rPr>
        <w:t>install</w:t>
      </w:r>
      <w:r>
        <w:rPr>
          <w:color w:val="211F1F"/>
          <w:spacing w:val="-9"/>
        </w:rPr>
        <w:t xml:space="preserve"> </w:t>
      </w:r>
      <w:r>
        <w:rPr>
          <w:color w:val="211F1F"/>
          <w:spacing w:val="-4"/>
        </w:rPr>
        <w:t>the</w:t>
      </w:r>
      <w:r>
        <w:rPr>
          <w:color w:val="211F1F"/>
          <w:spacing w:val="-19"/>
        </w:rPr>
        <w:t xml:space="preserve"> </w:t>
      </w:r>
      <w:r>
        <w:rPr>
          <w:color w:val="211F1F"/>
          <w:spacing w:val="-4"/>
        </w:rPr>
        <w:t>Works</w:t>
      </w:r>
      <w:r>
        <w:rPr>
          <w:color w:val="211F1F"/>
          <w:spacing w:val="-3"/>
        </w:rPr>
        <w:t xml:space="preserve"> </w:t>
      </w:r>
      <w:r>
        <w:rPr>
          <w:color w:val="211F1F"/>
          <w:spacing w:val="-4"/>
        </w:rPr>
        <w:t>in</w:t>
      </w:r>
      <w:r>
        <w:rPr>
          <w:color w:val="211F1F"/>
          <w:spacing w:val="-17"/>
        </w:rPr>
        <w:t xml:space="preserve"> </w:t>
      </w:r>
      <w:r>
        <w:rPr>
          <w:color w:val="211F1F"/>
          <w:spacing w:val="-4"/>
        </w:rPr>
        <w:t>accordance</w:t>
      </w:r>
      <w:r>
        <w:rPr>
          <w:color w:val="211F1F"/>
          <w:spacing w:val="-12"/>
        </w:rPr>
        <w:t xml:space="preserve"> </w:t>
      </w:r>
      <w:r>
        <w:rPr>
          <w:color w:val="211F1F"/>
          <w:spacing w:val="-4"/>
        </w:rPr>
        <w:t>with</w:t>
      </w:r>
      <w:r>
        <w:rPr>
          <w:color w:val="211F1F"/>
          <w:spacing w:val="-11"/>
        </w:rPr>
        <w:t xml:space="preserve"> </w:t>
      </w:r>
      <w:r>
        <w:rPr>
          <w:color w:val="211F1F"/>
          <w:spacing w:val="-4"/>
        </w:rPr>
        <w:t>the</w:t>
      </w:r>
      <w:r>
        <w:rPr>
          <w:color w:val="211F1F"/>
          <w:spacing w:val="-12"/>
        </w:rPr>
        <w:t xml:space="preserve"> </w:t>
      </w:r>
      <w:r>
        <w:rPr>
          <w:color w:val="211F1F"/>
          <w:spacing w:val="-4"/>
        </w:rPr>
        <w:t>Specifications</w:t>
      </w:r>
      <w:r>
        <w:rPr>
          <w:color w:val="211F1F"/>
          <w:spacing w:val="-2"/>
        </w:rPr>
        <w:t xml:space="preserve"> </w:t>
      </w:r>
      <w:r>
        <w:rPr>
          <w:color w:val="211F1F"/>
          <w:spacing w:val="-4"/>
        </w:rPr>
        <w:t>and</w:t>
      </w:r>
      <w:r>
        <w:rPr>
          <w:color w:val="211F1F"/>
          <w:spacing w:val="-10"/>
        </w:rPr>
        <w:t xml:space="preserve"> </w:t>
      </w:r>
      <w:r>
        <w:rPr>
          <w:color w:val="211F1F"/>
          <w:spacing w:val="-4"/>
        </w:rPr>
        <w:t>Drawings.</w:t>
      </w:r>
    </w:p>
    <w:p w14:paraId="47BC8C98" w14:textId="77777777" w:rsidR="00BB77C0" w:rsidRDefault="00BB77C0">
      <w:pPr>
        <w:pStyle w:val="ListParagraph"/>
        <w:sectPr w:rsidR="00BB77C0">
          <w:pgSz w:w="11920" w:h="16850"/>
          <w:pgMar w:top="740" w:right="0" w:bottom="280" w:left="360" w:header="720" w:footer="720" w:gutter="0"/>
          <w:cols w:space="720"/>
        </w:sectPr>
      </w:pPr>
    </w:p>
    <w:p w14:paraId="276A872D" w14:textId="77777777" w:rsidR="00BB77C0" w:rsidRDefault="00370BAA">
      <w:pPr>
        <w:pStyle w:val="ListParagraph"/>
        <w:numPr>
          <w:ilvl w:val="0"/>
          <w:numId w:val="23"/>
        </w:numPr>
        <w:tabs>
          <w:tab w:val="left" w:pos="1075"/>
        </w:tabs>
        <w:spacing w:before="74"/>
        <w:ind w:left="1075" w:hanging="355"/>
        <w:jc w:val="left"/>
      </w:pPr>
      <w:r>
        <w:rPr>
          <w:color w:val="211F1F"/>
          <w:spacing w:val="-4"/>
        </w:rPr>
        <w:lastRenderedPageBreak/>
        <w:t>The</w:t>
      </w:r>
      <w:r>
        <w:rPr>
          <w:color w:val="211F1F"/>
          <w:spacing w:val="-14"/>
        </w:rPr>
        <w:t xml:space="preserve"> </w:t>
      </w:r>
      <w:r>
        <w:rPr>
          <w:color w:val="211F1F"/>
          <w:spacing w:val="-4"/>
        </w:rPr>
        <w:t>Works</w:t>
      </w:r>
      <w:r>
        <w:rPr>
          <w:color w:val="211F1F"/>
          <w:spacing w:val="-12"/>
        </w:rPr>
        <w:t xml:space="preserve"> </w:t>
      </w:r>
      <w:r>
        <w:rPr>
          <w:color w:val="211F1F"/>
          <w:spacing w:val="-4"/>
        </w:rPr>
        <w:t>to</w:t>
      </w:r>
      <w:r>
        <w:rPr>
          <w:color w:val="211F1F"/>
          <w:spacing w:val="-13"/>
        </w:rPr>
        <w:t xml:space="preserve"> </w:t>
      </w:r>
      <w:r>
        <w:rPr>
          <w:color w:val="211F1F"/>
          <w:spacing w:val="-4"/>
        </w:rPr>
        <w:t>Be</w:t>
      </w:r>
      <w:r>
        <w:rPr>
          <w:color w:val="211F1F"/>
          <w:spacing w:val="-15"/>
        </w:rPr>
        <w:t xml:space="preserve"> </w:t>
      </w:r>
      <w:r>
        <w:rPr>
          <w:color w:val="211F1F"/>
          <w:spacing w:val="-4"/>
        </w:rPr>
        <w:t>Completed</w:t>
      </w:r>
      <w:r>
        <w:rPr>
          <w:color w:val="211F1F"/>
          <w:spacing w:val="-11"/>
        </w:rPr>
        <w:t xml:space="preserve"> </w:t>
      </w:r>
      <w:r>
        <w:rPr>
          <w:color w:val="211F1F"/>
          <w:spacing w:val="-4"/>
        </w:rPr>
        <w:t>by</w:t>
      </w:r>
      <w:r>
        <w:rPr>
          <w:color w:val="211F1F"/>
          <w:spacing w:val="-13"/>
        </w:rPr>
        <w:t xml:space="preserve"> </w:t>
      </w:r>
      <w:r>
        <w:rPr>
          <w:color w:val="211F1F"/>
          <w:spacing w:val="-4"/>
        </w:rPr>
        <w:t>the</w:t>
      </w:r>
      <w:r>
        <w:rPr>
          <w:color w:val="211F1F"/>
          <w:spacing w:val="-14"/>
        </w:rPr>
        <w:t xml:space="preserve"> </w:t>
      </w:r>
      <w:r>
        <w:rPr>
          <w:color w:val="211F1F"/>
          <w:spacing w:val="-4"/>
        </w:rPr>
        <w:t>Intended</w:t>
      </w:r>
      <w:r>
        <w:rPr>
          <w:color w:val="211F1F"/>
          <w:spacing w:val="-6"/>
        </w:rPr>
        <w:t xml:space="preserve"> </w:t>
      </w:r>
      <w:r>
        <w:rPr>
          <w:color w:val="211F1F"/>
          <w:spacing w:val="-4"/>
        </w:rPr>
        <w:t>Completion</w:t>
      </w:r>
      <w:r>
        <w:rPr>
          <w:color w:val="211F1F"/>
          <w:spacing w:val="-11"/>
        </w:rPr>
        <w:t xml:space="preserve"> </w:t>
      </w:r>
      <w:r>
        <w:rPr>
          <w:color w:val="211F1F"/>
          <w:spacing w:val="-4"/>
        </w:rPr>
        <w:t>Date</w:t>
      </w:r>
    </w:p>
    <w:p w14:paraId="3CD088AA" w14:textId="77777777" w:rsidR="00BB77C0" w:rsidRDefault="00370BAA">
      <w:pPr>
        <w:pStyle w:val="ListParagraph"/>
        <w:numPr>
          <w:ilvl w:val="1"/>
          <w:numId w:val="23"/>
        </w:numPr>
        <w:tabs>
          <w:tab w:val="left" w:pos="1163"/>
          <w:tab w:val="left" w:pos="1171"/>
        </w:tabs>
        <w:spacing w:before="197" w:line="230" w:lineRule="auto"/>
        <w:ind w:right="840" w:hanging="360"/>
        <w:jc w:val="both"/>
        <w:rPr>
          <w:color w:val="211F1F"/>
        </w:rPr>
      </w:pPr>
      <w:r>
        <w:rPr>
          <w:color w:val="211F1F"/>
        </w:rPr>
        <w:t xml:space="preserve">The Contractor may commence execution of the Works on the Start Date and shall carry out the Works in </w:t>
      </w:r>
      <w:r>
        <w:rPr>
          <w:color w:val="211F1F"/>
          <w:spacing w:val="-2"/>
        </w:rPr>
        <w:t>accordance</w:t>
      </w:r>
      <w:r>
        <w:rPr>
          <w:color w:val="211F1F"/>
          <w:spacing w:val="-12"/>
        </w:rPr>
        <w:t xml:space="preserve"> </w:t>
      </w:r>
      <w:r>
        <w:rPr>
          <w:color w:val="211F1F"/>
          <w:spacing w:val="-2"/>
        </w:rPr>
        <w:t>with</w:t>
      </w:r>
      <w:r>
        <w:rPr>
          <w:color w:val="211F1F"/>
          <w:spacing w:val="-12"/>
        </w:rPr>
        <w:t xml:space="preserve"> </w:t>
      </w:r>
      <w:r>
        <w:rPr>
          <w:color w:val="211F1F"/>
          <w:spacing w:val="-2"/>
        </w:rPr>
        <w:t>the</w:t>
      </w:r>
      <w:r>
        <w:rPr>
          <w:color w:val="211F1F"/>
          <w:spacing w:val="-12"/>
        </w:rPr>
        <w:t xml:space="preserve"> </w:t>
      </w:r>
      <w:r>
        <w:rPr>
          <w:color w:val="211F1F"/>
          <w:spacing w:val="-2"/>
        </w:rPr>
        <w:t>Program</w:t>
      </w:r>
      <w:r>
        <w:rPr>
          <w:color w:val="211F1F"/>
          <w:spacing w:val="-11"/>
        </w:rPr>
        <w:t xml:space="preserve"> </w:t>
      </w:r>
      <w:r>
        <w:rPr>
          <w:color w:val="211F1F"/>
          <w:spacing w:val="-2"/>
        </w:rPr>
        <w:t>submitted</w:t>
      </w:r>
      <w:r>
        <w:rPr>
          <w:color w:val="211F1F"/>
          <w:spacing w:val="-12"/>
        </w:rPr>
        <w:t xml:space="preserve"> </w:t>
      </w:r>
      <w:r>
        <w:rPr>
          <w:color w:val="211F1F"/>
          <w:spacing w:val="-2"/>
        </w:rPr>
        <w:t>by</w:t>
      </w:r>
      <w:r>
        <w:rPr>
          <w:color w:val="211F1F"/>
          <w:spacing w:val="-12"/>
        </w:rPr>
        <w:t xml:space="preserve"> </w:t>
      </w:r>
      <w:r>
        <w:rPr>
          <w:color w:val="211F1F"/>
          <w:spacing w:val="-2"/>
        </w:rPr>
        <w:t>the</w:t>
      </w:r>
      <w:r>
        <w:rPr>
          <w:color w:val="211F1F"/>
          <w:spacing w:val="-8"/>
        </w:rPr>
        <w:t xml:space="preserve"> </w:t>
      </w:r>
      <w:r>
        <w:rPr>
          <w:color w:val="211F1F"/>
          <w:spacing w:val="-2"/>
        </w:rPr>
        <w:t>Contractor,</w:t>
      </w:r>
      <w:r>
        <w:rPr>
          <w:color w:val="211F1F"/>
          <w:spacing w:val="-12"/>
        </w:rPr>
        <w:t xml:space="preserve"> </w:t>
      </w:r>
      <w:r>
        <w:rPr>
          <w:color w:val="211F1F"/>
          <w:spacing w:val="-2"/>
        </w:rPr>
        <w:t>as</w:t>
      </w:r>
      <w:r>
        <w:rPr>
          <w:color w:val="211F1F"/>
          <w:spacing w:val="-10"/>
        </w:rPr>
        <w:t xml:space="preserve"> </w:t>
      </w:r>
      <w:r>
        <w:rPr>
          <w:color w:val="211F1F"/>
          <w:spacing w:val="-2"/>
        </w:rPr>
        <w:t>updated</w:t>
      </w:r>
      <w:r>
        <w:rPr>
          <w:color w:val="211F1F"/>
          <w:spacing w:val="-11"/>
        </w:rPr>
        <w:t xml:space="preserve"> </w:t>
      </w:r>
      <w:r>
        <w:rPr>
          <w:color w:val="211F1F"/>
          <w:spacing w:val="-2"/>
        </w:rPr>
        <w:t>with</w:t>
      </w:r>
      <w:r>
        <w:rPr>
          <w:color w:val="211F1F"/>
          <w:spacing w:val="-11"/>
        </w:rPr>
        <w:t xml:space="preserve"> </w:t>
      </w:r>
      <w:r>
        <w:rPr>
          <w:color w:val="211F1F"/>
          <w:spacing w:val="-2"/>
        </w:rPr>
        <w:t>the</w:t>
      </w:r>
      <w:r>
        <w:rPr>
          <w:color w:val="211F1F"/>
          <w:spacing w:val="-12"/>
        </w:rPr>
        <w:t xml:space="preserve"> </w:t>
      </w:r>
      <w:r>
        <w:rPr>
          <w:color w:val="211F1F"/>
          <w:spacing w:val="-2"/>
        </w:rPr>
        <w:t>approval</w:t>
      </w:r>
      <w:r>
        <w:rPr>
          <w:color w:val="211F1F"/>
          <w:spacing w:val="-9"/>
        </w:rPr>
        <w:t xml:space="preserve"> </w:t>
      </w:r>
      <w:r>
        <w:rPr>
          <w:color w:val="211F1F"/>
          <w:spacing w:val="-2"/>
        </w:rPr>
        <w:t>of</w:t>
      </w:r>
      <w:r>
        <w:rPr>
          <w:color w:val="211F1F"/>
          <w:spacing w:val="-8"/>
        </w:rPr>
        <w:t xml:space="preserve"> </w:t>
      </w:r>
      <w:r>
        <w:rPr>
          <w:color w:val="211F1F"/>
          <w:spacing w:val="-2"/>
        </w:rPr>
        <w:t>the</w:t>
      </w:r>
      <w:r>
        <w:rPr>
          <w:color w:val="211F1F"/>
          <w:spacing w:val="-12"/>
        </w:rPr>
        <w:t xml:space="preserve"> </w:t>
      </w:r>
      <w:r>
        <w:rPr>
          <w:color w:val="211F1F"/>
          <w:spacing w:val="-2"/>
        </w:rPr>
        <w:t>Project</w:t>
      </w:r>
      <w:r>
        <w:rPr>
          <w:color w:val="211F1F"/>
          <w:spacing w:val="-4"/>
        </w:rPr>
        <w:t xml:space="preserve"> </w:t>
      </w:r>
      <w:r>
        <w:rPr>
          <w:color w:val="211F1F"/>
          <w:spacing w:val="-2"/>
        </w:rPr>
        <w:t xml:space="preserve">Manager, </w:t>
      </w:r>
      <w:r>
        <w:rPr>
          <w:color w:val="211F1F"/>
        </w:rPr>
        <w:t>and complete them by the Intended Completion Date.</w:t>
      </w:r>
    </w:p>
    <w:p w14:paraId="2717A7E4" w14:textId="77777777" w:rsidR="00BB77C0" w:rsidRDefault="00370BAA">
      <w:pPr>
        <w:pStyle w:val="ListParagraph"/>
        <w:numPr>
          <w:ilvl w:val="0"/>
          <w:numId w:val="23"/>
        </w:numPr>
        <w:tabs>
          <w:tab w:val="left" w:pos="1075"/>
        </w:tabs>
        <w:spacing w:before="237"/>
        <w:ind w:left="1075" w:hanging="355"/>
        <w:jc w:val="left"/>
      </w:pPr>
      <w:r>
        <w:rPr>
          <w:color w:val="211F1F"/>
          <w:spacing w:val="-2"/>
        </w:rPr>
        <w:t>Approval</w:t>
      </w:r>
      <w:r>
        <w:rPr>
          <w:color w:val="211F1F"/>
          <w:spacing w:val="-20"/>
        </w:rPr>
        <w:t xml:space="preserve"> </w:t>
      </w:r>
      <w:r>
        <w:rPr>
          <w:color w:val="211F1F"/>
          <w:spacing w:val="-2"/>
        </w:rPr>
        <w:t>by</w:t>
      </w:r>
      <w:r>
        <w:rPr>
          <w:color w:val="211F1F"/>
          <w:spacing w:val="-22"/>
        </w:rPr>
        <w:t xml:space="preserve"> </w:t>
      </w:r>
      <w:r>
        <w:rPr>
          <w:color w:val="211F1F"/>
          <w:spacing w:val="-2"/>
        </w:rPr>
        <w:t>the</w:t>
      </w:r>
      <w:r>
        <w:rPr>
          <w:color w:val="211F1F"/>
          <w:spacing w:val="-19"/>
        </w:rPr>
        <w:t xml:space="preserve"> </w:t>
      </w:r>
      <w:r>
        <w:rPr>
          <w:color w:val="211F1F"/>
          <w:spacing w:val="-2"/>
        </w:rPr>
        <w:t>Project</w:t>
      </w:r>
      <w:r>
        <w:rPr>
          <w:color w:val="211F1F"/>
          <w:spacing w:val="-19"/>
        </w:rPr>
        <w:t xml:space="preserve"> </w:t>
      </w:r>
      <w:r>
        <w:rPr>
          <w:color w:val="211F1F"/>
          <w:spacing w:val="-2"/>
        </w:rPr>
        <w:t>Manager</w:t>
      </w:r>
    </w:p>
    <w:p w14:paraId="5190B044" w14:textId="77777777" w:rsidR="00BB77C0" w:rsidRDefault="00370BAA">
      <w:pPr>
        <w:pStyle w:val="ListParagraph"/>
        <w:numPr>
          <w:ilvl w:val="1"/>
          <w:numId w:val="23"/>
        </w:numPr>
        <w:tabs>
          <w:tab w:val="left" w:pos="1168"/>
          <w:tab w:val="left" w:pos="1171"/>
        </w:tabs>
        <w:spacing w:before="205" w:line="228" w:lineRule="auto"/>
        <w:ind w:right="839" w:hanging="360"/>
        <w:jc w:val="both"/>
        <w:rPr>
          <w:color w:val="211F1F"/>
        </w:rPr>
      </w:pPr>
      <w:r>
        <w:rPr>
          <w:color w:val="211F1F"/>
        </w:rPr>
        <w:t>The Contractor shall submit Specifications and Drawings showing the proposed Temporary Works to the Project Manager, for his approval.</w:t>
      </w:r>
    </w:p>
    <w:p w14:paraId="36C703C2" w14:textId="77777777" w:rsidR="00BB77C0" w:rsidRDefault="00370BAA">
      <w:pPr>
        <w:pStyle w:val="ListParagraph"/>
        <w:numPr>
          <w:ilvl w:val="1"/>
          <w:numId w:val="23"/>
        </w:numPr>
        <w:tabs>
          <w:tab w:val="left" w:pos="1168"/>
        </w:tabs>
        <w:spacing w:before="190"/>
        <w:ind w:left="1168" w:hanging="357"/>
        <w:rPr>
          <w:color w:val="211F1F"/>
        </w:rPr>
      </w:pPr>
      <w:r>
        <w:rPr>
          <w:color w:val="211F1F"/>
        </w:rPr>
        <w:t>The</w:t>
      </w:r>
      <w:r>
        <w:rPr>
          <w:color w:val="211F1F"/>
          <w:spacing w:val="-13"/>
        </w:rPr>
        <w:t xml:space="preserve"> </w:t>
      </w:r>
      <w:r>
        <w:rPr>
          <w:color w:val="211F1F"/>
        </w:rPr>
        <w:t>Contractor</w:t>
      </w:r>
      <w:r>
        <w:rPr>
          <w:color w:val="211F1F"/>
          <w:spacing w:val="2"/>
        </w:rPr>
        <w:t xml:space="preserve"> </w:t>
      </w:r>
      <w:r>
        <w:rPr>
          <w:color w:val="211F1F"/>
        </w:rPr>
        <w:t>shall</w:t>
      </w:r>
      <w:r>
        <w:rPr>
          <w:color w:val="211F1F"/>
          <w:spacing w:val="-10"/>
        </w:rPr>
        <w:t xml:space="preserve"> </w:t>
      </w:r>
      <w:r>
        <w:rPr>
          <w:color w:val="211F1F"/>
        </w:rPr>
        <w:t>be</w:t>
      </w:r>
      <w:r>
        <w:rPr>
          <w:color w:val="211F1F"/>
          <w:spacing w:val="-12"/>
        </w:rPr>
        <w:t xml:space="preserve"> </w:t>
      </w:r>
      <w:r>
        <w:rPr>
          <w:color w:val="211F1F"/>
        </w:rPr>
        <w:t>responsible</w:t>
      </w:r>
      <w:r>
        <w:rPr>
          <w:color w:val="211F1F"/>
          <w:spacing w:val="-12"/>
        </w:rPr>
        <w:t xml:space="preserve"> </w:t>
      </w:r>
      <w:r>
        <w:rPr>
          <w:color w:val="211F1F"/>
        </w:rPr>
        <w:t>for</w:t>
      </w:r>
      <w:r>
        <w:rPr>
          <w:color w:val="211F1F"/>
          <w:spacing w:val="2"/>
        </w:rPr>
        <w:t xml:space="preserve"> </w:t>
      </w:r>
      <w:r>
        <w:rPr>
          <w:color w:val="211F1F"/>
        </w:rPr>
        <w:t>design</w:t>
      </w:r>
      <w:r>
        <w:rPr>
          <w:color w:val="211F1F"/>
          <w:spacing w:val="-10"/>
        </w:rPr>
        <w:t xml:space="preserve"> </w:t>
      </w:r>
      <w:r>
        <w:rPr>
          <w:color w:val="211F1F"/>
        </w:rPr>
        <w:t>of</w:t>
      </w:r>
      <w:r>
        <w:rPr>
          <w:color w:val="211F1F"/>
          <w:spacing w:val="-4"/>
        </w:rPr>
        <w:t xml:space="preserve"> </w:t>
      </w:r>
      <w:r>
        <w:rPr>
          <w:color w:val="211F1F"/>
        </w:rPr>
        <w:t>Temporary</w:t>
      </w:r>
      <w:r>
        <w:rPr>
          <w:color w:val="211F1F"/>
          <w:spacing w:val="-4"/>
        </w:rPr>
        <w:t xml:space="preserve"> </w:t>
      </w:r>
      <w:r>
        <w:rPr>
          <w:color w:val="211F1F"/>
          <w:spacing w:val="-2"/>
        </w:rPr>
        <w:t>Works.</w:t>
      </w:r>
    </w:p>
    <w:p w14:paraId="0BE80844" w14:textId="77777777" w:rsidR="00BB77C0" w:rsidRDefault="00370BAA">
      <w:pPr>
        <w:pStyle w:val="ListParagraph"/>
        <w:numPr>
          <w:ilvl w:val="1"/>
          <w:numId w:val="23"/>
        </w:numPr>
        <w:tabs>
          <w:tab w:val="left" w:pos="1168"/>
          <w:tab w:val="left" w:pos="1171"/>
        </w:tabs>
        <w:spacing w:before="191" w:line="237" w:lineRule="auto"/>
        <w:ind w:right="916" w:hanging="360"/>
        <w:jc w:val="both"/>
        <w:rPr>
          <w:color w:val="211F1F"/>
        </w:rPr>
      </w:pPr>
      <w:r>
        <w:rPr>
          <w:color w:val="211F1F"/>
        </w:rPr>
        <w:t xml:space="preserve">The Project Manager's approval shall not alter the Contractor's responsibility for design of the Temporary </w:t>
      </w:r>
      <w:r>
        <w:rPr>
          <w:color w:val="211F1F"/>
          <w:spacing w:val="-2"/>
        </w:rPr>
        <w:t>Works.</w:t>
      </w:r>
    </w:p>
    <w:p w14:paraId="5F91C38F" w14:textId="77777777" w:rsidR="00BB77C0" w:rsidRDefault="00370BAA">
      <w:pPr>
        <w:pStyle w:val="ListParagraph"/>
        <w:numPr>
          <w:ilvl w:val="1"/>
          <w:numId w:val="23"/>
        </w:numPr>
        <w:tabs>
          <w:tab w:val="left" w:pos="1168"/>
        </w:tabs>
        <w:spacing w:before="184"/>
        <w:ind w:left="1168" w:hanging="357"/>
        <w:rPr>
          <w:color w:val="211F1F"/>
        </w:rPr>
      </w:pPr>
      <w:r>
        <w:rPr>
          <w:color w:val="211F1F"/>
        </w:rPr>
        <w:t>The</w:t>
      </w:r>
      <w:r>
        <w:rPr>
          <w:color w:val="211F1F"/>
          <w:spacing w:val="-14"/>
        </w:rPr>
        <w:t xml:space="preserve"> </w:t>
      </w:r>
      <w:r>
        <w:rPr>
          <w:color w:val="211F1F"/>
        </w:rPr>
        <w:t>Contractor</w:t>
      </w:r>
      <w:r>
        <w:rPr>
          <w:color w:val="211F1F"/>
          <w:spacing w:val="2"/>
        </w:rPr>
        <w:t xml:space="preserve"> </w:t>
      </w:r>
      <w:r>
        <w:rPr>
          <w:color w:val="211F1F"/>
        </w:rPr>
        <w:t>shall</w:t>
      </w:r>
      <w:r>
        <w:rPr>
          <w:color w:val="211F1F"/>
          <w:spacing w:val="-9"/>
        </w:rPr>
        <w:t xml:space="preserve"> </w:t>
      </w:r>
      <w:r>
        <w:rPr>
          <w:color w:val="211F1F"/>
        </w:rPr>
        <w:t>obtain</w:t>
      </w:r>
      <w:r>
        <w:rPr>
          <w:color w:val="211F1F"/>
          <w:spacing w:val="-10"/>
        </w:rPr>
        <w:t xml:space="preserve"> </w:t>
      </w:r>
      <w:r>
        <w:rPr>
          <w:color w:val="211F1F"/>
        </w:rPr>
        <w:t>approval</w:t>
      </w:r>
      <w:r>
        <w:rPr>
          <w:color w:val="211F1F"/>
          <w:spacing w:val="-8"/>
        </w:rPr>
        <w:t xml:space="preserve"> </w:t>
      </w:r>
      <w:r>
        <w:rPr>
          <w:color w:val="211F1F"/>
        </w:rPr>
        <w:t>of</w:t>
      </w:r>
      <w:r>
        <w:rPr>
          <w:color w:val="211F1F"/>
          <w:spacing w:val="-7"/>
        </w:rPr>
        <w:t xml:space="preserve"> </w:t>
      </w:r>
      <w:r>
        <w:rPr>
          <w:color w:val="211F1F"/>
        </w:rPr>
        <w:t>third</w:t>
      </w:r>
      <w:r>
        <w:rPr>
          <w:color w:val="211F1F"/>
          <w:spacing w:val="-5"/>
        </w:rPr>
        <w:t xml:space="preserve"> </w:t>
      </w:r>
      <w:r>
        <w:rPr>
          <w:color w:val="211F1F"/>
        </w:rPr>
        <w:t>parties</w:t>
      </w:r>
      <w:r>
        <w:rPr>
          <w:color w:val="211F1F"/>
          <w:spacing w:val="-5"/>
        </w:rPr>
        <w:t xml:space="preserve"> </w:t>
      </w:r>
      <w:r>
        <w:rPr>
          <w:color w:val="211F1F"/>
        </w:rPr>
        <w:t>to</w:t>
      </w:r>
      <w:r>
        <w:rPr>
          <w:color w:val="211F1F"/>
          <w:spacing w:val="-10"/>
        </w:rPr>
        <w:t xml:space="preserve"> </w:t>
      </w:r>
      <w:r>
        <w:rPr>
          <w:color w:val="211F1F"/>
        </w:rPr>
        <w:t>the</w:t>
      </w:r>
      <w:r>
        <w:rPr>
          <w:color w:val="211F1F"/>
          <w:spacing w:val="-7"/>
        </w:rPr>
        <w:t xml:space="preserve"> </w:t>
      </w:r>
      <w:r>
        <w:rPr>
          <w:color w:val="211F1F"/>
        </w:rPr>
        <w:t>design</w:t>
      </w:r>
      <w:r>
        <w:rPr>
          <w:color w:val="211F1F"/>
          <w:spacing w:val="-10"/>
        </w:rPr>
        <w:t xml:space="preserve"> </w:t>
      </w:r>
      <w:r>
        <w:rPr>
          <w:color w:val="211F1F"/>
        </w:rPr>
        <w:t>of</w:t>
      </w:r>
      <w:r>
        <w:rPr>
          <w:color w:val="211F1F"/>
          <w:spacing w:val="-7"/>
        </w:rPr>
        <w:t xml:space="preserve"> </w:t>
      </w:r>
      <w:r>
        <w:rPr>
          <w:color w:val="211F1F"/>
        </w:rPr>
        <w:t>the</w:t>
      </w:r>
      <w:r>
        <w:rPr>
          <w:color w:val="211F1F"/>
          <w:spacing w:val="-11"/>
        </w:rPr>
        <w:t xml:space="preserve"> </w:t>
      </w:r>
      <w:r>
        <w:rPr>
          <w:color w:val="211F1F"/>
        </w:rPr>
        <w:t>Temporary</w:t>
      </w:r>
      <w:r>
        <w:rPr>
          <w:color w:val="211F1F"/>
          <w:spacing w:val="-5"/>
        </w:rPr>
        <w:t xml:space="preserve"> </w:t>
      </w:r>
      <w:r>
        <w:rPr>
          <w:color w:val="211F1F"/>
        </w:rPr>
        <w:t>Works,</w:t>
      </w:r>
      <w:r>
        <w:rPr>
          <w:color w:val="211F1F"/>
          <w:spacing w:val="-3"/>
        </w:rPr>
        <w:t xml:space="preserve"> </w:t>
      </w:r>
      <w:r>
        <w:rPr>
          <w:color w:val="211F1F"/>
        </w:rPr>
        <w:t>where</w:t>
      </w:r>
      <w:r>
        <w:rPr>
          <w:color w:val="211F1F"/>
          <w:spacing w:val="-11"/>
        </w:rPr>
        <w:t xml:space="preserve"> </w:t>
      </w:r>
      <w:r>
        <w:rPr>
          <w:color w:val="211F1F"/>
          <w:spacing w:val="-2"/>
        </w:rPr>
        <w:t>required.</w:t>
      </w:r>
    </w:p>
    <w:p w14:paraId="76084141" w14:textId="77777777" w:rsidR="00BB77C0" w:rsidRDefault="00370BAA">
      <w:pPr>
        <w:pStyle w:val="ListParagraph"/>
        <w:numPr>
          <w:ilvl w:val="1"/>
          <w:numId w:val="23"/>
        </w:numPr>
        <w:tabs>
          <w:tab w:val="left" w:pos="1168"/>
          <w:tab w:val="left" w:pos="1171"/>
        </w:tabs>
        <w:spacing w:before="195" w:line="232" w:lineRule="auto"/>
        <w:ind w:right="844" w:hanging="360"/>
        <w:jc w:val="both"/>
        <w:rPr>
          <w:color w:val="211F1F"/>
        </w:rPr>
      </w:pPr>
      <w:r>
        <w:rPr>
          <w:color w:val="211F1F"/>
        </w:rPr>
        <w:t>All</w:t>
      </w:r>
      <w:r>
        <w:rPr>
          <w:color w:val="211F1F"/>
          <w:spacing w:val="-5"/>
        </w:rPr>
        <w:t xml:space="preserve"> </w:t>
      </w:r>
      <w:r>
        <w:rPr>
          <w:color w:val="211F1F"/>
        </w:rPr>
        <w:t>Drawings</w:t>
      </w:r>
      <w:r>
        <w:rPr>
          <w:color w:val="211F1F"/>
          <w:spacing w:val="-2"/>
        </w:rPr>
        <w:t xml:space="preserve"> </w:t>
      </w:r>
      <w:r>
        <w:rPr>
          <w:color w:val="211F1F"/>
        </w:rPr>
        <w:t>prepared</w:t>
      </w:r>
      <w:r>
        <w:rPr>
          <w:color w:val="211F1F"/>
          <w:spacing w:val="-6"/>
        </w:rPr>
        <w:t xml:space="preserve"> </w:t>
      </w:r>
      <w:r>
        <w:rPr>
          <w:color w:val="211F1F"/>
        </w:rPr>
        <w:t>by</w:t>
      </w:r>
      <w:r>
        <w:rPr>
          <w:color w:val="211F1F"/>
          <w:spacing w:val="-7"/>
        </w:rPr>
        <w:t xml:space="preserve"> </w:t>
      </w:r>
      <w:r>
        <w:rPr>
          <w:color w:val="211F1F"/>
        </w:rPr>
        <w:t>the</w:t>
      </w:r>
      <w:r>
        <w:rPr>
          <w:color w:val="211F1F"/>
          <w:spacing w:val="-8"/>
        </w:rPr>
        <w:t xml:space="preserve"> </w:t>
      </w:r>
      <w:r>
        <w:rPr>
          <w:color w:val="211F1F"/>
        </w:rPr>
        <w:t>Contractor</w:t>
      </w:r>
      <w:r>
        <w:rPr>
          <w:color w:val="211F1F"/>
          <w:spacing w:val="-7"/>
        </w:rPr>
        <w:t xml:space="preserve"> </w:t>
      </w:r>
      <w:r>
        <w:rPr>
          <w:color w:val="211F1F"/>
        </w:rPr>
        <w:t>for</w:t>
      </w:r>
      <w:r>
        <w:rPr>
          <w:color w:val="211F1F"/>
          <w:spacing w:val="-4"/>
        </w:rPr>
        <w:t xml:space="preserve"> </w:t>
      </w:r>
      <w:r>
        <w:rPr>
          <w:color w:val="211F1F"/>
        </w:rPr>
        <w:t>the</w:t>
      </w:r>
      <w:r>
        <w:rPr>
          <w:color w:val="211F1F"/>
          <w:spacing w:val="-8"/>
        </w:rPr>
        <w:t xml:space="preserve"> </w:t>
      </w:r>
      <w:r>
        <w:rPr>
          <w:color w:val="211F1F"/>
        </w:rPr>
        <w:t>execution</w:t>
      </w:r>
      <w:r>
        <w:rPr>
          <w:color w:val="211F1F"/>
          <w:spacing w:val="-6"/>
        </w:rPr>
        <w:t xml:space="preserve"> </w:t>
      </w:r>
      <w:r>
        <w:rPr>
          <w:color w:val="211F1F"/>
        </w:rPr>
        <w:t>of</w:t>
      </w:r>
      <w:r>
        <w:rPr>
          <w:color w:val="211F1F"/>
          <w:spacing w:val="-8"/>
        </w:rPr>
        <w:t xml:space="preserve"> </w:t>
      </w:r>
      <w:r>
        <w:rPr>
          <w:color w:val="211F1F"/>
        </w:rPr>
        <w:t>the</w:t>
      </w:r>
      <w:r>
        <w:rPr>
          <w:color w:val="211F1F"/>
          <w:spacing w:val="-13"/>
        </w:rPr>
        <w:t xml:space="preserve"> </w:t>
      </w:r>
      <w:r>
        <w:rPr>
          <w:color w:val="211F1F"/>
        </w:rPr>
        <w:t>temporary</w:t>
      </w:r>
      <w:r>
        <w:rPr>
          <w:color w:val="211F1F"/>
          <w:spacing w:val="-5"/>
        </w:rPr>
        <w:t xml:space="preserve"> </w:t>
      </w:r>
      <w:r>
        <w:rPr>
          <w:color w:val="211F1F"/>
        </w:rPr>
        <w:t>or</w:t>
      </w:r>
      <w:r>
        <w:rPr>
          <w:color w:val="211F1F"/>
          <w:spacing w:val="-4"/>
        </w:rPr>
        <w:t xml:space="preserve"> </w:t>
      </w:r>
      <w:r>
        <w:rPr>
          <w:color w:val="211F1F"/>
        </w:rPr>
        <w:t>permanent</w:t>
      </w:r>
      <w:r>
        <w:rPr>
          <w:color w:val="211F1F"/>
          <w:spacing w:val="-1"/>
        </w:rPr>
        <w:t xml:space="preserve"> </w:t>
      </w:r>
      <w:r>
        <w:rPr>
          <w:color w:val="211F1F"/>
        </w:rPr>
        <w:t>Works,</w:t>
      </w:r>
      <w:r>
        <w:rPr>
          <w:color w:val="211F1F"/>
          <w:spacing w:val="-4"/>
        </w:rPr>
        <w:t xml:space="preserve"> </w:t>
      </w:r>
      <w:r>
        <w:rPr>
          <w:color w:val="211F1F"/>
        </w:rPr>
        <w:t>are</w:t>
      </w:r>
      <w:r>
        <w:rPr>
          <w:color w:val="211F1F"/>
          <w:spacing w:val="-8"/>
        </w:rPr>
        <w:t xml:space="preserve"> </w:t>
      </w:r>
      <w:r>
        <w:rPr>
          <w:color w:val="211F1F"/>
        </w:rPr>
        <w:t>subject to prior approval by the Project Manager before this use.</w:t>
      </w:r>
    </w:p>
    <w:p w14:paraId="35BC4191" w14:textId="77777777" w:rsidR="00BB77C0" w:rsidRDefault="00370BAA">
      <w:pPr>
        <w:pStyle w:val="Heading7"/>
        <w:numPr>
          <w:ilvl w:val="0"/>
          <w:numId w:val="23"/>
        </w:numPr>
        <w:tabs>
          <w:tab w:val="left" w:pos="1080"/>
        </w:tabs>
        <w:spacing w:before="242"/>
        <w:ind w:left="1080" w:hanging="360"/>
        <w:jc w:val="left"/>
      </w:pPr>
      <w:bookmarkStart w:id="198" w:name="18._Safety"/>
      <w:bookmarkEnd w:id="198"/>
      <w:r>
        <w:rPr>
          <w:color w:val="211F1F"/>
          <w:spacing w:val="-2"/>
        </w:rPr>
        <w:t>Safety</w:t>
      </w:r>
    </w:p>
    <w:p w14:paraId="122C2155" w14:textId="77777777" w:rsidR="00BB77C0" w:rsidRDefault="00370BAA">
      <w:pPr>
        <w:pStyle w:val="ListParagraph"/>
        <w:numPr>
          <w:ilvl w:val="1"/>
          <w:numId w:val="23"/>
        </w:numPr>
        <w:tabs>
          <w:tab w:val="left" w:pos="1168"/>
        </w:tabs>
        <w:spacing w:before="184"/>
        <w:ind w:left="1168" w:hanging="357"/>
        <w:rPr>
          <w:color w:val="211F1F"/>
        </w:rPr>
      </w:pPr>
      <w:r>
        <w:rPr>
          <w:color w:val="211F1F"/>
          <w:spacing w:val="-2"/>
        </w:rPr>
        <w:t>The</w:t>
      </w:r>
      <w:r>
        <w:rPr>
          <w:color w:val="211F1F"/>
          <w:spacing w:val="-23"/>
        </w:rPr>
        <w:t xml:space="preserve"> </w:t>
      </w:r>
      <w:r>
        <w:rPr>
          <w:color w:val="211F1F"/>
          <w:spacing w:val="-2"/>
        </w:rPr>
        <w:t>Contractor</w:t>
      </w:r>
      <w:r>
        <w:rPr>
          <w:color w:val="211F1F"/>
          <w:spacing w:val="-15"/>
        </w:rPr>
        <w:t xml:space="preserve"> </w:t>
      </w:r>
      <w:r>
        <w:rPr>
          <w:color w:val="211F1F"/>
          <w:spacing w:val="-2"/>
        </w:rPr>
        <w:t>shall</w:t>
      </w:r>
      <w:r>
        <w:rPr>
          <w:color w:val="211F1F"/>
          <w:spacing w:val="-13"/>
        </w:rPr>
        <w:t xml:space="preserve"> </w:t>
      </w:r>
      <w:r>
        <w:rPr>
          <w:color w:val="211F1F"/>
          <w:spacing w:val="-2"/>
        </w:rPr>
        <w:t>beresponsible</w:t>
      </w:r>
      <w:r>
        <w:rPr>
          <w:color w:val="211F1F"/>
          <w:spacing w:val="-16"/>
        </w:rPr>
        <w:t xml:space="preserve"> </w:t>
      </w:r>
      <w:r>
        <w:rPr>
          <w:color w:val="211F1F"/>
          <w:spacing w:val="-2"/>
        </w:rPr>
        <w:t>for</w:t>
      </w:r>
      <w:r>
        <w:rPr>
          <w:color w:val="211F1F"/>
          <w:spacing w:val="-16"/>
        </w:rPr>
        <w:t xml:space="preserve"> </w:t>
      </w:r>
      <w:r>
        <w:rPr>
          <w:color w:val="211F1F"/>
          <w:spacing w:val="-2"/>
        </w:rPr>
        <w:t>the</w:t>
      </w:r>
      <w:r>
        <w:rPr>
          <w:color w:val="211F1F"/>
          <w:spacing w:val="-21"/>
        </w:rPr>
        <w:t xml:space="preserve"> </w:t>
      </w:r>
      <w:r>
        <w:rPr>
          <w:color w:val="211F1F"/>
          <w:spacing w:val="-2"/>
        </w:rPr>
        <w:t>safety</w:t>
      </w:r>
      <w:r>
        <w:rPr>
          <w:color w:val="211F1F"/>
          <w:spacing w:val="-19"/>
        </w:rPr>
        <w:t xml:space="preserve"> </w:t>
      </w:r>
      <w:r>
        <w:rPr>
          <w:color w:val="211F1F"/>
          <w:spacing w:val="-2"/>
        </w:rPr>
        <w:t>of</w:t>
      </w:r>
      <w:r>
        <w:rPr>
          <w:color w:val="211F1F"/>
          <w:spacing w:val="-16"/>
        </w:rPr>
        <w:t xml:space="preserve"> </w:t>
      </w:r>
      <w:r>
        <w:rPr>
          <w:color w:val="211F1F"/>
          <w:spacing w:val="-2"/>
        </w:rPr>
        <w:t>all</w:t>
      </w:r>
      <w:r>
        <w:rPr>
          <w:color w:val="211F1F"/>
          <w:spacing w:val="-19"/>
        </w:rPr>
        <w:t xml:space="preserve"> </w:t>
      </w:r>
      <w:r>
        <w:rPr>
          <w:color w:val="211F1F"/>
          <w:spacing w:val="-2"/>
        </w:rPr>
        <w:t>activities</w:t>
      </w:r>
      <w:r>
        <w:rPr>
          <w:color w:val="211F1F"/>
          <w:spacing w:val="-13"/>
        </w:rPr>
        <w:t xml:space="preserve"> </w:t>
      </w:r>
      <w:r>
        <w:rPr>
          <w:color w:val="211F1F"/>
          <w:spacing w:val="-2"/>
        </w:rPr>
        <w:t>on</w:t>
      </w:r>
      <w:r>
        <w:rPr>
          <w:color w:val="211F1F"/>
          <w:spacing w:val="-19"/>
        </w:rPr>
        <w:t xml:space="preserve"> </w:t>
      </w:r>
      <w:r>
        <w:rPr>
          <w:color w:val="211F1F"/>
          <w:spacing w:val="-2"/>
        </w:rPr>
        <w:t>the</w:t>
      </w:r>
      <w:r>
        <w:rPr>
          <w:color w:val="211F1F"/>
          <w:spacing w:val="-16"/>
        </w:rPr>
        <w:t xml:space="preserve"> </w:t>
      </w:r>
      <w:r>
        <w:rPr>
          <w:color w:val="211F1F"/>
          <w:spacing w:val="-2"/>
        </w:rPr>
        <w:t>Site.</w:t>
      </w:r>
    </w:p>
    <w:p w14:paraId="4207828F" w14:textId="77777777" w:rsidR="00BB77C0" w:rsidRDefault="00370BAA">
      <w:pPr>
        <w:pStyle w:val="Heading7"/>
        <w:numPr>
          <w:ilvl w:val="0"/>
          <w:numId w:val="23"/>
        </w:numPr>
        <w:tabs>
          <w:tab w:val="left" w:pos="1075"/>
        </w:tabs>
        <w:spacing w:before="237"/>
        <w:ind w:left="1075" w:hanging="355"/>
        <w:jc w:val="left"/>
      </w:pPr>
      <w:bookmarkStart w:id="199" w:name="19._Discoveries"/>
      <w:bookmarkEnd w:id="199"/>
      <w:r>
        <w:rPr>
          <w:color w:val="211F1F"/>
          <w:spacing w:val="-2"/>
        </w:rPr>
        <w:t>Discoveries</w:t>
      </w:r>
    </w:p>
    <w:p w14:paraId="35288922" w14:textId="77777777" w:rsidR="00BB77C0" w:rsidRDefault="00370BAA">
      <w:pPr>
        <w:pStyle w:val="ListParagraph"/>
        <w:numPr>
          <w:ilvl w:val="1"/>
          <w:numId w:val="23"/>
        </w:numPr>
        <w:tabs>
          <w:tab w:val="left" w:pos="1163"/>
          <w:tab w:val="left" w:pos="1171"/>
        </w:tabs>
        <w:spacing w:before="197" w:line="230" w:lineRule="auto"/>
        <w:ind w:right="838" w:hanging="360"/>
        <w:jc w:val="both"/>
        <w:rPr>
          <w:color w:val="211F1F"/>
        </w:rPr>
      </w:pPr>
      <w:r>
        <w:rPr>
          <w:color w:val="211F1F"/>
        </w:rPr>
        <w:t>Anything of historical or other interest or of significant value unexpectedly discovered on the Site shall be the</w:t>
      </w:r>
      <w:r>
        <w:rPr>
          <w:color w:val="211F1F"/>
          <w:spacing w:val="-4"/>
        </w:rPr>
        <w:t xml:space="preserve"> </w:t>
      </w:r>
      <w:r>
        <w:rPr>
          <w:color w:val="211F1F"/>
        </w:rPr>
        <w:t>property</w:t>
      </w:r>
      <w:r>
        <w:rPr>
          <w:color w:val="211F1F"/>
          <w:spacing w:val="-5"/>
        </w:rPr>
        <w:t xml:space="preserve"> </w:t>
      </w:r>
      <w:r>
        <w:rPr>
          <w:color w:val="211F1F"/>
        </w:rPr>
        <w:t>of</w:t>
      </w:r>
      <w:r>
        <w:rPr>
          <w:color w:val="211F1F"/>
          <w:spacing w:val="-3"/>
        </w:rPr>
        <w:t xml:space="preserve"> </w:t>
      </w:r>
      <w:r>
        <w:rPr>
          <w:color w:val="211F1F"/>
        </w:rPr>
        <w:t>the</w:t>
      </w:r>
      <w:r>
        <w:rPr>
          <w:color w:val="211F1F"/>
          <w:spacing w:val="-8"/>
        </w:rPr>
        <w:t xml:space="preserve"> </w:t>
      </w:r>
      <w:r>
        <w:rPr>
          <w:color w:val="211F1F"/>
        </w:rPr>
        <w:t>Procuring</w:t>
      </w:r>
      <w:r>
        <w:rPr>
          <w:color w:val="211F1F"/>
          <w:spacing w:val="-6"/>
        </w:rPr>
        <w:t xml:space="preserve"> </w:t>
      </w:r>
      <w:r>
        <w:rPr>
          <w:color w:val="211F1F"/>
        </w:rPr>
        <w:t>Entity.</w:t>
      </w:r>
      <w:r>
        <w:rPr>
          <w:color w:val="211F1F"/>
          <w:spacing w:val="-8"/>
        </w:rPr>
        <w:t xml:space="preserve"> </w:t>
      </w:r>
      <w:r>
        <w:rPr>
          <w:color w:val="211F1F"/>
        </w:rPr>
        <w:t>The</w:t>
      </w:r>
      <w:r>
        <w:rPr>
          <w:color w:val="211F1F"/>
          <w:spacing w:val="-8"/>
        </w:rPr>
        <w:t xml:space="preserve"> </w:t>
      </w:r>
      <w:r>
        <w:rPr>
          <w:color w:val="211F1F"/>
        </w:rPr>
        <w:t>Contractor</w:t>
      </w:r>
      <w:r>
        <w:rPr>
          <w:color w:val="211F1F"/>
          <w:spacing w:val="-3"/>
        </w:rPr>
        <w:t xml:space="preserve"> </w:t>
      </w:r>
      <w:r>
        <w:rPr>
          <w:color w:val="211F1F"/>
        </w:rPr>
        <w:t>shall</w:t>
      </w:r>
      <w:r>
        <w:rPr>
          <w:color w:val="211F1F"/>
          <w:spacing w:val="-5"/>
        </w:rPr>
        <w:t xml:space="preserve"> </w:t>
      </w:r>
      <w:r>
        <w:rPr>
          <w:color w:val="211F1F"/>
        </w:rPr>
        <w:t>notify</w:t>
      </w:r>
      <w:r>
        <w:rPr>
          <w:color w:val="211F1F"/>
          <w:spacing w:val="-11"/>
        </w:rPr>
        <w:t xml:space="preserve"> </w:t>
      </w:r>
      <w:r>
        <w:rPr>
          <w:color w:val="211F1F"/>
        </w:rPr>
        <w:t>the</w:t>
      </w:r>
      <w:r>
        <w:rPr>
          <w:color w:val="211F1F"/>
          <w:spacing w:val="-13"/>
        </w:rPr>
        <w:t xml:space="preserve"> </w:t>
      </w:r>
      <w:r>
        <w:rPr>
          <w:color w:val="211F1F"/>
        </w:rPr>
        <w:t>Project</w:t>
      </w:r>
      <w:r>
        <w:rPr>
          <w:color w:val="211F1F"/>
          <w:spacing w:val="-1"/>
        </w:rPr>
        <w:t xml:space="preserve"> </w:t>
      </w:r>
      <w:r>
        <w:rPr>
          <w:color w:val="211F1F"/>
        </w:rPr>
        <w:t>Manager of</w:t>
      </w:r>
      <w:r>
        <w:rPr>
          <w:color w:val="211F1F"/>
          <w:spacing w:val="-3"/>
        </w:rPr>
        <w:t xml:space="preserve"> </w:t>
      </w:r>
      <w:r>
        <w:rPr>
          <w:color w:val="211F1F"/>
        </w:rPr>
        <w:t>such</w:t>
      </w:r>
      <w:r>
        <w:rPr>
          <w:color w:val="211F1F"/>
          <w:spacing w:val="-11"/>
        </w:rPr>
        <w:t xml:space="preserve"> </w:t>
      </w:r>
      <w:r>
        <w:rPr>
          <w:color w:val="211F1F"/>
        </w:rPr>
        <w:t>discoveries</w:t>
      </w:r>
      <w:r>
        <w:rPr>
          <w:color w:val="211F1F"/>
          <w:spacing w:val="-5"/>
        </w:rPr>
        <w:t xml:space="preserve"> </w:t>
      </w:r>
      <w:r>
        <w:rPr>
          <w:color w:val="211F1F"/>
        </w:rPr>
        <w:t>and carry out the</w:t>
      </w:r>
      <w:r>
        <w:rPr>
          <w:color w:val="211F1F"/>
          <w:spacing w:val="-3"/>
        </w:rPr>
        <w:t xml:space="preserve"> </w:t>
      </w:r>
      <w:r>
        <w:rPr>
          <w:color w:val="211F1F"/>
        </w:rPr>
        <w:t>Project Manager's instructions for dealing with</w:t>
      </w:r>
      <w:r>
        <w:rPr>
          <w:color w:val="211F1F"/>
          <w:spacing w:val="-1"/>
        </w:rPr>
        <w:t xml:space="preserve"> </w:t>
      </w:r>
      <w:r>
        <w:rPr>
          <w:color w:val="211F1F"/>
        </w:rPr>
        <w:t>them.</w:t>
      </w:r>
    </w:p>
    <w:p w14:paraId="6F21A761" w14:textId="77777777" w:rsidR="00BB77C0" w:rsidRDefault="00370BAA">
      <w:pPr>
        <w:pStyle w:val="Heading7"/>
        <w:numPr>
          <w:ilvl w:val="0"/>
          <w:numId w:val="23"/>
        </w:numPr>
        <w:tabs>
          <w:tab w:val="left" w:pos="1075"/>
        </w:tabs>
        <w:spacing w:before="243"/>
        <w:ind w:left="1075" w:hanging="355"/>
        <w:jc w:val="left"/>
      </w:pPr>
      <w:bookmarkStart w:id="200" w:name="20._Possession_of_the_Site"/>
      <w:bookmarkEnd w:id="200"/>
      <w:r>
        <w:rPr>
          <w:color w:val="211F1F"/>
          <w:spacing w:val="-4"/>
        </w:rPr>
        <w:t>Possession</w:t>
      </w:r>
      <w:r>
        <w:rPr>
          <w:color w:val="211F1F"/>
          <w:spacing w:val="-18"/>
        </w:rPr>
        <w:t xml:space="preserve"> </w:t>
      </w:r>
      <w:r>
        <w:rPr>
          <w:color w:val="211F1F"/>
          <w:spacing w:val="-4"/>
        </w:rPr>
        <w:t>of</w:t>
      </w:r>
      <w:r>
        <w:rPr>
          <w:color w:val="211F1F"/>
          <w:spacing w:val="-15"/>
        </w:rPr>
        <w:t xml:space="preserve"> </w:t>
      </w:r>
      <w:r>
        <w:rPr>
          <w:color w:val="211F1F"/>
          <w:spacing w:val="-4"/>
        </w:rPr>
        <w:t>the</w:t>
      </w:r>
      <w:r>
        <w:rPr>
          <w:color w:val="211F1F"/>
          <w:spacing w:val="-2"/>
        </w:rPr>
        <w:t xml:space="preserve"> </w:t>
      </w:r>
      <w:r>
        <w:rPr>
          <w:color w:val="211F1F"/>
          <w:spacing w:val="-4"/>
        </w:rPr>
        <w:t>Site</w:t>
      </w:r>
    </w:p>
    <w:p w14:paraId="791F1FC2" w14:textId="77777777" w:rsidR="00BB77C0" w:rsidRDefault="00370BAA">
      <w:pPr>
        <w:pStyle w:val="ListParagraph"/>
        <w:numPr>
          <w:ilvl w:val="1"/>
          <w:numId w:val="23"/>
        </w:numPr>
        <w:tabs>
          <w:tab w:val="left" w:pos="1168"/>
          <w:tab w:val="left" w:pos="1171"/>
        </w:tabs>
        <w:spacing w:before="192" w:line="230" w:lineRule="auto"/>
        <w:ind w:right="839" w:hanging="360"/>
        <w:jc w:val="both"/>
        <w:rPr>
          <w:color w:val="211F1F"/>
        </w:rPr>
      </w:pPr>
      <w:r>
        <w:rPr>
          <w:color w:val="211F1F"/>
          <w:spacing w:val="-2"/>
        </w:rPr>
        <w:t>The</w:t>
      </w:r>
      <w:r>
        <w:rPr>
          <w:color w:val="211F1F"/>
          <w:spacing w:val="-12"/>
        </w:rPr>
        <w:t xml:space="preserve"> </w:t>
      </w:r>
      <w:r>
        <w:rPr>
          <w:color w:val="211F1F"/>
          <w:spacing w:val="-2"/>
        </w:rPr>
        <w:t>Procuring</w:t>
      </w:r>
      <w:r>
        <w:rPr>
          <w:color w:val="211F1F"/>
          <w:spacing w:val="-12"/>
        </w:rPr>
        <w:t xml:space="preserve"> </w:t>
      </w:r>
      <w:r>
        <w:rPr>
          <w:color w:val="211F1F"/>
          <w:spacing w:val="-2"/>
        </w:rPr>
        <w:t>Entity</w:t>
      </w:r>
      <w:r>
        <w:rPr>
          <w:color w:val="211F1F"/>
          <w:spacing w:val="-12"/>
        </w:rPr>
        <w:t xml:space="preserve"> </w:t>
      </w:r>
      <w:r>
        <w:rPr>
          <w:color w:val="211F1F"/>
          <w:spacing w:val="-2"/>
        </w:rPr>
        <w:t>shall</w:t>
      </w:r>
      <w:r>
        <w:rPr>
          <w:color w:val="211F1F"/>
          <w:spacing w:val="-11"/>
        </w:rPr>
        <w:t xml:space="preserve"> </w:t>
      </w:r>
      <w:r>
        <w:rPr>
          <w:color w:val="211F1F"/>
          <w:spacing w:val="-2"/>
        </w:rPr>
        <w:t>give</w:t>
      </w:r>
      <w:r>
        <w:rPr>
          <w:color w:val="211F1F"/>
          <w:spacing w:val="-12"/>
        </w:rPr>
        <w:t xml:space="preserve"> </w:t>
      </w:r>
      <w:r>
        <w:rPr>
          <w:color w:val="211F1F"/>
          <w:spacing w:val="-2"/>
        </w:rPr>
        <w:t>possession</w:t>
      </w:r>
      <w:r>
        <w:rPr>
          <w:color w:val="211F1F"/>
          <w:spacing w:val="-12"/>
        </w:rPr>
        <w:t xml:space="preserve"> </w:t>
      </w:r>
      <w:r>
        <w:rPr>
          <w:color w:val="211F1F"/>
          <w:spacing w:val="-2"/>
        </w:rPr>
        <w:t>of</w:t>
      </w:r>
      <w:r>
        <w:rPr>
          <w:color w:val="211F1F"/>
          <w:spacing w:val="-12"/>
        </w:rPr>
        <w:t xml:space="preserve"> </w:t>
      </w:r>
      <w:r>
        <w:rPr>
          <w:color w:val="211F1F"/>
          <w:spacing w:val="-2"/>
        </w:rPr>
        <w:t>all</w:t>
      </w:r>
      <w:r>
        <w:rPr>
          <w:color w:val="211F1F"/>
          <w:spacing w:val="-11"/>
        </w:rPr>
        <w:t xml:space="preserve"> </w:t>
      </w:r>
      <w:r>
        <w:rPr>
          <w:color w:val="211F1F"/>
          <w:spacing w:val="-2"/>
        </w:rPr>
        <w:t>parts</w:t>
      </w:r>
      <w:r>
        <w:rPr>
          <w:color w:val="211F1F"/>
          <w:spacing w:val="-5"/>
        </w:rPr>
        <w:t xml:space="preserve"> </w:t>
      </w:r>
      <w:r>
        <w:rPr>
          <w:color w:val="211F1F"/>
          <w:spacing w:val="-2"/>
        </w:rPr>
        <w:t>of</w:t>
      </w:r>
      <w:r>
        <w:rPr>
          <w:color w:val="211F1F"/>
          <w:spacing w:val="-12"/>
        </w:rPr>
        <w:t xml:space="preserve"> </w:t>
      </w:r>
      <w:r>
        <w:rPr>
          <w:color w:val="211F1F"/>
          <w:spacing w:val="-2"/>
        </w:rPr>
        <w:t>the</w:t>
      </w:r>
      <w:r>
        <w:rPr>
          <w:color w:val="211F1F"/>
          <w:spacing w:val="-12"/>
        </w:rPr>
        <w:t xml:space="preserve"> </w:t>
      </w:r>
      <w:r>
        <w:rPr>
          <w:color w:val="211F1F"/>
          <w:spacing w:val="-2"/>
        </w:rPr>
        <w:t>Site</w:t>
      </w:r>
      <w:r>
        <w:rPr>
          <w:color w:val="211F1F"/>
          <w:spacing w:val="-12"/>
        </w:rPr>
        <w:t xml:space="preserve"> </w:t>
      </w:r>
      <w:r>
        <w:rPr>
          <w:color w:val="211F1F"/>
          <w:spacing w:val="-2"/>
        </w:rPr>
        <w:t>to</w:t>
      </w:r>
      <w:r>
        <w:rPr>
          <w:color w:val="211F1F"/>
          <w:spacing w:val="-11"/>
        </w:rPr>
        <w:t xml:space="preserve"> </w:t>
      </w:r>
      <w:r>
        <w:rPr>
          <w:color w:val="211F1F"/>
          <w:spacing w:val="-2"/>
        </w:rPr>
        <w:t>the</w:t>
      </w:r>
      <w:r>
        <w:rPr>
          <w:color w:val="211F1F"/>
          <w:spacing w:val="-12"/>
        </w:rPr>
        <w:t xml:space="preserve"> </w:t>
      </w:r>
      <w:r>
        <w:rPr>
          <w:color w:val="211F1F"/>
          <w:spacing w:val="-2"/>
        </w:rPr>
        <w:t>Contractor.</w:t>
      </w:r>
      <w:r>
        <w:rPr>
          <w:color w:val="211F1F"/>
          <w:spacing w:val="65"/>
        </w:rPr>
        <w:t xml:space="preserve"> </w:t>
      </w:r>
      <w:r>
        <w:rPr>
          <w:color w:val="211F1F"/>
          <w:spacing w:val="-2"/>
        </w:rPr>
        <w:t>If</w:t>
      </w:r>
      <w:r>
        <w:rPr>
          <w:color w:val="211F1F"/>
          <w:spacing w:val="-12"/>
        </w:rPr>
        <w:t xml:space="preserve"> </w:t>
      </w:r>
      <w:r>
        <w:rPr>
          <w:color w:val="211F1F"/>
          <w:spacing w:val="-2"/>
        </w:rPr>
        <w:t>possession</w:t>
      </w:r>
      <w:r>
        <w:rPr>
          <w:color w:val="211F1F"/>
          <w:spacing w:val="-10"/>
        </w:rPr>
        <w:t xml:space="preserve"> </w:t>
      </w:r>
      <w:r>
        <w:rPr>
          <w:color w:val="211F1F"/>
          <w:spacing w:val="-2"/>
        </w:rPr>
        <w:t>of</w:t>
      </w:r>
      <w:r>
        <w:rPr>
          <w:color w:val="211F1F"/>
          <w:spacing w:val="-7"/>
        </w:rPr>
        <w:t xml:space="preserve"> </w:t>
      </w:r>
      <w:r>
        <w:rPr>
          <w:color w:val="211F1F"/>
          <w:spacing w:val="-2"/>
        </w:rPr>
        <w:t>a part</w:t>
      </w:r>
      <w:r>
        <w:rPr>
          <w:color w:val="211F1F"/>
          <w:spacing w:val="-9"/>
        </w:rPr>
        <w:t xml:space="preserve"> </w:t>
      </w:r>
      <w:r>
        <w:rPr>
          <w:color w:val="211F1F"/>
          <w:spacing w:val="-2"/>
        </w:rPr>
        <w:t>is</w:t>
      </w:r>
      <w:r>
        <w:rPr>
          <w:color w:val="211F1F"/>
          <w:spacing w:val="-5"/>
        </w:rPr>
        <w:t xml:space="preserve"> </w:t>
      </w:r>
      <w:r>
        <w:rPr>
          <w:color w:val="211F1F"/>
          <w:spacing w:val="-2"/>
        </w:rPr>
        <w:t>not given</w:t>
      </w:r>
      <w:r>
        <w:rPr>
          <w:color w:val="211F1F"/>
          <w:spacing w:val="-12"/>
        </w:rPr>
        <w:t xml:space="preserve"> </w:t>
      </w:r>
      <w:r>
        <w:rPr>
          <w:color w:val="211F1F"/>
          <w:spacing w:val="-2"/>
        </w:rPr>
        <w:t>by</w:t>
      </w:r>
      <w:r>
        <w:rPr>
          <w:color w:val="211F1F"/>
          <w:spacing w:val="-12"/>
        </w:rPr>
        <w:t xml:space="preserve"> </w:t>
      </w:r>
      <w:r>
        <w:rPr>
          <w:color w:val="211F1F"/>
          <w:spacing w:val="-2"/>
        </w:rPr>
        <w:t>thedate</w:t>
      </w:r>
      <w:r>
        <w:rPr>
          <w:color w:val="211F1F"/>
          <w:spacing w:val="-12"/>
        </w:rPr>
        <w:t xml:space="preserve"> </w:t>
      </w:r>
      <w:r>
        <w:rPr>
          <w:b/>
          <w:color w:val="211F1F"/>
          <w:spacing w:val="-2"/>
        </w:rPr>
        <w:t>stated</w:t>
      </w:r>
      <w:r>
        <w:rPr>
          <w:b/>
          <w:color w:val="211F1F"/>
          <w:spacing w:val="-11"/>
        </w:rPr>
        <w:t xml:space="preserve"> </w:t>
      </w:r>
      <w:r>
        <w:rPr>
          <w:b/>
          <w:color w:val="211F1F"/>
          <w:spacing w:val="-2"/>
        </w:rPr>
        <w:t>in</w:t>
      </w:r>
      <w:r>
        <w:rPr>
          <w:b/>
          <w:color w:val="211F1F"/>
          <w:spacing w:val="-12"/>
        </w:rPr>
        <w:t xml:space="preserve"> </w:t>
      </w:r>
      <w:r>
        <w:rPr>
          <w:b/>
          <w:color w:val="211F1F"/>
          <w:spacing w:val="-2"/>
        </w:rPr>
        <w:t>the</w:t>
      </w:r>
      <w:r>
        <w:rPr>
          <w:b/>
          <w:color w:val="211F1F"/>
          <w:spacing w:val="-12"/>
        </w:rPr>
        <w:t xml:space="preserve"> </w:t>
      </w:r>
      <w:r>
        <w:rPr>
          <w:b/>
          <w:color w:val="211F1F"/>
          <w:spacing w:val="-2"/>
        </w:rPr>
        <w:t>SCC,</w:t>
      </w:r>
      <w:r>
        <w:rPr>
          <w:b/>
          <w:color w:val="211F1F"/>
          <w:spacing w:val="-12"/>
        </w:rPr>
        <w:t xml:space="preserve"> </w:t>
      </w:r>
      <w:r>
        <w:rPr>
          <w:color w:val="211F1F"/>
          <w:spacing w:val="-2"/>
        </w:rPr>
        <w:t>the</w:t>
      </w:r>
      <w:r>
        <w:rPr>
          <w:color w:val="211F1F"/>
          <w:spacing w:val="-11"/>
        </w:rPr>
        <w:t xml:space="preserve"> </w:t>
      </w:r>
      <w:r>
        <w:rPr>
          <w:color w:val="211F1F"/>
          <w:spacing w:val="-2"/>
        </w:rPr>
        <w:t>Procuring</w:t>
      </w:r>
      <w:r>
        <w:rPr>
          <w:color w:val="211F1F"/>
          <w:spacing w:val="-12"/>
        </w:rPr>
        <w:t xml:space="preserve"> </w:t>
      </w:r>
      <w:r>
        <w:rPr>
          <w:color w:val="211F1F"/>
          <w:spacing w:val="-2"/>
        </w:rPr>
        <w:t>Entityshall</w:t>
      </w:r>
      <w:r>
        <w:rPr>
          <w:color w:val="211F1F"/>
          <w:spacing w:val="-12"/>
        </w:rPr>
        <w:t xml:space="preserve"> </w:t>
      </w:r>
      <w:r>
        <w:rPr>
          <w:color w:val="211F1F"/>
          <w:spacing w:val="-2"/>
        </w:rPr>
        <w:t>be</w:t>
      </w:r>
      <w:r>
        <w:rPr>
          <w:color w:val="211F1F"/>
          <w:spacing w:val="-12"/>
        </w:rPr>
        <w:t xml:space="preserve"> </w:t>
      </w:r>
      <w:r>
        <w:rPr>
          <w:color w:val="211F1F"/>
          <w:spacing w:val="-2"/>
        </w:rPr>
        <w:t>deemed</w:t>
      </w:r>
      <w:r>
        <w:rPr>
          <w:color w:val="211F1F"/>
          <w:spacing w:val="-11"/>
        </w:rPr>
        <w:t xml:space="preserve"> </w:t>
      </w:r>
      <w:r>
        <w:rPr>
          <w:color w:val="211F1F"/>
          <w:spacing w:val="-2"/>
        </w:rPr>
        <w:t>to</w:t>
      </w:r>
      <w:r>
        <w:rPr>
          <w:color w:val="211F1F"/>
          <w:spacing w:val="-12"/>
        </w:rPr>
        <w:t xml:space="preserve"> </w:t>
      </w:r>
      <w:r>
        <w:rPr>
          <w:color w:val="211F1F"/>
          <w:spacing w:val="-2"/>
        </w:rPr>
        <w:t>have</w:t>
      </w:r>
      <w:r>
        <w:rPr>
          <w:color w:val="211F1F"/>
          <w:spacing w:val="-12"/>
        </w:rPr>
        <w:t xml:space="preserve"> </w:t>
      </w:r>
      <w:r>
        <w:rPr>
          <w:color w:val="211F1F"/>
          <w:spacing w:val="-2"/>
        </w:rPr>
        <w:t>delayed</w:t>
      </w:r>
      <w:r>
        <w:rPr>
          <w:color w:val="211F1F"/>
          <w:spacing w:val="-12"/>
        </w:rPr>
        <w:t xml:space="preserve"> </w:t>
      </w:r>
      <w:r>
        <w:rPr>
          <w:color w:val="211F1F"/>
          <w:spacing w:val="-2"/>
        </w:rPr>
        <w:t>the</w:t>
      </w:r>
      <w:r>
        <w:rPr>
          <w:color w:val="211F1F"/>
          <w:spacing w:val="-11"/>
        </w:rPr>
        <w:t xml:space="preserve"> </w:t>
      </w:r>
      <w:r>
        <w:rPr>
          <w:color w:val="211F1F"/>
          <w:spacing w:val="-2"/>
        </w:rPr>
        <w:t>start</w:t>
      </w:r>
      <w:r>
        <w:rPr>
          <w:color w:val="211F1F"/>
          <w:spacing w:val="-12"/>
        </w:rPr>
        <w:t xml:space="preserve"> </w:t>
      </w:r>
      <w:r>
        <w:rPr>
          <w:color w:val="211F1F"/>
          <w:spacing w:val="-2"/>
        </w:rPr>
        <w:t>of</w:t>
      </w:r>
      <w:r>
        <w:rPr>
          <w:color w:val="211F1F"/>
          <w:spacing w:val="-12"/>
        </w:rPr>
        <w:t xml:space="preserve"> </w:t>
      </w:r>
      <w:r>
        <w:rPr>
          <w:color w:val="211F1F"/>
          <w:spacing w:val="-2"/>
        </w:rPr>
        <w:t xml:space="preserve">therelevant </w:t>
      </w:r>
      <w:r>
        <w:rPr>
          <w:color w:val="211F1F"/>
        </w:rPr>
        <w:t>activities, and this shall be a Compensation Event.</w:t>
      </w:r>
    </w:p>
    <w:p w14:paraId="3A12487E" w14:textId="77777777" w:rsidR="00BB77C0" w:rsidRDefault="00370BAA">
      <w:pPr>
        <w:pStyle w:val="Heading7"/>
        <w:numPr>
          <w:ilvl w:val="0"/>
          <w:numId w:val="23"/>
        </w:numPr>
        <w:tabs>
          <w:tab w:val="left" w:pos="1075"/>
        </w:tabs>
        <w:spacing w:before="242"/>
        <w:ind w:left="1075" w:hanging="355"/>
        <w:jc w:val="left"/>
      </w:pPr>
      <w:bookmarkStart w:id="201" w:name="21._Access_to_the_Site"/>
      <w:bookmarkEnd w:id="201"/>
      <w:r>
        <w:rPr>
          <w:color w:val="211F1F"/>
          <w:spacing w:val="-4"/>
        </w:rPr>
        <w:t>Access</w:t>
      </w:r>
      <w:r>
        <w:rPr>
          <w:color w:val="211F1F"/>
          <w:spacing w:val="-15"/>
        </w:rPr>
        <w:t xml:space="preserve"> </w:t>
      </w:r>
      <w:r>
        <w:rPr>
          <w:color w:val="211F1F"/>
          <w:spacing w:val="-4"/>
        </w:rPr>
        <w:t>to</w:t>
      </w:r>
      <w:r>
        <w:rPr>
          <w:color w:val="211F1F"/>
          <w:spacing w:val="-16"/>
        </w:rPr>
        <w:t xml:space="preserve"> </w:t>
      </w:r>
      <w:r>
        <w:rPr>
          <w:color w:val="211F1F"/>
          <w:spacing w:val="-4"/>
        </w:rPr>
        <w:t>the</w:t>
      </w:r>
      <w:r>
        <w:rPr>
          <w:color w:val="211F1F"/>
          <w:spacing w:val="-12"/>
        </w:rPr>
        <w:t xml:space="preserve"> </w:t>
      </w:r>
      <w:r>
        <w:rPr>
          <w:color w:val="211F1F"/>
          <w:spacing w:val="-4"/>
        </w:rPr>
        <w:t>Site</w:t>
      </w:r>
    </w:p>
    <w:p w14:paraId="6A73DCB7" w14:textId="77777777" w:rsidR="00BB77C0" w:rsidRDefault="00370BAA">
      <w:pPr>
        <w:pStyle w:val="ListParagraph"/>
        <w:numPr>
          <w:ilvl w:val="1"/>
          <w:numId w:val="23"/>
        </w:numPr>
        <w:tabs>
          <w:tab w:val="left" w:pos="1163"/>
          <w:tab w:val="left" w:pos="1171"/>
        </w:tabs>
        <w:spacing w:before="192" w:line="230" w:lineRule="auto"/>
        <w:ind w:right="836" w:hanging="360"/>
        <w:jc w:val="both"/>
        <w:rPr>
          <w:color w:val="211F1F"/>
        </w:rPr>
      </w:pPr>
      <w:r>
        <w:rPr>
          <w:color w:val="211F1F"/>
          <w:spacing w:val="-2"/>
        </w:rPr>
        <w:t>The</w:t>
      </w:r>
      <w:r>
        <w:rPr>
          <w:color w:val="211F1F"/>
          <w:spacing w:val="-12"/>
        </w:rPr>
        <w:t xml:space="preserve"> </w:t>
      </w:r>
      <w:r>
        <w:rPr>
          <w:color w:val="211F1F"/>
          <w:spacing w:val="-2"/>
        </w:rPr>
        <w:t>Contractor</w:t>
      </w:r>
      <w:r>
        <w:rPr>
          <w:color w:val="211F1F"/>
          <w:spacing w:val="-7"/>
        </w:rPr>
        <w:t xml:space="preserve"> </w:t>
      </w:r>
      <w:r>
        <w:rPr>
          <w:color w:val="211F1F"/>
          <w:spacing w:val="-2"/>
        </w:rPr>
        <w:t>shall</w:t>
      </w:r>
      <w:r>
        <w:rPr>
          <w:color w:val="211F1F"/>
          <w:spacing w:val="-10"/>
        </w:rPr>
        <w:t xml:space="preserve"> </w:t>
      </w:r>
      <w:r>
        <w:rPr>
          <w:color w:val="211F1F"/>
          <w:spacing w:val="-2"/>
        </w:rPr>
        <w:t>allow</w:t>
      </w:r>
      <w:r>
        <w:rPr>
          <w:color w:val="211F1F"/>
          <w:spacing w:val="-12"/>
        </w:rPr>
        <w:t xml:space="preserve"> </w:t>
      </w:r>
      <w:r>
        <w:rPr>
          <w:color w:val="211F1F"/>
          <w:spacing w:val="-2"/>
        </w:rPr>
        <w:t>the</w:t>
      </w:r>
      <w:r>
        <w:rPr>
          <w:color w:val="211F1F"/>
          <w:spacing w:val="-8"/>
        </w:rPr>
        <w:t xml:space="preserve"> </w:t>
      </w:r>
      <w:r>
        <w:rPr>
          <w:color w:val="211F1F"/>
          <w:spacing w:val="-2"/>
        </w:rPr>
        <w:t>Project</w:t>
      </w:r>
      <w:r>
        <w:rPr>
          <w:color w:val="211F1F"/>
          <w:spacing w:val="-5"/>
        </w:rPr>
        <w:t xml:space="preserve"> </w:t>
      </w:r>
      <w:r>
        <w:rPr>
          <w:color w:val="211F1F"/>
          <w:spacing w:val="-2"/>
        </w:rPr>
        <w:t>Manager</w:t>
      </w:r>
      <w:r>
        <w:rPr>
          <w:color w:val="211F1F"/>
          <w:spacing w:val="-7"/>
        </w:rPr>
        <w:t xml:space="preserve"> </w:t>
      </w:r>
      <w:r>
        <w:rPr>
          <w:color w:val="211F1F"/>
          <w:spacing w:val="-2"/>
        </w:rPr>
        <w:t>and</w:t>
      </w:r>
      <w:r>
        <w:rPr>
          <w:color w:val="211F1F"/>
          <w:spacing w:val="-11"/>
        </w:rPr>
        <w:t xml:space="preserve"> </w:t>
      </w:r>
      <w:r>
        <w:rPr>
          <w:color w:val="211F1F"/>
          <w:spacing w:val="-2"/>
        </w:rPr>
        <w:t>any</w:t>
      </w:r>
      <w:r>
        <w:rPr>
          <w:color w:val="211F1F"/>
          <w:spacing w:val="-11"/>
        </w:rPr>
        <w:t xml:space="preserve"> </w:t>
      </w:r>
      <w:r>
        <w:rPr>
          <w:color w:val="211F1F"/>
          <w:spacing w:val="-2"/>
        </w:rPr>
        <w:t>person</w:t>
      </w:r>
      <w:r>
        <w:rPr>
          <w:color w:val="211F1F"/>
          <w:spacing w:val="-11"/>
        </w:rPr>
        <w:t xml:space="preserve"> </w:t>
      </w:r>
      <w:r>
        <w:rPr>
          <w:color w:val="211F1F"/>
          <w:spacing w:val="-2"/>
        </w:rPr>
        <w:t>authorized</w:t>
      </w:r>
      <w:r>
        <w:rPr>
          <w:color w:val="211F1F"/>
          <w:spacing w:val="-5"/>
        </w:rPr>
        <w:t xml:space="preserve"> </w:t>
      </w:r>
      <w:r>
        <w:rPr>
          <w:color w:val="211F1F"/>
          <w:spacing w:val="-2"/>
        </w:rPr>
        <w:t>by</w:t>
      </w:r>
      <w:r>
        <w:rPr>
          <w:color w:val="211F1F"/>
          <w:spacing w:val="-11"/>
        </w:rPr>
        <w:t xml:space="preserve"> </w:t>
      </w:r>
      <w:r>
        <w:rPr>
          <w:color w:val="211F1F"/>
          <w:spacing w:val="-2"/>
        </w:rPr>
        <w:t>the</w:t>
      </w:r>
      <w:r>
        <w:rPr>
          <w:color w:val="211F1F"/>
          <w:spacing w:val="-12"/>
        </w:rPr>
        <w:t xml:space="preserve"> </w:t>
      </w:r>
      <w:r>
        <w:rPr>
          <w:color w:val="211F1F"/>
          <w:spacing w:val="-2"/>
        </w:rPr>
        <w:t>Project Manager</w:t>
      </w:r>
      <w:r>
        <w:rPr>
          <w:color w:val="211F1F"/>
          <w:spacing w:val="-8"/>
        </w:rPr>
        <w:t xml:space="preserve"> </w:t>
      </w:r>
      <w:r>
        <w:rPr>
          <w:color w:val="211F1F"/>
          <w:spacing w:val="-2"/>
        </w:rPr>
        <w:t>access</w:t>
      </w:r>
      <w:r>
        <w:rPr>
          <w:color w:val="211F1F"/>
          <w:spacing w:val="-5"/>
        </w:rPr>
        <w:t xml:space="preserve"> </w:t>
      </w:r>
      <w:r>
        <w:rPr>
          <w:color w:val="211F1F"/>
          <w:spacing w:val="-2"/>
        </w:rPr>
        <w:t>to</w:t>
      </w:r>
      <w:r>
        <w:rPr>
          <w:color w:val="211F1F"/>
          <w:spacing w:val="-11"/>
        </w:rPr>
        <w:t xml:space="preserve"> </w:t>
      </w:r>
      <w:r>
        <w:rPr>
          <w:color w:val="211F1F"/>
          <w:spacing w:val="-2"/>
        </w:rPr>
        <w:t>the Site</w:t>
      </w:r>
      <w:r>
        <w:rPr>
          <w:color w:val="211F1F"/>
          <w:spacing w:val="-12"/>
        </w:rPr>
        <w:t xml:space="preserve"> </w:t>
      </w:r>
      <w:r>
        <w:rPr>
          <w:color w:val="211F1F"/>
          <w:spacing w:val="-2"/>
        </w:rPr>
        <w:t>and</w:t>
      </w:r>
      <w:r>
        <w:rPr>
          <w:color w:val="211F1F"/>
          <w:spacing w:val="-12"/>
        </w:rPr>
        <w:t xml:space="preserve"> </w:t>
      </w:r>
      <w:r>
        <w:rPr>
          <w:color w:val="211F1F"/>
          <w:spacing w:val="-2"/>
        </w:rPr>
        <w:t>to</w:t>
      </w:r>
      <w:r>
        <w:rPr>
          <w:color w:val="211F1F"/>
          <w:spacing w:val="-12"/>
        </w:rPr>
        <w:t xml:space="preserve"> </w:t>
      </w:r>
      <w:r>
        <w:rPr>
          <w:color w:val="211F1F"/>
          <w:spacing w:val="-2"/>
        </w:rPr>
        <w:t>any</w:t>
      </w:r>
      <w:r>
        <w:rPr>
          <w:color w:val="211F1F"/>
          <w:spacing w:val="-11"/>
        </w:rPr>
        <w:t xml:space="preserve"> </w:t>
      </w:r>
      <w:r>
        <w:rPr>
          <w:color w:val="211F1F"/>
          <w:spacing w:val="-2"/>
        </w:rPr>
        <w:t>place</w:t>
      </w:r>
      <w:r>
        <w:rPr>
          <w:color w:val="211F1F"/>
          <w:spacing w:val="-12"/>
        </w:rPr>
        <w:t xml:space="preserve"> </w:t>
      </w:r>
      <w:r>
        <w:rPr>
          <w:color w:val="211F1F"/>
          <w:spacing w:val="-2"/>
        </w:rPr>
        <w:t>where</w:t>
      </w:r>
      <w:r>
        <w:rPr>
          <w:color w:val="211F1F"/>
          <w:spacing w:val="-12"/>
        </w:rPr>
        <w:t xml:space="preserve"> </w:t>
      </w:r>
      <w:r>
        <w:rPr>
          <w:color w:val="211F1F"/>
          <w:spacing w:val="-2"/>
        </w:rPr>
        <w:t>work</w:t>
      </w:r>
      <w:r>
        <w:rPr>
          <w:color w:val="211F1F"/>
          <w:spacing w:val="-12"/>
        </w:rPr>
        <w:t xml:space="preserve"> </w:t>
      </w:r>
      <w:r>
        <w:rPr>
          <w:color w:val="211F1F"/>
          <w:spacing w:val="-2"/>
        </w:rPr>
        <w:t>in</w:t>
      </w:r>
      <w:r>
        <w:rPr>
          <w:color w:val="211F1F"/>
          <w:spacing w:val="-11"/>
        </w:rPr>
        <w:t xml:space="preserve"> </w:t>
      </w:r>
      <w:r>
        <w:rPr>
          <w:color w:val="211F1F"/>
          <w:spacing w:val="-2"/>
        </w:rPr>
        <w:t>connection</w:t>
      </w:r>
      <w:r>
        <w:rPr>
          <w:color w:val="211F1F"/>
          <w:spacing w:val="-12"/>
        </w:rPr>
        <w:t xml:space="preserve"> </w:t>
      </w:r>
      <w:r>
        <w:rPr>
          <w:color w:val="211F1F"/>
          <w:spacing w:val="-2"/>
        </w:rPr>
        <w:t>with</w:t>
      </w:r>
      <w:r>
        <w:rPr>
          <w:color w:val="211F1F"/>
          <w:spacing w:val="-12"/>
        </w:rPr>
        <w:t xml:space="preserve"> </w:t>
      </w:r>
      <w:r>
        <w:rPr>
          <w:color w:val="211F1F"/>
          <w:spacing w:val="-2"/>
        </w:rPr>
        <w:t>the</w:t>
      </w:r>
      <w:r>
        <w:rPr>
          <w:color w:val="211F1F"/>
          <w:spacing w:val="-12"/>
        </w:rPr>
        <w:t xml:space="preserve"> </w:t>
      </w:r>
      <w:r>
        <w:rPr>
          <w:color w:val="211F1F"/>
          <w:spacing w:val="-2"/>
        </w:rPr>
        <w:t>Contract</w:t>
      </w:r>
      <w:r>
        <w:rPr>
          <w:color w:val="211F1F"/>
          <w:spacing w:val="-11"/>
        </w:rPr>
        <w:t xml:space="preserve"> </w:t>
      </w:r>
      <w:r>
        <w:rPr>
          <w:color w:val="211F1F"/>
          <w:spacing w:val="-2"/>
        </w:rPr>
        <w:t>is</w:t>
      </w:r>
      <w:r>
        <w:rPr>
          <w:color w:val="211F1F"/>
          <w:spacing w:val="-9"/>
        </w:rPr>
        <w:t xml:space="preserve"> </w:t>
      </w:r>
      <w:r>
        <w:rPr>
          <w:color w:val="211F1F"/>
          <w:spacing w:val="-2"/>
        </w:rPr>
        <w:t>being</w:t>
      </w:r>
      <w:r>
        <w:rPr>
          <w:color w:val="211F1F"/>
          <w:spacing w:val="-10"/>
        </w:rPr>
        <w:t xml:space="preserve"> </w:t>
      </w:r>
      <w:r>
        <w:rPr>
          <w:color w:val="211F1F"/>
          <w:spacing w:val="-2"/>
        </w:rPr>
        <w:t>carried</w:t>
      </w:r>
      <w:r>
        <w:rPr>
          <w:color w:val="211F1F"/>
          <w:spacing w:val="-12"/>
        </w:rPr>
        <w:t xml:space="preserve"> </w:t>
      </w:r>
      <w:r>
        <w:rPr>
          <w:color w:val="211F1F"/>
          <w:spacing w:val="-2"/>
        </w:rPr>
        <w:t>out</w:t>
      </w:r>
      <w:r>
        <w:rPr>
          <w:color w:val="211F1F"/>
          <w:spacing w:val="-4"/>
        </w:rPr>
        <w:t xml:space="preserve"> </w:t>
      </w:r>
      <w:r>
        <w:rPr>
          <w:color w:val="211F1F"/>
          <w:spacing w:val="-2"/>
        </w:rPr>
        <w:t>or</w:t>
      </w:r>
      <w:r>
        <w:rPr>
          <w:color w:val="211F1F"/>
          <w:spacing w:val="-7"/>
        </w:rPr>
        <w:t xml:space="preserve"> </w:t>
      </w:r>
      <w:r>
        <w:rPr>
          <w:color w:val="211F1F"/>
          <w:spacing w:val="-2"/>
        </w:rPr>
        <w:t>is</w:t>
      </w:r>
      <w:r>
        <w:rPr>
          <w:color w:val="211F1F"/>
          <w:spacing w:val="-5"/>
        </w:rPr>
        <w:t xml:space="preserve"> </w:t>
      </w:r>
      <w:r>
        <w:rPr>
          <w:color w:val="211F1F"/>
          <w:spacing w:val="-2"/>
        </w:rPr>
        <w:t>intended</w:t>
      </w:r>
      <w:r>
        <w:rPr>
          <w:color w:val="211F1F"/>
          <w:spacing w:val="-10"/>
        </w:rPr>
        <w:t xml:space="preserve"> </w:t>
      </w:r>
      <w:r>
        <w:rPr>
          <w:color w:val="211F1F"/>
          <w:spacing w:val="-2"/>
        </w:rPr>
        <w:t>to</w:t>
      </w:r>
      <w:r>
        <w:rPr>
          <w:color w:val="211F1F"/>
          <w:spacing w:val="-10"/>
        </w:rPr>
        <w:t xml:space="preserve"> </w:t>
      </w:r>
      <w:r>
        <w:rPr>
          <w:color w:val="211F1F"/>
          <w:spacing w:val="-2"/>
        </w:rPr>
        <w:t>be</w:t>
      </w:r>
      <w:r>
        <w:rPr>
          <w:color w:val="211F1F"/>
          <w:spacing w:val="-12"/>
        </w:rPr>
        <w:t xml:space="preserve"> </w:t>
      </w:r>
      <w:r>
        <w:rPr>
          <w:color w:val="211F1F"/>
          <w:spacing w:val="-2"/>
        </w:rPr>
        <w:t xml:space="preserve">carried </w:t>
      </w:r>
      <w:r>
        <w:rPr>
          <w:color w:val="211F1F"/>
          <w:spacing w:val="-4"/>
        </w:rPr>
        <w:t>out.</w:t>
      </w:r>
    </w:p>
    <w:p w14:paraId="79E75B9A" w14:textId="77777777" w:rsidR="00BB77C0" w:rsidRDefault="00370BAA">
      <w:pPr>
        <w:pStyle w:val="Heading7"/>
        <w:numPr>
          <w:ilvl w:val="0"/>
          <w:numId w:val="23"/>
        </w:numPr>
        <w:tabs>
          <w:tab w:val="left" w:pos="1080"/>
        </w:tabs>
        <w:spacing w:before="243"/>
        <w:ind w:left="1080" w:hanging="360"/>
        <w:jc w:val="left"/>
      </w:pPr>
      <w:bookmarkStart w:id="202" w:name="22._Instructions,_Inspections_and_Audits"/>
      <w:bookmarkEnd w:id="202"/>
      <w:r>
        <w:rPr>
          <w:color w:val="211F1F"/>
          <w:spacing w:val="-4"/>
        </w:rPr>
        <w:t>Instructions,</w:t>
      </w:r>
      <w:r>
        <w:rPr>
          <w:color w:val="211F1F"/>
          <w:spacing w:val="8"/>
        </w:rPr>
        <w:t xml:space="preserve"> </w:t>
      </w:r>
      <w:r>
        <w:rPr>
          <w:color w:val="211F1F"/>
          <w:spacing w:val="-4"/>
        </w:rPr>
        <w:t>Inspections</w:t>
      </w:r>
      <w:r>
        <w:rPr>
          <w:color w:val="211F1F"/>
          <w:spacing w:val="4"/>
        </w:rPr>
        <w:t xml:space="preserve"> </w:t>
      </w:r>
      <w:r>
        <w:rPr>
          <w:color w:val="211F1F"/>
          <w:spacing w:val="-4"/>
        </w:rPr>
        <w:t>and</w:t>
      </w:r>
      <w:r>
        <w:rPr>
          <w:color w:val="211F1F"/>
          <w:spacing w:val="-23"/>
        </w:rPr>
        <w:t xml:space="preserve"> </w:t>
      </w:r>
      <w:r>
        <w:rPr>
          <w:color w:val="211F1F"/>
          <w:spacing w:val="-4"/>
        </w:rPr>
        <w:t>Audits</w:t>
      </w:r>
    </w:p>
    <w:p w14:paraId="3BB21E34" w14:textId="77777777" w:rsidR="00BB77C0" w:rsidRDefault="00370BAA">
      <w:pPr>
        <w:pStyle w:val="ListParagraph"/>
        <w:numPr>
          <w:ilvl w:val="1"/>
          <w:numId w:val="23"/>
        </w:numPr>
        <w:tabs>
          <w:tab w:val="left" w:pos="1168"/>
          <w:tab w:val="left" w:pos="1171"/>
        </w:tabs>
        <w:spacing w:before="186" w:line="237" w:lineRule="auto"/>
        <w:ind w:right="930" w:hanging="360"/>
        <w:jc w:val="both"/>
        <w:rPr>
          <w:color w:val="211F1F"/>
        </w:rPr>
      </w:pPr>
      <w:r>
        <w:rPr>
          <w:color w:val="211F1F"/>
        </w:rPr>
        <w:t>The</w:t>
      </w:r>
      <w:r>
        <w:rPr>
          <w:color w:val="211F1F"/>
          <w:spacing w:val="-14"/>
        </w:rPr>
        <w:t xml:space="preserve"> </w:t>
      </w:r>
      <w:r>
        <w:rPr>
          <w:color w:val="211F1F"/>
        </w:rPr>
        <w:t>Contractor</w:t>
      </w:r>
      <w:r>
        <w:rPr>
          <w:color w:val="211F1F"/>
          <w:spacing w:val="-12"/>
        </w:rPr>
        <w:t xml:space="preserve"> </w:t>
      </w:r>
      <w:r>
        <w:rPr>
          <w:color w:val="211F1F"/>
        </w:rPr>
        <w:t>shall</w:t>
      </w:r>
      <w:r>
        <w:rPr>
          <w:color w:val="211F1F"/>
          <w:spacing w:val="-9"/>
        </w:rPr>
        <w:t xml:space="preserve"> </w:t>
      </w:r>
      <w:r>
        <w:rPr>
          <w:color w:val="211F1F"/>
        </w:rPr>
        <w:t>carry</w:t>
      </w:r>
      <w:r>
        <w:rPr>
          <w:color w:val="211F1F"/>
          <w:spacing w:val="-14"/>
        </w:rPr>
        <w:t xml:space="preserve"> </w:t>
      </w:r>
      <w:r>
        <w:rPr>
          <w:color w:val="211F1F"/>
        </w:rPr>
        <w:t>out</w:t>
      </w:r>
      <w:r>
        <w:rPr>
          <w:color w:val="211F1F"/>
          <w:spacing w:val="-10"/>
        </w:rPr>
        <w:t xml:space="preserve"> </w:t>
      </w:r>
      <w:r>
        <w:rPr>
          <w:color w:val="211F1F"/>
        </w:rPr>
        <w:t>all</w:t>
      </w:r>
      <w:r>
        <w:rPr>
          <w:color w:val="211F1F"/>
          <w:spacing w:val="-10"/>
        </w:rPr>
        <w:t xml:space="preserve"> </w:t>
      </w:r>
      <w:r>
        <w:rPr>
          <w:color w:val="211F1F"/>
        </w:rPr>
        <w:t>instructions</w:t>
      </w:r>
      <w:r>
        <w:rPr>
          <w:color w:val="211F1F"/>
          <w:spacing w:val="-6"/>
        </w:rPr>
        <w:t xml:space="preserve"> </w:t>
      </w:r>
      <w:r>
        <w:rPr>
          <w:color w:val="211F1F"/>
        </w:rPr>
        <w:t>of</w:t>
      </w:r>
      <w:r>
        <w:rPr>
          <w:color w:val="211F1F"/>
          <w:spacing w:val="-9"/>
        </w:rPr>
        <w:t xml:space="preserve"> </w:t>
      </w:r>
      <w:r>
        <w:rPr>
          <w:color w:val="211F1F"/>
        </w:rPr>
        <w:t>the</w:t>
      </w:r>
      <w:r>
        <w:rPr>
          <w:color w:val="211F1F"/>
          <w:spacing w:val="-13"/>
        </w:rPr>
        <w:t xml:space="preserve"> </w:t>
      </w:r>
      <w:r>
        <w:rPr>
          <w:color w:val="211F1F"/>
        </w:rPr>
        <w:t>Project</w:t>
      </w:r>
      <w:r>
        <w:rPr>
          <w:color w:val="211F1F"/>
          <w:spacing w:val="-6"/>
        </w:rPr>
        <w:t xml:space="preserve"> </w:t>
      </w:r>
      <w:r>
        <w:rPr>
          <w:color w:val="211F1F"/>
        </w:rPr>
        <w:t>Manager</w:t>
      </w:r>
      <w:r>
        <w:rPr>
          <w:color w:val="211F1F"/>
          <w:spacing w:val="-4"/>
        </w:rPr>
        <w:t xml:space="preserve"> </w:t>
      </w:r>
      <w:r>
        <w:rPr>
          <w:color w:val="211F1F"/>
        </w:rPr>
        <w:t>which</w:t>
      </w:r>
      <w:r>
        <w:rPr>
          <w:color w:val="211F1F"/>
          <w:spacing w:val="-11"/>
        </w:rPr>
        <w:t xml:space="preserve"> </w:t>
      </w:r>
      <w:r>
        <w:rPr>
          <w:color w:val="211F1F"/>
        </w:rPr>
        <w:t>comply</w:t>
      </w:r>
      <w:r>
        <w:rPr>
          <w:color w:val="211F1F"/>
          <w:spacing w:val="-8"/>
        </w:rPr>
        <w:t xml:space="preserve"> </w:t>
      </w:r>
      <w:r>
        <w:rPr>
          <w:color w:val="211F1F"/>
        </w:rPr>
        <w:t>with</w:t>
      </w:r>
      <w:r>
        <w:rPr>
          <w:color w:val="211F1F"/>
          <w:spacing w:val="-11"/>
        </w:rPr>
        <w:t xml:space="preserve"> </w:t>
      </w:r>
      <w:r>
        <w:rPr>
          <w:color w:val="211F1F"/>
        </w:rPr>
        <w:t>the</w:t>
      </w:r>
      <w:r>
        <w:rPr>
          <w:color w:val="211F1F"/>
          <w:spacing w:val="-14"/>
        </w:rPr>
        <w:t xml:space="preserve"> </w:t>
      </w:r>
      <w:r>
        <w:rPr>
          <w:color w:val="211F1F"/>
        </w:rPr>
        <w:t>applicable</w:t>
      </w:r>
      <w:r>
        <w:rPr>
          <w:color w:val="211F1F"/>
          <w:spacing w:val="-12"/>
        </w:rPr>
        <w:t xml:space="preserve"> </w:t>
      </w:r>
      <w:r>
        <w:rPr>
          <w:color w:val="211F1F"/>
        </w:rPr>
        <w:t>laws where</w:t>
      </w:r>
      <w:r>
        <w:rPr>
          <w:color w:val="211F1F"/>
          <w:spacing w:val="-1"/>
        </w:rPr>
        <w:t xml:space="preserve"> </w:t>
      </w:r>
      <w:r>
        <w:rPr>
          <w:color w:val="211F1F"/>
        </w:rPr>
        <w:t>the</w:t>
      </w:r>
      <w:r>
        <w:rPr>
          <w:color w:val="211F1F"/>
          <w:spacing w:val="-3"/>
        </w:rPr>
        <w:t xml:space="preserve"> </w:t>
      </w:r>
      <w:r>
        <w:rPr>
          <w:color w:val="211F1F"/>
        </w:rPr>
        <w:t>Site</w:t>
      </w:r>
      <w:r>
        <w:rPr>
          <w:color w:val="211F1F"/>
          <w:spacing w:val="-1"/>
        </w:rPr>
        <w:t xml:space="preserve"> </w:t>
      </w:r>
      <w:r>
        <w:rPr>
          <w:color w:val="211F1F"/>
        </w:rPr>
        <w:t>is located.</w:t>
      </w:r>
    </w:p>
    <w:p w14:paraId="3B3D8316" w14:textId="77777777" w:rsidR="00BB77C0" w:rsidRDefault="00370BAA">
      <w:pPr>
        <w:pStyle w:val="ListParagraph"/>
        <w:numPr>
          <w:ilvl w:val="1"/>
          <w:numId w:val="23"/>
        </w:numPr>
        <w:tabs>
          <w:tab w:val="left" w:pos="1168"/>
          <w:tab w:val="left" w:pos="1171"/>
        </w:tabs>
        <w:spacing w:before="187" w:line="230" w:lineRule="auto"/>
        <w:ind w:right="836" w:hanging="360"/>
        <w:jc w:val="both"/>
        <w:rPr>
          <w:color w:val="211F1F"/>
        </w:rPr>
      </w:pPr>
      <w:r>
        <w:rPr>
          <w:color w:val="211F1F"/>
        </w:rPr>
        <w:t>The Contractor shall keep, and shall make all reasonable efforts to cause its Subcontractors and sub- consultants to keep, accurate and systematic accounts and records in respect of the Works in such form</w:t>
      </w:r>
      <w:r>
        <w:rPr>
          <w:color w:val="211F1F"/>
          <w:spacing w:val="-2"/>
        </w:rPr>
        <w:t xml:space="preserve"> </w:t>
      </w:r>
      <w:r>
        <w:rPr>
          <w:color w:val="211F1F"/>
        </w:rPr>
        <w:t>and details as will clearly identify relevant time changes and costs.</w:t>
      </w:r>
    </w:p>
    <w:p w14:paraId="41DAC6CC" w14:textId="77777777" w:rsidR="00BB77C0" w:rsidRDefault="00370BAA">
      <w:pPr>
        <w:pStyle w:val="ListParagraph"/>
        <w:numPr>
          <w:ilvl w:val="1"/>
          <w:numId w:val="23"/>
        </w:numPr>
        <w:tabs>
          <w:tab w:val="left" w:pos="1163"/>
          <w:tab w:val="left" w:pos="1171"/>
        </w:tabs>
        <w:spacing w:before="198" w:line="230" w:lineRule="auto"/>
        <w:ind w:right="830" w:hanging="360"/>
        <w:jc w:val="both"/>
        <w:rPr>
          <w:color w:val="211F1F"/>
        </w:rPr>
      </w:pPr>
      <w:r>
        <w:rPr>
          <w:color w:val="211F1F"/>
        </w:rPr>
        <w:t>The Contractor shall permit and shall cause its subcontractors and sub-consultants to permit, the Procuring Entity and/or persons appointed by the Public Procurement Regulatory Authority to inspect the Site and/or the</w:t>
      </w:r>
      <w:r>
        <w:rPr>
          <w:color w:val="211F1F"/>
          <w:spacing w:val="-13"/>
        </w:rPr>
        <w:t xml:space="preserve"> </w:t>
      </w:r>
      <w:r>
        <w:rPr>
          <w:color w:val="211F1F"/>
        </w:rPr>
        <w:t>accounts</w:t>
      </w:r>
      <w:r>
        <w:rPr>
          <w:color w:val="211F1F"/>
          <w:spacing w:val="-6"/>
        </w:rPr>
        <w:t xml:space="preserve"> </w:t>
      </w:r>
      <w:r>
        <w:rPr>
          <w:color w:val="211F1F"/>
        </w:rPr>
        <w:t>and</w:t>
      </w:r>
      <w:r>
        <w:rPr>
          <w:color w:val="211F1F"/>
          <w:spacing w:val="-11"/>
        </w:rPr>
        <w:t xml:space="preserve"> </w:t>
      </w:r>
      <w:r>
        <w:rPr>
          <w:color w:val="211F1F"/>
        </w:rPr>
        <w:t>records</w:t>
      </w:r>
      <w:r>
        <w:rPr>
          <w:color w:val="211F1F"/>
          <w:spacing w:val="-6"/>
        </w:rPr>
        <w:t xml:space="preserve"> </w:t>
      </w:r>
      <w:r>
        <w:rPr>
          <w:color w:val="211F1F"/>
        </w:rPr>
        <w:t>relating</w:t>
      </w:r>
      <w:r>
        <w:rPr>
          <w:color w:val="211F1F"/>
          <w:spacing w:val="-10"/>
        </w:rPr>
        <w:t xml:space="preserve"> </w:t>
      </w:r>
      <w:r>
        <w:rPr>
          <w:color w:val="211F1F"/>
        </w:rPr>
        <w:t>to</w:t>
      </w:r>
      <w:r>
        <w:rPr>
          <w:color w:val="211F1F"/>
          <w:spacing w:val="-11"/>
        </w:rPr>
        <w:t xml:space="preserve"> </w:t>
      </w:r>
      <w:r>
        <w:rPr>
          <w:color w:val="211F1F"/>
        </w:rPr>
        <w:t>the</w:t>
      </w:r>
      <w:r>
        <w:rPr>
          <w:color w:val="211F1F"/>
          <w:spacing w:val="-13"/>
        </w:rPr>
        <w:t xml:space="preserve"> </w:t>
      </w:r>
      <w:r>
        <w:rPr>
          <w:color w:val="211F1F"/>
        </w:rPr>
        <w:t>procurement</w:t>
      </w:r>
      <w:r>
        <w:rPr>
          <w:color w:val="211F1F"/>
          <w:spacing w:val="-5"/>
        </w:rPr>
        <w:t xml:space="preserve"> </w:t>
      </w:r>
      <w:r>
        <w:rPr>
          <w:color w:val="211F1F"/>
        </w:rPr>
        <w:t>process,</w:t>
      </w:r>
      <w:r>
        <w:rPr>
          <w:color w:val="211F1F"/>
          <w:spacing w:val="-3"/>
        </w:rPr>
        <w:t xml:space="preserve"> </w:t>
      </w:r>
      <w:r>
        <w:rPr>
          <w:color w:val="211F1F"/>
        </w:rPr>
        <w:t>selection</w:t>
      </w:r>
      <w:r>
        <w:rPr>
          <w:color w:val="211F1F"/>
          <w:spacing w:val="-11"/>
        </w:rPr>
        <w:t xml:space="preserve"> </w:t>
      </w:r>
      <w:r>
        <w:rPr>
          <w:color w:val="211F1F"/>
        </w:rPr>
        <w:t>and/or</w:t>
      </w:r>
      <w:r>
        <w:rPr>
          <w:color w:val="211F1F"/>
          <w:spacing w:val="-2"/>
        </w:rPr>
        <w:t xml:space="preserve"> </w:t>
      </w:r>
      <w:r>
        <w:rPr>
          <w:color w:val="211F1F"/>
        </w:rPr>
        <w:t>contract</w:t>
      </w:r>
      <w:r>
        <w:rPr>
          <w:color w:val="211F1F"/>
          <w:spacing w:val="-5"/>
        </w:rPr>
        <w:t xml:space="preserve"> </w:t>
      </w:r>
      <w:r>
        <w:rPr>
          <w:color w:val="211F1F"/>
        </w:rPr>
        <w:t>execution,</w:t>
      </w:r>
      <w:r>
        <w:rPr>
          <w:color w:val="211F1F"/>
          <w:spacing w:val="-3"/>
        </w:rPr>
        <w:t xml:space="preserve"> </w:t>
      </w:r>
      <w:r>
        <w:rPr>
          <w:color w:val="211F1F"/>
        </w:rPr>
        <w:t>and</w:t>
      </w:r>
      <w:r>
        <w:rPr>
          <w:color w:val="211F1F"/>
          <w:spacing w:val="-11"/>
        </w:rPr>
        <w:t xml:space="preserve"> </w:t>
      </w:r>
      <w:r>
        <w:rPr>
          <w:color w:val="211F1F"/>
        </w:rPr>
        <w:t>to</w:t>
      </w:r>
      <w:r>
        <w:rPr>
          <w:color w:val="211F1F"/>
          <w:spacing w:val="-11"/>
        </w:rPr>
        <w:t xml:space="preserve"> </w:t>
      </w:r>
      <w:r>
        <w:rPr>
          <w:color w:val="211F1F"/>
        </w:rPr>
        <w:t>have such accounts and records audited by auditors appointed by the Public Procurement Regulatory Authority. The Contractor's and its Subcontractors' and sub-consultants' attention is drawn to Sub-Clause 25.1 (Fraud and</w:t>
      </w:r>
      <w:r>
        <w:rPr>
          <w:color w:val="211F1F"/>
          <w:spacing w:val="-2"/>
        </w:rPr>
        <w:t xml:space="preserve"> </w:t>
      </w:r>
      <w:r>
        <w:rPr>
          <w:color w:val="211F1F"/>
        </w:rPr>
        <w:t>Corruption) which</w:t>
      </w:r>
      <w:r>
        <w:rPr>
          <w:color w:val="211F1F"/>
          <w:spacing w:val="-2"/>
        </w:rPr>
        <w:t xml:space="preserve"> </w:t>
      </w:r>
      <w:r>
        <w:rPr>
          <w:color w:val="211F1F"/>
        </w:rPr>
        <w:t>provides, inter alia, that</w:t>
      </w:r>
      <w:r>
        <w:rPr>
          <w:color w:val="211F1F"/>
          <w:spacing w:val="-1"/>
        </w:rPr>
        <w:t xml:space="preserve"> </w:t>
      </w:r>
      <w:r>
        <w:rPr>
          <w:color w:val="211F1F"/>
        </w:rPr>
        <w:t>acts intended</w:t>
      </w:r>
      <w:r>
        <w:rPr>
          <w:color w:val="211F1F"/>
          <w:spacing w:val="-1"/>
        </w:rPr>
        <w:t xml:space="preserve"> </w:t>
      </w:r>
      <w:r>
        <w:rPr>
          <w:color w:val="211F1F"/>
        </w:rPr>
        <w:t>to</w:t>
      </w:r>
      <w:r>
        <w:rPr>
          <w:color w:val="211F1F"/>
          <w:spacing w:val="-2"/>
        </w:rPr>
        <w:t xml:space="preserve"> </w:t>
      </w:r>
      <w:r>
        <w:rPr>
          <w:color w:val="211F1F"/>
        </w:rPr>
        <w:t>materially impede</w:t>
      </w:r>
      <w:r>
        <w:rPr>
          <w:color w:val="211F1F"/>
          <w:spacing w:val="-3"/>
        </w:rPr>
        <w:t xml:space="preserve"> </w:t>
      </w:r>
      <w:r>
        <w:rPr>
          <w:color w:val="211F1F"/>
        </w:rPr>
        <w:t>the exercise</w:t>
      </w:r>
      <w:r>
        <w:rPr>
          <w:color w:val="211F1F"/>
          <w:spacing w:val="-2"/>
        </w:rPr>
        <w:t xml:space="preserve"> </w:t>
      </w:r>
      <w:r>
        <w:rPr>
          <w:color w:val="211F1F"/>
        </w:rPr>
        <w:t>of the</w:t>
      </w:r>
      <w:r>
        <w:rPr>
          <w:color w:val="211F1F"/>
          <w:spacing w:val="-2"/>
        </w:rPr>
        <w:t xml:space="preserve"> </w:t>
      </w:r>
      <w:r>
        <w:rPr>
          <w:color w:val="211F1F"/>
        </w:rPr>
        <w:t>Public Procurement Regulatory Authority's inspection and audit rights constitute a prohibited practice subject to contract termination (as well as to a determination of ineligibility pursuant to the Public Procurement Regulatory Authority's prevailing sanctions procedures).</w:t>
      </w:r>
    </w:p>
    <w:p w14:paraId="010957DB" w14:textId="77777777" w:rsidR="00BB77C0" w:rsidRDefault="00BB77C0">
      <w:pPr>
        <w:pStyle w:val="ListParagraph"/>
        <w:spacing w:line="230" w:lineRule="auto"/>
        <w:jc w:val="both"/>
        <w:sectPr w:rsidR="00BB77C0">
          <w:pgSz w:w="11920" w:h="16850"/>
          <w:pgMar w:top="740" w:right="0" w:bottom="280" w:left="360" w:header="720" w:footer="720" w:gutter="0"/>
          <w:cols w:space="720"/>
        </w:sectPr>
      </w:pPr>
    </w:p>
    <w:p w14:paraId="5E7C1492" w14:textId="77777777" w:rsidR="00BB77C0" w:rsidRDefault="00370BAA">
      <w:pPr>
        <w:pStyle w:val="Heading7"/>
        <w:numPr>
          <w:ilvl w:val="0"/>
          <w:numId w:val="23"/>
        </w:numPr>
        <w:tabs>
          <w:tab w:val="left" w:pos="1075"/>
        </w:tabs>
        <w:spacing w:before="79"/>
        <w:ind w:left="1075" w:hanging="355"/>
        <w:jc w:val="both"/>
      </w:pPr>
      <w:bookmarkStart w:id="203" w:name="23._Appointment_of_the_Adjudicator"/>
      <w:bookmarkEnd w:id="203"/>
      <w:r>
        <w:rPr>
          <w:color w:val="211F1F"/>
          <w:spacing w:val="-4"/>
        </w:rPr>
        <w:lastRenderedPageBreak/>
        <w:t>Appointment</w:t>
      </w:r>
      <w:r>
        <w:rPr>
          <w:color w:val="211F1F"/>
          <w:spacing w:val="-6"/>
        </w:rPr>
        <w:t xml:space="preserve"> </w:t>
      </w:r>
      <w:r>
        <w:rPr>
          <w:color w:val="211F1F"/>
          <w:spacing w:val="-4"/>
        </w:rPr>
        <w:t>of</w:t>
      </w:r>
      <w:r>
        <w:rPr>
          <w:color w:val="211F1F"/>
          <w:spacing w:val="-12"/>
        </w:rPr>
        <w:t xml:space="preserve"> </w:t>
      </w:r>
      <w:r>
        <w:rPr>
          <w:color w:val="211F1F"/>
          <w:spacing w:val="-4"/>
        </w:rPr>
        <w:t>the</w:t>
      </w:r>
      <w:r>
        <w:rPr>
          <w:color w:val="211F1F"/>
          <w:spacing w:val="-23"/>
        </w:rPr>
        <w:t xml:space="preserve"> </w:t>
      </w:r>
      <w:r>
        <w:rPr>
          <w:color w:val="211F1F"/>
          <w:spacing w:val="-4"/>
        </w:rPr>
        <w:t>Adjudicator</w:t>
      </w:r>
    </w:p>
    <w:p w14:paraId="592DFEBA" w14:textId="77777777" w:rsidR="00BB77C0" w:rsidRDefault="00370BAA">
      <w:pPr>
        <w:pStyle w:val="ListParagraph"/>
        <w:numPr>
          <w:ilvl w:val="1"/>
          <w:numId w:val="23"/>
        </w:numPr>
        <w:tabs>
          <w:tab w:val="left" w:pos="1168"/>
          <w:tab w:val="left" w:pos="1171"/>
        </w:tabs>
        <w:spacing w:before="192" w:line="230" w:lineRule="auto"/>
        <w:ind w:right="838" w:hanging="360"/>
        <w:jc w:val="both"/>
        <w:rPr>
          <w:color w:val="211F1F"/>
        </w:rPr>
      </w:pPr>
      <w:r>
        <w:rPr>
          <w:color w:val="211F1F"/>
        </w:rPr>
        <w:t>The Adjudicator shall be appointed jointly by the Procuring Entity and the Contractor, at the time of the Procuring</w:t>
      </w:r>
      <w:r>
        <w:rPr>
          <w:color w:val="211F1F"/>
          <w:spacing w:val="-2"/>
        </w:rPr>
        <w:t xml:space="preserve"> </w:t>
      </w:r>
      <w:r>
        <w:rPr>
          <w:color w:val="211F1F"/>
        </w:rPr>
        <w:t>Entity's issuance</w:t>
      </w:r>
      <w:r>
        <w:rPr>
          <w:color w:val="211F1F"/>
          <w:spacing w:val="-7"/>
        </w:rPr>
        <w:t xml:space="preserve"> </w:t>
      </w:r>
      <w:r>
        <w:rPr>
          <w:color w:val="211F1F"/>
        </w:rPr>
        <w:t>of the</w:t>
      </w:r>
      <w:r>
        <w:rPr>
          <w:color w:val="211F1F"/>
          <w:spacing w:val="-4"/>
        </w:rPr>
        <w:t xml:space="preserve"> </w:t>
      </w:r>
      <w:r>
        <w:rPr>
          <w:color w:val="211F1F"/>
        </w:rPr>
        <w:t>Letter of Acceptance. If,</w:t>
      </w:r>
      <w:r>
        <w:rPr>
          <w:color w:val="211F1F"/>
          <w:spacing w:val="-1"/>
        </w:rPr>
        <w:t xml:space="preserve"> </w:t>
      </w:r>
      <w:r>
        <w:rPr>
          <w:color w:val="211F1F"/>
        </w:rPr>
        <w:t>in</w:t>
      </w:r>
      <w:r>
        <w:rPr>
          <w:color w:val="211F1F"/>
          <w:spacing w:val="-3"/>
        </w:rPr>
        <w:t xml:space="preserve"> </w:t>
      </w:r>
      <w:r>
        <w:rPr>
          <w:color w:val="211F1F"/>
        </w:rPr>
        <w:t>the</w:t>
      </w:r>
      <w:r>
        <w:rPr>
          <w:color w:val="211F1F"/>
          <w:spacing w:val="-4"/>
        </w:rPr>
        <w:t xml:space="preserve"> </w:t>
      </w:r>
      <w:r>
        <w:rPr>
          <w:color w:val="211F1F"/>
        </w:rPr>
        <w:t>Letter of Acceptance, the</w:t>
      </w:r>
      <w:r>
        <w:rPr>
          <w:color w:val="211F1F"/>
          <w:spacing w:val="-4"/>
        </w:rPr>
        <w:t xml:space="preserve"> </w:t>
      </w:r>
      <w:r>
        <w:rPr>
          <w:color w:val="211F1F"/>
        </w:rPr>
        <w:t>Procuring</w:t>
      </w:r>
      <w:r>
        <w:rPr>
          <w:color w:val="211F1F"/>
          <w:spacing w:val="-1"/>
        </w:rPr>
        <w:t xml:space="preserve"> </w:t>
      </w:r>
      <w:r>
        <w:rPr>
          <w:color w:val="211F1F"/>
        </w:rPr>
        <w:t>Entity does not agree on the appointment of the Adjudicator, the Procuring Entity will request the Appointing Authority designated in the SCC, to appoint the Adjudicator within 14 days of receipt of such request.</w:t>
      </w:r>
    </w:p>
    <w:p w14:paraId="54921B22" w14:textId="77777777" w:rsidR="00BB77C0" w:rsidRDefault="00370BAA">
      <w:pPr>
        <w:pStyle w:val="ListParagraph"/>
        <w:numPr>
          <w:ilvl w:val="1"/>
          <w:numId w:val="23"/>
        </w:numPr>
        <w:tabs>
          <w:tab w:val="left" w:pos="1168"/>
          <w:tab w:val="left" w:pos="1171"/>
        </w:tabs>
        <w:spacing w:before="200" w:line="230" w:lineRule="auto"/>
        <w:ind w:right="833" w:hanging="360"/>
        <w:jc w:val="both"/>
        <w:rPr>
          <w:color w:val="211F1F"/>
        </w:rPr>
      </w:pPr>
      <w:r>
        <w:rPr>
          <w:color w:val="211F1F"/>
        </w:rPr>
        <w:t>Should the Adjudicator resign or die, or should the Procuring Entity and the Contractor agree that the Adjudicator is not functioning in</w:t>
      </w:r>
      <w:r>
        <w:rPr>
          <w:color w:val="211F1F"/>
          <w:spacing w:val="-2"/>
        </w:rPr>
        <w:t xml:space="preserve"> </w:t>
      </w:r>
      <w:r>
        <w:rPr>
          <w:color w:val="211F1F"/>
        </w:rPr>
        <w:t>accordance</w:t>
      </w:r>
      <w:r>
        <w:rPr>
          <w:color w:val="211F1F"/>
          <w:spacing w:val="-3"/>
        </w:rPr>
        <w:t xml:space="preserve"> </w:t>
      </w:r>
      <w:r>
        <w:rPr>
          <w:color w:val="211F1F"/>
        </w:rPr>
        <w:t>with</w:t>
      </w:r>
      <w:r>
        <w:rPr>
          <w:color w:val="211F1F"/>
          <w:spacing w:val="-1"/>
        </w:rPr>
        <w:t xml:space="preserve"> </w:t>
      </w:r>
      <w:r>
        <w:rPr>
          <w:color w:val="211F1F"/>
        </w:rPr>
        <w:t>the</w:t>
      </w:r>
      <w:r>
        <w:rPr>
          <w:color w:val="211F1F"/>
          <w:spacing w:val="-4"/>
        </w:rPr>
        <w:t xml:space="preserve"> </w:t>
      </w:r>
      <w:r>
        <w:rPr>
          <w:color w:val="211F1F"/>
        </w:rPr>
        <w:t>provisions of the</w:t>
      </w:r>
      <w:r>
        <w:rPr>
          <w:color w:val="211F1F"/>
          <w:spacing w:val="-3"/>
        </w:rPr>
        <w:t xml:space="preserve"> </w:t>
      </w:r>
      <w:r>
        <w:rPr>
          <w:color w:val="211F1F"/>
        </w:rPr>
        <w:t>Contract,</w:t>
      </w:r>
      <w:r>
        <w:rPr>
          <w:color w:val="211F1F"/>
          <w:spacing w:val="-3"/>
        </w:rPr>
        <w:t xml:space="preserve"> </w:t>
      </w:r>
      <w:r>
        <w:rPr>
          <w:color w:val="211F1F"/>
        </w:rPr>
        <w:t>a new</w:t>
      </w:r>
      <w:r>
        <w:rPr>
          <w:color w:val="211F1F"/>
          <w:spacing w:val="-3"/>
        </w:rPr>
        <w:t xml:space="preserve"> </w:t>
      </w:r>
      <w:r>
        <w:rPr>
          <w:color w:val="211F1F"/>
        </w:rPr>
        <w:t>Adjudicator shall</w:t>
      </w:r>
      <w:r>
        <w:rPr>
          <w:color w:val="211F1F"/>
          <w:spacing w:val="-1"/>
        </w:rPr>
        <w:t xml:space="preserve"> </w:t>
      </w:r>
      <w:r>
        <w:rPr>
          <w:color w:val="211F1F"/>
        </w:rPr>
        <w:t>be jointly appointed</w:t>
      </w:r>
      <w:r>
        <w:rPr>
          <w:color w:val="211F1F"/>
          <w:spacing w:val="-1"/>
        </w:rPr>
        <w:t xml:space="preserve"> </w:t>
      </w:r>
      <w:r>
        <w:rPr>
          <w:color w:val="211F1F"/>
        </w:rPr>
        <w:t>by</w:t>
      </w:r>
      <w:r>
        <w:rPr>
          <w:color w:val="211F1F"/>
          <w:spacing w:val="-2"/>
        </w:rPr>
        <w:t xml:space="preserve"> </w:t>
      </w:r>
      <w:r>
        <w:rPr>
          <w:color w:val="211F1F"/>
        </w:rPr>
        <w:t>the</w:t>
      </w:r>
      <w:r>
        <w:rPr>
          <w:color w:val="211F1F"/>
          <w:spacing w:val="-4"/>
        </w:rPr>
        <w:t xml:space="preserve"> </w:t>
      </w:r>
      <w:r>
        <w:rPr>
          <w:color w:val="211F1F"/>
        </w:rPr>
        <w:t>Procuring</w:t>
      </w:r>
      <w:r>
        <w:rPr>
          <w:color w:val="211F1F"/>
          <w:spacing w:val="-1"/>
        </w:rPr>
        <w:t xml:space="preserve"> </w:t>
      </w:r>
      <w:r>
        <w:rPr>
          <w:color w:val="211F1F"/>
        </w:rPr>
        <w:t>Entity</w:t>
      </w:r>
      <w:r>
        <w:rPr>
          <w:color w:val="211F1F"/>
          <w:spacing w:val="-2"/>
        </w:rPr>
        <w:t xml:space="preserve"> </w:t>
      </w:r>
      <w:r>
        <w:rPr>
          <w:color w:val="211F1F"/>
        </w:rPr>
        <w:t>and</w:t>
      </w:r>
      <w:r>
        <w:rPr>
          <w:color w:val="211F1F"/>
          <w:spacing w:val="-1"/>
        </w:rPr>
        <w:t xml:space="preserve"> </w:t>
      </w:r>
      <w:r>
        <w:rPr>
          <w:color w:val="211F1F"/>
        </w:rPr>
        <w:t>the</w:t>
      </w:r>
      <w:r>
        <w:rPr>
          <w:color w:val="211F1F"/>
          <w:spacing w:val="-4"/>
        </w:rPr>
        <w:t xml:space="preserve"> </w:t>
      </w:r>
      <w:r>
        <w:rPr>
          <w:color w:val="211F1F"/>
        </w:rPr>
        <w:t>Contractor. In</w:t>
      </w:r>
      <w:r>
        <w:rPr>
          <w:color w:val="211F1F"/>
          <w:spacing w:val="-2"/>
        </w:rPr>
        <w:t xml:space="preserve"> </w:t>
      </w:r>
      <w:r>
        <w:rPr>
          <w:color w:val="211F1F"/>
        </w:rPr>
        <w:t>case</w:t>
      </w:r>
      <w:r>
        <w:rPr>
          <w:color w:val="211F1F"/>
          <w:spacing w:val="-8"/>
        </w:rPr>
        <w:t xml:space="preserve"> </w:t>
      </w:r>
      <w:r>
        <w:rPr>
          <w:color w:val="211F1F"/>
        </w:rPr>
        <w:t>of disagreement between</w:t>
      </w:r>
      <w:r>
        <w:rPr>
          <w:color w:val="211F1F"/>
          <w:spacing w:val="-1"/>
        </w:rPr>
        <w:t xml:space="preserve"> </w:t>
      </w:r>
      <w:r>
        <w:rPr>
          <w:color w:val="211F1F"/>
        </w:rPr>
        <w:t>the</w:t>
      </w:r>
      <w:r>
        <w:rPr>
          <w:color w:val="211F1F"/>
          <w:spacing w:val="-3"/>
        </w:rPr>
        <w:t xml:space="preserve"> </w:t>
      </w:r>
      <w:r>
        <w:rPr>
          <w:color w:val="211F1F"/>
        </w:rPr>
        <w:t>Procuring Entity and the Contractor, within 30 days, the Adjudicator shall be designated by the Appointing Authority designated in the SCC at the request</w:t>
      </w:r>
      <w:r>
        <w:rPr>
          <w:color w:val="211F1F"/>
          <w:spacing w:val="-3"/>
        </w:rPr>
        <w:t xml:space="preserve"> </w:t>
      </w:r>
      <w:r>
        <w:rPr>
          <w:color w:val="211F1F"/>
        </w:rPr>
        <w:t>of</w:t>
      </w:r>
      <w:r>
        <w:rPr>
          <w:color w:val="211F1F"/>
          <w:spacing w:val="-7"/>
        </w:rPr>
        <w:t xml:space="preserve"> </w:t>
      </w:r>
      <w:r>
        <w:rPr>
          <w:color w:val="211F1F"/>
        </w:rPr>
        <w:t>either</w:t>
      </w:r>
      <w:r>
        <w:rPr>
          <w:color w:val="211F1F"/>
          <w:spacing w:val="-6"/>
        </w:rPr>
        <w:t xml:space="preserve"> </w:t>
      </w:r>
      <w:r>
        <w:rPr>
          <w:color w:val="211F1F"/>
        </w:rPr>
        <w:t>party,</w:t>
      </w:r>
      <w:r>
        <w:rPr>
          <w:color w:val="211F1F"/>
          <w:spacing w:val="-13"/>
        </w:rPr>
        <w:t xml:space="preserve"> </w:t>
      </w:r>
      <w:r>
        <w:rPr>
          <w:color w:val="211F1F"/>
        </w:rPr>
        <w:t>within</w:t>
      </w:r>
      <w:r>
        <w:rPr>
          <w:color w:val="211F1F"/>
          <w:spacing w:val="-16"/>
        </w:rPr>
        <w:t xml:space="preserve"> </w:t>
      </w:r>
      <w:r>
        <w:rPr>
          <w:color w:val="211F1F"/>
        </w:rPr>
        <w:t>14</w:t>
      </w:r>
      <w:r>
        <w:rPr>
          <w:color w:val="211F1F"/>
          <w:spacing w:val="-11"/>
        </w:rPr>
        <w:t xml:space="preserve"> </w:t>
      </w:r>
      <w:r>
        <w:rPr>
          <w:color w:val="211F1F"/>
        </w:rPr>
        <w:t>days</w:t>
      </w:r>
      <w:r>
        <w:rPr>
          <w:color w:val="211F1F"/>
          <w:spacing w:val="-10"/>
        </w:rPr>
        <w:t xml:space="preserve"> </w:t>
      </w:r>
      <w:r>
        <w:rPr>
          <w:color w:val="211F1F"/>
        </w:rPr>
        <w:t>of</w:t>
      </w:r>
      <w:r>
        <w:rPr>
          <w:color w:val="211F1F"/>
          <w:spacing w:val="-13"/>
        </w:rPr>
        <w:t xml:space="preserve"> </w:t>
      </w:r>
      <w:r>
        <w:rPr>
          <w:color w:val="211F1F"/>
        </w:rPr>
        <w:t>receipt</w:t>
      </w:r>
      <w:r>
        <w:rPr>
          <w:color w:val="211F1F"/>
          <w:spacing w:val="-3"/>
        </w:rPr>
        <w:t xml:space="preserve"> </w:t>
      </w:r>
      <w:r>
        <w:rPr>
          <w:color w:val="211F1F"/>
        </w:rPr>
        <w:t>of</w:t>
      </w:r>
      <w:r>
        <w:rPr>
          <w:color w:val="211F1F"/>
          <w:spacing w:val="-13"/>
        </w:rPr>
        <w:t xml:space="preserve"> </w:t>
      </w:r>
      <w:r>
        <w:rPr>
          <w:color w:val="211F1F"/>
        </w:rPr>
        <w:t>such</w:t>
      </w:r>
      <w:r>
        <w:rPr>
          <w:color w:val="211F1F"/>
          <w:spacing w:val="-11"/>
        </w:rPr>
        <w:t xml:space="preserve"> </w:t>
      </w:r>
      <w:r>
        <w:rPr>
          <w:color w:val="211F1F"/>
        </w:rPr>
        <w:t>request.</w:t>
      </w:r>
    </w:p>
    <w:p w14:paraId="0427C0F8" w14:textId="77777777" w:rsidR="00BB77C0" w:rsidRDefault="00370BAA">
      <w:pPr>
        <w:pStyle w:val="Heading7"/>
        <w:numPr>
          <w:ilvl w:val="0"/>
          <w:numId w:val="23"/>
        </w:numPr>
        <w:tabs>
          <w:tab w:val="left" w:pos="1075"/>
        </w:tabs>
        <w:spacing w:before="237"/>
        <w:ind w:left="1075" w:hanging="355"/>
        <w:jc w:val="both"/>
      </w:pPr>
      <w:bookmarkStart w:id="204" w:name="24._Settlement_of_Claims_and_Disputes"/>
      <w:bookmarkEnd w:id="204"/>
      <w:r>
        <w:rPr>
          <w:color w:val="211F1F"/>
          <w:spacing w:val="-4"/>
        </w:rPr>
        <w:t>Settlement</w:t>
      </w:r>
      <w:r>
        <w:rPr>
          <w:color w:val="211F1F"/>
          <w:spacing w:val="-11"/>
        </w:rPr>
        <w:t xml:space="preserve"> </w:t>
      </w:r>
      <w:r>
        <w:rPr>
          <w:color w:val="211F1F"/>
          <w:spacing w:val="-4"/>
        </w:rPr>
        <w:t>of</w:t>
      </w:r>
      <w:r>
        <w:rPr>
          <w:color w:val="211F1F"/>
          <w:spacing w:val="-12"/>
        </w:rPr>
        <w:t xml:space="preserve"> </w:t>
      </w:r>
      <w:r>
        <w:rPr>
          <w:color w:val="211F1F"/>
          <w:spacing w:val="-4"/>
        </w:rPr>
        <w:t>Claims</w:t>
      </w:r>
      <w:r>
        <w:rPr>
          <w:color w:val="211F1F"/>
          <w:spacing w:val="-8"/>
        </w:rPr>
        <w:t xml:space="preserve"> </w:t>
      </w:r>
      <w:r>
        <w:rPr>
          <w:color w:val="211F1F"/>
          <w:spacing w:val="-4"/>
        </w:rPr>
        <w:t>and</w:t>
      </w:r>
      <w:r>
        <w:rPr>
          <w:color w:val="211F1F"/>
          <w:spacing w:val="-13"/>
        </w:rPr>
        <w:t xml:space="preserve"> </w:t>
      </w:r>
      <w:r>
        <w:rPr>
          <w:color w:val="211F1F"/>
          <w:spacing w:val="-4"/>
        </w:rPr>
        <w:t>Disputes</w:t>
      </w:r>
    </w:p>
    <w:p w14:paraId="0422A6DD" w14:textId="77777777" w:rsidR="00BB77C0" w:rsidRDefault="00370BAA">
      <w:pPr>
        <w:pStyle w:val="ListParagraph"/>
        <w:numPr>
          <w:ilvl w:val="1"/>
          <w:numId w:val="23"/>
        </w:numPr>
        <w:tabs>
          <w:tab w:val="left" w:pos="1168"/>
        </w:tabs>
        <w:spacing w:before="194"/>
        <w:ind w:left="1168" w:hanging="357"/>
        <w:jc w:val="both"/>
        <w:rPr>
          <w:b/>
          <w:color w:val="211F1F"/>
        </w:rPr>
      </w:pPr>
      <w:r>
        <w:rPr>
          <w:b/>
          <w:color w:val="211F1F"/>
          <w:spacing w:val="-2"/>
        </w:rPr>
        <w:t>Contractor's</w:t>
      </w:r>
      <w:r>
        <w:rPr>
          <w:b/>
          <w:color w:val="211F1F"/>
          <w:spacing w:val="-11"/>
        </w:rPr>
        <w:t xml:space="preserve"> </w:t>
      </w:r>
      <w:r>
        <w:rPr>
          <w:b/>
          <w:color w:val="211F1F"/>
          <w:spacing w:val="-2"/>
        </w:rPr>
        <w:t>Claims</w:t>
      </w:r>
    </w:p>
    <w:p w14:paraId="40682BAD" w14:textId="77777777" w:rsidR="00BB77C0" w:rsidRDefault="00370BAA">
      <w:pPr>
        <w:pStyle w:val="ListParagraph"/>
        <w:numPr>
          <w:ilvl w:val="2"/>
          <w:numId w:val="23"/>
        </w:numPr>
        <w:tabs>
          <w:tab w:val="left" w:pos="1616"/>
          <w:tab w:val="left" w:pos="1618"/>
        </w:tabs>
        <w:spacing w:before="115" w:line="230" w:lineRule="auto"/>
        <w:ind w:left="1618" w:right="706" w:hanging="630"/>
        <w:jc w:val="both"/>
        <w:rPr>
          <w:color w:val="211F1F"/>
        </w:rPr>
      </w:pPr>
      <w:r>
        <w:rPr>
          <w:color w:val="211F1F"/>
        </w:rPr>
        <w:t>If the Contractor considers itself to be entitled to any extension of the Time for Completion and/or any additional payment, under any Clause of these</w:t>
      </w:r>
      <w:r>
        <w:rPr>
          <w:color w:val="211F1F"/>
          <w:spacing w:val="-1"/>
        </w:rPr>
        <w:t xml:space="preserve"> </w:t>
      </w:r>
      <w:r>
        <w:rPr>
          <w:color w:val="211F1F"/>
        </w:rPr>
        <w:t>Conditions or otherwise</w:t>
      </w:r>
      <w:r>
        <w:rPr>
          <w:color w:val="211F1F"/>
          <w:spacing w:val="-1"/>
        </w:rPr>
        <w:t xml:space="preserve"> </w:t>
      </w:r>
      <w:r>
        <w:rPr>
          <w:color w:val="211F1F"/>
        </w:rPr>
        <w:t>in connection with the Contract, the</w:t>
      </w:r>
      <w:r>
        <w:rPr>
          <w:color w:val="211F1F"/>
          <w:spacing w:val="-4"/>
        </w:rPr>
        <w:t xml:space="preserve"> </w:t>
      </w:r>
      <w:r>
        <w:rPr>
          <w:color w:val="211F1F"/>
        </w:rPr>
        <w:t>Contractor shall</w:t>
      </w:r>
      <w:r>
        <w:rPr>
          <w:color w:val="211F1F"/>
          <w:spacing w:val="-1"/>
        </w:rPr>
        <w:t xml:space="preserve"> </w:t>
      </w:r>
      <w:r>
        <w:rPr>
          <w:color w:val="211F1F"/>
        </w:rPr>
        <w:t>give</w:t>
      </w:r>
      <w:r>
        <w:rPr>
          <w:color w:val="211F1F"/>
          <w:spacing w:val="-1"/>
        </w:rPr>
        <w:t xml:space="preserve"> </w:t>
      </w:r>
      <w:r>
        <w:rPr>
          <w:color w:val="211F1F"/>
          <w:u w:val="single" w:color="211F1F"/>
        </w:rPr>
        <w:t>Notice</w:t>
      </w:r>
      <w:r>
        <w:rPr>
          <w:color w:val="211F1F"/>
          <w:spacing w:val="-3"/>
          <w:u w:val="single" w:color="211F1F"/>
        </w:rPr>
        <w:t xml:space="preserve"> </w:t>
      </w:r>
      <w:r>
        <w:rPr>
          <w:color w:val="211F1F"/>
          <w:u w:val="single" w:color="211F1F"/>
        </w:rPr>
        <w:t>to</w:t>
      </w:r>
      <w:r>
        <w:rPr>
          <w:color w:val="211F1F"/>
          <w:spacing w:val="-7"/>
          <w:u w:val="single" w:color="211F1F"/>
        </w:rPr>
        <w:t xml:space="preserve"> </w:t>
      </w:r>
      <w:r>
        <w:rPr>
          <w:color w:val="211F1F"/>
          <w:u w:val="single" w:color="211F1F"/>
        </w:rPr>
        <w:t>the</w:t>
      </w:r>
      <w:r>
        <w:rPr>
          <w:color w:val="211F1F"/>
          <w:spacing w:val="-3"/>
          <w:u w:val="single" w:color="211F1F"/>
        </w:rPr>
        <w:t xml:space="preserve"> </w:t>
      </w:r>
      <w:r>
        <w:rPr>
          <w:color w:val="211F1F"/>
          <w:u w:val="single" w:color="211F1F"/>
        </w:rPr>
        <w:t>Project Manager,</w:t>
      </w:r>
      <w:r>
        <w:rPr>
          <w:color w:val="211F1F"/>
        </w:rPr>
        <w:t xml:space="preserve"> describing</w:t>
      </w:r>
      <w:r>
        <w:rPr>
          <w:color w:val="211F1F"/>
          <w:spacing w:val="-6"/>
        </w:rPr>
        <w:t xml:space="preserve"> </w:t>
      </w:r>
      <w:r>
        <w:rPr>
          <w:color w:val="211F1F"/>
        </w:rPr>
        <w:t>the event or circumstance</w:t>
      </w:r>
      <w:r>
        <w:rPr>
          <w:color w:val="211F1F"/>
          <w:spacing w:val="-1"/>
        </w:rPr>
        <w:t xml:space="preserve"> </w:t>
      </w:r>
      <w:r>
        <w:rPr>
          <w:color w:val="211F1F"/>
        </w:rPr>
        <w:t>giving</w:t>
      </w:r>
      <w:r>
        <w:rPr>
          <w:color w:val="211F1F"/>
          <w:spacing w:val="-2"/>
        </w:rPr>
        <w:t xml:space="preserve"> </w:t>
      </w:r>
      <w:r>
        <w:rPr>
          <w:color w:val="211F1F"/>
        </w:rPr>
        <w:t>rise to</w:t>
      </w:r>
      <w:r>
        <w:rPr>
          <w:color w:val="211F1F"/>
          <w:spacing w:val="-16"/>
        </w:rPr>
        <w:t xml:space="preserve"> </w:t>
      </w:r>
      <w:r>
        <w:rPr>
          <w:color w:val="211F1F"/>
        </w:rPr>
        <w:t>the</w:t>
      </w:r>
      <w:r>
        <w:rPr>
          <w:color w:val="211F1F"/>
          <w:spacing w:val="-14"/>
        </w:rPr>
        <w:t xml:space="preserve"> </w:t>
      </w:r>
      <w:r>
        <w:rPr>
          <w:color w:val="211F1F"/>
        </w:rPr>
        <w:t>claim.</w:t>
      </w:r>
      <w:r>
        <w:rPr>
          <w:color w:val="211F1F"/>
          <w:spacing w:val="-14"/>
        </w:rPr>
        <w:t xml:space="preserve"> </w:t>
      </w:r>
      <w:r>
        <w:rPr>
          <w:color w:val="211F1F"/>
        </w:rPr>
        <w:t>The</w:t>
      </w:r>
      <w:r>
        <w:rPr>
          <w:color w:val="211F1F"/>
          <w:spacing w:val="-13"/>
        </w:rPr>
        <w:t xml:space="preserve"> </w:t>
      </w:r>
      <w:r>
        <w:rPr>
          <w:color w:val="211F1F"/>
        </w:rPr>
        <w:t>notice</w:t>
      </w:r>
      <w:r>
        <w:rPr>
          <w:color w:val="211F1F"/>
          <w:spacing w:val="-14"/>
        </w:rPr>
        <w:t xml:space="preserve"> </w:t>
      </w:r>
      <w:r>
        <w:rPr>
          <w:color w:val="211F1F"/>
        </w:rPr>
        <w:t>shall</w:t>
      </w:r>
      <w:r>
        <w:rPr>
          <w:color w:val="211F1F"/>
          <w:spacing w:val="-14"/>
        </w:rPr>
        <w:t xml:space="preserve"> </w:t>
      </w:r>
      <w:r>
        <w:rPr>
          <w:color w:val="211F1F"/>
        </w:rPr>
        <w:t>be</w:t>
      </w:r>
      <w:r>
        <w:rPr>
          <w:color w:val="211F1F"/>
          <w:spacing w:val="-14"/>
        </w:rPr>
        <w:t xml:space="preserve"> </w:t>
      </w:r>
      <w:r>
        <w:rPr>
          <w:color w:val="211F1F"/>
        </w:rPr>
        <w:t>given</w:t>
      </w:r>
      <w:r>
        <w:rPr>
          <w:color w:val="211F1F"/>
          <w:spacing w:val="-13"/>
        </w:rPr>
        <w:t xml:space="preserve"> </w:t>
      </w:r>
      <w:r>
        <w:rPr>
          <w:color w:val="211F1F"/>
        </w:rPr>
        <w:t>as</w:t>
      </w:r>
      <w:r>
        <w:rPr>
          <w:color w:val="211F1F"/>
          <w:spacing w:val="-14"/>
        </w:rPr>
        <w:t xml:space="preserve"> </w:t>
      </w:r>
      <w:r>
        <w:rPr>
          <w:color w:val="211F1F"/>
        </w:rPr>
        <w:t>soon</w:t>
      </w:r>
      <w:r>
        <w:rPr>
          <w:color w:val="211F1F"/>
          <w:spacing w:val="-14"/>
        </w:rPr>
        <w:t xml:space="preserve"> </w:t>
      </w:r>
      <w:r>
        <w:rPr>
          <w:color w:val="211F1F"/>
        </w:rPr>
        <w:t>as</w:t>
      </w:r>
      <w:r>
        <w:rPr>
          <w:color w:val="211F1F"/>
          <w:spacing w:val="-14"/>
        </w:rPr>
        <w:t xml:space="preserve"> </w:t>
      </w:r>
      <w:r>
        <w:rPr>
          <w:color w:val="211F1F"/>
        </w:rPr>
        <w:t>practicable,</w:t>
      </w:r>
      <w:r>
        <w:rPr>
          <w:color w:val="211F1F"/>
          <w:spacing w:val="-13"/>
        </w:rPr>
        <w:t xml:space="preserve"> </w:t>
      </w:r>
      <w:r>
        <w:rPr>
          <w:color w:val="211F1F"/>
        </w:rPr>
        <w:t>and</w:t>
      </w:r>
      <w:r>
        <w:rPr>
          <w:color w:val="211F1F"/>
          <w:spacing w:val="-14"/>
        </w:rPr>
        <w:t xml:space="preserve"> </w:t>
      </w:r>
      <w:r>
        <w:rPr>
          <w:color w:val="211F1F"/>
        </w:rPr>
        <w:t>not</w:t>
      </w:r>
      <w:r>
        <w:rPr>
          <w:color w:val="211F1F"/>
          <w:spacing w:val="-14"/>
        </w:rPr>
        <w:t xml:space="preserve"> </w:t>
      </w:r>
      <w:r>
        <w:rPr>
          <w:color w:val="211F1F"/>
        </w:rPr>
        <w:t>later</w:t>
      </w:r>
      <w:r>
        <w:rPr>
          <w:color w:val="211F1F"/>
          <w:spacing w:val="-14"/>
        </w:rPr>
        <w:t xml:space="preserve"> </w:t>
      </w:r>
      <w:r>
        <w:rPr>
          <w:color w:val="211F1F"/>
        </w:rPr>
        <w:t>than</w:t>
      </w:r>
      <w:r>
        <w:rPr>
          <w:color w:val="211F1F"/>
          <w:spacing w:val="-13"/>
        </w:rPr>
        <w:t xml:space="preserve"> </w:t>
      </w:r>
      <w:r>
        <w:rPr>
          <w:color w:val="211F1F"/>
        </w:rPr>
        <w:t>30</w:t>
      </w:r>
      <w:r>
        <w:rPr>
          <w:color w:val="211F1F"/>
          <w:spacing w:val="-14"/>
        </w:rPr>
        <w:t xml:space="preserve"> </w:t>
      </w:r>
      <w:r>
        <w:rPr>
          <w:color w:val="211F1F"/>
        </w:rPr>
        <w:t>days</w:t>
      </w:r>
      <w:r>
        <w:rPr>
          <w:color w:val="211F1F"/>
          <w:spacing w:val="-14"/>
        </w:rPr>
        <w:t xml:space="preserve"> </w:t>
      </w:r>
      <w:r>
        <w:rPr>
          <w:color w:val="211F1F"/>
        </w:rPr>
        <w:t>after</w:t>
      </w:r>
      <w:r>
        <w:rPr>
          <w:color w:val="211F1F"/>
          <w:spacing w:val="-14"/>
        </w:rPr>
        <w:t xml:space="preserve"> </w:t>
      </w:r>
      <w:r>
        <w:rPr>
          <w:color w:val="211F1F"/>
        </w:rPr>
        <w:t>the</w:t>
      </w:r>
      <w:r>
        <w:rPr>
          <w:color w:val="211F1F"/>
          <w:spacing w:val="-13"/>
        </w:rPr>
        <w:t xml:space="preserve"> </w:t>
      </w:r>
      <w:r>
        <w:rPr>
          <w:color w:val="211F1F"/>
        </w:rPr>
        <w:t>Contractor became aware, or should</w:t>
      </w:r>
      <w:r>
        <w:rPr>
          <w:color w:val="211F1F"/>
          <w:spacing w:val="-1"/>
        </w:rPr>
        <w:t xml:space="preserve"> </w:t>
      </w:r>
      <w:r>
        <w:rPr>
          <w:color w:val="211F1F"/>
        </w:rPr>
        <w:t>have</w:t>
      </w:r>
      <w:r>
        <w:rPr>
          <w:color w:val="211F1F"/>
          <w:spacing w:val="-11"/>
        </w:rPr>
        <w:t xml:space="preserve"> </w:t>
      </w:r>
      <w:r>
        <w:rPr>
          <w:color w:val="211F1F"/>
        </w:rPr>
        <w:t>become</w:t>
      </w:r>
      <w:r>
        <w:rPr>
          <w:color w:val="211F1F"/>
          <w:spacing w:val="-4"/>
        </w:rPr>
        <w:t xml:space="preserve"> </w:t>
      </w:r>
      <w:r>
        <w:rPr>
          <w:color w:val="211F1F"/>
        </w:rPr>
        <w:t>aware, of the</w:t>
      </w:r>
      <w:r>
        <w:rPr>
          <w:color w:val="211F1F"/>
          <w:spacing w:val="-4"/>
        </w:rPr>
        <w:t xml:space="preserve"> </w:t>
      </w:r>
      <w:r>
        <w:rPr>
          <w:color w:val="211F1F"/>
        </w:rPr>
        <w:t>event or circumstance.</w:t>
      </w:r>
    </w:p>
    <w:p w14:paraId="776058F2" w14:textId="77777777" w:rsidR="00BB77C0" w:rsidRDefault="00BB77C0">
      <w:pPr>
        <w:pStyle w:val="BodyText"/>
        <w:spacing w:before="2"/>
      </w:pPr>
    </w:p>
    <w:p w14:paraId="46413898" w14:textId="77777777" w:rsidR="00BB77C0" w:rsidRDefault="00370BAA">
      <w:pPr>
        <w:pStyle w:val="ListParagraph"/>
        <w:numPr>
          <w:ilvl w:val="2"/>
          <w:numId w:val="23"/>
        </w:numPr>
        <w:tabs>
          <w:tab w:val="left" w:pos="1616"/>
          <w:tab w:val="left" w:pos="1618"/>
        </w:tabs>
        <w:spacing w:line="230" w:lineRule="auto"/>
        <w:ind w:left="1618" w:right="709" w:hanging="630"/>
        <w:jc w:val="both"/>
        <w:rPr>
          <w:color w:val="211F1F"/>
        </w:rPr>
      </w:pPr>
      <w:r>
        <w:rPr>
          <w:color w:val="211F1F"/>
        </w:rPr>
        <w:t>If the Contractor fails to give notice of a claim within such period of 30 days, the Time for Completion shall</w:t>
      </w:r>
      <w:r>
        <w:rPr>
          <w:color w:val="211F1F"/>
          <w:spacing w:val="-6"/>
        </w:rPr>
        <w:t xml:space="preserve"> </w:t>
      </w:r>
      <w:r>
        <w:rPr>
          <w:color w:val="211F1F"/>
        </w:rPr>
        <w:t>not</w:t>
      </w:r>
      <w:r>
        <w:rPr>
          <w:color w:val="211F1F"/>
          <w:spacing w:val="-2"/>
        </w:rPr>
        <w:t xml:space="preserve"> </w:t>
      </w:r>
      <w:r>
        <w:rPr>
          <w:color w:val="211F1F"/>
        </w:rPr>
        <w:t>be</w:t>
      </w:r>
      <w:r>
        <w:rPr>
          <w:color w:val="211F1F"/>
          <w:spacing w:val="-8"/>
        </w:rPr>
        <w:t xml:space="preserve"> </w:t>
      </w:r>
      <w:r>
        <w:rPr>
          <w:color w:val="211F1F"/>
        </w:rPr>
        <w:t>extended, the</w:t>
      </w:r>
      <w:r>
        <w:rPr>
          <w:color w:val="211F1F"/>
          <w:spacing w:val="-8"/>
        </w:rPr>
        <w:t xml:space="preserve"> </w:t>
      </w:r>
      <w:r>
        <w:rPr>
          <w:color w:val="211F1F"/>
        </w:rPr>
        <w:t>Contractor</w:t>
      </w:r>
      <w:r>
        <w:rPr>
          <w:color w:val="211F1F"/>
          <w:spacing w:val="-3"/>
        </w:rPr>
        <w:t xml:space="preserve"> </w:t>
      </w:r>
      <w:r>
        <w:rPr>
          <w:color w:val="211F1F"/>
        </w:rPr>
        <w:t>shall</w:t>
      </w:r>
      <w:r>
        <w:rPr>
          <w:color w:val="211F1F"/>
          <w:spacing w:val="-6"/>
        </w:rPr>
        <w:t xml:space="preserve"> </w:t>
      </w:r>
      <w:r>
        <w:rPr>
          <w:color w:val="211F1F"/>
        </w:rPr>
        <w:t>not</w:t>
      </w:r>
      <w:r>
        <w:rPr>
          <w:color w:val="211F1F"/>
          <w:spacing w:val="-2"/>
        </w:rPr>
        <w:t xml:space="preserve"> </w:t>
      </w:r>
      <w:r>
        <w:rPr>
          <w:color w:val="211F1F"/>
        </w:rPr>
        <w:t>be</w:t>
      </w:r>
      <w:r>
        <w:rPr>
          <w:color w:val="211F1F"/>
          <w:spacing w:val="-5"/>
        </w:rPr>
        <w:t xml:space="preserve"> </w:t>
      </w:r>
      <w:r>
        <w:rPr>
          <w:color w:val="211F1F"/>
        </w:rPr>
        <w:t>entitled</w:t>
      </w:r>
      <w:r>
        <w:rPr>
          <w:color w:val="211F1F"/>
          <w:spacing w:val="-6"/>
        </w:rPr>
        <w:t xml:space="preserve"> </w:t>
      </w:r>
      <w:r>
        <w:rPr>
          <w:color w:val="211F1F"/>
        </w:rPr>
        <w:t>to</w:t>
      </w:r>
      <w:r>
        <w:rPr>
          <w:color w:val="211F1F"/>
          <w:spacing w:val="-7"/>
        </w:rPr>
        <w:t xml:space="preserve"> </w:t>
      </w:r>
      <w:r>
        <w:rPr>
          <w:color w:val="211F1F"/>
        </w:rPr>
        <w:t>additional</w:t>
      </w:r>
      <w:r>
        <w:rPr>
          <w:color w:val="211F1F"/>
          <w:spacing w:val="-5"/>
        </w:rPr>
        <w:t xml:space="preserve"> </w:t>
      </w:r>
      <w:r>
        <w:rPr>
          <w:color w:val="211F1F"/>
        </w:rPr>
        <w:t>payment, and</w:t>
      </w:r>
      <w:r>
        <w:rPr>
          <w:color w:val="211F1F"/>
          <w:spacing w:val="-6"/>
        </w:rPr>
        <w:t xml:space="preserve"> </w:t>
      </w:r>
      <w:r>
        <w:rPr>
          <w:color w:val="211F1F"/>
        </w:rPr>
        <w:t>the</w:t>
      </w:r>
      <w:r>
        <w:rPr>
          <w:color w:val="211F1F"/>
          <w:spacing w:val="-9"/>
        </w:rPr>
        <w:t xml:space="preserve"> </w:t>
      </w:r>
      <w:r>
        <w:rPr>
          <w:color w:val="211F1F"/>
        </w:rPr>
        <w:t>Procuring</w:t>
      </w:r>
      <w:r>
        <w:rPr>
          <w:color w:val="211F1F"/>
          <w:spacing w:val="-6"/>
        </w:rPr>
        <w:t xml:space="preserve"> </w:t>
      </w:r>
      <w:r>
        <w:rPr>
          <w:color w:val="211F1F"/>
        </w:rPr>
        <w:t>Entity shall</w:t>
      </w:r>
      <w:r>
        <w:rPr>
          <w:color w:val="211F1F"/>
          <w:spacing w:val="-5"/>
        </w:rPr>
        <w:t xml:space="preserve"> </w:t>
      </w:r>
      <w:r>
        <w:rPr>
          <w:color w:val="211F1F"/>
        </w:rPr>
        <w:t>be</w:t>
      </w:r>
      <w:r>
        <w:rPr>
          <w:color w:val="211F1F"/>
          <w:spacing w:val="-4"/>
        </w:rPr>
        <w:t xml:space="preserve"> </w:t>
      </w:r>
      <w:r>
        <w:rPr>
          <w:color w:val="211F1F"/>
        </w:rPr>
        <w:t>discharged</w:t>
      </w:r>
      <w:r>
        <w:rPr>
          <w:color w:val="211F1F"/>
          <w:spacing w:val="-6"/>
        </w:rPr>
        <w:t xml:space="preserve"> </w:t>
      </w:r>
      <w:r>
        <w:rPr>
          <w:color w:val="211F1F"/>
        </w:rPr>
        <w:t>from</w:t>
      </w:r>
      <w:r>
        <w:rPr>
          <w:color w:val="211F1F"/>
          <w:spacing w:val="-10"/>
        </w:rPr>
        <w:t xml:space="preserve"> </w:t>
      </w:r>
      <w:r>
        <w:rPr>
          <w:color w:val="211F1F"/>
        </w:rPr>
        <w:t>all</w:t>
      </w:r>
      <w:r>
        <w:rPr>
          <w:color w:val="211F1F"/>
          <w:spacing w:val="-5"/>
        </w:rPr>
        <w:t xml:space="preserve"> </w:t>
      </w:r>
      <w:r>
        <w:rPr>
          <w:color w:val="211F1F"/>
        </w:rPr>
        <w:t>liability</w:t>
      </w:r>
      <w:r>
        <w:rPr>
          <w:color w:val="211F1F"/>
          <w:spacing w:val="-6"/>
        </w:rPr>
        <w:t xml:space="preserve"> </w:t>
      </w:r>
      <w:r>
        <w:rPr>
          <w:color w:val="211F1F"/>
        </w:rPr>
        <w:t>in</w:t>
      </w:r>
      <w:r>
        <w:rPr>
          <w:color w:val="211F1F"/>
          <w:spacing w:val="-6"/>
        </w:rPr>
        <w:t xml:space="preserve"> </w:t>
      </w:r>
      <w:r>
        <w:rPr>
          <w:color w:val="211F1F"/>
        </w:rPr>
        <w:t>connection</w:t>
      </w:r>
      <w:r>
        <w:rPr>
          <w:color w:val="211F1F"/>
          <w:spacing w:val="-6"/>
        </w:rPr>
        <w:t xml:space="preserve"> </w:t>
      </w:r>
      <w:r>
        <w:rPr>
          <w:color w:val="211F1F"/>
        </w:rPr>
        <w:t>with</w:t>
      </w:r>
      <w:r>
        <w:rPr>
          <w:color w:val="211F1F"/>
          <w:spacing w:val="-1"/>
        </w:rPr>
        <w:t xml:space="preserve"> </w:t>
      </w:r>
      <w:r>
        <w:rPr>
          <w:color w:val="211F1F"/>
        </w:rPr>
        <w:t>the</w:t>
      </w:r>
      <w:r>
        <w:rPr>
          <w:color w:val="211F1F"/>
          <w:spacing w:val="-8"/>
        </w:rPr>
        <w:t xml:space="preserve"> </w:t>
      </w:r>
      <w:r>
        <w:rPr>
          <w:color w:val="211F1F"/>
        </w:rPr>
        <w:t>claim. Otherwise, the</w:t>
      </w:r>
      <w:r>
        <w:rPr>
          <w:color w:val="211F1F"/>
          <w:spacing w:val="-8"/>
        </w:rPr>
        <w:t xml:space="preserve"> </w:t>
      </w:r>
      <w:r>
        <w:rPr>
          <w:color w:val="211F1F"/>
        </w:rPr>
        <w:t>following</w:t>
      </w:r>
      <w:r>
        <w:rPr>
          <w:color w:val="211F1F"/>
          <w:spacing w:val="-6"/>
        </w:rPr>
        <w:t xml:space="preserve"> </w:t>
      </w:r>
      <w:r>
        <w:rPr>
          <w:color w:val="211F1F"/>
        </w:rPr>
        <w:t>provisions of this Sub- Clause shall apply.</w:t>
      </w:r>
    </w:p>
    <w:p w14:paraId="4F2502A6" w14:textId="77777777" w:rsidR="00BB77C0" w:rsidRDefault="00370BAA">
      <w:pPr>
        <w:pStyle w:val="ListParagraph"/>
        <w:numPr>
          <w:ilvl w:val="2"/>
          <w:numId w:val="23"/>
        </w:numPr>
        <w:tabs>
          <w:tab w:val="left" w:pos="1616"/>
          <w:tab w:val="left" w:pos="1618"/>
        </w:tabs>
        <w:spacing w:before="241" w:line="228" w:lineRule="auto"/>
        <w:ind w:left="1618" w:right="721" w:hanging="630"/>
        <w:jc w:val="both"/>
        <w:rPr>
          <w:color w:val="211F1F"/>
        </w:rPr>
      </w:pPr>
      <w:r>
        <w:rPr>
          <w:color w:val="211F1F"/>
        </w:rPr>
        <w:t>The Contractor shall also submit any other notices which are required by the Contract, and supporting particulars for the claim, all as relevant to such event or circumstance.</w:t>
      </w:r>
    </w:p>
    <w:p w14:paraId="59E37591" w14:textId="77777777" w:rsidR="00BB77C0" w:rsidRDefault="00370BAA">
      <w:pPr>
        <w:pStyle w:val="ListParagraph"/>
        <w:numPr>
          <w:ilvl w:val="2"/>
          <w:numId w:val="23"/>
        </w:numPr>
        <w:tabs>
          <w:tab w:val="left" w:pos="1616"/>
          <w:tab w:val="left" w:pos="1618"/>
        </w:tabs>
        <w:spacing w:before="242" w:line="230" w:lineRule="auto"/>
        <w:ind w:left="1618" w:right="709" w:hanging="630"/>
        <w:jc w:val="both"/>
        <w:rPr>
          <w:color w:val="211F1F"/>
        </w:rPr>
      </w:pPr>
      <w:r>
        <w:rPr>
          <w:color w:val="211F1F"/>
        </w:rPr>
        <w:t>The Contractor shall keep such contemporary records as may be necessary to substantiate any claim, either on the Site or at another location acceptable to the Project Manager. Without admitting the Procuring Entity's liability, the Project Manager may, after receiving any notice under this Sub-Clause, monitor the record- keeping and/or instruct the Contractor to keep further contemporary records. The Contractor shall permit the Project Manager to inspect all these records, and shall (if instructed) submit copies to the Project Manager.</w:t>
      </w:r>
    </w:p>
    <w:p w14:paraId="06221EA9" w14:textId="77777777" w:rsidR="00BB77C0" w:rsidRDefault="00370BAA">
      <w:pPr>
        <w:pStyle w:val="ListParagraph"/>
        <w:numPr>
          <w:ilvl w:val="2"/>
          <w:numId w:val="23"/>
        </w:numPr>
        <w:tabs>
          <w:tab w:val="left" w:pos="1616"/>
          <w:tab w:val="left" w:pos="1618"/>
        </w:tabs>
        <w:spacing w:before="237" w:line="230" w:lineRule="auto"/>
        <w:ind w:left="1618" w:right="709" w:hanging="630"/>
        <w:jc w:val="both"/>
        <w:rPr>
          <w:color w:val="211F1F"/>
        </w:rPr>
      </w:pPr>
      <w:r>
        <w:rPr>
          <w:color w:val="211F1F"/>
        </w:rPr>
        <w:t>Within 42 days after the Contractor became aware (or should have become aware) of the event or circumstance giving rise</w:t>
      </w:r>
      <w:r>
        <w:rPr>
          <w:color w:val="211F1F"/>
          <w:spacing w:val="-1"/>
        </w:rPr>
        <w:t xml:space="preserve"> </w:t>
      </w:r>
      <w:r>
        <w:rPr>
          <w:color w:val="211F1F"/>
        </w:rPr>
        <w:t>to the</w:t>
      </w:r>
      <w:r>
        <w:rPr>
          <w:color w:val="211F1F"/>
          <w:spacing w:val="-1"/>
        </w:rPr>
        <w:t xml:space="preserve"> </w:t>
      </w:r>
      <w:r>
        <w:rPr>
          <w:color w:val="211F1F"/>
        </w:rPr>
        <w:t>claim, or within such other period as may be</w:t>
      </w:r>
      <w:r>
        <w:rPr>
          <w:color w:val="211F1F"/>
          <w:spacing w:val="-1"/>
        </w:rPr>
        <w:t xml:space="preserve"> </w:t>
      </w:r>
      <w:r>
        <w:rPr>
          <w:color w:val="211F1F"/>
        </w:rPr>
        <w:t>proposed by the</w:t>
      </w:r>
      <w:r>
        <w:rPr>
          <w:color w:val="211F1F"/>
          <w:spacing w:val="-1"/>
        </w:rPr>
        <w:t xml:space="preserve"> </w:t>
      </w:r>
      <w:r>
        <w:rPr>
          <w:color w:val="211F1F"/>
        </w:rPr>
        <w:t>Contractor and approved by the Project Manager, the Contractor shall send to the Project Manager a fully detailed claim which includes full supporting particulars of the basis of the claim and of the extension of time and/or additional</w:t>
      </w:r>
      <w:r>
        <w:rPr>
          <w:color w:val="211F1F"/>
          <w:spacing w:val="-2"/>
        </w:rPr>
        <w:t xml:space="preserve"> </w:t>
      </w:r>
      <w:r>
        <w:rPr>
          <w:color w:val="211F1F"/>
        </w:rPr>
        <w:t>payment claimed. If the</w:t>
      </w:r>
      <w:r>
        <w:rPr>
          <w:color w:val="211F1F"/>
          <w:spacing w:val="-4"/>
        </w:rPr>
        <w:t xml:space="preserve"> </w:t>
      </w:r>
      <w:r>
        <w:rPr>
          <w:color w:val="211F1F"/>
        </w:rPr>
        <w:t>event or circumstance</w:t>
      </w:r>
      <w:r>
        <w:rPr>
          <w:color w:val="211F1F"/>
          <w:spacing w:val="-3"/>
        </w:rPr>
        <w:t xml:space="preserve"> </w:t>
      </w:r>
      <w:r>
        <w:rPr>
          <w:color w:val="211F1F"/>
        </w:rPr>
        <w:t>giving</w:t>
      </w:r>
      <w:r>
        <w:rPr>
          <w:color w:val="211F1F"/>
          <w:spacing w:val="-2"/>
        </w:rPr>
        <w:t xml:space="preserve"> </w:t>
      </w:r>
      <w:r>
        <w:rPr>
          <w:color w:val="211F1F"/>
        </w:rPr>
        <w:t>rise</w:t>
      </w:r>
      <w:r>
        <w:rPr>
          <w:color w:val="211F1F"/>
          <w:spacing w:val="-8"/>
        </w:rPr>
        <w:t xml:space="preserve"> </w:t>
      </w:r>
      <w:r>
        <w:rPr>
          <w:color w:val="211F1F"/>
        </w:rPr>
        <w:t>to</w:t>
      </w:r>
      <w:r>
        <w:rPr>
          <w:color w:val="211F1F"/>
          <w:spacing w:val="-3"/>
        </w:rPr>
        <w:t xml:space="preserve"> </w:t>
      </w:r>
      <w:r>
        <w:rPr>
          <w:color w:val="211F1F"/>
        </w:rPr>
        <w:t>the</w:t>
      </w:r>
      <w:r>
        <w:rPr>
          <w:color w:val="211F1F"/>
          <w:spacing w:val="-8"/>
        </w:rPr>
        <w:t xml:space="preserve"> </w:t>
      </w:r>
      <w:r>
        <w:rPr>
          <w:color w:val="211F1F"/>
        </w:rPr>
        <w:t>claim</w:t>
      </w:r>
      <w:r>
        <w:rPr>
          <w:color w:val="211F1F"/>
          <w:spacing w:val="-5"/>
        </w:rPr>
        <w:t xml:space="preserve"> </w:t>
      </w:r>
      <w:r>
        <w:rPr>
          <w:color w:val="211F1F"/>
        </w:rPr>
        <w:t>has</w:t>
      </w:r>
      <w:r>
        <w:rPr>
          <w:color w:val="211F1F"/>
          <w:spacing w:val="-2"/>
        </w:rPr>
        <w:t xml:space="preserve"> </w:t>
      </w:r>
      <w:r>
        <w:rPr>
          <w:color w:val="211F1F"/>
        </w:rPr>
        <w:t xml:space="preserve">a continuing </w:t>
      </w:r>
      <w:r>
        <w:rPr>
          <w:color w:val="211F1F"/>
          <w:spacing w:val="-2"/>
        </w:rPr>
        <w:t>effect:</w:t>
      </w:r>
    </w:p>
    <w:p w14:paraId="65FEEAD8" w14:textId="77777777" w:rsidR="00BB77C0" w:rsidRDefault="00BB77C0">
      <w:pPr>
        <w:pStyle w:val="BodyText"/>
        <w:spacing w:before="34"/>
      </w:pPr>
    </w:p>
    <w:p w14:paraId="7F845C2C" w14:textId="77777777" w:rsidR="00BB77C0" w:rsidRDefault="00370BAA">
      <w:pPr>
        <w:pStyle w:val="ListParagraph"/>
        <w:numPr>
          <w:ilvl w:val="3"/>
          <w:numId w:val="23"/>
        </w:numPr>
        <w:tabs>
          <w:tab w:val="left" w:pos="1976"/>
        </w:tabs>
        <w:spacing w:before="1"/>
        <w:ind w:left="1976" w:hanging="267"/>
        <w:jc w:val="both"/>
      </w:pPr>
      <w:r>
        <w:rPr>
          <w:color w:val="211F1F"/>
          <w:spacing w:val="-4"/>
        </w:rPr>
        <w:t>this</w:t>
      </w:r>
      <w:r>
        <w:rPr>
          <w:color w:val="211F1F"/>
          <w:spacing w:val="-7"/>
        </w:rPr>
        <w:t xml:space="preserve"> </w:t>
      </w:r>
      <w:r>
        <w:rPr>
          <w:color w:val="211F1F"/>
          <w:spacing w:val="-4"/>
        </w:rPr>
        <w:t>fully</w:t>
      </w:r>
      <w:r>
        <w:rPr>
          <w:color w:val="211F1F"/>
          <w:spacing w:val="-7"/>
        </w:rPr>
        <w:t xml:space="preserve"> </w:t>
      </w:r>
      <w:r>
        <w:rPr>
          <w:color w:val="211F1F"/>
          <w:spacing w:val="-4"/>
        </w:rPr>
        <w:t>detailed</w:t>
      </w:r>
      <w:r>
        <w:rPr>
          <w:color w:val="211F1F"/>
          <w:spacing w:val="-13"/>
        </w:rPr>
        <w:t xml:space="preserve"> </w:t>
      </w:r>
      <w:r>
        <w:rPr>
          <w:color w:val="211F1F"/>
          <w:spacing w:val="-4"/>
        </w:rPr>
        <w:t>claim</w:t>
      </w:r>
      <w:r>
        <w:rPr>
          <w:color w:val="211F1F"/>
          <w:spacing w:val="-11"/>
        </w:rPr>
        <w:t xml:space="preserve"> </w:t>
      </w:r>
      <w:r>
        <w:rPr>
          <w:color w:val="211F1F"/>
          <w:spacing w:val="-4"/>
        </w:rPr>
        <w:t>shall</w:t>
      </w:r>
      <w:r>
        <w:rPr>
          <w:color w:val="211F1F"/>
          <w:spacing w:val="-6"/>
        </w:rPr>
        <w:t xml:space="preserve"> </w:t>
      </w:r>
      <w:r>
        <w:rPr>
          <w:color w:val="211F1F"/>
          <w:spacing w:val="-4"/>
        </w:rPr>
        <w:t>be</w:t>
      </w:r>
      <w:r>
        <w:rPr>
          <w:color w:val="211F1F"/>
          <w:spacing w:val="-16"/>
        </w:rPr>
        <w:t xml:space="preserve"> </w:t>
      </w:r>
      <w:r>
        <w:rPr>
          <w:color w:val="211F1F"/>
          <w:spacing w:val="-4"/>
        </w:rPr>
        <w:t>considered</w:t>
      </w:r>
      <w:r>
        <w:rPr>
          <w:color w:val="211F1F"/>
          <w:spacing w:val="-6"/>
        </w:rPr>
        <w:t xml:space="preserve"> </w:t>
      </w:r>
      <w:r>
        <w:rPr>
          <w:color w:val="211F1F"/>
          <w:spacing w:val="-4"/>
        </w:rPr>
        <w:t>as</w:t>
      </w:r>
      <w:r>
        <w:rPr>
          <w:color w:val="211F1F"/>
          <w:spacing w:val="-1"/>
        </w:rPr>
        <w:t xml:space="preserve"> </w:t>
      </w:r>
      <w:r>
        <w:rPr>
          <w:color w:val="211F1F"/>
          <w:spacing w:val="-4"/>
        </w:rPr>
        <w:t>interim;</w:t>
      </w:r>
    </w:p>
    <w:p w14:paraId="13D0FFEB" w14:textId="77777777" w:rsidR="00BB77C0" w:rsidRDefault="00370BAA">
      <w:pPr>
        <w:pStyle w:val="ListParagraph"/>
        <w:numPr>
          <w:ilvl w:val="3"/>
          <w:numId w:val="23"/>
        </w:numPr>
        <w:tabs>
          <w:tab w:val="left" w:pos="1976"/>
          <w:tab w:val="left" w:pos="1978"/>
        </w:tabs>
        <w:spacing w:before="46" w:line="232" w:lineRule="auto"/>
        <w:ind w:right="780" w:hanging="269"/>
        <w:jc w:val="both"/>
      </w:pPr>
      <w:r>
        <w:rPr>
          <w:color w:val="211F1F"/>
        </w:rPr>
        <w:t xml:space="preserve">the Contractor shall send further interim claims at monthly intervals, giving the accumulated delay </w:t>
      </w:r>
      <w:r>
        <w:rPr>
          <w:color w:val="211F1F"/>
          <w:spacing w:val="-2"/>
        </w:rPr>
        <w:t>and/or</w:t>
      </w:r>
      <w:r>
        <w:rPr>
          <w:color w:val="211F1F"/>
          <w:spacing w:val="-23"/>
        </w:rPr>
        <w:t xml:space="preserve"> </w:t>
      </w:r>
      <w:r>
        <w:rPr>
          <w:color w:val="211F1F"/>
          <w:spacing w:val="-2"/>
        </w:rPr>
        <w:t>amount</w:t>
      </w:r>
      <w:r>
        <w:rPr>
          <w:color w:val="211F1F"/>
          <w:spacing w:val="-12"/>
        </w:rPr>
        <w:t xml:space="preserve"> </w:t>
      </w:r>
      <w:r>
        <w:rPr>
          <w:color w:val="211F1F"/>
          <w:spacing w:val="-2"/>
        </w:rPr>
        <w:t>claimed,</w:t>
      </w:r>
      <w:r>
        <w:rPr>
          <w:color w:val="211F1F"/>
          <w:spacing w:val="-12"/>
        </w:rPr>
        <w:t xml:space="preserve"> </w:t>
      </w:r>
      <w:r>
        <w:rPr>
          <w:color w:val="211F1F"/>
          <w:spacing w:val="-2"/>
        </w:rPr>
        <w:t>and</w:t>
      </w:r>
      <w:r>
        <w:rPr>
          <w:color w:val="211F1F"/>
          <w:spacing w:val="-22"/>
        </w:rPr>
        <w:t xml:space="preserve"> </w:t>
      </w:r>
      <w:r>
        <w:rPr>
          <w:color w:val="211F1F"/>
          <w:spacing w:val="-2"/>
        </w:rPr>
        <w:t>such</w:t>
      </w:r>
      <w:r>
        <w:rPr>
          <w:color w:val="211F1F"/>
          <w:spacing w:val="-17"/>
        </w:rPr>
        <w:t xml:space="preserve"> </w:t>
      </w:r>
      <w:r>
        <w:rPr>
          <w:color w:val="211F1F"/>
          <w:spacing w:val="-2"/>
        </w:rPr>
        <w:t>further</w:t>
      </w:r>
      <w:r>
        <w:rPr>
          <w:color w:val="211F1F"/>
          <w:spacing w:val="-13"/>
        </w:rPr>
        <w:t xml:space="preserve"> </w:t>
      </w:r>
      <w:r>
        <w:rPr>
          <w:color w:val="211F1F"/>
          <w:spacing w:val="-2"/>
        </w:rPr>
        <w:t>particulars</w:t>
      </w:r>
      <w:r>
        <w:rPr>
          <w:color w:val="211F1F"/>
          <w:spacing w:val="-16"/>
        </w:rPr>
        <w:t xml:space="preserve"> </w:t>
      </w:r>
      <w:r>
        <w:rPr>
          <w:color w:val="211F1F"/>
          <w:spacing w:val="-2"/>
        </w:rPr>
        <w:t>as</w:t>
      </w:r>
      <w:r>
        <w:rPr>
          <w:color w:val="211F1F"/>
          <w:spacing w:val="-21"/>
        </w:rPr>
        <w:t xml:space="preserve"> </w:t>
      </w:r>
      <w:r>
        <w:rPr>
          <w:color w:val="211F1F"/>
          <w:spacing w:val="-2"/>
        </w:rPr>
        <w:t>the</w:t>
      </w:r>
      <w:r>
        <w:rPr>
          <w:color w:val="211F1F"/>
          <w:spacing w:val="-14"/>
        </w:rPr>
        <w:t xml:space="preserve"> </w:t>
      </w:r>
      <w:r>
        <w:rPr>
          <w:color w:val="211F1F"/>
          <w:spacing w:val="-2"/>
        </w:rPr>
        <w:t>Project</w:t>
      </w:r>
      <w:r>
        <w:rPr>
          <w:color w:val="211F1F"/>
          <w:spacing w:val="-12"/>
        </w:rPr>
        <w:t xml:space="preserve"> </w:t>
      </w:r>
      <w:r>
        <w:rPr>
          <w:color w:val="211F1F"/>
          <w:spacing w:val="-2"/>
        </w:rPr>
        <w:t>Manager</w:t>
      </w:r>
      <w:r>
        <w:rPr>
          <w:color w:val="211F1F"/>
          <w:spacing w:val="-14"/>
        </w:rPr>
        <w:t xml:space="preserve"> </w:t>
      </w:r>
      <w:r>
        <w:rPr>
          <w:color w:val="211F1F"/>
          <w:spacing w:val="-2"/>
        </w:rPr>
        <w:t>may</w:t>
      </w:r>
      <w:r>
        <w:rPr>
          <w:color w:val="211F1F"/>
          <w:spacing w:val="-21"/>
        </w:rPr>
        <w:t xml:space="preserve"> </w:t>
      </w:r>
      <w:r>
        <w:rPr>
          <w:color w:val="211F1F"/>
          <w:spacing w:val="-2"/>
        </w:rPr>
        <w:t>reasonably</w:t>
      </w:r>
      <w:r>
        <w:rPr>
          <w:color w:val="211F1F"/>
          <w:spacing w:val="-26"/>
        </w:rPr>
        <w:t xml:space="preserve"> </w:t>
      </w:r>
      <w:r>
        <w:rPr>
          <w:color w:val="211F1F"/>
          <w:spacing w:val="-2"/>
        </w:rPr>
        <w:t>require;</w:t>
      </w:r>
      <w:r>
        <w:rPr>
          <w:color w:val="211F1F"/>
          <w:spacing w:val="-15"/>
        </w:rPr>
        <w:t xml:space="preserve"> </w:t>
      </w:r>
      <w:r>
        <w:rPr>
          <w:color w:val="211F1F"/>
          <w:spacing w:val="-2"/>
        </w:rPr>
        <w:t>and</w:t>
      </w:r>
    </w:p>
    <w:p w14:paraId="53F69EA1" w14:textId="77777777" w:rsidR="00BB77C0" w:rsidRDefault="00370BAA">
      <w:pPr>
        <w:pStyle w:val="ListParagraph"/>
        <w:numPr>
          <w:ilvl w:val="3"/>
          <w:numId w:val="23"/>
        </w:numPr>
        <w:tabs>
          <w:tab w:val="left" w:pos="1971"/>
          <w:tab w:val="left" w:pos="1978"/>
        </w:tabs>
        <w:spacing w:before="39" w:line="230" w:lineRule="auto"/>
        <w:ind w:right="707" w:hanging="269"/>
        <w:jc w:val="both"/>
      </w:pPr>
      <w:r>
        <w:rPr>
          <w:color w:val="211F1F"/>
          <w:spacing w:val="-2"/>
        </w:rPr>
        <w:t>the</w:t>
      </w:r>
      <w:r>
        <w:rPr>
          <w:color w:val="211F1F"/>
          <w:spacing w:val="-12"/>
        </w:rPr>
        <w:t xml:space="preserve"> </w:t>
      </w:r>
      <w:r>
        <w:rPr>
          <w:color w:val="211F1F"/>
          <w:spacing w:val="-2"/>
        </w:rPr>
        <w:t>Contractor</w:t>
      </w:r>
      <w:r>
        <w:rPr>
          <w:color w:val="211F1F"/>
          <w:spacing w:val="-12"/>
        </w:rPr>
        <w:t xml:space="preserve"> </w:t>
      </w:r>
      <w:r>
        <w:rPr>
          <w:color w:val="211F1F"/>
          <w:spacing w:val="-2"/>
        </w:rPr>
        <w:t>shall</w:t>
      </w:r>
      <w:r>
        <w:rPr>
          <w:color w:val="211F1F"/>
          <w:spacing w:val="-12"/>
        </w:rPr>
        <w:t xml:space="preserve"> </w:t>
      </w:r>
      <w:r>
        <w:rPr>
          <w:color w:val="211F1F"/>
          <w:spacing w:val="-2"/>
        </w:rPr>
        <w:t>send</w:t>
      </w:r>
      <w:r>
        <w:rPr>
          <w:color w:val="211F1F"/>
          <w:spacing w:val="-11"/>
        </w:rPr>
        <w:t xml:space="preserve"> </w:t>
      </w:r>
      <w:r>
        <w:rPr>
          <w:color w:val="211F1F"/>
          <w:spacing w:val="-2"/>
        </w:rPr>
        <w:t>a</w:t>
      </w:r>
      <w:r>
        <w:rPr>
          <w:color w:val="211F1F"/>
          <w:spacing w:val="-12"/>
        </w:rPr>
        <w:t xml:space="preserve"> </w:t>
      </w:r>
      <w:r>
        <w:rPr>
          <w:color w:val="211F1F"/>
          <w:spacing w:val="-2"/>
        </w:rPr>
        <w:t>final</w:t>
      </w:r>
      <w:r>
        <w:rPr>
          <w:color w:val="211F1F"/>
          <w:spacing w:val="-12"/>
        </w:rPr>
        <w:t xml:space="preserve"> </w:t>
      </w:r>
      <w:r>
        <w:rPr>
          <w:color w:val="211F1F"/>
          <w:spacing w:val="-2"/>
        </w:rPr>
        <w:t>claim</w:t>
      </w:r>
      <w:r>
        <w:rPr>
          <w:color w:val="211F1F"/>
          <w:spacing w:val="-12"/>
        </w:rPr>
        <w:t xml:space="preserve"> </w:t>
      </w:r>
      <w:r>
        <w:rPr>
          <w:color w:val="211F1F"/>
          <w:spacing w:val="-2"/>
        </w:rPr>
        <w:t>within</w:t>
      </w:r>
      <w:r>
        <w:rPr>
          <w:color w:val="211F1F"/>
          <w:spacing w:val="-11"/>
        </w:rPr>
        <w:t xml:space="preserve"> </w:t>
      </w:r>
      <w:r>
        <w:rPr>
          <w:color w:val="211F1F"/>
          <w:spacing w:val="-2"/>
        </w:rPr>
        <w:t>30</w:t>
      </w:r>
      <w:r>
        <w:rPr>
          <w:color w:val="211F1F"/>
          <w:spacing w:val="-11"/>
        </w:rPr>
        <w:t xml:space="preserve"> </w:t>
      </w:r>
      <w:r>
        <w:rPr>
          <w:color w:val="211F1F"/>
          <w:spacing w:val="-2"/>
        </w:rPr>
        <w:t>days</w:t>
      </w:r>
      <w:r>
        <w:rPr>
          <w:color w:val="211F1F"/>
          <w:spacing w:val="-9"/>
        </w:rPr>
        <w:t xml:space="preserve"> </w:t>
      </w:r>
      <w:r>
        <w:rPr>
          <w:color w:val="211F1F"/>
          <w:spacing w:val="-2"/>
        </w:rPr>
        <w:t>after</w:t>
      </w:r>
      <w:r>
        <w:rPr>
          <w:color w:val="211F1F"/>
          <w:spacing w:val="-7"/>
        </w:rPr>
        <w:t xml:space="preserve"> </w:t>
      </w:r>
      <w:r>
        <w:rPr>
          <w:color w:val="211F1F"/>
          <w:spacing w:val="-2"/>
        </w:rPr>
        <w:t>the</w:t>
      </w:r>
      <w:r>
        <w:rPr>
          <w:color w:val="211F1F"/>
          <w:spacing w:val="-12"/>
        </w:rPr>
        <w:t xml:space="preserve"> </w:t>
      </w:r>
      <w:r>
        <w:rPr>
          <w:color w:val="211F1F"/>
          <w:spacing w:val="-2"/>
        </w:rPr>
        <w:t>end</w:t>
      </w:r>
      <w:r>
        <w:rPr>
          <w:color w:val="211F1F"/>
          <w:spacing w:val="-10"/>
        </w:rPr>
        <w:t xml:space="preserve"> </w:t>
      </w:r>
      <w:r>
        <w:rPr>
          <w:color w:val="211F1F"/>
          <w:spacing w:val="-2"/>
        </w:rPr>
        <w:t>of</w:t>
      </w:r>
      <w:r>
        <w:rPr>
          <w:color w:val="211F1F"/>
          <w:spacing w:val="-7"/>
        </w:rPr>
        <w:t xml:space="preserve"> </w:t>
      </w:r>
      <w:r>
        <w:rPr>
          <w:color w:val="211F1F"/>
          <w:spacing w:val="-2"/>
        </w:rPr>
        <w:t>the</w:t>
      </w:r>
      <w:r>
        <w:rPr>
          <w:color w:val="211F1F"/>
          <w:spacing w:val="-12"/>
        </w:rPr>
        <w:t xml:space="preserve"> </w:t>
      </w:r>
      <w:r>
        <w:rPr>
          <w:color w:val="211F1F"/>
          <w:spacing w:val="-2"/>
        </w:rPr>
        <w:t>effects</w:t>
      </w:r>
      <w:r>
        <w:rPr>
          <w:color w:val="211F1F"/>
          <w:spacing w:val="-9"/>
        </w:rPr>
        <w:t xml:space="preserve"> </w:t>
      </w:r>
      <w:r>
        <w:rPr>
          <w:color w:val="211F1F"/>
          <w:spacing w:val="-2"/>
        </w:rPr>
        <w:t>resulting</w:t>
      </w:r>
      <w:r>
        <w:rPr>
          <w:color w:val="211F1F"/>
          <w:spacing w:val="-12"/>
        </w:rPr>
        <w:t xml:space="preserve"> </w:t>
      </w:r>
      <w:r>
        <w:rPr>
          <w:color w:val="211F1F"/>
          <w:spacing w:val="-2"/>
        </w:rPr>
        <w:t>from</w:t>
      </w:r>
      <w:r>
        <w:rPr>
          <w:color w:val="211F1F"/>
          <w:spacing w:val="-12"/>
        </w:rPr>
        <w:t xml:space="preserve"> </w:t>
      </w:r>
      <w:r>
        <w:rPr>
          <w:color w:val="211F1F"/>
          <w:spacing w:val="-2"/>
        </w:rPr>
        <w:t>the</w:t>
      </w:r>
      <w:r>
        <w:rPr>
          <w:color w:val="211F1F"/>
          <w:spacing w:val="-7"/>
        </w:rPr>
        <w:t xml:space="preserve"> </w:t>
      </w:r>
      <w:r>
        <w:rPr>
          <w:color w:val="211F1F"/>
          <w:spacing w:val="-2"/>
        </w:rPr>
        <w:t>event or</w:t>
      </w:r>
      <w:r>
        <w:rPr>
          <w:color w:val="211F1F"/>
          <w:spacing w:val="-9"/>
        </w:rPr>
        <w:t xml:space="preserve"> </w:t>
      </w:r>
      <w:r>
        <w:rPr>
          <w:color w:val="211F1F"/>
          <w:spacing w:val="-2"/>
        </w:rPr>
        <w:t>circumstance, or within</w:t>
      </w:r>
      <w:r>
        <w:rPr>
          <w:color w:val="211F1F"/>
          <w:spacing w:val="-8"/>
        </w:rPr>
        <w:t xml:space="preserve"> </w:t>
      </w:r>
      <w:r>
        <w:rPr>
          <w:color w:val="211F1F"/>
          <w:spacing w:val="-2"/>
        </w:rPr>
        <w:t>such</w:t>
      </w:r>
      <w:r>
        <w:rPr>
          <w:color w:val="211F1F"/>
          <w:spacing w:val="-12"/>
        </w:rPr>
        <w:t xml:space="preserve"> </w:t>
      </w:r>
      <w:r>
        <w:rPr>
          <w:color w:val="211F1F"/>
          <w:spacing w:val="-2"/>
        </w:rPr>
        <w:t>other period</w:t>
      </w:r>
      <w:r>
        <w:rPr>
          <w:color w:val="211F1F"/>
          <w:spacing w:val="-8"/>
        </w:rPr>
        <w:t xml:space="preserve"> </w:t>
      </w:r>
      <w:r>
        <w:rPr>
          <w:color w:val="211F1F"/>
          <w:spacing w:val="-2"/>
        </w:rPr>
        <w:t>as</w:t>
      </w:r>
      <w:r>
        <w:rPr>
          <w:color w:val="211F1F"/>
          <w:spacing w:val="-8"/>
        </w:rPr>
        <w:t xml:space="preserve"> </w:t>
      </w:r>
      <w:r>
        <w:rPr>
          <w:color w:val="211F1F"/>
          <w:spacing w:val="-2"/>
        </w:rPr>
        <w:t>may</w:t>
      </w:r>
      <w:r>
        <w:rPr>
          <w:color w:val="211F1F"/>
          <w:spacing w:val="-12"/>
        </w:rPr>
        <w:t xml:space="preserve"> </w:t>
      </w:r>
      <w:r>
        <w:rPr>
          <w:color w:val="211F1F"/>
          <w:spacing w:val="-2"/>
        </w:rPr>
        <w:t>be</w:t>
      </w:r>
      <w:r>
        <w:rPr>
          <w:color w:val="211F1F"/>
          <w:spacing w:val="-10"/>
        </w:rPr>
        <w:t xml:space="preserve"> </w:t>
      </w:r>
      <w:r>
        <w:rPr>
          <w:color w:val="211F1F"/>
          <w:spacing w:val="-2"/>
        </w:rPr>
        <w:t>proposed</w:t>
      </w:r>
      <w:r>
        <w:rPr>
          <w:color w:val="211F1F"/>
          <w:spacing w:val="-7"/>
        </w:rPr>
        <w:t xml:space="preserve"> </w:t>
      </w:r>
      <w:r>
        <w:rPr>
          <w:color w:val="211F1F"/>
          <w:spacing w:val="-2"/>
        </w:rPr>
        <w:t>by</w:t>
      </w:r>
      <w:r>
        <w:rPr>
          <w:color w:val="211F1F"/>
          <w:spacing w:val="-12"/>
        </w:rPr>
        <w:t xml:space="preserve"> </w:t>
      </w:r>
      <w:r>
        <w:rPr>
          <w:color w:val="211F1F"/>
          <w:spacing w:val="-2"/>
        </w:rPr>
        <w:t>the</w:t>
      </w:r>
      <w:r>
        <w:rPr>
          <w:color w:val="211F1F"/>
          <w:spacing w:val="-10"/>
        </w:rPr>
        <w:t xml:space="preserve"> </w:t>
      </w:r>
      <w:r>
        <w:rPr>
          <w:color w:val="211F1F"/>
          <w:spacing w:val="-2"/>
        </w:rPr>
        <w:t>Contractor</w:t>
      </w:r>
      <w:r>
        <w:rPr>
          <w:color w:val="211F1F"/>
          <w:spacing w:val="-4"/>
        </w:rPr>
        <w:t xml:space="preserve"> </w:t>
      </w:r>
      <w:r>
        <w:rPr>
          <w:color w:val="211F1F"/>
          <w:spacing w:val="-2"/>
        </w:rPr>
        <w:t>and</w:t>
      </w:r>
      <w:r>
        <w:rPr>
          <w:color w:val="211F1F"/>
          <w:spacing w:val="-12"/>
        </w:rPr>
        <w:t xml:space="preserve"> </w:t>
      </w:r>
      <w:r>
        <w:rPr>
          <w:color w:val="211F1F"/>
          <w:spacing w:val="-2"/>
        </w:rPr>
        <w:t>approved</w:t>
      </w:r>
      <w:r>
        <w:rPr>
          <w:color w:val="211F1F"/>
          <w:spacing w:val="-7"/>
        </w:rPr>
        <w:t xml:space="preserve"> </w:t>
      </w:r>
      <w:r>
        <w:rPr>
          <w:color w:val="211F1F"/>
          <w:spacing w:val="-2"/>
        </w:rPr>
        <w:t>by</w:t>
      </w:r>
      <w:r>
        <w:rPr>
          <w:color w:val="211F1F"/>
          <w:spacing w:val="-12"/>
        </w:rPr>
        <w:t xml:space="preserve"> </w:t>
      </w:r>
      <w:r>
        <w:rPr>
          <w:color w:val="211F1F"/>
          <w:spacing w:val="-2"/>
        </w:rPr>
        <w:t xml:space="preserve">the </w:t>
      </w:r>
      <w:r>
        <w:rPr>
          <w:color w:val="211F1F"/>
        </w:rPr>
        <w:t>Project</w:t>
      </w:r>
      <w:r>
        <w:rPr>
          <w:color w:val="211F1F"/>
          <w:spacing w:val="-20"/>
        </w:rPr>
        <w:t xml:space="preserve"> </w:t>
      </w:r>
      <w:r>
        <w:rPr>
          <w:color w:val="211F1F"/>
        </w:rPr>
        <w:t>Manager.</w:t>
      </w:r>
    </w:p>
    <w:p w14:paraId="37307289" w14:textId="77777777" w:rsidR="00BB77C0" w:rsidRDefault="00BB77C0">
      <w:pPr>
        <w:pStyle w:val="BodyText"/>
        <w:spacing w:before="41"/>
      </w:pPr>
    </w:p>
    <w:p w14:paraId="58A6C8C3" w14:textId="77777777" w:rsidR="00BB77C0" w:rsidRDefault="00370BAA">
      <w:pPr>
        <w:pStyle w:val="ListParagraph"/>
        <w:numPr>
          <w:ilvl w:val="2"/>
          <w:numId w:val="23"/>
        </w:numPr>
        <w:tabs>
          <w:tab w:val="left" w:pos="1616"/>
          <w:tab w:val="left" w:pos="1618"/>
        </w:tabs>
        <w:spacing w:line="230" w:lineRule="auto"/>
        <w:ind w:left="1618" w:right="706" w:hanging="630"/>
        <w:jc w:val="both"/>
        <w:rPr>
          <w:color w:val="211F1F"/>
        </w:rPr>
      </w:pPr>
      <w:r>
        <w:rPr>
          <w:color w:val="211F1F"/>
        </w:rPr>
        <w:t>Within</w:t>
      </w:r>
      <w:r>
        <w:rPr>
          <w:color w:val="211F1F"/>
          <w:spacing w:val="-7"/>
        </w:rPr>
        <w:t xml:space="preserve"> </w:t>
      </w:r>
      <w:r>
        <w:rPr>
          <w:color w:val="211F1F"/>
        </w:rPr>
        <w:t>42 days</w:t>
      </w:r>
      <w:r>
        <w:rPr>
          <w:color w:val="211F1F"/>
          <w:spacing w:val="-2"/>
        </w:rPr>
        <w:t xml:space="preserve"> </w:t>
      </w:r>
      <w:r>
        <w:rPr>
          <w:color w:val="211F1F"/>
        </w:rPr>
        <w:t>after receiving</w:t>
      </w:r>
      <w:r>
        <w:rPr>
          <w:color w:val="211F1F"/>
          <w:spacing w:val="-2"/>
        </w:rPr>
        <w:t xml:space="preserve"> </w:t>
      </w:r>
      <w:r>
        <w:rPr>
          <w:color w:val="211F1F"/>
        </w:rPr>
        <w:t>a Notice</w:t>
      </w:r>
      <w:r>
        <w:rPr>
          <w:color w:val="211F1F"/>
          <w:spacing w:val="-4"/>
        </w:rPr>
        <w:t xml:space="preserve"> </w:t>
      </w:r>
      <w:r>
        <w:rPr>
          <w:color w:val="211F1F"/>
        </w:rPr>
        <w:t>of</w:t>
      </w:r>
      <w:r>
        <w:rPr>
          <w:color w:val="211F1F"/>
          <w:spacing w:val="-4"/>
        </w:rPr>
        <w:t xml:space="preserve"> </w:t>
      </w:r>
      <w:r>
        <w:rPr>
          <w:color w:val="211F1F"/>
        </w:rPr>
        <w:t>a claim</w:t>
      </w:r>
      <w:r>
        <w:rPr>
          <w:color w:val="211F1F"/>
          <w:spacing w:val="-6"/>
        </w:rPr>
        <w:t xml:space="preserve"> </w:t>
      </w:r>
      <w:r>
        <w:rPr>
          <w:color w:val="211F1F"/>
        </w:rPr>
        <w:t>or any</w:t>
      </w:r>
      <w:r>
        <w:rPr>
          <w:color w:val="211F1F"/>
          <w:spacing w:val="-3"/>
        </w:rPr>
        <w:t xml:space="preserve"> </w:t>
      </w:r>
      <w:r>
        <w:rPr>
          <w:color w:val="211F1F"/>
        </w:rPr>
        <w:t>further particulars</w:t>
      </w:r>
      <w:r>
        <w:rPr>
          <w:color w:val="211F1F"/>
          <w:spacing w:val="-5"/>
        </w:rPr>
        <w:t xml:space="preserve"> </w:t>
      </w:r>
      <w:r>
        <w:rPr>
          <w:color w:val="211F1F"/>
        </w:rPr>
        <w:t>supporting</w:t>
      </w:r>
      <w:r>
        <w:rPr>
          <w:color w:val="211F1F"/>
          <w:spacing w:val="-7"/>
        </w:rPr>
        <w:t xml:space="preserve"> </w:t>
      </w:r>
      <w:r>
        <w:rPr>
          <w:color w:val="211F1F"/>
        </w:rPr>
        <w:t>a previous</w:t>
      </w:r>
      <w:r>
        <w:rPr>
          <w:color w:val="211F1F"/>
          <w:spacing w:val="-1"/>
        </w:rPr>
        <w:t xml:space="preserve"> </w:t>
      </w:r>
      <w:r>
        <w:rPr>
          <w:color w:val="211F1F"/>
        </w:rPr>
        <w:t>claim, or within such other period</w:t>
      </w:r>
      <w:r>
        <w:rPr>
          <w:color w:val="211F1F"/>
          <w:spacing w:val="-4"/>
        </w:rPr>
        <w:t xml:space="preserve"> </w:t>
      </w:r>
      <w:r>
        <w:rPr>
          <w:color w:val="211F1F"/>
        </w:rPr>
        <w:t>as may</w:t>
      </w:r>
      <w:r>
        <w:rPr>
          <w:color w:val="211F1F"/>
          <w:spacing w:val="-1"/>
        </w:rPr>
        <w:t xml:space="preserve"> </w:t>
      </w:r>
      <w:r>
        <w:rPr>
          <w:color w:val="211F1F"/>
        </w:rPr>
        <w:t>be</w:t>
      </w:r>
      <w:r>
        <w:rPr>
          <w:color w:val="211F1F"/>
          <w:spacing w:val="-2"/>
        </w:rPr>
        <w:t xml:space="preserve"> </w:t>
      </w:r>
      <w:r>
        <w:rPr>
          <w:color w:val="211F1F"/>
        </w:rPr>
        <w:t>proposed by</w:t>
      </w:r>
      <w:r>
        <w:rPr>
          <w:color w:val="211F1F"/>
          <w:spacing w:val="-1"/>
        </w:rPr>
        <w:t xml:space="preserve"> </w:t>
      </w:r>
      <w:r>
        <w:rPr>
          <w:color w:val="211F1F"/>
        </w:rPr>
        <w:t>the</w:t>
      </w:r>
      <w:r>
        <w:rPr>
          <w:color w:val="211F1F"/>
          <w:spacing w:val="-7"/>
        </w:rPr>
        <w:t xml:space="preserve"> </w:t>
      </w:r>
      <w:r>
        <w:rPr>
          <w:color w:val="211F1F"/>
        </w:rPr>
        <w:t>Project Manager and approved</w:t>
      </w:r>
      <w:r>
        <w:rPr>
          <w:color w:val="211F1F"/>
          <w:spacing w:val="-1"/>
        </w:rPr>
        <w:t xml:space="preserve"> </w:t>
      </w:r>
      <w:r>
        <w:rPr>
          <w:color w:val="211F1F"/>
        </w:rPr>
        <w:t>by the</w:t>
      </w:r>
      <w:r>
        <w:rPr>
          <w:color w:val="211F1F"/>
          <w:spacing w:val="-2"/>
        </w:rPr>
        <w:t xml:space="preserve"> </w:t>
      </w:r>
      <w:r>
        <w:rPr>
          <w:color w:val="211F1F"/>
        </w:rPr>
        <w:t>Contractor, the</w:t>
      </w:r>
      <w:r>
        <w:rPr>
          <w:color w:val="211F1F"/>
          <w:spacing w:val="-14"/>
        </w:rPr>
        <w:t xml:space="preserve"> </w:t>
      </w:r>
      <w:r>
        <w:rPr>
          <w:color w:val="211F1F"/>
        </w:rPr>
        <w:t>Project</w:t>
      </w:r>
      <w:r>
        <w:rPr>
          <w:color w:val="211F1F"/>
          <w:spacing w:val="-14"/>
        </w:rPr>
        <w:t xml:space="preserve"> </w:t>
      </w:r>
      <w:r>
        <w:rPr>
          <w:color w:val="211F1F"/>
        </w:rPr>
        <w:t>Manager</w:t>
      </w:r>
      <w:r>
        <w:rPr>
          <w:color w:val="211F1F"/>
          <w:spacing w:val="-14"/>
        </w:rPr>
        <w:t xml:space="preserve"> </w:t>
      </w:r>
      <w:r>
        <w:rPr>
          <w:color w:val="211F1F"/>
        </w:rPr>
        <w:t>shall</w:t>
      </w:r>
      <w:r>
        <w:rPr>
          <w:color w:val="211F1F"/>
          <w:spacing w:val="-13"/>
        </w:rPr>
        <w:t xml:space="preserve"> </w:t>
      </w:r>
      <w:r>
        <w:rPr>
          <w:color w:val="211F1F"/>
        </w:rPr>
        <w:t>respond</w:t>
      </w:r>
      <w:r>
        <w:rPr>
          <w:color w:val="211F1F"/>
          <w:spacing w:val="-14"/>
        </w:rPr>
        <w:t xml:space="preserve"> </w:t>
      </w:r>
      <w:r>
        <w:rPr>
          <w:color w:val="211F1F"/>
        </w:rPr>
        <w:t>with</w:t>
      </w:r>
      <w:r>
        <w:rPr>
          <w:color w:val="211F1F"/>
          <w:spacing w:val="-13"/>
        </w:rPr>
        <w:t xml:space="preserve"> </w:t>
      </w:r>
      <w:r>
        <w:rPr>
          <w:color w:val="211F1F"/>
        </w:rPr>
        <w:t>approval,</w:t>
      </w:r>
      <w:r>
        <w:rPr>
          <w:color w:val="211F1F"/>
          <w:spacing w:val="-9"/>
        </w:rPr>
        <w:t xml:space="preserve"> </w:t>
      </w:r>
      <w:r>
        <w:rPr>
          <w:color w:val="211F1F"/>
        </w:rPr>
        <w:t>or</w:t>
      </w:r>
      <w:r>
        <w:rPr>
          <w:color w:val="211F1F"/>
          <w:spacing w:val="-14"/>
        </w:rPr>
        <w:t xml:space="preserve"> </w:t>
      </w:r>
      <w:r>
        <w:rPr>
          <w:color w:val="211F1F"/>
        </w:rPr>
        <w:t>with</w:t>
      </w:r>
      <w:r>
        <w:rPr>
          <w:color w:val="211F1F"/>
          <w:spacing w:val="-14"/>
        </w:rPr>
        <w:t xml:space="preserve"> </w:t>
      </w:r>
      <w:r>
        <w:rPr>
          <w:color w:val="211F1F"/>
        </w:rPr>
        <w:t>disapproval</w:t>
      </w:r>
      <w:r>
        <w:rPr>
          <w:color w:val="211F1F"/>
          <w:spacing w:val="-14"/>
        </w:rPr>
        <w:t xml:space="preserve"> </w:t>
      </w:r>
      <w:r>
        <w:rPr>
          <w:color w:val="211F1F"/>
        </w:rPr>
        <w:t>and</w:t>
      </w:r>
      <w:r>
        <w:rPr>
          <w:color w:val="211F1F"/>
          <w:spacing w:val="-13"/>
        </w:rPr>
        <w:t xml:space="preserve"> </w:t>
      </w:r>
      <w:r>
        <w:rPr>
          <w:color w:val="211F1F"/>
        </w:rPr>
        <w:t>detailed</w:t>
      </w:r>
      <w:r>
        <w:rPr>
          <w:color w:val="211F1F"/>
          <w:spacing w:val="-14"/>
        </w:rPr>
        <w:t xml:space="preserve"> </w:t>
      </w:r>
      <w:r>
        <w:rPr>
          <w:color w:val="211F1F"/>
        </w:rPr>
        <w:t>comments.</w:t>
      </w:r>
      <w:r>
        <w:rPr>
          <w:color w:val="211F1F"/>
          <w:spacing w:val="-9"/>
        </w:rPr>
        <w:t xml:space="preserve"> </w:t>
      </w:r>
      <w:r>
        <w:rPr>
          <w:color w:val="211F1F"/>
        </w:rPr>
        <w:t>He</w:t>
      </w:r>
      <w:r>
        <w:rPr>
          <w:color w:val="211F1F"/>
          <w:spacing w:val="-14"/>
        </w:rPr>
        <w:t xml:space="preserve"> </w:t>
      </w:r>
      <w:r>
        <w:rPr>
          <w:color w:val="211F1F"/>
        </w:rPr>
        <w:t>may</w:t>
      </w:r>
      <w:r>
        <w:rPr>
          <w:color w:val="211F1F"/>
          <w:spacing w:val="-14"/>
        </w:rPr>
        <w:t xml:space="preserve"> </w:t>
      </w:r>
      <w:r>
        <w:rPr>
          <w:color w:val="211F1F"/>
        </w:rPr>
        <w:t>also request</w:t>
      </w:r>
      <w:r>
        <w:rPr>
          <w:color w:val="211F1F"/>
          <w:spacing w:val="19"/>
        </w:rPr>
        <w:t xml:space="preserve"> </w:t>
      </w:r>
      <w:r>
        <w:rPr>
          <w:color w:val="211F1F"/>
        </w:rPr>
        <w:t>any</w:t>
      </w:r>
      <w:r>
        <w:rPr>
          <w:color w:val="211F1F"/>
          <w:spacing w:val="-5"/>
        </w:rPr>
        <w:t xml:space="preserve"> </w:t>
      </w:r>
      <w:r>
        <w:rPr>
          <w:color w:val="211F1F"/>
        </w:rPr>
        <w:t>necessary</w:t>
      </w:r>
      <w:r>
        <w:rPr>
          <w:color w:val="211F1F"/>
          <w:spacing w:val="-5"/>
        </w:rPr>
        <w:t xml:space="preserve"> </w:t>
      </w:r>
      <w:r>
        <w:rPr>
          <w:color w:val="211F1F"/>
        </w:rPr>
        <w:t>further particulars,</w:t>
      </w:r>
      <w:r>
        <w:rPr>
          <w:color w:val="211F1F"/>
          <w:spacing w:val="-2"/>
        </w:rPr>
        <w:t xml:space="preserve"> </w:t>
      </w:r>
      <w:r>
        <w:rPr>
          <w:color w:val="211F1F"/>
        </w:rPr>
        <w:t>but</w:t>
      </w:r>
      <w:r>
        <w:rPr>
          <w:color w:val="211F1F"/>
          <w:spacing w:val="-5"/>
        </w:rPr>
        <w:t xml:space="preserve"> </w:t>
      </w:r>
      <w:r>
        <w:rPr>
          <w:color w:val="211F1F"/>
        </w:rPr>
        <w:t>shall</w:t>
      </w:r>
      <w:r>
        <w:rPr>
          <w:color w:val="211F1F"/>
          <w:spacing w:val="-5"/>
        </w:rPr>
        <w:t xml:space="preserve"> </w:t>
      </w:r>
      <w:r>
        <w:rPr>
          <w:color w:val="211F1F"/>
        </w:rPr>
        <w:t>nevertheless give</w:t>
      </w:r>
      <w:r>
        <w:rPr>
          <w:color w:val="211F1F"/>
          <w:spacing w:val="-2"/>
        </w:rPr>
        <w:t xml:space="preserve"> </w:t>
      </w:r>
      <w:r>
        <w:rPr>
          <w:color w:val="211F1F"/>
        </w:rPr>
        <w:t>his response</w:t>
      </w:r>
      <w:r>
        <w:rPr>
          <w:color w:val="211F1F"/>
          <w:spacing w:val="-7"/>
        </w:rPr>
        <w:t xml:space="preserve"> </w:t>
      </w:r>
      <w:r>
        <w:rPr>
          <w:color w:val="211F1F"/>
        </w:rPr>
        <w:t>on</w:t>
      </w:r>
      <w:r>
        <w:rPr>
          <w:color w:val="211F1F"/>
          <w:spacing w:val="-6"/>
        </w:rPr>
        <w:t xml:space="preserve"> </w:t>
      </w:r>
      <w:r>
        <w:rPr>
          <w:color w:val="211F1F"/>
        </w:rPr>
        <w:t>the</w:t>
      </w:r>
      <w:r>
        <w:rPr>
          <w:color w:val="211F1F"/>
          <w:spacing w:val="-8"/>
        </w:rPr>
        <w:t xml:space="preserve"> </w:t>
      </w:r>
      <w:r>
        <w:rPr>
          <w:color w:val="211F1F"/>
        </w:rPr>
        <w:t>principles of</w:t>
      </w:r>
      <w:r>
        <w:rPr>
          <w:color w:val="211F1F"/>
          <w:spacing w:val="-2"/>
        </w:rPr>
        <w:t xml:space="preserve"> </w:t>
      </w:r>
      <w:r>
        <w:rPr>
          <w:color w:val="211F1F"/>
        </w:rPr>
        <w:t>the claim within the above defined time period.</w:t>
      </w:r>
    </w:p>
    <w:p w14:paraId="1170B643" w14:textId="77777777" w:rsidR="00BB77C0" w:rsidRDefault="00370BAA">
      <w:pPr>
        <w:pStyle w:val="ListParagraph"/>
        <w:numPr>
          <w:ilvl w:val="2"/>
          <w:numId w:val="23"/>
        </w:numPr>
        <w:tabs>
          <w:tab w:val="left" w:pos="1616"/>
          <w:tab w:val="left" w:pos="1618"/>
        </w:tabs>
        <w:spacing w:before="234" w:line="232" w:lineRule="auto"/>
        <w:ind w:left="1618" w:right="712" w:hanging="630"/>
        <w:jc w:val="both"/>
        <w:rPr>
          <w:color w:val="211F1F"/>
        </w:rPr>
      </w:pPr>
      <w:r>
        <w:rPr>
          <w:color w:val="211F1F"/>
        </w:rPr>
        <w:t>Within the</w:t>
      </w:r>
      <w:r>
        <w:rPr>
          <w:color w:val="211F1F"/>
          <w:spacing w:val="-1"/>
        </w:rPr>
        <w:t xml:space="preserve"> </w:t>
      </w:r>
      <w:r>
        <w:rPr>
          <w:color w:val="211F1F"/>
        </w:rPr>
        <w:t>above defined period of 42 days, the</w:t>
      </w:r>
      <w:r>
        <w:rPr>
          <w:color w:val="211F1F"/>
          <w:spacing w:val="-1"/>
        </w:rPr>
        <w:t xml:space="preserve"> </w:t>
      </w:r>
      <w:r>
        <w:rPr>
          <w:color w:val="211F1F"/>
        </w:rPr>
        <w:t xml:space="preserve">Project Manager shall proceed in accordance with Sub- </w:t>
      </w:r>
      <w:r>
        <w:rPr>
          <w:color w:val="211F1F"/>
          <w:spacing w:val="-2"/>
        </w:rPr>
        <w:t>Clause</w:t>
      </w:r>
    </w:p>
    <w:p w14:paraId="2C0CDE84" w14:textId="77777777" w:rsidR="00BB77C0" w:rsidRDefault="00370BAA">
      <w:pPr>
        <w:pStyle w:val="ListParagraph"/>
        <w:numPr>
          <w:ilvl w:val="2"/>
          <w:numId w:val="23"/>
        </w:numPr>
        <w:tabs>
          <w:tab w:val="left" w:pos="1616"/>
          <w:tab w:val="left" w:pos="1618"/>
        </w:tabs>
        <w:spacing w:before="248" w:line="232" w:lineRule="auto"/>
        <w:ind w:left="1618" w:right="717" w:hanging="630"/>
        <w:jc w:val="both"/>
        <w:rPr>
          <w:color w:val="211F1F"/>
        </w:rPr>
      </w:pPr>
      <w:r>
        <w:rPr>
          <w:color w:val="211F1F"/>
        </w:rPr>
        <w:t>[Determinations]</w:t>
      </w:r>
      <w:r>
        <w:rPr>
          <w:color w:val="211F1F"/>
          <w:spacing w:val="40"/>
        </w:rPr>
        <w:t xml:space="preserve"> </w:t>
      </w:r>
      <w:r>
        <w:rPr>
          <w:color w:val="211F1F"/>
        </w:rPr>
        <w:t>to agree or determine (i) the extension (if any) of the Time for Completion (before or after its expiry) in accordance with Sub-Clause 8.4 [Extension of Time for Completion], and/or (ii) the</w:t>
      </w:r>
    </w:p>
    <w:p w14:paraId="04C12DF2" w14:textId="77777777" w:rsidR="00BB77C0" w:rsidRDefault="00BB77C0">
      <w:pPr>
        <w:pStyle w:val="ListParagraph"/>
        <w:spacing w:line="232" w:lineRule="auto"/>
        <w:jc w:val="both"/>
        <w:sectPr w:rsidR="00BB77C0">
          <w:pgSz w:w="11920" w:h="16850"/>
          <w:pgMar w:top="740" w:right="0" w:bottom="280" w:left="360" w:header="720" w:footer="720" w:gutter="0"/>
          <w:cols w:space="720"/>
        </w:sectPr>
      </w:pPr>
    </w:p>
    <w:p w14:paraId="020C550A" w14:textId="77777777" w:rsidR="00BB77C0" w:rsidRDefault="00370BAA">
      <w:pPr>
        <w:pStyle w:val="BodyText"/>
        <w:spacing w:before="64"/>
        <w:ind w:left="1623"/>
      </w:pPr>
      <w:r>
        <w:rPr>
          <w:color w:val="211F1F"/>
        </w:rPr>
        <w:lastRenderedPageBreak/>
        <w:t>additional</w:t>
      </w:r>
      <w:r>
        <w:rPr>
          <w:color w:val="211F1F"/>
          <w:spacing w:val="-12"/>
        </w:rPr>
        <w:t xml:space="preserve"> </w:t>
      </w:r>
      <w:r>
        <w:rPr>
          <w:color w:val="211F1F"/>
        </w:rPr>
        <w:t>payment</w:t>
      </w:r>
      <w:r>
        <w:rPr>
          <w:color w:val="211F1F"/>
          <w:spacing w:val="-1"/>
        </w:rPr>
        <w:t xml:space="preserve"> </w:t>
      </w:r>
      <w:r>
        <w:rPr>
          <w:color w:val="211F1F"/>
        </w:rPr>
        <w:t>(if</w:t>
      </w:r>
      <w:r>
        <w:rPr>
          <w:color w:val="211F1F"/>
          <w:spacing w:val="-7"/>
        </w:rPr>
        <w:t xml:space="preserve"> </w:t>
      </w:r>
      <w:r>
        <w:rPr>
          <w:color w:val="211F1F"/>
        </w:rPr>
        <w:t>any)</w:t>
      </w:r>
      <w:r>
        <w:rPr>
          <w:color w:val="211F1F"/>
          <w:spacing w:val="-7"/>
        </w:rPr>
        <w:t xml:space="preserve"> </w:t>
      </w:r>
      <w:r>
        <w:rPr>
          <w:color w:val="211F1F"/>
        </w:rPr>
        <w:t>to</w:t>
      </w:r>
      <w:r>
        <w:rPr>
          <w:color w:val="211F1F"/>
          <w:spacing w:val="-7"/>
        </w:rPr>
        <w:t xml:space="preserve"> </w:t>
      </w:r>
      <w:r>
        <w:rPr>
          <w:color w:val="211F1F"/>
        </w:rPr>
        <w:t>which</w:t>
      </w:r>
      <w:r>
        <w:rPr>
          <w:color w:val="211F1F"/>
          <w:spacing w:val="-11"/>
        </w:rPr>
        <w:t xml:space="preserve"> </w:t>
      </w:r>
      <w:r>
        <w:rPr>
          <w:color w:val="211F1F"/>
        </w:rPr>
        <w:t>the</w:t>
      </w:r>
      <w:r>
        <w:rPr>
          <w:color w:val="211F1F"/>
          <w:spacing w:val="-12"/>
        </w:rPr>
        <w:t xml:space="preserve"> </w:t>
      </w:r>
      <w:r>
        <w:rPr>
          <w:color w:val="211F1F"/>
        </w:rPr>
        <w:t>Contractor</w:t>
      </w:r>
      <w:r>
        <w:rPr>
          <w:color w:val="211F1F"/>
          <w:spacing w:val="1"/>
        </w:rPr>
        <w:t xml:space="preserve"> </w:t>
      </w:r>
      <w:r>
        <w:rPr>
          <w:color w:val="211F1F"/>
        </w:rPr>
        <w:t>is</w:t>
      </w:r>
      <w:r>
        <w:rPr>
          <w:color w:val="211F1F"/>
          <w:spacing w:val="-6"/>
        </w:rPr>
        <w:t xml:space="preserve"> </w:t>
      </w:r>
      <w:r>
        <w:rPr>
          <w:color w:val="211F1F"/>
        </w:rPr>
        <w:t>entitled</w:t>
      </w:r>
      <w:r>
        <w:rPr>
          <w:color w:val="211F1F"/>
          <w:spacing w:val="-11"/>
        </w:rPr>
        <w:t xml:space="preserve"> </w:t>
      </w:r>
      <w:r>
        <w:rPr>
          <w:color w:val="211F1F"/>
        </w:rPr>
        <w:t>under</w:t>
      </w:r>
      <w:r>
        <w:rPr>
          <w:color w:val="211F1F"/>
          <w:spacing w:val="-3"/>
        </w:rPr>
        <w:t xml:space="preserve"> </w:t>
      </w:r>
      <w:r>
        <w:rPr>
          <w:color w:val="211F1F"/>
        </w:rPr>
        <w:t>the</w:t>
      </w:r>
      <w:r>
        <w:rPr>
          <w:color w:val="211F1F"/>
          <w:spacing w:val="-8"/>
        </w:rPr>
        <w:t xml:space="preserve"> </w:t>
      </w:r>
      <w:r>
        <w:rPr>
          <w:color w:val="211F1F"/>
          <w:spacing w:val="-2"/>
        </w:rPr>
        <w:t>Contract.</w:t>
      </w:r>
    </w:p>
    <w:p w14:paraId="2E2715FC" w14:textId="77777777" w:rsidR="00BB77C0" w:rsidRDefault="00370BAA">
      <w:pPr>
        <w:pStyle w:val="ListParagraph"/>
        <w:numPr>
          <w:ilvl w:val="2"/>
          <w:numId w:val="23"/>
        </w:numPr>
        <w:tabs>
          <w:tab w:val="left" w:pos="1621"/>
          <w:tab w:val="left" w:pos="1623"/>
        </w:tabs>
        <w:spacing w:before="231" w:line="230" w:lineRule="auto"/>
        <w:ind w:left="1623" w:right="704" w:hanging="635"/>
        <w:jc w:val="both"/>
        <w:rPr>
          <w:color w:val="211F1F"/>
        </w:rPr>
      </w:pPr>
      <w:r>
        <w:rPr>
          <w:color w:val="211F1F"/>
        </w:rPr>
        <w:t>Each Payment Certificate shall include such additional payment for any claim as has been reasonably substantiated</w:t>
      </w:r>
      <w:r>
        <w:rPr>
          <w:color w:val="211F1F"/>
          <w:spacing w:val="-10"/>
        </w:rPr>
        <w:t xml:space="preserve"> </w:t>
      </w:r>
      <w:r>
        <w:rPr>
          <w:color w:val="211F1F"/>
        </w:rPr>
        <w:t>as</w:t>
      </w:r>
      <w:r>
        <w:rPr>
          <w:color w:val="211F1F"/>
          <w:spacing w:val="-7"/>
        </w:rPr>
        <w:t xml:space="preserve"> </w:t>
      </w:r>
      <w:r>
        <w:rPr>
          <w:color w:val="211F1F"/>
        </w:rPr>
        <w:t>due</w:t>
      </w:r>
      <w:r>
        <w:rPr>
          <w:color w:val="211F1F"/>
          <w:spacing w:val="-13"/>
        </w:rPr>
        <w:t xml:space="preserve"> </w:t>
      </w:r>
      <w:r>
        <w:rPr>
          <w:color w:val="211F1F"/>
        </w:rPr>
        <w:t>under</w:t>
      </w:r>
      <w:r>
        <w:rPr>
          <w:color w:val="211F1F"/>
          <w:spacing w:val="-4"/>
        </w:rPr>
        <w:t xml:space="preserve"> </w:t>
      </w:r>
      <w:r>
        <w:rPr>
          <w:color w:val="211F1F"/>
        </w:rPr>
        <w:t>the</w:t>
      </w:r>
      <w:r>
        <w:rPr>
          <w:color w:val="211F1F"/>
          <w:spacing w:val="-13"/>
        </w:rPr>
        <w:t xml:space="preserve"> </w:t>
      </w:r>
      <w:r>
        <w:rPr>
          <w:color w:val="211F1F"/>
        </w:rPr>
        <w:t>relevant</w:t>
      </w:r>
      <w:r>
        <w:rPr>
          <w:color w:val="211F1F"/>
          <w:spacing w:val="-1"/>
        </w:rPr>
        <w:t xml:space="preserve"> </w:t>
      </w:r>
      <w:r>
        <w:rPr>
          <w:color w:val="211F1F"/>
        </w:rPr>
        <w:t>provision</w:t>
      </w:r>
      <w:r>
        <w:rPr>
          <w:color w:val="211F1F"/>
          <w:spacing w:val="-7"/>
        </w:rPr>
        <w:t xml:space="preserve"> </w:t>
      </w:r>
      <w:r>
        <w:rPr>
          <w:color w:val="211F1F"/>
        </w:rPr>
        <w:t>of</w:t>
      </w:r>
      <w:r>
        <w:rPr>
          <w:color w:val="211F1F"/>
          <w:spacing w:val="-8"/>
        </w:rPr>
        <w:t xml:space="preserve"> </w:t>
      </w:r>
      <w:r>
        <w:rPr>
          <w:color w:val="211F1F"/>
        </w:rPr>
        <w:t>the</w:t>
      </w:r>
      <w:r>
        <w:rPr>
          <w:color w:val="211F1F"/>
          <w:spacing w:val="-13"/>
        </w:rPr>
        <w:t xml:space="preserve"> </w:t>
      </w:r>
      <w:r>
        <w:rPr>
          <w:color w:val="211F1F"/>
        </w:rPr>
        <w:t>Contract.</w:t>
      </w:r>
      <w:r>
        <w:rPr>
          <w:color w:val="211F1F"/>
          <w:spacing w:val="-4"/>
        </w:rPr>
        <w:t xml:space="preserve"> </w:t>
      </w:r>
      <w:r>
        <w:rPr>
          <w:color w:val="211F1F"/>
        </w:rPr>
        <w:t>Unless</w:t>
      </w:r>
      <w:r>
        <w:rPr>
          <w:color w:val="211F1F"/>
          <w:spacing w:val="-6"/>
        </w:rPr>
        <w:t xml:space="preserve"> </w:t>
      </w:r>
      <w:r>
        <w:rPr>
          <w:color w:val="211F1F"/>
        </w:rPr>
        <w:t>and</w:t>
      </w:r>
      <w:r>
        <w:rPr>
          <w:color w:val="211F1F"/>
          <w:spacing w:val="-11"/>
        </w:rPr>
        <w:t xml:space="preserve"> </w:t>
      </w:r>
      <w:r>
        <w:rPr>
          <w:color w:val="211F1F"/>
        </w:rPr>
        <w:t>until</w:t>
      </w:r>
      <w:r>
        <w:rPr>
          <w:color w:val="211F1F"/>
          <w:spacing w:val="-6"/>
        </w:rPr>
        <w:t xml:space="preserve"> </w:t>
      </w:r>
      <w:r>
        <w:rPr>
          <w:color w:val="211F1F"/>
        </w:rPr>
        <w:t>the</w:t>
      </w:r>
      <w:r>
        <w:rPr>
          <w:color w:val="211F1F"/>
          <w:spacing w:val="-13"/>
        </w:rPr>
        <w:t xml:space="preserve"> </w:t>
      </w:r>
      <w:r>
        <w:rPr>
          <w:color w:val="211F1F"/>
        </w:rPr>
        <w:t>particulars</w:t>
      </w:r>
      <w:r>
        <w:rPr>
          <w:color w:val="211F1F"/>
          <w:spacing w:val="-10"/>
        </w:rPr>
        <w:t xml:space="preserve"> </w:t>
      </w:r>
      <w:r>
        <w:rPr>
          <w:color w:val="211F1F"/>
        </w:rPr>
        <w:t>supplied are sufficient to substantiate the whole of the claim, the Contractor shall only be entitled to payment for such part of the claim as he has been able to substantiate.</w:t>
      </w:r>
    </w:p>
    <w:p w14:paraId="2C83249D" w14:textId="77777777" w:rsidR="00BB77C0" w:rsidRDefault="00370BAA">
      <w:pPr>
        <w:pStyle w:val="ListParagraph"/>
        <w:numPr>
          <w:ilvl w:val="2"/>
          <w:numId w:val="23"/>
        </w:numPr>
        <w:tabs>
          <w:tab w:val="left" w:pos="1623"/>
          <w:tab w:val="left" w:pos="1798"/>
        </w:tabs>
        <w:spacing w:before="238" w:line="230" w:lineRule="auto"/>
        <w:ind w:left="1623" w:right="704" w:hanging="635"/>
        <w:jc w:val="both"/>
        <w:rPr>
          <w:color w:val="211F1F"/>
        </w:rPr>
      </w:pPr>
      <w:r>
        <w:rPr>
          <w:color w:val="211F1F"/>
        </w:rPr>
        <w:t>If the Project Manager does not respond within the timeframe defined in this Clause, either Party may consider that</w:t>
      </w:r>
      <w:r>
        <w:rPr>
          <w:color w:val="211F1F"/>
          <w:spacing w:val="-1"/>
        </w:rPr>
        <w:t xml:space="preserve"> </w:t>
      </w:r>
      <w:r>
        <w:rPr>
          <w:color w:val="211F1F"/>
        </w:rPr>
        <w:t>the</w:t>
      </w:r>
      <w:r>
        <w:rPr>
          <w:color w:val="211F1F"/>
          <w:spacing w:val="-3"/>
        </w:rPr>
        <w:t xml:space="preserve"> </w:t>
      </w:r>
      <w:r>
        <w:rPr>
          <w:color w:val="211F1F"/>
        </w:rPr>
        <w:t>claim</w:t>
      </w:r>
      <w:r>
        <w:rPr>
          <w:color w:val="211F1F"/>
          <w:spacing w:val="-6"/>
        </w:rPr>
        <w:t xml:space="preserve"> </w:t>
      </w:r>
      <w:r>
        <w:rPr>
          <w:color w:val="211F1F"/>
        </w:rPr>
        <w:t>is rejected</w:t>
      </w:r>
      <w:r>
        <w:rPr>
          <w:color w:val="211F1F"/>
          <w:spacing w:val="-1"/>
        </w:rPr>
        <w:t xml:space="preserve"> </w:t>
      </w:r>
      <w:r>
        <w:rPr>
          <w:color w:val="211F1F"/>
        </w:rPr>
        <w:t>by</w:t>
      </w:r>
      <w:r>
        <w:rPr>
          <w:color w:val="211F1F"/>
          <w:spacing w:val="-2"/>
        </w:rPr>
        <w:t xml:space="preserve"> </w:t>
      </w:r>
      <w:r>
        <w:rPr>
          <w:color w:val="211F1F"/>
        </w:rPr>
        <w:t>the</w:t>
      </w:r>
      <w:r>
        <w:rPr>
          <w:color w:val="211F1F"/>
          <w:spacing w:val="-4"/>
        </w:rPr>
        <w:t xml:space="preserve"> </w:t>
      </w:r>
      <w:r>
        <w:rPr>
          <w:color w:val="211F1F"/>
        </w:rPr>
        <w:t>Project Manager and any</w:t>
      </w:r>
      <w:r>
        <w:rPr>
          <w:color w:val="211F1F"/>
          <w:spacing w:val="-1"/>
        </w:rPr>
        <w:t xml:space="preserve"> </w:t>
      </w:r>
      <w:r>
        <w:rPr>
          <w:color w:val="211F1F"/>
        </w:rPr>
        <w:t>of the</w:t>
      </w:r>
      <w:r>
        <w:rPr>
          <w:color w:val="211F1F"/>
          <w:spacing w:val="-4"/>
        </w:rPr>
        <w:t xml:space="preserve"> </w:t>
      </w:r>
      <w:r>
        <w:rPr>
          <w:color w:val="211F1F"/>
        </w:rPr>
        <w:t>Parties may</w:t>
      </w:r>
      <w:r>
        <w:rPr>
          <w:color w:val="211F1F"/>
          <w:spacing w:val="-2"/>
        </w:rPr>
        <w:t xml:space="preserve"> </w:t>
      </w:r>
      <w:r>
        <w:rPr>
          <w:color w:val="211F1F"/>
        </w:rPr>
        <w:t>refer to Arbitration in accordance with Sub-Clause 24.4 [Arbitration].</w:t>
      </w:r>
    </w:p>
    <w:p w14:paraId="3E207121" w14:textId="77777777" w:rsidR="00BB77C0" w:rsidRDefault="00370BAA">
      <w:pPr>
        <w:pStyle w:val="ListParagraph"/>
        <w:numPr>
          <w:ilvl w:val="2"/>
          <w:numId w:val="23"/>
        </w:numPr>
        <w:tabs>
          <w:tab w:val="left" w:pos="1618"/>
          <w:tab w:val="left" w:pos="1798"/>
        </w:tabs>
        <w:spacing w:before="242" w:line="230" w:lineRule="auto"/>
        <w:ind w:left="1618" w:right="709" w:hanging="630"/>
        <w:jc w:val="both"/>
        <w:rPr>
          <w:color w:val="211F1F"/>
        </w:rPr>
      </w:pPr>
      <w:r>
        <w:rPr>
          <w:color w:val="211F1F"/>
        </w:rPr>
        <w:t>The</w:t>
      </w:r>
      <w:r>
        <w:rPr>
          <w:color w:val="211F1F"/>
          <w:spacing w:val="40"/>
        </w:rPr>
        <w:t xml:space="preserve"> </w:t>
      </w:r>
      <w:r>
        <w:rPr>
          <w:color w:val="211F1F"/>
        </w:rPr>
        <w:t>requirements</w:t>
      </w:r>
      <w:r>
        <w:rPr>
          <w:color w:val="211F1F"/>
          <w:spacing w:val="40"/>
        </w:rPr>
        <w:t xml:space="preserve"> </w:t>
      </w:r>
      <w:r>
        <w:rPr>
          <w:color w:val="211F1F"/>
        </w:rPr>
        <w:t>of</w:t>
      </w:r>
      <w:r>
        <w:rPr>
          <w:color w:val="211F1F"/>
          <w:spacing w:val="40"/>
        </w:rPr>
        <w:t xml:space="preserve"> </w:t>
      </w:r>
      <w:r>
        <w:rPr>
          <w:color w:val="211F1F"/>
        </w:rPr>
        <w:t>this</w:t>
      </w:r>
      <w:r>
        <w:rPr>
          <w:color w:val="211F1F"/>
          <w:spacing w:val="40"/>
        </w:rPr>
        <w:t xml:space="preserve"> </w:t>
      </w:r>
      <w:r>
        <w:rPr>
          <w:color w:val="211F1F"/>
        </w:rPr>
        <w:t>Sub-Clause</w:t>
      </w:r>
      <w:r>
        <w:rPr>
          <w:color w:val="211F1F"/>
          <w:spacing w:val="40"/>
        </w:rPr>
        <w:t xml:space="preserve"> </w:t>
      </w:r>
      <w:r>
        <w:rPr>
          <w:color w:val="211F1F"/>
        </w:rPr>
        <w:t>are</w:t>
      </w:r>
      <w:r>
        <w:rPr>
          <w:color w:val="211F1F"/>
          <w:spacing w:val="40"/>
        </w:rPr>
        <w:t xml:space="preserve"> </w:t>
      </w:r>
      <w:r>
        <w:rPr>
          <w:color w:val="211F1F"/>
        </w:rPr>
        <w:t>in</w:t>
      </w:r>
      <w:r>
        <w:rPr>
          <w:color w:val="211F1F"/>
          <w:spacing w:val="40"/>
        </w:rPr>
        <w:t xml:space="preserve"> </w:t>
      </w:r>
      <w:r>
        <w:rPr>
          <w:color w:val="211F1F"/>
        </w:rPr>
        <w:t>addition</w:t>
      </w:r>
      <w:r>
        <w:rPr>
          <w:color w:val="211F1F"/>
          <w:spacing w:val="40"/>
        </w:rPr>
        <w:t xml:space="preserve"> </w:t>
      </w:r>
      <w:r>
        <w:rPr>
          <w:color w:val="211F1F"/>
        </w:rPr>
        <w:t>to</w:t>
      </w:r>
      <w:r>
        <w:rPr>
          <w:color w:val="211F1F"/>
          <w:spacing w:val="40"/>
        </w:rPr>
        <w:t xml:space="preserve"> </w:t>
      </w:r>
      <w:r>
        <w:rPr>
          <w:color w:val="211F1F"/>
        </w:rPr>
        <w:t>those</w:t>
      </w:r>
      <w:r>
        <w:rPr>
          <w:color w:val="211F1F"/>
          <w:spacing w:val="40"/>
        </w:rPr>
        <w:t xml:space="preserve"> </w:t>
      </w:r>
      <w:r>
        <w:rPr>
          <w:color w:val="211F1F"/>
        </w:rPr>
        <w:t>of</w:t>
      </w:r>
      <w:r>
        <w:rPr>
          <w:color w:val="211F1F"/>
          <w:spacing w:val="40"/>
        </w:rPr>
        <w:t xml:space="preserve"> </w:t>
      </w:r>
      <w:r>
        <w:rPr>
          <w:color w:val="211F1F"/>
        </w:rPr>
        <w:t>any</w:t>
      </w:r>
      <w:r>
        <w:rPr>
          <w:color w:val="211F1F"/>
          <w:spacing w:val="40"/>
        </w:rPr>
        <w:t xml:space="preserve"> </w:t>
      </w:r>
      <w:r>
        <w:rPr>
          <w:color w:val="211F1F"/>
        </w:rPr>
        <w:t>other</w:t>
      </w:r>
      <w:r>
        <w:rPr>
          <w:color w:val="211F1F"/>
          <w:spacing w:val="40"/>
        </w:rPr>
        <w:t xml:space="preserve"> </w:t>
      </w:r>
      <w:r>
        <w:rPr>
          <w:color w:val="211F1F"/>
        </w:rPr>
        <w:t>Sub-Clause</w:t>
      </w:r>
      <w:r>
        <w:rPr>
          <w:color w:val="211F1F"/>
          <w:spacing w:val="40"/>
        </w:rPr>
        <w:t xml:space="preserve"> </w:t>
      </w:r>
      <w:r>
        <w:rPr>
          <w:color w:val="211F1F"/>
        </w:rPr>
        <w:t>which</w:t>
      </w:r>
      <w:r>
        <w:rPr>
          <w:color w:val="211F1F"/>
          <w:spacing w:val="40"/>
        </w:rPr>
        <w:t xml:space="preserve"> </w:t>
      </w:r>
      <w:r>
        <w:rPr>
          <w:color w:val="211F1F"/>
        </w:rPr>
        <w:t>may apply to a claim. If the Contractor fails to comply with this or another Sub-Clause in relation to any claim, any extension</w:t>
      </w:r>
      <w:r>
        <w:rPr>
          <w:color w:val="211F1F"/>
          <w:spacing w:val="-3"/>
        </w:rPr>
        <w:t xml:space="preserve"> </w:t>
      </w:r>
      <w:r>
        <w:rPr>
          <w:color w:val="211F1F"/>
        </w:rPr>
        <w:t>of time</w:t>
      </w:r>
      <w:r>
        <w:rPr>
          <w:color w:val="211F1F"/>
          <w:spacing w:val="-5"/>
        </w:rPr>
        <w:t xml:space="preserve"> </w:t>
      </w:r>
      <w:r>
        <w:rPr>
          <w:color w:val="211F1F"/>
        </w:rPr>
        <w:t>and/or additional</w:t>
      </w:r>
      <w:r>
        <w:rPr>
          <w:color w:val="211F1F"/>
          <w:spacing w:val="-2"/>
        </w:rPr>
        <w:t xml:space="preserve"> </w:t>
      </w:r>
      <w:r>
        <w:rPr>
          <w:color w:val="211F1F"/>
        </w:rPr>
        <w:t>payment shall</w:t>
      </w:r>
      <w:r>
        <w:rPr>
          <w:color w:val="211F1F"/>
          <w:spacing w:val="-2"/>
        </w:rPr>
        <w:t xml:space="preserve"> </w:t>
      </w:r>
      <w:r>
        <w:rPr>
          <w:color w:val="211F1F"/>
        </w:rPr>
        <w:t>take account of the</w:t>
      </w:r>
      <w:r>
        <w:rPr>
          <w:color w:val="211F1F"/>
          <w:spacing w:val="-5"/>
        </w:rPr>
        <w:t xml:space="preserve"> </w:t>
      </w:r>
      <w:r>
        <w:rPr>
          <w:color w:val="211F1F"/>
        </w:rPr>
        <w:t>extent (if any) to</w:t>
      </w:r>
      <w:r>
        <w:rPr>
          <w:color w:val="211F1F"/>
          <w:spacing w:val="-3"/>
        </w:rPr>
        <w:t xml:space="preserve"> </w:t>
      </w:r>
      <w:r>
        <w:rPr>
          <w:color w:val="211F1F"/>
        </w:rPr>
        <w:t xml:space="preserve">which </w:t>
      </w:r>
      <w:r>
        <w:rPr>
          <w:color w:val="211F1F"/>
          <w:spacing w:val="-2"/>
        </w:rPr>
        <w:t>the</w:t>
      </w:r>
      <w:r>
        <w:rPr>
          <w:color w:val="211F1F"/>
          <w:spacing w:val="-4"/>
        </w:rPr>
        <w:t xml:space="preserve"> </w:t>
      </w:r>
      <w:r>
        <w:rPr>
          <w:color w:val="211F1F"/>
          <w:spacing w:val="-2"/>
        </w:rPr>
        <w:t>failure has</w:t>
      </w:r>
      <w:r>
        <w:rPr>
          <w:color w:val="211F1F"/>
          <w:spacing w:val="-3"/>
        </w:rPr>
        <w:t xml:space="preserve"> </w:t>
      </w:r>
      <w:r>
        <w:rPr>
          <w:color w:val="211F1F"/>
          <w:spacing w:val="-2"/>
        </w:rPr>
        <w:t>prevented or prejudiced</w:t>
      </w:r>
      <w:r>
        <w:rPr>
          <w:color w:val="211F1F"/>
          <w:spacing w:val="-3"/>
        </w:rPr>
        <w:t xml:space="preserve"> </w:t>
      </w:r>
      <w:r>
        <w:rPr>
          <w:color w:val="211F1F"/>
          <w:spacing w:val="-2"/>
        </w:rPr>
        <w:t>proper investigation</w:t>
      </w:r>
      <w:r>
        <w:rPr>
          <w:color w:val="211F1F"/>
          <w:spacing w:val="-12"/>
        </w:rPr>
        <w:t xml:space="preserve"> </w:t>
      </w:r>
      <w:r>
        <w:rPr>
          <w:color w:val="211F1F"/>
          <w:spacing w:val="-2"/>
        </w:rPr>
        <w:t>of</w:t>
      </w:r>
      <w:r>
        <w:rPr>
          <w:color w:val="211F1F"/>
          <w:spacing w:val="-5"/>
        </w:rPr>
        <w:t xml:space="preserve"> </w:t>
      </w:r>
      <w:r>
        <w:rPr>
          <w:color w:val="211F1F"/>
          <w:spacing w:val="-2"/>
        </w:rPr>
        <w:t>the</w:t>
      </w:r>
      <w:r>
        <w:rPr>
          <w:color w:val="211F1F"/>
          <w:spacing w:val="-10"/>
        </w:rPr>
        <w:t xml:space="preserve"> </w:t>
      </w:r>
      <w:r>
        <w:rPr>
          <w:color w:val="211F1F"/>
          <w:spacing w:val="-2"/>
        </w:rPr>
        <w:t>claim,</w:t>
      </w:r>
      <w:r>
        <w:rPr>
          <w:color w:val="211F1F"/>
          <w:spacing w:val="-5"/>
        </w:rPr>
        <w:t xml:space="preserve"> </w:t>
      </w:r>
      <w:r>
        <w:rPr>
          <w:color w:val="211F1F"/>
          <w:spacing w:val="-2"/>
        </w:rPr>
        <w:t>unless</w:t>
      </w:r>
      <w:r>
        <w:rPr>
          <w:color w:val="211F1F"/>
          <w:spacing w:val="-7"/>
        </w:rPr>
        <w:t xml:space="preserve"> </w:t>
      </w:r>
      <w:r>
        <w:rPr>
          <w:color w:val="211F1F"/>
          <w:spacing w:val="-2"/>
        </w:rPr>
        <w:t>the</w:t>
      </w:r>
      <w:r>
        <w:rPr>
          <w:color w:val="211F1F"/>
          <w:spacing w:val="-12"/>
        </w:rPr>
        <w:t xml:space="preserve"> </w:t>
      </w:r>
      <w:r>
        <w:rPr>
          <w:color w:val="211F1F"/>
          <w:spacing w:val="-2"/>
        </w:rPr>
        <w:t>claim</w:t>
      </w:r>
      <w:r>
        <w:rPr>
          <w:color w:val="211F1F"/>
          <w:spacing w:val="-12"/>
        </w:rPr>
        <w:t xml:space="preserve"> </w:t>
      </w:r>
      <w:r>
        <w:rPr>
          <w:color w:val="211F1F"/>
          <w:spacing w:val="-2"/>
        </w:rPr>
        <w:t>is excluded</w:t>
      </w:r>
      <w:r>
        <w:rPr>
          <w:color w:val="211F1F"/>
          <w:spacing w:val="-12"/>
        </w:rPr>
        <w:t xml:space="preserve"> </w:t>
      </w:r>
      <w:r>
        <w:rPr>
          <w:color w:val="211F1F"/>
          <w:spacing w:val="-2"/>
        </w:rPr>
        <w:t xml:space="preserve">under </w:t>
      </w:r>
      <w:r>
        <w:rPr>
          <w:color w:val="211F1F"/>
        </w:rPr>
        <w:t>the</w:t>
      </w:r>
      <w:r>
        <w:rPr>
          <w:color w:val="211F1F"/>
          <w:spacing w:val="-2"/>
        </w:rPr>
        <w:t xml:space="preserve"> </w:t>
      </w:r>
      <w:r>
        <w:rPr>
          <w:color w:val="211F1F"/>
        </w:rPr>
        <w:t>second paragraph of this Sub-Clause 24.3.</w:t>
      </w:r>
    </w:p>
    <w:p w14:paraId="7DA0CD82" w14:textId="77777777" w:rsidR="00BB77C0" w:rsidRDefault="00370BAA">
      <w:pPr>
        <w:pStyle w:val="Heading7"/>
        <w:numPr>
          <w:ilvl w:val="1"/>
          <w:numId w:val="23"/>
        </w:numPr>
        <w:tabs>
          <w:tab w:val="left" w:pos="1168"/>
        </w:tabs>
        <w:spacing w:before="193"/>
        <w:ind w:left="1168" w:hanging="357"/>
        <w:jc w:val="both"/>
        <w:rPr>
          <w:color w:val="211F1F"/>
        </w:rPr>
      </w:pPr>
      <w:bookmarkStart w:id="205" w:name="24.2_Amicable_Settlement"/>
      <w:bookmarkEnd w:id="205"/>
      <w:r>
        <w:rPr>
          <w:color w:val="211F1F"/>
          <w:spacing w:val="-4"/>
        </w:rPr>
        <w:t>Amicable</w:t>
      </w:r>
      <w:r>
        <w:rPr>
          <w:color w:val="211F1F"/>
        </w:rPr>
        <w:t xml:space="preserve"> </w:t>
      </w:r>
      <w:r>
        <w:rPr>
          <w:color w:val="211F1F"/>
          <w:spacing w:val="-2"/>
        </w:rPr>
        <w:t>Settlement</w:t>
      </w:r>
    </w:p>
    <w:p w14:paraId="1CF90238" w14:textId="77777777" w:rsidR="00BB77C0" w:rsidRDefault="00370BAA">
      <w:pPr>
        <w:pStyle w:val="ListParagraph"/>
        <w:numPr>
          <w:ilvl w:val="2"/>
          <w:numId w:val="23"/>
        </w:numPr>
        <w:tabs>
          <w:tab w:val="left" w:pos="1618"/>
        </w:tabs>
        <w:spacing w:before="111" w:line="230" w:lineRule="auto"/>
        <w:ind w:left="1618" w:right="707" w:hanging="807"/>
        <w:jc w:val="both"/>
      </w:pPr>
      <w:r>
        <w:rPr>
          <w:color w:val="211F1F"/>
        </w:rPr>
        <w:t>Where</w:t>
      </w:r>
      <w:r>
        <w:rPr>
          <w:color w:val="211F1F"/>
          <w:spacing w:val="-3"/>
        </w:rPr>
        <w:t xml:space="preserve"> </w:t>
      </w:r>
      <w:r>
        <w:rPr>
          <w:color w:val="211F1F"/>
        </w:rPr>
        <w:t>a notice</w:t>
      </w:r>
      <w:r>
        <w:rPr>
          <w:color w:val="211F1F"/>
          <w:spacing w:val="-2"/>
        </w:rPr>
        <w:t xml:space="preserve"> </w:t>
      </w:r>
      <w:r>
        <w:rPr>
          <w:color w:val="211F1F"/>
        </w:rPr>
        <w:t>of a claim</w:t>
      </w:r>
      <w:r>
        <w:rPr>
          <w:color w:val="211F1F"/>
          <w:spacing w:val="-9"/>
        </w:rPr>
        <w:t xml:space="preserve"> </w:t>
      </w:r>
      <w:r>
        <w:rPr>
          <w:color w:val="211F1F"/>
        </w:rPr>
        <w:t>has been</w:t>
      </w:r>
      <w:r>
        <w:rPr>
          <w:color w:val="211F1F"/>
          <w:spacing w:val="-1"/>
        </w:rPr>
        <w:t xml:space="preserve"> </w:t>
      </w:r>
      <w:r>
        <w:rPr>
          <w:color w:val="211F1F"/>
        </w:rPr>
        <w:t>given, both</w:t>
      </w:r>
      <w:r>
        <w:rPr>
          <w:color w:val="211F1F"/>
          <w:spacing w:val="-1"/>
        </w:rPr>
        <w:t xml:space="preserve"> </w:t>
      </w:r>
      <w:r>
        <w:rPr>
          <w:color w:val="211F1F"/>
        </w:rPr>
        <w:t>Parties shall</w:t>
      </w:r>
      <w:r>
        <w:rPr>
          <w:color w:val="211F1F"/>
          <w:spacing w:val="-1"/>
        </w:rPr>
        <w:t xml:space="preserve"> </w:t>
      </w:r>
      <w:r>
        <w:rPr>
          <w:color w:val="211F1F"/>
        </w:rPr>
        <w:t>attempt to settle</w:t>
      </w:r>
      <w:r>
        <w:rPr>
          <w:color w:val="211F1F"/>
          <w:spacing w:val="-7"/>
        </w:rPr>
        <w:t xml:space="preserve"> </w:t>
      </w:r>
      <w:r>
        <w:rPr>
          <w:color w:val="211F1F"/>
        </w:rPr>
        <w:t>the</w:t>
      </w:r>
      <w:r>
        <w:rPr>
          <w:color w:val="211F1F"/>
          <w:spacing w:val="-2"/>
        </w:rPr>
        <w:t xml:space="preserve"> </w:t>
      </w:r>
      <w:r>
        <w:rPr>
          <w:color w:val="211F1F"/>
        </w:rPr>
        <w:t>dispute</w:t>
      </w:r>
      <w:r>
        <w:rPr>
          <w:color w:val="211F1F"/>
          <w:spacing w:val="-7"/>
        </w:rPr>
        <w:t xml:space="preserve"> </w:t>
      </w:r>
      <w:r>
        <w:rPr>
          <w:color w:val="211F1F"/>
        </w:rPr>
        <w:t>amicably</w:t>
      </w:r>
      <w:r>
        <w:rPr>
          <w:color w:val="211F1F"/>
          <w:spacing w:val="-4"/>
        </w:rPr>
        <w:t xml:space="preserve"> </w:t>
      </w:r>
      <w:r>
        <w:rPr>
          <w:color w:val="211F1F"/>
        </w:rPr>
        <w:t>before the</w:t>
      </w:r>
      <w:r>
        <w:rPr>
          <w:color w:val="211F1F"/>
          <w:spacing w:val="-14"/>
        </w:rPr>
        <w:t xml:space="preserve"> </w:t>
      </w:r>
      <w:r>
        <w:rPr>
          <w:color w:val="211F1F"/>
        </w:rPr>
        <w:t>commencement</w:t>
      </w:r>
      <w:r>
        <w:rPr>
          <w:color w:val="211F1F"/>
          <w:spacing w:val="-1"/>
        </w:rPr>
        <w:t xml:space="preserve"> </w:t>
      </w:r>
      <w:r>
        <w:rPr>
          <w:color w:val="211F1F"/>
        </w:rPr>
        <w:t>of</w:t>
      </w:r>
      <w:r>
        <w:rPr>
          <w:color w:val="211F1F"/>
          <w:spacing w:val="-9"/>
        </w:rPr>
        <w:t xml:space="preserve"> </w:t>
      </w:r>
      <w:r>
        <w:rPr>
          <w:color w:val="211F1F"/>
        </w:rPr>
        <w:t>arbitration.</w:t>
      </w:r>
      <w:r>
        <w:rPr>
          <w:color w:val="211F1F"/>
          <w:spacing w:val="-4"/>
        </w:rPr>
        <w:t xml:space="preserve"> </w:t>
      </w:r>
      <w:r>
        <w:rPr>
          <w:color w:val="211F1F"/>
        </w:rPr>
        <w:t>However,</w:t>
      </w:r>
      <w:r>
        <w:rPr>
          <w:color w:val="211F1F"/>
          <w:spacing w:val="-5"/>
        </w:rPr>
        <w:t xml:space="preserve"> </w:t>
      </w:r>
      <w:r>
        <w:rPr>
          <w:color w:val="211F1F"/>
        </w:rPr>
        <w:t>unless</w:t>
      </w:r>
      <w:r>
        <w:rPr>
          <w:color w:val="211F1F"/>
          <w:spacing w:val="-7"/>
        </w:rPr>
        <w:t xml:space="preserve"> </w:t>
      </w:r>
      <w:r>
        <w:rPr>
          <w:color w:val="211F1F"/>
        </w:rPr>
        <w:t>both</w:t>
      </w:r>
      <w:r>
        <w:rPr>
          <w:color w:val="211F1F"/>
          <w:spacing w:val="-12"/>
        </w:rPr>
        <w:t xml:space="preserve"> </w:t>
      </w:r>
      <w:r>
        <w:rPr>
          <w:color w:val="211F1F"/>
        </w:rPr>
        <w:t>Parties</w:t>
      </w:r>
      <w:r>
        <w:rPr>
          <w:color w:val="211F1F"/>
          <w:spacing w:val="-7"/>
        </w:rPr>
        <w:t xml:space="preserve"> </w:t>
      </w:r>
      <w:r>
        <w:rPr>
          <w:color w:val="211F1F"/>
        </w:rPr>
        <w:t>agree</w:t>
      </w:r>
      <w:r>
        <w:rPr>
          <w:color w:val="211F1F"/>
          <w:spacing w:val="-9"/>
        </w:rPr>
        <w:t xml:space="preserve"> </w:t>
      </w:r>
      <w:r>
        <w:rPr>
          <w:color w:val="211F1F"/>
        </w:rPr>
        <w:t>otherwise,</w:t>
      </w:r>
      <w:r>
        <w:rPr>
          <w:color w:val="211F1F"/>
          <w:spacing w:val="-4"/>
        </w:rPr>
        <w:t xml:space="preserve"> </w:t>
      </w:r>
      <w:r>
        <w:rPr>
          <w:color w:val="211F1F"/>
        </w:rPr>
        <w:t>the</w:t>
      </w:r>
      <w:r>
        <w:rPr>
          <w:color w:val="211F1F"/>
          <w:spacing w:val="-13"/>
        </w:rPr>
        <w:t xml:space="preserve"> </w:t>
      </w:r>
      <w:r>
        <w:rPr>
          <w:color w:val="211F1F"/>
        </w:rPr>
        <w:t>Party</w:t>
      </w:r>
      <w:r>
        <w:rPr>
          <w:color w:val="211F1F"/>
          <w:spacing w:val="-12"/>
        </w:rPr>
        <w:t xml:space="preserve"> </w:t>
      </w:r>
      <w:r>
        <w:rPr>
          <w:color w:val="211F1F"/>
        </w:rPr>
        <w:t>giving</w:t>
      </w:r>
      <w:r>
        <w:rPr>
          <w:color w:val="211F1F"/>
          <w:spacing w:val="-14"/>
        </w:rPr>
        <w:t xml:space="preserve"> </w:t>
      </w:r>
      <w:r>
        <w:rPr>
          <w:color w:val="211F1F"/>
        </w:rPr>
        <w:t>a</w:t>
      </w:r>
      <w:r>
        <w:rPr>
          <w:color w:val="211F1F"/>
          <w:spacing w:val="-5"/>
        </w:rPr>
        <w:t xml:space="preserve"> </w:t>
      </w:r>
      <w:r>
        <w:rPr>
          <w:color w:val="211F1F"/>
        </w:rPr>
        <w:t>notice of</w:t>
      </w:r>
      <w:r>
        <w:rPr>
          <w:color w:val="211F1F"/>
          <w:spacing w:val="-8"/>
        </w:rPr>
        <w:t xml:space="preserve"> </w:t>
      </w:r>
      <w:r>
        <w:rPr>
          <w:color w:val="211F1F"/>
        </w:rPr>
        <w:t>a</w:t>
      </w:r>
      <w:r>
        <w:rPr>
          <w:color w:val="211F1F"/>
          <w:spacing w:val="-8"/>
        </w:rPr>
        <w:t xml:space="preserve"> </w:t>
      </w:r>
      <w:r>
        <w:rPr>
          <w:color w:val="211F1F"/>
        </w:rPr>
        <w:t>claim</w:t>
      </w:r>
      <w:r>
        <w:rPr>
          <w:color w:val="211F1F"/>
          <w:spacing w:val="-13"/>
        </w:rPr>
        <w:t xml:space="preserve"> </w:t>
      </w:r>
      <w:r>
        <w:rPr>
          <w:color w:val="211F1F"/>
        </w:rPr>
        <w:t>in</w:t>
      </w:r>
      <w:r>
        <w:rPr>
          <w:color w:val="211F1F"/>
          <w:spacing w:val="-14"/>
        </w:rPr>
        <w:t xml:space="preserve"> </w:t>
      </w:r>
      <w:r>
        <w:rPr>
          <w:color w:val="211F1F"/>
        </w:rPr>
        <w:t>accordance</w:t>
      </w:r>
      <w:r>
        <w:rPr>
          <w:color w:val="211F1F"/>
          <w:spacing w:val="-6"/>
        </w:rPr>
        <w:t xml:space="preserve"> </w:t>
      </w:r>
      <w:r>
        <w:rPr>
          <w:color w:val="211F1F"/>
        </w:rPr>
        <w:t>with</w:t>
      </w:r>
      <w:r>
        <w:rPr>
          <w:color w:val="211F1F"/>
          <w:spacing w:val="-13"/>
        </w:rPr>
        <w:t xml:space="preserve"> </w:t>
      </w:r>
      <w:r>
        <w:rPr>
          <w:color w:val="211F1F"/>
        </w:rPr>
        <w:t>Sub-Clause</w:t>
      </w:r>
      <w:r>
        <w:rPr>
          <w:color w:val="211F1F"/>
          <w:spacing w:val="-10"/>
        </w:rPr>
        <w:t xml:space="preserve"> </w:t>
      </w:r>
      <w:r>
        <w:rPr>
          <w:color w:val="211F1F"/>
        </w:rPr>
        <w:t>24.1</w:t>
      </w:r>
      <w:r>
        <w:rPr>
          <w:color w:val="211F1F"/>
          <w:spacing w:val="-14"/>
        </w:rPr>
        <w:t xml:space="preserve"> </w:t>
      </w:r>
      <w:r>
        <w:rPr>
          <w:color w:val="211F1F"/>
        </w:rPr>
        <w:t>above</w:t>
      </w:r>
      <w:r>
        <w:rPr>
          <w:color w:val="211F1F"/>
          <w:spacing w:val="-11"/>
        </w:rPr>
        <w:t xml:space="preserve"> </w:t>
      </w:r>
      <w:r>
        <w:rPr>
          <w:color w:val="211F1F"/>
        </w:rPr>
        <w:t>should</w:t>
      </w:r>
      <w:r>
        <w:rPr>
          <w:color w:val="211F1F"/>
          <w:spacing w:val="-9"/>
        </w:rPr>
        <w:t xml:space="preserve"> </w:t>
      </w:r>
      <w:r>
        <w:rPr>
          <w:color w:val="211F1F"/>
        </w:rPr>
        <w:t>move</w:t>
      </w:r>
      <w:r>
        <w:rPr>
          <w:color w:val="211F1F"/>
          <w:spacing w:val="-11"/>
        </w:rPr>
        <w:t xml:space="preserve"> </w:t>
      </w:r>
      <w:r>
        <w:rPr>
          <w:color w:val="211F1F"/>
        </w:rPr>
        <w:t>to</w:t>
      </w:r>
      <w:r>
        <w:rPr>
          <w:color w:val="211F1F"/>
          <w:spacing w:val="-14"/>
        </w:rPr>
        <w:t xml:space="preserve"> </w:t>
      </w:r>
      <w:r>
        <w:rPr>
          <w:color w:val="211F1F"/>
        </w:rPr>
        <w:t>commence</w:t>
      </w:r>
      <w:r>
        <w:rPr>
          <w:color w:val="211F1F"/>
          <w:spacing w:val="-14"/>
        </w:rPr>
        <w:t xml:space="preserve"> </w:t>
      </w:r>
      <w:r>
        <w:rPr>
          <w:color w:val="211F1F"/>
        </w:rPr>
        <w:t>arbitration</w:t>
      </w:r>
      <w:r>
        <w:rPr>
          <w:color w:val="211F1F"/>
          <w:spacing w:val="-13"/>
        </w:rPr>
        <w:t xml:space="preserve"> </w:t>
      </w:r>
      <w:r>
        <w:rPr>
          <w:color w:val="211F1F"/>
        </w:rPr>
        <w:t>after</w:t>
      </w:r>
      <w:r>
        <w:rPr>
          <w:color w:val="211F1F"/>
          <w:spacing w:val="-6"/>
        </w:rPr>
        <w:t xml:space="preserve"> </w:t>
      </w:r>
      <w:r>
        <w:rPr>
          <w:color w:val="211F1F"/>
        </w:rPr>
        <w:t>the</w:t>
      </w:r>
      <w:r>
        <w:rPr>
          <w:color w:val="211F1F"/>
          <w:spacing w:val="-11"/>
        </w:rPr>
        <w:t xml:space="preserve"> </w:t>
      </w:r>
      <w:r>
        <w:rPr>
          <w:color w:val="211F1F"/>
        </w:rPr>
        <w:t>fifty- sixth</w:t>
      </w:r>
      <w:r>
        <w:rPr>
          <w:color w:val="211F1F"/>
          <w:spacing w:val="-14"/>
        </w:rPr>
        <w:t xml:space="preserve"> </w:t>
      </w:r>
      <w:r>
        <w:rPr>
          <w:color w:val="211F1F"/>
        </w:rPr>
        <w:t>day</w:t>
      </w:r>
      <w:r>
        <w:rPr>
          <w:color w:val="211F1F"/>
          <w:spacing w:val="-14"/>
        </w:rPr>
        <w:t xml:space="preserve"> </w:t>
      </w:r>
      <w:r>
        <w:rPr>
          <w:color w:val="211F1F"/>
        </w:rPr>
        <w:t>from</w:t>
      </w:r>
      <w:r>
        <w:rPr>
          <w:color w:val="211F1F"/>
          <w:spacing w:val="-14"/>
        </w:rPr>
        <w:t xml:space="preserve"> </w:t>
      </w:r>
      <w:r>
        <w:rPr>
          <w:color w:val="211F1F"/>
        </w:rPr>
        <w:t>the</w:t>
      </w:r>
      <w:r>
        <w:rPr>
          <w:color w:val="211F1F"/>
          <w:spacing w:val="-13"/>
        </w:rPr>
        <w:t xml:space="preserve"> </w:t>
      </w:r>
      <w:r>
        <w:rPr>
          <w:color w:val="211F1F"/>
        </w:rPr>
        <w:t>day</w:t>
      </w:r>
      <w:r>
        <w:rPr>
          <w:color w:val="211F1F"/>
          <w:spacing w:val="-14"/>
        </w:rPr>
        <w:t xml:space="preserve"> </w:t>
      </w:r>
      <w:r>
        <w:rPr>
          <w:color w:val="211F1F"/>
        </w:rPr>
        <w:t>on</w:t>
      </w:r>
      <w:r>
        <w:rPr>
          <w:color w:val="211F1F"/>
          <w:spacing w:val="-14"/>
        </w:rPr>
        <w:t xml:space="preserve"> </w:t>
      </w:r>
      <w:r>
        <w:rPr>
          <w:color w:val="211F1F"/>
        </w:rPr>
        <w:t>which</w:t>
      </w:r>
      <w:r>
        <w:rPr>
          <w:color w:val="211F1F"/>
          <w:spacing w:val="-14"/>
        </w:rPr>
        <w:t xml:space="preserve"> </w:t>
      </w:r>
      <w:r>
        <w:rPr>
          <w:color w:val="211F1F"/>
        </w:rPr>
        <w:t>a</w:t>
      </w:r>
      <w:r>
        <w:rPr>
          <w:color w:val="211F1F"/>
          <w:spacing w:val="-12"/>
        </w:rPr>
        <w:t xml:space="preserve"> </w:t>
      </w:r>
      <w:r>
        <w:rPr>
          <w:color w:val="211F1F"/>
        </w:rPr>
        <w:t>notice</w:t>
      </w:r>
      <w:r>
        <w:rPr>
          <w:color w:val="211F1F"/>
          <w:spacing w:val="-14"/>
        </w:rPr>
        <w:t xml:space="preserve"> </w:t>
      </w:r>
      <w:r>
        <w:rPr>
          <w:color w:val="211F1F"/>
        </w:rPr>
        <w:t>of</w:t>
      </w:r>
      <w:r>
        <w:rPr>
          <w:color w:val="211F1F"/>
          <w:spacing w:val="-14"/>
        </w:rPr>
        <w:t xml:space="preserve"> </w:t>
      </w:r>
      <w:r>
        <w:rPr>
          <w:color w:val="211F1F"/>
        </w:rPr>
        <w:t>a</w:t>
      </w:r>
      <w:r>
        <w:rPr>
          <w:color w:val="211F1F"/>
          <w:spacing w:val="-9"/>
        </w:rPr>
        <w:t xml:space="preserve"> </w:t>
      </w:r>
      <w:r>
        <w:rPr>
          <w:color w:val="211F1F"/>
        </w:rPr>
        <w:t>claim</w:t>
      </w:r>
      <w:r>
        <w:rPr>
          <w:color w:val="211F1F"/>
          <w:spacing w:val="-12"/>
        </w:rPr>
        <w:t xml:space="preserve"> </w:t>
      </w:r>
      <w:r>
        <w:rPr>
          <w:color w:val="211F1F"/>
        </w:rPr>
        <w:t>was</w:t>
      </w:r>
      <w:r>
        <w:rPr>
          <w:color w:val="211F1F"/>
          <w:spacing w:val="-12"/>
        </w:rPr>
        <w:t xml:space="preserve"> </w:t>
      </w:r>
      <w:r>
        <w:rPr>
          <w:color w:val="211F1F"/>
        </w:rPr>
        <w:t>given,</w:t>
      </w:r>
      <w:r>
        <w:rPr>
          <w:color w:val="211F1F"/>
          <w:spacing w:val="-6"/>
        </w:rPr>
        <w:t xml:space="preserve"> </w:t>
      </w:r>
      <w:r>
        <w:rPr>
          <w:color w:val="211F1F"/>
        </w:rPr>
        <w:t>even</w:t>
      </w:r>
      <w:r>
        <w:rPr>
          <w:color w:val="211F1F"/>
          <w:spacing w:val="-13"/>
        </w:rPr>
        <w:t xml:space="preserve"> </w:t>
      </w:r>
      <w:r>
        <w:rPr>
          <w:color w:val="211F1F"/>
        </w:rPr>
        <w:t>if</w:t>
      </w:r>
      <w:r>
        <w:rPr>
          <w:color w:val="211F1F"/>
          <w:spacing w:val="-10"/>
        </w:rPr>
        <w:t xml:space="preserve"> </w:t>
      </w:r>
      <w:r>
        <w:rPr>
          <w:color w:val="211F1F"/>
        </w:rPr>
        <w:t>no</w:t>
      </w:r>
      <w:r>
        <w:rPr>
          <w:color w:val="211F1F"/>
          <w:spacing w:val="-14"/>
        </w:rPr>
        <w:t xml:space="preserve"> </w:t>
      </w:r>
      <w:r>
        <w:rPr>
          <w:color w:val="211F1F"/>
        </w:rPr>
        <w:t>attempt</w:t>
      </w:r>
      <w:r>
        <w:rPr>
          <w:color w:val="211F1F"/>
          <w:spacing w:val="-11"/>
        </w:rPr>
        <w:t xml:space="preserve"> </w:t>
      </w:r>
      <w:r>
        <w:rPr>
          <w:color w:val="211F1F"/>
        </w:rPr>
        <w:t>at</w:t>
      </w:r>
      <w:r>
        <w:rPr>
          <w:color w:val="211F1F"/>
          <w:spacing w:val="-12"/>
        </w:rPr>
        <w:t xml:space="preserve"> </w:t>
      </w:r>
      <w:r>
        <w:rPr>
          <w:color w:val="211F1F"/>
        </w:rPr>
        <w:t>an</w:t>
      </w:r>
      <w:r>
        <w:rPr>
          <w:color w:val="211F1F"/>
          <w:spacing w:val="-14"/>
        </w:rPr>
        <w:t xml:space="preserve"> </w:t>
      </w:r>
      <w:r>
        <w:rPr>
          <w:color w:val="211F1F"/>
        </w:rPr>
        <w:t>amicable</w:t>
      </w:r>
      <w:r>
        <w:rPr>
          <w:color w:val="211F1F"/>
          <w:spacing w:val="-14"/>
        </w:rPr>
        <w:t xml:space="preserve"> </w:t>
      </w:r>
      <w:r>
        <w:rPr>
          <w:color w:val="211F1F"/>
        </w:rPr>
        <w:t>settlement has been made.</w:t>
      </w:r>
    </w:p>
    <w:p w14:paraId="17D6D9EA" w14:textId="77777777" w:rsidR="00BB77C0" w:rsidRDefault="00370BAA">
      <w:pPr>
        <w:pStyle w:val="Heading7"/>
        <w:numPr>
          <w:ilvl w:val="1"/>
          <w:numId w:val="23"/>
        </w:numPr>
        <w:tabs>
          <w:tab w:val="left" w:pos="1168"/>
        </w:tabs>
        <w:spacing w:before="194"/>
        <w:ind w:left="1168" w:hanging="357"/>
        <w:jc w:val="both"/>
        <w:rPr>
          <w:color w:val="211F1F"/>
        </w:rPr>
      </w:pPr>
      <w:bookmarkStart w:id="206" w:name="24.3_Matters_that_may_be_referred_to_arb"/>
      <w:bookmarkEnd w:id="206"/>
      <w:r>
        <w:rPr>
          <w:color w:val="211F1F"/>
          <w:spacing w:val="-4"/>
        </w:rPr>
        <w:t>Matters</w:t>
      </w:r>
      <w:r>
        <w:rPr>
          <w:color w:val="211F1F"/>
          <w:spacing w:val="-11"/>
        </w:rPr>
        <w:t xml:space="preserve"> </w:t>
      </w:r>
      <w:r>
        <w:rPr>
          <w:color w:val="211F1F"/>
          <w:spacing w:val="-4"/>
        </w:rPr>
        <w:t>that</w:t>
      </w:r>
      <w:r>
        <w:rPr>
          <w:color w:val="211F1F"/>
          <w:spacing w:val="-8"/>
        </w:rPr>
        <w:t xml:space="preserve"> </w:t>
      </w:r>
      <w:r>
        <w:rPr>
          <w:color w:val="211F1F"/>
          <w:spacing w:val="-4"/>
        </w:rPr>
        <w:t>may</w:t>
      </w:r>
      <w:r>
        <w:rPr>
          <w:color w:val="211F1F"/>
          <w:spacing w:val="-11"/>
        </w:rPr>
        <w:t xml:space="preserve"> </w:t>
      </w:r>
      <w:r>
        <w:rPr>
          <w:color w:val="211F1F"/>
          <w:spacing w:val="-4"/>
        </w:rPr>
        <w:t>be</w:t>
      </w:r>
      <w:r>
        <w:rPr>
          <w:color w:val="211F1F"/>
          <w:spacing w:val="-14"/>
        </w:rPr>
        <w:t xml:space="preserve"> </w:t>
      </w:r>
      <w:r>
        <w:rPr>
          <w:color w:val="211F1F"/>
          <w:spacing w:val="-4"/>
        </w:rPr>
        <w:t>referred</w:t>
      </w:r>
      <w:r>
        <w:rPr>
          <w:color w:val="211F1F"/>
          <w:spacing w:val="-14"/>
        </w:rPr>
        <w:t xml:space="preserve"> </w:t>
      </w:r>
      <w:r>
        <w:rPr>
          <w:color w:val="211F1F"/>
          <w:spacing w:val="-4"/>
        </w:rPr>
        <w:t>to</w:t>
      </w:r>
      <w:r>
        <w:rPr>
          <w:color w:val="211F1F"/>
          <w:spacing w:val="-11"/>
        </w:rPr>
        <w:t xml:space="preserve"> </w:t>
      </w:r>
      <w:r>
        <w:rPr>
          <w:color w:val="211F1F"/>
          <w:spacing w:val="-4"/>
        </w:rPr>
        <w:t>arbitration</w:t>
      </w:r>
    </w:p>
    <w:p w14:paraId="2872A8FF" w14:textId="77777777" w:rsidR="00BB77C0" w:rsidRDefault="00370BAA">
      <w:pPr>
        <w:pStyle w:val="ListParagraph"/>
        <w:numPr>
          <w:ilvl w:val="2"/>
          <w:numId w:val="23"/>
        </w:numPr>
        <w:tabs>
          <w:tab w:val="left" w:pos="1616"/>
          <w:tab w:val="left" w:pos="1618"/>
        </w:tabs>
        <w:spacing w:before="117" w:line="228" w:lineRule="auto"/>
        <w:ind w:left="1618" w:right="720" w:hanging="630"/>
        <w:jc w:val="both"/>
        <w:rPr>
          <w:color w:val="211F1F"/>
        </w:rPr>
      </w:pPr>
      <w:r>
        <w:rPr>
          <w:color w:val="211F1F"/>
        </w:rPr>
        <w:t>Notwithstanding anything stated herein the following matters may be referred to arbitration before the practicalcompletion</w:t>
      </w:r>
      <w:r>
        <w:rPr>
          <w:color w:val="211F1F"/>
          <w:spacing w:val="-21"/>
        </w:rPr>
        <w:t xml:space="preserve"> </w:t>
      </w:r>
      <w:r>
        <w:rPr>
          <w:color w:val="211F1F"/>
        </w:rPr>
        <w:t>of</w:t>
      </w:r>
      <w:r>
        <w:rPr>
          <w:color w:val="211F1F"/>
          <w:spacing w:val="-18"/>
        </w:rPr>
        <w:t xml:space="preserve"> </w:t>
      </w:r>
      <w:r>
        <w:rPr>
          <w:color w:val="211F1F"/>
        </w:rPr>
        <w:t>theWorks</w:t>
      </w:r>
      <w:r>
        <w:rPr>
          <w:color w:val="211F1F"/>
          <w:spacing w:val="-22"/>
        </w:rPr>
        <w:t xml:space="preserve"> </w:t>
      </w:r>
      <w:r>
        <w:rPr>
          <w:color w:val="211F1F"/>
        </w:rPr>
        <w:t>or</w:t>
      </w:r>
      <w:r>
        <w:rPr>
          <w:color w:val="211F1F"/>
          <w:spacing w:val="-11"/>
        </w:rPr>
        <w:t xml:space="preserve"> </w:t>
      </w:r>
      <w:r>
        <w:rPr>
          <w:color w:val="211F1F"/>
        </w:rPr>
        <w:t>abandonment</w:t>
      </w:r>
      <w:r>
        <w:rPr>
          <w:color w:val="211F1F"/>
          <w:spacing w:val="-14"/>
        </w:rPr>
        <w:t xml:space="preserve"> </w:t>
      </w:r>
      <w:r>
        <w:rPr>
          <w:color w:val="211F1F"/>
        </w:rPr>
        <w:t>of</w:t>
      </w:r>
      <w:r>
        <w:rPr>
          <w:color w:val="211F1F"/>
          <w:spacing w:val="-18"/>
        </w:rPr>
        <w:t xml:space="preserve"> </w:t>
      </w:r>
      <w:r>
        <w:rPr>
          <w:color w:val="211F1F"/>
        </w:rPr>
        <w:t>theWorks</w:t>
      </w:r>
      <w:r>
        <w:rPr>
          <w:color w:val="211F1F"/>
          <w:spacing w:val="-15"/>
        </w:rPr>
        <w:t xml:space="preserve"> </w:t>
      </w:r>
      <w:r>
        <w:rPr>
          <w:color w:val="211F1F"/>
        </w:rPr>
        <w:t>or</w:t>
      </w:r>
      <w:r>
        <w:rPr>
          <w:color w:val="211F1F"/>
          <w:spacing w:val="-18"/>
        </w:rPr>
        <w:t xml:space="preserve"> </w:t>
      </w:r>
      <w:r>
        <w:rPr>
          <w:color w:val="211F1F"/>
        </w:rPr>
        <w:t>terminationoftheContract</w:t>
      </w:r>
      <w:r>
        <w:rPr>
          <w:color w:val="211F1F"/>
          <w:spacing w:val="-14"/>
        </w:rPr>
        <w:t xml:space="preserve"> </w:t>
      </w:r>
      <w:r>
        <w:rPr>
          <w:color w:val="211F1F"/>
        </w:rPr>
        <w:t>byeitherparty:</w:t>
      </w:r>
    </w:p>
    <w:p w14:paraId="51CA00F3" w14:textId="77777777" w:rsidR="00BB77C0" w:rsidRDefault="00BB77C0">
      <w:pPr>
        <w:pStyle w:val="BodyText"/>
        <w:spacing w:before="34"/>
      </w:pPr>
    </w:p>
    <w:p w14:paraId="4D933A9A" w14:textId="77777777" w:rsidR="00BB77C0" w:rsidRDefault="00370BAA">
      <w:pPr>
        <w:pStyle w:val="ListParagraph"/>
        <w:numPr>
          <w:ilvl w:val="3"/>
          <w:numId w:val="23"/>
        </w:numPr>
        <w:tabs>
          <w:tab w:val="left" w:pos="1631"/>
        </w:tabs>
        <w:ind w:left="1631" w:hanging="335"/>
      </w:pPr>
      <w:r>
        <w:rPr>
          <w:color w:val="211F1F"/>
          <w:spacing w:val="-4"/>
        </w:rPr>
        <w:t>The</w:t>
      </w:r>
      <w:r>
        <w:rPr>
          <w:color w:val="211F1F"/>
          <w:spacing w:val="-18"/>
        </w:rPr>
        <w:t xml:space="preserve"> </w:t>
      </w:r>
      <w:r>
        <w:rPr>
          <w:color w:val="211F1F"/>
          <w:spacing w:val="-4"/>
        </w:rPr>
        <w:t>appointment</w:t>
      </w:r>
      <w:r>
        <w:rPr>
          <w:color w:val="211F1F"/>
        </w:rPr>
        <w:t xml:space="preserve"> </w:t>
      </w:r>
      <w:r>
        <w:rPr>
          <w:color w:val="211F1F"/>
          <w:spacing w:val="-4"/>
        </w:rPr>
        <w:t>of</w:t>
      </w:r>
      <w:r>
        <w:rPr>
          <w:color w:val="211F1F"/>
          <w:spacing w:val="-5"/>
        </w:rPr>
        <w:t xml:space="preserve"> </w:t>
      </w:r>
      <w:r>
        <w:rPr>
          <w:color w:val="211F1F"/>
          <w:spacing w:val="-4"/>
        </w:rPr>
        <w:t>a</w:t>
      </w:r>
      <w:r>
        <w:rPr>
          <w:color w:val="211F1F"/>
          <w:spacing w:val="-11"/>
        </w:rPr>
        <w:t xml:space="preserve"> </w:t>
      </w:r>
      <w:r>
        <w:rPr>
          <w:color w:val="211F1F"/>
          <w:spacing w:val="-4"/>
        </w:rPr>
        <w:t>replacement</w:t>
      </w:r>
      <w:r>
        <w:rPr>
          <w:color w:val="211F1F"/>
          <w:spacing w:val="-6"/>
        </w:rPr>
        <w:t xml:space="preserve"> </w:t>
      </w:r>
      <w:r>
        <w:rPr>
          <w:color w:val="211F1F"/>
          <w:spacing w:val="-4"/>
        </w:rPr>
        <w:t>Project</w:t>
      </w:r>
      <w:r>
        <w:rPr>
          <w:color w:val="211F1F"/>
        </w:rPr>
        <w:t xml:space="preserve"> </w:t>
      </w:r>
      <w:r>
        <w:rPr>
          <w:color w:val="211F1F"/>
          <w:spacing w:val="-4"/>
        </w:rPr>
        <w:t>Manager</w:t>
      </w:r>
      <w:r>
        <w:rPr>
          <w:color w:val="211F1F"/>
          <w:spacing w:val="-5"/>
        </w:rPr>
        <w:t xml:space="preserve"> </w:t>
      </w:r>
      <w:r>
        <w:rPr>
          <w:color w:val="211F1F"/>
          <w:spacing w:val="-4"/>
        </w:rPr>
        <w:t>upon</w:t>
      </w:r>
      <w:r>
        <w:rPr>
          <w:color w:val="211F1F"/>
          <w:spacing w:val="-14"/>
        </w:rPr>
        <w:t xml:space="preserve"> </w:t>
      </w:r>
      <w:r>
        <w:rPr>
          <w:color w:val="211F1F"/>
          <w:spacing w:val="-4"/>
        </w:rPr>
        <w:t>the</w:t>
      </w:r>
      <w:r>
        <w:rPr>
          <w:color w:val="211F1F"/>
          <w:spacing w:val="-11"/>
        </w:rPr>
        <w:t xml:space="preserve"> </w:t>
      </w:r>
      <w:r>
        <w:rPr>
          <w:color w:val="211F1F"/>
          <w:spacing w:val="-4"/>
        </w:rPr>
        <w:t>said</w:t>
      </w:r>
      <w:r>
        <w:rPr>
          <w:color w:val="211F1F"/>
          <w:spacing w:val="-8"/>
        </w:rPr>
        <w:t xml:space="preserve"> </w:t>
      </w:r>
      <w:r>
        <w:rPr>
          <w:color w:val="211F1F"/>
          <w:spacing w:val="-4"/>
        </w:rPr>
        <w:t>person</w:t>
      </w:r>
      <w:r>
        <w:rPr>
          <w:color w:val="211F1F"/>
          <w:spacing w:val="-7"/>
        </w:rPr>
        <w:t xml:space="preserve"> </w:t>
      </w:r>
      <w:r>
        <w:rPr>
          <w:color w:val="211F1F"/>
          <w:spacing w:val="-4"/>
        </w:rPr>
        <w:t>ceasing</w:t>
      </w:r>
      <w:r>
        <w:rPr>
          <w:color w:val="211F1F"/>
          <w:spacing w:val="-15"/>
        </w:rPr>
        <w:t xml:space="preserve"> </w:t>
      </w:r>
      <w:r>
        <w:rPr>
          <w:color w:val="211F1F"/>
          <w:spacing w:val="-4"/>
        </w:rPr>
        <w:t>to</w:t>
      </w:r>
      <w:r>
        <w:rPr>
          <w:color w:val="211F1F"/>
          <w:spacing w:val="-13"/>
        </w:rPr>
        <w:t xml:space="preserve"> </w:t>
      </w:r>
      <w:r>
        <w:rPr>
          <w:color w:val="211F1F"/>
          <w:spacing w:val="-4"/>
        </w:rPr>
        <w:t>act.</w:t>
      </w:r>
    </w:p>
    <w:p w14:paraId="243BF4FF" w14:textId="77777777" w:rsidR="00BB77C0" w:rsidRDefault="00370BAA">
      <w:pPr>
        <w:pStyle w:val="ListParagraph"/>
        <w:numPr>
          <w:ilvl w:val="3"/>
          <w:numId w:val="23"/>
        </w:numPr>
        <w:tabs>
          <w:tab w:val="left" w:pos="1631"/>
        </w:tabs>
        <w:spacing w:before="35"/>
        <w:ind w:left="1631" w:hanging="335"/>
      </w:pPr>
      <w:r>
        <w:rPr>
          <w:color w:val="211F1F"/>
          <w:spacing w:val="-4"/>
        </w:rPr>
        <w:t>Whether</w:t>
      </w:r>
      <w:r>
        <w:rPr>
          <w:color w:val="211F1F"/>
          <w:spacing w:val="-6"/>
        </w:rPr>
        <w:t xml:space="preserve"> </w:t>
      </w:r>
      <w:r>
        <w:rPr>
          <w:color w:val="211F1F"/>
          <w:spacing w:val="-4"/>
        </w:rPr>
        <w:t>or</w:t>
      </w:r>
      <w:r>
        <w:rPr>
          <w:color w:val="211F1F"/>
        </w:rPr>
        <w:t xml:space="preserve"> </w:t>
      </w:r>
      <w:r>
        <w:rPr>
          <w:color w:val="211F1F"/>
          <w:spacing w:val="-4"/>
        </w:rPr>
        <w:t>not</w:t>
      </w:r>
      <w:r>
        <w:rPr>
          <w:color w:val="211F1F"/>
          <w:spacing w:val="-9"/>
        </w:rPr>
        <w:t xml:space="preserve"> </w:t>
      </w:r>
      <w:r>
        <w:rPr>
          <w:color w:val="211F1F"/>
          <w:spacing w:val="-4"/>
        </w:rPr>
        <w:t>the</w:t>
      </w:r>
      <w:r>
        <w:rPr>
          <w:color w:val="211F1F"/>
          <w:spacing w:val="-19"/>
        </w:rPr>
        <w:t xml:space="preserve"> </w:t>
      </w:r>
      <w:r>
        <w:rPr>
          <w:color w:val="211F1F"/>
          <w:spacing w:val="-4"/>
        </w:rPr>
        <w:t>issue</w:t>
      </w:r>
      <w:r>
        <w:rPr>
          <w:color w:val="211F1F"/>
          <w:spacing w:val="-12"/>
        </w:rPr>
        <w:t xml:space="preserve"> </w:t>
      </w:r>
      <w:r>
        <w:rPr>
          <w:color w:val="211F1F"/>
          <w:spacing w:val="-4"/>
        </w:rPr>
        <w:t>of</w:t>
      </w:r>
      <w:r>
        <w:rPr>
          <w:color w:val="211F1F"/>
          <w:spacing w:val="-5"/>
        </w:rPr>
        <w:t xml:space="preserve"> </w:t>
      </w:r>
      <w:r>
        <w:rPr>
          <w:color w:val="211F1F"/>
          <w:spacing w:val="-4"/>
        </w:rPr>
        <w:t>an</w:t>
      </w:r>
      <w:r>
        <w:rPr>
          <w:color w:val="211F1F"/>
          <w:spacing w:val="-16"/>
        </w:rPr>
        <w:t xml:space="preserve"> </w:t>
      </w:r>
      <w:r>
        <w:rPr>
          <w:color w:val="211F1F"/>
          <w:spacing w:val="-4"/>
        </w:rPr>
        <w:t>instruction</w:t>
      </w:r>
      <w:r>
        <w:rPr>
          <w:color w:val="211F1F"/>
          <w:spacing w:val="-15"/>
        </w:rPr>
        <w:t xml:space="preserve"> </w:t>
      </w:r>
      <w:r>
        <w:rPr>
          <w:color w:val="211F1F"/>
          <w:spacing w:val="-4"/>
        </w:rPr>
        <w:t>by</w:t>
      </w:r>
      <w:r>
        <w:rPr>
          <w:color w:val="211F1F"/>
          <w:spacing w:val="-10"/>
        </w:rPr>
        <w:t xml:space="preserve"> </w:t>
      </w:r>
      <w:r>
        <w:rPr>
          <w:color w:val="211F1F"/>
          <w:spacing w:val="-4"/>
        </w:rPr>
        <w:t>the</w:t>
      </w:r>
      <w:r>
        <w:rPr>
          <w:color w:val="211F1F"/>
          <w:spacing w:val="-18"/>
        </w:rPr>
        <w:t xml:space="preserve"> </w:t>
      </w:r>
      <w:r>
        <w:rPr>
          <w:color w:val="211F1F"/>
          <w:spacing w:val="-4"/>
        </w:rPr>
        <w:t>Project</w:t>
      </w:r>
      <w:r>
        <w:rPr>
          <w:color w:val="211F1F"/>
          <w:spacing w:val="-8"/>
        </w:rPr>
        <w:t xml:space="preserve"> </w:t>
      </w:r>
      <w:r>
        <w:rPr>
          <w:color w:val="211F1F"/>
          <w:spacing w:val="-4"/>
        </w:rPr>
        <w:t>Manager</w:t>
      </w:r>
      <w:r>
        <w:rPr>
          <w:color w:val="211F1F"/>
          <w:spacing w:val="-7"/>
        </w:rPr>
        <w:t xml:space="preserve"> </w:t>
      </w:r>
      <w:r>
        <w:rPr>
          <w:color w:val="211F1F"/>
          <w:spacing w:val="-4"/>
        </w:rPr>
        <w:t>is empowered</w:t>
      </w:r>
      <w:r>
        <w:rPr>
          <w:color w:val="211F1F"/>
          <w:spacing w:val="-15"/>
        </w:rPr>
        <w:t xml:space="preserve"> </w:t>
      </w:r>
      <w:r>
        <w:rPr>
          <w:color w:val="211F1F"/>
          <w:spacing w:val="-4"/>
        </w:rPr>
        <w:t>by</w:t>
      </w:r>
      <w:r>
        <w:rPr>
          <w:color w:val="211F1F"/>
          <w:spacing w:val="-14"/>
        </w:rPr>
        <w:t xml:space="preserve"> </w:t>
      </w:r>
      <w:r>
        <w:rPr>
          <w:color w:val="211F1F"/>
          <w:spacing w:val="-4"/>
        </w:rPr>
        <w:t>these</w:t>
      </w:r>
      <w:r>
        <w:rPr>
          <w:color w:val="211F1F"/>
          <w:spacing w:val="-17"/>
        </w:rPr>
        <w:t xml:space="preserve"> </w:t>
      </w:r>
      <w:r>
        <w:rPr>
          <w:color w:val="211F1F"/>
          <w:spacing w:val="-4"/>
        </w:rPr>
        <w:t>Conditions.</w:t>
      </w:r>
    </w:p>
    <w:p w14:paraId="2B32A651" w14:textId="77777777" w:rsidR="00BB77C0" w:rsidRDefault="00370BAA">
      <w:pPr>
        <w:pStyle w:val="ListParagraph"/>
        <w:numPr>
          <w:ilvl w:val="3"/>
          <w:numId w:val="23"/>
        </w:numPr>
        <w:tabs>
          <w:tab w:val="left" w:pos="1626"/>
        </w:tabs>
        <w:spacing w:before="40"/>
        <w:ind w:left="1626" w:hanging="330"/>
      </w:pPr>
      <w:r>
        <w:rPr>
          <w:color w:val="211F1F"/>
          <w:spacing w:val="-4"/>
        </w:rPr>
        <w:t>Whether</w:t>
      </w:r>
      <w:r>
        <w:rPr>
          <w:color w:val="211F1F"/>
          <w:spacing w:val="-5"/>
        </w:rPr>
        <w:t xml:space="preserve"> </w:t>
      </w:r>
      <w:r>
        <w:rPr>
          <w:color w:val="211F1F"/>
          <w:spacing w:val="-4"/>
        </w:rPr>
        <w:t>or</w:t>
      </w:r>
      <w:r>
        <w:rPr>
          <w:color w:val="211F1F"/>
          <w:spacing w:val="1"/>
        </w:rPr>
        <w:t xml:space="preserve"> </w:t>
      </w:r>
      <w:r>
        <w:rPr>
          <w:color w:val="211F1F"/>
          <w:spacing w:val="-4"/>
        </w:rPr>
        <w:t>not</w:t>
      </w:r>
      <w:r>
        <w:rPr>
          <w:color w:val="211F1F"/>
          <w:spacing w:val="-14"/>
        </w:rPr>
        <w:t xml:space="preserve"> </w:t>
      </w:r>
      <w:r>
        <w:rPr>
          <w:color w:val="211F1F"/>
          <w:spacing w:val="-4"/>
        </w:rPr>
        <w:t>a</w:t>
      </w:r>
      <w:r>
        <w:rPr>
          <w:color w:val="211F1F"/>
          <w:spacing w:val="-6"/>
        </w:rPr>
        <w:t xml:space="preserve"> </w:t>
      </w:r>
      <w:r>
        <w:rPr>
          <w:color w:val="211F1F"/>
          <w:spacing w:val="-4"/>
        </w:rPr>
        <w:t>certificate</w:t>
      </w:r>
      <w:r>
        <w:rPr>
          <w:color w:val="211F1F"/>
          <w:spacing w:val="-16"/>
        </w:rPr>
        <w:t xml:space="preserve"> </w:t>
      </w:r>
      <w:r>
        <w:rPr>
          <w:color w:val="211F1F"/>
          <w:spacing w:val="-4"/>
        </w:rPr>
        <w:t>has</w:t>
      </w:r>
      <w:r>
        <w:rPr>
          <w:color w:val="211F1F"/>
          <w:spacing w:val="-10"/>
        </w:rPr>
        <w:t xml:space="preserve"> </w:t>
      </w:r>
      <w:r>
        <w:rPr>
          <w:color w:val="211F1F"/>
          <w:spacing w:val="-4"/>
        </w:rPr>
        <w:t>been</w:t>
      </w:r>
      <w:r>
        <w:rPr>
          <w:color w:val="211F1F"/>
          <w:spacing w:val="-15"/>
        </w:rPr>
        <w:t xml:space="preserve"> </w:t>
      </w:r>
      <w:r>
        <w:rPr>
          <w:color w:val="211F1F"/>
          <w:spacing w:val="-4"/>
        </w:rPr>
        <w:t>improperly</w:t>
      </w:r>
      <w:r>
        <w:rPr>
          <w:color w:val="211F1F"/>
          <w:spacing w:val="-14"/>
        </w:rPr>
        <w:t xml:space="preserve"> </w:t>
      </w:r>
      <w:r>
        <w:rPr>
          <w:color w:val="211F1F"/>
          <w:spacing w:val="-4"/>
        </w:rPr>
        <w:t>withheld</w:t>
      </w:r>
      <w:r>
        <w:rPr>
          <w:color w:val="211F1F"/>
          <w:spacing w:val="-8"/>
        </w:rPr>
        <w:t xml:space="preserve"> </w:t>
      </w:r>
      <w:r>
        <w:rPr>
          <w:color w:val="211F1F"/>
          <w:spacing w:val="-4"/>
        </w:rPr>
        <w:t>or</w:t>
      </w:r>
      <w:r>
        <w:rPr>
          <w:color w:val="211F1F"/>
          <w:spacing w:val="1"/>
        </w:rPr>
        <w:t xml:space="preserve"> </w:t>
      </w:r>
      <w:r>
        <w:rPr>
          <w:color w:val="211F1F"/>
          <w:spacing w:val="-4"/>
        </w:rPr>
        <w:t>is</w:t>
      </w:r>
      <w:r>
        <w:rPr>
          <w:color w:val="211F1F"/>
          <w:spacing w:val="-10"/>
        </w:rPr>
        <w:t xml:space="preserve"> </w:t>
      </w:r>
      <w:r>
        <w:rPr>
          <w:color w:val="211F1F"/>
          <w:spacing w:val="-4"/>
        </w:rPr>
        <w:t>not</w:t>
      </w:r>
      <w:r>
        <w:rPr>
          <w:color w:val="211F1F"/>
          <w:spacing w:val="-8"/>
        </w:rPr>
        <w:t xml:space="preserve"> </w:t>
      </w:r>
      <w:r>
        <w:rPr>
          <w:color w:val="211F1F"/>
          <w:spacing w:val="-4"/>
        </w:rPr>
        <w:t>in</w:t>
      </w:r>
      <w:r>
        <w:rPr>
          <w:color w:val="211F1F"/>
          <w:spacing w:val="-20"/>
        </w:rPr>
        <w:t xml:space="preserve"> </w:t>
      </w:r>
      <w:r>
        <w:rPr>
          <w:color w:val="211F1F"/>
          <w:spacing w:val="-4"/>
        </w:rPr>
        <w:t>accordance</w:t>
      </w:r>
      <w:r>
        <w:rPr>
          <w:color w:val="211F1F"/>
          <w:spacing w:val="-16"/>
        </w:rPr>
        <w:t xml:space="preserve"> </w:t>
      </w:r>
      <w:r>
        <w:rPr>
          <w:color w:val="211F1F"/>
          <w:spacing w:val="-4"/>
        </w:rPr>
        <w:t>with</w:t>
      </w:r>
      <w:r>
        <w:rPr>
          <w:color w:val="211F1F"/>
          <w:spacing w:val="-14"/>
        </w:rPr>
        <w:t xml:space="preserve"> </w:t>
      </w:r>
      <w:r>
        <w:rPr>
          <w:color w:val="211F1F"/>
          <w:spacing w:val="-4"/>
        </w:rPr>
        <w:t>these</w:t>
      </w:r>
      <w:r>
        <w:rPr>
          <w:color w:val="211F1F"/>
          <w:spacing w:val="-16"/>
        </w:rPr>
        <w:t xml:space="preserve"> </w:t>
      </w:r>
      <w:r>
        <w:rPr>
          <w:color w:val="211F1F"/>
          <w:spacing w:val="-4"/>
        </w:rPr>
        <w:t>Conditions.</w:t>
      </w:r>
    </w:p>
    <w:p w14:paraId="5123366F" w14:textId="77777777" w:rsidR="00BB77C0" w:rsidRDefault="00370BAA">
      <w:pPr>
        <w:pStyle w:val="ListParagraph"/>
        <w:numPr>
          <w:ilvl w:val="0"/>
          <w:numId w:val="25"/>
        </w:numPr>
        <w:tabs>
          <w:tab w:val="left" w:pos="1626"/>
        </w:tabs>
        <w:spacing w:before="40"/>
        <w:ind w:left="1626" w:hanging="330"/>
      </w:pPr>
      <w:r>
        <w:rPr>
          <w:color w:val="211F1F"/>
          <w:spacing w:val="-4"/>
        </w:rPr>
        <w:t>Any</w:t>
      </w:r>
      <w:r>
        <w:rPr>
          <w:color w:val="211F1F"/>
          <w:spacing w:val="-11"/>
        </w:rPr>
        <w:t xml:space="preserve"> </w:t>
      </w:r>
      <w:r>
        <w:rPr>
          <w:color w:val="211F1F"/>
          <w:spacing w:val="-4"/>
        </w:rPr>
        <w:t>dispute</w:t>
      </w:r>
      <w:r>
        <w:rPr>
          <w:color w:val="211F1F"/>
          <w:spacing w:val="-17"/>
        </w:rPr>
        <w:t xml:space="preserve"> </w:t>
      </w:r>
      <w:r>
        <w:rPr>
          <w:color w:val="211F1F"/>
          <w:spacing w:val="-4"/>
        </w:rPr>
        <w:t>arising</w:t>
      </w:r>
      <w:r>
        <w:rPr>
          <w:color w:val="211F1F"/>
          <w:spacing w:val="-16"/>
        </w:rPr>
        <w:t xml:space="preserve"> </w:t>
      </w:r>
      <w:r>
        <w:rPr>
          <w:color w:val="211F1F"/>
          <w:spacing w:val="-4"/>
        </w:rPr>
        <w:t>in</w:t>
      </w:r>
      <w:r>
        <w:rPr>
          <w:color w:val="211F1F"/>
          <w:spacing w:val="-16"/>
        </w:rPr>
        <w:t xml:space="preserve"> </w:t>
      </w:r>
      <w:r>
        <w:rPr>
          <w:color w:val="211F1F"/>
          <w:spacing w:val="-4"/>
        </w:rPr>
        <w:t>respect</w:t>
      </w:r>
      <w:r>
        <w:rPr>
          <w:color w:val="211F1F"/>
          <w:spacing w:val="-7"/>
        </w:rPr>
        <w:t xml:space="preserve"> </w:t>
      </w:r>
      <w:r>
        <w:rPr>
          <w:color w:val="211F1F"/>
          <w:spacing w:val="-4"/>
        </w:rPr>
        <w:t>of</w:t>
      </w:r>
      <w:r>
        <w:rPr>
          <w:color w:val="211F1F"/>
          <w:spacing w:val="-7"/>
        </w:rPr>
        <w:t xml:space="preserve"> </w:t>
      </w:r>
      <w:r>
        <w:rPr>
          <w:color w:val="211F1F"/>
          <w:spacing w:val="-4"/>
        </w:rPr>
        <w:t>war</w:t>
      </w:r>
      <w:r>
        <w:rPr>
          <w:color w:val="211F1F"/>
          <w:spacing w:val="-12"/>
        </w:rPr>
        <w:t xml:space="preserve"> </w:t>
      </w:r>
      <w:r>
        <w:rPr>
          <w:color w:val="211F1F"/>
          <w:spacing w:val="-4"/>
        </w:rPr>
        <w:t>risks</w:t>
      </w:r>
      <w:r>
        <w:rPr>
          <w:color w:val="211F1F"/>
          <w:spacing w:val="-9"/>
        </w:rPr>
        <w:t xml:space="preserve"> </w:t>
      </w:r>
      <w:r>
        <w:rPr>
          <w:color w:val="211F1F"/>
          <w:spacing w:val="-4"/>
        </w:rPr>
        <w:t>or</w:t>
      </w:r>
      <w:r>
        <w:rPr>
          <w:color w:val="211F1F"/>
          <w:spacing w:val="-7"/>
        </w:rPr>
        <w:t xml:space="preserve"> </w:t>
      </w:r>
      <w:r>
        <w:rPr>
          <w:color w:val="211F1F"/>
          <w:spacing w:val="-4"/>
        </w:rPr>
        <w:t>war</w:t>
      </w:r>
      <w:r>
        <w:rPr>
          <w:color w:val="211F1F"/>
          <w:spacing w:val="-6"/>
        </w:rPr>
        <w:t xml:space="preserve"> </w:t>
      </w:r>
      <w:r>
        <w:rPr>
          <w:color w:val="211F1F"/>
          <w:spacing w:val="-4"/>
        </w:rPr>
        <w:t>damage.</w:t>
      </w:r>
    </w:p>
    <w:p w14:paraId="4EEC2554" w14:textId="77777777" w:rsidR="00BB77C0" w:rsidRDefault="00370BAA">
      <w:pPr>
        <w:pStyle w:val="ListParagraph"/>
        <w:numPr>
          <w:ilvl w:val="0"/>
          <w:numId w:val="25"/>
        </w:numPr>
        <w:tabs>
          <w:tab w:val="left" w:pos="1626"/>
          <w:tab w:val="left" w:pos="1628"/>
        </w:tabs>
        <w:spacing w:before="48" w:line="230" w:lineRule="auto"/>
        <w:ind w:right="712" w:hanging="337"/>
        <w:jc w:val="both"/>
      </w:pPr>
      <w:r>
        <w:rPr>
          <w:color w:val="211F1F"/>
        </w:rPr>
        <w:t>All other matters shall only be referred to arbitration after the completion or alleged completion of the Works or termination or alleged termination of the Contract, unless the Procuring Entity and the Contractor agree otherwise in writing.</w:t>
      </w:r>
    </w:p>
    <w:p w14:paraId="5460DBA9" w14:textId="77777777" w:rsidR="00BB77C0" w:rsidRDefault="00370BAA">
      <w:pPr>
        <w:pStyle w:val="Heading7"/>
        <w:numPr>
          <w:ilvl w:val="1"/>
          <w:numId w:val="23"/>
        </w:numPr>
        <w:tabs>
          <w:tab w:val="left" w:pos="1168"/>
        </w:tabs>
        <w:spacing w:before="195"/>
        <w:ind w:left="1168" w:hanging="357"/>
        <w:jc w:val="both"/>
        <w:rPr>
          <w:color w:val="211F1F"/>
        </w:rPr>
      </w:pPr>
      <w:bookmarkStart w:id="207" w:name="24.4_Arbitration"/>
      <w:bookmarkEnd w:id="207"/>
      <w:r>
        <w:rPr>
          <w:color w:val="211F1F"/>
          <w:spacing w:val="-2"/>
        </w:rPr>
        <w:t>Arbitration</w:t>
      </w:r>
    </w:p>
    <w:p w14:paraId="22D7BB90" w14:textId="77777777" w:rsidR="00BB77C0" w:rsidRDefault="00370BAA">
      <w:pPr>
        <w:pStyle w:val="ListParagraph"/>
        <w:numPr>
          <w:ilvl w:val="2"/>
          <w:numId w:val="23"/>
        </w:numPr>
        <w:tabs>
          <w:tab w:val="left" w:pos="1241"/>
          <w:tab w:val="left" w:pos="1262"/>
        </w:tabs>
        <w:spacing w:before="108" w:line="232" w:lineRule="auto"/>
        <w:ind w:left="1262" w:right="799" w:hanging="634"/>
        <w:jc w:val="both"/>
        <w:rPr>
          <w:color w:val="211F1F"/>
        </w:rPr>
      </w:pPr>
      <w:r>
        <w:rPr>
          <w:color w:val="211F1F"/>
          <w:spacing w:val="-4"/>
        </w:rPr>
        <w:t>Any</w:t>
      </w:r>
      <w:r>
        <w:rPr>
          <w:color w:val="211F1F"/>
          <w:spacing w:val="-10"/>
        </w:rPr>
        <w:t xml:space="preserve"> </w:t>
      </w:r>
      <w:r>
        <w:rPr>
          <w:color w:val="211F1F"/>
          <w:spacing w:val="-4"/>
        </w:rPr>
        <w:t>claim</w:t>
      </w:r>
      <w:r>
        <w:rPr>
          <w:color w:val="211F1F"/>
          <w:spacing w:val="-10"/>
        </w:rPr>
        <w:t xml:space="preserve"> </w:t>
      </w:r>
      <w:r>
        <w:rPr>
          <w:color w:val="211F1F"/>
          <w:spacing w:val="-4"/>
        </w:rPr>
        <w:t>or</w:t>
      </w:r>
      <w:r>
        <w:rPr>
          <w:color w:val="211F1F"/>
          <w:spacing w:val="-3"/>
        </w:rPr>
        <w:t xml:space="preserve"> </w:t>
      </w:r>
      <w:r>
        <w:rPr>
          <w:color w:val="211F1F"/>
          <w:spacing w:val="-4"/>
        </w:rPr>
        <w:t>dispute</w:t>
      </w:r>
      <w:r>
        <w:rPr>
          <w:color w:val="211F1F"/>
          <w:spacing w:val="-10"/>
        </w:rPr>
        <w:t xml:space="preserve"> </w:t>
      </w:r>
      <w:r>
        <w:rPr>
          <w:color w:val="211F1F"/>
          <w:spacing w:val="-4"/>
        </w:rPr>
        <w:t>between</w:t>
      </w:r>
      <w:r>
        <w:rPr>
          <w:color w:val="211F1F"/>
          <w:spacing w:val="-7"/>
        </w:rPr>
        <w:t xml:space="preserve"> </w:t>
      </w:r>
      <w:r>
        <w:rPr>
          <w:color w:val="211F1F"/>
          <w:spacing w:val="-4"/>
        </w:rPr>
        <w:t>the</w:t>
      </w:r>
      <w:r>
        <w:rPr>
          <w:color w:val="211F1F"/>
          <w:spacing w:val="-10"/>
        </w:rPr>
        <w:t xml:space="preserve"> </w:t>
      </w:r>
      <w:r>
        <w:rPr>
          <w:color w:val="211F1F"/>
          <w:spacing w:val="-4"/>
        </w:rPr>
        <w:t>Parties</w:t>
      </w:r>
      <w:r>
        <w:rPr>
          <w:color w:val="211F1F"/>
          <w:spacing w:val="-7"/>
        </w:rPr>
        <w:t xml:space="preserve"> </w:t>
      </w:r>
      <w:r>
        <w:rPr>
          <w:color w:val="211F1F"/>
          <w:spacing w:val="-4"/>
        </w:rPr>
        <w:t>arising</w:t>
      </w:r>
      <w:r>
        <w:rPr>
          <w:color w:val="211F1F"/>
          <w:spacing w:val="-8"/>
        </w:rPr>
        <w:t xml:space="preserve"> </w:t>
      </w:r>
      <w:r>
        <w:rPr>
          <w:color w:val="211F1F"/>
          <w:spacing w:val="-4"/>
        </w:rPr>
        <w:t>out</w:t>
      </w:r>
      <w:r>
        <w:rPr>
          <w:color w:val="211F1F"/>
          <w:spacing w:val="-8"/>
        </w:rPr>
        <w:t xml:space="preserve"> </w:t>
      </w:r>
      <w:r>
        <w:rPr>
          <w:color w:val="211F1F"/>
          <w:spacing w:val="-4"/>
        </w:rPr>
        <w:t>of</w:t>
      </w:r>
      <w:r>
        <w:rPr>
          <w:color w:val="211F1F"/>
          <w:spacing w:val="-5"/>
        </w:rPr>
        <w:t xml:space="preserve"> </w:t>
      </w:r>
      <w:r>
        <w:rPr>
          <w:color w:val="211F1F"/>
          <w:spacing w:val="-4"/>
        </w:rPr>
        <w:t>or</w:t>
      </w:r>
      <w:r>
        <w:rPr>
          <w:color w:val="211F1F"/>
          <w:spacing w:val="-5"/>
        </w:rPr>
        <w:t xml:space="preserve"> </w:t>
      </w:r>
      <w:r>
        <w:rPr>
          <w:color w:val="211F1F"/>
          <w:spacing w:val="-4"/>
        </w:rPr>
        <w:t>in</w:t>
      </w:r>
      <w:r>
        <w:rPr>
          <w:color w:val="211F1F"/>
          <w:spacing w:val="-9"/>
        </w:rPr>
        <w:t xml:space="preserve"> </w:t>
      </w:r>
      <w:r>
        <w:rPr>
          <w:color w:val="211F1F"/>
          <w:spacing w:val="-4"/>
        </w:rPr>
        <w:t>connection</w:t>
      </w:r>
      <w:r>
        <w:rPr>
          <w:color w:val="211F1F"/>
          <w:spacing w:val="-9"/>
        </w:rPr>
        <w:t xml:space="preserve"> </w:t>
      </w:r>
      <w:r>
        <w:rPr>
          <w:color w:val="211F1F"/>
          <w:spacing w:val="-4"/>
        </w:rPr>
        <w:t>with</w:t>
      </w:r>
      <w:r>
        <w:rPr>
          <w:color w:val="211F1F"/>
          <w:spacing w:val="-8"/>
        </w:rPr>
        <w:t xml:space="preserve"> </w:t>
      </w:r>
      <w:r>
        <w:rPr>
          <w:color w:val="211F1F"/>
          <w:spacing w:val="-4"/>
        </w:rPr>
        <w:t>the</w:t>
      </w:r>
      <w:r>
        <w:rPr>
          <w:color w:val="211F1F"/>
          <w:spacing w:val="-10"/>
        </w:rPr>
        <w:t xml:space="preserve"> </w:t>
      </w:r>
      <w:r>
        <w:rPr>
          <w:color w:val="211F1F"/>
          <w:spacing w:val="-4"/>
        </w:rPr>
        <w:t>Contract not</w:t>
      </w:r>
      <w:r>
        <w:rPr>
          <w:color w:val="211F1F"/>
          <w:spacing w:val="-8"/>
        </w:rPr>
        <w:t xml:space="preserve"> </w:t>
      </w:r>
      <w:r>
        <w:rPr>
          <w:color w:val="211F1F"/>
          <w:spacing w:val="-4"/>
        </w:rPr>
        <w:t>settled</w:t>
      </w:r>
      <w:r>
        <w:rPr>
          <w:color w:val="211F1F"/>
          <w:spacing w:val="-9"/>
        </w:rPr>
        <w:t xml:space="preserve"> </w:t>
      </w:r>
      <w:r>
        <w:rPr>
          <w:color w:val="211F1F"/>
          <w:spacing w:val="-4"/>
        </w:rPr>
        <w:t>amicably</w:t>
      </w:r>
      <w:r>
        <w:rPr>
          <w:color w:val="211F1F"/>
          <w:spacing w:val="22"/>
        </w:rPr>
        <w:t xml:space="preserve"> </w:t>
      </w:r>
      <w:r>
        <w:rPr>
          <w:color w:val="211F1F"/>
          <w:spacing w:val="-4"/>
        </w:rPr>
        <w:t xml:space="preserve">in </w:t>
      </w:r>
      <w:r>
        <w:rPr>
          <w:color w:val="211F1F"/>
        </w:rPr>
        <w:t>accordance</w:t>
      </w:r>
      <w:r>
        <w:rPr>
          <w:color w:val="211F1F"/>
          <w:spacing w:val="-19"/>
        </w:rPr>
        <w:t xml:space="preserve"> </w:t>
      </w:r>
      <w:r>
        <w:rPr>
          <w:color w:val="211F1F"/>
        </w:rPr>
        <w:t>with</w:t>
      </w:r>
      <w:r>
        <w:rPr>
          <w:color w:val="211F1F"/>
          <w:spacing w:val="-12"/>
        </w:rPr>
        <w:t xml:space="preserve"> </w:t>
      </w:r>
      <w:r>
        <w:rPr>
          <w:color w:val="211F1F"/>
        </w:rPr>
        <w:t>Sub-Clause</w:t>
      </w:r>
      <w:r>
        <w:rPr>
          <w:color w:val="211F1F"/>
          <w:spacing w:val="-19"/>
        </w:rPr>
        <w:t xml:space="preserve"> </w:t>
      </w:r>
      <w:r>
        <w:rPr>
          <w:color w:val="211F1F"/>
        </w:rPr>
        <w:t>24.3</w:t>
      </w:r>
      <w:r>
        <w:rPr>
          <w:color w:val="211F1F"/>
          <w:spacing w:val="-11"/>
        </w:rPr>
        <w:t xml:space="preserve"> </w:t>
      </w:r>
      <w:r>
        <w:rPr>
          <w:color w:val="211F1F"/>
        </w:rPr>
        <w:t>shall</w:t>
      </w:r>
      <w:r>
        <w:rPr>
          <w:color w:val="211F1F"/>
          <w:spacing w:val="-17"/>
        </w:rPr>
        <w:t xml:space="preserve"> </w:t>
      </w:r>
      <w:r>
        <w:rPr>
          <w:color w:val="211F1F"/>
        </w:rPr>
        <w:t>be</w:t>
      </w:r>
      <w:r>
        <w:rPr>
          <w:color w:val="211F1F"/>
          <w:spacing w:val="-15"/>
        </w:rPr>
        <w:t xml:space="preserve"> </w:t>
      </w:r>
      <w:r>
        <w:rPr>
          <w:color w:val="211F1F"/>
        </w:rPr>
        <w:t>finally</w:t>
      </w:r>
      <w:r>
        <w:rPr>
          <w:color w:val="211F1F"/>
          <w:spacing w:val="-17"/>
        </w:rPr>
        <w:t xml:space="preserve"> </w:t>
      </w:r>
      <w:r>
        <w:rPr>
          <w:color w:val="211F1F"/>
        </w:rPr>
        <w:t>settled</w:t>
      </w:r>
      <w:r>
        <w:rPr>
          <w:color w:val="211F1F"/>
          <w:spacing w:val="-17"/>
        </w:rPr>
        <w:t xml:space="preserve"> </w:t>
      </w:r>
      <w:r>
        <w:rPr>
          <w:color w:val="211F1F"/>
        </w:rPr>
        <w:t>by</w:t>
      </w:r>
      <w:r>
        <w:rPr>
          <w:color w:val="211F1F"/>
          <w:spacing w:val="-17"/>
        </w:rPr>
        <w:t xml:space="preserve"> </w:t>
      </w:r>
      <w:r>
        <w:rPr>
          <w:color w:val="211F1F"/>
        </w:rPr>
        <w:t>arbitration.</w:t>
      </w:r>
    </w:p>
    <w:p w14:paraId="49433CA2" w14:textId="77777777" w:rsidR="00BB77C0" w:rsidRDefault="00370BAA">
      <w:pPr>
        <w:pStyle w:val="ListParagraph"/>
        <w:numPr>
          <w:ilvl w:val="2"/>
          <w:numId w:val="23"/>
        </w:numPr>
        <w:tabs>
          <w:tab w:val="left" w:pos="1242"/>
          <w:tab w:val="left" w:pos="1258"/>
        </w:tabs>
        <w:spacing w:line="230" w:lineRule="auto"/>
        <w:ind w:left="1258" w:right="719" w:hanging="629"/>
        <w:jc w:val="both"/>
        <w:rPr>
          <w:color w:val="211F1F"/>
        </w:rPr>
      </w:pPr>
      <w:r>
        <w:rPr>
          <w:color w:val="211F1F"/>
        </w:rPr>
        <w:t>No arbitration proceedings shall be commenced on any claim or dispute where notice of a claim or dispute has not been given by the applying party within ninety days of the occurrence or discovery of the matter or issue giving rise to the dispute.</w:t>
      </w:r>
    </w:p>
    <w:p w14:paraId="3379EAF8" w14:textId="77777777" w:rsidR="00BB77C0" w:rsidRDefault="00370BAA">
      <w:pPr>
        <w:pStyle w:val="ListParagraph"/>
        <w:numPr>
          <w:ilvl w:val="2"/>
          <w:numId w:val="23"/>
        </w:numPr>
        <w:tabs>
          <w:tab w:val="left" w:pos="1242"/>
          <w:tab w:val="left" w:pos="1258"/>
        </w:tabs>
        <w:spacing w:line="230" w:lineRule="auto"/>
        <w:ind w:left="1258" w:right="710" w:hanging="629"/>
        <w:jc w:val="both"/>
        <w:rPr>
          <w:color w:val="211F1F"/>
        </w:rPr>
      </w:pPr>
      <w:r>
        <w:rPr>
          <w:color w:val="211F1F"/>
        </w:rPr>
        <w:t>Notwithstanding the issue of a notice as stated above, the arbitration of such a claim or dispute shall not commence</w:t>
      </w:r>
      <w:r>
        <w:rPr>
          <w:color w:val="211F1F"/>
          <w:spacing w:val="-3"/>
        </w:rPr>
        <w:t xml:space="preserve"> </w:t>
      </w:r>
      <w:r>
        <w:rPr>
          <w:color w:val="211F1F"/>
        </w:rPr>
        <w:t>unless an attempt has in the</w:t>
      </w:r>
      <w:r>
        <w:rPr>
          <w:color w:val="211F1F"/>
          <w:spacing w:val="-3"/>
        </w:rPr>
        <w:t xml:space="preserve"> </w:t>
      </w:r>
      <w:r>
        <w:rPr>
          <w:color w:val="211F1F"/>
        </w:rPr>
        <w:t>first instance</w:t>
      </w:r>
      <w:r>
        <w:rPr>
          <w:color w:val="211F1F"/>
          <w:spacing w:val="-3"/>
        </w:rPr>
        <w:t xml:space="preserve"> </w:t>
      </w:r>
      <w:r>
        <w:rPr>
          <w:color w:val="211F1F"/>
        </w:rPr>
        <w:t>been made</w:t>
      </w:r>
      <w:r>
        <w:rPr>
          <w:color w:val="211F1F"/>
          <w:spacing w:val="-3"/>
        </w:rPr>
        <w:t xml:space="preserve"> </w:t>
      </w:r>
      <w:r>
        <w:rPr>
          <w:color w:val="211F1F"/>
        </w:rPr>
        <w:t>by</w:t>
      </w:r>
      <w:r>
        <w:rPr>
          <w:color w:val="211F1F"/>
          <w:spacing w:val="-2"/>
        </w:rPr>
        <w:t xml:space="preserve"> </w:t>
      </w:r>
      <w:r>
        <w:rPr>
          <w:color w:val="211F1F"/>
        </w:rPr>
        <w:t>the</w:t>
      </w:r>
      <w:r>
        <w:rPr>
          <w:color w:val="211F1F"/>
          <w:spacing w:val="-3"/>
        </w:rPr>
        <w:t xml:space="preserve"> </w:t>
      </w:r>
      <w:r>
        <w:rPr>
          <w:color w:val="211F1F"/>
        </w:rPr>
        <w:t>parties to settle</w:t>
      </w:r>
      <w:r>
        <w:rPr>
          <w:color w:val="211F1F"/>
          <w:spacing w:val="-3"/>
        </w:rPr>
        <w:t xml:space="preserve"> </w:t>
      </w:r>
      <w:r>
        <w:rPr>
          <w:color w:val="211F1F"/>
        </w:rPr>
        <w:t>such</w:t>
      </w:r>
      <w:r>
        <w:rPr>
          <w:color w:val="211F1F"/>
          <w:spacing w:val="-2"/>
        </w:rPr>
        <w:t xml:space="preserve"> </w:t>
      </w:r>
      <w:r>
        <w:rPr>
          <w:color w:val="211F1F"/>
        </w:rPr>
        <w:t>claim</w:t>
      </w:r>
      <w:r>
        <w:rPr>
          <w:color w:val="211F1F"/>
          <w:spacing w:val="-1"/>
        </w:rPr>
        <w:t xml:space="preserve"> </w:t>
      </w:r>
      <w:r>
        <w:rPr>
          <w:color w:val="211F1F"/>
        </w:rPr>
        <w:t>or dispute amicably with or without the assistance of third parties. Proof of such attempt shall be required.</w:t>
      </w:r>
    </w:p>
    <w:p w14:paraId="6737F6F2" w14:textId="77777777" w:rsidR="00BB77C0" w:rsidRDefault="00370BAA">
      <w:pPr>
        <w:pStyle w:val="ListParagraph"/>
        <w:numPr>
          <w:ilvl w:val="2"/>
          <w:numId w:val="23"/>
        </w:numPr>
        <w:tabs>
          <w:tab w:val="left" w:pos="1242"/>
          <w:tab w:val="left" w:pos="1258"/>
        </w:tabs>
        <w:spacing w:line="230" w:lineRule="auto"/>
        <w:ind w:left="1258" w:right="709" w:hanging="629"/>
        <w:jc w:val="both"/>
        <w:rPr>
          <w:color w:val="211F1F"/>
        </w:rPr>
      </w:pPr>
      <w:r>
        <w:rPr>
          <w:color w:val="211F1F"/>
        </w:rPr>
        <w:t>The Arbitrator shall, without prejudice to the generality of his powers, have powers to direct such measurements, computations, tests or valuations as may</w:t>
      </w:r>
      <w:r>
        <w:rPr>
          <w:color w:val="211F1F"/>
          <w:spacing w:val="-2"/>
        </w:rPr>
        <w:t xml:space="preserve"> </w:t>
      </w:r>
      <w:r>
        <w:rPr>
          <w:color w:val="211F1F"/>
        </w:rPr>
        <w:t>in</w:t>
      </w:r>
      <w:r>
        <w:rPr>
          <w:color w:val="211F1F"/>
          <w:spacing w:val="-2"/>
        </w:rPr>
        <w:t xml:space="preserve"> </w:t>
      </w:r>
      <w:r>
        <w:rPr>
          <w:color w:val="211F1F"/>
        </w:rPr>
        <w:t>his opinion</w:t>
      </w:r>
      <w:r>
        <w:rPr>
          <w:color w:val="211F1F"/>
          <w:spacing w:val="-2"/>
        </w:rPr>
        <w:t xml:space="preserve"> </w:t>
      </w:r>
      <w:r>
        <w:rPr>
          <w:color w:val="211F1F"/>
        </w:rPr>
        <w:t>be</w:t>
      </w:r>
      <w:r>
        <w:rPr>
          <w:color w:val="211F1F"/>
          <w:spacing w:val="-4"/>
        </w:rPr>
        <w:t xml:space="preserve"> </w:t>
      </w:r>
      <w:r>
        <w:rPr>
          <w:color w:val="211F1F"/>
        </w:rPr>
        <w:t>desirable</w:t>
      </w:r>
      <w:r>
        <w:rPr>
          <w:color w:val="211F1F"/>
          <w:spacing w:val="-4"/>
        </w:rPr>
        <w:t xml:space="preserve"> </w:t>
      </w:r>
      <w:r>
        <w:rPr>
          <w:color w:val="211F1F"/>
        </w:rPr>
        <w:t>in order to</w:t>
      </w:r>
      <w:r>
        <w:rPr>
          <w:color w:val="211F1F"/>
          <w:spacing w:val="-2"/>
        </w:rPr>
        <w:t xml:space="preserve"> </w:t>
      </w:r>
      <w:r>
        <w:rPr>
          <w:color w:val="211F1F"/>
        </w:rPr>
        <w:t>determine</w:t>
      </w:r>
      <w:r>
        <w:rPr>
          <w:color w:val="211F1F"/>
          <w:spacing w:val="-4"/>
        </w:rPr>
        <w:t xml:space="preserve"> </w:t>
      </w:r>
      <w:r>
        <w:rPr>
          <w:color w:val="211F1F"/>
        </w:rPr>
        <w:t>the rights of the parties and assess and award any sums which ought to have been the subject of or included in any certificate.</w:t>
      </w:r>
    </w:p>
    <w:p w14:paraId="69098D5C" w14:textId="77777777" w:rsidR="00BB77C0" w:rsidRDefault="00370BAA">
      <w:pPr>
        <w:pStyle w:val="ListParagraph"/>
        <w:numPr>
          <w:ilvl w:val="2"/>
          <w:numId w:val="23"/>
        </w:numPr>
        <w:tabs>
          <w:tab w:val="left" w:pos="1242"/>
          <w:tab w:val="left" w:pos="1258"/>
        </w:tabs>
        <w:spacing w:line="230" w:lineRule="auto"/>
        <w:ind w:left="1258" w:right="707" w:hanging="629"/>
        <w:jc w:val="both"/>
        <w:rPr>
          <w:color w:val="211F1F"/>
        </w:rPr>
      </w:pPr>
      <w:r>
        <w:rPr>
          <w:color w:val="211F1F"/>
        </w:rPr>
        <w:t>The Arbitrator shall, without prejudice to the generality of his powers, have powers to open up, review and revise</w:t>
      </w:r>
      <w:r>
        <w:rPr>
          <w:color w:val="211F1F"/>
          <w:spacing w:val="-2"/>
        </w:rPr>
        <w:t xml:space="preserve"> </w:t>
      </w:r>
      <w:r>
        <w:rPr>
          <w:color w:val="211F1F"/>
        </w:rPr>
        <w:t>any certificate, opinion, decision, requirement or notice</w:t>
      </w:r>
      <w:r>
        <w:rPr>
          <w:color w:val="211F1F"/>
          <w:spacing w:val="-2"/>
        </w:rPr>
        <w:t xml:space="preserve"> </w:t>
      </w:r>
      <w:r>
        <w:rPr>
          <w:color w:val="211F1F"/>
        </w:rPr>
        <w:t>and to determine all matters in dispute which shall</w:t>
      </w:r>
      <w:r>
        <w:rPr>
          <w:color w:val="211F1F"/>
          <w:spacing w:val="-5"/>
        </w:rPr>
        <w:t xml:space="preserve"> </w:t>
      </w:r>
      <w:r>
        <w:rPr>
          <w:color w:val="211F1F"/>
        </w:rPr>
        <w:t>be</w:t>
      </w:r>
      <w:r>
        <w:rPr>
          <w:color w:val="211F1F"/>
          <w:spacing w:val="-13"/>
        </w:rPr>
        <w:t xml:space="preserve"> </w:t>
      </w:r>
      <w:r>
        <w:rPr>
          <w:color w:val="211F1F"/>
        </w:rPr>
        <w:t>submitted</w:t>
      </w:r>
      <w:r>
        <w:rPr>
          <w:color w:val="211F1F"/>
          <w:spacing w:val="-6"/>
        </w:rPr>
        <w:t xml:space="preserve"> </w:t>
      </w:r>
      <w:r>
        <w:rPr>
          <w:color w:val="211F1F"/>
        </w:rPr>
        <w:t>to</w:t>
      </w:r>
      <w:r>
        <w:rPr>
          <w:color w:val="211F1F"/>
          <w:spacing w:val="-11"/>
        </w:rPr>
        <w:t xml:space="preserve"> </w:t>
      </w:r>
      <w:r>
        <w:rPr>
          <w:color w:val="211F1F"/>
        </w:rPr>
        <w:t>him</w:t>
      </w:r>
      <w:r>
        <w:rPr>
          <w:color w:val="211F1F"/>
          <w:spacing w:val="-10"/>
        </w:rPr>
        <w:t xml:space="preserve"> </w:t>
      </w:r>
      <w:r>
        <w:rPr>
          <w:color w:val="211F1F"/>
        </w:rPr>
        <w:t>in</w:t>
      </w:r>
      <w:r>
        <w:rPr>
          <w:color w:val="211F1F"/>
          <w:spacing w:val="-11"/>
        </w:rPr>
        <w:t xml:space="preserve"> </w:t>
      </w:r>
      <w:r>
        <w:rPr>
          <w:color w:val="211F1F"/>
        </w:rPr>
        <w:t>the</w:t>
      </w:r>
      <w:r>
        <w:rPr>
          <w:color w:val="211F1F"/>
          <w:spacing w:val="-8"/>
        </w:rPr>
        <w:t xml:space="preserve"> </w:t>
      </w:r>
      <w:r>
        <w:rPr>
          <w:color w:val="211F1F"/>
        </w:rPr>
        <w:t>same</w:t>
      </w:r>
      <w:r>
        <w:rPr>
          <w:color w:val="211F1F"/>
          <w:spacing w:val="-9"/>
        </w:rPr>
        <w:t xml:space="preserve"> </w:t>
      </w:r>
      <w:r>
        <w:rPr>
          <w:color w:val="211F1F"/>
        </w:rPr>
        <w:t>manner</w:t>
      </w:r>
      <w:r>
        <w:rPr>
          <w:color w:val="211F1F"/>
          <w:spacing w:val="-3"/>
        </w:rPr>
        <w:t xml:space="preserve"> </w:t>
      </w:r>
      <w:r>
        <w:rPr>
          <w:color w:val="211F1F"/>
        </w:rPr>
        <w:t>as</w:t>
      </w:r>
      <w:r>
        <w:rPr>
          <w:color w:val="211F1F"/>
          <w:spacing w:val="-11"/>
        </w:rPr>
        <w:t xml:space="preserve"> </w:t>
      </w:r>
      <w:r>
        <w:rPr>
          <w:color w:val="211F1F"/>
        </w:rPr>
        <w:t>if</w:t>
      </w:r>
      <w:r>
        <w:rPr>
          <w:color w:val="211F1F"/>
          <w:spacing w:val="-8"/>
        </w:rPr>
        <w:t xml:space="preserve"> </w:t>
      </w:r>
      <w:r>
        <w:rPr>
          <w:color w:val="211F1F"/>
        </w:rPr>
        <w:t>no</w:t>
      </w:r>
      <w:r>
        <w:rPr>
          <w:color w:val="211F1F"/>
          <w:spacing w:val="-7"/>
        </w:rPr>
        <w:t xml:space="preserve"> </w:t>
      </w:r>
      <w:r>
        <w:rPr>
          <w:color w:val="211F1F"/>
        </w:rPr>
        <w:t>such</w:t>
      </w:r>
      <w:r>
        <w:rPr>
          <w:color w:val="211F1F"/>
          <w:spacing w:val="-6"/>
        </w:rPr>
        <w:t xml:space="preserve"> </w:t>
      </w:r>
      <w:r>
        <w:rPr>
          <w:color w:val="211F1F"/>
        </w:rPr>
        <w:t>certificate,</w:t>
      </w:r>
      <w:r>
        <w:rPr>
          <w:color w:val="211F1F"/>
          <w:spacing w:val="-3"/>
        </w:rPr>
        <w:t xml:space="preserve"> </w:t>
      </w:r>
      <w:r>
        <w:rPr>
          <w:color w:val="211F1F"/>
        </w:rPr>
        <w:t>opinion, decision</w:t>
      </w:r>
      <w:r>
        <w:rPr>
          <w:color w:val="211F1F"/>
          <w:spacing w:val="-6"/>
        </w:rPr>
        <w:t xml:space="preserve"> </w:t>
      </w:r>
      <w:r>
        <w:rPr>
          <w:color w:val="211F1F"/>
        </w:rPr>
        <w:t>requirement</w:t>
      </w:r>
      <w:r>
        <w:rPr>
          <w:color w:val="211F1F"/>
          <w:spacing w:val="-1"/>
        </w:rPr>
        <w:t xml:space="preserve"> </w:t>
      </w:r>
      <w:r>
        <w:rPr>
          <w:color w:val="211F1F"/>
        </w:rPr>
        <w:t>or</w:t>
      </w:r>
      <w:r>
        <w:rPr>
          <w:color w:val="211F1F"/>
          <w:spacing w:val="-3"/>
        </w:rPr>
        <w:t xml:space="preserve"> </w:t>
      </w:r>
      <w:r>
        <w:rPr>
          <w:color w:val="211F1F"/>
        </w:rPr>
        <w:t>notice had been given.</w:t>
      </w:r>
    </w:p>
    <w:p w14:paraId="2E80EE65" w14:textId="77777777" w:rsidR="00BB77C0" w:rsidRDefault="00370BAA">
      <w:pPr>
        <w:pStyle w:val="ListParagraph"/>
        <w:numPr>
          <w:ilvl w:val="2"/>
          <w:numId w:val="23"/>
        </w:numPr>
        <w:tabs>
          <w:tab w:val="left" w:pos="1242"/>
          <w:tab w:val="left" w:pos="1258"/>
        </w:tabs>
        <w:spacing w:line="230" w:lineRule="auto"/>
        <w:ind w:left="1258" w:right="700" w:hanging="629"/>
        <w:jc w:val="both"/>
        <w:rPr>
          <w:color w:val="211F1F"/>
        </w:rPr>
      </w:pPr>
      <w:r>
        <w:rPr>
          <w:color w:val="211F1F"/>
        </w:rPr>
        <w:t>The</w:t>
      </w:r>
      <w:r>
        <w:rPr>
          <w:color w:val="211F1F"/>
          <w:spacing w:val="-4"/>
        </w:rPr>
        <w:t xml:space="preserve"> </w:t>
      </w:r>
      <w:r>
        <w:rPr>
          <w:color w:val="211F1F"/>
        </w:rPr>
        <w:t>arbitrators</w:t>
      </w:r>
      <w:r>
        <w:rPr>
          <w:color w:val="211F1F"/>
          <w:spacing w:val="-1"/>
        </w:rPr>
        <w:t xml:space="preserve"> </w:t>
      </w:r>
      <w:r>
        <w:rPr>
          <w:color w:val="211F1F"/>
        </w:rPr>
        <w:t>shall</w:t>
      </w:r>
      <w:r>
        <w:rPr>
          <w:color w:val="211F1F"/>
          <w:spacing w:val="-2"/>
        </w:rPr>
        <w:t xml:space="preserve"> </w:t>
      </w:r>
      <w:r>
        <w:rPr>
          <w:color w:val="211F1F"/>
        </w:rPr>
        <w:t>have</w:t>
      </w:r>
      <w:r>
        <w:rPr>
          <w:color w:val="211F1F"/>
          <w:spacing w:val="-5"/>
        </w:rPr>
        <w:t xml:space="preserve"> </w:t>
      </w:r>
      <w:r>
        <w:rPr>
          <w:color w:val="211F1F"/>
        </w:rPr>
        <w:t>full</w:t>
      </w:r>
      <w:r>
        <w:rPr>
          <w:color w:val="211F1F"/>
          <w:spacing w:val="-1"/>
        </w:rPr>
        <w:t xml:space="preserve"> </w:t>
      </w:r>
      <w:r>
        <w:rPr>
          <w:color w:val="211F1F"/>
        </w:rPr>
        <w:t>power to</w:t>
      </w:r>
      <w:r>
        <w:rPr>
          <w:color w:val="211F1F"/>
          <w:spacing w:val="-3"/>
        </w:rPr>
        <w:t xml:space="preserve"> </w:t>
      </w:r>
      <w:r>
        <w:rPr>
          <w:color w:val="211F1F"/>
        </w:rPr>
        <w:t>open</w:t>
      </w:r>
      <w:r>
        <w:rPr>
          <w:color w:val="211F1F"/>
          <w:spacing w:val="-2"/>
        </w:rPr>
        <w:t xml:space="preserve"> </w:t>
      </w:r>
      <w:r>
        <w:rPr>
          <w:color w:val="211F1F"/>
        </w:rPr>
        <w:t>up,</w:t>
      </w:r>
      <w:r>
        <w:rPr>
          <w:color w:val="211F1F"/>
          <w:spacing w:val="-5"/>
        </w:rPr>
        <w:t xml:space="preserve"> </w:t>
      </w:r>
      <w:r>
        <w:rPr>
          <w:color w:val="211F1F"/>
        </w:rPr>
        <w:t>review and</w:t>
      </w:r>
      <w:r>
        <w:rPr>
          <w:color w:val="211F1F"/>
          <w:spacing w:val="-3"/>
        </w:rPr>
        <w:t xml:space="preserve"> </w:t>
      </w:r>
      <w:r>
        <w:rPr>
          <w:color w:val="211F1F"/>
        </w:rPr>
        <w:t>revise</w:t>
      </w:r>
      <w:r>
        <w:rPr>
          <w:color w:val="211F1F"/>
          <w:spacing w:val="-4"/>
        </w:rPr>
        <w:t xml:space="preserve"> </w:t>
      </w:r>
      <w:r>
        <w:rPr>
          <w:color w:val="211F1F"/>
        </w:rPr>
        <w:t>any</w:t>
      </w:r>
      <w:r>
        <w:rPr>
          <w:color w:val="211F1F"/>
          <w:spacing w:val="-7"/>
        </w:rPr>
        <w:t xml:space="preserve"> </w:t>
      </w:r>
      <w:r>
        <w:rPr>
          <w:color w:val="211F1F"/>
        </w:rPr>
        <w:t>certificate, determination, instruction, opinion or valuation of the Project Manager, relevant to</w:t>
      </w:r>
      <w:r>
        <w:rPr>
          <w:color w:val="211F1F"/>
          <w:spacing w:val="-3"/>
        </w:rPr>
        <w:t xml:space="preserve"> </w:t>
      </w:r>
      <w:r>
        <w:rPr>
          <w:color w:val="211F1F"/>
        </w:rPr>
        <w:t>the</w:t>
      </w:r>
      <w:r>
        <w:rPr>
          <w:color w:val="211F1F"/>
          <w:spacing w:val="-1"/>
        </w:rPr>
        <w:t xml:space="preserve"> </w:t>
      </w:r>
      <w:r>
        <w:rPr>
          <w:color w:val="211F1F"/>
        </w:rPr>
        <w:t>dispute. Nothing</w:t>
      </w:r>
      <w:r>
        <w:rPr>
          <w:color w:val="211F1F"/>
          <w:spacing w:val="-3"/>
        </w:rPr>
        <w:t xml:space="preserve"> </w:t>
      </w:r>
      <w:r>
        <w:rPr>
          <w:color w:val="211F1F"/>
        </w:rPr>
        <w:t>shall disqualify</w:t>
      </w:r>
      <w:r>
        <w:rPr>
          <w:color w:val="211F1F"/>
          <w:spacing w:val="-2"/>
        </w:rPr>
        <w:t xml:space="preserve"> </w:t>
      </w:r>
      <w:r>
        <w:rPr>
          <w:color w:val="211F1F"/>
        </w:rPr>
        <w:t>representatives of</w:t>
      </w:r>
      <w:r>
        <w:rPr>
          <w:color w:val="211F1F"/>
          <w:spacing w:val="-14"/>
        </w:rPr>
        <w:t xml:space="preserve"> </w:t>
      </w:r>
      <w:r>
        <w:rPr>
          <w:color w:val="211F1F"/>
        </w:rPr>
        <w:t>the</w:t>
      </w:r>
      <w:r>
        <w:rPr>
          <w:color w:val="211F1F"/>
          <w:spacing w:val="-14"/>
        </w:rPr>
        <w:t xml:space="preserve"> </w:t>
      </w:r>
      <w:r>
        <w:rPr>
          <w:color w:val="211F1F"/>
        </w:rPr>
        <w:t>Parties</w:t>
      </w:r>
      <w:r>
        <w:rPr>
          <w:color w:val="211F1F"/>
          <w:spacing w:val="-14"/>
        </w:rPr>
        <w:t xml:space="preserve"> </w:t>
      </w:r>
      <w:r>
        <w:rPr>
          <w:color w:val="211F1F"/>
        </w:rPr>
        <w:t>and</w:t>
      </w:r>
      <w:r>
        <w:rPr>
          <w:color w:val="211F1F"/>
          <w:spacing w:val="-13"/>
        </w:rPr>
        <w:t xml:space="preserve"> </w:t>
      </w:r>
      <w:r>
        <w:rPr>
          <w:color w:val="211F1F"/>
        </w:rPr>
        <w:t>the</w:t>
      </w:r>
      <w:r>
        <w:rPr>
          <w:color w:val="211F1F"/>
          <w:spacing w:val="-14"/>
        </w:rPr>
        <w:t xml:space="preserve"> </w:t>
      </w:r>
      <w:r>
        <w:rPr>
          <w:color w:val="211F1F"/>
        </w:rPr>
        <w:t>Project</w:t>
      </w:r>
      <w:r>
        <w:rPr>
          <w:color w:val="211F1F"/>
          <w:spacing w:val="-14"/>
        </w:rPr>
        <w:t xml:space="preserve"> </w:t>
      </w:r>
      <w:r>
        <w:rPr>
          <w:color w:val="211F1F"/>
        </w:rPr>
        <w:t>Manager</w:t>
      </w:r>
      <w:r>
        <w:rPr>
          <w:color w:val="211F1F"/>
          <w:spacing w:val="-14"/>
        </w:rPr>
        <w:t xml:space="preserve"> </w:t>
      </w:r>
      <w:r>
        <w:rPr>
          <w:color w:val="211F1F"/>
        </w:rPr>
        <w:t>from</w:t>
      </w:r>
      <w:r>
        <w:rPr>
          <w:color w:val="211F1F"/>
          <w:spacing w:val="-13"/>
        </w:rPr>
        <w:t xml:space="preserve"> </w:t>
      </w:r>
      <w:r>
        <w:rPr>
          <w:color w:val="211F1F"/>
        </w:rPr>
        <w:t>being</w:t>
      </w:r>
      <w:r>
        <w:rPr>
          <w:color w:val="211F1F"/>
          <w:spacing w:val="-14"/>
        </w:rPr>
        <w:t xml:space="preserve"> </w:t>
      </w:r>
      <w:r>
        <w:rPr>
          <w:color w:val="211F1F"/>
        </w:rPr>
        <w:t>called</w:t>
      </w:r>
      <w:r>
        <w:rPr>
          <w:color w:val="211F1F"/>
          <w:spacing w:val="-14"/>
        </w:rPr>
        <w:t xml:space="preserve"> </w:t>
      </w:r>
      <w:r>
        <w:rPr>
          <w:color w:val="211F1F"/>
        </w:rPr>
        <w:t>as</w:t>
      </w:r>
      <w:r>
        <w:rPr>
          <w:color w:val="211F1F"/>
          <w:spacing w:val="-14"/>
        </w:rPr>
        <w:t xml:space="preserve"> </w:t>
      </w:r>
      <w:r>
        <w:rPr>
          <w:color w:val="211F1F"/>
        </w:rPr>
        <w:t>a</w:t>
      </w:r>
      <w:r>
        <w:rPr>
          <w:color w:val="211F1F"/>
          <w:spacing w:val="-13"/>
        </w:rPr>
        <w:t xml:space="preserve"> </w:t>
      </w:r>
      <w:r>
        <w:rPr>
          <w:color w:val="211F1F"/>
        </w:rPr>
        <w:t>witness</w:t>
      </w:r>
      <w:r>
        <w:rPr>
          <w:color w:val="211F1F"/>
          <w:spacing w:val="-14"/>
        </w:rPr>
        <w:t xml:space="preserve"> </w:t>
      </w:r>
      <w:r>
        <w:rPr>
          <w:color w:val="211F1F"/>
        </w:rPr>
        <w:t>and</w:t>
      </w:r>
      <w:r>
        <w:rPr>
          <w:color w:val="211F1F"/>
          <w:spacing w:val="-14"/>
        </w:rPr>
        <w:t xml:space="preserve"> </w:t>
      </w:r>
      <w:r>
        <w:rPr>
          <w:color w:val="211F1F"/>
        </w:rPr>
        <w:t>giving</w:t>
      </w:r>
      <w:r>
        <w:rPr>
          <w:color w:val="211F1F"/>
          <w:spacing w:val="-14"/>
        </w:rPr>
        <w:t xml:space="preserve"> </w:t>
      </w:r>
      <w:r>
        <w:rPr>
          <w:color w:val="211F1F"/>
        </w:rPr>
        <w:t>evidence</w:t>
      </w:r>
      <w:r>
        <w:rPr>
          <w:color w:val="211F1F"/>
          <w:spacing w:val="-13"/>
        </w:rPr>
        <w:t xml:space="preserve"> </w:t>
      </w:r>
      <w:r>
        <w:rPr>
          <w:color w:val="211F1F"/>
        </w:rPr>
        <w:t>before</w:t>
      </w:r>
      <w:r>
        <w:rPr>
          <w:color w:val="211F1F"/>
          <w:spacing w:val="-14"/>
        </w:rPr>
        <w:t xml:space="preserve"> </w:t>
      </w:r>
      <w:r>
        <w:rPr>
          <w:color w:val="211F1F"/>
        </w:rPr>
        <w:t>the</w:t>
      </w:r>
      <w:r>
        <w:rPr>
          <w:color w:val="211F1F"/>
          <w:spacing w:val="-14"/>
        </w:rPr>
        <w:t xml:space="preserve"> </w:t>
      </w:r>
      <w:r>
        <w:rPr>
          <w:color w:val="211F1F"/>
        </w:rPr>
        <w:t>arbitrators on any matter whatsoever relevant to the dispute.</w:t>
      </w:r>
    </w:p>
    <w:p w14:paraId="234668B8" w14:textId="77777777" w:rsidR="00BB77C0" w:rsidRDefault="00370BAA">
      <w:pPr>
        <w:pStyle w:val="ListParagraph"/>
        <w:numPr>
          <w:ilvl w:val="2"/>
          <w:numId w:val="23"/>
        </w:numPr>
        <w:tabs>
          <w:tab w:val="left" w:pos="1242"/>
          <w:tab w:val="left" w:pos="1258"/>
        </w:tabs>
        <w:spacing w:line="228" w:lineRule="auto"/>
        <w:ind w:left="1258" w:right="808" w:hanging="629"/>
        <w:jc w:val="both"/>
        <w:rPr>
          <w:color w:val="211F1F"/>
        </w:rPr>
      </w:pPr>
      <w:r>
        <w:rPr>
          <w:color w:val="211F1F"/>
        </w:rPr>
        <w:t>Neither Party shall be</w:t>
      </w:r>
      <w:r>
        <w:rPr>
          <w:color w:val="211F1F"/>
          <w:spacing w:val="-2"/>
        </w:rPr>
        <w:t xml:space="preserve"> </w:t>
      </w:r>
      <w:r>
        <w:rPr>
          <w:color w:val="211F1F"/>
        </w:rPr>
        <w:t>limited in the</w:t>
      </w:r>
      <w:r>
        <w:rPr>
          <w:color w:val="211F1F"/>
          <w:spacing w:val="-2"/>
        </w:rPr>
        <w:t xml:space="preserve"> </w:t>
      </w:r>
      <w:r>
        <w:rPr>
          <w:color w:val="211F1F"/>
        </w:rPr>
        <w:t>proceedings before</w:t>
      </w:r>
      <w:r>
        <w:rPr>
          <w:color w:val="211F1F"/>
          <w:spacing w:val="-1"/>
        </w:rPr>
        <w:t xml:space="preserve"> </w:t>
      </w:r>
      <w:r>
        <w:rPr>
          <w:color w:val="211F1F"/>
        </w:rPr>
        <w:t>the</w:t>
      </w:r>
      <w:r>
        <w:rPr>
          <w:color w:val="211F1F"/>
          <w:spacing w:val="-2"/>
        </w:rPr>
        <w:t xml:space="preserve"> </w:t>
      </w:r>
      <w:r>
        <w:rPr>
          <w:color w:val="211F1F"/>
        </w:rPr>
        <w:t>arbitrators to the evidence, or to the</w:t>
      </w:r>
      <w:r>
        <w:rPr>
          <w:color w:val="211F1F"/>
          <w:spacing w:val="-2"/>
        </w:rPr>
        <w:t xml:space="preserve"> </w:t>
      </w:r>
      <w:r>
        <w:rPr>
          <w:color w:val="211F1F"/>
        </w:rPr>
        <w:t>reasons for dissatisfaction given in its Notice of Dissatisfaction.</w:t>
      </w:r>
    </w:p>
    <w:p w14:paraId="5F2C0E05" w14:textId="77777777" w:rsidR="00BB77C0" w:rsidRDefault="00370BAA">
      <w:pPr>
        <w:pStyle w:val="ListParagraph"/>
        <w:numPr>
          <w:ilvl w:val="2"/>
          <w:numId w:val="23"/>
        </w:numPr>
        <w:tabs>
          <w:tab w:val="left" w:pos="1242"/>
          <w:tab w:val="left" w:pos="1258"/>
        </w:tabs>
        <w:spacing w:line="230" w:lineRule="auto"/>
        <w:ind w:left="1258" w:right="709" w:hanging="629"/>
        <w:jc w:val="both"/>
        <w:rPr>
          <w:color w:val="211F1F"/>
        </w:rPr>
      </w:pPr>
      <w:r>
        <w:rPr>
          <w:color w:val="211F1F"/>
        </w:rPr>
        <w:t>Arbitration</w:t>
      </w:r>
      <w:r>
        <w:rPr>
          <w:color w:val="211F1F"/>
          <w:spacing w:val="-1"/>
        </w:rPr>
        <w:t xml:space="preserve"> </w:t>
      </w:r>
      <w:r>
        <w:rPr>
          <w:color w:val="211F1F"/>
        </w:rPr>
        <w:t>may</w:t>
      </w:r>
      <w:r>
        <w:rPr>
          <w:color w:val="211F1F"/>
          <w:spacing w:val="-1"/>
        </w:rPr>
        <w:t xml:space="preserve"> </w:t>
      </w:r>
      <w:r>
        <w:rPr>
          <w:color w:val="211F1F"/>
        </w:rPr>
        <w:t>be</w:t>
      </w:r>
      <w:r>
        <w:rPr>
          <w:color w:val="211F1F"/>
          <w:spacing w:val="-4"/>
        </w:rPr>
        <w:t xml:space="preserve"> </w:t>
      </w:r>
      <w:r>
        <w:rPr>
          <w:color w:val="211F1F"/>
        </w:rPr>
        <w:t>commenced</w:t>
      </w:r>
      <w:r>
        <w:rPr>
          <w:color w:val="211F1F"/>
          <w:spacing w:val="-1"/>
        </w:rPr>
        <w:t xml:space="preserve"> </w:t>
      </w:r>
      <w:r>
        <w:rPr>
          <w:color w:val="211F1F"/>
        </w:rPr>
        <w:t>prior to</w:t>
      </w:r>
      <w:r>
        <w:rPr>
          <w:color w:val="211F1F"/>
          <w:spacing w:val="-1"/>
        </w:rPr>
        <w:t xml:space="preserve"> </w:t>
      </w:r>
      <w:r>
        <w:rPr>
          <w:color w:val="211F1F"/>
        </w:rPr>
        <w:t>or</w:t>
      </w:r>
      <w:r>
        <w:rPr>
          <w:color w:val="211F1F"/>
          <w:spacing w:val="-3"/>
        </w:rPr>
        <w:t xml:space="preserve"> </w:t>
      </w:r>
      <w:r>
        <w:rPr>
          <w:color w:val="211F1F"/>
        </w:rPr>
        <w:t>after completion</w:t>
      </w:r>
      <w:r>
        <w:rPr>
          <w:color w:val="211F1F"/>
          <w:spacing w:val="-1"/>
        </w:rPr>
        <w:t xml:space="preserve"> </w:t>
      </w:r>
      <w:r>
        <w:rPr>
          <w:color w:val="211F1F"/>
        </w:rPr>
        <w:t>of the</w:t>
      </w:r>
      <w:r>
        <w:rPr>
          <w:color w:val="211F1F"/>
          <w:spacing w:val="-4"/>
        </w:rPr>
        <w:t xml:space="preserve"> </w:t>
      </w:r>
      <w:r>
        <w:rPr>
          <w:color w:val="211F1F"/>
        </w:rPr>
        <w:t>Works. The</w:t>
      </w:r>
      <w:r>
        <w:rPr>
          <w:color w:val="211F1F"/>
          <w:spacing w:val="-4"/>
        </w:rPr>
        <w:t xml:space="preserve"> </w:t>
      </w:r>
      <w:r>
        <w:rPr>
          <w:color w:val="211F1F"/>
        </w:rPr>
        <w:t>obligations of the</w:t>
      </w:r>
      <w:r>
        <w:rPr>
          <w:color w:val="211F1F"/>
          <w:spacing w:val="-3"/>
        </w:rPr>
        <w:t xml:space="preserve"> </w:t>
      </w:r>
      <w:r>
        <w:rPr>
          <w:color w:val="211F1F"/>
        </w:rPr>
        <w:t>Parties, and the</w:t>
      </w:r>
      <w:r>
        <w:rPr>
          <w:color w:val="211F1F"/>
          <w:spacing w:val="-1"/>
        </w:rPr>
        <w:t xml:space="preserve"> </w:t>
      </w:r>
      <w:r>
        <w:rPr>
          <w:color w:val="211F1F"/>
        </w:rPr>
        <w:t>Project Manager shall not be</w:t>
      </w:r>
      <w:r>
        <w:rPr>
          <w:color w:val="211F1F"/>
          <w:spacing w:val="-1"/>
        </w:rPr>
        <w:t xml:space="preserve"> </w:t>
      </w:r>
      <w:r>
        <w:rPr>
          <w:color w:val="211F1F"/>
        </w:rPr>
        <w:t>altered by reason of any arbitration being conducted during the</w:t>
      </w:r>
      <w:r>
        <w:rPr>
          <w:color w:val="211F1F"/>
          <w:spacing w:val="-1"/>
        </w:rPr>
        <w:t xml:space="preserve"> </w:t>
      </w:r>
      <w:r>
        <w:rPr>
          <w:color w:val="211F1F"/>
        </w:rPr>
        <w:t>progress of the Works.</w:t>
      </w:r>
    </w:p>
    <w:p w14:paraId="3822B1FB" w14:textId="77777777" w:rsidR="00BB77C0" w:rsidRDefault="00370BAA">
      <w:pPr>
        <w:pStyle w:val="ListParagraph"/>
        <w:numPr>
          <w:ilvl w:val="2"/>
          <w:numId w:val="23"/>
        </w:numPr>
        <w:tabs>
          <w:tab w:val="left" w:pos="1242"/>
        </w:tabs>
        <w:spacing w:line="251" w:lineRule="exact"/>
        <w:ind w:left="1242" w:hanging="613"/>
        <w:jc w:val="both"/>
        <w:rPr>
          <w:color w:val="211F1F"/>
        </w:rPr>
      </w:pPr>
      <w:r>
        <w:rPr>
          <w:color w:val="211F1F"/>
        </w:rPr>
        <w:t>The</w:t>
      </w:r>
      <w:r>
        <w:rPr>
          <w:color w:val="211F1F"/>
          <w:spacing w:val="-13"/>
        </w:rPr>
        <w:t xml:space="preserve"> </w:t>
      </w:r>
      <w:r>
        <w:rPr>
          <w:color w:val="211F1F"/>
        </w:rPr>
        <w:t>terms</w:t>
      </w:r>
      <w:r>
        <w:rPr>
          <w:color w:val="211F1F"/>
          <w:spacing w:val="-6"/>
        </w:rPr>
        <w:t xml:space="preserve"> </w:t>
      </w:r>
      <w:r>
        <w:rPr>
          <w:color w:val="211F1F"/>
        </w:rPr>
        <w:t>of</w:t>
      </w:r>
      <w:r>
        <w:rPr>
          <w:color w:val="211F1F"/>
          <w:spacing w:val="-8"/>
        </w:rPr>
        <w:t xml:space="preserve"> </w:t>
      </w:r>
      <w:r>
        <w:rPr>
          <w:color w:val="211F1F"/>
        </w:rPr>
        <w:t>the</w:t>
      </w:r>
      <w:r>
        <w:rPr>
          <w:color w:val="211F1F"/>
          <w:spacing w:val="-13"/>
        </w:rPr>
        <w:t xml:space="preserve"> </w:t>
      </w:r>
      <w:r>
        <w:rPr>
          <w:color w:val="211F1F"/>
        </w:rPr>
        <w:t>remuneration</w:t>
      </w:r>
      <w:r>
        <w:rPr>
          <w:color w:val="211F1F"/>
          <w:spacing w:val="-10"/>
        </w:rPr>
        <w:t xml:space="preserve"> </w:t>
      </w:r>
      <w:r>
        <w:rPr>
          <w:color w:val="211F1F"/>
        </w:rPr>
        <w:t>of</w:t>
      </w:r>
      <w:r>
        <w:rPr>
          <w:color w:val="211F1F"/>
          <w:spacing w:val="-8"/>
        </w:rPr>
        <w:t xml:space="preserve"> </w:t>
      </w:r>
      <w:r>
        <w:rPr>
          <w:color w:val="211F1F"/>
        </w:rPr>
        <w:t>each</w:t>
      </w:r>
      <w:r>
        <w:rPr>
          <w:color w:val="211F1F"/>
          <w:spacing w:val="-7"/>
        </w:rPr>
        <w:t xml:space="preserve"> </w:t>
      </w:r>
      <w:r>
        <w:rPr>
          <w:color w:val="211F1F"/>
        </w:rPr>
        <w:t>or</w:t>
      </w:r>
      <w:r>
        <w:rPr>
          <w:color w:val="211F1F"/>
          <w:spacing w:val="-3"/>
        </w:rPr>
        <w:t xml:space="preserve"> </w:t>
      </w:r>
      <w:r>
        <w:rPr>
          <w:color w:val="211F1F"/>
        </w:rPr>
        <w:t>all</w:t>
      </w:r>
      <w:r>
        <w:rPr>
          <w:color w:val="211F1F"/>
          <w:spacing w:val="-10"/>
        </w:rPr>
        <w:t xml:space="preserve"> </w:t>
      </w:r>
      <w:r>
        <w:rPr>
          <w:color w:val="211F1F"/>
        </w:rPr>
        <w:t>the</w:t>
      </w:r>
      <w:r>
        <w:rPr>
          <w:color w:val="211F1F"/>
          <w:spacing w:val="-8"/>
        </w:rPr>
        <w:t xml:space="preserve"> </w:t>
      </w:r>
      <w:r>
        <w:rPr>
          <w:color w:val="211F1F"/>
        </w:rPr>
        <w:t>members</w:t>
      </w:r>
      <w:r>
        <w:rPr>
          <w:color w:val="211F1F"/>
          <w:spacing w:val="-5"/>
        </w:rPr>
        <w:t xml:space="preserve"> </w:t>
      </w:r>
      <w:r>
        <w:rPr>
          <w:color w:val="211F1F"/>
        </w:rPr>
        <w:t>of</w:t>
      </w:r>
      <w:r>
        <w:rPr>
          <w:color w:val="211F1F"/>
          <w:spacing w:val="-8"/>
        </w:rPr>
        <w:t xml:space="preserve"> </w:t>
      </w:r>
      <w:r>
        <w:rPr>
          <w:color w:val="211F1F"/>
        </w:rPr>
        <w:t>Arbitration</w:t>
      </w:r>
      <w:r>
        <w:rPr>
          <w:color w:val="211F1F"/>
          <w:spacing w:val="-10"/>
        </w:rPr>
        <w:t xml:space="preserve"> </w:t>
      </w:r>
      <w:r>
        <w:rPr>
          <w:color w:val="211F1F"/>
        </w:rPr>
        <w:t>shall</w:t>
      </w:r>
      <w:r>
        <w:rPr>
          <w:color w:val="211F1F"/>
          <w:spacing w:val="-10"/>
        </w:rPr>
        <w:t xml:space="preserve"> </w:t>
      </w:r>
      <w:r>
        <w:rPr>
          <w:color w:val="211F1F"/>
        </w:rPr>
        <w:t>be</w:t>
      </w:r>
      <w:r>
        <w:rPr>
          <w:color w:val="211F1F"/>
          <w:spacing w:val="-12"/>
        </w:rPr>
        <w:t xml:space="preserve"> </w:t>
      </w:r>
      <w:r>
        <w:rPr>
          <w:color w:val="211F1F"/>
        </w:rPr>
        <w:t>mutually</w:t>
      </w:r>
      <w:r>
        <w:rPr>
          <w:color w:val="211F1F"/>
          <w:spacing w:val="-10"/>
        </w:rPr>
        <w:t xml:space="preserve"> </w:t>
      </w:r>
      <w:r>
        <w:rPr>
          <w:color w:val="211F1F"/>
        </w:rPr>
        <w:t>agreed</w:t>
      </w:r>
      <w:r>
        <w:rPr>
          <w:color w:val="211F1F"/>
          <w:spacing w:val="-11"/>
        </w:rPr>
        <w:t xml:space="preserve"> </w:t>
      </w:r>
      <w:r>
        <w:rPr>
          <w:color w:val="211F1F"/>
        </w:rPr>
        <w:t>upon</w:t>
      </w:r>
      <w:r>
        <w:rPr>
          <w:color w:val="211F1F"/>
          <w:spacing w:val="-11"/>
        </w:rPr>
        <w:t xml:space="preserve"> </w:t>
      </w:r>
      <w:r>
        <w:rPr>
          <w:color w:val="211F1F"/>
        </w:rPr>
        <w:t>by</w:t>
      </w:r>
      <w:r>
        <w:rPr>
          <w:color w:val="211F1F"/>
          <w:spacing w:val="-10"/>
        </w:rPr>
        <w:t xml:space="preserve"> </w:t>
      </w:r>
      <w:r>
        <w:rPr>
          <w:color w:val="211F1F"/>
          <w:spacing w:val="-5"/>
        </w:rPr>
        <w:t>the</w:t>
      </w:r>
    </w:p>
    <w:p w14:paraId="2612ADB2" w14:textId="77777777" w:rsidR="00BB77C0" w:rsidRDefault="00BB77C0">
      <w:pPr>
        <w:pStyle w:val="ListParagraph"/>
        <w:spacing w:line="251" w:lineRule="exact"/>
        <w:jc w:val="both"/>
        <w:sectPr w:rsidR="00BB77C0">
          <w:pgSz w:w="11920" w:h="16850"/>
          <w:pgMar w:top="260" w:right="0" w:bottom="280" w:left="360" w:header="720" w:footer="720" w:gutter="0"/>
          <w:cols w:space="720"/>
        </w:sectPr>
      </w:pPr>
    </w:p>
    <w:p w14:paraId="359E5264" w14:textId="77777777" w:rsidR="00BB77C0" w:rsidRDefault="00370BAA">
      <w:pPr>
        <w:pStyle w:val="BodyText"/>
        <w:spacing w:before="85" w:line="232" w:lineRule="auto"/>
        <w:ind w:left="1258" w:firstLine="4"/>
      </w:pPr>
      <w:r>
        <w:rPr>
          <w:color w:val="211F1F"/>
        </w:rPr>
        <w:lastRenderedPageBreak/>
        <w:t>Parties when</w:t>
      </w:r>
      <w:r>
        <w:rPr>
          <w:color w:val="211F1F"/>
          <w:spacing w:val="-1"/>
        </w:rPr>
        <w:t xml:space="preserve"> </w:t>
      </w:r>
      <w:r>
        <w:rPr>
          <w:color w:val="211F1F"/>
        </w:rPr>
        <w:t>agreeing</w:t>
      </w:r>
      <w:r>
        <w:rPr>
          <w:color w:val="211F1F"/>
          <w:spacing w:val="-1"/>
        </w:rPr>
        <w:t xml:space="preserve"> </w:t>
      </w:r>
      <w:r>
        <w:rPr>
          <w:color w:val="211F1F"/>
        </w:rPr>
        <w:t>the</w:t>
      </w:r>
      <w:r>
        <w:rPr>
          <w:color w:val="211F1F"/>
          <w:spacing w:val="-3"/>
        </w:rPr>
        <w:t xml:space="preserve"> </w:t>
      </w:r>
      <w:r>
        <w:rPr>
          <w:color w:val="211F1F"/>
        </w:rPr>
        <w:t>terms of appointment. Each</w:t>
      </w:r>
      <w:r>
        <w:rPr>
          <w:color w:val="211F1F"/>
          <w:spacing w:val="-1"/>
        </w:rPr>
        <w:t xml:space="preserve"> </w:t>
      </w:r>
      <w:r>
        <w:rPr>
          <w:color w:val="211F1F"/>
        </w:rPr>
        <w:t>Party</w:t>
      </w:r>
      <w:r>
        <w:rPr>
          <w:color w:val="211F1F"/>
          <w:spacing w:val="-1"/>
        </w:rPr>
        <w:t xml:space="preserve"> </w:t>
      </w:r>
      <w:r>
        <w:rPr>
          <w:color w:val="211F1F"/>
        </w:rPr>
        <w:t>shall</w:t>
      </w:r>
      <w:r>
        <w:rPr>
          <w:color w:val="211F1F"/>
          <w:spacing w:val="-1"/>
        </w:rPr>
        <w:t xml:space="preserve"> </w:t>
      </w:r>
      <w:r>
        <w:rPr>
          <w:color w:val="211F1F"/>
        </w:rPr>
        <w:t>be</w:t>
      </w:r>
      <w:r>
        <w:rPr>
          <w:color w:val="211F1F"/>
          <w:spacing w:val="-3"/>
        </w:rPr>
        <w:t xml:space="preserve"> </w:t>
      </w:r>
      <w:r>
        <w:rPr>
          <w:color w:val="211F1F"/>
        </w:rPr>
        <w:t>responsible</w:t>
      </w:r>
      <w:r>
        <w:rPr>
          <w:color w:val="211F1F"/>
          <w:spacing w:val="-1"/>
        </w:rPr>
        <w:t xml:space="preserve"> </w:t>
      </w:r>
      <w:r>
        <w:rPr>
          <w:color w:val="211F1F"/>
        </w:rPr>
        <w:t xml:space="preserve">for paying one-half of this </w:t>
      </w:r>
      <w:r>
        <w:rPr>
          <w:color w:val="211F1F"/>
          <w:spacing w:val="-2"/>
        </w:rPr>
        <w:t>remuneration.</w:t>
      </w:r>
    </w:p>
    <w:p w14:paraId="15CBA02C" w14:textId="77777777" w:rsidR="00BB77C0" w:rsidRDefault="00370BAA">
      <w:pPr>
        <w:pStyle w:val="Heading7"/>
        <w:numPr>
          <w:ilvl w:val="1"/>
          <w:numId w:val="23"/>
        </w:numPr>
        <w:tabs>
          <w:tab w:val="left" w:pos="1168"/>
        </w:tabs>
        <w:spacing w:before="190"/>
        <w:ind w:left="1168" w:hanging="357"/>
        <w:jc w:val="both"/>
        <w:rPr>
          <w:color w:val="211F1F"/>
        </w:rPr>
      </w:pPr>
      <w:bookmarkStart w:id="208" w:name="24.5_Arbitration_with_National_Contracto"/>
      <w:bookmarkEnd w:id="208"/>
      <w:r>
        <w:rPr>
          <w:color w:val="211F1F"/>
          <w:spacing w:val="-4"/>
        </w:rPr>
        <w:t>Arbitration</w:t>
      </w:r>
      <w:r>
        <w:rPr>
          <w:color w:val="211F1F"/>
          <w:spacing w:val="-8"/>
        </w:rPr>
        <w:t xml:space="preserve"> </w:t>
      </w:r>
      <w:r>
        <w:rPr>
          <w:color w:val="211F1F"/>
          <w:spacing w:val="-4"/>
        </w:rPr>
        <w:t>with</w:t>
      </w:r>
      <w:r>
        <w:rPr>
          <w:color w:val="211F1F"/>
          <w:spacing w:val="-7"/>
        </w:rPr>
        <w:t xml:space="preserve"> </w:t>
      </w:r>
      <w:r>
        <w:rPr>
          <w:color w:val="211F1F"/>
          <w:spacing w:val="-4"/>
        </w:rPr>
        <w:t>National</w:t>
      </w:r>
      <w:r>
        <w:rPr>
          <w:color w:val="211F1F"/>
          <w:spacing w:val="-3"/>
        </w:rPr>
        <w:t xml:space="preserve"> </w:t>
      </w:r>
      <w:r>
        <w:rPr>
          <w:color w:val="211F1F"/>
          <w:spacing w:val="-4"/>
        </w:rPr>
        <w:t>Contractors</w:t>
      </w:r>
    </w:p>
    <w:p w14:paraId="3FCC634B" w14:textId="77777777" w:rsidR="00BB77C0" w:rsidRDefault="00370BAA">
      <w:pPr>
        <w:pStyle w:val="ListParagraph"/>
        <w:numPr>
          <w:ilvl w:val="2"/>
          <w:numId w:val="23"/>
        </w:numPr>
        <w:tabs>
          <w:tab w:val="left" w:pos="1241"/>
          <w:tab w:val="left" w:pos="1262"/>
        </w:tabs>
        <w:spacing w:before="111" w:line="230" w:lineRule="auto"/>
        <w:ind w:left="1262" w:right="702" w:hanging="634"/>
        <w:jc w:val="both"/>
        <w:rPr>
          <w:color w:val="211F1F"/>
        </w:rPr>
      </w:pPr>
      <w:r>
        <w:rPr>
          <w:color w:val="211F1F"/>
        </w:rPr>
        <w:t>If the</w:t>
      </w:r>
      <w:r>
        <w:rPr>
          <w:color w:val="211F1F"/>
          <w:spacing w:val="-2"/>
        </w:rPr>
        <w:t xml:space="preserve"> </w:t>
      </w:r>
      <w:r>
        <w:rPr>
          <w:color w:val="211F1F"/>
        </w:rPr>
        <w:t>Contract is with national contractors, arbitration proceedings will be</w:t>
      </w:r>
      <w:r>
        <w:rPr>
          <w:color w:val="211F1F"/>
          <w:spacing w:val="-2"/>
        </w:rPr>
        <w:t xml:space="preserve"> </w:t>
      </w:r>
      <w:r>
        <w:rPr>
          <w:color w:val="211F1F"/>
        </w:rPr>
        <w:t>conducted in accordance with the Arbitration</w:t>
      </w:r>
      <w:r>
        <w:rPr>
          <w:color w:val="211F1F"/>
          <w:spacing w:val="-16"/>
        </w:rPr>
        <w:t xml:space="preserve"> </w:t>
      </w:r>
      <w:r>
        <w:rPr>
          <w:color w:val="211F1F"/>
        </w:rPr>
        <w:t>Laws</w:t>
      </w:r>
      <w:r>
        <w:rPr>
          <w:color w:val="211F1F"/>
          <w:spacing w:val="-14"/>
        </w:rPr>
        <w:t xml:space="preserve"> </w:t>
      </w:r>
      <w:r>
        <w:rPr>
          <w:color w:val="211F1F"/>
        </w:rPr>
        <w:t>of</w:t>
      </w:r>
      <w:r>
        <w:rPr>
          <w:color w:val="211F1F"/>
          <w:spacing w:val="-14"/>
        </w:rPr>
        <w:t xml:space="preserve"> </w:t>
      </w:r>
      <w:r>
        <w:rPr>
          <w:color w:val="211F1F"/>
        </w:rPr>
        <w:t>Kenya.</w:t>
      </w:r>
      <w:r>
        <w:rPr>
          <w:color w:val="211F1F"/>
          <w:spacing w:val="-13"/>
        </w:rPr>
        <w:t xml:space="preserve"> </w:t>
      </w:r>
      <w:r>
        <w:rPr>
          <w:color w:val="211F1F"/>
        </w:rPr>
        <w:t>In</w:t>
      </w:r>
      <w:r>
        <w:rPr>
          <w:color w:val="211F1F"/>
          <w:spacing w:val="-14"/>
        </w:rPr>
        <w:t xml:space="preserve"> </w:t>
      </w:r>
      <w:r>
        <w:rPr>
          <w:color w:val="211F1F"/>
        </w:rPr>
        <w:t>case</w:t>
      </w:r>
      <w:r>
        <w:rPr>
          <w:color w:val="211F1F"/>
          <w:spacing w:val="-14"/>
        </w:rPr>
        <w:t xml:space="preserve"> </w:t>
      </w:r>
      <w:r>
        <w:rPr>
          <w:color w:val="211F1F"/>
        </w:rPr>
        <w:t>of</w:t>
      </w:r>
      <w:r>
        <w:rPr>
          <w:color w:val="211F1F"/>
          <w:spacing w:val="-14"/>
        </w:rPr>
        <w:t xml:space="preserve"> </w:t>
      </w:r>
      <w:r>
        <w:rPr>
          <w:color w:val="211F1F"/>
        </w:rPr>
        <w:t>any</w:t>
      </w:r>
      <w:r>
        <w:rPr>
          <w:color w:val="211F1F"/>
          <w:spacing w:val="-13"/>
        </w:rPr>
        <w:t xml:space="preserve"> </w:t>
      </w:r>
      <w:r>
        <w:rPr>
          <w:color w:val="211F1F"/>
        </w:rPr>
        <w:t>claim</w:t>
      </w:r>
      <w:r>
        <w:rPr>
          <w:color w:val="211F1F"/>
          <w:spacing w:val="-14"/>
        </w:rPr>
        <w:t xml:space="preserve"> </w:t>
      </w:r>
      <w:r>
        <w:rPr>
          <w:color w:val="211F1F"/>
        </w:rPr>
        <w:t>or</w:t>
      </w:r>
      <w:r>
        <w:rPr>
          <w:color w:val="211F1F"/>
          <w:spacing w:val="-14"/>
        </w:rPr>
        <w:t xml:space="preserve"> </w:t>
      </w:r>
      <w:r>
        <w:rPr>
          <w:color w:val="211F1F"/>
        </w:rPr>
        <w:t>dispute,</w:t>
      </w:r>
      <w:r>
        <w:rPr>
          <w:color w:val="211F1F"/>
          <w:spacing w:val="-14"/>
        </w:rPr>
        <w:t xml:space="preserve"> </w:t>
      </w:r>
      <w:r>
        <w:rPr>
          <w:color w:val="211F1F"/>
        </w:rPr>
        <w:t>such</w:t>
      </w:r>
      <w:r>
        <w:rPr>
          <w:color w:val="211F1F"/>
          <w:spacing w:val="-13"/>
        </w:rPr>
        <w:t xml:space="preserve"> </w:t>
      </w:r>
      <w:r>
        <w:rPr>
          <w:color w:val="211F1F"/>
        </w:rPr>
        <w:t>claim</w:t>
      </w:r>
      <w:r>
        <w:rPr>
          <w:color w:val="211F1F"/>
          <w:spacing w:val="-14"/>
        </w:rPr>
        <w:t xml:space="preserve"> </w:t>
      </w:r>
      <w:r>
        <w:rPr>
          <w:color w:val="211F1F"/>
        </w:rPr>
        <w:t>or</w:t>
      </w:r>
      <w:r>
        <w:rPr>
          <w:color w:val="211F1F"/>
          <w:spacing w:val="-14"/>
        </w:rPr>
        <w:t xml:space="preserve"> </w:t>
      </w:r>
      <w:r>
        <w:rPr>
          <w:color w:val="211F1F"/>
        </w:rPr>
        <w:t>dispute</w:t>
      </w:r>
      <w:r>
        <w:rPr>
          <w:color w:val="211F1F"/>
          <w:spacing w:val="-14"/>
        </w:rPr>
        <w:t xml:space="preserve"> </w:t>
      </w:r>
      <w:r>
        <w:rPr>
          <w:color w:val="211F1F"/>
        </w:rPr>
        <w:t>shall</w:t>
      </w:r>
      <w:r>
        <w:rPr>
          <w:color w:val="211F1F"/>
          <w:spacing w:val="-13"/>
        </w:rPr>
        <w:t xml:space="preserve"> </w:t>
      </w:r>
      <w:r>
        <w:rPr>
          <w:color w:val="211F1F"/>
        </w:rPr>
        <w:t>be</w:t>
      </w:r>
      <w:r>
        <w:rPr>
          <w:color w:val="211F1F"/>
          <w:spacing w:val="-14"/>
        </w:rPr>
        <w:t xml:space="preserve"> </w:t>
      </w:r>
      <w:r>
        <w:rPr>
          <w:color w:val="211F1F"/>
        </w:rPr>
        <w:t>notified</w:t>
      </w:r>
      <w:r>
        <w:rPr>
          <w:color w:val="211F1F"/>
          <w:spacing w:val="-14"/>
        </w:rPr>
        <w:t xml:space="preserve"> </w:t>
      </w:r>
      <w:r>
        <w:rPr>
          <w:color w:val="211F1F"/>
        </w:rPr>
        <w:t>in</w:t>
      </w:r>
      <w:r>
        <w:rPr>
          <w:color w:val="211F1F"/>
          <w:spacing w:val="-14"/>
        </w:rPr>
        <w:t xml:space="preserve"> </w:t>
      </w:r>
      <w:r>
        <w:rPr>
          <w:color w:val="211F1F"/>
        </w:rPr>
        <w:t>writing</w:t>
      </w:r>
      <w:r>
        <w:rPr>
          <w:color w:val="211F1F"/>
          <w:spacing w:val="-13"/>
        </w:rPr>
        <w:t xml:space="preserve"> </w:t>
      </w:r>
      <w:r>
        <w:rPr>
          <w:color w:val="211F1F"/>
        </w:rPr>
        <w:t>by either party to the other with a request to submit it to arbitration and to concur in the appointment of an Arbitrator</w:t>
      </w:r>
      <w:r>
        <w:rPr>
          <w:color w:val="211F1F"/>
          <w:spacing w:val="-14"/>
        </w:rPr>
        <w:t xml:space="preserve"> </w:t>
      </w:r>
      <w:r>
        <w:rPr>
          <w:color w:val="211F1F"/>
        </w:rPr>
        <w:t>within</w:t>
      </w:r>
      <w:r>
        <w:rPr>
          <w:color w:val="211F1F"/>
          <w:spacing w:val="-14"/>
        </w:rPr>
        <w:t xml:space="preserve"> </w:t>
      </w:r>
      <w:r>
        <w:rPr>
          <w:color w:val="211F1F"/>
        </w:rPr>
        <w:t>thirty</w:t>
      </w:r>
      <w:r>
        <w:rPr>
          <w:color w:val="211F1F"/>
          <w:spacing w:val="-14"/>
        </w:rPr>
        <w:t xml:space="preserve"> </w:t>
      </w:r>
      <w:r>
        <w:rPr>
          <w:color w:val="211F1F"/>
        </w:rPr>
        <w:t>days</w:t>
      </w:r>
      <w:r>
        <w:rPr>
          <w:color w:val="211F1F"/>
          <w:spacing w:val="-13"/>
        </w:rPr>
        <w:t xml:space="preserve"> </w:t>
      </w:r>
      <w:r>
        <w:rPr>
          <w:color w:val="211F1F"/>
        </w:rPr>
        <w:t>of</w:t>
      </w:r>
      <w:r>
        <w:rPr>
          <w:color w:val="211F1F"/>
          <w:spacing w:val="-14"/>
        </w:rPr>
        <w:t xml:space="preserve"> </w:t>
      </w:r>
      <w:r>
        <w:rPr>
          <w:color w:val="211F1F"/>
        </w:rPr>
        <w:t>the</w:t>
      </w:r>
      <w:r>
        <w:rPr>
          <w:color w:val="211F1F"/>
          <w:spacing w:val="-14"/>
        </w:rPr>
        <w:t xml:space="preserve"> </w:t>
      </w:r>
      <w:r>
        <w:rPr>
          <w:color w:val="211F1F"/>
        </w:rPr>
        <w:t>notice.</w:t>
      </w:r>
      <w:r>
        <w:rPr>
          <w:color w:val="211F1F"/>
          <w:spacing w:val="-13"/>
        </w:rPr>
        <w:t xml:space="preserve"> </w:t>
      </w:r>
      <w:r>
        <w:rPr>
          <w:color w:val="211F1F"/>
        </w:rPr>
        <w:t>The</w:t>
      </w:r>
      <w:r>
        <w:rPr>
          <w:color w:val="211F1F"/>
          <w:spacing w:val="-14"/>
        </w:rPr>
        <w:t xml:space="preserve"> </w:t>
      </w:r>
      <w:r>
        <w:rPr>
          <w:color w:val="211F1F"/>
        </w:rPr>
        <w:t>dispute</w:t>
      </w:r>
      <w:r>
        <w:rPr>
          <w:color w:val="211F1F"/>
          <w:spacing w:val="-13"/>
        </w:rPr>
        <w:t xml:space="preserve"> </w:t>
      </w:r>
      <w:r>
        <w:rPr>
          <w:color w:val="211F1F"/>
        </w:rPr>
        <w:t>shall</w:t>
      </w:r>
      <w:r>
        <w:rPr>
          <w:color w:val="211F1F"/>
          <w:spacing w:val="-14"/>
        </w:rPr>
        <w:t xml:space="preserve"> </w:t>
      </w:r>
      <w:r>
        <w:rPr>
          <w:color w:val="211F1F"/>
        </w:rPr>
        <w:t>be</w:t>
      </w:r>
      <w:r>
        <w:rPr>
          <w:color w:val="211F1F"/>
          <w:spacing w:val="-14"/>
        </w:rPr>
        <w:t xml:space="preserve"> </w:t>
      </w:r>
      <w:r>
        <w:rPr>
          <w:color w:val="211F1F"/>
        </w:rPr>
        <w:t>referred</w:t>
      </w:r>
      <w:r>
        <w:rPr>
          <w:color w:val="211F1F"/>
          <w:spacing w:val="-14"/>
        </w:rPr>
        <w:t xml:space="preserve"> </w:t>
      </w:r>
      <w:r>
        <w:rPr>
          <w:color w:val="211F1F"/>
        </w:rPr>
        <w:t>to</w:t>
      </w:r>
      <w:r>
        <w:rPr>
          <w:color w:val="211F1F"/>
          <w:spacing w:val="-13"/>
        </w:rPr>
        <w:t xml:space="preserve"> </w:t>
      </w:r>
      <w:r>
        <w:rPr>
          <w:color w:val="211F1F"/>
        </w:rPr>
        <w:t>the</w:t>
      </w:r>
      <w:r>
        <w:rPr>
          <w:color w:val="211F1F"/>
          <w:spacing w:val="-14"/>
        </w:rPr>
        <w:t xml:space="preserve"> </w:t>
      </w:r>
      <w:r>
        <w:rPr>
          <w:color w:val="211F1F"/>
        </w:rPr>
        <w:t>arbitration</w:t>
      </w:r>
      <w:r>
        <w:rPr>
          <w:color w:val="211F1F"/>
          <w:spacing w:val="-14"/>
        </w:rPr>
        <w:t xml:space="preserve"> </w:t>
      </w:r>
      <w:r>
        <w:rPr>
          <w:color w:val="211F1F"/>
        </w:rPr>
        <w:t>and</w:t>
      </w:r>
      <w:r>
        <w:rPr>
          <w:color w:val="211F1F"/>
          <w:spacing w:val="-14"/>
        </w:rPr>
        <w:t xml:space="preserve"> </w:t>
      </w:r>
      <w:r>
        <w:rPr>
          <w:color w:val="211F1F"/>
        </w:rPr>
        <w:t>final</w:t>
      </w:r>
      <w:r>
        <w:rPr>
          <w:color w:val="211F1F"/>
          <w:spacing w:val="-10"/>
        </w:rPr>
        <w:t xml:space="preserve"> </w:t>
      </w:r>
      <w:r>
        <w:rPr>
          <w:color w:val="211F1F"/>
        </w:rPr>
        <w:t>decision</w:t>
      </w:r>
      <w:r>
        <w:rPr>
          <w:color w:val="211F1F"/>
          <w:spacing w:val="-11"/>
        </w:rPr>
        <w:t xml:space="preserve"> </w:t>
      </w:r>
      <w:r>
        <w:rPr>
          <w:color w:val="211F1F"/>
        </w:rPr>
        <w:t>of</w:t>
      </w:r>
      <w:r>
        <w:rPr>
          <w:color w:val="211F1F"/>
          <w:spacing w:val="-4"/>
        </w:rPr>
        <w:t xml:space="preserve"> </w:t>
      </w:r>
      <w:r>
        <w:rPr>
          <w:color w:val="211F1F"/>
        </w:rPr>
        <w:t>a person</w:t>
      </w:r>
      <w:r>
        <w:rPr>
          <w:color w:val="211F1F"/>
          <w:spacing w:val="-14"/>
        </w:rPr>
        <w:t xml:space="preserve"> </w:t>
      </w:r>
      <w:r>
        <w:rPr>
          <w:color w:val="211F1F"/>
        </w:rPr>
        <w:t>to</w:t>
      </w:r>
      <w:r>
        <w:rPr>
          <w:color w:val="211F1F"/>
          <w:spacing w:val="-6"/>
        </w:rPr>
        <w:t xml:space="preserve"> </w:t>
      </w:r>
      <w:r>
        <w:rPr>
          <w:color w:val="211F1F"/>
        </w:rPr>
        <w:t>be</w:t>
      </w:r>
      <w:r>
        <w:rPr>
          <w:color w:val="211F1F"/>
          <w:spacing w:val="-8"/>
        </w:rPr>
        <w:t xml:space="preserve"> </w:t>
      </w:r>
      <w:r>
        <w:rPr>
          <w:color w:val="211F1F"/>
        </w:rPr>
        <w:t>agreed</w:t>
      </w:r>
      <w:r>
        <w:rPr>
          <w:color w:val="211F1F"/>
          <w:spacing w:val="-5"/>
        </w:rPr>
        <w:t xml:space="preserve"> </w:t>
      </w:r>
      <w:r>
        <w:rPr>
          <w:color w:val="211F1F"/>
        </w:rPr>
        <w:t>between</w:t>
      </w:r>
      <w:r>
        <w:rPr>
          <w:color w:val="211F1F"/>
          <w:spacing w:val="-5"/>
        </w:rPr>
        <w:t xml:space="preserve"> </w:t>
      </w:r>
      <w:r>
        <w:rPr>
          <w:color w:val="211F1F"/>
        </w:rPr>
        <w:t>the</w:t>
      </w:r>
      <w:r>
        <w:rPr>
          <w:color w:val="211F1F"/>
          <w:spacing w:val="-7"/>
        </w:rPr>
        <w:t xml:space="preserve"> </w:t>
      </w:r>
      <w:r>
        <w:rPr>
          <w:color w:val="211F1F"/>
        </w:rPr>
        <w:t>parties.</w:t>
      </w:r>
      <w:r>
        <w:rPr>
          <w:color w:val="211F1F"/>
          <w:spacing w:val="74"/>
        </w:rPr>
        <w:t xml:space="preserve"> </w:t>
      </w:r>
      <w:r>
        <w:rPr>
          <w:color w:val="211F1F"/>
        </w:rPr>
        <w:t>Failing</w:t>
      </w:r>
      <w:r>
        <w:rPr>
          <w:color w:val="211F1F"/>
          <w:spacing w:val="-5"/>
        </w:rPr>
        <w:t xml:space="preserve"> </w:t>
      </w:r>
      <w:r>
        <w:rPr>
          <w:color w:val="211F1F"/>
        </w:rPr>
        <w:t>agreement to</w:t>
      </w:r>
      <w:r>
        <w:rPr>
          <w:color w:val="211F1F"/>
          <w:spacing w:val="-6"/>
        </w:rPr>
        <w:t xml:space="preserve"> </w:t>
      </w:r>
      <w:r>
        <w:rPr>
          <w:color w:val="211F1F"/>
        </w:rPr>
        <w:t>concur</w:t>
      </w:r>
      <w:r>
        <w:rPr>
          <w:color w:val="211F1F"/>
          <w:spacing w:val="-3"/>
        </w:rPr>
        <w:t xml:space="preserve"> </w:t>
      </w:r>
      <w:r>
        <w:rPr>
          <w:color w:val="211F1F"/>
        </w:rPr>
        <w:t>in</w:t>
      </w:r>
      <w:r>
        <w:rPr>
          <w:color w:val="211F1F"/>
          <w:spacing w:val="-6"/>
        </w:rPr>
        <w:t xml:space="preserve"> </w:t>
      </w:r>
      <w:r>
        <w:rPr>
          <w:color w:val="211F1F"/>
        </w:rPr>
        <w:t>the</w:t>
      </w:r>
      <w:r>
        <w:rPr>
          <w:color w:val="211F1F"/>
          <w:spacing w:val="-8"/>
        </w:rPr>
        <w:t xml:space="preserve"> </w:t>
      </w:r>
      <w:r>
        <w:rPr>
          <w:color w:val="211F1F"/>
        </w:rPr>
        <w:t>appointment of</w:t>
      </w:r>
      <w:r>
        <w:rPr>
          <w:color w:val="211F1F"/>
          <w:spacing w:val="-3"/>
        </w:rPr>
        <w:t xml:space="preserve"> </w:t>
      </w:r>
      <w:r>
        <w:rPr>
          <w:color w:val="211F1F"/>
        </w:rPr>
        <w:t>an</w:t>
      </w:r>
      <w:r>
        <w:rPr>
          <w:color w:val="211F1F"/>
          <w:spacing w:val="-14"/>
        </w:rPr>
        <w:t xml:space="preserve"> </w:t>
      </w:r>
      <w:r>
        <w:rPr>
          <w:color w:val="211F1F"/>
        </w:rPr>
        <w:t>Arbitrator,</w:t>
      </w:r>
      <w:r>
        <w:rPr>
          <w:color w:val="211F1F"/>
          <w:spacing w:val="-7"/>
        </w:rPr>
        <w:t xml:space="preserve"> </w:t>
      </w:r>
      <w:r>
        <w:rPr>
          <w:color w:val="211F1F"/>
        </w:rPr>
        <w:t>the Arbitrator</w:t>
      </w:r>
      <w:r>
        <w:rPr>
          <w:color w:val="211F1F"/>
          <w:spacing w:val="-14"/>
        </w:rPr>
        <w:t xml:space="preserve"> </w:t>
      </w:r>
      <w:r>
        <w:rPr>
          <w:color w:val="211F1F"/>
        </w:rPr>
        <w:t>shall</w:t>
      </w:r>
      <w:r>
        <w:rPr>
          <w:color w:val="211F1F"/>
          <w:spacing w:val="-14"/>
        </w:rPr>
        <w:t xml:space="preserve"> </w:t>
      </w:r>
      <w:r>
        <w:rPr>
          <w:color w:val="211F1F"/>
        </w:rPr>
        <w:t>be</w:t>
      </w:r>
      <w:r>
        <w:rPr>
          <w:color w:val="211F1F"/>
          <w:spacing w:val="-14"/>
        </w:rPr>
        <w:t xml:space="preserve"> </w:t>
      </w:r>
      <w:r>
        <w:rPr>
          <w:color w:val="211F1F"/>
        </w:rPr>
        <w:t>appointed,</w:t>
      </w:r>
      <w:r>
        <w:rPr>
          <w:color w:val="211F1F"/>
          <w:spacing w:val="-13"/>
        </w:rPr>
        <w:t xml:space="preserve"> </w:t>
      </w:r>
      <w:r>
        <w:rPr>
          <w:color w:val="211F1F"/>
        </w:rPr>
        <w:t>on</w:t>
      </w:r>
      <w:r>
        <w:rPr>
          <w:color w:val="211F1F"/>
          <w:spacing w:val="-14"/>
        </w:rPr>
        <w:t xml:space="preserve"> </w:t>
      </w:r>
      <w:r>
        <w:rPr>
          <w:color w:val="211F1F"/>
        </w:rPr>
        <w:t>the</w:t>
      </w:r>
      <w:r>
        <w:rPr>
          <w:color w:val="211F1F"/>
          <w:spacing w:val="-14"/>
        </w:rPr>
        <w:t xml:space="preserve"> </w:t>
      </w:r>
      <w:r>
        <w:rPr>
          <w:color w:val="211F1F"/>
        </w:rPr>
        <w:t>request</w:t>
      </w:r>
      <w:r>
        <w:rPr>
          <w:color w:val="211F1F"/>
          <w:spacing w:val="-14"/>
        </w:rPr>
        <w:t xml:space="preserve"> </w:t>
      </w:r>
      <w:r>
        <w:rPr>
          <w:color w:val="211F1F"/>
        </w:rPr>
        <w:t>of</w:t>
      </w:r>
      <w:r>
        <w:rPr>
          <w:color w:val="211F1F"/>
          <w:spacing w:val="-13"/>
        </w:rPr>
        <w:t xml:space="preserve"> </w:t>
      </w:r>
      <w:r>
        <w:rPr>
          <w:color w:val="211F1F"/>
        </w:rPr>
        <w:t>the</w:t>
      </w:r>
      <w:r>
        <w:rPr>
          <w:color w:val="211F1F"/>
          <w:spacing w:val="-14"/>
        </w:rPr>
        <w:t xml:space="preserve"> </w:t>
      </w:r>
      <w:r>
        <w:rPr>
          <w:color w:val="211F1F"/>
        </w:rPr>
        <w:t>applying</w:t>
      </w:r>
      <w:r>
        <w:rPr>
          <w:color w:val="211F1F"/>
          <w:spacing w:val="-14"/>
        </w:rPr>
        <w:t xml:space="preserve"> </w:t>
      </w:r>
      <w:r>
        <w:rPr>
          <w:color w:val="211F1F"/>
        </w:rPr>
        <w:t>party,</w:t>
      </w:r>
      <w:r>
        <w:rPr>
          <w:color w:val="211F1F"/>
          <w:spacing w:val="-14"/>
        </w:rPr>
        <w:t xml:space="preserve"> </w:t>
      </w:r>
      <w:r>
        <w:rPr>
          <w:color w:val="211F1F"/>
        </w:rPr>
        <w:t>by</w:t>
      </w:r>
      <w:r>
        <w:rPr>
          <w:color w:val="211F1F"/>
          <w:spacing w:val="-13"/>
        </w:rPr>
        <w:t xml:space="preserve"> </w:t>
      </w:r>
      <w:r>
        <w:rPr>
          <w:color w:val="211F1F"/>
        </w:rPr>
        <w:t>the</w:t>
      </w:r>
      <w:r>
        <w:rPr>
          <w:color w:val="211F1F"/>
          <w:spacing w:val="-14"/>
        </w:rPr>
        <w:t xml:space="preserve"> </w:t>
      </w:r>
      <w:r>
        <w:rPr>
          <w:color w:val="211F1F"/>
        </w:rPr>
        <w:t>Chairman</w:t>
      </w:r>
      <w:r>
        <w:rPr>
          <w:color w:val="211F1F"/>
          <w:spacing w:val="-14"/>
        </w:rPr>
        <w:t xml:space="preserve"> </w:t>
      </w:r>
      <w:r>
        <w:rPr>
          <w:color w:val="211F1F"/>
        </w:rPr>
        <w:t>or</w:t>
      </w:r>
      <w:r>
        <w:rPr>
          <w:color w:val="211F1F"/>
          <w:spacing w:val="-14"/>
        </w:rPr>
        <w:t xml:space="preserve"> </w:t>
      </w:r>
      <w:r>
        <w:rPr>
          <w:color w:val="211F1F"/>
        </w:rPr>
        <w:t>Vice</w:t>
      </w:r>
      <w:r>
        <w:rPr>
          <w:color w:val="211F1F"/>
          <w:spacing w:val="-13"/>
        </w:rPr>
        <w:t xml:space="preserve"> </w:t>
      </w:r>
      <w:r>
        <w:rPr>
          <w:color w:val="211F1F"/>
        </w:rPr>
        <w:t>Chairman</w:t>
      </w:r>
      <w:r>
        <w:rPr>
          <w:color w:val="211F1F"/>
          <w:spacing w:val="-14"/>
        </w:rPr>
        <w:t xml:space="preserve"> </w:t>
      </w:r>
      <w:r>
        <w:rPr>
          <w:color w:val="211F1F"/>
        </w:rPr>
        <w:t>of</w:t>
      </w:r>
      <w:r>
        <w:rPr>
          <w:color w:val="211F1F"/>
          <w:spacing w:val="-14"/>
        </w:rPr>
        <w:t xml:space="preserve"> </w:t>
      </w:r>
      <w:r>
        <w:rPr>
          <w:color w:val="211F1F"/>
        </w:rPr>
        <w:t>any</w:t>
      </w:r>
      <w:r>
        <w:rPr>
          <w:color w:val="211F1F"/>
          <w:spacing w:val="-14"/>
        </w:rPr>
        <w:t xml:space="preserve"> </w:t>
      </w:r>
      <w:r>
        <w:rPr>
          <w:color w:val="211F1F"/>
        </w:rPr>
        <w:t>of the following professional institutions;</w:t>
      </w:r>
    </w:p>
    <w:p w14:paraId="1F0A0DA3" w14:textId="77777777" w:rsidR="00BB77C0" w:rsidRDefault="00370BAA">
      <w:pPr>
        <w:pStyle w:val="ListParagraph"/>
        <w:numPr>
          <w:ilvl w:val="0"/>
          <w:numId w:val="24"/>
        </w:numPr>
        <w:tabs>
          <w:tab w:val="left" w:pos="1935"/>
        </w:tabs>
        <w:spacing w:before="44"/>
      </w:pPr>
      <w:r>
        <w:rPr>
          <w:color w:val="211F1F"/>
          <w:spacing w:val="-4"/>
        </w:rPr>
        <w:t>Architectural</w:t>
      </w:r>
      <w:r>
        <w:rPr>
          <w:color w:val="211F1F"/>
          <w:spacing w:val="-20"/>
        </w:rPr>
        <w:t xml:space="preserve"> </w:t>
      </w:r>
      <w:r>
        <w:rPr>
          <w:color w:val="211F1F"/>
          <w:spacing w:val="-4"/>
        </w:rPr>
        <w:t>Association</w:t>
      </w:r>
      <w:r>
        <w:rPr>
          <w:color w:val="211F1F"/>
          <w:spacing w:val="6"/>
        </w:rPr>
        <w:t xml:space="preserve"> </w:t>
      </w:r>
      <w:r>
        <w:rPr>
          <w:color w:val="211F1F"/>
          <w:spacing w:val="-4"/>
        </w:rPr>
        <w:t>of</w:t>
      </w:r>
      <w:r>
        <w:rPr>
          <w:color w:val="211F1F"/>
          <w:spacing w:val="2"/>
        </w:rPr>
        <w:t xml:space="preserve"> </w:t>
      </w:r>
      <w:r>
        <w:rPr>
          <w:color w:val="211F1F"/>
          <w:spacing w:val="-4"/>
        </w:rPr>
        <w:t>Kenya</w:t>
      </w:r>
    </w:p>
    <w:p w14:paraId="5FB9F470" w14:textId="77777777" w:rsidR="00BB77C0" w:rsidRDefault="00370BAA">
      <w:pPr>
        <w:pStyle w:val="ListParagraph"/>
        <w:numPr>
          <w:ilvl w:val="0"/>
          <w:numId w:val="24"/>
        </w:numPr>
        <w:tabs>
          <w:tab w:val="left" w:pos="1935"/>
        </w:tabs>
        <w:spacing w:before="35"/>
      </w:pPr>
      <w:r>
        <w:rPr>
          <w:color w:val="211F1F"/>
          <w:spacing w:val="-4"/>
        </w:rPr>
        <w:t>Institute</w:t>
      </w:r>
      <w:r>
        <w:rPr>
          <w:color w:val="211F1F"/>
          <w:spacing w:val="-14"/>
        </w:rPr>
        <w:t xml:space="preserve"> </w:t>
      </w:r>
      <w:r>
        <w:rPr>
          <w:color w:val="211F1F"/>
          <w:spacing w:val="-4"/>
        </w:rPr>
        <w:t>of</w:t>
      </w:r>
      <w:r>
        <w:rPr>
          <w:color w:val="211F1F"/>
          <w:spacing w:val="-7"/>
        </w:rPr>
        <w:t xml:space="preserve"> </w:t>
      </w:r>
      <w:r>
        <w:rPr>
          <w:color w:val="211F1F"/>
          <w:spacing w:val="-4"/>
        </w:rPr>
        <w:t>Quantity</w:t>
      </w:r>
      <w:r>
        <w:rPr>
          <w:color w:val="211F1F"/>
          <w:spacing w:val="-11"/>
        </w:rPr>
        <w:t xml:space="preserve"> </w:t>
      </w:r>
      <w:r>
        <w:rPr>
          <w:color w:val="211F1F"/>
          <w:spacing w:val="-4"/>
        </w:rPr>
        <w:t>Surveyors</w:t>
      </w:r>
      <w:r>
        <w:rPr>
          <w:color w:val="211F1F"/>
          <w:spacing w:val="4"/>
        </w:rPr>
        <w:t xml:space="preserve"> </w:t>
      </w:r>
      <w:r>
        <w:rPr>
          <w:color w:val="211F1F"/>
          <w:spacing w:val="-4"/>
        </w:rPr>
        <w:t>of</w:t>
      </w:r>
      <w:r>
        <w:rPr>
          <w:color w:val="211F1F"/>
          <w:spacing w:val="-7"/>
        </w:rPr>
        <w:t xml:space="preserve"> </w:t>
      </w:r>
      <w:r>
        <w:rPr>
          <w:color w:val="211F1F"/>
          <w:spacing w:val="-4"/>
        </w:rPr>
        <w:t>Kenya</w:t>
      </w:r>
    </w:p>
    <w:p w14:paraId="7BE35ECD" w14:textId="77777777" w:rsidR="00BB77C0" w:rsidRDefault="00370BAA">
      <w:pPr>
        <w:pStyle w:val="ListParagraph"/>
        <w:numPr>
          <w:ilvl w:val="0"/>
          <w:numId w:val="24"/>
        </w:numPr>
        <w:tabs>
          <w:tab w:val="left" w:pos="1935"/>
        </w:tabs>
        <w:spacing w:before="45"/>
      </w:pPr>
      <w:r>
        <w:rPr>
          <w:color w:val="211F1F"/>
          <w:spacing w:val="-4"/>
        </w:rPr>
        <w:t>Association</w:t>
      </w:r>
      <w:r>
        <w:rPr>
          <w:color w:val="211F1F"/>
          <w:spacing w:val="-12"/>
        </w:rPr>
        <w:t xml:space="preserve"> </w:t>
      </w:r>
      <w:r>
        <w:rPr>
          <w:color w:val="211F1F"/>
          <w:spacing w:val="-4"/>
        </w:rPr>
        <w:t>of</w:t>
      </w:r>
      <w:r>
        <w:rPr>
          <w:color w:val="211F1F"/>
          <w:spacing w:val="-3"/>
        </w:rPr>
        <w:t xml:space="preserve"> </w:t>
      </w:r>
      <w:r>
        <w:rPr>
          <w:color w:val="211F1F"/>
          <w:spacing w:val="-4"/>
        </w:rPr>
        <w:t>Consulting</w:t>
      </w:r>
      <w:r>
        <w:rPr>
          <w:color w:val="211F1F"/>
          <w:spacing w:val="-5"/>
        </w:rPr>
        <w:t xml:space="preserve"> </w:t>
      </w:r>
      <w:r>
        <w:rPr>
          <w:color w:val="211F1F"/>
          <w:spacing w:val="-4"/>
        </w:rPr>
        <w:t>Engineers</w:t>
      </w:r>
      <w:r>
        <w:rPr>
          <w:color w:val="211F1F"/>
          <w:spacing w:val="1"/>
        </w:rPr>
        <w:t xml:space="preserve"> </w:t>
      </w:r>
      <w:r>
        <w:rPr>
          <w:color w:val="211F1F"/>
          <w:spacing w:val="-4"/>
        </w:rPr>
        <w:t>of</w:t>
      </w:r>
      <w:r>
        <w:rPr>
          <w:color w:val="211F1F"/>
          <w:spacing w:val="-2"/>
        </w:rPr>
        <w:t xml:space="preserve"> </w:t>
      </w:r>
      <w:r>
        <w:rPr>
          <w:color w:val="211F1F"/>
          <w:spacing w:val="-4"/>
        </w:rPr>
        <w:t>Kenya</w:t>
      </w:r>
    </w:p>
    <w:p w14:paraId="5CB8D0D0" w14:textId="77777777" w:rsidR="00BB77C0" w:rsidRDefault="00370BAA">
      <w:pPr>
        <w:pStyle w:val="ListParagraph"/>
        <w:numPr>
          <w:ilvl w:val="0"/>
          <w:numId w:val="24"/>
        </w:numPr>
        <w:tabs>
          <w:tab w:val="left" w:pos="1935"/>
        </w:tabs>
        <w:spacing w:before="40"/>
      </w:pPr>
      <w:r>
        <w:rPr>
          <w:color w:val="211F1F"/>
          <w:spacing w:val="-4"/>
        </w:rPr>
        <w:t>Chartered</w:t>
      </w:r>
      <w:r>
        <w:rPr>
          <w:color w:val="211F1F"/>
          <w:spacing w:val="-5"/>
        </w:rPr>
        <w:t xml:space="preserve"> </w:t>
      </w:r>
      <w:r>
        <w:rPr>
          <w:color w:val="211F1F"/>
          <w:spacing w:val="-4"/>
        </w:rPr>
        <w:t>Institute</w:t>
      </w:r>
      <w:r>
        <w:rPr>
          <w:color w:val="211F1F"/>
          <w:spacing w:val="-8"/>
        </w:rPr>
        <w:t xml:space="preserve"> </w:t>
      </w:r>
      <w:r>
        <w:rPr>
          <w:color w:val="211F1F"/>
          <w:spacing w:val="-4"/>
        </w:rPr>
        <w:t>of</w:t>
      </w:r>
      <w:r>
        <w:rPr>
          <w:color w:val="211F1F"/>
          <w:spacing w:val="-20"/>
        </w:rPr>
        <w:t xml:space="preserve"> </w:t>
      </w:r>
      <w:r>
        <w:rPr>
          <w:color w:val="211F1F"/>
          <w:spacing w:val="-4"/>
        </w:rPr>
        <w:t>Arbitrators</w:t>
      </w:r>
      <w:r>
        <w:rPr>
          <w:color w:val="211F1F"/>
          <w:spacing w:val="1"/>
        </w:rPr>
        <w:t xml:space="preserve"> </w:t>
      </w:r>
      <w:r>
        <w:rPr>
          <w:color w:val="211F1F"/>
          <w:spacing w:val="-4"/>
        </w:rPr>
        <w:t>(Kenya</w:t>
      </w:r>
      <w:r>
        <w:rPr>
          <w:color w:val="211F1F"/>
          <w:spacing w:val="5"/>
        </w:rPr>
        <w:t xml:space="preserve"> </w:t>
      </w:r>
      <w:r>
        <w:rPr>
          <w:color w:val="211F1F"/>
          <w:spacing w:val="-4"/>
        </w:rPr>
        <w:t>Branch)</w:t>
      </w:r>
    </w:p>
    <w:p w14:paraId="392F9C98" w14:textId="77777777" w:rsidR="00BB77C0" w:rsidRDefault="00370BAA">
      <w:pPr>
        <w:pStyle w:val="ListParagraph"/>
        <w:numPr>
          <w:ilvl w:val="0"/>
          <w:numId w:val="24"/>
        </w:numPr>
        <w:tabs>
          <w:tab w:val="left" w:pos="1935"/>
        </w:tabs>
        <w:spacing w:before="40"/>
      </w:pPr>
      <w:r>
        <w:rPr>
          <w:color w:val="211F1F"/>
          <w:spacing w:val="-4"/>
        </w:rPr>
        <w:t>Institution</w:t>
      </w:r>
      <w:r>
        <w:rPr>
          <w:color w:val="211F1F"/>
          <w:spacing w:val="-8"/>
        </w:rPr>
        <w:t xml:space="preserve"> </w:t>
      </w:r>
      <w:r>
        <w:rPr>
          <w:color w:val="211F1F"/>
          <w:spacing w:val="-4"/>
        </w:rPr>
        <w:t>of</w:t>
      </w:r>
      <w:r>
        <w:rPr>
          <w:color w:val="211F1F"/>
          <w:spacing w:val="-5"/>
        </w:rPr>
        <w:t xml:space="preserve"> </w:t>
      </w:r>
      <w:r>
        <w:rPr>
          <w:color w:val="211F1F"/>
          <w:spacing w:val="-4"/>
        </w:rPr>
        <w:t>Engineers</w:t>
      </w:r>
      <w:r>
        <w:rPr>
          <w:color w:val="211F1F"/>
          <w:spacing w:val="-1"/>
        </w:rPr>
        <w:t xml:space="preserve"> </w:t>
      </w:r>
      <w:r>
        <w:rPr>
          <w:color w:val="211F1F"/>
          <w:spacing w:val="-4"/>
        </w:rPr>
        <w:t>of Kenya</w:t>
      </w:r>
    </w:p>
    <w:p w14:paraId="729755AC" w14:textId="77777777" w:rsidR="00BB77C0" w:rsidRDefault="00BB77C0">
      <w:pPr>
        <w:pStyle w:val="BodyText"/>
        <w:spacing w:before="31"/>
      </w:pPr>
    </w:p>
    <w:p w14:paraId="32BE9B40" w14:textId="77777777" w:rsidR="00BB77C0" w:rsidRDefault="00370BAA">
      <w:pPr>
        <w:pStyle w:val="ListParagraph"/>
        <w:numPr>
          <w:ilvl w:val="2"/>
          <w:numId w:val="23"/>
        </w:numPr>
        <w:tabs>
          <w:tab w:val="left" w:pos="1247"/>
        </w:tabs>
        <w:ind w:left="1247" w:hanging="613"/>
        <w:rPr>
          <w:color w:val="211F1F"/>
        </w:rPr>
      </w:pPr>
      <w:r>
        <w:rPr>
          <w:color w:val="211F1F"/>
          <w:spacing w:val="-4"/>
        </w:rPr>
        <w:t>The</w:t>
      </w:r>
      <w:r>
        <w:rPr>
          <w:color w:val="211F1F"/>
          <w:spacing w:val="-14"/>
        </w:rPr>
        <w:t xml:space="preserve"> </w:t>
      </w:r>
      <w:r>
        <w:rPr>
          <w:color w:val="211F1F"/>
          <w:spacing w:val="-4"/>
        </w:rPr>
        <w:t>institution</w:t>
      </w:r>
      <w:r>
        <w:rPr>
          <w:color w:val="211F1F"/>
          <w:spacing w:val="-11"/>
        </w:rPr>
        <w:t xml:space="preserve"> </w:t>
      </w:r>
      <w:r>
        <w:rPr>
          <w:color w:val="211F1F"/>
          <w:spacing w:val="-4"/>
        </w:rPr>
        <w:t>written</w:t>
      </w:r>
      <w:r>
        <w:rPr>
          <w:color w:val="211F1F"/>
          <w:spacing w:val="-11"/>
        </w:rPr>
        <w:t xml:space="preserve"> </w:t>
      </w:r>
      <w:r>
        <w:rPr>
          <w:color w:val="211F1F"/>
          <w:spacing w:val="-4"/>
        </w:rPr>
        <w:t>to</w:t>
      </w:r>
      <w:r>
        <w:rPr>
          <w:color w:val="211F1F"/>
          <w:spacing w:val="-6"/>
        </w:rPr>
        <w:t xml:space="preserve"> </w:t>
      </w:r>
      <w:r>
        <w:rPr>
          <w:color w:val="211F1F"/>
          <w:spacing w:val="-4"/>
        </w:rPr>
        <w:t>first</w:t>
      </w:r>
      <w:r>
        <w:rPr>
          <w:color w:val="211F1F"/>
          <w:spacing w:val="-5"/>
        </w:rPr>
        <w:t xml:space="preserve"> </w:t>
      </w:r>
      <w:r>
        <w:rPr>
          <w:color w:val="211F1F"/>
          <w:spacing w:val="-4"/>
        </w:rPr>
        <w:t>by</w:t>
      </w:r>
      <w:r>
        <w:rPr>
          <w:color w:val="211F1F"/>
          <w:spacing w:val="-11"/>
        </w:rPr>
        <w:t xml:space="preserve"> </w:t>
      </w:r>
      <w:r>
        <w:rPr>
          <w:color w:val="211F1F"/>
          <w:spacing w:val="-4"/>
        </w:rPr>
        <w:t>the</w:t>
      </w:r>
      <w:r>
        <w:rPr>
          <w:color w:val="211F1F"/>
          <w:spacing w:val="-9"/>
        </w:rPr>
        <w:t xml:space="preserve"> </w:t>
      </w:r>
      <w:r>
        <w:rPr>
          <w:color w:val="211F1F"/>
          <w:spacing w:val="-4"/>
        </w:rPr>
        <w:t>aggrieved</w:t>
      </w:r>
      <w:r>
        <w:rPr>
          <w:color w:val="211F1F"/>
          <w:spacing w:val="-11"/>
        </w:rPr>
        <w:t xml:space="preserve"> </w:t>
      </w:r>
      <w:r>
        <w:rPr>
          <w:color w:val="211F1F"/>
          <w:spacing w:val="-4"/>
        </w:rPr>
        <w:t>party</w:t>
      </w:r>
      <w:r>
        <w:rPr>
          <w:color w:val="211F1F"/>
          <w:spacing w:val="-12"/>
        </w:rPr>
        <w:t xml:space="preserve"> </w:t>
      </w:r>
      <w:r>
        <w:rPr>
          <w:color w:val="211F1F"/>
          <w:spacing w:val="-4"/>
        </w:rPr>
        <w:t>shall</w:t>
      </w:r>
      <w:r>
        <w:rPr>
          <w:color w:val="211F1F"/>
          <w:spacing w:val="-18"/>
        </w:rPr>
        <w:t xml:space="preserve"> </w:t>
      </w:r>
      <w:r>
        <w:rPr>
          <w:color w:val="211F1F"/>
          <w:spacing w:val="-4"/>
        </w:rPr>
        <w:t>take</w:t>
      </w:r>
      <w:r>
        <w:rPr>
          <w:color w:val="211F1F"/>
          <w:spacing w:val="-14"/>
        </w:rPr>
        <w:t xml:space="preserve"> </w:t>
      </w:r>
      <w:r>
        <w:rPr>
          <w:color w:val="211F1F"/>
          <w:spacing w:val="-4"/>
        </w:rPr>
        <w:t>precedence</w:t>
      </w:r>
      <w:r>
        <w:rPr>
          <w:color w:val="211F1F"/>
          <w:spacing w:val="-7"/>
        </w:rPr>
        <w:t xml:space="preserve"> </w:t>
      </w:r>
      <w:r>
        <w:rPr>
          <w:color w:val="211F1F"/>
          <w:spacing w:val="-4"/>
        </w:rPr>
        <w:t>over</w:t>
      </w:r>
      <w:r>
        <w:rPr>
          <w:color w:val="211F1F"/>
          <w:spacing w:val="-2"/>
        </w:rPr>
        <w:t xml:space="preserve"> </w:t>
      </w:r>
      <w:r>
        <w:rPr>
          <w:color w:val="211F1F"/>
          <w:spacing w:val="-4"/>
        </w:rPr>
        <w:t>all</w:t>
      </w:r>
      <w:r>
        <w:rPr>
          <w:color w:val="211F1F"/>
          <w:spacing w:val="-5"/>
        </w:rPr>
        <w:t xml:space="preserve"> </w:t>
      </w:r>
      <w:r>
        <w:rPr>
          <w:color w:val="211F1F"/>
          <w:spacing w:val="-4"/>
        </w:rPr>
        <w:t>other</w:t>
      </w:r>
      <w:r>
        <w:rPr>
          <w:color w:val="211F1F"/>
        </w:rPr>
        <w:t xml:space="preserve"> </w:t>
      </w:r>
      <w:r>
        <w:rPr>
          <w:color w:val="211F1F"/>
          <w:spacing w:val="-4"/>
        </w:rPr>
        <w:t>institutions.</w:t>
      </w:r>
    </w:p>
    <w:p w14:paraId="5556B227" w14:textId="77777777" w:rsidR="00BB77C0" w:rsidRDefault="00BB77C0">
      <w:pPr>
        <w:pStyle w:val="BodyText"/>
        <w:spacing w:before="200"/>
      </w:pPr>
    </w:p>
    <w:p w14:paraId="79FD5C14" w14:textId="77777777" w:rsidR="00BB77C0" w:rsidRDefault="00370BAA">
      <w:pPr>
        <w:pStyle w:val="Heading7"/>
        <w:numPr>
          <w:ilvl w:val="1"/>
          <w:numId w:val="23"/>
        </w:numPr>
        <w:tabs>
          <w:tab w:val="left" w:pos="1168"/>
        </w:tabs>
        <w:ind w:left="1168" w:hanging="357"/>
        <w:jc w:val="both"/>
        <w:rPr>
          <w:color w:val="211F1F"/>
        </w:rPr>
      </w:pPr>
      <w:bookmarkStart w:id="209" w:name="24.6_Alternative_Arbitration_Proceedings"/>
      <w:bookmarkEnd w:id="209"/>
      <w:r>
        <w:rPr>
          <w:color w:val="211F1F"/>
          <w:spacing w:val="-4"/>
        </w:rPr>
        <w:t>Alternative</w:t>
      </w:r>
      <w:r>
        <w:rPr>
          <w:color w:val="211F1F"/>
          <w:spacing w:val="-11"/>
        </w:rPr>
        <w:t xml:space="preserve"> </w:t>
      </w:r>
      <w:r>
        <w:rPr>
          <w:color w:val="211F1F"/>
          <w:spacing w:val="-4"/>
        </w:rPr>
        <w:t>Arbitration</w:t>
      </w:r>
      <w:r>
        <w:rPr>
          <w:color w:val="211F1F"/>
          <w:spacing w:val="9"/>
        </w:rPr>
        <w:t xml:space="preserve"> </w:t>
      </w:r>
      <w:r>
        <w:rPr>
          <w:color w:val="211F1F"/>
          <w:spacing w:val="-4"/>
        </w:rPr>
        <w:t>Proceedings</w:t>
      </w:r>
    </w:p>
    <w:p w14:paraId="07C26A46" w14:textId="77777777" w:rsidR="00BB77C0" w:rsidRDefault="00370BAA">
      <w:pPr>
        <w:pStyle w:val="ListParagraph"/>
        <w:numPr>
          <w:ilvl w:val="2"/>
          <w:numId w:val="23"/>
        </w:numPr>
        <w:tabs>
          <w:tab w:val="left" w:pos="1080"/>
          <w:tab w:val="left" w:pos="1242"/>
        </w:tabs>
        <w:spacing w:before="111" w:line="230" w:lineRule="auto"/>
        <w:ind w:left="1080" w:right="713" w:hanging="543"/>
        <w:jc w:val="both"/>
        <w:rPr>
          <w:color w:val="211F1F"/>
        </w:rPr>
      </w:pPr>
      <w:r>
        <w:rPr>
          <w:color w:val="211F1F"/>
        </w:rPr>
        <w:t>Alternatively, the Parties may refer the matter to the Nairobi Centre for International Arbitration (NCIA) which offers a neutral venue for the conduct of national and international arbitration with commitment to providing institutional support to the arbitral process.</w:t>
      </w:r>
    </w:p>
    <w:p w14:paraId="4873AE69" w14:textId="77777777" w:rsidR="00BB77C0" w:rsidRDefault="00370BAA">
      <w:pPr>
        <w:pStyle w:val="Heading7"/>
        <w:numPr>
          <w:ilvl w:val="1"/>
          <w:numId w:val="23"/>
        </w:numPr>
        <w:tabs>
          <w:tab w:val="left" w:pos="1168"/>
        </w:tabs>
        <w:spacing w:before="194"/>
        <w:ind w:left="1168" w:hanging="357"/>
        <w:rPr>
          <w:color w:val="211F1F"/>
        </w:rPr>
      </w:pPr>
      <w:bookmarkStart w:id="210" w:name="24.7_Failure_to_Comply_withArbitrator's_"/>
      <w:bookmarkEnd w:id="210"/>
      <w:r>
        <w:rPr>
          <w:color w:val="211F1F"/>
          <w:spacing w:val="-4"/>
        </w:rPr>
        <w:t>Failure</w:t>
      </w:r>
      <w:r>
        <w:rPr>
          <w:color w:val="211F1F"/>
        </w:rPr>
        <w:t xml:space="preserve"> </w:t>
      </w:r>
      <w:r>
        <w:rPr>
          <w:color w:val="211F1F"/>
          <w:spacing w:val="-4"/>
        </w:rPr>
        <w:t>to</w:t>
      </w:r>
      <w:r>
        <w:rPr>
          <w:color w:val="211F1F"/>
          <w:spacing w:val="4"/>
        </w:rPr>
        <w:t xml:space="preserve"> </w:t>
      </w:r>
      <w:r>
        <w:rPr>
          <w:color w:val="211F1F"/>
          <w:spacing w:val="-4"/>
        </w:rPr>
        <w:t>Comply</w:t>
      </w:r>
      <w:r>
        <w:rPr>
          <w:color w:val="211F1F"/>
          <w:spacing w:val="3"/>
        </w:rPr>
        <w:t xml:space="preserve"> </w:t>
      </w:r>
      <w:r>
        <w:rPr>
          <w:color w:val="211F1F"/>
          <w:spacing w:val="-4"/>
        </w:rPr>
        <w:t>withArbitrator's</w:t>
      </w:r>
      <w:r>
        <w:rPr>
          <w:color w:val="211F1F"/>
          <w:spacing w:val="-1"/>
        </w:rPr>
        <w:t xml:space="preserve"> </w:t>
      </w:r>
      <w:r>
        <w:rPr>
          <w:color w:val="211F1F"/>
          <w:spacing w:val="-4"/>
        </w:rPr>
        <w:t>Decision</w:t>
      </w:r>
    </w:p>
    <w:p w14:paraId="18F6C7B7" w14:textId="77777777" w:rsidR="00BB77C0" w:rsidRDefault="00370BAA">
      <w:pPr>
        <w:pStyle w:val="ListParagraph"/>
        <w:numPr>
          <w:ilvl w:val="2"/>
          <w:numId w:val="23"/>
        </w:numPr>
        <w:tabs>
          <w:tab w:val="left" w:pos="1243"/>
        </w:tabs>
        <w:spacing w:before="107"/>
        <w:ind w:left="1243" w:hanging="705"/>
        <w:rPr>
          <w:color w:val="211F1F"/>
        </w:rPr>
      </w:pPr>
      <w:r>
        <w:rPr>
          <w:color w:val="211F1F"/>
        </w:rPr>
        <w:t>The</w:t>
      </w:r>
      <w:r>
        <w:rPr>
          <w:color w:val="211F1F"/>
          <w:spacing w:val="-13"/>
        </w:rPr>
        <w:t xml:space="preserve"> </w:t>
      </w:r>
      <w:r>
        <w:rPr>
          <w:color w:val="211F1F"/>
        </w:rPr>
        <w:t>award</w:t>
      </w:r>
      <w:r>
        <w:rPr>
          <w:color w:val="211F1F"/>
          <w:spacing w:val="-5"/>
        </w:rPr>
        <w:t xml:space="preserve"> </w:t>
      </w:r>
      <w:r>
        <w:rPr>
          <w:color w:val="211F1F"/>
        </w:rPr>
        <w:t>of</w:t>
      </w:r>
      <w:r>
        <w:rPr>
          <w:color w:val="211F1F"/>
          <w:spacing w:val="-6"/>
        </w:rPr>
        <w:t xml:space="preserve"> </w:t>
      </w:r>
      <w:r>
        <w:rPr>
          <w:color w:val="211F1F"/>
        </w:rPr>
        <w:t>such</w:t>
      </w:r>
      <w:r>
        <w:rPr>
          <w:color w:val="211F1F"/>
          <w:spacing w:val="-4"/>
        </w:rPr>
        <w:t xml:space="preserve"> </w:t>
      </w:r>
      <w:r>
        <w:rPr>
          <w:color w:val="211F1F"/>
        </w:rPr>
        <w:t>Arbitrator shall</w:t>
      </w:r>
      <w:r>
        <w:rPr>
          <w:color w:val="211F1F"/>
          <w:spacing w:val="-5"/>
        </w:rPr>
        <w:t xml:space="preserve"> </w:t>
      </w:r>
      <w:r>
        <w:rPr>
          <w:color w:val="211F1F"/>
        </w:rPr>
        <w:t>be</w:t>
      </w:r>
      <w:r>
        <w:rPr>
          <w:color w:val="211F1F"/>
          <w:spacing w:val="-10"/>
        </w:rPr>
        <w:t xml:space="preserve"> </w:t>
      </w:r>
      <w:r>
        <w:rPr>
          <w:color w:val="211F1F"/>
        </w:rPr>
        <w:t>final</w:t>
      </w:r>
      <w:r>
        <w:rPr>
          <w:color w:val="211F1F"/>
          <w:spacing w:val="-9"/>
        </w:rPr>
        <w:t xml:space="preserve"> </w:t>
      </w:r>
      <w:r>
        <w:rPr>
          <w:color w:val="211F1F"/>
        </w:rPr>
        <w:t>and</w:t>
      </w:r>
      <w:r>
        <w:rPr>
          <w:color w:val="211F1F"/>
          <w:spacing w:val="-9"/>
        </w:rPr>
        <w:t xml:space="preserve"> </w:t>
      </w:r>
      <w:r>
        <w:rPr>
          <w:color w:val="211F1F"/>
        </w:rPr>
        <w:t>binding</w:t>
      </w:r>
      <w:r>
        <w:rPr>
          <w:color w:val="211F1F"/>
          <w:spacing w:val="-9"/>
        </w:rPr>
        <w:t xml:space="preserve"> </w:t>
      </w:r>
      <w:r>
        <w:rPr>
          <w:color w:val="211F1F"/>
        </w:rPr>
        <w:t>upon</w:t>
      </w:r>
      <w:r>
        <w:rPr>
          <w:color w:val="211F1F"/>
          <w:spacing w:val="-9"/>
        </w:rPr>
        <w:t xml:space="preserve"> </w:t>
      </w:r>
      <w:r>
        <w:rPr>
          <w:color w:val="211F1F"/>
        </w:rPr>
        <w:t>the</w:t>
      </w:r>
      <w:r>
        <w:rPr>
          <w:color w:val="211F1F"/>
          <w:spacing w:val="-10"/>
        </w:rPr>
        <w:t xml:space="preserve"> </w:t>
      </w:r>
      <w:r>
        <w:rPr>
          <w:color w:val="211F1F"/>
          <w:spacing w:val="-2"/>
        </w:rPr>
        <w:t>parties.</w:t>
      </w:r>
    </w:p>
    <w:p w14:paraId="4E587B97" w14:textId="77777777" w:rsidR="00BB77C0" w:rsidRDefault="00370BAA">
      <w:pPr>
        <w:pStyle w:val="ListParagraph"/>
        <w:numPr>
          <w:ilvl w:val="2"/>
          <w:numId w:val="23"/>
        </w:numPr>
        <w:tabs>
          <w:tab w:val="left" w:pos="1080"/>
          <w:tab w:val="left" w:pos="1242"/>
        </w:tabs>
        <w:spacing w:before="239" w:line="232" w:lineRule="auto"/>
        <w:ind w:left="1080" w:right="785" w:hanging="543"/>
        <w:jc w:val="both"/>
      </w:pPr>
      <w:r>
        <w:rPr>
          <w:color w:val="211F1F"/>
        </w:rPr>
        <w:t>In the event that a Party fails to comply with a final and binding Arbitrator's decision, then the other Party may,</w:t>
      </w:r>
      <w:r>
        <w:rPr>
          <w:color w:val="211F1F"/>
          <w:spacing w:val="-13"/>
        </w:rPr>
        <w:t xml:space="preserve"> </w:t>
      </w:r>
      <w:r>
        <w:rPr>
          <w:color w:val="211F1F"/>
        </w:rPr>
        <w:t>without</w:t>
      </w:r>
      <w:r>
        <w:rPr>
          <w:color w:val="211F1F"/>
          <w:spacing w:val="-16"/>
        </w:rPr>
        <w:t xml:space="preserve"> </w:t>
      </w:r>
      <w:r>
        <w:rPr>
          <w:color w:val="211F1F"/>
        </w:rPr>
        <w:t>prejudice</w:t>
      </w:r>
      <w:r>
        <w:rPr>
          <w:color w:val="211F1F"/>
          <w:spacing w:val="-23"/>
        </w:rPr>
        <w:t xml:space="preserve"> </w:t>
      </w:r>
      <w:r>
        <w:rPr>
          <w:color w:val="211F1F"/>
        </w:rPr>
        <w:t>to</w:t>
      </w:r>
      <w:r>
        <w:rPr>
          <w:color w:val="211F1F"/>
          <w:spacing w:val="-22"/>
        </w:rPr>
        <w:t xml:space="preserve"> </w:t>
      </w:r>
      <w:r>
        <w:rPr>
          <w:color w:val="211F1F"/>
        </w:rPr>
        <w:t>any</w:t>
      </w:r>
      <w:r>
        <w:rPr>
          <w:color w:val="211F1F"/>
          <w:spacing w:val="-22"/>
        </w:rPr>
        <w:t xml:space="preserve"> </w:t>
      </w:r>
      <w:r>
        <w:rPr>
          <w:color w:val="211F1F"/>
        </w:rPr>
        <w:t>other</w:t>
      </w:r>
      <w:r>
        <w:rPr>
          <w:color w:val="211F1F"/>
          <w:spacing w:val="-18"/>
        </w:rPr>
        <w:t xml:space="preserve"> </w:t>
      </w:r>
      <w:r>
        <w:rPr>
          <w:color w:val="211F1F"/>
        </w:rPr>
        <w:t>rights</w:t>
      </w:r>
      <w:r>
        <w:rPr>
          <w:color w:val="211F1F"/>
          <w:spacing w:val="-16"/>
        </w:rPr>
        <w:t xml:space="preserve"> </w:t>
      </w:r>
      <w:r>
        <w:rPr>
          <w:color w:val="211F1F"/>
        </w:rPr>
        <w:t>it</w:t>
      </w:r>
      <w:r>
        <w:rPr>
          <w:color w:val="211F1F"/>
          <w:spacing w:val="-16"/>
        </w:rPr>
        <w:t xml:space="preserve"> </w:t>
      </w:r>
      <w:r>
        <w:rPr>
          <w:color w:val="211F1F"/>
        </w:rPr>
        <w:t>may</w:t>
      </w:r>
      <w:r>
        <w:rPr>
          <w:color w:val="211F1F"/>
          <w:spacing w:val="-21"/>
        </w:rPr>
        <w:t xml:space="preserve"> </w:t>
      </w:r>
      <w:r>
        <w:rPr>
          <w:color w:val="211F1F"/>
        </w:rPr>
        <w:t>have,</w:t>
      </w:r>
      <w:r>
        <w:rPr>
          <w:color w:val="211F1F"/>
          <w:spacing w:val="-15"/>
        </w:rPr>
        <w:t xml:space="preserve"> </w:t>
      </w:r>
      <w:r>
        <w:rPr>
          <w:color w:val="211F1F"/>
        </w:rPr>
        <w:t>refer</w:t>
      </w:r>
      <w:r>
        <w:rPr>
          <w:color w:val="211F1F"/>
          <w:spacing w:val="-14"/>
        </w:rPr>
        <w:t xml:space="preserve"> </w:t>
      </w:r>
      <w:r>
        <w:rPr>
          <w:color w:val="211F1F"/>
        </w:rPr>
        <w:t>the</w:t>
      </w:r>
      <w:r>
        <w:rPr>
          <w:color w:val="211F1F"/>
          <w:spacing w:val="-18"/>
        </w:rPr>
        <w:t xml:space="preserve"> </w:t>
      </w:r>
      <w:r>
        <w:rPr>
          <w:color w:val="211F1F"/>
        </w:rPr>
        <w:t>matter</w:t>
      </w:r>
      <w:r>
        <w:rPr>
          <w:color w:val="211F1F"/>
          <w:spacing w:val="-18"/>
        </w:rPr>
        <w:t xml:space="preserve"> </w:t>
      </w:r>
      <w:r>
        <w:rPr>
          <w:color w:val="211F1F"/>
        </w:rPr>
        <w:t>to</w:t>
      </w:r>
      <w:r>
        <w:rPr>
          <w:color w:val="211F1F"/>
          <w:spacing w:val="-27"/>
        </w:rPr>
        <w:t xml:space="preserve"> </w:t>
      </w:r>
      <w:r>
        <w:rPr>
          <w:color w:val="211F1F"/>
        </w:rPr>
        <w:t>a</w:t>
      </w:r>
      <w:r>
        <w:rPr>
          <w:color w:val="211F1F"/>
          <w:spacing w:val="-14"/>
        </w:rPr>
        <w:t xml:space="preserve"> </w:t>
      </w:r>
      <w:r>
        <w:rPr>
          <w:color w:val="211F1F"/>
        </w:rPr>
        <w:t>competent</w:t>
      </w:r>
      <w:r>
        <w:rPr>
          <w:color w:val="211F1F"/>
          <w:spacing w:val="-14"/>
        </w:rPr>
        <w:t xml:space="preserve"> </w:t>
      </w:r>
      <w:r>
        <w:rPr>
          <w:color w:val="211F1F"/>
        </w:rPr>
        <w:t>court</w:t>
      </w:r>
      <w:r>
        <w:rPr>
          <w:color w:val="211F1F"/>
          <w:spacing w:val="-16"/>
        </w:rPr>
        <w:t xml:space="preserve"> </w:t>
      </w:r>
      <w:r>
        <w:rPr>
          <w:color w:val="211F1F"/>
        </w:rPr>
        <w:t>of</w:t>
      </w:r>
      <w:r>
        <w:rPr>
          <w:color w:val="211F1F"/>
          <w:spacing w:val="-14"/>
        </w:rPr>
        <w:t xml:space="preserve"> </w:t>
      </w:r>
      <w:r>
        <w:rPr>
          <w:color w:val="211F1F"/>
        </w:rPr>
        <w:t>law.</w:t>
      </w:r>
    </w:p>
    <w:p w14:paraId="338A2DF7" w14:textId="77777777" w:rsidR="00BB77C0" w:rsidRDefault="00370BAA">
      <w:pPr>
        <w:pStyle w:val="Heading7"/>
        <w:numPr>
          <w:ilvl w:val="1"/>
          <w:numId w:val="23"/>
        </w:numPr>
        <w:tabs>
          <w:tab w:val="left" w:pos="1168"/>
        </w:tabs>
        <w:spacing w:before="189"/>
        <w:ind w:left="1168" w:hanging="357"/>
        <w:rPr>
          <w:color w:val="211F1F"/>
        </w:rPr>
      </w:pPr>
      <w:bookmarkStart w:id="211" w:name="24.8_Contract_operations_to_continue"/>
      <w:bookmarkEnd w:id="211"/>
      <w:r>
        <w:rPr>
          <w:color w:val="211F1F"/>
          <w:spacing w:val="-4"/>
        </w:rPr>
        <w:t>Contract</w:t>
      </w:r>
      <w:r>
        <w:rPr>
          <w:color w:val="211F1F"/>
          <w:spacing w:val="-3"/>
        </w:rPr>
        <w:t xml:space="preserve"> </w:t>
      </w:r>
      <w:r>
        <w:rPr>
          <w:color w:val="211F1F"/>
          <w:spacing w:val="-4"/>
        </w:rPr>
        <w:t>operations</w:t>
      </w:r>
      <w:r>
        <w:rPr>
          <w:color w:val="211F1F"/>
        </w:rPr>
        <w:t xml:space="preserve"> </w:t>
      </w:r>
      <w:r>
        <w:rPr>
          <w:color w:val="211F1F"/>
          <w:spacing w:val="-4"/>
        </w:rPr>
        <w:t>to</w:t>
      </w:r>
      <w:r>
        <w:rPr>
          <w:color w:val="211F1F"/>
          <w:spacing w:val="-7"/>
        </w:rPr>
        <w:t xml:space="preserve"> </w:t>
      </w:r>
      <w:r>
        <w:rPr>
          <w:color w:val="211F1F"/>
          <w:spacing w:val="-4"/>
        </w:rPr>
        <w:t>continue</w:t>
      </w:r>
    </w:p>
    <w:p w14:paraId="57123BF7" w14:textId="77777777" w:rsidR="00BB77C0" w:rsidRDefault="00370BAA">
      <w:pPr>
        <w:pStyle w:val="ListParagraph"/>
        <w:numPr>
          <w:ilvl w:val="2"/>
          <w:numId w:val="23"/>
        </w:numPr>
        <w:tabs>
          <w:tab w:val="left" w:pos="1531"/>
        </w:tabs>
        <w:spacing w:before="107" w:line="249" w:lineRule="exact"/>
        <w:ind w:left="1531" w:hanging="633"/>
        <w:rPr>
          <w:color w:val="211F1F"/>
        </w:rPr>
      </w:pPr>
      <w:r>
        <w:rPr>
          <w:color w:val="211F1F"/>
        </w:rPr>
        <w:t>Notwithstanding</w:t>
      </w:r>
      <w:r>
        <w:rPr>
          <w:color w:val="211F1F"/>
          <w:spacing w:val="-11"/>
        </w:rPr>
        <w:t xml:space="preserve"> </w:t>
      </w:r>
      <w:r>
        <w:rPr>
          <w:color w:val="211F1F"/>
        </w:rPr>
        <w:t>any</w:t>
      </w:r>
      <w:r>
        <w:rPr>
          <w:color w:val="211F1F"/>
          <w:spacing w:val="-11"/>
        </w:rPr>
        <w:t xml:space="preserve"> </w:t>
      </w:r>
      <w:r>
        <w:rPr>
          <w:color w:val="211F1F"/>
        </w:rPr>
        <w:t>reference</w:t>
      </w:r>
      <w:r>
        <w:rPr>
          <w:color w:val="211F1F"/>
          <w:spacing w:val="-11"/>
        </w:rPr>
        <w:t xml:space="preserve"> </w:t>
      </w:r>
      <w:r>
        <w:rPr>
          <w:color w:val="211F1F"/>
        </w:rPr>
        <w:t>to</w:t>
      </w:r>
      <w:r>
        <w:rPr>
          <w:color w:val="211F1F"/>
          <w:spacing w:val="-11"/>
        </w:rPr>
        <w:t xml:space="preserve"> </w:t>
      </w:r>
      <w:r>
        <w:rPr>
          <w:color w:val="211F1F"/>
        </w:rPr>
        <w:t>arbitration</w:t>
      </w:r>
      <w:r>
        <w:rPr>
          <w:color w:val="211F1F"/>
          <w:spacing w:val="-10"/>
        </w:rPr>
        <w:t xml:space="preserve"> </w:t>
      </w:r>
      <w:r>
        <w:rPr>
          <w:color w:val="211F1F"/>
          <w:spacing w:val="-2"/>
        </w:rPr>
        <w:t>herein,</w:t>
      </w:r>
    </w:p>
    <w:p w14:paraId="71934766" w14:textId="77777777" w:rsidR="00BB77C0" w:rsidRDefault="00370BAA">
      <w:pPr>
        <w:pStyle w:val="ListParagraph"/>
        <w:numPr>
          <w:ilvl w:val="3"/>
          <w:numId w:val="23"/>
        </w:numPr>
        <w:tabs>
          <w:tab w:val="left" w:pos="1685"/>
        </w:tabs>
        <w:spacing w:before="6" w:line="228" w:lineRule="auto"/>
        <w:ind w:left="1685" w:right="875" w:hanging="404"/>
      </w:pPr>
      <w:r>
        <w:rPr>
          <w:color w:val="211F1F"/>
        </w:rPr>
        <w:t>the</w:t>
      </w:r>
      <w:r>
        <w:rPr>
          <w:color w:val="211F1F"/>
          <w:spacing w:val="-24"/>
        </w:rPr>
        <w:t xml:space="preserve"> </w:t>
      </w:r>
      <w:r>
        <w:rPr>
          <w:color w:val="211F1F"/>
        </w:rPr>
        <w:t>parties</w:t>
      </w:r>
      <w:r>
        <w:rPr>
          <w:color w:val="211F1F"/>
          <w:spacing w:val="-16"/>
        </w:rPr>
        <w:t xml:space="preserve"> </w:t>
      </w:r>
      <w:r>
        <w:rPr>
          <w:color w:val="211F1F"/>
        </w:rPr>
        <w:t>shall</w:t>
      </w:r>
      <w:r>
        <w:rPr>
          <w:color w:val="211F1F"/>
          <w:spacing w:val="-21"/>
        </w:rPr>
        <w:t xml:space="preserve"> </w:t>
      </w:r>
      <w:r>
        <w:rPr>
          <w:color w:val="211F1F"/>
        </w:rPr>
        <w:t>continue</w:t>
      </w:r>
      <w:r>
        <w:rPr>
          <w:color w:val="211F1F"/>
          <w:spacing w:val="-23"/>
        </w:rPr>
        <w:t xml:space="preserve"> </w:t>
      </w:r>
      <w:r>
        <w:rPr>
          <w:color w:val="211F1F"/>
        </w:rPr>
        <w:t>to</w:t>
      </w:r>
      <w:r>
        <w:rPr>
          <w:color w:val="211F1F"/>
          <w:spacing w:val="-27"/>
        </w:rPr>
        <w:t xml:space="preserve"> </w:t>
      </w:r>
      <w:r>
        <w:rPr>
          <w:color w:val="211F1F"/>
        </w:rPr>
        <w:t>perform</w:t>
      </w:r>
      <w:r>
        <w:rPr>
          <w:color w:val="211F1F"/>
          <w:spacing w:val="-25"/>
        </w:rPr>
        <w:t xml:space="preserve"> </w:t>
      </w:r>
      <w:r>
        <w:rPr>
          <w:color w:val="211F1F"/>
        </w:rPr>
        <w:t>their</w:t>
      </w:r>
      <w:r>
        <w:rPr>
          <w:color w:val="211F1F"/>
          <w:spacing w:val="-14"/>
        </w:rPr>
        <w:t xml:space="preserve"> </w:t>
      </w:r>
      <w:r>
        <w:rPr>
          <w:color w:val="211F1F"/>
        </w:rPr>
        <w:t>respective</w:t>
      </w:r>
      <w:r>
        <w:rPr>
          <w:color w:val="211F1F"/>
          <w:spacing w:val="-23"/>
        </w:rPr>
        <w:t xml:space="preserve"> </w:t>
      </w:r>
      <w:r>
        <w:rPr>
          <w:color w:val="211F1F"/>
        </w:rPr>
        <w:t>obligations</w:t>
      </w:r>
      <w:r>
        <w:rPr>
          <w:color w:val="211F1F"/>
          <w:spacing w:val="-15"/>
        </w:rPr>
        <w:t xml:space="preserve"> </w:t>
      </w:r>
      <w:r>
        <w:rPr>
          <w:color w:val="211F1F"/>
        </w:rPr>
        <w:t>under</w:t>
      </w:r>
      <w:r>
        <w:rPr>
          <w:color w:val="211F1F"/>
          <w:spacing w:val="-14"/>
        </w:rPr>
        <w:t xml:space="preserve"> </w:t>
      </w:r>
      <w:r>
        <w:rPr>
          <w:color w:val="211F1F"/>
        </w:rPr>
        <w:t>the</w:t>
      </w:r>
      <w:r>
        <w:rPr>
          <w:color w:val="211F1F"/>
          <w:spacing w:val="-24"/>
        </w:rPr>
        <w:t xml:space="preserve"> </w:t>
      </w:r>
      <w:r>
        <w:rPr>
          <w:color w:val="211F1F"/>
        </w:rPr>
        <w:t>Contract</w:t>
      </w:r>
      <w:r>
        <w:rPr>
          <w:color w:val="211F1F"/>
          <w:spacing w:val="-15"/>
        </w:rPr>
        <w:t xml:space="preserve"> </w:t>
      </w:r>
      <w:r>
        <w:rPr>
          <w:color w:val="211F1F"/>
        </w:rPr>
        <w:t>unless</w:t>
      </w:r>
      <w:r>
        <w:rPr>
          <w:color w:val="211F1F"/>
          <w:spacing w:val="-16"/>
        </w:rPr>
        <w:t xml:space="preserve"> </w:t>
      </w:r>
      <w:r>
        <w:rPr>
          <w:color w:val="211F1F"/>
        </w:rPr>
        <w:t>they</w:t>
      </w:r>
      <w:r>
        <w:rPr>
          <w:color w:val="211F1F"/>
          <w:spacing w:val="-21"/>
        </w:rPr>
        <w:t xml:space="preserve"> </w:t>
      </w:r>
      <w:r>
        <w:rPr>
          <w:color w:val="211F1F"/>
        </w:rPr>
        <w:t>otherwise agree;</w:t>
      </w:r>
      <w:r>
        <w:rPr>
          <w:color w:val="211F1F"/>
          <w:spacing w:val="-20"/>
        </w:rPr>
        <w:t xml:space="preserve"> </w:t>
      </w:r>
      <w:r>
        <w:rPr>
          <w:color w:val="211F1F"/>
        </w:rPr>
        <w:t>and</w:t>
      </w:r>
    </w:p>
    <w:p w14:paraId="3A26F7A3" w14:textId="77777777" w:rsidR="00BB77C0" w:rsidRDefault="00370BAA">
      <w:pPr>
        <w:pStyle w:val="ListParagraph"/>
        <w:numPr>
          <w:ilvl w:val="3"/>
          <w:numId w:val="23"/>
        </w:numPr>
        <w:tabs>
          <w:tab w:val="left" w:pos="1685"/>
        </w:tabs>
        <w:spacing w:line="252" w:lineRule="exact"/>
        <w:ind w:left="1685" w:hanging="403"/>
      </w:pPr>
      <w:r>
        <w:rPr>
          <w:color w:val="211F1F"/>
          <w:spacing w:val="-4"/>
        </w:rPr>
        <w:t>the</w:t>
      </w:r>
      <w:r>
        <w:rPr>
          <w:color w:val="211F1F"/>
          <w:spacing w:val="-17"/>
        </w:rPr>
        <w:t xml:space="preserve"> </w:t>
      </w:r>
      <w:r>
        <w:rPr>
          <w:color w:val="211F1F"/>
          <w:spacing w:val="-4"/>
        </w:rPr>
        <w:t>Procuring</w:t>
      </w:r>
      <w:r>
        <w:rPr>
          <w:color w:val="211F1F"/>
          <w:spacing w:val="-7"/>
        </w:rPr>
        <w:t xml:space="preserve"> </w:t>
      </w:r>
      <w:r>
        <w:rPr>
          <w:color w:val="211F1F"/>
          <w:spacing w:val="-4"/>
        </w:rPr>
        <w:t>Entity</w:t>
      </w:r>
      <w:r>
        <w:rPr>
          <w:color w:val="211F1F"/>
          <w:spacing w:val="-14"/>
        </w:rPr>
        <w:t xml:space="preserve"> </w:t>
      </w:r>
      <w:r>
        <w:rPr>
          <w:color w:val="211F1F"/>
          <w:spacing w:val="-4"/>
        </w:rPr>
        <w:t>shall</w:t>
      </w:r>
      <w:r>
        <w:rPr>
          <w:color w:val="211F1F"/>
          <w:spacing w:val="-11"/>
        </w:rPr>
        <w:t xml:space="preserve"> </w:t>
      </w:r>
      <w:r>
        <w:rPr>
          <w:color w:val="211F1F"/>
          <w:spacing w:val="-4"/>
        </w:rPr>
        <w:t>pay</w:t>
      </w:r>
      <w:r>
        <w:rPr>
          <w:color w:val="211F1F"/>
          <w:spacing w:val="-15"/>
        </w:rPr>
        <w:t xml:space="preserve"> </w:t>
      </w:r>
      <w:r>
        <w:rPr>
          <w:color w:val="211F1F"/>
          <w:spacing w:val="-4"/>
        </w:rPr>
        <w:t>the</w:t>
      </w:r>
      <w:r>
        <w:rPr>
          <w:color w:val="211F1F"/>
          <w:spacing w:val="-10"/>
        </w:rPr>
        <w:t xml:space="preserve"> </w:t>
      </w:r>
      <w:r>
        <w:rPr>
          <w:color w:val="211F1F"/>
          <w:spacing w:val="-4"/>
        </w:rPr>
        <w:t>Contractor</w:t>
      </w:r>
      <w:r>
        <w:rPr>
          <w:color w:val="211F1F"/>
          <w:spacing w:val="-9"/>
        </w:rPr>
        <w:t xml:space="preserve"> </w:t>
      </w:r>
      <w:r>
        <w:rPr>
          <w:color w:val="211F1F"/>
          <w:spacing w:val="-4"/>
        </w:rPr>
        <w:t>any</w:t>
      </w:r>
      <w:r>
        <w:rPr>
          <w:color w:val="211F1F"/>
          <w:spacing w:val="-14"/>
        </w:rPr>
        <w:t xml:space="preserve"> </w:t>
      </w:r>
      <w:r>
        <w:rPr>
          <w:color w:val="211F1F"/>
          <w:spacing w:val="-4"/>
        </w:rPr>
        <w:t>monies</w:t>
      </w:r>
      <w:r>
        <w:rPr>
          <w:color w:val="211F1F"/>
          <w:spacing w:val="-7"/>
        </w:rPr>
        <w:t xml:space="preserve"> </w:t>
      </w:r>
      <w:r>
        <w:rPr>
          <w:color w:val="211F1F"/>
          <w:spacing w:val="-4"/>
        </w:rPr>
        <w:t>due</w:t>
      </w:r>
      <w:r>
        <w:rPr>
          <w:color w:val="211F1F"/>
          <w:spacing w:val="-10"/>
        </w:rPr>
        <w:t xml:space="preserve"> </w:t>
      </w:r>
      <w:r>
        <w:rPr>
          <w:color w:val="211F1F"/>
          <w:spacing w:val="-4"/>
        </w:rPr>
        <w:t>the</w:t>
      </w:r>
      <w:r>
        <w:rPr>
          <w:color w:val="211F1F"/>
          <w:spacing w:val="-10"/>
        </w:rPr>
        <w:t xml:space="preserve"> </w:t>
      </w:r>
      <w:r>
        <w:rPr>
          <w:color w:val="211F1F"/>
          <w:spacing w:val="-4"/>
        </w:rPr>
        <w:t>Contractor.</w:t>
      </w:r>
    </w:p>
    <w:p w14:paraId="03F6EB21" w14:textId="77777777" w:rsidR="00BB77C0" w:rsidRDefault="00370BAA">
      <w:pPr>
        <w:pStyle w:val="Heading7"/>
        <w:numPr>
          <w:ilvl w:val="0"/>
          <w:numId w:val="23"/>
        </w:numPr>
        <w:tabs>
          <w:tab w:val="left" w:pos="1075"/>
        </w:tabs>
        <w:spacing w:before="237"/>
        <w:ind w:left="1075" w:hanging="355"/>
        <w:jc w:val="left"/>
      </w:pPr>
      <w:bookmarkStart w:id="212" w:name="25._Fraud_andCorruption"/>
      <w:bookmarkEnd w:id="212"/>
      <w:r>
        <w:rPr>
          <w:color w:val="211F1F"/>
        </w:rPr>
        <w:t>Fraud</w:t>
      </w:r>
      <w:r>
        <w:rPr>
          <w:color w:val="211F1F"/>
          <w:spacing w:val="-7"/>
        </w:rPr>
        <w:t xml:space="preserve"> </w:t>
      </w:r>
      <w:r>
        <w:rPr>
          <w:color w:val="211F1F"/>
          <w:spacing w:val="-2"/>
        </w:rPr>
        <w:t>andCorruption</w:t>
      </w:r>
    </w:p>
    <w:p w14:paraId="32A70C55" w14:textId="77777777" w:rsidR="00BB77C0" w:rsidRDefault="00370BAA">
      <w:pPr>
        <w:pStyle w:val="ListParagraph"/>
        <w:numPr>
          <w:ilvl w:val="1"/>
          <w:numId w:val="23"/>
        </w:numPr>
        <w:tabs>
          <w:tab w:val="left" w:pos="1168"/>
          <w:tab w:val="left" w:pos="1171"/>
        </w:tabs>
        <w:spacing w:before="190" w:line="232" w:lineRule="auto"/>
        <w:ind w:right="844" w:hanging="360"/>
        <w:jc w:val="both"/>
        <w:rPr>
          <w:color w:val="211F1F"/>
        </w:rPr>
      </w:pPr>
      <w:r>
        <w:rPr>
          <w:color w:val="211F1F"/>
        </w:rPr>
        <w:t>The Government requires compliance with the country's Anti-Corruption laws and its prevailing sanctions policies and procedures as set forth in the Constitution of Kenya and its Statutes.</w:t>
      </w:r>
    </w:p>
    <w:p w14:paraId="4D90ED53" w14:textId="77777777" w:rsidR="00BB77C0" w:rsidRDefault="00370BAA">
      <w:pPr>
        <w:pStyle w:val="ListParagraph"/>
        <w:numPr>
          <w:ilvl w:val="1"/>
          <w:numId w:val="23"/>
        </w:numPr>
        <w:tabs>
          <w:tab w:val="left" w:pos="1168"/>
          <w:tab w:val="left" w:pos="1171"/>
        </w:tabs>
        <w:spacing w:before="198" w:line="230" w:lineRule="auto"/>
        <w:ind w:right="841" w:hanging="360"/>
        <w:jc w:val="both"/>
        <w:rPr>
          <w:color w:val="211F1F"/>
        </w:rPr>
      </w:pPr>
      <w:r>
        <w:rPr>
          <w:color w:val="211F1F"/>
        </w:rPr>
        <w:t>The</w:t>
      </w:r>
      <w:r>
        <w:rPr>
          <w:color w:val="211F1F"/>
          <w:spacing w:val="-8"/>
        </w:rPr>
        <w:t xml:space="preserve"> </w:t>
      </w:r>
      <w:r>
        <w:rPr>
          <w:color w:val="211F1F"/>
        </w:rPr>
        <w:t>Procuring</w:t>
      </w:r>
      <w:r>
        <w:rPr>
          <w:color w:val="211F1F"/>
          <w:spacing w:val="-6"/>
        </w:rPr>
        <w:t xml:space="preserve"> </w:t>
      </w:r>
      <w:r>
        <w:rPr>
          <w:color w:val="211F1F"/>
        </w:rPr>
        <w:t>Entity</w:t>
      </w:r>
      <w:r>
        <w:rPr>
          <w:color w:val="211F1F"/>
          <w:spacing w:val="-6"/>
        </w:rPr>
        <w:t xml:space="preserve"> </w:t>
      </w:r>
      <w:r>
        <w:rPr>
          <w:color w:val="211F1F"/>
        </w:rPr>
        <w:t>requires the</w:t>
      </w:r>
      <w:r>
        <w:rPr>
          <w:color w:val="211F1F"/>
          <w:spacing w:val="-8"/>
        </w:rPr>
        <w:t xml:space="preserve"> </w:t>
      </w:r>
      <w:r>
        <w:rPr>
          <w:color w:val="211F1F"/>
        </w:rPr>
        <w:t>Contractor</w:t>
      </w:r>
      <w:r>
        <w:rPr>
          <w:color w:val="211F1F"/>
          <w:spacing w:val="-2"/>
        </w:rPr>
        <w:t xml:space="preserve"> </w:t>
      </w:r>
      <w:r>
        <w:rPr>
          <w:color w:val="211F1F"/>
        </w:rPr>
        <w:t>to</w:t>
      </w:r>
      <w:r>
        <w:rPr>
          <w:color w:val="211F1F"/>
          <w:spacing w:val="-7"/>
        </w:rPr>
        <w:t xml:space="preserve"> </w:t>
      </w:r>
      <w:r>
        <w:rPr>
          <w:color w:val="211F1F"/>
        </w:rPr>
        <w:t>disclose</w:t>
      </w:r>
      <w:r>
        <w:rPr>
          <w:color w:val="211F1F"/>
          <w:spacing w:val="-8"/>
        </w:rPr>
        <w:t xml:space="preserve"> </w:t>
      </w:r>
      <w:r>
        <w:rPr>
          <w:color w:val="211F1F"/>
        </w:rPr>
        <w:t>any</w:t>
      </w:r>
      <w:r>
        <w:rPr>
          <w:color w:val="211F1F"/>
          <w:spacing w:val="-6"/>
        </w:rPr>
        <w:t xml:space="preserve"> </w:t>
      </w:r>
      <w:r>
        <w:rPr>
          <w:color w:val="211F1F"/>
        </w:rPr>
        <w:t>commissions or fees</w:t>
      </w:r>
      <w:r>
        <w:rPr>
          <w:color w:val="211F1F"/>
          <w:spacing w:val="-1"/>
        </w:rPr>
        <w:t xml:space="preserve"> </w:t>
      </w:r>
      <w:r>
        <w:rPr>
          <w:color w:val="211F1F"/>
        </w:rPr>
        <w:t>that</w:t>
      </w:r>
      <w:r>
        <w:rPr>
          <w:color w:val="211F1F"/>
          <w:spacing w:val="-5"/>
        </w:rPr>
        <w:t xml:space="preserve"> </w:t>
      </w:r>
      <w:r>
        <w:rPr>
          <w:color w:val="211F1F"/>
        </w:rPr>
        <w:t>may</w:t>
      </w:r>
      <w:r>
        <w:rPr>
          <w:color w:val="211F1F"/>
          <w:spacing w:val="-6"/>
        </w:rPr>
        <w:t xml:space="preserve"> </w:t>
      </w:r>
      <w:r>
        <w:rPr>
          <w:color w:val="211F1F"/>
        </w:rPr>
        <w:t>have</w:t>
      </w:r>
      <w:r>
        <w:rPr>
          <w:color w:val="211F1F"/>
          <w:spacing w:val="-8"/>
        </w:rPr>
        <w:t xml:space="preserve"> </w:t>
      </w:r>
      <w:r>
        <w:rPr>
          <w:color w:val="211F1F"/>
        </w:rPr>
        <w:t>been</w:t>
      </w:r>
      <w:r>
        <w:rPr>
          <w:color w:val="211F1F"/>
          <w:spacing w:val="-6"/>
        </w:rPr>
        <w:t xml:space="preserve"> </w:t>
      </w:r>
      <w:r>
        <w:rPr>
          <w:color w:val="211F1F"/>
        </w:rPr>
        <w:t>paid</w:t>
      </w:r>
      <w:r>
        <w:rPr>
          <w:color w:val="211F1F"/>
          <w:spacing w:val="-10"/>
        </w:rPr>
        <w:t xml:space="preserve"> </w:t>
      </w:r>
      <w:r>
        <w:rPr>
          <w:color w:val="211F1F"/>
        </w:rPr>
        <w:t>or are to be paid to agents or any other party with respect to the bidding process or execution of the Contract. The</w:t>
      </w:r>
      <w:r>
        <w:rPr>
          <w:color w:val="211F1F"/>
          <w:spacing w:val="-7"/>
        </w:rPr>
        <w:t xml:space="preserve"> </w:t>
      </w:r>
      <w:r>
        <w:rPr>
          <w:color w:val="211F1F"/>
        </w:rPr>
        <w:t>information</w:t>
      </w:r>
      <w:r>
        <w:rPr>
          <w:color w:val="211F1F"/>
          <w:spacing w:val="-4"/>
        </w:rPr>
        <w:t xml:space="preserve"> </w:t>
      </w:r>
      <w:r>
        <w:rPr>
          <w:color w:val="211F1F"/>
        </w:rPr>
        <w:t>disclosed</w:t>
      </w:r>
      <w:r>
        <w:rPr>
          <w:color w:val="211F1F"/>
          <w:spacing w:val="-1"/>
        </w:rPr>
        <w:t xml:space="preserve"> </w:t>
      </w:r>
      <w:r>
        <w:rPr>
          <w:color w:val="211F1F"/>
        </w:rPr>
        <w:t>must include</w:t>
      </w:r>
      <w:r>
        <w:rPr>
          <w:color w:val="211F1F"/>
          <w:spacing w:val="-7"/>
        </w:rPr>
        <w:t xml:space="preserve"> </w:t>
      </w:r>
      <w:r>
        <w:rPr>
          <w:color w:val="211F1F"/>
        </w:rPr>
        <w:t>at</w:t>
      </w:r>
      <w:r>
        <w:rPr>
          <w:color w:val="211F1F"/>
          <w:spacing w:val="-1"/>
        </w:rPr>
        <w:t xml:space="preserve"> </w:t>
      </w:r>
      <w:r>
        <w:rPr>
          <w:color w:val="211F1F"/>
        </w:rPr>
        <w:t>least the</w:t>
      </w:r>
      <w:r>
        <w:rPr>
          <w:color w:val="211F1F"/>
          <w:spacing w:val="-4"/>
        </w:rPr>
        <w:t xml:space="preserve"> </w:t>
      </w:r>
      <w:r>
        <w:rPr>
          <w:color w:val="211F1F"/>
        </w:rPr>
        <w:t>name</w:t>
      </w:r>
      <w:r>
        <w:rPr>
          <w:color w:val="211F1F"/>
          <w:spacing w:val="-7"/>
        </w:rPr>
        <w:t xml:space="preserve"> </w:t>
      </w:r>
      <w:r>
        <w:rPr>
          <w:color w:val="211F1F"/>
        </w:rPr>
        <w:t>and</w:t>
      </w:r>
      <w:r>
        <w:rPr>
          <w:color w:val="211F1F"/>
          <w:spacing w:val="-5"/>
        </w:rPr>
        <w:t xml:space="preserve"> </w:t>
      </w:r>
      <w:r>
        <w:rPr>
          <w:color w:val="211F1F"/>
        </w:rPr>
        <w:t>address of</w:t>
      </w:r>
      <w:r>
        <w:rPr>
          <w:color w:val="211F1F"/>
          <w:spacing w:val="-3"/>
        </w:rPr>
        <w:t xml:space="preserve"> </w:t>
      </w:r>
      <w:r>
        <w:rPr>
          <w:color w:val="211F1F"/>
        </w:rPr>
        <w:t>the</w:t>
      </w:r>
      <w:r>
        <w:rPr>
          <w:color w:val="211F1F"/>
          <w:spacing w:val="-8"/>
        </w:rPr>
        <w:t xml:space="preserve"> </w:t>
      </w:r>
      <w:r>
        <w:rPr>
          <w:color w:val="211F1F"/>
        </w:rPr>
        <w:t>agent</w:t>
      </w:r>
      <w:r>
        <w:rPr>
          <w:color w:val="211F1F"/>
          <w:spacing w:val="-1"/>
        </w:rPr>
        <w:t xml:space="preserve"> </w:t>
      </w:r>
      <w:r>
        <w:rPr>
          <w:color w:val="211F1F"/>
        </w:rPr>
        <w:t>or other party,</w:t>
      </w:r>
      <w:r>
        <w:rPr>
          <w:color w:val="211F1F"/>
          <w:spacing w:val="-4"/>
        </w:rPr>
        <w:t xml:space="preserve"> </w:t>
      </w:r>
      <w:r>
        <w:rPr>
          <w:color w:val="211F1F"/>
        </w:rPr>
        <w:t>the</w:t>
      </w:r>
      <w:r>
        <w:rPr>
          <w:color w:val="211F1F"/>
          <w:spacing w:val="-7"/>
        </w:rPr>
        <w:t xml:space="preserve"> </w:t>
      </w:r>
      <w:r>
        <w:rPr>
          <w:color w:val="211F1F"/>
        </w:rPr>
        <w:t>amount and currency, and the</w:t>
      </w:r>
      <w:r>
        <w:rPr>
          <w:color w:val="211F1F"/>
          <w:spacing w:val="-1"/>
        </w:rPr>
        <w:t xml:space="preserve"> </w:t>
      </w:r>
      <w:r>
        <w:rPr>
          <w:color w:val="211F1F"/>
        </w:rPr>
        <w:t>purpose of</w:t>
      </w:r>
      <w:r>
        <w:rPr>
          <w:color w:val="211F1F"/>
          <w:spacing w:val="-1"/>
        </w:rPr>
        <w:t xml:space="preserve"> </w:t>
      </w:r>
      <w:r>
        <w:rPr>
          <w:color w:val="211F1F"/>
        </w:rPr>
        <w:t>the</w:t>
      </w:r>
      <w:r>
        <w:rPr>
          <w:color w:val="211F1F"/>
          <w:spacing w:val="-8"/>
        </w:rPr>
        <w:t xml:space="preserve"> </w:t>
      </w:r>
      <w:r>
        <w:rPr>
          <w:color w:val="211F1F"/>
        </w:rPr>
        <w:t>commission, gratuity or fee.</w:t>
      </w:r>
    </w:p>
    <w:p w14:paraId="4BED57D4" w14:textId="77777777" w:rsidR="00BB77C0" w:rsidRDefault="00BB77C0">
      <w:pPr>
        <w:pStyle w:val="BodyText"/>
        <w:spacing w:before="6"/>
      </w:pPr>
    </w:p>
    <w:p w14:paraId="6B4F2F36" w14:textId="77777777" w:rsidR="00BB77C0" w:rsidRDefault="00370BAA">
      <w:pPr>
        <w:pStyle w:val="Heading7"/>
        <w:numPr>
          <w:ilvl w:val="0"/>
          <w:numId w:val="32"/>
        </w:numPr>
        <w:tabs>
          <w:tab w:val="left" w:pos="771"/>
        </w:tabs>
        <w:ind w:left="771" w:hanging="253"/>
        <w:jc w:val="left"/>
        <w:rPr>
          <w:color w:val="211F1F"/>
        </w:rPr>
      </w:pPr>
      <w:bookmarkStart w:id="213" w:name="B._Time_Control"/>
      <w:bookmarkEnd w:id="213"/>
      <w:r>
        <w:rPr>
          <w:color w:val="211F1F"/>
        </w:rPr>
        <w:t>Time</w:t>
      </w:r>
      <w:r>
        <w:rPr>
          <w:color w:val="211F1F"/>
          <w:spacing w:val="-7"/>
        </w:rPr>
        <w:t xml:space="preserve"> </w:t>
      </w:r>
      <w:r>
        <w:rPr>
          <w:color w:val="211F1F"/>
          <w:spacing w:val="-2"/>
        </w:rPr>
        <w:t>Control</w:t>
      </w:r>
    </w:p>
    <w:p w14:paraId="57D32A98" w14:textId="77777777" w:rsidR="00BB77C0" w:rsidRDefault="00370BAA">
      <w:pPr>
        <w:pStyle w:val="ListParagraph"/>
        <w:numPr>
          <w:ilvl w:val="0"/>
          <w:numId w:val="23"/>
        </w:numPr>
        <w:tabs>
          <w:tab w:val="left" w:pos="1104"/>
        </w:tabs>
        <w:spacing w:before="237"/>
        <w:ind w:left="1104" w:hanging="360"/>
        <w:jc w:val="left"/>
        <w:rPr>
          <w:b/>
        </w:rPr>
      </w:pPr>
      <w:r>
        <w:rPr>
          <w:b/>
          <w:color w:val="211F1F"/>
          <w:spacing w:val="-2"/>
        </w:rPr>
        <w:t>Program</w:t>
      </w:r>
    </w:p>
    <w:p w14:paraId="5B15EC59" w14:textId="77777777" w:rsidR="00BB77C0" w:rsidRDefault="00370BAA">
      <w:pPr>
        <w:pStyle w:val="ListParagraph"/>
        <w:numPr>
          <w:ilvl w:val="1"/>
          <w:numId w:val="23"/>
        </w:numPr>
        <w:tabs>
          <w:tab w:val="left" w:pos="1168"/>
          <w:tab w:val="left" w:pos="1171"/>
        </w:tabs>
        <w:spacing w:before="192" w:line="230" w:lineRule="auto"/>
        <w:ind w:right="844" w:hanging="360"/>
        <w:jc w:val="both"/>
        <w:rPr>
          <w:color w:val="211F1F"/>
        </w:rPr>
      </w:pPr>
      <w:r>
        <w:rPr>
          <w:color w:val="211F1F"/>
        </w:rPr>
        <w:t>Within the</w:t>
      </w:r>
      <w:r>
        <w:rPr>
          <w:color w:val="211F1F"/>
          <w:spacing w:val="-1"/>
        </w:rPr>
        <w:t xml:space="preserve"> </w:t>
      </w:r>
      <w:r>
        <w:rPr>
          <w:color w:val="211F1F"/>
        </w:rPr>
        <w:t>time</w:t>
      </w:r>
      <w:r>
        <w:rPr>
          <w:color w:val="211F1F"/>
          <w:spacing w:val="-1"/>
        </w:rPr>
        <w:t xml:space="preserve"> </w:t>
      </w:r>
      <w:r>
        <w:rPr>
          <w:color w:val="211F1F"/>
        </w:rPr>
        <w:t>stated in the SCC, after the date</w:t>
      </w:r>
      <w:r>
        <w:rPr>
          <w:color w:val="211F1F"/>
          <w:spacing w:val="-1"/>
        </w:rPr>
        <w:t xml:space="preserve"> </w:t>
      </w:r>
      <w:r>
        <w:rPr>
          <w:color w:val="211F1F"/>
        </w:rPr>
        <w:t>of the Letter of Acceptance, the</w:t>
      </w:r>
      <w:r>
        <w:rPr>
          <w:color w:val="211F1F"/>
          <w:spacing w:val="-1"/>
        </w:rPr>
        <w:t xml:space="preserve"> </w:t>
      </w:r>
      <w:r>
        <w:rPr>
          <w:color w:val="211F1F"/>
        </w:rPr>
        <w:t>Contractor shall submit to the Project Manager for approval a Program</w:t>
      </w:r>
      <w:r>
        <w:rPr>
          <w:color w:val="211F1F"/>
          <w:spacing w:val="-2"/>
        </w:rPr>
        <w:t xml:space="preserve"> </w:t>
      </w:r>
      <w:r>
        <w:rPr>
          <w:color w:val="211F1F"/>
        </w:rPr>
        <w:t>showing the general methods, arrangements, order, and timing for all the activities in the Works. In the case of a lump sum contract, the activities in the Program shall be consistent with those in the Activity Schedule.</w:t>
      </w:r>
    </w:p>
    <w:p w14:paraId="7318F815" w14:textId="77777777" w:rsidR="00BB77C0" w:rsidRDefault="00370BAA">
      <w:pPr>
        <w:pStyle w:val="ListParagraph"/>
        <w:numPr>
          <w:ilvl w:val="1"/>
          <w:numId w:val="23"/>
        </w:numPr>
        <w:tabs>
          <w:tab w:val="left" w:pos="1168"/>
          <w:tab w:val="left" w:pos="1171"/>
        </w:tabs>
        <w:spacing w:before="196" w:line="230" w:lineRule="auto"/>
        <w:ind w:right="843" w:hanging="360"/>
        <w:jc w:val="both"/>
        <w:rPr>
          <w:color w:val="211F1F"/>
        </w:rPr>
      </w:pPr>
      <w:r>
        <w:rPr>
          <w:color w:val="211F1F"/>
        </w:rPr>
        <w:t>An update of the Program</w:t>
      </w:r>
      <w:r>
        <w:rPr>
          <w:color w:val="211F1F"/>
          <w:spacing w:val="-2"/>
        </w:rPr>
        <w:t xml:space="preserve"> </w:t>
      </w:r>
      <w:r>
        <w:rPr>
          <w:color w:val="211F1F"/>
        </w:rPr>
        <w:t>shall be a program</w:t>
      </w:r>
      <w:r>
        <w:rPr>
          <w:color w:val="211F1F"/>
          <w:spacing w:val="-2"/>
        </w:rPr>
        <w:t xml:space="preserve"> </w:t>
      </w:r>
      <w:r>
        <w:rPr>
          <w:color w:val="211F1F"/>
        </w:rPr>
        <w:t>showing the actual progress achieved on each activity and the effect of the</w:t>
      </w:r>
      <w:r>
        <w:rPr>
          <w:color w:val="211F1F"/>
          <w:spacing w:val="-1"/>
        </w:rPr>
        <w:t xml:space="preserve"> </w:t>
      </w:r>
      <w:r>
        <w:rPr>
          <w:color w:val="211F1F"/>
        </w:rPr>
        <w:t>progress achieved on the</w:t>
      </w:r>
      <w:r>
        <w:rPr>
          <w:color w:val="211F1F"/>
          <w:spacing w:val="-1"/>
        </w:rPr>
        <w:t xml:space="preserve"> </w:t>
      </w:r>
      <w:r>
        <w:rPr>
          <w:color w:val="211F1F"/>
        </w:rPr>
        <w:t>timing of the</w:t>
      </w:r>
      <w:r>
        <w:rPr>
          <w:color w:val="211F1F"/>
          <w:spacing w:val="-1"/>
        </w:rPr>
        <w:t xml:space="preserve"> </w:t>
      </w:r>
      <w:r>
        <w:rPr>
          <w:color w:val="211F1F"/>
        </w:rPr>
        <w:t>remaining work, including any changes to the</w:t>
      </w:r>
      <w:r>
        <w:rPr>
          <w:color w:val="211F1F"/>
          <w:spacing w:val="-1"/>
        </w:rPr>
        <w:t xml:space="preserve"> </w:t>
      </w:r>
      <w:r>
        <w:rPr>
          <w:color w:val="211F1F"/>
        </w:rPr>
        <w:t>sequence of the activities.</w:t>
      </w:r>
    </w:p>
    <w:p w14:paraId="1FF23118" w14:textId="77777777" w:rsidR="00BB77C0" w:rsidRDefault="00370BAA">
      <w:pPr>
        <w:pStyle w:val="ListParagraph"/>
        <w:numPr>
          <w:ilvl w:val="1"/>
          <w:numId w:val="23"/>
        </w:numPr>
        <w:tabs>
          <w:tab w:val="left" w:pos="1168"/>
          <w:tab w:val="left" w:pos="1171"/>
        </w:tabs>
        <w:spacing w:before="197" w:line="230" w:lineRule="auto"/>
        <w:ind w:right="846" w:hanging="360"/>
        <w:jc w:val="both"/>
        <w:rPr>
          <w:color w:val="211F1F"/>
        </w:rPr>
      </w:pPr>
      <w:r>
        <w:rPr>
          <w:color w:val="211F1F"/>
        </w:rPr>
        <w:t>The Contractor shall submit to the Project Manager for approval an updated Program at intervals no longer than the period stated in the</w:t>
      </w:r>
      <w:r>
        <w:rPr>
          <w:color w:val="211F1F"/>
          <w:spacing w:val="-1"/>
        </w:rPr>
        <w:t xml:space="preserve"> </w:t>
      </w:r>
      <w:r>
        <w:rPr>
          <w:color w:val="211F1F"/>
        </w:rPr>
        <w:t>SCC. If the</w:t>
      </w:r>
      <w:r>
        <w:rPr>
          <w:color w:val="211F1F"/>
          <w:spacing w:val="-1"/>
        </w:rPr>
        <w:t xml:space="preserve"> </w:t>
      </w:r>
      <w:r>
        <w:rPr>
          <w:color w:val="211F1F"/>
        </w:rPr>
        <w:t>Contractor does not submit an updated Program within this period, the</w:t>
      </w:r>
      <w:r>
        <w:rPr>
          <w:color w:val="211F1F"/>
          <w:spacing w:val="24"/>
        </w:rPr>
        <w:t xml:space="preserve"> </w:t>
      </w:r>
      <w:r>
        <w:rPr>
          <w:color w:val="211F1F"/>
        </w:rPr>
        <w:t>Project</w:t>
      </w:r>
      <w:r>
        <w:rPr>
          <w:color w:val="211F1F"/>
          <w:spacing w:val="32"/>
        </w:rPr>
        <w:t xml:space="preserve"> </w:t>
      </w:r>
      <w:r>
        <w:rPr>
          <w:color w:val="211F1F"/>
        </w:rPr>
        <w:t>Manager</w:t>
      </w:r>
      <w:r>
        <w:rPr>
          <w:color w:val="211F1F"/>
          <w:spacing w:val="39"/>
        </w:rPr>
        <w:t xml:space="preserve"> </w:t>
      </w:r>
      <w:r>
        <w:rPr>
          <w:color w:val="211F1F"/>
        </w:rPr>
        <w:t>may</w:t>
      </w:r>
      <w:r>
        <w:rPr>
          <w:color w:val="211F1F"/>
          <w:spacing w:val="25"/>
        </w:rPr>
        <w:t xml:space="preserve"> </w:t>
      </w:r>
      <w:r>
        <w:rPr>
          <w:color w:val="211F1F"/>
        </w:rPr>
        <w:t>withhold</w:t>
      </w:r>
      <w:r>
        <w:rPr>
          <w:color w:val="211F1F"/>
          <w:spacing w:val="26"/>
        </w:rPr>
        <w:t xml:space="preserve"> </w:t>
      </w:r>
      <w:r>
        <w:rPr>
          <w:color w:val="211F1F"/>
        </w:rPr>
        <w:t>the</w:t>
      </w:r>
      <w:r>
        <w:rPr>
          <w:color w:val="211F1F"/>
          <w:spacing w:val="23"/>
        </w:rPr>
        <w:t xml:space="preserve"> </w:t>
      </w:r>
      <w:r>
        <w:rPr>
          <w:color w:val="211F1F"/>
        </w:rPr>
        <w:t>amount</w:t>
      </w:r>
      <w:r>
        <w:rPr>
          <w:color w:val="211F1F"/>
          <w:spacing w:val="32"/>
        </w:rPr>
        <w:t xml:space="preserve"> </w:t>
      </w:r>
      <w:r>
        <w:rPr>
          <w:color w:val="211F1F"/>
        </w:rPr>
        <w:t>stated</w:t>
      </w:r>
      <w:r>
        <w:rPr>
          <w:color w:val="211F1F"/>
          <w:spacing w:val="30"/>
        </w:rPr>
        <w:t xml:space="preserve"> </w:t>
      </w:r>
      <w:r>
        <w:rPr>
          <w:color w:val="211F1F"/>
        </w:rPr>
        <w:t>in</w:t>
      </w:r>
      <w:r>
        <w:rPr>
          <w:color w:val="211F1F"/>
          <w:spacing w:val="26"/>
        </w:rPr>
        <w:t xml:space="preserve"> </w:t>
      </w:r>
      <w:r>
        <w:rPr>
          <w:color w:val="211F1F"/>
        </w:rPr>
        <w:t>the</w:t>
      </w:r>
      <w:r>
        <w:rPr>
          <w:color w:val="211F1F"/>
          <w:spacing w:val="23"/>
        </w:rPr>
        <w:t xml:space="preserve"> </w:t>
      </w:r>
      <w:r>
        <w:rPr>
          <w:color w:val="211F1F"/>
        </w:rPr>
        <w:t>SCC</w:t>
      </w:r>
      <w:r>
        <w:rPr>
          <w:color w:val="211F1F"/>
          <w:spacing w:val="32"/>
        </w:rPr>
        <w:t xml:space="preserve"> </w:t>
      </w:r>
      <w:r>
        <w:rPr>
          <w:color w:val="211F1F"/>
        </w:rPr>
        <w:t>from</w:t>
      </w:r>
      <w:r>
        <w:rPr>
          <w:color w:val="211F1F"/>
          <w:spacing w:val="22"/>
        </w:rPr>
        <w:t xml:space="preserve"> </w:t>
      </w:r>
      <w:r>
        <w:rPr>
          <w:color w:val="211F1F"/>
        </w:rPr>
        <w:t>the</w:t>
      </w:r>
      <w:r>
        <w:rPr>
          <w:color w:val="211F1F"/>
          <w:spacing w:val="28"/>
        </w:rPr>
        <w:t xml:space="preserve"> </w:t>
      </w:r>
      <w:r>
        <w:rPr>
          <w:color w:val="211F1F"/>
        </w:rPr>
        <w:t>next</w:t>
      </w:r>
      <w:r>
        <w:rPr>
          <w:color w:val="211F1F"/>
          <w:spacing w:val="31"/>
        </w:rPr>
        <w:t xml:space="preserve"> </w:t>
      </w:r>
      <w:r>
        <w:rPr>
          <w:color w:val="211F1F"/>
        </w:rPr>
        <w:t>payment</w:t>
      </w:r>
      <w:r>
        <w:rPr>
          <w:color w:val="211F1F"/>
          <w:spacing w:val="32"/>
        </w:rPr>
        <w:t xml:space="preserve"> </w:t>
      </w:r>
      <w:r>
        <w:rPr>
          <w:color w:val="211F1F"/>
        </w:rPr>
        <w:t>certificate</w:t>
      </w:r>
      <w:r>
        <w:rPr>
          <w:color w:val="211F1F"/>
          <w:spacing w:val="25"/>
        </w:rPr>
        <w:t xml:space="preserve"> </w:t>
      </w:r>
      <w:r>
        <w:rPr>
          <w:color w:val="211F1F"/>
        </w:rPr>
        <w:t>and</w:t>
      </w:r>
    </w:p>
    <w:p w14:paraId="29523C1D" w14:textId="77777777" w:rsidR="00BB77C0" w:rsidRDefault="00BB77C0">
      <w:pPr>
        <w:pStyle w:val="ListParagraph"/>
        <w:spacing w:line="230" w:lineRule="auto"/>
        <w:jc w:val="both"/>
        <w:sectPr w:rsidR="00BB77C0">
          <w:pgSz w:w="11920" w:h="16850"/>
          <w:pgMar w:top="240" w:right="0" w:bottom="280" w:left="360" w:header="720" w:footer="720" w:gutter="0"/>
          <w:cols w:space="720"/>
        </w:sectPr>
      </w:pPr>
    </w:p>
    <w:p w14:paraId="52D8E892" w14:textId="77777777" w:rsidR="00BB77C0" w:rsidRDefault="00370BAA">
      <w:pPr>
        <w:pStyle w:val="BodyText"/>
        <w:spacing w:before="83" w:line="230" w:lineRule="auto"/>
        <w:ind w:left="1171" w:right="836"/>
        <w:jc w:val="both"/>
      </w:pPr>
      <w:r>
        <w:rPr>
          <w:color w:val="211F1F"/>
        </w:rPr>
        <w:lastRenderedPageBreak/>
        <w:t>continue to withhold this amount until the next payment after the date on which the overdue Program has been</w:t>
      </w:r>
      <w:r>
        <w:rPr>
          <w:color w:val="211F1F"/>
          <w:spacing w:val="-14"/>
        </w:rPr>
        <w:t xml:space="preserve"> </w:t>
      </w:r>
      <w:r>
        <w:rPr>
          <w:color w:val="211F1F"/>
        </w:rPr>
        <w:t>submitted.</w:t>
      </w:r>
      <w:r>
        <w:rPr>
          <w:color w:val="211F1F"/>
          <w:spacing w:val="-11"/>
        </w:rPr>
        <w:t xml:space="preserve"> </w:t>
      </w:r>
      <w:r>
        <w:rPr>
          <w:color w:val="211F1F"/>
        </w:rPr>
        <w:t>In</w:t>
      </w:r>
      <w:r>
        <w:rPr>
          <w:color w:val="211F1F"/>
          <w:spacing w:val="-10"/>
        </w:rPr>
        <w:t xml:space="preserve"> </w:t>
      </w:r>
      <w:r>
        <w:rPr>
          <w:color w:val="211F1F"/>
        </w:rPr>
        <w:t>the</w:t>
      </w:r>
      <w:r>
        <w:rPr>
          <w:color w:val="211F1F"/>
          <w:spacing w:val="-14"/>
        </w:rPr>
        <w:t xml:space="preserve"> </w:t>
      </w:r>
      <w:r>
        <w:rPr>
          <w:color w:val="211F1F"/>
        </w:rPr>
        <w:t>case</w:t>
      </w:r>
      <w:r>
        <w:rPr>
          <w:color w:val="211F1F"/>
          <w:spacing w:val="-12"/>
        </w:rPr>
        <w:t xml:space="preserve"> </w:t>
      </w:r>
      <w:r>
        <w:rPr>
          <w:color w:val="211F1F"/>
        </w:rPr>
        <w:t>of</w:t>
      </w:r>
      <w:r>
        <w:rPr>
          <w:color w:val="211F1F"/>
          <w:spacing w:val="-7"/>
        </w:rPr>
        <w:t xml:space="preserve"> </w:t>
      </w:r>
      <w:r>
        <w:rPr>
          <w:color w:val="211F1F"/>
        </w:rPr>
        <w:t>a</w:t>
      </w:r>
      <w:r>
        <w:rPr>
          <w:color w:val="211F1F"/>
          <w:spacing w:val="-12"/>
        </w:rPr>
        <w:t xml:space="preserve"> </w:t>
      </w:r>
      <w:r>
        <w:rPr>
          <w:color w:val="211F1F"/>
        </w:rPr>
        <w:t>lump</w:t>
      </w:r>
      <w:r>
        <w:rPr>
          <w:color w:val="211F1F"/>
          <w:spacing w:val="-5"/>
        </w:rPr>
        <w:t xml:space="preserve"> </w:t>
      </w:r>
      <w:r>
        <w:rPr>
          <w:color w:val="211F1F"/>
        </w:rPr>
        <w:t>sum</w:t>
      </w:r>
      <w:r>
        <w:rPr>
          <w:color w:val="211F1F"/>
          <w:spacing w:val="-14"/>
        </w:rPr>
        <w:t xml:space="preserve"> </w:t>
      </w:r>
      <w:r>
        <w:rPr>
          <w:color w:val="211F1F"/>
        </w:rPr>
        <w:t>contract,</w:t>
      </w:r>
      <w:r>
        <w:rPr>
          <w:color w:val="211F1F"/>
          <w:spacing w:val="-12"/>
        </w:rPr>
        <w:t xml:space="preserve"> </w:t>
      </w:r>
      <w:r>
        <w:rPr>
          <w:color w:val="211F1F"/>
        </w:rPr>
        <w:t>the</w:t>
      </w:r>
      <w:r>
        <w:rPr>
          <w:color w:val="211F1F"/>
          <w:spacing w:val="-14"/>
        </w:rPr>
        <w:t xml:space="preserve"> </w:t>
      </w:r>
      <w:r>
        <w:rPr>
          <w:color w:val="211F1F"/>
        </w:rPr>
        <w:t>Contractor</w:t>
      </w:r>
      <w:r>
        <w:rPr>
          <w:color w:val="211F1F"/>
          <w:spacing w:val="-1"/>
        </w:rPr>
        <w:t xml:space="preserve"> </w:t>
      </w:r>
      <w:r>
        <w:rPr>
          <w:color w:val="211F1F"/>
        </w:rPr>
        <w:t>shall</w:t>
      </w:r>
      <w:r>
        <w:rPr>
          <w:color w:val="211F1F"/>
          <w:spacing w:val="-9"/>
        </w:rPr>
        <w:t xml:space="preserve"> </w:t>
      </w:r>
      <w:r>
        <w:rPr>
          <w:color w:val="211F1F"/>
        </w:rPr>
        <w:t>provide</w:t>
      </w:r>
      <w:r>
        <w:rPr>
          <w:color w:val="211F1F"/>
          <w:spacing w:val="-14"/>
        </w:rPr>
        <w:t xml:space="preserve"> </w:t>
      </w:r>
      <w:r>
        <w:rPr>
          <w:color w:val="211F1F"/>
        </w:rPr>
        <w:t>an</w:t>
      </w:r>
      <w:r>
        <w:rPr>
          <w:color w:val="211F1F"/>
          <w:spacing w:val="-14"/>
        </w:rPr>
        <w:t xml:space="preserve"> </w:t>
      </w:r>
      <w:r>
        <w:rPr>
          <w:color w:val="211F1F"/>
        </w:rPr>
        <w:t>updated</w:t>
      </w:r>
      <w:r>
        <w:rPr>
          <w:color w:val="211F1F"/>
          <w:spacing w:val="-10"/>
        </w:rPr>
        <w:t xml:space="preserve"> </w:t>
      </w:r>
      <w:r>
        <w:rPr>
          <w:color w:val="211F1F"/>
        </w:rPr>
        <w:t>Activity</w:t>
      </w:r>
      <w:r>
        <w:rPr>
          <w:color w:val="211F1F"/>
          <w:spacing w:val="-14"/>
        </w:rPr>
        <w:t xml:space="preserve"> </w:t>
      </w:r>
      <w:r>
        <w:rPr>
          <w:color w:val="211F1F"/>
        </w:rPr>
        <w:t>Schedule within 14 days of being instructed to by the Project Manager.</w:t>
      </w:r>
    </w:p>
    <w:p w14:paraId="665F002E" w14:textId="77777777" w:rsidR="00BB77C0" w:rsidRDefault="00370BAA">
      <w:pPr>
        <w:pStyle w:val="ListParagraph"/>
        <w:numPr>
          <w:ilvl w:val="1"/>
          <w:numId w:val="23"/>
        </w:numPr>
        <w:tabs>
          <w:tab w:val="left" w:pos="1168"/>
          <w:tab w:val="left" w:pos="1171"/>
        </w:tabs>
        <w:spacing w:before="198" w:line="230" w:lineRule="auto"/>
        <w:ind w:right="837" w:hanging="360"/>
        <w:jc w:val="both"/>
        <w:rPr>
          <w:color w:val="211F1F"/>
        </w:rPr>
      </w:pPr>
      <w:r>
        <w:rPr>
          <w:color w:val="211F1F"/>
        </w:rPr>
        <w:t>The Project Manager's approval of the Program shall not alter the Contractor's obligations. The Contractor may</w:t>
      </w:r>
      <w:r>
        <w:rPr>
          <w:color w:val="211F1F"/>
          <w:spacing w:val="-11"/>
        </w:rPr>
        <w:t xml:space="preserve"> </w:t>
      </w:r>
      <w:r>
        <w:rPr>
          <w:color w:val="211F1F"/>
        </w:rPr>
        <w:t>revise</w:t>
      </w:r>
      <w:r>
        <w:rPr>
          <w:color w:val="211F1F"/>
          <w:spacing w:val="-12"/>
        </w:rPr>
        <w:t xml:space="preserve"> </w:t>
      </w:r>
      <w:r>
        <w:rPr>
          <w:color w:val="211F1F"/>
        </w:rPr>
        <w:t>the</w:t>
      </w:r>
      <w:r>
        <w:rPr>
          <w:color w:val="211F1F"/>
          <w:spacing w:val="-12"/>
        </w:rPr>
        <w:t xml:space="preserve"> </w:t>
      </w:r>
      <w:r>
        <w:rPr>
          <w:color w:val="211F1F"/>
        </w:rPr>
        <w:t>Program</w:t>
      </w:r>
      <w:r>
        <w:rPr>
          <w:color w:val="211F1F"/>
          <w:spacing w:val="-13"/>
        </w:rPr>
        <w:t xml:space="preserve"> </w:t>
      </w:r>
      <w:r>
        <w:rPr>
          <w:color w:val="211F1F"/>
        </w:rPr>
        <w:t>and</w:t>
      </w:r>
      <w:r>
        <w:rPr>
          <w:color w:val="211F1F"/>
          <w:spacing w:val="-14"/>
        </w:rPr>
        <w:t xml:space="preserve"> </w:t>
      </w:r>
      <w:r>
        <w:rPr>
          <w:color w:val="211F1F"/>
        </w:rPr>
        <w:t>submit</w:t>
      </w:r>
      <w:r>
        <w:rPr>
          <w:color w:val="211F1F"/>
          <w:spacing w:val="-4"/>
        </w:rPr>
        <w:t xml:space="preserve"> </w:t>
      </w:r>
      <w:r>
        <w:rPr>
          <w:color w:val="211F1F"/>
        </w:rPr>
        <w:t>it</w:t>
      </w:r>
      <w:r>
        <w:rPr>
          <w:color w:val="211F1F"/>
          <w:spacing w:val="-5"/>
        </w:rPr>
        <w:t xml:space="preserve"> </w:t>
      </w:r>
      <w:r>
        <w:rPr>
          <w:color w:val="211F1F"/>
        </w:rPr>
        <w:t>to</w:t>
      </w:r>
      <w:r>
        <w:rPr>
          <w:color w:val="211F1F"/>
          <w:spacing w:val="-10"/>
        </w:rPr>
        <w:t xml:space="preserve"> </w:t>
      </w:r>
      <w:r>
        <w:rPr>
          <w:color w:val="211F1F"/>
        </w:rPr>
        <w:t>the</w:t>
      </w:r>
      <w:r>
        <w:rPr>
          <w:color w:val="211F1F"/>
          <w:spacing w:val="-12"/>
        </w:rPr>
        <w:t xml:space="preserve"> </w:t>
      </w:r>
      <w:r>
        <w:rPr>
          <w:color w:val="211F1F"/>
        </w:rPr>
        <w:t>Project</w:t>
      </w:r>
      <w:r>
        <w:rPr>
          <w:color w:val="211F1F"/>
          <w:spacing w:val="-9"/>
        </w:rPr>
        <w:t xml:space="preserve"> </w:t>
      </w:r>
      <w:r>
        <w:rPr>
          <w:color w:val="211F1F"/>
        </w:rPr>
        <w:t>Manager</w:t>
      </w:r>
      <w:r>
        <w:rPr>
          <w:color w:val="211F1F"/>
          <w:spacing w:val="-6"/>
        </w:rPr>
        <w:t xml:space="preserve"> </w:t>
      </w:r>
      <w:r>
        <w:rPr>
          <w:color w:val="211F1F"/>
        </w:rPr>
        <w:t>again</w:t>
      </w:r>
      <w:r>
        <w:rPr>
          <w:color w:val="211F1F"/>
          <w:spacing w:val="-10"/>
        </w:rPr>
        <w:t xml:space="preserve"> </w:t>
      </w:r>
      <w:r>
        <w:rPr>
          <w:color w:val="211F1F"/>
        </w:rPr>
        <w:t>at</w:t>
      </w:r>
      <w:r>
        <w:rPr>
          <w:color w:val="211F1F"/>
          <w:spacing w:val="-13"/>
        </w:rPr>
        <w:t xml:space="preserve"> </w:t>
      </w:r>
      <w:r>
        <w:rPr>
          <w:color w:val="211F1F"/>
        </w:rPr>
        <w:t>any</w:t>
      </w:r>
      <w:r>
        <w:rPr>
          <w:color w:val="211F1F"/>
          <w:spacing w:val="-10"/>
        </w:rPr>
        <w:t xml:space="preserve"> </w:t>
      </w:r>
      <w:r>
        <w:rPr>
          <w:color w:val="211F1F"/>
        </w:rPr>
        <w:t>time.</w:t>
      </w:r>
      <w:r>
        <w:rPr>
          <w:color w:val="211F1F"/>
          <w:spacing w:val="-3"/>
        </w:rPr>
        <w:t xml:space="preserve"> </w:t>
      </w:r>
      <w:r>
        <w:rPr>
          <w:color w:val="211F1F"/>
        </w:rPr>
        <w:t>A</w:t>
      </w:r>
      <w:r>
        <w:rPr>
          <w:color w:val="211F1F"/>
          <w:spacing w:val="-14"/>
        </w:rPr>
        <w:t xml:space="preserve"> </w:t>
      </w:r>
      <w:r>
        <w:rPr>
          <w:color w:val="211F1F"/>
        </w:rPr>
        <w:t>revised</w:t>
      </w:r>
      <w:r>
        <w:rPr>
          <w:color w:val="211F1F"/>
          <w:spacing w:val="-9"/>
        </w:rPr>
        <w:t xml:space="preserve"> </w:t>
      </w:r>
      <w:r>
        <w:rPr>
          <w:color w:val="211F1F"/>
        </w:rPr>
        <w:t>Program</w:t>
      </w:r>
      <w:r>
        <w:rPr>
          <w:color w:val="211F1F"/>
          <w:spacing w:val="-13"/>
        </w:rPr>
        <w:t xml:space="preserve"> </w:t>
      </w:r>
      <w:r>
        <w:rPr>
          <w:color w:val="211F1F"/>
        </w:rPr>
        <w:t>shall</w:t>
      </w:r>
      <w:r>
        <w:rPr>
          <w:color w:val="211F1F"/>
          <w:spacing w:val="-9"/>
        </w:rPr>
        <w:t xml:space="preserve"> </w:t>
      </w:r>
      <w:r>
        <w:rPr>
          <w:color w:val="211F1F"/>
        </w:rPr>
        <w:t>show the effect of Variations and Compensation Events.</w:t>
      </w:r>
    </w:p>
    <w:p w14:paraId="6596C810" w14:textId="77777777" w:rsidR="00BB77C0" w:rsidRDefault="00370BAA">
      <w:pPr>
        <w:pStyle w:val="Heading7"/>
        <w:numPr>
          <w:ilvl w:val="0"/>
          <w:numId w:val="23"/>
        </w:numPr>
        <w:tabs>
          <w:tab w:val="left" w:pos="1080"/>
        </w:tabs>
        <w:spacing w:before="242"/>
        <w:ind w:left="1080" w:hanging="360"/>
        <w:jc w:val="left"/>
      </w:pPr>
      <w:bookmarkStart w:id="214" w:name="27._Extension_of_the_Intended_Completion"/>
      <w:bookmarkEnd w:id="214"/>
      <w:r>
        <w:rPr>
          <w:color w:val="211F1F"/>
          <w:spacing w:val="-4"/>
        </w:rPr>
        <w:t>Extension</w:t>
      </w:r>
      <w:r>
        <w:rPr>
          <w:color w:val="211F1F"/>
          <w:spacing w:val="-8"/>
        </w:rPr>
        <w:t xml:space="preserve"> </w:t>
      </w:r>
      <w:r>
        <w:rPr>
          <w:color w:val="211F1F"/>
          <w:spacing w:val="-4"/>
        </w:rPr>
        <w:t>of</w:t>
      </w:r>
      <w:r>
        <w:rPr>
          <w:color w:val="211F1F"/>
          <w:spacing w:val="-7"/>
        </w:rPr>
        <w:t xml:space="preserve"> </w:t>
      </w:r>
      <w:r>
        <w:rPr>
          <w:color w:val="211F1F"/>
          <w:spacing w:val="-4"/>
        </w:rPr>
        <w:t>the</w:t>
      </w:r>
      <w:r>
        <w:rPr>
          <w:color w:val="211F1F"/>
          <w:spacing w:val="-8"/>
        </w:rPr>
        <w:t xml:space="preserve"> </w:t>
      </w:r>
      <w:r>
        <w:rPr>
          <w:color w:val="211F1F"/>
          <w:spacing w:val="-4"/>
        </w:rPr>
        <w:t>Intended</w:t>
      </w:r>
      <w:r>
        <w:rPr>
          <w:color w:val="211F1F"/>
          <w:spacing w:val="-14"/>
        </w:rPr>
        <w:t xml:space="preserve"> </w:t>
      </w:r>
      <w:r>
        <w:rPr>
          <w:color w:val="211F1F"/>
          <w:spacing w:val="-4"/>
        </w:rPr>
        <w:t>Completion</w:t>
      </w:r>
      <w:r>
        <w:rPr>
          <w:color w:val="211F1F"/>
          <w:spacing w:val="-7"/>
        </w:rPr>
        <w:t xml:space="preserve"> </w:t>
      </w:r>
      <w:r>
        <w:rPr>
          <w:color w:val="211F1F"/>
          <w:spacing w:val="-4"/>
        </w:rPr>
        <w:t>Date</w:t>
      </w:r>
    </w:p>
    <w:p w14:paraId="64860878" w14:textId="77777777" w:rsidR="00BB77C0" w:rsidRDefault="00370BAA">
      <w:pPr>
        <w:pStyle w:val="ListParagraph"/>
        <w:numPr>
          <w:ilvl w:val="1"/>
          <w:numId w:val="23"/>
        </w:numPr>
        <w:tabs>
          <w:tab w:val="left" w:pos="1168"/>
          <w:tab w:val="left" w:pos="1171"/>
        </w:tabs>
        <w:spacing w:before="193" w:line="230" w:lineRule="auto"/>
        <w:ind w:right="843" w:hanging="360"/>
        <w:jc w:val="both"/>
        <w:rPr>
          <w:color w:val="211F1F"/>
        </w:rPr>
      </w:pPr>
      <w:r>
        <w:rPr>
          <w:color w:val="211F1F"/>
        </w:rPr>
        <w:t>The Project Manager shall extend the Intended Completion Date if a Compensation Event occurs or a Variation is issued which makes it impossible for Completion to be achieved by the Intended Completion Date</w:t>
      </w:r>
      <w:r>
        <w:rPr>
          <w:color w:val="211F1F"/>
          <w:spacing w:val="-7"/>
        </w:rPr>
        <w:t xml:space="preserve"> </w:t>
      </w:r>
      <w:r>
        <w:rPr>
          <w:color w:val="211F1F"/>
        </w:rPr>
        <w:t>without</w:t>
      </w:r>
      <w:r>
        <w:rPr>
          <w:color w:val="211F1F"/>
          <w:spacing w:val="-4"/>
        </w:rPr>
        <w:t xml:space="preserve"> </w:t>
      </w:r>
      <w:r>
        <w:rPr>
          <w:color w:val="211F1F"/>
        </w:rPr>
        <w:t>the</w:t>
      </w:r>
      <w:r>
        <w:rPr>
          <w:color w:val="211F1F"/>
          <w:spacing w:val="-7"/>
        </w:rPr>
        <w:t xml:space="preserve"> </w:t>
      </w:r>
      <w:r>
        <w:rPr>
          <w:color w:val="211F1F"/>
        </w:rPr>
        <w:t>Contractor</w:t>
      </w:r>
      <w:r>
        <w:rPr>
          <w:color w:val="211F1F"/>
          <w:spacing w:val="-2"/>
        </w:rPr>
        <w:t xml:space="preserve"> </w:t>
      </w:r>
      <w:r>
        <w:rPr>
          <w:color w:val="211F1F"/>
        </w:rPr>
        <w:t>taking</w:t>
      </w:r>
      <w:r>
        <w:rPr>
          <w:color w:val="211F1F"/>
          <w:spacing w:val="-10"/>
        </w:rPr>
        <w:t xml:space="preserve"> </w:t>
      </w:r>
      <w:r>
        <w:rPr>
          <w:color w:val="211F1F"/>
        </w:rPr>
        <w:t>steps</w:t>
      </w:r>
      <w:r>
        <w:rPr>
          <w:color w:val="211F1F"/>
          <w:spacing w:val="-5"/>
        </w:rPr>
        <w:t xml:space="preserve"> </w:t>
      </w:r>
      <w:r>
        <w:rPr>
          <w:color w:val="211F1F"/>
        </w:rPr>
        <w:t>to</w:t>
      </w:r>
      <w:r>
        <w:rPr>
          <w:color w:val="211F1F"/>
          <w:spacing w:val="-10"/>
        </w:rPr>
        <w:t xml:space="preserve"> </w:t>
      </w:r>
      <w:r>
        <w:rPr>
          <w:color w:val="211F1F"/>
        </w:rPr>
        <w:t>accelerate</w:t>
      </w:r>
      <w:r>
        <w:rPr>
          <w:color w:val="211F1F"/>
          <w:spacing w:val="-11"/>
        </w:rPr>
        <w:t xml:space="preserve"> </w:t>
      </w:r>
      <w:r>
        <w:rPr>
          <w:color w:val="211F1F"/>
        </w:rPr>
        <w:t>the</w:t>
      </w:r>
      <w:r>
        <w:rPr>
          <w:color w:val="211F1F"/>
          <w:spacing w:val="-7"/>
        </w:rPr>
        <w:t xml:space="preserve"> </w:t>
      </w:r>
      <w:r>
        <w:rPr>
          <w:color w:val="211F1F"/>
        </w:rPr>
        <w:t>remaining</w:t>
      </w:r>
      <w:r>
        <w:rPr>
          <w:color w:val="211F1F"/>
          <w:spacing w:val="-10"/>
        </w:rPr>
        <w:t xml:space="preserve"> </w:t>
      </w:r>
      <w:r>
        <w:rPr>
          <w:color w:val="211F1F"/>
        </w:rPr>
        <w:t>work,</w:t>
      </w:r>
      <w:r>
        <w:rPr>
          <w:color w:val="211F1F"/>
          <w:spacing w:val="-3"/>
        </w:rPr>
        <w:t xml:space="preserve"> </w:t>
      </w:r>
      <w:r>
        <w:rPr>
          <w:color w:val="211F1F"/>
        </w:rPr>
        <w:t>which</w:t>
      </w:r>
      <w:r>
        <w:rPr>
          <w:color w:val="211F1F"/>
          <w:spacing w:val="-5"/>
        </w:rPr>
        <w:t xml:space="preserve"> </w:t>
      </w:r>
      <w:r>
        <w:rPr>
          <w:color w:val="211F1F"/>
        </w:rPr>
        <w:t>would</w:t>
      </w:r>
      <w:r>
        <w:rPr>
          <w:color w:val="211F1F"/>
          <w:spacing w:val="-10"/>
        </w:rPr>
        <w:t xml:space="preserve"> </w:t>
      </w:r>
      <w:r>
        <w:rPr>
          <w:color w:val="211F1F"/>
        </w:rPr>
        <w:t>cause</w:t>
      </w:r>
      <w:r>
        <w:rPr>
          <w:color w:val="211F1F"/>
          <w:spacing w:val="-12"/>
        </w:rPr>
        <w:t xml:space="preserve"> </w:t>
      </w:r>
      <w:r>
        <w:rPr>
          <w:color w:val="211F1F"/>
        </w:rPr>
        <w:t>the</w:t>
      </w:r>
      <w:r>
        <w:rPr>
          <w:color w:val="211F1F"/>
          <w:spacing w:val="-12"/>
        </w:rPr>
        <w:t xml:space="preserve"> </w:t>
      </w:r>
      <w:r>
        <w:rPr>
          <w:color w:val="211F1F"/>
        </w:rPr>
        <w:t>Contractor to incur additional cost.</w:t>
      </w:r>
    </w:p>
    <w:p w14:paraId="04FFCAB3" w14:textId="77777777" w:rsidR="00BB77C0" w:rsidRDefault="00370BAA">
      <w:pPr>
        <w:pStyle w:val="ListParagraph"/>
        <w:numPr>
          <w:ilvl w:val="1"/>
          <w:numId w:val="23"/>
        </w:numPr>
        <w:tabs>
          <w:tab w:val="left" w:pos="1168"/>
          <w:tab w:val="left" w:pos="1171"/>
        </w:tabs>
        <w:spacing w:before="195" w:line="230" w:lineRule="auto"/>
        <w:ind w:right="838" w:hanging="360"/>
        <w:jc w:val="both"/>
        <w:rPr>
          <w:color w:val="211F1F"/>
        </w:rPr>
      </w:pPr>
      <w:r>
        <w:rPr>
          <w:color w:val="211F1F"/>
        </w:rPr>
        <w:t>The</w:t>
      </w:r>
      <w:r>
        <w:rPr>
          <w:color w:val="211F1F"/>
          <w:spacing w:val="-2"/>
        </w:rPr>
        <w:t xml:space="preserve"> </w:t>
      </w:r>
      <w:r>
        <w:rPr>
          <w:color w:val="211F1F"/>
        </w:rPr>
        <w:t>Project Manager shall</w:t>
      </w:r>
      <w:r>
        <w:rPr>
          <w:color w:val="211F1F"/>
          <w:spacing w:val="-5"/>
        </w:rPr>
        <w:t xml:space="preserve"> </w:t>
      </w:r>
      <w:r>
        <w:rPr>
          <w:color w:val="211F1F"/>
        </w:rPr>
        <w:t>decide whether and</w:t>
      </w:r>
      <w:r>
        <w:rPr>
          <w:color w:val="211F1F"/>
          <w:spacing w:val="-5"/>
        </w:rPr>
        <w:t xml:space="preserve"> </w:t>
      </w:r>
      <w:r>
        <w:rPr>
          <w:color w:val="211F1F"/>
        </w:rPr>
        <w:t>by</w:t>
      </w:r>
      <w:r>
        <w:rPr>
          <w:color w:val="211F1F"/>
          <w:spacing w:val="-1"/>
        </w:rPr>
        <w:t xml:space="preserve"> </w:t>
      </w:r>
      <w:r>
        <w:rPr>
          <w:color w:val="211F1F"/>
        </w:rPr>
        <w:t>how</w:t>
      </w:r>
      <w:r>
        <w:rPr>
          <w:color w:val="211F1F"/>
          <w:spacing w:val="-2"/>
        </w:rPr>
        <w:t xml:space="preserve"> </w:t>
      </w:r>
      <w:r>
        <w:rPr>
          <w:color w:val="211F1F"/>
        </w:rPr>
        <w:t>much</w:t>
      </w:r>
      <w:r>
        <w:rPr>
          <w:color w:val="211F1F"/>
          <w:spacing w:val="-5"/>
        </w:rPr>
        <w:t xml:space="preserve"> </w:t>
      </w:r>
      <w:r>
        <w:rPr>
          <w:color w:val="211F1F"/>
        </w:rPr>
        <w:t>to</w:t>
      </w:r>
      <w:r>
        <w:rPr>
          <w:color w:val="211F1F"/>
          <w:spacing w:val="-6"/>
        </w:rPr>
        <w:t xml:space="preserve"> </w:t>
      </w:r>
      <w:r>
        <w:rPr>
          <w:color w:val="211F1F"/>
        </w:rPr>
        <w:t>extend</w:t>
      </w:r>
      <w:r>
        <w:rPr>
          <w:color w:val="211F1F"/>
          <w:spacing w:val="-5"/>
        </w:rPr>
        <w:t xml:space="preserve"> </w:t>
      </w:r>
      <w:r>
        <w:rPr>
          <w:color w:val="211F1F"/>
        </w:rPr>
        <w:t>the</w:t>
      </w:r>
      <w:r>
        <w:rPr>
          <w:color w:val="211F1F"/>
          <w:spacing w:val="-8"/>
        </w:rPr>
        <w:t xml:space="preserve"> </w:t>
      </w:r>
      <w:r>
        <w:rPr>
          <w:color w:val="211F1F"/>
        </w:rPr>
        <w:t>Intended</w:t>
      </w:r>
      <w:r>
        <w:rPr>
          <w:color w:val="211F1F"/>
          <w:spacing w:val="-1"/>
        </w:rPr>
        <w:t xml:space="preserve"> </w:t>
      </w:r>
      <w:r>
        <w:rPr>
          <w:color w:val="211F1F"/>
        </w:rPr>
        <w:t>Completion Date</w:t>
      </w:r>
      <w:r>
        <w:rPr>
          <w:color w:val="211F1F"/>
          <w:spacing w:val="-2"/>
        </w:rPr>
        <w:t xml:space="preserve"> </w:t>
      </w:r>
      <w:r>
        <w:rPr>
          <w:color w:val="211F1F"/>
        </w:rPr>
        <w:t>within 21</w:t>
      </w:r>
      <w:r>
        <w:rPr>
          <w:color w:val="211F1F"/>
          <w:spacing w:val="-2"/>
        </w:rPr>
        <w:t xml:space="preserve"> </w:t>
      </w:r>
      <w:r>
        <w:rPr>
          <w:color w:val="211F1F"/>
        </w:rPr>
        <w:t>days</w:t>
      </w:r>
      <w:r>
        <w:rPr>
          <w:color w:val="211F1F"/>
          <w:spacing w:val="-7"/>
        </w:rPr>
        <w:t xml:space="preserve"> </w:t>
      </w:r>
      <w:r>
        <w:rPr>
          <w:color w:val="211F1F"/>
        </w:rPr>
        <w:t>of</w:t>
      </w:r>
      <w:r>
        <w:rPr>
          <w:color w:val="211F1F"/>
          <w:spacing w:val="-8"/>
        </w:rPr>
        <w:t xml:space="preserve"> </w:t>
      </w:r>
      <w:r>
        <w:rPr>
          <w:color w:val="211F1F"/>
        </w:rPr>
        <w:t>the</w:t>
      </w:r>
      <w:r>
        <w:rPr>
          <w:color w:val="211F1F"/>
          <w:spacing w:val="-9"/>
        </w:rPr>
        <w:t xml:space="preserve"> </w:t>
      </w:r>
      <w:r>
        <w:rPr>
          <w:color w:val="211F1F"/>
        </w:rPr>
        <w:t>Contractor</w:t>
      </w:r>
      <w:r>
        <w:rPr>
          <w:color w:val="211F1F"/>
          <w:spacing w:val="-7"/>
        </w:rPr>
        <w:t xml:space="preserve"> </w:t>
      </w:r>
      <w:r>
        <w:rPr>
          <w:color w:val="211F1F"/>
        </w:rPr>
        <w:t>asking</w:t>
      </w:r>
      <w:r>
        <w:rPr>
          <w:color w:val="211F1F"/>
          <w:spacing w:val="-11"/>
        </w:rPr>
        <w:t xml:space="preserve"> </w:t>
      </w:r>
      <w:r>
        <w:rPr>
          <w:color w:val="211F1F"/>
        </w:rPr>
        <w:t>the</w:t>
      </w:r>
      <w:r>
        <w:rPr>
          <w:color w:val="211F1F"/>
          <w:spacing w:val="-9"/>
        </w:rPr>
        <w:t xml:space="preserve"> </w:t>
      </w:r>
      <w:r>
        <w:rPr>
          <w:color w:val="211F1F"/>
        </w:rPr>
        <w:t>Project</w:t>
      </w:r>
      <w:r>
        <w:rPr>
          <w:color w:val="211F1F"/>
          <w:spacing w:val="-1"/>
        </w:rPr>
        <w:t xml:space="preserve"> </w:t>
      </w:r>
      <w:r>
        <w:rPr>
          <w:color w:val="211F1F"/>
        </w:rPr>
        <w:t>Manager for</w:t>
      </w:r>
      <w:r>
        <w:rPr>
          <w:color w:val="211F1F"/>
          <w:spacing w:val="-4"/>
        </w:rPr>
        <w:t xml:space="preserve"> </w:t>
      </w:r>
      <w:r>
        <w:rPr>
          <w:color w:val="211F1F"/>
        </w:rPr>
        <w:t>a</w:t>
      </w:r>
      <w:r>
        <w:rPr>
          <w:color w:val="211F1F"/>
          <w:spacing w:val="-5"/>
        </w:rPr>
        <w:t xml:space="preserve"> </w:t>
      </w:r>
      <w:r>
        <w:rPr>
          <w:color w:val="211F1F"/>
        </w:rPr>
        <w:t>decision</w:t>
      </w:r>
      <w:r>
        <w:rPr>
          <w:color w:val="211F1F"/>
          <w:spacing w:val="-11"/>
        </w:rPr>
        <w:t xml:space="preserve"> </w:t>
      </w:r>
      <w:r>
        <w:rPr>
          <w:color w:val="211F1F"/>
        </w:rPr>
        <w:t>upon</w:t>
      </w:r>
      <w:r>
        <w:rPr>
          <w:color w:val="211F1F"/>
          <w:spacing w:val="-11"/>
        </w:rPr>
        <w:t xml:space="preserve"> </w:t>
      </w:r>
      <w:r>
        <w:rPr>
          <w:color w:val="211F1F"/>
        </w:rPr>
        <w:t>the</w:t>
      </w:r>
      <w:r>
        <w:rPr>
          <w:color w:val="211F1F"/>
          <w:spacing w:val="-9"/>
        </w:rPr>
        <w:t xml:space="preserve"> </w:t>
      </w:r>
      <w:r>
        <w:rPr>
          <w:color w:val="211F1F"/>
        </w:rPr>
        <w:t>effect</w:t>
      </w:r>
      <w:r>
        <w:rPr>
          <w:color w:val="211F1F"/>
          <w:spacing w:val="-1"/>
        </w:rPr>
        <w:t xml:space="preserve"> </w:t>
      </w:r>
      <w:r>
        <w:rPr>
          <w:color w:val="211F1F"/>
        </w:rPr>
        <w:t>of</w:t>
      </w:r>
      <w:r>
        <w:rPr>
          <w:color w:val="211F1F"/>
          <w:spacing w:val="-4"/>
        </w:rPr>
        <w:t xml:space="preserve"> </w:t>
      </w:r>
      <w:r>
        <w:rPr>
          <w:color w:val="211F1F"/>
        </w:rPr>
        <w:t>a</w:t>
      </w:r>
      <w:r>
        <w:rPr>
          <w:color w:val="211F1F"/>
          <w:spacing w:val="-5"/>
        </w:rPr>
        <w:t xml:space="preserve"> </w:t>
      </w:r>
      <w:r>
        <w:rPr>
          <w:color w:val="211F1F"/>
        </w:rPr>
        <w:t>Compensation</w:t>
      </w:r>
      <w:r>
        <w:rPr>
          <w:color w:val="211F1F"/>
          <w:spacing w:val="-10"/>
        </w:rPr>
        <w:t xml:space="preserve"> </w:t>
      </w:r>
      <w:r>
        <w:rPr>
          <w:color w:val="211F1F"/>
        </w:rPr>
        <w:t>Event or Variation</w:t>
      </w:r>
      <w:r>
        <w:rPr>
          <w:color w:val="211F1F"/>
          <w:spacing w:val="-1"/>
        </w:rPr>
        <w:t xml:space="preserve"> </w:t>
      </w:r>
      <w:r>
        <w:rPr>
          <w:color w:val="211F1F"/>
        </w:rPr>
        <w:t>and</w:t>
      </w:r>
      <w:r>
        <w:rPr>
          <w:color w:val="211F1F"/>
          <w:spacing w:val="-1"/>
        </w:rPr>
        <w:t xml:space="preserve"> </w:t>
      </w:r>
      <w:r>
        <w:rPr>
          <w:color w:val="211F1F"/>
        </w:rPr>
        <w:t>submitting</w:t>
      </w:r>
      <w:r>
        <w:rPr>
          <w:color w:val="211F1F"/>
          <w:spacing w:val="-5"/>
        </w:rPr>
        <w:t xml:space="preserve"> </w:t>
      </w:r>
      <w:r>
        <w:rPr>
          <w:color w:val="211F1F"/>
        </w:rPr>
        <w:t>full</w:t>
      </w:r>
      <w:r>
        <w:rPr>
          <w:color w:val="211F1F"/>
          <w:spacing w:val="-4"/>
        </w:rPr>
        <w:t xml:space="preserve"> </w:t>
      </w:r>
      <w:r>
        <w:rPr>
          <w:color w:val="211F1F"/>
        </w:rPr>
        <w:t>supporting</w:t>
      </w:r>
      <w:r>
        <w:rPr>
          <w:color w:val="211F1F"/>
          <w:spacing w:val="-5"/>
        </w:rPr>
        <w:t xml:space="preserve"> </w:t>
      </w:r>
      <w:r>
        <w:rPr>
          <w:color w:val="211F1F"/>
        </w:rPr>
        <w:t>information. If</w:t>
      </w:r>
      <w:r>
        <w:rPr>
          <w:color w:val="211F1F"/>
          <w:spacing w:val="-3"/>
        </w:rPr>
        <w:t xml:space="preserve"> </w:t>
      </w:r>
      <w:r>
        <w:rPr>
          <w:color w:val="211F1F"/>
        </w:rPr>
        <w:t>the</w:t>
      </w:r>
      <w:r>
        <w:rPr>
          <w:color w:val="211F1F"/>
          <w:spacing w:val="-3"/>
        </w:rPr>
        <w:t xml:space="preserve"> </w:t>
      </w:r>
      <w:r>
        <w:rPr>
          <w:color w:val="211F1F"/>
        </w:rPr>
        <w:t>Contractor has</w:t>
      </w:r>
      <w:r>
        <w:rPr>
          <w:color w:val="211F1F"/>
          <w:spacing w:val="-5"/>
        </w:rPr>
        <w:t xml:space="preserve"> </w:t>
      </w:r>
      <w:r>
        <w:rPr>
          <w:color w:val="211F1F"/>
        </w:rPr>
        <w:t>failed</w:t>
      </w:r>
      <w:r>
        <w:rPr>
          <w:color w:val="211F1F"/>
          <w:spacing w:val="-2"/>
        </w:rPr>
        <w:t xml:space="preserve"> </w:t>
      </w:r>
      <w:r>
        <w:rPr>
          <w:color w:val="211F1F"/>
        </w:rPr>
        <w:t>to</w:t>
      </w:r>
      <w:r>
        <w:rPr>
          <w:color w:val="211F1F"/>
          <w:spacing w:val="-5"/>
        </w:rPr>
        <w:t xml:space="preserve"> </w:t>
      </w:r>
      <w:r>
        <w:rPr>
          <w:color w:val="211F1F"/>
        </w:rPr>
        <w:t>give</w:t>
      </w:r>
      <w:r>
        <w:rPr>
          <w:color w:val="211F1F"/>
          <w:spacing w:val="-3"/>
        </w:rPr>
        <w:t xml:space="preserve"> </w:t>
      </w:r>
      <w:r>
        <w:rPr>
          <w:color w:val="211F1F"/>
        </w:rPr>
        <w:t>early</w:t>
      </w:r>
      <w:r>
        <w:rPr>
          <w:color w:val="211F1F"/>
          <w:spacing w:val="-2"/>
        </w:rPr>
        <w:t xml:space="preserve"> </w:t>
      </w:r>
      <w:r>
        <w:rPr>
          <w:color w:val="211F1F"/>
        </w:rPr>
        <w:t>warning</w:t>
      </w:r>
      <w:r>
        <w:rPr>
          <w:color w:val="211F1F"/>
          <w:spacing w:val="-5"/>
        </w:rPr>
        <w:t xml:space="preserve"> </w:t>
      </w:r>
      <w:r>
        <w:rPr>
          <w:color w:val="211F1F"/>
        </w:rPr>
        <w:t>of a delay or has failed to cooperate</w:t>
      </w:r>
      <w:r>
        <w:rPr>
          <w:color w:val="211F1F"/>
          <w:spacing w:val="-2"/>
        </w:rPr>
        <w:t xml:space="preserve"> </w:t>
      </w:r>
      <w:r>
        <w:rPr>
          <w:color w:val="211F1F"/>
        </w:rPr>
        <w:t>in dealing with a delay, the</w:t>
      </w:r>
      <w:r>
        <w:rPr>
          <w:color w:val="211F1F"/>
          <w:spacing w:val="-2"/>
        </w:rPr>
        <w:t xml:space="preserve"> </w:t>
      </w:r>
      <w:r>
        <w:rPr>
          <w:color w:val="211F1F"/>
        </w:rPr>
        <w:t>delay by this failure</w:t>
      </w:r>
      <w:r>
        <w:rPr>
          <w:color w:val="211F1F"/>
          <w:spacing w:val="-2"/>
        </w:rPr>
        <w:t xml:space="preserve"> </w:t>
      </w:r>
      <w:r>
        <w:rPr>
          <w:color w:val="211F1F"/>
        </w:rPr>
        <w:t>shall not be</w:t>
      </w:r>
      <w:r>
        <w:rPr>
          <w:color w:val="211F1F"/>
          <w:spacing w:val="-2"/>
        </w:rPr>
        <w:t xml:space="preserve"> </w:t>
      </w:r>
      <w:r>
        <w:rPr>
          <w:color w:val="211F1F"/>
        </w:rPr>
        <w:t>considered in assessing the new Intended Completion Date.</w:t>
      </w:r>
    </w:p>
    <w:p w14:paraId="640FE61A" w14:textId="77777777" w:rsidR="00BB77C0" w:rsidRDefault="00370BAA">
      <w:pPr>
        <w:pStyle w:val="Heading7"/>
        <w:numPr>
          <w:ilvl w:val="0"/>
          <w:numId w:val="23"/>
        </w:numPr>
        <w:tabs>
          <w:tab w:val="left" w:pos="1075"/>
        </w:tabs>
        <w:spacing w:before="242"/>
        <w:ind w:left="1075" w:hanging="355"/>
        <w:jc w:val="left"/>
      </w:pPr>
      <w:bookmarkStart w:id="215" w:name="28._Acceleration"/>
      <w:bookmarkEnd w:id="215"/>
      <w:r>
        <w:rPr>
          <w:color w:val="211F1F"/>
          <w:spacing w:val="-2"/>
        </w:rPr>
        <w:t>Acceleration</w:t>
      </w:r>
    </w:p>
    <w:p w14:paraId="50FB72AC" w14:textId="77777777" w:rsidR="00BB77C0" w:rsidRDefault="00370BAA">
      <w:pPr>
        <w:pStyle w:val="ListParagraph"/>
        <w:numPr>
          <w:ilvl w:val="1"/>
          <w:numId w:val="23"/>
        </w:numPr>
        <w:tabs>
          <w:tab w:val="left" w:pos="1168"/>
          <w:tab w:val="left" w:pos="1171"/>
        </w:tabs>
        <w:spacing w:before="192" w:line="230" w:lineRule="auto"/>
        <w:ind w:right="839" w:hanging="360"/>
        <w:jc w:val="both"/>
        <w:rPr>
          <w:color w:val="211F1F"/>
        </w:rPr>
      </w:pPr>
      <w:r>
        <w:rPr>
          <w:color w:val="211F1F"/>
        </w:rPr>
        <w:t>When the Procuring Entity wants the Contractor to finish before the Intended Completion Date, the Project Manager shall obtain priced proposals for achieving the necessary acceleration from the Contractor. If the Procuring Entity accepts these proposals, the Intended Completion Date shall be adjusted accordingly and confirmed by both the Procuring Entity and the Contractor.</w:t>
      </w:r>
    </w:p>
    <w:p w14:paraId="596B1AA8" w14:textId="77777777" w:rsidR="00BB77C0" w:rsidRDefault="00370BAA">
      <w:pPr>
        <w:pStyle w:val="ListParagraph"/>
        <w:numPr>
          <w:ilvl w:val="1"/>
          <w:numId w:val="23"/>
        </w:numPr>
        <w:tabs>
          <w:tab w:val="left" w:pos="1168"/>
          <w:tab w:val="left" w:pos="1171"/>
        </w:tabs>
        <w:spacing w:before="187"/>
        <w:ind w:right="927" w:hanging="360"/>
        <w:jc w:val="both"/>
        <w:rPr>
          <w:color w:val="211F1F"/>
        </w:rPr>
      </w:pPr>
      <w:r>
        <w:rPr>
          <w:color w:val="211F1F"/>
        </w:rPr>
        <w:t xml:space="preserve">If the Contractor's priced proposals for an acceleration are accepted by the Procuring Entity, they are </w:t>
      </w:r>
      <w:bookmarkStart w:id="216" w:name="29._Delays_Ordered_by_the_Project_Manage"/>
      <w:bookmarkEnd w:id="216"/>
      <w:r>
        <w:rPr>
          <w:color w:val="211F1F"/>
        </w:rPr>
        <w:t>incorporated</w:t>
      </w:r>
      <w:r>
        <w:rPr>
          <w:color w:val="211F1F"/>
          <w:spacing w:val="-14"/>
        </w:rPr>
        <w:t xml:space="preserve"> </w:t>
      </w:r>
      <w:r>
        <w:rPr>
          <w:color w:val="211F1F"/>
        </w:rPr>
        <w:t>in</w:t>
      </w:r>
      <w:r>
        <w:rPr>
          <w:color w:val="211F1F"/>
          <w:spacing w:val="-15"/>
        </w:rPr>
        <w:t xml:space="preserve"> </w:t>
      </w:r>
      <w:r>
        <w:rPr>
          <w:color w:val="211F1F"/>
        </w:rPr>
        <w:t>the</w:t>
      </w:r>
      <w:r>
        <w:rPr>
          <w:color w:val="211F1F"/>
          <w:spacing w:val="-17"/>
        </w:rPr>
        <w:t xml:space="preserve"> </w:t>
      </w:r>
      <w:r>
        <w:rPr>
          <w:color w:val="211F1F"/>
        </w:rPr>
        <w:t>Contract</w:t>
      </w:r>
      <w:r>
        <w:rPr>
          <w:color w:val="211F1F"/>
          <w:spacing w:val="-19"/>
        </w:rPr>
        <w:t xml:space="preserve"> </w:t>
      </w:r>
      <w:r>
        <w:rPr>
          <w:color w:val="211F1F"/>
        </w:rPr>
        <w:t>Price</w:t>
      </w:r>
      <w:r>
        <w:rPr>
          <w:color w:val="211F1F"/>
          <w:spacing w:val="-17"/>
        </w:rPr>
        <w:t xml:space="preserve"> </w:t>
      </w:r>
      <w:r>
        <w:rPr>
          <w:color w:val="211F1F"/>
        </w:rPr>
        <w:t>and</w:t>
      </w:r>
      <w:r>
        <w:rPr>
          <w:color w:val="211F1F"/>
          <w:spacing w:val="-15"/>
        </w:rPr>
        <w:t xml:space="preserve"> </w:t>
      </w:r>
      <w:r>
        <w:rPr>
          <w:color w:val="211F1F"/>
        </w:rPr>
        <w:t>treated</w:t>
      </w:r>
      <w:r>
        <w:rPr>
          <w:color w:val="211F1F"/>
          <w:spacing w:val="-14"/>
        </w:rPr>
        <w:t xml:space="preserve"> </w:t>
      </w:r>
      <w:r>
        <w:rPr>
          <w:color w:val="211F1F"/>
        </w:rPr>
        <w:t>as</w:t>
      </w:r>
      <w:r>
        <w:rPr>
          <w:color w:val="211F1F"/>
          <w:spacing w:val="-9"/>
        </w:rPr>
        <w:t xml:space="preserve"> </w:t>
      </w:r>
      <w:r>
        <w:rPr>
          <w:color w:val="211F1F"/>
        </w:rPr>
        <w:t>a</w:t>
      </w:r>
      <w:r>
        <w:rPr>
          <w:color w:val="211F1F"/>
          <w:spacing w:val="-18"/>
        </w:rPr>
        <w:t xml:space="preserve"> </w:t>
      </w:r>
      <w:r>
        <w:rPr>
          <w:color w:val="211F1F"/>
        </w:rPr>
        <w:t>Variation.</w:t>
      </w:r>
    </w:p>
    <w:p w14:paraId="7CEA87A1" w14:textId="77777777" w:rsidR="00BB77C0" w:rsidRDefault="00370BAA">
      <w:pPr>
        <w:pStyle w:val="Heading7"/>
        <w:numPr>
          <w:ilvl w:val="0"/>
          <w:numId w:val="23"/>
        </w:numPr>
        <w:tabs>
          <w:tab w:val="left" w:pos="1075"/>
        </w:tabs>
        <w:spacing w:before="234"/>
        <w:ind w:left="1075" w:hanging="355"/>
        <w:jc w:val="left"/>
      </w:pPr>
      <w:r>
        <w:rPr>
          <w:color w:val="211F1F"/>
          <w:spacing w:val="-4"/>
        </w:rPr>
        <w:t>Delays</w:t>
      </w:r>
      <w:r>
        <w:rPr>
          <w:color w:val="211F1F"/>
          <w:spacing w:val="-19"/>
        </w:rPr>
        <w:t xml:space="preserve"> </w:t>
      </w:r>
      <w:r>
        <w:rPr>
          <w:color w:val="211F1F"/>
          <w:spacing w:val="-4"/>
        </w:rPr>
        <w:t>Ordered</w:t>
      </w:r>
      <w:r>
        <w:rPr>
          <w:color w:val="211F1F"/>
          <w:spacing w:val="-11"/>
        </w:rPr>
        <w:t xml:space="preserve"> </w:t>
      </w:r>
      <w:r>
        <w:rPr>
          <w:color w:val="211F1F"/>
          <w:spacing w:val="-4"/>
        </w:rPr>
        <w:t>by</w:t>
      </w:r>
      <w:r>
        <w:rPr>
          <w:color w:val="211F1F"/>
          <w:spacing w:val="-13"/>
        </w:rPr>
        <w:t xml:space="preserve"> </w:t>
      </w:r>
      <w:r>
        <w:rPr>
          <w:color w:val="211F1F"/>
          <w:spacing w:val="-4"/>
        </w:rPr>
        <w:t>the</w:t>
      </w:r>
      <w:r>
        <w:rPr>
          <w:color w:val="211F1F"/>
          <w:spacing w:val="-10"/>
        </w:rPr>
        <w:t xml:space="preserve"> </w:t>
      </w:r>
      <w:r>
        <w:rPr>
          <w:color w:val="211F1F"/>
          <w:spacing w:val="-4"/>
        </w:rPr>
        <w:t>Project</w:t>
      </w:r>
      <w:r>
        <w:rPr>
          <w:color w:val="211F1F"/>
          <w:spacing w:val="-8"/>
        </w:rPr>
        <w:t xml:space="preserve"> </w:t>
      </w:r>
      <w:r>
        <w:rPr>
          <w:color w:val="211F1F"/>
          <w:spacing w:val="-4"/>
        </w:rPr>
        <w:t>Manager</w:t>
      </w:r>
    </w:p>
    <w:p w14:paraId="4C621B35" w14:textId="77777777" w:rsidR="00BB77C0" w:rsidRDefault="00370BAA">
      <w:pPr>
        <w:pStyle w:val="ListParagraph"/>
        <w:numPr>
          <w:ilvl w:val="1"/>
          <w:numId w:val="23"/>
        </w:numPr>
        <w:tabs>
          <w:tab w:val="left" w:pos="1168"/>
        </w:tabs>
        <w:spacing w:before="183"/>
        <w:ind w:left="1168" w:hanging="357"/>
        <w:rPr>
          <w:color w:val="211F1F"/>
        </w:rPr>
      </w:pPr>
      <w:r>
        <w:rPr>
          <w:color w:val="211F1F"/>
          <w:spacing w:val="-4"/>
        </w:rPr>
        <w:t>The</w:t>
      </w:r>
      <w:r>
        <w:rPr>
          <w:color w:val="211F1F"/>
          <w:spacing w:val="-11"/>
        </w:rPr>
        <w:t xml:space="preserve"> </w:t>
      </w:r>
      <w:r>
        <w:rPr>
          <w:color w:val="211F1F"/>
          <w:spacing w:val="-4"/>
        </w:rPr>
        <w:t>Project</w:t>
      </w:r>
      <w:r>
        <w:rPr>
          <w:color w:val="211F1F"/>
          <w:spacing w:val="-3"/>
        </w:rPr>
        <w:t xml:space="preserve"> </w:t>
      </w:r>
      <w:r>
        <w:rPr>
          <w:color w:val="211F1F"/>
          <w:spacing w:val="-4"/>
        </w:rPr>
        <w:t>Manager</w:t>
      </w:r>
      <w:r>
        <w:rPr>
          <w:color w:val="211F1F"/>
          <w:spacing w:val="1"/>
        </w:rPr>
        <w:t xml:space="preserve"> </w:t>
      </w:r>
      <w:r>
        <w:rPr>
          <w:color w:val="211F1F"/>
          <w:spacing w:val="-4"/>
        </w:rPr>
        <w:t>may</w:t>
      </w:r>
      <w:r>
        <w:rPr>
          <w:color w:val="211F1F"/>
          <w:spacing w:val="-9"/>
        </w:rPr>
        <w:t xml:space="preserve"> </w:t>
      </w:r>
      <w:r>
        <w:rPr>
          <w:color w:val="211F1F"/>
          <w:spacing w:val="-4"/>
        </w:rPr>
        <w:t>instruct</w:t>
      </w:r>
      <w:r>
        <w:rPr>
          <w:color w:val="211F1F"/>
          <w:spacing w:val="-7"/>
        </w:rPr>
        <w:t xml:space="preserve"> </w:t>
      </w:r>
      <w:r>
        <w:rPr>
          <w:color w:val="211F1F"/>
          <w:spacing w:val="-4"/>
        </w:rPr>
        <w:t>the</w:t>
      </w:r>
      <w:r>
        <w:rPr>
          <w:color w:val="211F1F"/>
          <w:spacing w:val="-12"/>
        </w:rPr>
        <w:t xml:space="preserve"> </w:t>
      </w:r>
      <w:r>
        <w:rPr>
          <w:color w:val="211F1F"/>
          <w:spacing w:val="-4"/>
        </w:rPr>
        <w:t>Contractor</w:t>
      </w:r>
      <w:r>
        <w:rPr>
          <w:color w:val="211F1F"/>
          <w:spacing w:val="-5"/>
        </w:rPr>
        <w:t xml:space="preserve"> </w:t>
      </w:r>
      <w:r>
        <w:rPr>
          <w:color w:val="211F1F"/>
          <w:spacing w:val="-4"/>
        </w:rPr>
        <w:t>to</w:t>
      </w:r>
      <w:r>
        <w:rPr>
          <w:color w:val="211F1F"/>
          <w:spacing w:val="-10"/>
        </w:rPr>
        <w:t xml:space="preserve"> </w:t>
      </w:r>
      <w:r>
        <w:rPr>
          <w:color w:val="211F1F"/>
          <w:spacing w:val="-4"/>
        </w:rPr>
        <w:t>delay</w:t>
      </w:r>
      <w:r>
        <w:rPr>
          <w:color w:val="211F1F"/>
          <w:spacing w:val="-9"/>
        </w:rPr>
        <w:t xml:space="preserve"> </w:t>
      </w:r>
      <w:r>
        <w:rPr>
          <w:color w:val="211F1F"/>
          <w:spacing w:val="-4"/>
        </w:rPr>
        <w:t>the</w:t>
      </w:r>
      <w:r>
        <w:rPr>
          <w:color w:val="211F1F"/>
          <w:spacing w:val="-6"/>
        </w:rPr>
        <w:t xml:space="preserve"> </w:t>
      </w:r>
      <w:r>
        <w:rPr>
          <w:color w:val="211F1F"/>
          <w:spacing w:val="-4"/>
        </w:rPr>
        <w:t>start</w:t>
      </w:r>
      <w:r>
        <w:rPr>
          <w:color w:val="211F1F"/>
          <w:spacing w:val="-3"/>
        </w:rPr>
        <w:t xml:space="preserve"> </w:t>
      </w:r>
      <w:r>
        <w:rPr>
          <w:color w:val="211F1F"/>
          <w:spacing w:val="-4"/>
        </w:rPr>
        <w:t>or</w:t>
      </w:r>
      <w:r>
        <w:rPr>
          <w:color w:val="211F1F"/>
          <w:spacing w:val="-6"/>
        </w:rPr>
        <w:t xml:space="preserve"> </w:t>
      </w:r>
      <w:r>
        <w:rPr>
          <w:color w:val="211F1F"/>
          <w:spacing w:val="-4"/>
        </w:rPr>
        <w:t>progress</w:t>
      </w:r>
      <w:r>
        <w:rPr>
          <w:color w:val="211F1F"/>
          <w:spacing w:val="-7"/>
        </w:rPr>
        <w:t xml:space="preserve"> </w:t>
      </w:r>
      <w:r>
        <w:rPr>
          <w:color w:val="211F1F"/>
          <w:spacing w:val="-4"/>
        </w:rPr>
        <w:t>of</w:t>
      </w:r>
      <w:r>
        <w:rPr>
          <w:color w:val="211F1F"/>
          <w:spacing w:val="-12"/>
        </w:rPr>
        <w:t xml:space="preserve"> </w:t>
      </w:r>
      <w:r>
        <w:rPr>
          <w:color w:val="211F1F"/>
          <w:spacing w:val="-4"/>
        </w:rPr>
        <w:t>any</w:t>
      </w:r>
      <w:r>
        <w:rPr>
          <w:color w:val="211F1F"/>
          <w:spacing w:val="-15"/>
        </w:rPr>
        <w:t xml:space="preserve"> </w:t>
      </w:r>
      <w:r>
        <w:rPr>
          <w:color w:val="211F1F"/>
          <w:spacing w:val="-4"/>
        </w:rPr>
        <w:t>activity</w:t>
      </w:r>
      <w:r>
        <w:rPr>
          <w:color w:val="211F1F"/>
          <w:spacing w:val="-9"/>
        </w:rPr>
        <w:t xml:space="preserve"> </w:t>
      </w:r>
      <w:r>
        <w:rPr>
          <w:color w:val="211F1F"/>
          <w:spacing w:val="-4"/>
        </w:rPr>
        <w:t>within</w:t>
      </w:r>
      <w:r>
        <w:rPr>
          <w:color w:val="211F1F"/>
          <w:spacing w:val="-9"/>
        </w:rPr>
        <w:t xml:space="preserve"> </w:t>
      </w:r>
      <w:r>
        <w:rPr>
          <w:color w:val="211F1F"/>
          <w:spacing w:val="-4"/>
        </w:rPr>
        <w:t>the</w:t>
      </w:r>
      <w:r>
        <w:rPr>
          <w:color w:val="211F1F"/>
          <w:spacing w:val="24"/>
        </w:rPr>
        <w:t xml:space="preserve"> </w:t>
      </w:r>
      <w:r>
        <w:rPr>
          <w:color w:val="211F1F"/>
          <w:spacing w:val="-4"/>
        </w:rPr>
        <w:t>Works.</w:t>
      </w:r>
    </w:p>
    <w:p w14:paraId="6ABA937F" w14:textId="77777777" w:rsidR="00BB77C0" w:rsidRDefault="00370BAA">
      <w:pPr>
        <w:pStyle w:val="Heading7"/>
        <w:numPr>
          <w:ilvl w:val="0"/>
          <w:numId w:val="23"/>
        </w:numPr>
        <w:tabs>
          <w:tab w:val="left" w:pos="1075"/>
        </w:tabs>
        <w:spacing w:before="242"/>
        <w:ind w:left="1075" w:hanging="355"/>
        <w:jc w:val="left"/>
      </w:pPr>
      <w:bookmarkStart w:id="217" w:name="30._Management_Meetings"/>
      <w:bookmarkEnd w:id="217"/>
      <w:r>
        <w:rPr>
          <w:color w:val="211F1F"/>
          <w:spacing w:val="-5"/>
        </w:rPr>
        <w:t>Management</w:t>
      </w:r>
      <w:r>
        <w:rPr>
          <w:color w:val="211F1F"/>
          <w:spacing w:val="6"/>
        </w:rPr>
        <w:t xml:space="preserve"> </w:t>
      </w:r>
      <w:r>
        <w:rPr>
          <w:color w:val="211F1F"/>
          <w:spacing w:val="-2"/>
        </w:rPr>
        <w:t>Meetings</w:t>
      </w:r>
    </w:p>
    <w:p w14:paraId="12B967C6" w14:textId="77777777" w:rsidR="00BB77C0" w:rsidRDefault="00370BAA">
      <w:pPr>
        <w:pStyle w:val="ListParagraph"/>
        <w:numPr>
          <w:ilvl w:val="1"/>
          <w:numId w:val="23"/>
        </w:numPr>
        <w:tabs>
          <w:tab w:val="left" w:pos="1168"/>
          <w:tab w:val="left" w:pos="1171"/>
        </w:tabs>
        <w:spacing w:before="190" w:line="232" w:lineRule="auto"/>
        <w:ind w:right="846" w:hanging="360"/>
        <w:jc w:val="both"/>
        <w:rPr>
          <w:color w:val="211F1F"/>
        </w:rPr>
      </w:pPr>
      <w:r>
        <w:rPr>
          <w:color w:val="211F1F"/>
        </w:rPr>
        <w:t>Either the Project Manager or the Contractor may require the other to attend a management meeting. The business of a management meeting</w:t>
      </w:r>
      <w:r>
        <w:rPr>
          <w:color w:val="211F1F"/>
          <w:spacing w:val="-2"/>
        </w:rPr>
        <w:t xml:space="preserve"> </w:t>
      </w:r>
      <w:r>
        <w:rPr>
          <w:color w:val="211F1F"/>
        </w:rPr>
        <w:t>shall</w:t>
      </w:r>
      <w:r>
        <w:rPr>
          <w:color w:val="211F1F"/>
          <w:spacing w:val="-1"/>
        </w:rPr>
        <w:t xml:space="preserve"> </w:t>
      </w:r>
      <w:r>
        <w:rPr>
          <w:color w:val="211F1F"/>
        </w:rPr>
        <w:t>be to</w:t>
      </w:r>
      <w:r>
        <w:rPr>
          <w:color w:val="211F1F"/>
          <w:spacing w:val="-2"/>
        </w:rPr>
        <w:t xml:space="preserve"> </w:t>
      </w:r>
      <w:r>
        <w:rPr>
          <w:color w:val="211F1F"/>
        </w:rPr>
        <w:t>review</w:t>
      </w:r>
      <w:r>
        <w:rPr>
          <w:color w:val="211F1F"/>
          <w:spacing w:val="-2"/>
        </w:rPr>
        <w:t xml:space="preserve"> </w:t>
      </w:r>
      <w:r>
        <w:rPr>
          <w:color w:val="211F1F"/>
        </w:rPr>
        <w:t>the</w:t>
      </w:r>
      <w:r>
        <w:rPr>
          <w:color w:val="211F1F"/>
          <w:spacing w:val="-3"/>
        </w:rPr>
        <w:t xml:space="preserve"> </w:t>
      </w:r>
      <w:r>
        <w:rPr>
          <w:color w:val="211F1F"/>
        </w:rPr>
        <w:t>plans for remaining work</w:t>
      </w:r>
      <w:r>
        <w:rPr>
          <w:color w:val="211F1F"/>
          <w:spacing w:val="-2"/>
        </w:rPr>
        <w:t xml:space="preserve"> </w:t>
      </w:r>
      <w:r>
        <w:rPr>
          <w:color w:val="211F1F"/>
        </w:rPr>
        <w:t>and</w:t>
      </w:r>
      <w:r>
        <w:rPr>
          <w:color w:val="211F1F"/>
          <w:spacing w:val="-2"/>
        </w:rPr>
        <w:t xml:space="preserve"> </w:t>
      </w:r>
      <w:r>
        <w:rPr>
          <w:color w:val="211F1F"/>
        </w:rPr>
        <w:t>to</w:t>
      </w:r>
      <w:r>
        <w:rPr>
          <w:color w:val="211F1F"/>
          <w:spacing w:val="-2"/>
        </w:rPr>
        <w:t xml:space="preserve"> </w:t>
      </w:r>
      <w:r>
        <w:rPr>
          <w:color w:val="211F1F"/>
        </w:rPr>
        <w:t>deal</w:t>
      </w:r>
      <w:r>
        <w:rPr>
          <w:color w:val="211F1F"/>
          <w:spacing w:val="-1"/>
        </w:rPr>
        <w:t xml:space="preserve"> </w:t>
      </w:r>
      <w:r>
        <w:rPr>
          <w:color w:val="211F1F"/>
        </w:rPr>
        <w:t>with matters raised in accordance with the early warning procedure.</w:t>
      </w:r>
    </w:p>
    <w:p w14:paraId="6DCEDB56" w14:textId="77777777" w:rsidR="00BB77C0" w:rsidRDefault="00370BAA">
      <w:pPr>
        <w:pStyle w:val="ListParagraph"/>
        <w:numPr>
          <w:ilvl w:val="1"/>
          <w:numId w:val="23"/>
        </w:numPr>
        <w:tabs>
          <w:tab w:val="left" w:pos="1168"/>
          <w:tab w:val="left" w:pos="1171"/>
        </w:tabs>
        <w:spacing w:before="193" w:line="230" w:lineRule="auto"/>
        <w:ind w:right="845" w:hanging="360"/>
        <w:jc w:val="both"/>
        <w:rPr>
          <w:color w:val="211F1F"/>
        </w:rPr>
      </w:pPr>
      <w:r>
        <w:rPr>
          <w:color w:val="211F1F"/>
        </w:rPr>
        <w:t>The</w:t>
      </w:r>
      <w:r>
        <w:rPr>
          <w:color w:val="211F1F"/>
          <w:spacing w:val="-2"/>
        </w:rPr>
        <w:t xml:space="preserve"> </w:t>
      </w:r>
      <w:r>
        <w:rPr>
          <w:color w:val="211F1F"/>
        </w:rPr>
        <w:t>Project Manager shall record the</w:t>
      </w:r>
      <w:r>
        <w:rPr>
          <w:color w:val="211F1F"/>
          <w:spacing w:val="-2"/>
        </w:rPr>
        <w:t xml:space="preserve"> </w:t>
      </w:r>
      <w:r>
        <w:rPr>
          <w:color w:val="211F1F"/>
        </w:rPr>
        <w:t>business of management meetings and provide</w:t>
      </w:r>
      <w:r>
        <w:rPr>
          <w:color w:val="211F1F"/>
          <w:spacing w:val="-2"/>
        </w:rPr>
        <w:t xml:space="preserve"> </w:t>
      </w:r>
      <w:r>
        <w:rPr>
          <w:color w:val="211F1F"/>
        </w:rPr>
        <w:t>copies of the</w:t>
      </w:r>
      <w:r>
        <w:rPr>
          <w:color w:val="211F1F"/>
          <w:spacing w:val="-2"/>
        </w:rPr>
        <w:t xml:space="preserve"> </w:t>
      </w:r>
      <w:r>
        <w:rPr>
          <w:color w:val="211F1F"/>
        </w:rPr>
        <w:t>record to those attending the meeting and to the Procuring Entity. The responsibility of the parties for actions to be taken shall be decided by the Project Manager either at the management meeting or after the management meeting</w:t>
      </w:r>
      <w:r>
        <w:rPr>
          <w:color w:val="211F1F"/>
          <w:spacing w:val="-2"/>
        </w:rPr>
        <w:t xml:space="preserve"> </w:t>
      </w:r>
      <w:r>
        <w:rPr>
          <w:color w:val="211F1F"/>
        </w:rPr>
        <w:t>and</w:t>
      </w:r>
      <w:r>
        <w:rPr>
          <w:color w:val="211F1F"/>
          <w:spacing w:val="-3"/>
        </w:rPr>
        <w:t xml:space="preserve"> </w:t>
      </w:r>
      <w:r>
        <w:rPr>
          <w:color w:val="211F1F"/>
        </w:rPr>
        <w:t>stated</w:t>
      </w:r>
      <w:r>
        <w:rPr>
          <w:color w:val="211F1F"/>
          <w:spacing w:val="-2"/>
        </w:rPr>
        <w:t xml:space="preserve"> </w:t>
      </w:r>
      <w:r>
        <w:rPr>
          <w:color w:val="211F1F"/>
        </w:rPr>
        <w:t>in writing to</w:t>
      </w:r>
      <w:r>
        <w:rPr>
          <w:color w:val="211F1F"/>
          <w:spacing w:val="-2"/>
        </w:rPr>
        <w:t xml:space="preserve"> </w:t>
      </w:r>
      <w:r>
        <w:rPr>
          <w:color w:val="211F1F"/>
        </w:rPr>
        <w:t>all who attended the meeting.</w:t>
      </w:r>
    </w:p>
    <w:p w14:paraId="33C16C3A" w14:textId="77777777" w:rsidR="00BB77C0" w:rsidRDefault="00370BAA">
      <w:pPr>
        <w:pStyle w:val="Heading7"/>
        <w:numPr>
          <w:ilvl w:val="0"/>
          <w:numId w:val="23"/>
        </w:numPr>
        <w:tabs>
          <w:tab w:val="left" w:pos="1075"/>
        </w:tabs>
        <w:spacing w:before="245"/>
        <w:ind w:left="1075" w:hanging="355"/>
        <w:jc w:val="left"/>
      </w:pPr>
      <w:bookmarkStart w:id="218" w:name="31._Early_Warning"/>
      <w:bookmarkEnd w:id="218"/>
      <w:r>
        <w:rPr>
          <w:color w:val="211F1F"/>
          <w:spacing w:val="-2"/>
        </w:rPr>
        <w:t>Early</w:t>
      </w:r>
      <w:r>
        <w:rPr>
          <w:color w:val="211F1F"/>
          <w:spacing w:val="-22"/>
        </w:rPr>
        <w:t xml:space="preserve"> </w:t>
      </w:r>
      <w:r>
        <w:rPr>
          <w:color w:val="211F1F"/>
          <w:spacing w:val="-2"/>
        </w:rPr>
        <w:t>Warning</w:t>
      </w:r>
    </w:p>
    <w:p w14:paraId="1E61BBD3" w14:textId="77777777" w:rsidR="00BB77C0" w:rsidRDefault="00370BAA">
      <w:pPr>
        <w:pStyle w:val="ListParagraph"/>
        <w:numPr>
          <w:ilvl w:val="1"/>
          <w:numId w:val="23"/>
        </w:numPr>
        <w:tabs>
          <w:tab w:val="left" w:pos="1168"/>
          <w:tab w:val="left" w:pos="1171"/>
        </w:tabs>
        <w:spacing w:before="192" w:line="230" w:lineRule="auto"/>
        <w:ind w:right="837" w:hanging="360"/>
        <w:jc w:val="both"/>
        <w:rPr>
          <w:color w:val="211F1F"/>
        </w:rPr>
      </w:pPr>
      <w:r>
        <w:rPr>
          <w:color w:val="211F1F"/>
        </w:rPr>
        <w:t>The Contractor shall warn the Project Manager at the earliest opportunity of specific likely future events or circumstances that may adversely affect the quality of the work, increase the Contract Price, or delay the execution of the Works. The Project Manager may require the Contractor to provide an estimate of the expected</w:t>
      </w:r>
      <w:r>
        <w:rPr>
          <w:color w:val="211F1F"/>
          <w:spacing w:val="-5"/>
        </w:rPr>
        <w:t xml:space="preserve"> </w:t>
      </w:r>
      <w:r>
        <w:rPr>
          <w:color w:val="211F1F"/>
        </w:rPr>
        <w:t>effect of</w:t>
      </w:r>
      <w:r>
        <w:rPr>
          <w:color w:val="211F1F"/>
          <w:spacing w:val="-2"/>
        </w:rPr>
        <w:t xml:space="preserve"> </w:t>
      </w:r>
      <w:r>
        <w:rPr>
          <w:color w:val="211F1F"/>
        </w:rPr>
        <w:t>the</w:t>
      </w:r>
      <w:r>
        <w:rPr>
          <w:color w:val="211F1F"/>
          <w:spacing w:val="-8"/>
        </w:rPr>
        <w:t xml:space="preserve"> </w:t>
      </w:r>
      <w:r>
        <w:rPr>
          <w:color w:val="211F1F"/>
        </w:rPr>
        <w:t>future</w:t>
      </w:r>
      <w:r>
        <w:rPr>
          <w:color w:val="211F1F"/>
          <w:spacing w:val="-7"/>
        </w:rPr>
        <w:t xml:space="preserve"> </w:t>
      </w:r>
      <w:r>
        <w:rPr>
          <w:color w:val="211F1F"/>
        </w:rPr>
        <w:t>event or circumstance</w:t>
      </w:r>
      <w:r>
        <w:rPr>
          <w:color w:val="211F1F"/>
          <w:spacing w:val="-2"/>
        </w:rPr>
        <w:t xml:space="preserve"> </w:t>
      </w:r>
      <w:r>
        <w:rPr>
          <w:color w:val="211F1F"/>
        </w:rPr>
        <w:t>on</w:t>
      </w:r>
      <w:r>
        <w:rPr>
          <w:color w:val="211F1F"/>
          <w:spacing w:val="-6"/>
        </w:rPr>
        <w:t xml:space="preserve"> </w:t>
      </w:r>
      <w:r>
        <w:rPr>
          <w:color w:val="211F1F"/>
        </w:rPr>
        <w:t>the</w:t>
      </w:r>
      <w:r>
        <w:rPr>
          <w:color w:val="211F1F"/>
          <w:spacing w:val="-7"/>
        </w:rPr>
        <w:t xml:space="preserve"> </w:t>
      </w:r>
      <w:r>
        <w:rPr>
          <w:color w:val="211F1F"/>
        </w:rPr>
        <w:t>Contract</w:t>
      </w:r>
      <w:r>
        <w:rPr>
          <w:color w:val="211F1F"/>
          <w:spacing w:val="-4"/>
        </w:rPr>
        <w:t xml:space="preserve"> </w:t>
      </w:r>
      <w:r>
        <w:rPr>
          <w:color w:val="211F1F"/>
        </w:rPr>
        <w:t>Price</w:t>
      </w:r>
      <w:r>
        <w:rPr>
          <w:color w:val="211F1F"/>
          <w:spacing w:val="-7"/>
        </w:rPr>
        <w:t xml:space="preserve"> </w:t>
      </w:r>
      <w:r>
        <w:rPr>
          <w:color w:val="211F1F"/>
        </w:rPr>
        <w:t>and</w:t>
      </w:r>
      <w:r>
        <w:rPr>
          <w:color w:val="211F1F"/>
          <w:spacing w:val="-5"/>
        </w:rPr>
        <w:t xml:space="preserve"> </w:t>
      </w:r>
      <w:r>
        <w:rPr>
          <w:color w:val="211F1F"/>
        </w:rPr>
        <w:t>Completion</w:t>
      </w:r>
      <w:r>
        <w:rPr>
          <w:color w:val="211F1F"/>
          <w:spacing w:val="-4"/>
        </w:rPr>
        <w:t xml:space="preserve"> </w:t>
      </w:r>
      <w:r>
        <w:rPr>
          <w:color w:val="211F1F"/>
        </w:rPr>
        <w:t>Date.</w:t>
      </w:r>
      <w:r>
        <w:rPr>
          <w:color w:val="211F1F"/>
          <w:spacing w:val="-3"/>
        </w:rPr>
        <w:t xml:space="preserve"> </w:t>
      </w:r>
      <w:r>
        <w:rPr>
          <w:color w:val="211F1F"/>
        </w:rPr>
        <w:t>The</w:t>
      </w:r>
      <w:r>
        <w:rPr>
          <w:color w:val="211F1F"/>
          <w:spacing w:val="-2"/>
        </w:rPr>
        <w:t xml:space="preserve"> </w:t>
      </w:r>
      <w:r>
        <w:rPr>
          <w:color w:val="211F1F"/>
        </w:rPr>
        <w:t>estimate shall be provided by the Contractor as soon as reasonably possible.</w:t>
      </w:r>
    </w:p>
    <w:p w14:paraId="266F3D75" w14:textId="77777777" w:rsidR="00BB77C0" w:rsidRDefault="00370BAA">
      <w:pPr>
        <w:pStyle w:val="ListParagraph"/>
        <w:numPr>
          <w:ilvl w:val="1"/>
          <w:numId w:val="23"/>
        </w:numPr>
        <w:tabs>
          <w:tab w:val="left" w:pos="1168"/>
          <w:tab w:val="left" w:pos="1171"/>
        </w:tabs>
        <w:spacing w:before="197" w:line="230" w:lineRule="auto"/>
        <w:ind w:right="838" w:hanging="360"/>
        <w:jc w:val="both"/>
        <w:rPr>
          <w:color w:val="211F1F"/>
        </w:rPr>
      </w:pPr>
      <w:r>
        <w:rPr>
          <w:color w:val="211F1F"/>
        </w:rPr>
        <w:t>The Contractor shall cooperate with the Project Manager in making and considering proposals for how the effect of such an event or circumstance can be avoided or reduced by anyone involved in the work and in carrying out any resulting instruction of the Project Manager.</w:t>
      </w:r>
    </w:p>
    <w:p w14:paraId="14958700" w14:textId="77777777" w:rsidR="00BB77C0" w:rsidRDefault="00BB77C0">
      <w:pPr>
        <w:pStyle w:val="BodyText"/>
        <w:spacing w:before="9"/>
      </w:pPr>
    </w:p>
    <w:p w14:paraId="4768C824" w14:textId="77777777" w:rsidR="00BB77C0" w:rsidRDefault="00370BAA">
      <w:pPr>
        <w:pStyle w:val="Heading7"/>
        <w:numPr>
          <w:ilvl w:val="0"/>
          <w:numId w:val="32"/>
        </w:numPr>
        <w:tabs>
          <w:tab w:val="left" w:pos="1051"/>
        </w:tabs>
        <w:ind w:left="1051" w:hanging="561"/>
        <w:jc w:val="left"/>
        <w:rPr>
          <w:color w:val="211F1F"/>
          <w:sz w:val="24"/>
        </w:rPr>
      </w:pPr>
      <w:bookmarkStart w:id="219" w:name="C._Quality_Control"/>
      <w:bookmarkEnd w:id="219"/>
      <w:r>
        <w:rPr>
          <w:color w:val="211F1F"/>
          <w:spacing w:val="-5"/>
        </w:rPr>
        <w:t>Quality</w:t>
      </w:r>
      <w:r>
        <w:rPr>
          <w:color w:val="211F1F"/>
          <w:spacing w:val="-4"/>
        </w:rPr>
        <w:t xml:space="preserve"> </w:t>
      </w:r>
      <w:r>
        <w:rPr>
          <w:color w:val="211F1F"/>
          <w:spacing w:val="-2"/>
        </w:rPr>
        <w:t>Control</w:t>
      </w:r>
    </w:p>
    <w:p w14:paraId="19D2EF50" w14:textId="77777777" w:rsidR="00BB77C0" w:rsidRDefault="00370BAA">
      <w:pPr>
        <w:pStyle w:val="ListParagraph"/>
        <w:numPr>
          <w:ilvl w:val="0"/>
          <w:numId w:val="23"/>
        </w:numPr>
        <w:tabs>
          <w:tab w:val="left" w:pos="1075"/>
        </w:tabs>
        <w:spacing w:before="228"/>
        <w:ind w:left="1075" w:hanging="355"/>
        <w:jc w:val="left"/>
        <w:rPr>
          <w:b/>
        </w:rPr>
      </w:pPr>
      <w:r>
        <w:rPr>
          <w:b/>
          <w:color w:val="211F1F"/>
          <w:spacing w:val="-4"/>
        </w:rPr>
        <w:t>Identifying</w:t>
      </w:r>
      <w:r>
        <w:rPr>
          <w:b/>
          <w:color w:val="211F1F"/>
          <w:spacing w:val="3"/>
        </w:rPr>
        <w:t xml:space="preserve"> </w:t>
      </w:r>
      <w:r>
        <w:rPr>
          <w:b/>
          <w:color w:val="211F1F"/>
          <w:spacing w:val="-2"/>
        </w:rPr>
        <w:t>Defects</w:t>
      </w:r>
    </w:p>
    <w:p w14:paraId="4C33888F" w14:textId="77777777" w:rsidR="00BB77C0" w:rsidRDefault="00370BAA">
      <w:pPr>
        <w:pStyle w:val="ListParagraph"/>
        <w:numPr>
          <w:ilvl w:val="1"/>
          <w:numId w:val="23"/>
        </w:numPr>
        <w:tabs>
          <w:tab w:val="left" w:pos="1168"/>
          <w:tab w:val="left" w:pos="1171"/>
        </w:tabs>
        <w:spacing w:before="192" w:line="230" w:lineRule="auto"/>
        <w:ind w:right="836" w:hanging="360"/>
        <w:jc w:val="both"/>
        <w:rPr>
          <w:color w:val="211F1F"/>
        </w:rPr>
      </w:pPr>
      <w:r>
        <w:rPr>
          <w:color w:val="211F1F"/>
        </w:rPr>
        <w:t>The Project Manager shall check the Contractor's work and notify the Contractor of any Defects that are found.</w:t>
      </w:r>
      <w:r>
        <w:rPr>
          <w:color w:val="211F1F"/>
          <w:spacing w:val="-1"/>
        </w:rPr>
        <w:t xml:space="preserve"> </w:t>
      </w:r>
      <w:r>
        <w:rPr>
          <w:color w:val="211F1F"/>
        </w:rPr>
        <w:t>Such</w:t>
      </w:r>
      <w:r>
        <w:rPr>
          <w:color w:val="211F1F"/>
          <w:spacing w:val="-7"/>
        </w:rPr>
        <w:t xml:space="preserve"> </w:t>
      </w:r>
      <w:r>
        <w:rPr>
          <w:color w:val="211F1F"/>
        </w:rPr>
        <w:t>checking</w:t>
      </w:r>
      <w:r>
        <w:rPr>
          <w:color w:val="211F1F"/>
          <w:spacing w:val="-7"/>
        </w:rPr>
        <w:t xml:space="preserve"> </w:t>
      </w:r>
      <w:r>
        <w:rPr>
          <w:color w:val="211F1F"/>
        </w:rPr>
        <w:t>shall</w:t>
      </w:r>
      <w:r>
        <w:rPr>
          <w:color w:val="211F1F"/>
          <w:spacing w:val="-6"/>
        </w:rPr>
        <w:t xml:space="preserve"> </w:t>
      </w:r>
      <w:r>
        <w:rPr>
          <w:color w:val="211F1F"/>
        </w:rPr>
        <w:t>not</w:t>
      </w:r>
      <w:r>
        <w:rPr>
          <w:color w:val="211F1F"/>
          <w:spacing w:val="-1"/>
        </w:rPr>
        <w:t xml:space="preserve"> </w:t>
      </w:r>
      <w:r>
        <w:rPr>
          <w:color w:val="211F1F"/>
        </w:rPr>
        <w:t>affect</w:t>
      </w:r>
      <w:r>
        <w:rPr>
          <w:color w:val="211F1F"/>
          <w:spacing w:val="-2"/>
        </w:rPr>
        <w:t xml:space="preserve"> </w:t>
      </w:r>
      <w:r>
        <w:rPr>
          <w:color w:val="211F1F"/>
        </w:rPr>
        <w:t>the</w:t>
      </w:r>
      <w:r>
        <w:rPr>
          <w:color w:val="211F1F"/>
          <w:spacing w:val="-10"/>
        </w:rPr>
        <w:t xml:space="preserve"> </w:t>
      </w:r>
      <w:r>
        <w:rPr>
          <w:color w:val="211F1F"/>
        </w:rPr>
        <w:t>Contractor's</w:t>
      </w:r>
      <w:r>
        <w:rPr>
          <w:color w:val="211F1F"/>
          <w:spacing w:val="-1"/>
        </w:rPr>
        <w:t xml:space="preserve"> </w:t>
      </w:r>
      <w:r>
        <w:rPr>
          <w:color w:val="211F1F"/>
        </w:rPr>
        <w:t>responsibilities. The</w:t>
      </w:r>
      <w:r>
        <w:rPr>
          <w:color w:val="211F1F"/>
          <w:spacing w:val="-4"/>
        </w:rPr>
        <w:t xml:space="preserve"> </w:t>
      </w:r>
      <w:r>
        <w:rPr>
          <w:color w:val="211F1F"/>
        </w:rPr>
        <w:t>Project</w:t>
      </w:r>
      <w:r>
        <w:rPr>
          <w:color w:val="211F1F"/>
          <w:spacing w:val="-1"/>
        </w:rPr>
        <w:t xml:space="preserve"> </w:t>
      </w:r>
      <w:r>
        <w:rPr>
          <w:color w:val="211F1F"/>
        </w:rPr>
        <w:t>Manager may</w:t>
      </w:r>
      <w:r>
        <w:rPr>
          <w:color w:val="211F1F"/>
          <w:spacing w:val="-7"/>
        </w:rPr>
        <w:t xml:space="preserve"> </w:t>
      </w:r>
      <w:r>
        <w:rPr>
          <w:color w:val="211F1F"/>
        </w:rPr>
        <w:t>instruct</w:t>
      </w:r>
      <w:r>
        <w:rPr>
          <w:color w:val="211F1F"/>
          <w:spacing w:val="-1"/>
        </w:rPr>
        <w:t xml:space="preserve"> </w:t>
      </w:r>
      <w:r>
        <w:rPr>
          <w:color w:val="211F1F"/>
        </w:rPr>
        <w:t>the Contractor to search for a Defect and to uncover and test any work that the Project Manager considers may have</w:t>
      </w:r>
      <w:r>
        <w:rPr>
          <w:color w:val="211F1F"/>
          <w:spacing w:val="-8"/>
        </w:rPr>
        <w:t xml:space="preserve"> </w:t>
      </w:r>
      <w:r>
        <w:rPr>
          <w:color w:val="211F1F"/>
        </w:rPr>
        <w:t>a Defect.</w:t>
      </w:r>
    </w:p>
    <w:p w14:paraId="700AAE23" w14:textId="77777777" w:rsidR="00BB77C0" w:rsidRDefault="00BB77C0">
      <w:pPr>
        <w:pStyle w:val="ListParagraph"/>
        <w:spacing w:line="230" w:lineRule="auto"/>
        <w:jc w:val="both"/>
        <w:sectPr w:rsidR="00BB77C0">
          <w:pgSz w:w="11920" w:h="16850"/>
          <w:pgMar w:top="240" w:right="0" w:bottom="280" w:left="360" w:header="720" w:footer="720" w:gutter="0"/>
          <w:cols w:space="720"/>
        </w:sectPr>
      </w:pPr>
    </w:p>
    <w:p w14:paraId="64C76CE6" w14:textId="77777777" w:rsidR="00BB77C0" w:rsidRDefault="00370BAA">
      <w:pPr>
        <w:pStyle w:val="Heading7"/>
        <w:numPr>
          <w:ilvl w:val="0"/>
          <w:numId w:val="23"/>
        </w:numPr>
        <w:tabs>
          <w:tab w:val="left" w:pos="1080"/>
        </w:tabs>
        <w:spacing w:before="64"/>
        <w:ind w:left="1080" w:hanging="360"/>
        <w:jc w:val="left"/>
      </w:pPr>
      <w:bookmarkStart w:id="220" w:name="33._Tests"/>
      <w:bookmarkEnd w:id="220"/>
      <w:r>
        <w:rPr>
          <w:color w:val="211F1F"/>
          <w:spacing w:val="-2"/>
        </w:rPr>
        <w:lastRenderedPageBreak/>
        <w:t>Tests</w:t>
      </w:r>
    </w:p>
    <w:p w14:paraId="51A99AE1" w14:textId="77777777" w:rsidR="00BB77C0" w:rsidRDefault="00370BAA">
      <w:pPr>
        <w:pStyle w:val="ListParagraph"/>
        <w:numPr>
          <w:ilvl w:val="1"/>
          <w:numId w:val="23"/>
        </w:numPr>
        <w:tabs>
          <w:tab w:val="left" w:pos="1168"/>
          <w:tab w:val="left" w:pos="1171"/>
        </w:tabs>
        <w:spacing w:before="192" w:line="230" w:lineRule="auto"/>
        <w:ind w:right="833" w:hanging="360"/>
        <w:jc w:val="both"/>
        <w:rPr>
          <w:color w:val="211F1F"/>
        </w:rPr>
      </w:pPr>
      <w:r>
        <w:rPr>
          <w:color w:val="211F1F"/>
        </w:rPr>
        <w:t>If the Project Manager instructs the Contractor to carry</w:t>
      </w:r>
      <w:r>
        <w:rPr>
          <w:color w:val="211F1F"/>
          <w:spacing w:val="-3"/>
        </w:rPr>
        <w:t xml:space="preserve"> </w:t>
      </w:r>
      <w:r>
        <w:rPr>
          <w:color w:val="211F1F"/>
        </w:rPr>
        <w:t>out a test not specified in the Specification to check whether any work has a Defect and the test shows that it does, the Contractor shall pay for the</w:t>
      </w:r>
      <w:r>
        <w:rPr>
          <w:color w:val="211F1F"/>
          <w:spacing w:val="-2"/>
        </w:rPr>
        <w:t xml:space="preserve"> </w:t>
      </w:r>
      <w:r>
        <w:rPr>
          <w:color w:val="211F1F"/>
        </w:rPr>
        <w:t>test</w:t>
      </w:r>
      <w:r>
        <w:rPr>
          <w:color w:val="211F1F"/>
          <w:spacing w:val="40"/>
        </w:rPr>
        <w:t xml:space="preserve"> </w:t>
      </w:r>
      <w:r>
        <w:rPr>
          <w:color w:val="211F1F"/>
        </w:rPr>
        <w:t>and</w:t>
      </w:r>
      <w:r>
        <w:rPr>
          <w:color w:val="211F1F"/>
          <w:spacing w:val="-5"/>
        </w:rPr>
        <w:t xml:space="preserve"> </w:t>
      </w:r>
      <w:r>
        <w:rPr>
          <w:color w:val="211F1F"/>
        </w:rPr>
        <w:t>any samples. If</w:t>
      </w:r>
      <w:r>
        <w:rPr>
          <w:color w:val="211F1F"/>
          <w:spacing w:val="-3"/>
        </w:rPr>
        <w:t xml:space="preserve"> </w:t>
      </w:r>
      <w:r>
        <w:rPr>
          <w:color w:val="211F1F"/>
        </w:rPr>
        <w:t>there</w:t>
      </w:r>
      <w:r>
        <w:rPr>
          <w:color w:val="211F1F"/>
          <w:spacing w:val="-2"/>
        </w:rPr>
        <w:t xml:space="preserve"> </w:t>
      </w:r>
      <w:r>
        <w:rPr>
          <w:color w:val="211F1F"/>
        </w:rPr>
        <w:t>is</w:t>
      </w:r>
      <w:r>
        <w:rPr>
          <w:color w:val="211F1F"/>
          <w:spacing w:val="-1"/>
        </w:rPr>
        <w:t xml:space="preserve"> </w:t>
      </w:r>
      <w:r>
        <w:rPr>
          <w:color w:val="211F1F"/>
        </w:rPr>
        <w:t>no</w:t>
      </w:r>
      <w:r>
        <w:rPr>
          <w:color w:val="211F1F"/>
          <w:spacing w:val="-7"/>
        </w:rPr>
        <w:t xml:space="preserve"> </w:t>
      </w:r>
      <w:r>
        <w:rPr>
          <w:color w:val="211F1F"/>
        </w:rPr>
        <w:t>Defect, the</w:t>
      </w:r>
      <w:r>
        <w:rPr>
          <w:color w:val="211F1F"/>
          <w:spacing w:val="-8"/>
        </w:rPr>
        <w:t xml:space="preserve"> </w:t>
      </w:r>
      <w:r>
        <w:rPr>
          <w:color w:val="211F1F"/>
        </w:rPr>
        <w:t>test shall</w:t>
      </w:r>
      <w:r>
        <w:rPr>
          <w:color w:val="211F1F"/>
          <w:spacing w:val="-6"/>
        </w:rPr>
        <w:t xml:space="preserve"> </w:t>
      </w:r>
      <w:r>
        <w:rPr>
          <w:color w:val="211F1F"/>
        </w:rPr>
        <w:t>be</w:t>
      </w:r>
      <w:r>
        <w:rPr>
          <w:color w:val="211F1F"/>
          <w:spacing w:val="-10"/>
        </w:rPr>
        <w:t xml:space="preserve"> </w:t>
      </w:r>
      <w:r>
        <w:rPr>
          <w:color w:val="211F1F"/>
        </w:rPr>
        <w:t>a Compensation</w:t>
      </w:r>
      <w:r>
        <w:rPr>
          <w:color w:val="211F1F"/>
          <w:spacing w:val="-6"/>
        </w:rPr>
        <w:t xml:space="preserve"> </w:t>
      </w:r>
      <w:r>
        <w:rPr>
          <w:color w:val="211F1F"/>
        </w:rPr>
        <w:t>Event.</w:t>
      </w:r>
    </w:p>
    <w:p w14:paraId="72A79615" w14:textId="77777777" w:rsidR="00BB77C0" w:rsidRDefault="00370BAA">
      <w:pPr>
        <w:pStyle w:val="Heading7"/>
        <w:numPr>
          <w:ilvl w:val="0"/>
          <w:numId w:val="23"/>
        </w:numPr>
        <w:tabs>
          <w:tab w:val="left" w:pos="1075"/>
        </w:tabs>
        <w:spacing w:before="238"/>
        <w:ind w:left="1075" w:hanging="355"/>
        <w:jc w:val="left"/>
      </w:pPr>
      <w:bookmarkStart w:id="221" w:name="34._Correction_of_Defects"/>
      <w:bookmarkEnd w:id="221"/>
      <w:r>
        <w:rPr>
          <w:color w:val="211F1F"/>
          <w:spacing w:val="-6"/>
        </w:rPr>
        <w:t>Correction</w:t>
      </w:r>
      <w:r>
        <w:rPr>
          <w:color w:val="211F1F"/>
          <w:spacing w:val="-33"/>
        </w:rPr>
        <w:t xml:space="preserve"> </w:t>
      </w:r>
      <w:r>
        <w:rPr>
          <w:color w:val="211F1F"/>
          <w:spacing w:val="-6"/>
        </w:rPr>
        <w:t>of</w:t>
      </w:r>
      <w:r>
        <w:rPr>
          <w:color w:val="211F1F"/>
          <w:spacing w:val="-18"/>
        </w:rPr>
        <w:t xml:space="preserve"> </w:t>
      </w:r>
      <w:r>
        <w:rPr>
          <w:color w:val="211F1F"/>
          <w:spacing w:val="-6"/>
        </w:rPr>
        <w:t>Defects</w:t>
      </w:r>
    </w:p>
    <w:p w14:paraId="2235967F" w14:textId="77777777" w:rsidR="00BB77C0" w:rsidRDefault="00370BAA">
      <w:pPr>
        <w:pStyle w:val="ListParagraph"/>
        <w:numPr>
          <w:ilvl w:val="1"/>
          <w:numId w:val="23"/>
        </w:numPr>
        <w:tabs>
          <w:tab w:val="left" w:pos="1168"/>
          <w:tab w:val="left" w:pos="1171"/>
        </w:tabs>
        <w:spacing w:before="197" w:line="230" w:lineRule="auto"/>
        <w:ind w:right="838" w:hanging="360"/>
        <w:jc w:val="both"/>
        <w:rPr>
          <w:color w:val="211F1F"/>
        </w:rPr>
      </w:pPr>
      <w:r>
        <w:rPr>
          <w:color w:val="211F1F"/>
        </w:rPr>
        <w:t>The</w:t>
      </w:r>
      <w:r>
        <w:rPr>
          <w:color w:val="211F1F"/>
          <w:spacing w:val="-12"/>
        </w:rPr>
        <w:t xml:space="preserve"> </w:t>
      </w:r>
      <w:r>
        <w:rPr>
          <w:color w:val="211F1F"/>
        </w:rPr>
        <w:t>Project Manager</w:t>
      </w:r>
      <w:r>
        <w:rPr>
          <w:color w:val="211F1F"/>
          <w:spacing w:val="-2"/>
        </w:rPr>
        <w:t xml:space="preserve"> </w:t>
      </w:r>
      <w:r>
        <w:rPr>
          <w:color w:val="211F1F"/>
        </w:rPr>
        <w:t>shall</w:t>
      </w:r>
      <w:r>
        <w:rPr>
          <w:color w:val="211F1F"/>
          <w:spacing w:val="-9"/>
        </w:rPr>
        <w:t xml:space="preserve"> </w:t>
      </w:r>
      <w:r>
        <w:rPr>
          <w:color w:val="211F1F"/>
        </w:rPr>
        <w:t>give</w:t>
      </w:r>
      <w:r>
        <w:rPr>
          <w:color w:val="211F1F"/>
          <w:spacing w:val="-7"/>
        </w:rPr>
        <w:t xml:space="preserve"> </w:t>
      </w:r>
      <w:r>
        <w:rPr>
          <w:color w:val="211F1F"/>
        </w:rPr>
        <w:t>notice</w:t>
      </w:r>
      <w:r>
        <w:rPr>
          <w:color w:val="211F1F"/>
          <w:spacing w:val="-12"/>
        </w:rPr>
        <w:t xml:space="preserve"> </w:t>
      </w:r>
      <w:r>
        <w:rPr>
          <w:color w:val="211F1F"/>
        </w:rPr>
        <w:t>to</w:t>
      </w:r>
      <w:r>
        <w:rPr>
          <w:color w:val="211F1F"/>
          <w:spacing w:val="-10"/>
        </w:rPr>
        <w:t xml:space="preserve"> </w:t>
      </w:r>
      <w:r>
        <w:rPr>
          <w:color w:val="211F1F"/>
        </w:rPr>
        <w:t>the</w:t>
      </w:r>
      <w:r>
        <w:rPr>
          <w:color w:val="211F1F"/>
          <w:spacing w:val="-12"/>
        </w:rPr>
        <w:t xml:space="preserve"> </w:t>
      </w:r>
      <w:r>
        <w:rPr>
          <w:color w:val="211F1F"/>
        </w:rPr>
        <w:t>Contractor</w:t>
      </w:r>
      <w:r>
        <w:rPr>
          <w:color w:val="211F1F"/>
          <w:spacing w:val="-6"/>
        </w:rPr>
        <w:t xml:space="preserve"> </w:t>
      </w:r>
      <w:r>
        <w:rPr>
          <w:color w:val="211F1F"/>
        </w:rPr>
        <w:t>of</w:t>
      </w:r>
      <w:r>
        <w:rPr>
          <w:color w:val="211F1F"/>
          <w:spacing w:val="-7"/>
        </w:rPr>
        <w:t xml:space="preserve"> </w:t>
      </w:r>
      <w:r>
        <w:rPr>
          <w:color w:val="211F1F"/>
        </w:rPr>
        <w:t>any</w:t>
      </w:r>
      <w:r>
        <w:rPr>
          <w:color w:val="211F1F"/>
          <w:spacing w:val="-10"/>
        </w:rPr>
        <w:t xml:space="preserve"> </w:t>
      </w:r>
      <w:r>
        <w:rPr>
          <w:color w:val="211F1F"/>
        </w:rPr>
        <w:t>Defects</w:t>
      </w:r>
      <w:r>
        <w:rPr>
          <w:color w:val="211F1F"/>
          <w:spacing w:val="-5"/>
        </w:rPr>
        <w:t xml:space="preserve"> </w:t>
      </w:r>
      <w:r>
        <w:rPr>
          <w:color w:val="211F1F"/>
        </w:rPr>
        <w:t>before</w:t>
      </w:r>
      <w:r>
        <w:rPr>
          <w:color w:val="211F1F"/>
          <w:spacing w:val="-11"/>
        </w:rPr>
        <w:t xml:space="preserve"> </w:t>
      </w:r>
      <w:r>
        <w:rPr>
          <w:color w:val="211F1F"/>
        </w:rPr>
        <w:t>the</w:t>
      </w:r>
      <w:r>
        <w:rPr>
          <w:color w:val="211F1F"/>
          <w:spacing w:val="-12"/>
        </w:rPr>
        <w:t xml:space="preserve"> </w:t>
      </w:r>
      <w:r>
        <w:rPr>
          <w:color w:val="211F1F"/>
        </w:rPr>
        <w:t>end</w:t>
      </w:r>
      <w:r>
        <w:rPr>
          <w:color w:val="211F1F"/>
          <w:spacing w:val="-10"/>
        </w:rPr>
        <w:t xml:space="preserve"> </w:t>
      </w:r>
      <w:r>
        <w:rPr>
          <w:color w:val="211F1F"/>
        </w:rPr>
        <w:t>of</w:t>
      </w:r>
      <w:r>
        <w:rPr>
          <w:color w:val="211F1F"/>
          <w:spacing w:val="-7"/>
        </w:rPr>
        <w:t xml:space="preserve"> </w:t>
      </w:r>
      <w:r>
        <w:rPr>
          <w:color w:val="211F1F"/>
        </w:rPr>
        <w:t>the</w:t>
      </w:r>
      <w:r>
        <w:rPr>
          <w:color w:val="211F1F"/>
          <w:spacing w:val="-12"/>
        </w:rPr>
        <w:t xml:space="preserve"> </w:t>
      </w:r>
      <w:r>
        <w:rPr>
          <w:color w:val="211F1F"/>
        </w:rPr>
        <w:t>Defects</w:t>
      </w:r>
      <w:r>
        <w:rPr>
          <w:color w:val="211F1F"/>
          <w:spacing w:val="-4"/>
        </w:rPr>
        <w:t xml:space="preserve"> </w:t>
      </w:r>
      <w:r>
        <w:rPr>
          <w:color w:val="211F1F"/>
        </w:rPr>
        <w:t>Liability Period,</w:t>
      </w:r>
      <w:r>
        <w:rPr>
          <w:color w:val="211F1F"/>
          <w:spacing w:val="-14"/>
        </w:rPr>
        <w:t xml:space="preserve"> </w:t>
      </w:r>
      <w:r>
        <w:rPr>
          <w:color w:val="211F1F"/>
        </w:rPr>
        <w:t>which</w:t>
      </w:r>
      <w:r>
        <w:rPr>
          <w:color w:val="211F1F"/>
          <w:spacing w:val="-14"/>
        </w:rPr>
        <w:t xml:space="preserve"> </w:t>
      </w:r>
      <w:r>
        <w:rPr>
          <w:color w:val="211F1F"/>
        </w:rPr>
        <w:t>begins</w:t>
      </w:r>
      <w:r>
        <w:rPr>
          <w:color w:val="211F1F"/>
          <w:spacing w:val="-14"/>
        </w:rPr>
        <w:t xml:space="preserve"> </w:t>
      </w:r>
      <w:r>
        <w:rPr>
          <w:color w:val="211F1F"/>
        </w:rPr>
        <w:t>at</w:t>
      </w:r>
      <w:r>
        <w:rPr>
          <w:color w:val="211F1F"/>
          <w:spacing w:val="-13"/>
        </w:rPr>
        <w:t xml:space="preserve"> </w:t>
      </w:r>
      <w:r>
        <w:rPr>
          <w:color w:val="211F1F"/>
        </w:rPr>
        <w:t>Completion,</w:t>
      </w:r>
      <w:r>
        <w:rPr>
          <w:color w:val="211F1F"/>
          <w:spacing w:val="-7"/>
        </w:rPr>
        <w:t xml:space="preserve"> </w:t>
      </w:r>
      <w:r>
        <w:rPr>
          <w:color w:val="211F1F"/>
        </w:rPr>
        <w:t>and</w:t>
      </w:r>
      <w:r>
        <w:rPr>
          <w:color w:val="211F1F"/>
          <w:spacing w:val="-14"/>
        </w:rPr>
        <w:t xml:space="preserve"> </w:t>
      </w:r>
      <w:r>
        <w:rPr>
          <w:color w:val="211F1F"/>
        </w:rPr>
        <w:t>is</w:t>
      </w:r>
      <w:r>
        <w:rPr>
          <w:color w:val="211F1F"/>
          <w:spacing w:val="-10"/>
        </w:rPr>
        <w:t xml:space="preserve"> </w:t>
      </w:r>
      <w:r>
        <w:rPr>
          <w:color w:val="211F1F"/>
        </w:rPr>
        <w:t>defined</w:t>
      </w:r>
      <w:r>
        <w:rPr>
          <w:color w:val="211F1F"/>
          <w:spacing w:val="-14"/>
        </w:rPr>
        <w:t xml:space="preserve"> </w:t>
      </w:r>
      <w:r>
        <w:rPr>
          <w:color w:val="211F1F"/>
        </w:rPr>
        <w:t>in</w:t>
      </w:r>
      <w:r>
        <w:rPr>
          <w:color w:val="211F1F"/>
          <w:spacing w:val="-14"/>
        </w:rPr>
        <w:t xml:space="preserve"> </w:t>
      </w:r>
      <w:r>
        <w:rPr>
          <w:color w:val="211F1F"/>
        </w:rPr>
        <w:t>the</w:t>
      </w:r>
      <w:r>
        <w:rPr>
          <w:color w:val="211F1F"/>
          <w:spacing w:val="-14"/>
        </w:rPr>
        <w:t xml:space="preserve"> </w:t>
      </w:r>
      <w:r>
        <w:rPr>
          <w:color w:val="211F1F"/>
        </w:rPr>
        <w:t>SCC.</w:t>
      </w:r>
      <w:r>
        <w:rPr>
          <w:color w:val="211F1F"/>
          <w:spacing w:val="-13"/>
        </w:rPr>
        <w:t xml:space="preserve"> </w:t>
      </w:r>
      <w:r>
        <w:rPr>
          <w:color w:val="211F1F"/>
        </w:rPr>
        <w:t>The</w:t>
      </w:r>
      <w:r>
        <w:rPr>
          <w:color w:val="211F1F"/>
          <w:spacing w:val="-14"/>
        </w:rPr>
        <w:t xml:space="preserve"> </w:t>
      </w:r>
      <w:r>
        <w:rPr>
          <w:color w:val="211F1F"/>
        </w:rPr>
        <w:t>Defects</w:t>
      </w:r>
      <w:r>
        <w:rPr>
          <w:color w:val="211F1F"/>
          <w:spacing w:val="-9"/>
        </w:rPr>
        <w:t xml:space="preserve"> </w:t>
      </w:r>
      <w:r>
        <w:rPr>
          <w:color w:val="211F1F"/>
        </w:rPr>
        <w:t>Liability</w:t>
      </w:r>
      <w:r>
        <w:rPr>
          <w:color w:val="211F1F"/>
          <w:spacing w:val="-14"/>
        </w:rPr>
        <w:t xml:space="preserve"> </w:t>
      </w:r>
      <w:r>
        <w:rPr>
          <w:color w:val="211F1F"/>
        </w:rPr>
        <w:t>Period</w:t>
      </w:r>
      <w:r>
        <w:rPr>
          <w:color w:val="211F1F"/>
          <w:spacing w:val="-14"/>
        </w:rPr>
        <w:t xml:space="preserve"> </w:t>
      </w:r>
      <w:r>
        <w:rPr>
          <w:color w:val="211F1F"/>
        </w:rPr>
        <w:t>shall</w:t>
      </w:r>
      <w:r>
        <w:rPr>
          <w:color w:val="211F1F"/>
          <w:spacing w:val="-14"/>
        </w:rPr>
        <w:t xml:space="preserve"> </w:t>
      </w:r>
      <w:r>
        <w:rPr>
          <w:color w:val="211F1F"/>
        </w:rPr>
        <w:t>be</w:t>
      </w:r>
      <w:r>
        <w:rPr>
          <w:color w:val="211F1F"/>
          <w:spacing w:val="-12"/>
        </w:rPr>
        <w:t xml:space="preserve"> </w:t>
      </w:r>
      <w:r>
        <w:rPr>
          <w:color w:val="211F1F"/>
        </w:rPr>
        <w:t>extended for as long as Defects remain to be corrected.</w:t>
      </w:r>
    </w:p>
    <w:p w14:paraId="7CDB4B24" w14:textId="77777777" w:rsidR="00BB77C0" w:rsidRDefault="00370BAA">
      <w:pPr>
        <w:pStyle w:val="ListParagraph"/>
        <w:numPr>
          <w:ilvl w:val="1"/>
          <w:numId w:val="23"/>
        </w:numPr>
        <w:tabs>
          <w:tab w:val="left" w:pos="1168"/>
          <w:tab w:val="left" w:pos="1171"/>
        </w:tabs>
        <w:spacing w:before="192" w:line="237" w:lineRule="auto"/>
        <w:ind w:right="928" w:hanging="360"/>
        <w:jc w:val="both"/>
        <w:rPr>
          <w:color w:val="211F1F"/>
        </w:rPr>
      </w:pPr>
      <w:r>
        <w:rPr>
          <w:color w:val="211F1F"/>
        </w:rPr>
        <w:t>Every time notice of a Defect is given, the Contractor shall correct the notified Defect within the length of time</w:t>
      </w:r>
      <w:r>
        <w:rPr>
          <w:color w:val="211F1F"/>
          <w:spacing w:val="-11"/>
        </w:rPr>
        <w:t xml:space="preserve"> </w:t>
      </w:r>
      <w:r>
        <w:rPr>
          <w:color w:val="211F1F"/>
        </w:rPr>
        <w:t>specified</w:t>
      </w:r>
      <w:r>
        <w:rPr>
          <w:color w:val="211F1F"/>
          <w:spacing w:val="-10"/>
        </w:rPr>
        <w:t xml:space="preserve"> </w:t>
      </w:r>
      <w:r>
        <w:rPr>
          <w:color w:val="211F1F"/>
        </w:rPr>
        <w:t>by</w:t>
      </w:r>
      <w:r>
        <w:rPr>
          <w:color w:val="211F1F"/>
          <w:spacing w:val="-9"/>
        </w:rPr>
        <w:t xml:space="preserve"> </w:t>
      </w:r>
      <w:r>
        <w:rPr>
          <w:color w:val="211F1F"/>
        </w:rPr>
        <w:t>the</w:t>
      </w:r>
      <w:r>
        <w:rPr>
          <w:color w:val="211F1F"/>
          <w:spacing w:val="-13"/>
        </w:rPr>
        <w:t xml:space="preserve"> </w:t>
      </w:r>
      <w:r>
        <w:rPr>
          <w:color w:val="211F1F"/>
        </w:rPr>
        <w:t>Project</w:t>
      </w:r>
      <w:r>
        <w:rPr>
          <w:color w:val="211F1F"/>
          <w:spacing w:val="-7"/>
        </w:rPr>
        <w:t xml:space="preserve"> </w:t>
      </w:r>
      <w:r>
        <w:rPr>
          <w:color w:val="211F1F"/>
        </w:rPr>
        <w:t>Manager's</w:t>
      </w:r>
      <w:r>
        <w:rPr>
          <w:color w:val="211F1F"/>
          <w:spacing w:val="-2"/>
        </w:rPr>
        <w:t xml:space="preserve"> </w:t>
      </w:r>
      <w:r>
        <w:rPr>
          <w:color w:val="211F1F"/>
        </w:rPr>
        <w:t>notice.</w:t>
      </w:r>
    </w:p>
    <w:p w14:paraId="03DEAF73" w14:textId="77777777" w:rsidR="00BB77C0" w:rsidRDefault="00370BAA">
      <w:pPr>
        <w:pStyle w:val="Heading7"/>
        <w:numPr>
          <w:ilvl w:val="0"/>
          <w:numId w:val="23"/>
        </w:numPr>
        <w:tabs>
          <w:tab w:val="left" w:pos="1075"/>
        </w:tabs>
        <w:spacing w:before="231"/>
        <w:ind w:left="1075" w:hanging="355"/>
        <w:jc w:val="left"/>
      </w:pPr>
      <w:bookmarkStart w:id="222" w:name="35._Uncorrected_Defects"/>
      <w:bookmarkEnd w:id="222"/>
      <w:r>
        <w:rPr>
          <w:color w:val="211F1F"/>
          <w:spacing w:val="-4"/>
        </w:rPr>
        <w:t>Uncorrected</w:t>
      </w:r>
      <w:r>
        <w:rPr>
          <w:color w:val="211F1F"/>
          <w:spacing w:val="10"/>
        </w:rPr>
        <w:t xml:space="preserve"> </w:t>
      </w:r>
      <w:r>
        <w:rPr>
          <w:color w:val="211F1F"/>
          <w:spacing w:val="-2"/>
        </w:rPr>
        <w:t>Defects</w:t>
      </w:r>
    </w:p>
    <w:p w14:paraId="10FD7C90" w14:textId="77777777" w:rsidR="00BB77C0" w:rsidRDefault="00370BAA">
      <w:pPr>
        <w:pStyle w:val="ListParagraph"/>
        <w:numPr>
          <w:ilvl w:val="1"/>
          <w:numId w:val="23"/>
        </w:numPr>
        <w:tabs>
          <w:tab w:val="left" w:pos="1163"/>
          <w:tab w:val="left" w:pos="1171"/>
        </w:tabs>
        <w:spacing w:before="191" w:line="232" w:lineRule="auto"/>
        <w:ind w:right="844" w:hanging="360"/>
        <w:jc w:val="both"/>
        <w:rPr>
          <w:color w:val="211F1F"/>
        </w:rPr>
      </w:pPr>
      <w:r>
        <w:rPr>
          <w:color w:val="211F1F"/>
          <w:spacing w:val="-2"/>
        </w:rPr>
        <w:t>If</w:t>
      </w:r>
      <w:r>
        <w:rPr>
          <w:color w:val="211F1F"/>
          <w:spacing w:val="-12"/>
        </w:rPr>
        <w:t xml:space="preserve"> </w:t>
      </w:r>
      <w:r>
        <w:rPr>
          <w:color w:val="211F1F"/>
          <w:spacing w:val="-2"/>
        </w:rPr>
        <w:t>the</w:t>
      </w:r>
      <w:r>
        <w:rPr>
          <w:color w:val="211F1F"/>
          <w:spacing w:val="-12"/>
        </w:rPr>
        <w:t xml:space="preserve"> </w:t>
      </w:r>
      <w:r>
        <w:rPr>
          <w:color w:val="211F1F"/>
          <w:spacing w:val="-2"/>
        </w:rPr>
        <w:t>Contractor</w:t>
      </w:r>
      <w:r>
        <w:rPr>
          <w:color w:val="211F1F"/>
          <w:spacing w:val="-12"/>
        </w:rPr>
        <w:t xml:space="preserve"> </w:t>
      </w:r>
      <w:r>
        <w:rPr>
          <w:color w:val="211F1F"/>
          <w:spacing w:val="-2"/>
        </w:rPr>
        <w:t>has</w:t>
      </w:r>
      <w:r>
        <w:rPr>
          <w:color w:val="211F1F"/>
          <w:spacing w:val="-11"/>
        </w:rPr>
        <w:t xml:space="preserve"> </w:t>
      </w:r>
      <w:r>
        <w:rPr>
          <w:color w:val="211F1F"/>
          <w:spacing w:val="-2"/>
        </w:rPr>
        <w:t>not</w:t>
      </w:r>
      <w:r>
        <w:rPr>
          <w:color w:val="211F1F"/>
          <w:spacing w:val="-12"/>
        </w:rPr>
        <w:t xml:space="preserve"> </w:t>
      </w:r>
      <w:r>
        <w:rPr>
          <w:color w:val="211F1F"/>
          <w:spacing w:val="-2"/>
        </w:rPr>
        <w:t>corrected</w:t>
      </w:r>
      <w:r>
        <w:rPr>
          <w:color w:val="211F1F"/>
          <w:spacing w:val="-12"/>
        </w:rPr>
        <w:t xml:space="preserve"> </w:t>
      </w:r>
      <w:r>
        <w:rPr>
          <w:color w:val="211F1F"/>
          <w:spacing w:val="-2"/>
        </w:rPr>
        <w:t>a</w:t>
      </w:r>
      <w:r>
        <w:rPr>
          <w:color w:val="211F1F"/>
          <w:spacing w:val="-12"/>
        </w:rPr>
        <w:t xml:space="preserve"> </w:t>
      </w:r>
      <w:r>
        <w:rPr>
          <w:color w:val="211F1F"/>
          <w:spacing w:val="-2"/>
        </w:rPr>
        <w:t>Defect</w:t>
      </w:r>
      <w:r>
        <w:rPr>
          <w:color w:val="211F1F"/>
          <w:spacing w:val="-10"/>
        </w:rPr>
        <w:t xml:space="preserve"> </w:t>
      </w:r>
      <w:r>
        <w:rPr>
          <w:color w:val="211F1F"/>
          <w:spacing w:val="-2"/>
        </w:rPr>
        <w:t>within</w:t>
      </w:r>
      <w:r>
        <w:rPr>
          <w:color w:val="211F1F"/>
          <w:spacing w:val="-12"/>
        </w:rPr>
        <w:t xml:space="preserve"> </w:t>
      </w:r>
      <w:r>
        <w:rPr>
          <w:color w:val="211F1F"/>
          <w:spacing w:val="-2"/>
        </w:rPr>
        <w:t>the</w:t>
      </w:r>
      <w:r>
        <w:rPr>
          <w:color w:val="211F1F"/>
          <w:spacing w:val="-11"/>
        </w:rPr>
        <w:t xml:space="preserve"> </w:t>
      </w:r>
      <w:r>
        <w:rPr>
          <w:color w:val="211F1F"/>
          <w:spacing w:val="-2"/>
        </w:rPr>
        <w:t>time</w:t>
      </w:r>
      <w:r>
        <w:rPr>
          <w:color w:val="211F1F"/>
          <w:spacing w:val="-12"/>
        </w:rPr>
        <w:t xml:space="preserve"> </w:t>
      </w:r>
      <w:r>
        <w:rPr>
          <w:color w:val="211F1F"/>
          <w:spacing w:val="-2"/>
        </w:rPr>
        <w:t>specified</w:t>
      </w:r>
      <w:r>
        <w:rPr>
          <w:color w:val="211F1F"/>
          <w:spacing w:val="-11"/>
        </w:rPr>
        <w:t xml:space="preserve"> </w:t>
      </w:r>
      <w:r>
        <w:rPr>
          <w:color w:val="211F1F"/>
          <w:spacing w:val="-2"/>
        </w:rPr>
        <w:t>in</w:t>
      </w:r>
      <w:r>
        <w:rPr>
          <w:color w:val="211F1F"/>
          <w:spacing w:val="-12"/>
        </w:rPr>
        <w:t xml:space="preserve"> </w:t>
      </w:r>
      <w:r>
        <w:rPr>
          <w:color w:val="211F1F"/>
          <w:spacing w:val="-2"/>
        </w:rPr>
        <w:t>the</w:t>
      </w:r>
      <w:r>
        <w:rPr>
          <w:color w:val="211F1F"/>
          <w:spacing w:val="-12"/>
        </w:rPr>
        <w:t xml:space="preserve"> </w:t>
      </w:r>
      <w:r>
        <w:rPr>
          <w:color w:val="211F1F"/>
          <w:spacing w:val="-2"/>
        </w:rPr>
        <w:t>Project</w:t>
      </w:r>
      <w:r>
        <w:rPr>
          <w:color w:val="211F1F"/>
          <w:spacing w:val="-10"/>
        </w:rPr>
        <w:t xml:space="preserve"> </w:t>
      </w:r>
      <w:r>
        <w:rPr>
          <w:color w:val="211F1F"/>
          <w:spacing w:val="-2"/>
        </w:rPr>
        <w:t>Manager's</w:t>
      </w:r>
      <w:r>
        <w:rPr>
          <w:color w:val="211F1F"/>
          <w:spacing w:val="-10"/>
        </w:rPr>
        <w:t xml:space="preserve"> </w:t>
      </w:r>
      <w:r>
        <w:rPr>
          <w:color w:val="211F1F"/>
          <w:spacing w:val="-2"/>
        </w:rPr>
        <w:t>notice,</w:t>
      </w:r>
      <w:r>
        <w:rPr>
          <w:color w:val="211F1F"/>
          <w:spacing w:val="-9"/>
        </w:rPr>
        <w:t xml:space="preserve"> </w:t>
      </w:r>
      <w:r>
        <w:rPr>
          <w:color w:val="211F1F"/>
          <w:spacing w:val="-2"/>
        </w:rPr>
        <w:t>the</w:t>
      </w:r>
      <w:r>
        <w:rPr>
          <w:color w:val="211F1F"/>
          <w:spacing w:val="2"/>
        </w:rPr>
        <w:t xml:space="preserve"> </w:t>
      </w:r>
      <w:r>
        <w:rPr>
          <w:color w:val="211F1F"/>
          <w:spacing w:val="-2"/>
        </w:rPr>
        <w:t xml:space="preserve">Project </w:t>
      </w:r>
      <w:r>
        <w:rPr>
          <w:color w:val="211F1F"/>
        </w:rPr>
        <w:t>Manager shall assess the cost of having the Defect corrected, and</w:t>
      </w:r>
      <w:r>
        <w:rPr>
          <w:color w:val="211F1F"/>
          <w:spacing w:val="-1"/>
        </w:rPr>
        <w:t xml:space="preserve"> </w:t>
      </w:r>
      <w:r>
        <w:rPr>
          <w:color w:val="211F1F"/>
        </w:rPr>
        <w:t>the Contractor shall pay this amount.</w:t>
      </w:r>
    </w:p>
    <w:p w14:paraId="67A0531D" w14:textId="77777777" w:rsidR="00BB77C0" w:rsidRDefault="00BB77C0">
      <w:pPr>
        <w:pStyle w:val="BodyText"/>
        <w:spacing w:before="13"/>
      </w:pPr>
    </w:p>
    <w:p w14:paraId="0CA15F39" w14:textId="77777777" w:rsidR="00BB77C0" w:rsidRDefault="00370BAA">
      <w:pPr>
        <w:pStyle w:val="Heading7"/>
        <w:numPr>
          <w:ilvl w:val="0"/>
          <w:numId w:val="32"/>
        </w:numPr>
        <w:tabs>
          <w:tab w:val="left" w:pos="267"/>
        </w:tabs>
        <w:ind w:left="267" w:right="9559" w:hanging="267"/>
        <w:rPr>
          <w:color w:val="211F1F"/>
        </w:rPr>
      </w:pPr>
      <w:bookmarkStart w:id="223" w:name="D._Cost_Control"/>
      <w:bookmarkEnd w:id="223"/>
      <w:r>
        <w:rPr>
          <w:color w:val="211F1F"/>
        </w:rPr>
        <w:t>Cost</w:t>
      </w:r>
      <w:r>
        <w:rPr>
          <w:color w:val="211F1F"/>
          <w:spacing w:val="-1"/>
        </w:rPr>
        <w:t xml:space="preserve"> </w:t>
      </w:r>
      <w:r>
        <w:rPr>
          <w:color w:val="211F1F"/>
          <w:spacing w:val="-2"/>
        </w:rPr>
        <w:t>Control</w:t>
      </w:r>
    </w:p>
    <w:p w14:paraId="25CEBF76" w14:textId="77777777" w:rsidR="00BB77C0" w:rsidRDefault="00BB77C0">
      <w:pPr>
        <w:pStyle w:val="BodyText"/>
        <w:spacing w:before="46"/>
        <w:rPr>
          <w:b/>
        </w:rPr>
      </w:pPr>
    </w:p>
    <w:p w14:paraId="0793DCB9" w14:textId="77777777" w:rsidR="00BB77C0" w:rsidRDefault="00370BAA">
      <w:pPr>
        <w:pStyle w:val="ListParagraph"/>
        <w:numPr>
          <w:ilvl w:val="0"/>
          <w:numId w:val="23"/>
        </w:numPr>
        <w:tabs>
          <w:tab w:val="left" w:pos="1080"/>
        </w:tabs>
        <w:ind w:left="1080" w:hanging="360"/>
        <w:jc w:val="left"/>
        <w:rPr>
          <w:b/>
        </w:rPr>
      </w:pPr>
      <w:r>
        <w:rPr>
          <w:b/>
          <w:color w:val="211F1F"/>
          <w:spacing w:val="-4"/>
        </w:rPr>
        <w:t>Contract</w:t>
      </w:r>
      <w:r>
        <w:rPr>
          <w:b/>
          <w:color w:val="211F1F"/>
          <w:spacing w:val="-2"/>
        </w:rPr>
        <w:t xml:space="preserve"> Price</w:t>
      </w:r>
      <w:r>
        <w:rPr>
          <w:b/>
          <w:color w:val="211F1F"/>
          <w:spacing w:val="-2"/>
          <w:vertAlign w:val="superscript"/>
        </w:rPr>
        <w:t>7</w:t>
      </w:r>
    </w:p>
    <w:p w14:paraId="4E876A4A" w14:textId="77777777" w:rsidR="00BB77C0" w:rsidRDefault="00370BAA">
      <w:pPr>
        <w:pStyle w:val="ListParagraph"/>
        <w:numPr>
          <w:ilvl w:val="1"/>
          <w:numId w:val="23"/>
        </w:numPr>
        <w:tabs>
          <w:tab w:val="left" w:pos="1168"/>
          <w:tab w:val="left" w:pos="1171"/>
        </w:tabs>
        <w:spacing w:before="193" w:line="230" w:lineRule="auto"/>
        <w:ind w:right="843" w:hanging="360"/>
        <w:jc w:val="both"/>
        <w:rPr>
          <w:color w:val="211F1F"/>
        </w:rPr>
      </w:pPr>
      <w:r>
        <w:rPr>
          <w:color w:val="211F1F"/>
        </w:rPr>
        <w:t>The</w:t>
      </w:r>
      <w:r>
        <w:rPr>
          <w:color w:val="211F1F"/>
          <w:spacing w:val="-11"/>
        </w:rPr>
        <w:t xml:space="preserve"> </w:t>
      </w:r>
      <w:r>
        <w:rPr>
          <w:color w:val="211F1F"/>
        </w:rPr>
        <w:t>Bill</w:t>
      </w:r>
      <w:r>
        <w:rPr>
          <w:color w:val="211F1F"/>
          <w:spacing w:val="-5"/>
        </w:rPr>
        <w:t xml:space="preserve"> </w:t>
      </w:r>
      <w:r>
        <w:rPr>
          <w:color w:val="211F1F"/>
        </w:rPr>
        <w:t>of</w:t>
      </w:r>
      <w:r>
        <w:rPr>
          <w:color w:val="211F1F"/>
          <w:spacing w:val="-3"/>
        </w:rPr>
        <w:t xml:space="preserve"> </w:t>
      </w:r>
      <w:r>
        <w:rPr>
          <w:color w:val="211F1F"/>
        </w:rPr>
        <w:t>Quantities</w:t>
      </w:r>
      <w:r>
        <w:rPr>
          <w:color w:val="211F1F"/>
          <w:spacing w:val="-1"/>
        </w:rPr>
        <w:t xml:space="preserve"> </w:t>
      </w:r>
      <w:r>
        <w:rPr>
          <w:color w:val="211F1F"/>
        </w:rPr>
        <w:t>shall</w:t>
      </w:r>
      <w:r>
        <w:rPr>
          <w:color w:val="211F1F"/>
          <w:spacing w:val="-10"/>
        </w:rPr>
        <w:t xml:space="preserve"> </w:t>
      </w:r>
      <w:r>
        <w:rPr>
          <w:color w:val="211F1F"/>
        </w:rPr>
        <w:t>contain</w:t>
      </w:r>
      <w:r>
        <w:rPr>
          <w:color w:val="211F1F"/>
          <w:spacing w:val="-6"/>
        </w:rPr>
        <w:t xml:space="preserve"> </w:t>
      </w:r>
      <w:r>
        <w:rPr>
          <w:color w:val="211F1F"/>
        </w:rPr>
        <w:t>priced</w:t>
      </w:r>
      <w:r>
        <w:rPr>
          <w:color w:val="211F1F"/>
          <w:spacing w:val="-11"/>
        </w:rPr>
        <w:t xml:space="preserve"> </w:t>
      </w:r>
      <w:r>
        <w:rPr>
          <w:color w:val="211F1F"/>
        </w:rPr>
        <w:t>items</w:t>
      </w:r>
      <w:r>
        <w:rPr>
          <w:color w:val="211F1F"/>
          <w:spacing w:val="-2"/>
        </w:rPr>
        <w:t xml:space="preserve"> </w:t>
      </w:r>
      <w:r>
        <w:rPr>
          <w:color w:val="211F1F"/>
        </w:rPr>
        <w:t>for the</w:t>
      </w:r>
      <w:r>
        <w:rPr>
          <w:color w:val="211F1F"/>
          <w:spacing w:val="-14"/>
        </w:rPr>
        <w:t xml:space="preserve"> </w:t>
      </w:r>
      <w:r>
        <w:rPr>
          <w:color w:val="211F1F"/>
        </w:rPr>
        <w:t>Works</w:t>
      </w:r>
      <w:r>
        <w:rPr>
          <w:color w:val="211F1F"/>
          <w:spacing w:val="-6"/>
        </w:rPr>
        <w:t xml:space="preserve"> </w:t>
      </w:r>
      <w:r>
        <w:rPr>
          <w:color w:val="211F1F"/>
        </w:rPr>
        <w:t>to</w:t>
      </w:r>
      <w:r>
        <w:rPr>
          <w:color w:val="211F1F"/>
          <w:spacing w:val="-7"/>
        </w:rPr>
        <w:t xml:space="preserve"> </w:t>
      </w:r>
      <w:r>
        <w:rPr>
          <w:color w:val="211F1F"/>
        </w:rPr>
        <w:t>be</w:t>
      </w:r>
      <w:r>
        <w:rPr>
          <w:color w:val="211F1F"/>
          <w:spacing w:val="-9"/>
        </w:rPr>
        <w:t xml:space="preserve"> </w:t>
      </w:r>
      <w:r>
        <w:rPr>
          <w:color w:val="211F1F"/>
        </w:rPr>
        <w:t>performed</w:t>
      </w:r>
      <w:r>
        <w:rPr>
          <w:color w:val="211F1F"/>
          <w:spacing w:val="-10"/>
        </w:rPr>
        <w:t xml:space="preserve"> </w:t>
      </w:r>
      <w:r>
        <w:rPr>
          <w:color w:val="211F1F"/>
        </w:rPr>
        <w:t>by</w:t>
      </w:r>
      <w:r>
        <w:rPr>
          <w:color w:val="211F1F"/>
          <w:spacing w:val="-7"/>
        </w:rPr>
        <w:t xml:space="preserve"> </w:t>
      </w:r>
      <w:r>
        <w:rPr>
          <w:color w:val="211F1F"/>
        </w:rPr>
        <w:t>the</w:t>
      </w:r>
      <w:r>
        <w:rPr>
          <w:color w:val="211F1F"/>
          <w:spacing w:val="-8"/>
        </w:rPr>
        <w:t xml:space="preserve"> </w:t>
      </w:r>
      <w:r>
        <w:rPr>
          <w:color w:val="211F1F"/>
        </w:rPr>
        <w:t>Contractor.</w:t>
      </w:r>
      <w:r>
        <w:rPr>
          <w:color w:val="211F1F"/>
          <w:spacing w:val="-13"/>
        </w:rPr>
        <w:t xml:space="preserve"> </w:t>
      </w:r>
      <w:r>
        <w:rPr>
          <w:color w:val="211F1F"/>
        </w:rPr>
        <w:t>The</w:t>
      </w:r>
      <w:r>
        <w:rPr>
          <w:color w:val="211F1F"/>
          <w:spacing w:val="-4"/>
        </w:rPr>
        <w:t xml:space="preserve"> </w:t>
      </w:r>
      <w:r>
        <w:rPr>
          <w:color w:val="211F1F"/>
        </w:rPr>
        <w:t>Bill</w:t>
      </w:r>
      <w:r>
        <w:rPr>
          <w:color w:val="211F1F"/>
          <w:spacing w:val="-14"/>
        </w:rPr>
        <w:t xml:space="preserve"> </w:t>
      </w:r>
      <w:r>
        <w:rPr>
          <w:color w:val="211F1F"/>
        </w:rPr>
        <w:t>of Quantities is used to calculate the Contract Price. The Contractor will be paid for the quantity of</w:t>
      </w:r>
      <w:r>
        <w:rPr>
          <w:color w:val="211F1F"/>
          <w:spacing w:val="40"/>
        </w:rPr>
        <w:t xml:space="preserve"> </w:t>
      </w:r>
      <w:r>
        <w:rPr>
          <w:color w:val="211F1F"/>
        </w:rPr>
        <w:t>the work accomplished</w:t>
      </w:r>
      <w:r>
        <w:rPr>
          <w:color w:val="211F1F"/>
          <w:spacing w:val="-5"/>
        </w:rPr>
        <w:t xml:space="preserve"> </w:t>
      </w:r>
      <w:r>
        <w:rPr>
          <w:color w:val="211F1F"/>
        </w:rPr>
        <w:t>at the</w:t>
      </w:r>
      <w:r>
        <w:rPr>
          <w:color w:val="211F1F"/>
          <w:spacing w:val="-9"/>
        </w:rPr>
        <w:t xml:space="preserve"> </w:t>
      </w:r>
      <w:r>
        <w:rPr>
          <w:color w:val="211F1F"/>
        </w:rPr>
        <w:t>rate</w:t>
      </w:r>
      <w:r>
        <w:rPr>
          <w:color w:val="211F1F"/>
          <w:spacing w:val="-9"/>
        </w:rPr>
        <w:t xml:space="preserve"> </w:t>
      </w:r>
      <w:r>
        <w:rPr>
          <w:color w:val="211F1F"/>
        </w:rPr>
        <w:t>in</w:t>
      </w:r>
      <w:r>
        <w:rPr>
          <w:color w:val="211F1F"/>
          <w:spacing w:val="-7"/>
        </w:rPr>
        <w:t xml:space="preserve"> </w:t>
      </w:r>
      <w:r>
        <w:rPr>
          <w:color w:val="211F1F"/>
        </w:rPr>
        <w:t>the</w:t>
      </w:r>
      <w:r>
        <w:rPr>
          <w:color w:val="211F1F"/>
          <w:spacing w:val="-3"/>
        </w:rPr>
        <w:t xml:space="preserve"> </w:t>
      </w:r>
      <w:r>
        <w:rPr>
          <w:color w:val="211F1F"/>
        </w:rPr>
        <w:t>Bill of Quantities for each item.</w:t>
      </w:r>
    </w:p>
    <w:p w14:paraId="3C0584DB" w14:textId="77777777" w:rsidR="00BB77C0" w:rsidRDefault="00BB77C0">
      <w:pPr>
        <w:pStyle w:val="BodyText"/>
        <w:spacing w:before="51"/>
      </w:pPr>
    </w:p>
    <w:p w14:paraId="3AC69595" w14:textId="77777777" w:rsidR="00BB77C0" w:rsidRDefault="00370BAA">
      <w:pPr>
        <w:pStyle w:val="Heading7"/>
        <w:numPr>
          <w:ilvl w:val="0"/>
          <w:numId w:val="23"/>
        </w:numPr>
        <w:tabs>
          <w:tab w:val="left" w:pos="1075"/>
        </w:tabs>
        <w:spacing w:before="1"/>
        <w:ind w:left="1075" w:hanging="360"/>
        <w:jc w:val="left"/>
        <w:rPr>
          <w:b w:val="0"/>
        </w:rPr>
      </w:pPr>
      <w:bookmarkStart w:id="224" w:name="37._Changes_in_the_Contract_Price8"/>
      <w:bookmarkEnd w:id="224"/>
      <w:r>
        <w:rPr>
          <w:color w:val="211F1F"/>
          <w:spacing w:val="-4"/>
        </w:rPr>
        <w:t>Changes</w:t>
      </w:r>
      <w:r>
        <w:rPr>
          <w:color w:val="211F1F"/>
          <w:spacing w:val="-8"/>
        </w:rPr>
        <w:t xml:space="preserve"> </w:t>
      </w:r>
      <w:r>
        <w:rPr>
          <w:color w:val="211F1F"/>
          <w:spacing w:val="-4"/>
        </w:rPr>
        <w:t>in</w:t>
      </w:r>
      <w:r>
        <w:rPr>
          <w:color w:val="211F1F"/>
          <w:spacing w:val="-23"/>
        </w:rPr>
        <w:t xml:space="preserve"> </w:t>
      </w:r>
      <w:r>
        <w:rPr>
          <w:color w:val="211F1F"/>
          <w:spacing w:val="-4"/>
        </w:rPr>
        <w:t>the</w:t>
      </w:r>
      <w:r>
        <w:rPr>
          <w:color w:val="211F1F"/>
          <w:spacing w:val="-12"/>
        </w:rPr>
        <w:t xml:space="preserve"> </w:t>
      </w:r>
      <w:r>
        <w:rPr>
          <w:color w:val="211F1F"/>
          <w:spacing w:val="-4"/>
        </w:rPr>
        <w:t>Contract</w:t>
      </w:r>
      <w:r>
        <w:rPr>
          <w:color w:val="211F1F"/>
          <w:spacing w:val="-9"/>
        </w:rPr>
        <w:t xml:space="preserve"> </w:t>
      </w:r>
      <w:r>
        <w:rPr>
          <w:color w:val="211F1F"/>
          <w:spacing w:val="-4"/>
        </w:rPr>
        <w:t>Price</w:t>
      </w:r>
      <w:r>
        <w:rPr>
          <w:b w:val="0"/>
          <w:color w:val="211F1F"/>
          <w:spacing w:val="-4"/>
          <w:vertAlign w:val="superscript"/>
        </w:rPr>
        <w:t>8</w:t>
      </w:r>
    </w:p>
    <w:p w14:paraId="6F654EAA" w14:textId="77777777" w:rsidR="00BB77C0" w:rsidRDefault="00370BAA">
      <w:pPr>
        <w:pStyle w:val="ListParagraph"/>
        <w:numPr>
          <w:ilvl w:val="1"/>
          <w:numId w:val="23"/>
        </w:numPr>
        <w:tabs>
          <w:tab w:val="left" w:pos="1168"/>
          <w:tab w:val="left" w:pos="1171"/>
        </w:tabs>
        <w:spacing w:before="197" w:line="230" w:lineRule="auto"/>
        <w:ind w:right="834" w:hanging="360"/>
        <w:jc w:val="both"/>
        <w:rPr>
          <w:color w:val="211F1F"/>
        </w:rPr>
      </w:pPr>
      <w:r>
        <w:rPr>
          <w:color w:val="211F1F"/>
        </w:rPr>
        <w:t>If</w:t>
      </w:r>
      <w:r>
        <w:rPr>
          <w:color w:val="211F1F"/>
          <w:spacing w:val="-2"/>
        </w:rPr>
        <w:t xml:space="preserve"> </w:t>
      </w:r>
      <w:r>
        <w:rPr>
          <w:color w:val="211F1F"/>
        </w:rPr>
        <w:t>the</w:t>
      </w:r>
      <w:r>
        <w:rPr>
          <w:color w:val="211F1F"/>
          <w:spacing w:val="-6"/>
        </w:rPr>
        <w:t xml:space="preserve"> </w:t>
      </w:r>
      <w:r>
        <w:rPr>
          <w:color w:val="211F1F"/>
        </w:rPr>
        <w:t>final</w:t>
      </w:r>
      <w:r>
        <w:rPr>
          <w:color w:val="211F1F"/>
          <w:spacing w:val="-3"/>
        </w:rPr>
        <w:t xml:space="preserve"> </w:t>
      </w:r>
      <w:r>
        <w:rPr>
          <w:color w:val="211F1F"/>
        </w:rPr>
        <w:t>quantity</w:t>
      </w:r>
      <w:r>
        <w:rPr>
          <w:color w:val="211F1F"/>
          <w:spacing w:val="-4"/>
        </w:rPr>
        <w:t xml:space="preserve"> </w:t>
      </w:r>
      <w:r>
        <w:rPr>
          <w:color w:val="211F1F"/>
        </w:rPr>
        <w:t>of</w:t>
      </w:r>
      <w:r>
        <w:rPr>
          <w:color w:val="211F1F"/>
          <w:spacing w:val="-2"/>
        </w:rPr>
        <w:t xml:space="preserve"> </w:t>
      </w:r>
      <w:r>
        <w:rPr>
          <w:color w:val="211F1F"/>
        </w:rPr>
        <w:t>the</w:t>
      </w:r>
      <w:r>
        <w:rPr>
          <w:color w:val="211F1F"/>
          <w:spacing w:val="-7"/>
        </w:rPr>
        <w:t xml:space="preserve"> </w:t>
      </w:r>
      <w:r>
        <w:rPr>
          <w:color w:val="211F1F"/>
        </w:rPr>
        <w:t>work</w:t>
      </w:r>
      <w:r>
        <w:rPr>
          <w:color w:val="211F1F"/>
          <w:spacing w:val="-4"/>
        </w:rPr>
        <w:t xml:space="preserve"> </w:t>
      </w:r>
      <w:r>
        <w:rPr>
          <w:color w:val="211F1F"/>
        </w:rPr>
        <w:t>done</w:t>
      </w:r>
      <w:r>
        <w:rPr>
          <w:color w:val="211F1F"/>
          <w:spacing w:val="-2"/>
        </w:rPr>
        <w:t xml:space="preserve"> </w:t>
      </w:r>
      <w:r>
        <w:rPr>
          <w:color w:val="211F1F"/>
        </w:rPr>
        <w:t>differs from</w:t>
      </w:r>
      <w:r>
        <w:rPr>
          <w:color w:val="211F1F"/>
          <w:spacing w:val="-8"/>
        </w:rPr>
        <w:t xml:space="preserve"> </w:t>
      </w:r>
      <w:r>
        <w:rPr>
          <w:color w:val="211F1F"/>
        </w:rPr>
        <w:t>the</w:t>
      </w:r>
      <w:r>
        <w:rPr>
          <w:color w:val="211F1F"/>
          <w:spacing w:val="-7"/>
        </w:rPr>
        <w:t xml:space="preserve"> </w:t>
      </w:r>
      <w:r>
        <w:rPr>
          <w:color w:val="211F1F"/>
        </w:rPr>
        <w:t>quantity</w:t>
      </w:r>
      <w:r>
        <w:rPr>
          <w:color w:val="211F1F"/>
          <w:spacing w:val="-4"/>
        </w:rPr>
        <w:t xml:space="preserve"> </w:t>
      </w:r>
      <w:r>
        <w:rPr>
          <w:color w:val="211F1F"/>
        </w:rPr>
        <w:t>in</w:t>
      </w:r>
      <w:r>
        <w:rPr>
          <w:color w:val="211F1F"/>
          <w:spacing w:val="-5"/>
        </w:rPr>
        <w:t xml:space="preserve"> </w:t>
      </w:r>
      <w:r>
        <w:rPr>
          <w:color w:val="211F1F"/>
        </w:rPr>
        <w:t>the</w:t>
      </w:r>
      <w:r>
        <w:rPr>
          <w:color w:val="211F1F"/>
          <w:spacing w:val="-7"/>
        </w:rPr>
        <w:t xml:space="preserve"> </w:t>
      </w:r>
      <w:r>
        <w:rPr>
          <w:color w:val="211F1F"/>
        </w:rPr>
        <w:t>Bill</w:t>
      </w:r>
      <w:r>
        <w:rPr>
          <w:color w:val="211F1F"/>
          <w:spacing w:val="-3"/>
        </w:rPr>
        <w:t xml:space="preserve"> </w:t>
      </w:r>
      <w:r>
        <w:rPr>
          <w:color w:val="211F1F"/>
        </w:rPr>
        <w:t>of</w:t>
      </w:r>
      <w:r>
        <w:rPr>
          <w:color w:val="211F1F"/>
          <w:spacing w:val="-2"/>
        </w:rPr>
        <w:t xml:space="preserve"> </w:t>
      </w:r>
      <w:r>
        <w:rPr>
          <w:color w:val="211F1F"/>
        </w:rPr>
        <w:t>Quantities for the</w:t>
      </w:r>
      <w:r>
        <w:rPr>
          <w:color w:val="211F1F"/>
          <w:spacing w:val="-6"/>
        </w:rPr>
        <w:t xml:space="preserve"> </w:t>
      </w:r>
      <w:r>
        <w:rPr>
          <w:color w:val="211F1F"/>
        </w:rPr>
        <w:t>particular</w:t>
      </w:r>
      <w:r>
        <w:rPr>
          <w:color w:val="211F1F"/>
          <w:spacing w:val="-1"/>
        </w:rPr>
        <w:t xml:space="preserve"> </w:t>
      </w:r>
      <w:r>
        <w:rPr>
          <w:color w:val="211F1F"/>
        </w:rPr>
        <w:t>item by more than 25 percent, provided the change exceeds 1 percent of the Initial Contract Price, the Project Manager</w:t>
      </w:r>
      <w:r>
        <w:rPr>
          <w:color w:val="211F1F"/>
          <w:spacing w:val="-12"/>
        </w:rPr>
        <w:t xml:space="preserve"> </w:t>
      </w:r>
      <w:r>
        <w:rPr>
          <w:color w:val="211F1F"/>
        </w:rPr>
        <w:t>shall</w:t>
      </w:r>
      <w:r>
        <w:rPr>
          <w:color w:val="211F1F"/>
          <w:spacing w:val="-10"/>
        </w:rPr>
        <w:t xml:space="preserve"> </w:t>
      </w:r>
      <w:r>
        <w:rPr>
          <w:color w:val="211F1F"/>
        </w:rPr>
        <w:t>adjust</w:t>
      </w:r>
      <w:r>
        <w:rPr>
          <w:color w:val="211F1F"/>
          <w:spacing w:val="-6"/>
        </w:rPr>
        <w:t xml:space="preserve"> </w:t>
      </w:r>
      <w:r>
        <w:rPr>
          <w:color w:val="211F1F"/>
        </w:rPr>
        <w:t>the</w:t>
      </w:r>
      <w:r>
        <w:rPr>
          <w:color w:val="211F1F"/>
          <w:spacing w:val="-13"/>
        </w:rPr>
        <w:t xml:space="preserve"> </w:t>
      </w:r>
      <w:r>
        <w:rPr>
          <w:color w:val="211F1F"/>
        </w:rPr>
        <w:t>rate</w:t>
      </w:r>
      <w:r>
        <w:rPr>
          <w:color w:val="211F1F"/>
          <w:spacing w:val="-13"/>
        </w:rPr>
        <w:t xml:space="preserve"> </w:t>
      </w:r>
      <w:r>
        <w:rPr>
          <w:color w:val="211F1F"/>
        </w:rPr>
        <w:t>to</w:t>
      </w:r>
      <w:r>
        <w:rPr>
          <w:color w:val="211F1F"/>
          <w:spacing w:val="-14"/>
        </w:rPr>
        <w:t xml:space="preserve"> </w:t>
      </w:r>
      <w:r>
        <w:rPr>
          <w:color w:val="211F1F"/>
        </w:rPr>
        <w:t>allow</w:t>
      </w:r>
      <w:r>
        <w:rPr>
          <w:color w:val="211F1F"/>
          <w:spacing w:val="-14"/>
        </w:rPr>
        <w:t xml:space="preserve"> </w:t>
      </w:r>
      <w:r>
        <w:rPr>
          <w:color w:val="211F1F"/>
        </w:rPr>
        <w:t>for</w:t>
      </w:r>
      <w:r>
        <w:rPr>
          <w:color w:val="211F1F"/>
          <w:spacing w:val="-8"/>
        </w:rPr>
        <w:t xml:space="preserve"> </w:t>
      </w:r>
      <w:r>
        <w:rPr>
          <w:color w:val="211F1F"/>
        </w:rPr>
        <w:t>the</w:t>
      </w:r>
      <w:r>
        <w:rPr>
          <w:color w:val="211F1F"/>
          <w:spacing w:val="-13"/>
        </w:rPr>
        <w:t xml:space="preserve"> </w:t>
      </w:r>
      <w:r>
        <w:rPr>
          <w:color w:val="211F1F"/>
        </w:rPr>
        <w:t>change.</w:t>
      </w:r>
      <w:r>
        <w:rPr>
          <w:color w:val="211F1F"/>
          <w:spacing w:val="-10"/>
        </w:rPr>
        <w:t xml:space="preserve"> </w:t>
      </w:r>
      <w:r>
        <w:rPr>
          <w:color w:val="211F1F"/>
        </w:rPr>
        <w:t>The</w:t>
      </w:r>
      <w:r>
        <w:rPr>
          <w:color w:val="211F1F"/>
          <w:spacing w:val="-13"/>
        </w:rPr>
        <w:t xml:space="preserve"> </w:t>
      </w:r>
      <w:r>
        <w:rPr>
          <w:color w:val="211F1F"/>
        </w:rPr>
        <w:t>Project</w:t>
      </w:r>
      <w:r>
        <w:rPr>
          <w:color w:val="211F1F"/>
          <w:spacing w:val="-6"/>
        </w:rPr>
        <w:t xml:space="preserve"> </w:t>
      </w:r>
      <w:r>
        <w:rPr>
          <w:color w:val="211F1F"/>
        </w:rPr>
        <w:t>Manager</w:t>
      </w:r>
      <w:r>
        <w:rPr>
          <w:color w:val="211F1F"/>
          <w:spacing w:val="-3"/>
        </w:rPr>
        <w:t xml:space="preserve"> </w:t>
      </w:r>
      <w:r>
        <w:rPr>
          <w:color w:val="211F1F"/>
        </w:rPr>
        <w:t>shall</w:t>
      </w:r>
      <w:r>
        <w:rPr>
          <w:color w:val="211F1F"/>
          <w:spacing w:val="-10"/>
        </w:rPr>
        <w:t xml:space="preserve"> </w:t>
      </w:r>
      <w:r>
        <w:rPr>
          <w:color w:val="211F1F"/>
        </w:rPr>
        <w:t>not</w:t>
      </w:r>
      <w:r>
        <w:rPr>
          <w:color w:val="211F1F"/>
          <w:spacing w:val="-7"/>
        </w:rPr>
        <w:t xml:space="preserve"> </w:t>
      </w:r>
      <w:r>
        <w:rPr>
          <w:color w:val="211F1F"/>
        </w:rPr>
        <w:t>adjust</w:t>
      </w:r>
      <w:r>
        <w:rPr>
          <w:color w:val="211F1F"/>
          <w:spacing w:val="-10"/>
        </w:rPr>
        <w:t xml:space="preserve"> </w:t>
      </w:r>
      <w:r>
        <w:rPr>
          <w:color w:val="211F1F"/>
        </w:rPr>
        <w:t>rates</w:t>
      </w:r>
      <w:r>
        <w:rPr>
          <w:color w:val="211F1F"/>
          <w:spacing w:val="-11"/>
        </w:rPr>
        <w:t xml:space="preserve"> </w:t>
      </w:r>
      <w:r>
        <w:rPr>
          <w:color w:val="211F1F"/>
        </w:rPr>
        <w:t>from</w:t>
      </w:r>
      <w:r>
        <w:rPr>
          <w:color w:val="211F1F"/>
          <w:spacing w:val="-14"/>
        </w:rPr>
        <w:t xml:space="preserve"> </w:t>
      </w:r>
      <w:r>
        <w:rPr>
          <w:color w:val="211F1F"/>
        </w:rPr>
        <w:t>changes in quantities if thereby the Initial Contract Price is exceeded by more than 15 percent, except with the prior approval of the Procuring Entity.</w:t>
      </w:r>
    </w:p>
    <w:p w14:paraId="1C87D249" w14:textId="77777777" w:rsidR="00BB77C0" w:rsidRDefault="00370BAA">
      <w:pPr>
        <w:pStyle w:val="ListParagraph"/>
        <w:numPr>
          <w:ilvl w:val="1"/>
          <w:numId w:val="23"/>
        </w:numPr>
        <w:tabs>
          <w:tab w:val="left" w:pos="1168"/>
          <w:tab w:val="left" w:pos="1171"/>
        </w:tabs>
        <w:spacing w:before="191" w:line="237" w:lineRule="auto"/>
        <w:ind w:right="925" w:hanging="360"/>
        <w:jc w:val="both"/>
        <w:rPr>
          <w:color w:val="211F1F"/>
        </w:rPr>
      </w:pPr>
      <w:r>
        <w:rPr>
          <w:color w:val="211F1F"/>
        </w:rPr>
        <w:t>If requested by the Project Manager, the Contractor shall provide</w:t>
      </w:r>
      <w:r>
        <w:rPr>
          <w:color w:val="211F1F"/>
          <w:spacing w:val="-2"/>
        </w:rPr>
        <w:t xml:space="preserve"> </w:t>
      </w:r>
      <w:r>
        <w:rPr>
          <w:color w:val="211F1F"/>
        </w:rPr>
        <w:t xml:space="preserve">the Project Manager with a detailed cost </w:t>
      </w:r>
      <w:bookmarkStart w:id="225" w:name="38._Variations"/>
      <w:bookmarkEnd w:id="225"/>
      <w:r>
        <w:rPr>
          <w:color w:val="211F1F"/>
        </w:rPr>
        <w:t>breakdown</w:t>
      </w:r>
      <w:r>
        <w:rPr>
          <w:color w:val="211F1F"/>
          <w:spacing w:val="-11"/>
        </w:rPr>
        <w:t xml:space="preserve"> </w:t>
      </w:r>
      <w:r>
        <w:rPr>
          <w:color w:val="211F1F"/>
        </w:rPr>
        <w:t>of</w:t>
      </w:r>
      <w:r>
        <w:rPr>
          <w:color w:val="211F1F"/>
          <w:spacing w:val="-14"/>
        </w:rPr>
        <w:t xml:space="preserve"> </w:t>
      </w:r>
      <w:r>
        <w:rPr>
          <w:color w:val="211F1F"/>
        </w:rPr>
        <w:t>any</w:t>
      </w:r>
      <w:r>
        <w:rPr>
          <w:color w:val="211F1F"/>
          <w:spacing w:val="-17"/>
        </w:rPr>
        <w:t xml:space="preserve"> </w:t>
      </w:r>
      <w:r>
        <w:rPr>
          <w:color w:val="211F1F"/>
        </w:rPr>
        <w:t>rate</w:t>
      </w:r>
      <w:r>
        <w:rPr>
          <w:color w:val="211F1F"/>
          <w:spacing w:val="-15"/>
        </w:rPr>
        <w:t xml:space="preserve"> </w:t>
      </w:r>
      <w:r>
        <w:rPr>
          <w:color w:val="211F1F"/>
        </w:rPr>
        <w:t>in</w:t>
      </w:r>
      <w:r>
        <w:rPr>
          <w:color w:val="211F1F"/>
          <w:spacing w:val="-12"/>
        </w:rPr>
        <w:t xml:space="preserve"> </w:t>
      </w:r>
      <w:r>
        <w:rPr>
          <w:color w:val="211F1F"/>
        </w:rPr>
        <w:t>the</w:t>
      </w:r>
      <w:r>
        <w:rPr>
          <w:color w:val="211F1F"/>
          <w:spacing w:val="-15"/>
        </w:rPr>
        <w:t xml:space="preserve"> </w:t>
      </w:r>
      <w:r>
        <w:rPr>
          <w:color w:val="211F1F"/>
        </w:rPr>
        <w:t>Bill</w:t>
      </w:r>
      <w:r>
        <w:rPr>
          <w:color w:val="211F1F"/>
          <w:spacing w:val="-10"/>
        </w:rPr>
        <w:t xml:space="preserve"> </w:t>
      </w:r>
      <w:r>
        <w:rPr>
          <w:color w:val="211F1F"/>
        </w:rPr>
        <w:t>of</w:t>
      </w:r>
      <w:r>
        <w:rPr>
          <w:color w:val="211F1F"/>
          <w:spacing w:val="-8"/>
        </w:rPr>
        <w:t xml:space="preserve"> </w:t>
      </w:r>
      <w:r>
        <w:rPr>
          <w:color w:val="211F1F"/>
        </w:rPr>
        <w:t>Quantities.</w:t>
      </w:r>
    </w:p>
    <w:p w14:paraId="219AFE2F" w14:textId="77777777" w:rsidR="00BB77C0" w:rsidRDefault="00370BAA">
      <w:pPr>
        <w:pStyle w:val="Heading7"/>
        <w:numPr>
          <w:ilvl w:val="0"/>
          <w:numId w:val="23"/>
        </w:numPr>
        <w:tabs>
          <w:tab w:val="left" w:pos="360"/>
        </w:tabs>
        <w:spacing w:before="231"/>
        <w:ind w:left="360" w:right="9502" w:hanging="360"/>
      </w:pPr>
      <w:r>
        <w:rPr>
          <w:color w:val="211F1F"/>
          <w:spacing w:val="-2"/>
        </w:rPr>
        <w:t>Variations</w:t>
      </w:r>
    </w:p>
    <w:p w14:paraId="52160560" w14:textId="77777777" w:rsidR="00BB77C0" w:rsidRDefault="00370BAA">
      <w:pPr>
        <w:pStyle w:val="ListParagraph"/>
        <w:numPr>
          <w:ilvl w:val="1"/>
          <w:numId w:val="23"/>
        </w:numPr>
        <w:tabs>
          <w:tab w:val="left" w:pos="1168"/>
        </w:tabs>
        <w:spacing w:before="189"/>
        <w:ind w:left="1168" w:hanging="357"/>
        <w:rPr>
          <w:color w:val="211F1F"/>
        </w:rPr>
      </w:pPr>
      <w:r>
        <w:rPr>
          <w:color w:val="211F1F"/>
        </w:rPr>
        <w:t>All</w:t>
      </w:r>
      <w:r>
        <w:rPr>
          <w:color w:val="211F1F"/>
          <w:spacing w:val="-11"/>
        </w:rPr>
        <w:t xml:space="preserve"> </w:t>
      </w:r>
      <w:r>
        <w:rPr>
          <w:color w:val="211F1F"/>
        </w:rPr>
        <w:t>Variations</w:t>
      </w:r>
      <w:r>
        <w:rPr>
          <w:color w:val="211F1F"/>
          <w:spacing w:val="-5"/>
        </w:rPr>
        <w:t xml:space="preserve"> </w:t>
      </w:r>
      <w:r>
        <w:rPr>
          <w:color w:val="211F1F"/>
        </w:rPr>
        <w:t>shall</w:t>
      </w:r>
      <w:r>
        <w:rPr>
          <w:color w:val="211F1F"/>
          <w:spacing w:val="-4"/>
        </w:rPr>
        <w:t xml:space="preserve"> </w:t>
      </w:r>
      <w:r>
        <w:rPr>
          <w:color w:val="211F1F"/>
        </w:rPr>
        <w:t>be</w:t>
      </w:r>
      <w:r>
        <w:rPr>
          <w:color w:val="211F1F"/>
          <w:spacing w:val="-11"/>
        </w:rPr>
        <w:t xml:space="preserve"> </w:t>
      </w:r>
      <w:r>
        <w:rPr>
          <w:color w:val="211F1F"/>
        </w:rPr>
        <w:t>included</w:t>
      </w:r>
      <w:r>
        <w:rPr>
          <w:color w:val="211F1F"/>
          <w:spacing w:val="-5"/>
        </w:rPr>
        <w:t xml:space="preserve"> </w:t>
      </w:r>
      <w:r>
        <w:rPr>
          <w:color w:val="211F1F"/>
        </w:rPr>
        <w:t>in</w:t>
      </w:r>
      <w:r>
        <w:rPr>
          <w:color w:val="211F1F"/>
          <w:spacing w:val="-10"/>
        </w:rPr>
        <w:t xml:space="preserve"> </w:t>
      </w:r>
      <w:r>
        <w:rPr>
          <w:color w:val="211F1F"/>
        </w:rPr>
        <w:t>updated</w:t>
      </w:r>
      <w:r>
        <w:rPr>
          <w:color w:val="211F1F"/>
          <w:spacing w:val="-9"/>
        </w:rPr>
        <w:t xml:space="preserve"> </w:t>
      </w:r>
      <w:r>
        <w:rPr>
          <w:color w:val="211F1F"/>
        </w:rPr>
        <w:t>Programs9</w:t>
      </w:r>
      <w:r>
        <w:rPr>
          <w:color w:val="211F1F"/>
          <w:spacing w:val="-4"/>
        </w:rPr>
        <w:t xml:space="preserve"> </w:t>
      </w:r>
      <w:r>
        <w:rPr>
          <w:color w:val="211F1F"/>
        </w:rPr>
        <w:t>produced</w:t>
      </w:r>
      <w:r>
        <w:rPr>
          <w:color w:val="211F1F"/>
          <w:spacing w:val="-10"/>
        </w:rPr>
        <w:t xml:space="preserve"> </w:t>
      </w:r>
      <w:r>
        <w:rPr>
          <w:color w:val="211F1F"/>
        </w:rPr>
        <w:t>by</w:t>
      </w:r>
      <w:r>
        <w:rPr>
          <w:color w:val="211F1F"/>
          <w:spacing w:val="-9"/>
        </w:rPr>
        <w:t xml:space="preserve"> </w:t>
      </w:r>
      <w:r>
        <w:rPr>
          <w:color w:val="211F1F"/>
        </w:rPr>
        <w:t>the</w:t>
      </w:r>
      <w:r>
        <w:rPr>
          <w:color w:val="211F1F"/>
          <w:spacing w:val="-11"/>
        </w:rPr>
        <w:t xml:space="preserve"> </w:t>
      </w:r>
      <w:r>
        <w:rPr>
          <w:color w:val="211F1F"/>
          <w:spacing w:val="-2"/>
        </w:rPr>
        <w:t>Contractor.</w:t>
      </w:r>
    </w:p>
    <w:p w14:paraId="31D90579" w14:textId="77777777" w:rsidR="00BB77C0" w:rsidRDefault="00370BAA">
      <w:pPr>
        <w:pStyle w:val="ListParagraph"/>
        <w:numPr>
          <w:ilvl w:val="1"/>
          <w:numId w:val="23"/>
        </w:numPr>
        <w:tabs>
          <w:tab w:val="left" w:pos="1168"/>
          <w:tab w:val="left" w:pos="1171"/>
        </w:tabs>
        <w:spacing w:before="192" w:line="230" w:lineRule="auto"/>
        <w:ind w:right="835" w:hanging="360"/>
        <w:jc w:val="both"/>
        <w:rPr>
          <w:color w:val="211F1F"/>
        </w:rPr>
      </w:pPr>
      <w:r>
        <w:rPr>
          <w:color w:val="211F1F"/>
        </w:rPr>
        <w:t>The Contractor shall provide the Project Manager with a quotation for carrying out the Variation when requested to do so by the Project Manager. The Project Manager shall assess the quotation, which shall be given within seven (7) days of the request or within any longer period stated by the Project Manager and before the Variation is ordered.</w:t>
      </w:r>
    </w:p>
    <w:p w14:paraId="6DB3C560" w14:textId="77777777" w:rsidR="00BB77C0" w:rsidRDefault="00370BAA">
      <w:pPr>
        <w:pStyle w:val="ListParagraph"/>
        <w:numPr>
          <w:ilvl w:val="1"/>
          <w:numId w:val="23"/>
        </w:numPr>
        <w:tabs>
          <w:tab w:val="left" w:pos="1168"/>
          <w:tab w:val="left" w:pos="1171"/>
        </w:tabs>
        <w:spacing w:before="201" w:line="230" w:lineRule="auto"/>
        <w:ind w:right="836" w:hanging="360"/>
        <w:jc w:val="both"/>
        <w:rPr>
          <w:color w:val="211F1F"/>
        </w:rPr>
      </w:pPr>
      <w:r>
        <w:rPr>
          <w:color w:val="211F1F"/>
        </w:rPr>
        <w:t>If</w:t>
      </w:r>
      <w:r>
        <w:rPr>
          <w:color w:val="211F1F"/>
          <w:spacing w:val="-14"/>
        </w:rPr>
        <w:t xml:space="preserve"> </w:t>
      </w:r>
      <w:r>
        <w:rPr>
          <w:color w:val="211F1F"/>
        </w:rPr>
        <w:t>the</w:t>
      </w:r>
      <w:r>
        <w:rPr>
          <w:color w:val="211F1F"/>
          <w:spacing w:val="-13"/>
        </w:rPr>
        <w:t xml:space="preserve"> </w:t>
      </w:r>
      <w:r>
        <w:rPr>
          <w:color w:val="211F1F"/>
        </w:rPr>
        <w:t>Contractor's</w:t>
      </w:r>
      <w:r>
        <w:rPr>
          <w:color w:val="211F1F"/>
          <w:spacing w:val="-10"/>
        </w:rPr>
        <w:t xml:space="preserve"> </w:t>
      </w:r>
      <w:r>
        <w:rPr>
          <w:color w:val="211F1F"/>
        </w:rPr>
        <w:t>quotation</w:t>
      </w:r>
      <w:r>
        <w:rPr>
          <w:color w:val="211F1F"/>
          <w:spacing w:val="-14"/>
        </w:rPr>
        <w:t xml:space="preserve"> </w:t>
      </w:r>
      <w:r>
        <w:rPr>
          <w:color w:val="211F1F"/>
        </w:rPr>
        <w:t>is</w:t>
      </w:r>
      <w:r>
        <w:rPr>
          <w:color w:val="211F1F"/>
          <w:spacing w:val="-6"/>
        </w:rPr>
        <w:t xml:space="preserve"> </w:t>
      </w:r>
      <w:r>
        <w:rPr>
          <w:color w:val="211F1F"/>
        </w:rPr>
        <w:t>unreasonable,</w:t>
      </w:r>
      <w:r>
        <w:rPr>
          <w:color w:val="211F1F"/>
          <w:spacing w:val="-8"/>
        </w:rPr>
        <w:t xml:space="preserve"> </w:t>
      </w:r>
      <w:r>
        <w:rPr>
          <w:color w:val="211F1F"/>
        </w:rPr>
        <w:t>the</w:t>
      </w:r>
      <w:r>
        <w:rPr>
          <w:color w:val="211F1F"/>
          <w:spacing w:val="-13"/>
        </w:rPr>
        <w:t xml:space="preserve"> </w:t>
      </w:r>
      <w:r>
        <w:rPr>
          <w:color w:val="211F1F"/>
        </w:rPr>
        <w:t>Project</w:t>
      </w:r>
      <w:r>
        <w:rPr>
          <w:color w:val="211F1F"/>
          <w:spacing w:val="-10"/>
        </w:rPr>
        <w:t xml:space="preserve"> </w:t>
      </w:r>
      <w:r>
        <w:rPr>
          <w:color w:val="211F1F"/>
        </w:rPr>
        <w:t>Manager</w:t>
      </w:r>
      <w:r>
        <w:rPr>
          <w:color w:val="211F1F"/>
          <w:spacing w:val="-8"/>
        </w:rPr>
        <w:t xml:space="preserve"> </w:t>
      </w:r>
      <w:r>
        <w:rPr>
          <w:color w:val="211F1F"/>
        </w:rPr>
        <w:t>may</w:t>
      </w:r>
      <w:r>
        <w:rPr>
          <w:color w:val="211F1F"/>
          <w:spacing w:val="-14"/>
        </w:rPr>
        <w:t xml:space="preserve"> </w:t>
      </w:r>
      <w:r>
        <w:rPr>
          <w:color w:val="211F1F"/>
        </w:rPr>
        <w:t>order</w:t>
      </w:r>
      <w:r>
        <w:rPr>
          <w:color w:val="211F1F"/>
          <w:spacing w:val="-7"/>
        </w:rPr>
        <w:t xml:space="preserve"> </w:t>
      </w:r>
      <w:r>
        <w:rPr>
          <w:color w:val="211F1F"/>
        </w:rPr>
        <w:t>the</w:t>
      </w:r>
      <w:r>
        <w:rPr>
          <w:color w:val="211F1F"/>
          <w:spacing w:val="-13"/>
        </w:rPr>
        <w:t xml:space="preserve"> </w:t>
      </w:r>
      <w:r>
        <w:rPr>
          <w:color w:val="211F1F"/>
        </w:rPr>
        <w:t>Variation</w:t>
      </w:r>
      <w:r>
        <w:rPr>
          <w:color w:val="211F1F"/>
          <w:spacing w:val="-14"/>
        </w:rPr>
        <w:t xml:space="preserve"> </w:t>
      </w:r>
      <w:r>
        <w:rPr>
          <w:color w:val="211F1F"/>
        </w:rPr>
        <w:t>and</w:t>
      </w:r>
      <w:r>
        <w:rPr>
          <w:color w:val="211F1F"/>
          <w:spacing w:val="-11"/>
        </w:rPr>
        <w:t xml:space="preserve"> </w:t>
      </w:r>
      <w:r>
        <w:rPr>
          <w:color w:val="211F1F"/>
        </w:rPr>
        <w:t>make</w:t>
      </w:r>
      <w:r>
        <w:rPr>
          <w:color w:val="211F1F"/>
          <w:spacing w:val="-14"/>
        </w:rPr>
        <w:t xml:space="preserve"> </w:t>
      </w:r>
      <w:r>
        <w:rPr>
          <w:color w:val="211F1F"/>
        </w:rPr>
        <w:t>a</w:t>
      </w:r>
      <w:r>
        <w:rPr>
          <w:color w:val="211F1F"/>
          <w:spacing w:val="-5"/>
        </w:rPr>
        <w:t xml:space="preserve"> </w:t>
      </w:r>
      <w:r>
        <w:rPr>
          <w:color w:val="211F1F"/>
        </w:rPr>
        <w:t>change to the Contract Price, which shall be based on the Project Manager's own forecast of the effects of the Variation on the Contractor's costs.</w:t>
      </w:r>
    </w:p>
    <w:p w14:paraId="24A7EC96" w14:textId="77777777" w:rsidR="00BB77C0" w:rsidRDefault="00370BAA">
      <w:pPr>
        <w:pStyle w:val="ListParagraph"/>
        <w:numPr>
          <w:ilvl w:val="1"/>
          <w:numId w:val="23"/>
        </w:numPr>
        <w:tabs>
          <w:tab w:val="left" w:pos="1168"/>
          <w:tab w:val="left" w:pos="1171"/>
        </w:tabs>
        <w:spacing w:before="198" w:line="230" w:lineRule="auto"/>
        <w:ind w:right="836" w:hanging="360"/>
        <w:jc w:val="both"/>
        <w:rPr>
          <w:color w:val="211F1F"/>
        </w:rPr>
      </w:pPr>
      <w:r>
        <w:rPr>
          <w:color w:val="211F1F"/>
        </w:rPr>
        <w:t>If the Project Manager decides that the urgency of varying the work would prevent a quotation being given and considered without delaying</w:t>
      </w:r>
      <w:r>
        <w:rPr>
          <w:color w:val="211F1F"/>
          <w:spacing w:val="-5"/>
        </w:rPr>
        <w:t xml:space="preserve"> </w:t>
      </w:r>
      <w:r>
        <w:rPr>
          <w:color w:val="211F1F"/>
        </w:rPr>
        <w:t>the</w:t>
      </w:r>
      <w:r>
        <w:rPr>
          <w:color w:val="211F1F"/>
          <w:spacing w:val="-3"/>
        </w:rPr>
        <w:t xml:space="preserve"> </w:t>
      </w:r>
      <w:r>
        <w:rPr>
          <w:color w:val="211F1F"/>
        </w:rPr>
        <w:t>work, no</w:t>
      </w:r>
      <w:r>
        <w:rPr>
          <w:color w:val="211F1F"/>
          <w:spacing w:val="-5"/>
        </w:rPr>
        <w:t xml:space="preserve"> </w:t>
      </w:r>
      <w:r>
        <w:rPr>
          <w:color w:val="211F1F"/>
        </w:rPr>
        <w:t>quotation shall be</w:t>
      </w:r>
      <w:r>
        <w:rPr>
          <w:color w:val="211F1F"/>
          <w:spacing w:val="-2"/>
        </w:rPr>
        <w:t xml:space="preserve"> </w:t>
      </w:r>
      <w:r>
        <w:rPr>
          <w:color w:val="211F1F"/>
        </w:rPr>
        <w:t>given</w:t>
      </w:r>
      <w:r>
        <w:rPr>
          <w:color w:val="211F1F"/>
          <w:spacing w:val="-5"/>
        </w:rPr>
        <w:t xml:space="preserve"> </w:t>
      </w:r>
      <w:r>
        <w:rPr>
          <w:color w:val="211F1F"/>
        </w:rPr>
        <w:t>and</w:t>
      </w:r>
      <w:r>
        <w:rPr>
          <w:color w:val="211F1F"/>
          <w:spacing w:val="-5"/>
        </w:rPr>
        <w:t xml:space="preserve"> </w:t>
      </w:r>
      <w:r>
        <w:rPr>
          <w:color w:val="211F1F"/>
        </w:rPr>
        <w:t>the</w:t>
      </w:r>
      <w:r>
        <w:rPr>
          <w:color w:val="211F1F"/>
          <w:spacing w:val="-7"/>
        </w:rPr>
        <w:t xml:space="preserve"> </w:t>
      </w:r>
      <w:r>
        <w:rPr>
          <w:color w:val="211F1F"/>
        </w:rPr>
        <w:t>Variation</w:t>
      </w:r>
      <w:r>
        <w:rPr>
          <w:color w:val="211F1F"/>
          <w:spacing w:val="-5"/>
        </w:rPr>
        <w:t xml:space="preserve"> </w:t>
      </w:r>
      <w:r>
        <w:rPr>
          <w:color w:val="211F1F"/>
        </w:rPr>
        <w:t>shall</w:t>
      </w:r>
      <w:r>
        <w:rPr>
          <w:color w:val="211F1F"/>
          <w:spacing w:val="-4"/>
        </w:rPr>
        <w:t xml:space="preserve"> </w:t>
      </w:r>
      <w:r>
        <w:rPr>
          <w:color w:val="211F1F"/>
        </w:rPr>
        <w:t>be</w:t>
      </w:r>
      <w:r>
        <w:rPr>
          <w:color w:val="211F1F"/>
          <w:spacing w:val="-7"/>
        </w:rPr>
        <w:t xml:space="preserve"> </w:t>
      </w:r>
      <w:r>
        <w:rPr>
          <w:color w:val="211F1F"/>
        </w:rPr>
        <w:t>treated</w:t>
      </w:r>
      <w:r>
        <w:rPr>
          <w:color w:val="211F1F"/>
          <w:spacing w:val="-4"/>
        </w:rPr>
        <w:t xml:space="preserve"> </w:t>
      </w:r>
      <w:r>
        <w:rPr>
          <w:color w:val="211F1F"/>
        </w:rPr>
        <w:t>as</w:t>
      </w:r>
      <w:r>
        <w:rPr>
          <w:color w:val="211F1F"/>
          <w:spacing w:val="-5"/>
        </w:rPr>
        <w:t xml:space="preserve"> </w:t>
      </w:r>
      <w:r>
        <w:rPr>
          <w:color w:val="211F1F"/>
        </w:rPr>
        <w:t>a Compensation Event.</w:t>
      </w:r>
    </w:p>
    <w:p w14:paraId="592C01F2" w14:textId="77777777" w:rsidR="00BB77C0" w:rsidRDefault="00370BAA">
      <w:pPr>
        <w:spacing w:before="22"/>
        <w:ind w:left="1214"/>
        <w:jc w:val="both"/>
        <w:rPr>
          <w:i/>
          <w:sz w:val="18"/>
        </w:rPr>
      </w:pPr>
      <w:r>
        <w:rPr>
          <w:i/>
          <w:noProof/>
          <w:sz w:val="18"/>
        </w:rPr>
        <mc:AlternateContent>
          <mc:Choice Requires="wps">
            <w:drawing>
              <wp:anchor distT="0" distB="0" distL="0" distR="0" simplePos="0" relativeHeight="484051456" behindDoc="1" locked="0" layoutInCell="1" allowOverlap="1" wp14:anchorId="75DFFBAC" wp14:editId="2CC6E8CD">
                <wp:simplePos x="0" y="0"/>
                <wp:positionH relativeFrom="page">
                  <wp:posOffset>508000</wp:posOffset>
                </wp:positionH>
                <wp:positionV relativeFrom="paragraph">
                  <wp:posOffset>87781</wp:posOffset>
                </wp:positionV>
                <wp:extent cx="3644265" cy="1270"/>
                <wp:effectExtent l="0" t="0" r="0" b="0"/>
                <wp:wrapNone/>
                <wp:docPr id="420" name="Graphic 4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44265" cy="1270"/>
                        </a:xfrm>
                        <a:custGeom>
                          <a:avLst/>
                          <a:gdLst/>
                          <a:ahLst/>
                          <a:cxnLst/>
                          <a:rect l="l" t="t" r="r" b="b"/>
                          <a:pathLst>
                            <a:path w="3644265">
                              <a:moveTo>
                                <a:pt x="0" y="0"/>
                              </a:moveTo>
                              <a:lnTo>
                                <a:pt x="3644265" y="0"/>
                              </a:lnTo>
                            </a:path>
                          </a:pathLst>
                        </a:custGeom>
                        <a:ln w="6350">
                          <a:solidFill>
                            <a:srgbClr val="211F1F"/>
                          </a:solidFill>
                          <a:prstDash val="solid"/>
                        </a:ln>
                      </wps:spPr>
                      <wps:bodyPr wrap="square" lIns="0" tIns="0" rIns="0" bIns="0" rtlCol="0">
                        <a:prstTxWarp prst="textNoShape">
                          <a:avLst/>
                        </a:prstTxWarp>
                        <a:noAutofit/>
                      </wps:bodyPr>
                    </wps:wsp>
                  </a:graphicData>
                </a:graphic>
              </wp:anchor>
            </w:drawing>
          </mc:Choice>
          <mc:Fallback>
            <w:pict>
              <v:shape w14:anchorId="55E56423" id="Graphic 420" o:spid="_x0000_s1026" style="position:absolute;margin-left:40pt;margin-top:6.9pt;width:286.95pt;height:.1pt;z-index:-19265024;visibility:visible;mso-wrap-style:square;mso-wrap-distance-left:0;mso-wrap-distance-top:0;mso-wrap-distance-right:0;mso-wrap-distance-bottom:0;mso-position-horizontal:absolute;mso-position-horizontal-relative:page;mso-position-vertical:absolute;mso-position-vertical-relative:text;v-text-anchor:top" coordsize="36442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" path="m,l3644265,e" filled="f" strokecolor="#211f1f" strokeweight=".5pt">
                <v:path arrowok="t"/>
                <w10:wrap anchorx="page"/>
              </v:shape>
            </w:pict>
          </mc:Fallback>
        </mc:AlternateContent>
      </w:r>
      <w:r>
        <w:rPr>
          <w:i/>
          <w:color w:val="211F1F"/>
          <w:position w:val="8"/>
          <w:sz w:val="18"/>
        </w:rPr>
        <w:t>7</w:t>
      </w:r>
      <w:r>
        <w:rPr>
          <w:i/>
          <w:color w:val="211F1F"/>
          <w:sz w:val="18"/>
        </w:rPr>
        <w:t>In</w:t>
      </w:r>
      <w:r>
        <w:rPr>
          <w:i/>
          <w:color w:val="211F1F"/>
          <w:spacing w:val="-5"/>
          <w:sz w:val="18"/>
        </w:rPr>
        <w:t xml:space="preserve"> </w:t>
      </w:r>
      <w:r>
        <w:rPr>
          <w:i/>
          <w:color w:val="211F1F"/>
          <w:sz w:val="18"/>
        </w:rPr>
        <w:t>lump</w:t>
      </w:r>
      <w:r>
        <w:rPr>
          <w:i/>
          <w:color w:val="211F1F"/>
          <w:spacing w:val="-4"/>
          <w:sz w:val="18"/>
        </w:rPr>
        <w:t xml:space="preserve"> </w:t>
      </w:r>
      <w:r>
        <w:rPr>
          <w:i/>
          <w:color w:val="211F1F"/>
          <w:sz w:val="18"/>
        </w:rPr>
        <w:t>sum</w:t>
      </w:r>
      <w:r>
        <w:rPr>
          <w:i/>
          <w:color w:val="211F1F"/>
          <w:spacing w:val="-7"/>
          <w:sz w:val="18"/>
        </w:rPr>
        <w:t xml:space="preserve"> </w:t>
      </w:r>
      <w:r>
        <w:rPr>
          <w:i/>
          <w:color w:val="211F1F"/>
          <w:sz w:val="18"/>
        </w:rPr>
        <w:t>contracts,</w:t>
      </w:r>
      <w:r>
        <w:rPr>
          <w:i/>
          <w:color w:val="211F1F"/>
          <w:spacing w:val="-2"/>
          <w:sz w:val="18"/>
        </w:rPr>
        <w:t xml:space="preserve"> </w:t>
      </w:r>
      <w:r>
        <w:rPr>
          <w:i/>
          <w:color w:val="211F1F"/>
          <w:sz w:val="18"/>
        </w:rPr>
        <w:t>replace</w:t>
      </w:r>
      <w:r>
        <w:rPr>
          <w:i/>
          <w:color w:val="211F1F"/>
          <w:spacing w:val="-6"/>
          <w:sz w:val="18"/>
        </w:rPr>
        <w:t xml:space="preserve"> </w:t>
      </w:r>
      <w:r>
        <w:rPr>
          <w:i/>
          <w:color w:val="211F1F"/>
          <w:sz w:val="18"/>
        </w:rPr>
        <w:t>GCC</w:t>
      </w:r>
      <w:r>
        <w:rPr>
          <w:i/>
          <w:color w:val="211F1F"/>
          <w:spacing w:val="-6"/>
          <w:sz w:val="18"/>
        </w:rPr>
        <w:t xml:space="preserve"> </w:t>
      </w:r>
      <w:r>
        <w:rPr>
          <w:i/>
          <w:color w:val="211F1F"/>
          <w:sz w:val="18"/>
        </w:rPr>
        <w:t>Sub-Clauses</w:t>
      </w:r>
      <w:r>
        <w:rPr>
          <w:i/>
          <w:color w:val="211F1F"/>
          <w:spacing w:val="-3"/>
          <w:sz w:val="18"/>
        </w:rPr>
        <w:t xml:space="preserve"> </w:t>
      </w:r>
      <w:r>
        <w:rPr>
          <w:i/>
          <w:color w:val="211F1F"/>
          <w:sz w:val="18"/>
        </w:rPr>
        <w:t>36.1</w:t>
      </w:r>
      <w:r>
        <w:rPr>
          <w:i/>
          <w:color w:val="211F1F"/>
          <w:spacing w:val="-4"/>
          <w:sz w:val="18"/>
        </w:rPr>
        <w:t xml:space="preserve"> </w:t>
      </w:r>
      <w:r>
        <w:rPr>
          <w:i/>
          <w:color w:val="211F1F"/>
          <w:sz w:val="18"/>
        </w:rPr>
        <w:t>as</w:t>
      </w:r>
      <w:r>
        <w:rPr>
          <w:i/>
          <w:color w:val="211F1F"/>
          <w:spacing w:val="-9"/>
          <w:sz w:val="18"/>
        </w:rPr>
        <w:t xml:space="preserve"> </w:t>
      </w:r>
      <w:r>
        <w:rPr>
          <w:i/>
          <w:color w:val="211F1F"/>
          <w:spacing w:val="-2"/>
          <w:sz w:val="18"/>
        </w:rPr>
        <w:t>follows:</w:t>
      </w:r>
    </w:p>
    <w:p w14:paraId="08537763" w14:textId="77777777" w:rsidR="00BB77C0" w:rsidRDefault="00370BAA">
      <w:pPr>
        <w:spacing w:before="112" w:line="230" w:lineRule="auto"/>
        <w:ind w:left="1210" w:right="705"/>
        <w:jc w:val="both"/>
        <w:rPr>
          <w:i/>
          <w:sz w:val="18"/>
        </w:rPr>
      </w:pPr>
      <w:r>
        <w:rPr>
          <w:i/>
          <w:color w:val="211F1F"/>
          <w:sz w:val="18"/>
        </w:rPr>
        <w:t>36.1</w:t>
      </w:r>
      <w:r>
        <w:rPr>
          <w:i/>
          <w:color w:val="211F1F"/>
          <w:spacing w:val="-12"/>
          <w:sz w:val="18"/>
        </w:rPr>
        <w:t xml:space="preserve"> </w:t>
      </w:r>
      <w:r>
        <w:rPr>
          <w:i/>
          <w:color w:val="211F1F"/>
          <w:sz w:val="18"/>
        </w:rPr>
        <w:t>The</w:t>
      </w:r>
      <w:r>
        <w:rPr>
          <w:i/>
          <w:color w:val="211F1F"/>
          <w:spacing w:val="-11"/>
          <w:sz w:val="18"/>
        </w:rPr>
        <w:t xml:space="preserve"> </w:t>
      </w:r>
      <w:r>
        <w:rPr>
          <w:i/>
          <w:color w:val="211F1F"/>
          <w:sz w:val="18"/>
        </w:rPr>
        <w:t>Contractor</w:t>
      </w:r>
      <w:r>
        <w:rPr>
          <w:i/>
          <w:color w:val="211F1F"/>
          <w:spacing w:val="-11"/>
          <w:sz w:val="18"/>
        </w:rPr>
        <w:t xml:space="preserve"> </w:t>
      </w:r>
      <w:r>
        <w:rPr>
          <w:i/>
          <w:color w:val="211F1F"/>
          <w:sz w:val="18"/>
        </w:rPr>
        <w:t>shall</w:t>
      </w:r>
      <w:r>
        <w:rPr>
          <w:i/>
          <w:color w:val="211F1F"/>
          <w:spacing w:val="-11"/>
          <w:sz w:val="18"/>
        </w:rPr>
        <w:t xml:space="preserve"> </w:t>
      </w:r>
      <w:r>
        <w:rPr>
          <w:i/>
          <w:color w:val="211F1F"/>
          <w:sz w:val="18"/>
        </w:rPr>
        <w:t>provide</w:t>
      </w:r>
      <w:r>
        <w:rPr>
          <w:i/>
          <w:color w:val="211F1F"/>
          <w:spacing w:val="-12"/>
          <w:sz w:val="18"/>
        </w:rPr>
        <w:t xml:space="preserve"> </w:t>
      </w:r>
      <w:r>
        <w:rPr>
          <w:i/>
          <w:color w:val="211F1F"/>
          <w:sz w:val="18"/>
        </w:rPr>
        <w:t>updated</w:t>
      </w:r>
      <w:r>
        <w:rPr>
          <w:i/>
          <w:color w:val="211F1F"/>
          <w:spacing w:val="-11"/>
          <w:sz w:val="18"/>
        </w:rPr>
        <w:t xml:space="preserve"> </w:t>
      </w:r>
      <w:r>
        <w:rPr>
          <w:i/>
          <w:color w:val="211F1F"/>
          <w:sz w:val="18"/>
        </w:rPr>
        <w:t>Activity</w:t>
      </w:r>
      <w:r>
        <w:rPr>
          <w:i/>
          <w:color w:val="211F1F"/>
          <w:spacing w:val="-11"/>
          <w:sz w:val="18"/>
        </w:rPr>
        <w:t xml:space="preserve"> </w:t>
      </w:r>
      <w:r>
        <w:rPr>
          <w:i/>
          <w:color w:val="211F1F"/>
          <w:sz w:val="18"/>
        </w:rPr>
        <w:t>Schedules</w:t>
      </w:r>
      <w:r>
        <w:rPr>
          <w:i/>
          <w:color w:val="211F1F"/>
          <w:spacing w:val="-11"/>
          <w:sz w:val="18"/>
        </w:rPr>
        <w:t xml:space="preserve"> </w:t>
      </w:r>
      <w:r>
        <w:rPr>
          <w:i/>
          <w:color w:val="211F1F"/>
          <w:sz w:val="18"/>
        </w:rPr>
        <w:t>within</w:t>
      </w:r>
      <w:r>
        <w:rPr>
          <w:i/>
          <w:color w:val="211F1F"/>
          <w:spacing w:val="-12"/>
          <w:sz w:val="18"/>
        </w:rPr>
        <w:t xml:space="preserve"> </w:t>
      </w:r>
      <w:r>
        <w:rPr>
          <w:i/>
          <w:color w:val="211F1F"/>
          <w:sz w:val="18"/>
        </w:rPr>
        <w:t>14</w:t>
      </w:r>
      <w:r>
        <w:rPr>
          <w:i/>
          <w:color w:val="211F1F"/>
          <w:spacing w:val="-11"/>
          <w:sz w:val="18"/>
        </w:rPr>
        <w:t xml:space="preserve"> </w:t>
      </w:r>
      <w:r>
        <w:rPr>
          <w:i/>
          <w:color w:val="211F1F"/>
          <w:sz w:val="18"/>
        </w:rPr>
        <w:t>days</w:t>
      </w:r>
      <w:r>
        <w:rPr>
          <w:i/>
          <w:color w:val="211F1F"/>
          <w:spacing w:val="-11"/>
          <w:sz w:val="18"/>
        </w:rPr>
        <w:t xml:space="preserve"> </w:t>
      </w:r>
      <w:r>
        <w:rPr>
          <w:i/>
          <w:color w:val="211F1F"/>
          <w:sz w:val="18"/>
        </w:rPr>
        <w:t>of</w:t>
      </w:r>
      <w:r>
        <w:rPr>
          <w:i/>
          <w:color w:val="211F1F"/>
          <w:spacing w:val="-11"/>
          <w:sz w:val="18"/>
        </w:rPr>
        <w:t xml:space="preserve"> </w:t>
      </w:r>
      <w:r>
        <w:rPr>
          <w:i/>
          <w:color w:val="211F1F"/>
          <w:sz w:val="18"/>
        </w:rPr>
        <w:t>being</w:t>
      </w:r>
      <w:r>
        <w:rPr>
          <w:i/>
          <w:color w:val="211F1F"/>
          <w:spacing w:val="-12"/>
          <w:sz w:val="18"/>
        </w:rPr>
        <w:t xml:space="preserve"> </w:t>
      </w:r>
      <w:r>
        <w:rPr>
          <w:i/>
          <w:color w:val="211F1F"/>
          <w:sz w:val="18"/>
        </w:rPr>
        <w:t>instructed</w:t>
      </w:r>
      <w:r>
        <w:rPr>
          <w:i/>
          <w:color w:val="211F1F"/>
          <w:spacing w:val="-11"/>
          <w:sz w:val="18"/>
        </w:rPr>
        <w:t xml:space="preserve"> </w:t>
      </w:r>
      <w:r>
        <w:rPr>
          <w:i/>
          <w:color w:val="211F1F"/>
          <w:sz w:val="18"/>
        </w:rPr>
        <w:t>to</w:t>
      </w:r>
      <w:r>
        <w:rPr>
          <w:i/>
          <w:color w:val="211F1F"/>
          <w:spacing w:val="-11"/>
          <w:sz w:val="18"/>
        </w:rPr>
        <w:t xml:space="preserve"> </w:t>
      </w:r>
      <w:r>
        <w:rPr>
          <w:i/>
          <w:color w:val="211F1F"/>
          <w:sz w:val="18"/>
        </w:rPr>
        <w:t>by</w:t>
      </w:r>
      <w:r>
        <w:rPr>
          <w:i/>
          <w:color w:val="211F1F"/>
          <w:spacing w:val="-11"/>
          <w:sz w:val="18"/>
        </w:rPr>
        <w:t xml:space="preserve"> </w:t>
      </w:r>
      <w:r>
        <w:rPr>
          <w:i/>
          <w:color w:val="211F1F"/>
          <w:sz w:val="18"/>
        </w:rPr>
        <w:t>the</w:t>
      </w:r>
      <w:r>
        <w:rPr>
          <w:i/>
          <w:color w:val="211F1F"/>
          <w:spacing w:val="-12"/>
          <w:sz w:val="18"/>
        </w:rPr>
        <w:t xml:space="preserve"> </w:t>
      </w:r>
      <w:r>
        <w:rPr>
          <w:i/>
          <w:color w:val="211F1F"/>
          <w:sz w:val="18"/>
        </w:rPr>
        <w:t>Project</w:t>
      </w:r>
      <w:r>
        <w:rPr>
          <w:i/>
          <w:color w:val="211F1F"/>
          <w:spacing w:val="-11"/>
          <w:sz w:val="18"/>
        </w:rPr>
        <w:t xml:space="preserve"> </w:t>
      </w:r>
      <w:r>
        <w:rPr>
          <w:i/>
          <w:color w:val="211F1F"/>
          <w:sz w:val="18"/>
        </w:rPr>
        <w:t>Manager.</w:t>
      </w:r>
      <w:r>
        <w:rPr>
          <w:i/>
          <w:color w:val="211F1F"/>
          <w:spacing w:val="-11"/>
          <w:sz w:val="18"/>
        </w:rPr>
        <w:t xml:space="preserve"> </w:t>
      </w:r>
      <w:r>
        <w:rPr>
          <w:i/>
          <w:color w:val="211F1F"/>
          <w:sz w:val="18"/>
        </w:rPr>
        <w:t>The</w:t>
      </w:r>
      <w:r>
        <w:rPr>
          <w:i/>
          <w:color w:val="211F1F"/>
          <w:spacing w:val="-11"/>
          <w:sz w:val="18"/>
        </w:rPr>
        <w:t xml:space="preserve"> </w:t>
      </w:r>
      <w:r>
        <w:rPr>
          <w:i/>
          <w:color w:val="211F1F"/>
          <w:sz w:val="18"/>
        </w:rPr>
        <w:t xml:space="preserve">Activity </w:t>
      </w:r>
      <w:r>
        <w:rPr>
          <w:i/>
          <w:color w:val="211F1F"/>
          <w:spacing w:val="-2"/>
          <w:sz w:val="18"/>
        </w:rPr>
        <w:t>Schedule</w:t>
      </w:r>
      <w:r>
        <w:rPr>
          <w:i/>
          <w:color w:val="211F1F"/>
          <w:spacing w:val="-10"/>
          <w:sz w:val="18"/>
        </w:rPr>
        <w:t xml:space="preserve"> </w:t>
      </w:r>
      <w:r>
        <w:rPr>
          <w:i/>
          <w:color w:val="211F1F"/>
          <w:spacing w:val="-2"/>
          <w:sz w:val="18"/>
        </w:rPr>
        <w:t>shall</w:t>
      </w:r>
      <w:r>
        <w:rPr>
          <w:i/>
          <w:color w:val="211F1F"/>
          <w:spacing w:val="-9"/>
          <w:sz w:val="18"/>
        </w:rPr>
        <w:t xml:space="preserve"> </w:t>
      </w:r>
      <w:r>
        <w:rPr>
          <w:i/>
          <w:color w:val="211F1F"/>
          <w:spacing w:val="-2"/>
          <w:sz w:val="18"/>
        </w:rPr>
        <w:t>contain</w:t>
      </w:r>
      <w:r>
        <w:rPr>
          <w:i/>
          <w:color w:val="211F1F"/>
          <w:spacing w:val="-9"/>
          <w:sz w:val="18"/>
        </w:rPr>
        <w:t xml:space="preserve"> </w:t>
      </w:r>
      <w:r>
        <w:rPr>
          <w:i/>
          <w:color w:val="211F1F"/>
          <w:spacing w:val="-2"/>
          <w:sz w:val="18"/>
        </w:rPr>
        <w:t>the</w:t>
      </w:r>
      <w:r>
        <w:rPr>
          <w:i/>
          <w:color w:val="211F1F"/>
          <w:spacing w:val="4"/>
          <w:sz w:val="18"/>
        </w:rPr>
        <w:t xml:space="preserve"> </w:t>
      </w:r>
      <w:r>
        <w:rPr>
          <w:i/>
          <w:color w:val="211F1F"/>
          <w:spacing w:val="-2"/>
          <w:sz w:val="18"/>
        </w:rPr>
        <w:t>priced</w:t>
      </w:r>
      <w:r>
        <w:rPr>
          <w:i/>
          <w:color w:val="211F1F"/>
          <w:spacing w:val="-5"/>
          <w:sz w:val="18"/>
        </w:rPr>
        <w:t xml:space="preserve"> </w:t>
      </w:r>
      <w:r>
        <w:rPr>
          <w:i/>
          <w:color w:val="211F1F"/>
          <w:spacing w:val="-2"/>
          <w:sz w:val="18"/>
        </w:rPr>
        <w:t>activities</w:t>
      </w:r>
      <w:r>
        <w:rPr>
          <w:i/>
          <w:color w:val="211F1F"/>
          <w:spacing w:val="-3"/>
          <w:sz w:val="18"/>
        </w:rPr>
        <w:t xml:space="preserve"> </w:t>
      </w:r>
      <w:r>
        <w:rPr>
          <w:i/>
          <w:color w:val="211F1F"/>
          <w:spacing w:val="-2"/>
          <w:sz w:val="18"/>
        </w:rPr>
        <w:t>for</w:t>
      </w:r>
      <w:r>
        <w:rPr>
          <w:i/>
          <w:color w:val="211F1F"/>
          <w:spacing w:val="-4"/>
          <w:sz w:val="18"/>
        </w:rPr>
        <w:t xml:space="preserve"> </w:t>
      </w:r>
      <w:r>
        <w:rPr>
          <w:i/>
          <w:color w:val="211F1F"/>
          <w:spacing w:val="-2"/>
          <w:sz w:val="18"/>
        </w:rPr>
        <w:t>the</w:t>
      </w:r>
      <w:r>
        <w:rPr>
          <w:i/>
          <w:color w:val="211F1F"/>
          <w:spacing w:val="-4"/>
          <w:sz w:val="18"/>
        </w:rPr>
        <w:t xml:space="preserve"> </w:t>
      </w:r>
      <w:r>
        <w:rPr>
          <w:i/>
          <w:color w:val="211F1F"/>
          <w:spacing w:val="-2"/>
          <w:sz w:val="18"/>
        </w:rPr>
        <w:t>Works</w:t>
      </w:r>
      <w:r>
        <w:rPr>
          <w:i/>
          <w:color w:val="211F1F"/>
          <w:spacing w:val="-8"/>
          <w:sz w:val="18"/>
        </w:rPr>
        <w:t xml:space="preserve"> </w:t>
      </w:r>
      <w:r>
        <w:rPr>
          <w:i/>
          <w:color w:val="211F1F"/>
          <w:spacing w:val="-2"/>
          <w:sz w:val="18"/>
        </w:rPr>
        <w:t>to</w:t>
      </w:r>
      <w:r>
        <w:rPr>
          <w:i/>
          <w:color w:val="211F1F"/>
          <w:spacing w:val="-5"/>
          <w:sz w:val="18"/>
        </w:rPr>
        <w:t xml:space="preserve"> </w:t>
      </w:r>
      <w:r>
        <w:rPr>
          <w:i/>
          <w:color w:val="211F1F"/>
          <w:spacing w:val="-2"/>
          <w:sz w:val="18"/>
        </w:rPr>
        <w:t>be</w:t>
      </w:r>
      <w:r>
        <w:rPr>
          <w:i/>
          <w:color w:val="211F1F"/>
          <w:spacing w:val="-9"/>
          <w:sz w:val="18"/>
        </w:rPr>
        <w:t xml:space="preserve"> </w:t>
      </w:r>
      <w:r>
        <w:rPr>
          <w:i/>
          <w:color w:val="211F1F"/>
          <w:spacing w:val="-2"/>
          <w:sz w:val="18"/>
        </w:rPr>
        <w:t>performed by</w:t>
      </w:r>
      <w:r>
        <w:rPr>
          <w:i/>
          <w:color w:val="211F1F"/>
          <w:spacing w:val="-4"/>
          <w:sz w:val="18"/>
        </w:rPr>
        <w:t xml:space="preserve"> </w:t>
      </w:r>
      <w:r>
        <w:rPr>
          <w:i/>
          <w:color w:val="211F1F"/>
          <w:spacing w:val="-2"/>
          <w:sz w:val="18"/>
        </w:rPr>
        <w:t>the</w:t>
      </w:r>
      <w:r>
        <w:rPr>
          <w:i/>
          <w:color w:val="211F1F"/>
          <w:spacing w:val="-9"/>
          <w:sz w:val="18"/>
        </w:rPr>
        <w:t xml:space="preserve"> </w:t>
      </w:r>
      <w:r>
        <w:rPr>
          <w:i/>
          <w:color w:val="211F1F"/>
          <w:spacing w:val="-2"/>
          <w:sz w:val="18"/>
        </w:rPr>
        <w:t>Contractor. The</w:t>
      </w:r>
      <w:r>
        <w:rPr>
          <w:i/>
          <w:color w:val="211F1F"/>
          <w:spacing w:val="-9"/>
          <w:sz w:val="18"/>
        </w:rPr>
        <w:t xml:space="preserve"> </w:t>
      </w:r>
      <w:r>
        <w:rPr>
          <w:i/>
          <w:color w:val="211F1F"/>
          <w:spacing w:val="-2"/>
          <w:sz w:val="18"/>
        </w:rPr>
        <w:t>Activity</w:t>
      </w:r>
      <w:r>
        <w:rPr>
          <w:i/>
          <w:color w:val="211F1F"/>
          <w:spacing w:val="-3"/>
          <w:sz w:val="18"/>
        </w:rPr>
        <w:t xml:space="preserve"> </w:t>
      </w:r>
      <w:r>
        <w:rPr>
          <w:i/>
          <w:color w:val="211F1F"/>
          <w:spacing w:val="-2"/>
          <w:sz w:val="18"/>
        </w:rPr>
        <w:t>Schedule</w:t>
      </w:r>
      <w:r>
        <w:rPr>
          <w:i/>
          <w:color w:val="211F1F"/>
          <w:spacing w:val="-9"/>
          <w:sz w:val="18"/>
        </w:rPr>
        <w:t xml:space="preserve"> </w:t>
      </w:r>
      <w:r>
        <w:rPr>
          <w:i/>
          <w:color w:val="211F1F"/>
          <w:spacing w:val="-2"/>
          <w:sz w:val="18"/>
        </w:rPr>
        <w:t>is</w:t>
      </w:r>
      <w:r>
        <w:rPr>
          <w:i/>
          <w:color w:val="211F1F"/>
          <w:spacing w:val="-9"/>
          <w:sz w:val="18"/>
        </w:rPr>
        <w:t xml:space="preserve"> </w:t>
      </w:r>
      <w:r>
        <w:rPr>
          <w:i/>
          <w:color w:val="211F1F"/>
          <w:spacing w:val="-2"/>
          <w:sz w:val="18"/>
        </w:rPr>
        <w:t>used</w:t>
      </w:r>
      <w:r>
        <w:rPr>
          <w:i/>
          <w:color w:val="211F1F"/>
          <w:spacing w:val="-5"/>
          <w:sz w:val="18"/>
        </w:rPr>
        <w:t xml:space="preserve"> </w:t>
      </w:r>
      <w:r>
        <w:rPr>
          <w:i/>
          <w:color w:val="211F1F"/>
          <w:spacing w:val="-2"/>
          <w:sz w:val="18"/>
        </w:rPr>
        <w:t>to monitor</w:t>
      </w:r>
      <w:r>
        <w:rPr>
          <w:i/>
          <w:color w:val="211F1F"/>
          <w:spacing w:val="-4"/>
          <w:sz w:val="18"/>
        </w:rPr>
        <w:t xml:space="preserve"> </w:t>
      </w:r>
      <w:r>
        <w:rPr>
          <w:i/>
          <w:color w:val="211F1F"/>
          <w:spacing w:val="-2"/>
          <w:sz w:val="18"/>
        </w:rPr>
        <w:t>and control</w:t>
      </w:r>
      <w:r>
        <w:rPr>
          <w:i/>
          <w:color w:val="211F1F"/>
          <w:spacing w:val="-10"/>
          <w:sz w:val="18"/>
        </w:rPr>
        <w:t xml:space="preserve"> </w:t>
      </w:r>
      <w:r>
        <w:rPr>
          <w:i/>
          <w:color w:val="211F1F"/>
          <w:spacing w:val="-2"/>
          <w:sz w:val="18"/>
        </w:rPr>
        <w:t>the</w:t>
      </w:r>
      <w:r>
        <w:rPr>
          <w:i/>
          <w:color w:val="211F1F"/>
          <w:spacing w:val="-9"/>
          <w:sz w:val="18"/>
        </w:rPr>
        <w:t xml:space="preserve"> </w:t>
      </w:r>
      <w:r>
        <w:rPr>
          <w:i/>
          <w:color w:val="211F1F"/>
          <w:spacing w:val="-2"/>
          <w:sz w:val="18"/>
        </w:rPr>
        <w:t>performance</w:t>
      </w:r>
      <w:r>
        <w:rPr>
          <w:i/>
          <w:color w:val="211F1F"/>
          <w:spacing w:val="-9"/>
          <w:sz w:val="18"/>
        </w:rPr>
        <w:t xml:space="preserve"> </w:t>
      </w:r>
      <w:r>
        <w:rPr>
          <w:i/>
          <w:color w:val="211F1F"/>
          <w:spacing w:val="-2"/>
          <w:sz w:val="18"/>
        </w:rPr>
        <w:t>of</w:t>
      </w:r>
      <w:r>
        <w:rPr>
          <w:i/>
          <w:color w:val="211F1F"/>
          <w:spacing w:val="-9"/>
          <w:sz w:val="18"/>
        </w:rPr>
        <w:t xml:space="preserve"> </w:t>
      </w:r>
      <w:r>
        <w:rPr>
          <w:i/>
          <w:color w:val="211F1F"/>
          <w:spacing w:val="-2"/>
          <w:sz w:val="18"/>
        </w:rPr>
        <w:t>activities</w:t>
      </w:r>
      <w:r>
        <w:rPr>
          <w:i/>
          <w:color w:val="211F1F"/>
          <w:spacing w:val="-10"/>
          <w:sz w:val="18"/>
        </w:rPr>
        <w:t xml:space="preserve"> </w:t>
      </w:r>
      <w:r>
        <w:rPr>
          <w:i/>
          <w:color w:val="211F1F"/>
          <w:spacing w:val="-2"/>
          <w:sz w:val="18"/>
        </w:rPr>
        <w:t>on</w:t>
      </w:r>
      <w:r>
        <w:rPr>
          <w:i/>
          <w:color w:val="211F1F"/>
          <w:spacing w:val="-8"/>
          <w:sz w:val="18"/>
        </w:rPr>
        <w:t xml:space="preserve"> </w:t>
      </w:r>
      <w:r>
        <w:rPr>
          <w:i/>
          <w:color w:val="211F1F"/>
          <w:spacing w:val="-2"/>
          <w:sz w:val="18"/>
        </w:rPr>
        <w:t>which</w:t>
      </w:r>
      <w:r>
        <w:rPr>
          <w:i/>
          <w:color w:val="211F1F"/>
          <w:spacing w:val="-10"/>
          <w:sz w:val="18"/>
        </w:rPr>
        <w:t xml:space="preserve"> </w:t>
      </w:r>
      <w:r>
        <w:rPr>
          <w:i/>
          <w:color w:val="211F1F"/>
          <w:spacing w:val="-2"/>
          <w:sz w:val="18"/>
        </w:rPr>
        <w:t>basis</w:t>
      </w:r>
      <w:r>
        <w:rPr>
          <w:i/>
          <w:color w:val="211F1F"/>
          <w:sz w:val="18"/>
        </w:rPr>
        <w:t xml:space="preserve"> </w:t>
      </w:r>
      <w:r>
        <w:rPr>
          <w:i/>
          <w:color w:val="211F1F"/>
          <w:spacing w:val="-2"/>
          <w:sz w:val="18"/>
        </w:rPr>
        <w:t>the</w:t>
      </w:r>
      <w:r>
        <w:rPr>
          <w:i/>
          <w:color w:val="211F1F"/>
          <w:spacing w:val="-10"/>
          <w:sz w:val="18"/>
        </w:rPr>
        <w:t xml:space="preserve"> </w:t>
      </w:r>
      <w:r>
        <w:rPr>
          <w:i/>
          <w:color w:val="211F1F"/>
          <w:spacing w:val="-2"/>
          <w:sz w:val="18"/>
        </w:rPr>
        <w:t>Contractor</w:t>
      </w:r>
      <w:r>
        <w:rPr>
          <w:i/>
          <w:color w:val="211F1F"/>
          <w:sz w:val="18"/>
        </w:rPr>
        <w:t xml:space="preserve"> </w:t>
      </w:r>
      <w:r>
        <w:rPr>
          <w:i/>
          <w:color w:val="211F1F"/>
          <w:spacing w:val="-2"/>
          <w:sz w:val="18"/>
        </w:rPr>
        <w:t>will be</w:t>
      </w:r>
      <w:r>
        <w:rPr>
          <w:i/>
          <w:color w:val="211F1F"/>
          <w:spacing w:val="-10"/>
          <w:sz w:val="18"/>
        </w:rPr>
        <w:t xml:space="preserve"> </w:t>
      </w:r>
      <w:r>
        <w:rPr>
          <w:i/>
          <w:color w:val="211F1F"/>
          <w:spacing w:val="-2"/>
          <w:sz w:val="18"/>
        </w:rPr>
        <w:t>paid.</w:t>
      </w:r>
      <w:r>
        <w:rPr>
          <w:i/>
          <w:color w:val="211F1F"/>
          <w:spacing w:val="-3"/>
          <w:sz w:val="18"/>
        </w:rPr>
        <w:t xml:space="preserve"> </w:t>
      </w:r>
      <w:r>
        <w:rPr>
          <w:i/>
          <w:color w:val="211F1F"/>
          <w:spacing w:val="-2"/>
          <w:sz w:val="18"/>
        </w:rPr>
        <w:t>If</w:t>
      </w:r>
      <w:r>
        <w:rPr>
          <w:i/>
          <w:color w:val="211F1F"/>
          <w:spacing w:val="-9"/>
          <w:sz w:val="18"/>
        </w:rPr>
        <w:t xml:space="preserve"> </w:t>
      </w:r>
      <w:r>
        <w:rPr>
          <w:i/>
          <w:color w:val="211F1F"/>
          <w:spacing w:val="-2"/>
          <w:sz w:val="18"/>
        </w:rPr>
        <w:t>payment</w:t>
      </w:r>
      <w:r>
        <w:rPr>
          <w:i/>
          <w:color w:val="211F1F"/>
          <w:spacing w:val="-8"/>
          <w:sz w:val="18"/>
        </w:rPr>
        <w:t xml:space="preserve"> </w:t>
      </w:r>
      <w:r>
        <w:rPr>
          <w:i/>
          <w:color w:val="211F1F"/>
          <w:spacing w:val="-2"/>
          <w:sz w:val="18"/>
        </w:rPr>
        <w:t>for</w:t>
      </w:r>
      <w:r>
        <w:rPr>
          <w:i/>
          <w:color w:val="211F1F"/>
          <w:spacing w:val="-4"/>
          <w:sz w:val="18"/>
        </w:rPr>
        <w:t xml:space="preserve"> </w:t>
      </w:r>
      <w:r>
        <w:rPr>
          <w:i/>
          <w:color w:val="211F1F"/>
          <w:spacing w:val="-2"/>
          <w:sz w:val="18"/>
        </w:rPr>
        <w:t>materials</w:t>
      </w:r>
      <w:r>
        <w:rPr>
          <w:i/>
          <w:color w:val="211F1F"/>
          <w:spacing w:val="-4"/>
          <w:sz w:val="18"/>
        </w:rPr>
        <w:t xml:space="preserve"> </w:t>
      </w:r>
      <w:r>
        <w:rPr>
          <w:i/>
          <w:color w:val="211F1F"/>
          <w:spacing w:val="-2"/>
          <w:sz w:val="18"/>
        </w:rPr>
        <w:t>on</w:t>
      </w:r>
      <w:r>
        <w:rPr>
          <w:i/>
          <w:color w:val="211F1F"/>
          <w:spacing w:val="-5"/>
          <w:sz w:val="18"/>
        </w:rPr>
        <w:t xml:space="preserve"> </w:t>
      </w:r>
      <w:r>
        <w:rPr>
          <w:i/>
          <w:color w:val="211F1F"/>
          <w:spacing w:val="-2"/>
          <w:sz w:val="18"/>
        </w:rPr>
        <w:t>site</w:t>
      </w:r>
      <w:r>
        <w:rPr>
          <w:i/>
          <w:color w:val="211F1F"/>
          <w:spacing w:val="-10"/>
          <w:sz w:val="18"/>
        </w:rPr>
        <w:t xml:space="preserve"> </w:t>
      </w:r>
      <w:r>
        <w:rPr>
          <w:i/>
          <w:color w:val="211F1F"/>
          <w:spacing w:val="-2"/>
          <w:sz w:val="18"/>
        </w:rPr>
        <w:t>shall</w:t>
      </w:r>
      <w:r>
        <w:rPr>
          <w:i/>
          <w:color w:val="211F1F"/>
          <w:spacing w:val="-8"/>
          <w:sz w:val="18"/>
        </w:rPr>
        <w:t xml:space="preserve"> </w:t>
      </w:r>
      <w:r>
        <w:rPr>
          <w:i/>
          <w:color w:val="211F1F"/>
          <w:spacing w:val="-2"/>
          <w:sz w:val="18"/>
        </w:rPr>
        <w:t>be</w:t>
      </w:r>
      <w:r>
        <w:rPr>
          <w:i/>
          <w:color w:val="211F1F"/>
          <w:spacing w:val="-10"/>
          <w:sz w:val="18"/>
        </w:rPr>
        <w:t xml:space="preserve"> </w:t>
      </w:r>
      <w:r>
        <w:rPr>
          <w:i/>
          <w:color w:val="211F1F"/>
          <w:spacing w:val="-2"/>
          <w:sz w:val="18"/>
        </w:rPr>
        <w:t>made</w:t>
      </w:r>
      <w:r>
        <w:rPr>
          <w:i/>
          <w:color w:val="211F1F"/>
          <w:spacing w:val="-9"/>
          <w:sz w:val="18"/>
        </w:rPr>
        <w:t xml:space="preserve"> </w:t>
      </w:r>
      <w:r>
        <w:rPr>
          <w:i/>
          <w:color w:val="211F1F"/>
          <w:spacing w:val="-2"/>
          <w:sz w:val="18"/>
        </w:rPr>
        <w:t xml:space="preserve">separately, </w:t>
      </w:r>
      <w:r>
        <w:rPr>
          <w:i/>
          <w:color w:val="211F1F"/>
          <w:sz w:val="18"/>
        </w:rPr>
        <w:t>the Contractor shall show delivery of Materials to the Site separately on the Activity Schedule.</w:t>
      </w:r>
    </w:p>
    <w:p w14:paraId="0517B59C" w14:textId="77777777" w:rsidR="00BB77C0" w:rsidRDefault="00370BAA">
      <w:pPr>
        <w:spacing w:line="253" w:lineRule="exact"/>
        <w:ind w:left="1210"/>
        <w:jc w:val="both"/>
        <w:rPr>
          <w:i/>
          <w:sz w:val="18"/>
        </w:rPr>
      </w:pPr>
      <w:r>
        <w:rPr>
          <w:i/>
          <w:color w:val="211F1F"/>
          <w:position w:val="8"/>
          <w:sz w:val="18"/>
        </w:rPr>
        <w:t>8</w:t>
      </w:r>
      <w:r>
        <w:rPr>
          <w:i/>
          <w:color w:val="211F1F"/>
          <w:sz w:val="18"/>
        </w:rPr>
        <w:t>In</w:t>
      </w:r>
      <w:r>
        <w:rPr>
          <w:i/>
          <w:color w:val="211F1F"/>
          <w:spacing w:val="-9"/>
          <w:sz w:val="18"/>
        </w:rPr>
        <w:t xml:space="preserve"> </w:t>
      </w:r>
      <w:r>
        <w:rPr>
          <w:i/>
          <w:color w:val="211F1F"/>
          <w:sz w:val="18"/>
        </w:rPr>
        <w:t>lump</w:t>
      </w:r>
      <w:r>
        <w:rPr>
          <w:i/>
          <w:color w:val="211F1F"/>
          <w:spacing w:val="-8"/>
          <w:sz w:val="18"/>
        </w:rPr>
        <w:t xml:space="preserve"> </w:t>
      </w:r>
      <w:r>
        <w:rPr>
          <w:i/>
          <w:color w:val="211F1F"/>
          <w:sz w:val="18"/>
        </w:rPr>
        <w:t>sum</w:t>
      </w:r>
      <w:r>
        <w:rPr>
          <w:i/>
          <w:color w:val="211F1F"/>
          <w:spacing w:val="-10"/>
          <w:sz w:val="18"/>
        </w:rPr>
        <w:t xml:space="preserve"> </w:t>
      </w:r>
      <w:r>
        <w:rPr>
          <w:i/>
          <w:color w:val="211F1F"/>
          <w:sz w:val="18"/>
        </w:rPr>
        <w:t>contracts, replace</w:t>
      </w:r>
      <w:r>
        <w:rPr>
          <w:i/>
          <w:color w:val="211F1F"/>
          <w:spacing w:val="-7"/>
          <w:sz w:val="18"/>
        </w:rPr>
        <w:t xml:space="preserve"> </w:t>
      </w:r>
      <w:r>
        <w:rPr>
          <w:i/>
          <w:color w:val="211F1F"/>
          <w:sz w:val="18"/>
        </w:rPr>
        <w:t>entire</w:t>
      </w:r>
      <w:r>
        <w:rPr>
          <w:i/>
          <w:color w:val="211F1F"/>
          <w:spacing w:val="-7"/>
          <w:sz w:val="18"/>
        </w:rPr>
        <w:t xml:space="preserve"> </w:t>
      </w:r>
      <w:r>
        <w:rPr>
          <w:i/>
          <w:color w:val="211F1F"/>
          <w:sz w:val="18"/>
        </w:rPr>
        <w:t>GCC</w:t>
      </w:r>
      <w:r>
        <w:rPr>
          <w:i/>
          <w:color w:val="211F1F"/>
          <w:spacing w:val="-5"/>
          <w:sz w:val="18"/>
        </w:rPr>
        <w:t xml:space="preserve"> </w:t>
      </w:r>
      <w:r>
        <w:rPr>
          <w:i/>
          <w:color w:val="211F1F"/>
          <w:sz w:val="18"/>
        </w:rPr>
        <w:t>Clause</w:t>
      </w:r>
      <w:r>
        <w:rPr>
          <w:i/>
          <w:color w:val="211F1F"/>
          <w:spacing w:val="-8"/>
          <w:sz w:val="18"/>
        </w:rPr>
        <w:t xml:space="preserve"> </w:t>
      </w:r>
      <w:r>
        <w:rPr>
          <w:i/>
          <w:color w:val="211F1F"/>
          <w:sz w:val="18"/>
        </w:rPr>
        <w:t>37</w:t>
      </w:r>
      <w:r>
        <w:rPr>
          <w:i/>
          <w:color w:val="211F1F"/>
          <w:spacing w:val="-3"/>
          <w:sz w:val="18"/>
        </w:rPr>
        <w:t xml:space="preserve"> </w:t>
      </w:r>
      <w:r>
        <w:rPr>
          <w:i/>
          <w:color w:val="211F1F"/>
          <w:sz w:val="18"/>
        </w:rPr>
        <w:t>with</w:t>
      </w:r>
      <w:r>
        <w:rPr>
          <w:i/>
          <w:color w:val="211F1F"/>
          <w:spacing w:val="-4"/>
          <w:sz w:val="18"/>
        </w:rPr>
        <w:t xml:space="preserve"> </w:t>
      </w:r>
      <w:r>
        <w:rPr>
          <w:i/>
          <w:color w:val="211F1F"/>
          <w:sz w:val="18"/>
        </w:rPr>
        <w:t>new</w:t>
      </w:r>
      <w:r>
        <w:rPr>
          <w:i/>
          <w:color w:val="211F1F"/>
          <w:spacing w:val="-5"/>
          <w:sz w:val="18"/>
        </w:rPr>
        <w:t xml:space="preserve"> </w:t>
      </w:r>
      <w:r>
        <w:rPr>
          <w:i/>
          <w:color w:val="211F1F"/>
          <w:sz w:val="18"/>
        </w:rPr>
        <w:t>GCC</w:t>
      </w:r>
      <w:r>
        <w:rPr>
          <w:i/>
          <w:color w:val="211F1F"/>
          <w:spacing w:val="-1"/>
          <w:sz w:val="18"/>
        </w:rPr>
        <w:t xml:space="preserve"> </w:t>
      </w:r>
      <w:r>
        <w:rPr>
          <w:i/>
          <w:color w:val="211F1F"/>
          <w:sz w:val="18"/>
        </w:rPr>
        <w:t>Sub-Clause</w:t>
      </w:r>
      <w:r>
        <w:rPr>
          <w:i/>
          <w:color w:val="211F1F"/>
          <w:spacing w:val="-7"/>
          <w:sz w:val="18"/>
        </w:rPr>
        <w:t xml:space="preserve"> </w:t>
      </w:r>
      <w:r>
        <w:rPr>
          <w:i/>
          <w:color w:val="211F1F"/>
          <w:sz w:val="18"/>
        </w:rPr>
        <w:t>37.1,</w:t>
      </w:r>
      <w:r>
        <w:rPr>
          <w:i/>
          <w:color w:val="211F1F"/>
          <w:spacing w:val="-1"/>
          <w:sz w:val="18"/>
        </w:rPr>
        <w:t xml:space="preserve"> </w:t>
      </w:r>
      <w:r>
        <w:rPr>
          <w:i/>
          <w:color w:val="211F1F"/>
          <w:sz w:val="18"/>
        </w:rPr>
        <w:t>as</w:t>
      </w:r>
      <w:r>
        <w:rPr>
          <w:i/>
          <w:color w:val="211F1F"/>
          <w:spacing w:val="-7"/>
          <w:sz w:val="18"/>
        </w:rPr>
        <w:t xml:space="preserve"> </w:t>
      </w:r>
      <w:r>
        <w:rPr>
          <w:i/>
          <w:color w:val="211F1F"/>
          <w:spacing w:val="-2"/>
          <w:sz w:val="18"/>
        </w:rPr>
        <w:t>follows:</w:t>
      </w:r>
    </w:p>
    <w:p w14:paraId="799ECE53" w14:textId="77777777" w:rsidR="00BB77C0" w:rsidRDefault="00370BAA">
      <w:pPr>
        <w:spacing w:line="230" w:lineRule="auto"/>
        <w:ind w:left="1210" w:right="587"/>
        <w:rPr>
          <w:i/>
          <w:sz w:val="18"/>
        </w:rPr>
      </w:pPr>
      <w:r>
        <w:rPr>
          <w:i/>
          <w:color w:val="211F1F"/>
          <w:sz w:val="18"/>
        </w:rPr>
        <w:t>The Activity Schedule shall be amended by the Contractor</w:t>
      </w:r>
      <w:r>
        <w:rPr>
          <w:i/>
          <w:color w:val="211F1F"/>
          <w:spacing w:val="-3"/>
          <w:sz w:val="18"/>
        </w:rPr>
        <w:t xml:space="preserve"> </w:t>
      </w:r>
      <w:r>
        <w:rPr>
          <w:i/>
          <w:color w:val="211F1F"/>
          <w:sz w:val="18"/>
        </w:rPr>
        <w:t>to accommodate</w:t>
      </w:r>
      <w:r>
        <w:rPr>
          <w:i/>
          <w:color w:val="211F1F"/>
          <w:spacing w:val="-3"/>
          <w:sz w:val="18"/>
        </w:rPr>
        <w:t xml:space="preserve"> </w:t>
      </w:r>
      <w:r>
        <w:rPr>
          <w:i/>
          <w:color w:val="211F1F"/>
          <w:sz w:val="18"/>
        </w:rPr>
        <w:t>changes of Program</w:t>
      </w:r>
      <w:r>
        <w:rPr>
          <w:i/>
          <w:color w:val="211F1F"/>
          <w:spacing w:val="-2"/>
          <w:sz w:val="18"/>
        </w:rPr>
        <w:t xml:space="preserve"> </w:t>
      </w:r>
      <w:r>
        <w:rPr>
          <w:i/>
          <w:color w:val="211F1F"/>
          <w:sz w:val="18"/>
        </w:rPr>
        <w:t>or method of working made at the Contractor's own discretion.</w:t>
      </w:r>
      <w:r>
        <w:rPr>
          <w:i/>
          <w:color w:val="211F1F"/>
          <w:spacing w:val="40"/>
          <w:sz w:val="18"/>
        </w:rPr>
        <w:t xml:space="preserve"> </w:t>
      </w:r>
      <w:r>
        <w:rPr>
          <w:i/>
          <w:color w:val="211F1F"/>
          <w:sz w:val="18"/>
        </w:rPr>
        <w:t>Prices</w:t>
      </w:r>
      <w:r>
        <w:rPr>
          <w:i/>
          <w:color w:val="211F1F"/>
          <w:spacing w:val="-10"/>
          <w:sz w:val="18"/>
        </w:rPr>
        <w:t xml:space="preserve"> </w:t>
      </w:r>
      <w:r>
        <w:rPr>
          <w:i/>
          <w:color w:val="211F1F"/>
          <w:sz w:val="18"/>
        </w:rPr>
        <w:t>in</w:t>
      </w:r>
      <w:r>
        <w:rPr>
          <w:i/>
          <w:color w:val="211F1F"/>
          <w:spacing w:val="-13"/>
          <w:sz w:val="18"/>
        </w:rPr>
        <w:t xml:space="preserve"> </w:t>
      </w:r>
      <w:r>
        <w:rPr>
          <w:i/>
          <w:color w:val="211F1F"/>
          <w:sz w:val="18"/>
        </w:rPr>
        <w:t>the</w:t>
      </w:r>
      <w:r>
        <w:rPr>
          <w:i/>
          <w:color w:val="211F1F"/>
          <w:spacing w:val="-13"/>
          <w:sz w:val="18"/>
        </w:rPr>
        <w:t xml:space="preserve"> </w:t>
      </w:r>
      <w:r>
        <w:rPr>
          <w:i/>
          <w:color w:val="211F1F"/>
          <w:sz w:val="18"/>
        </w:rPr>
        <w:t>Activity</w:t>
      </w:r>
      <w:r>
        <w:rPr>
          <w:i/>
          <w:color w:val="211F1F"/>
          <w:spacing w:val="-12"/>
          <w:sz w:val="18"/>
        </w:rPr>
        <w:t xml:space="preserve"> </w:t>
      </w:r>
      <w:r>
        <w:rPr>
          <w:i/>
          <w:color w:val="211F1F"/>
          <w:sz w:val="18"/>
        </w:rPr>
        <w:t>Scheduleshall</w:t>
      </w:r>
      <w:r>
        <w:rPr>
          <w:i/>
          <w:color w:val="211F1F"/>
          <w:spacing w:val="-10"/>
          <w:sz w:val="18"/>
        </w:rPr>
        <w:t xml:space="preserve"> </w:t>
      </w:r>
      <w:r>
        <w:rPr>
          <w:i/>
          <w:color w:val="211F1F"/>
          <w:sz w:val="18"/>
        </w:rPr>
        <w:t>notbealtered</w:t>
      </w:r>
      <w:r>
        <w:rPr>
          <w:i/>
          <w:color w:val="211F1F"/>
          <w:spacing w:val="-6"/>
          <w:sz w:val="18"/>
        </w:rPr>
        <w:t xml:space="preserve"> </w:t>
      </w:r>
      <w:r>
        <w:rPr>
          <w:i/>
          <w:color w:val="211F1F"/>
          <w:sz w:val="18"/>
        </w:rPr>
        <w:t>when</w:t>
      </w:r>
      <w:r>
        <w:rPr>
          <w:i/>
          <w:color w:val="211F1F"/>
          <w:spacing w:val="-8"/>
          <w:sz w:val="18"/>
        </w:rPr>
        <w:t xml:space="preserve"> </w:t>
      </w:r>
      <w:r>
        <w:rPr>
          <w:i/>
          <w:color w:val="211F1F"/>
          <w:sz w:val="18"/>
        </w:rPr>
        <w:t>the</w:t>
      </w:r>
      <w:r>
        <w:rPr>
          <w:i/>
          <w:color w:val="211F1F"/>
          <w:spacing w:val="-12"/>
          <w:sz w:val="18"/>
        </w:rPr>
        <w:t xml:space="preserve"> </w:t>
      </w:r>
      <w:r>
        <w:rPr>
          <w:i/>
          <w:color w:val="211F1F"/>
          <w:sz w:val="18"/>
        </w:rPr>
        <w:t>Contractormakessuch</w:t>
      </w:r>
      <w:r>
        <w:rPr>
          <w:i/>
          <w:color w:val="211F1F"/>
          <w:spacing w:val="-8"/>
          <w:sz w:val="18"/>
        </w:rPr>
        <w:t xml:space="preserve"> </w:t>
      </w:r>
      <w:r>
        <w:rPr>
          <w:i/>
          <w:color w:val="211F1F"/>
          <w:sz w:val="18"/>
        </w:rPr>
        <w:t>changestothe</w:t>
      </w:r>
      <w:r>
        <w:rPr>
          <w:i/>
          <w:color w:val="211F1F"/>
          <w:spacing w:val="-13"/>
          <w:sz w:val="18"/>
        </w:rPr>
        <w:t xml:space="preserve"> </w:t>
      </w:r>
      <w:r>
        <w:rPr>
          <w:i/>
          <w:color w:val="211F1F"/>
          <w:sz w:val="18"/>
        </w:rPr>
        <w:t xml:space="preserve">Activity </w:t>
      </w:r>
      <w:r>
        <w:rPr>
          <w:i/>
          <w:color w:val="211F1F"/>
          <w:spacing w:val="-2"/>
          <w:sz w:val="18"/>
        </w:rPr>
        <w:t>Schedule.</w:t>
      </w:r>
    </w:p>
    <w:p w14:paraId="5C5E503E" w14:textId="77777777" w:rsidR="00BB77C0" w:rsidRDefault="00370BAA">
      <w:pPr>
        <w:spacing w:line="271" w:lineRule="exact"/>
        <w:ind w:left="1214"/>
        <w:rPr>
          <w:i/>
          <w:sz w:val="18"/>
        </w:rPr>
      </w:pPr>
      <w:r>
        <w:rPr>
          <w:i/>
          <w:color w:val="211F1F"/>
          <w:spacing w:val="-2"/>
          <w:position w:val="8"/>
          <w:sz w:val="18"/>
        </w:rPr>
        <w:t>9</w:t>
      </w:r>
      <w:r>
        <w:rPr>
          <w:i/>
          <w:color w:val="211F1F"/>
          <w:spacing w:val="-2"/>
          <w:sz w:val="18"/>
        </w:rPr>
        <w:t>In</w:t>
      </w:r>
      <w:r>
        <w:rPr>
          <w:i/>
          <w:color w:val="211F1F"/>
          <w:spacing w:val="-15"/>
          <w:sz w:val="18"/>
        </w:rPr>
        <w:t xml:space="preserve"> </w:t>
      </w:r>
      <w:r>
        <w:rPr>
          <w:i/>
          <w:color w:val="211F1F"/>
          <w:spacing w:val="-2"/>
          <w:sz w:val="18"/>
        </w:rPr>
        <w:t>lump</w:t>
      </w:r>
      <w:r>
        <w:rPr>
          <w:i/>
          <w:color w:val="211F1F"/>
          <w:spacing w:val="-11"/>
          <w:sz w:val="18"/>
        </w:rPr>
        <w:t xml:space="preserve"> </w:t>
      </w:r>
      <w:r>
        <w:rPr>
          <w:i/>
          <w:color w:val="211F1F"/>
          <w:spacing w:val="-2"/>
          <w:sz w:val="18"/>
        </w:rPr>
        <w:t>sum</w:t>
      </w:r>
      <w:r>
        <w:rPr>
          <w:i/>
          <w:color w:val="211F1F"/>
          <w:spacing w:val="-18"/>
          <w:sz w:val="18"/>
        </w:rPr>
        <w:t xml:space="preserve"> </w:t>
      </w:r>
      <w:r>
        <w:rPr>
          <w:i/>
          <w:color w:val="211F1F"/>
          <w:spacing w:val="-2"/>
          <w:sz w:val="18"/>
        </w:rPr>
        <w:t>contracts,</w:t>
      </w:r>
      <w:r>
        <w:rPr>
          <w:i/>
          <w:color w:val="211F1F"/>
          <w:spacing w:val="-7"/>
          <w:sz w:val="18"/>
        </w:rPr>
        <w:t xml:space="preserve"> </w:t>
      </w:r>
      <w:r>
        <w:rPr>
          <w:i/>
          <w:color w:val="211F1F"/>
          <w:spacing w:val="-2"/>
          <w:sz w:val="18"/>
        </w:rPr>
        <w:t>add</w:t>
      </w:r>
      <w:r>
        <w:rPr>
          <w:i/>
          <w:color w:val="211F1F"/>
          <w:spacing w:val="-11"/>
          <w:sz w:val="18"/>
        </w:rPr>
        <w:t xml:space="preserve"> </w:t>
      </w:r>
      <w:r>
        <w:rPr>
          <w:i/>
          <w:color w:val="211F1F"/>
          <w:spacing w:val="-2"/>
          <w:sz w:val="18"/>
        </w:rPr>
        <w:t>“and</w:t>
      </w:r>
      <w:r>
        <w:rPr>
          <w:i/>
          <w:color w:val="211F1F"/>
          <w:spacing w:val="-15"/>
          <w:sz w:val="18"/>
        </w:rPr>
        <w:t xml:space="preserve"> </w:t>
      </w:r>
      <w:r>
        <w:rPr>
          <w:i/>
          <w:color w:val="211F1F"/>
          <w:spacing w:val="-2"/>
          <w:sz w:val="18"/>
        </w:rPr>
        <w:t>Activity</w:t>
      </w:r>
      <w:r>
        <w:rPr>
          <w:i/>
          <w:color w:val="211F1F"/>
          <w:spacing w:val="-14"/>
          <w:sz w:val="18"/>
        </w:rPr>
        <w:t xml:space="preserve"> </w:t>
      </w:r>
      <w:r>
        <w:rPr>
          <w:i/>
          <w:color w:val="211F1F"/>
          <w:spacing w:val="-2"/>
          <w:sz w:val="18"/>
        </w:rPr>
        <w:t>Schedules”</w:t>
      </w:r>
      <w:r>
        <w:rPr>
          <w:i/>
          <w:color w:val="211F1F"/>
          <w:spacing w:val="-16"/>
          <w:sz w:val="18"/>
        </w:rPr>
        <w:t xml:space="preserve"> </w:t>
      </w:r>
      <w:r>
        <w:rPr>
          <w:i/>
          <w:color w:val="211F1F"/>
          <w:spacing w:val="-2"/>
          <w:sz w:val="18"/>
        </w:rPr>
        <w:t>after</w:t>
      </w:r>
      <w:r>
        <w:rPr>
          <w:i/>
          <w:color w:val="211F1F"/>
          <w:spacing w:val="-14"/>
          <w:sz w:val="18"/>
        </w:rPr>
        <w:t xml:space="preserve"> </w:t>
      </w:r>
      <w:r>
        <w:rPr>
          <w:i/>
          <w:color w:val="211F1F"/>
          <w:spacing w:val="-2"/>
          <w:sz w:val="18"/>
        </w:rPr>
        <w:t>“Programs.”</w:t>
      </w:r>
      <w:r>
        <w:rPr>
          <w:i/>
          <w:color w:val="211F1F"/>
          <w:spacing w:val="15"/>
          <w:sz w:val="18"/>
        </w:rPr>
        <w:t xml:space="preserve"> </w:t>
      </w:r>
      <w:r>
        <w:rPr>
          <w:i/>
          <w:color w:val="211F1F"/>
          <w:spacing w:val="-2"/>
          <w:position w:val="8"/>
          <w:sz w:val="18"/>
        </w:rPr>
        <w:t>10</w:t>
      </w:r>
      <w:r>
        <w:rPr>
          <w:i/>
          <w:color w:val="211F1F"/>
          <w:spacing w:val="-2"/>
          <w:sz w:val="18"/>
        </w:rPr>
        <w:t>In</w:t>
      </w:r>
      <w:r>
        <w:rPr>
          <w:i/>
          <w:color w:val="211F1F"/>
          <w:spacing w:val="-11"/>
          <w:sz w:val="18"/>
        </w:rPr>
        <w:t xml:space="preserve"> </w:t>
      </w:r>
      <w:r>
        <w:rPr>
          <w:i/>
          <w:color w:val="211F1F"/>
          <w:spacing w:val="-2"/>
          <w:sz w:val="18"/>
        </w:rPr>
        <w:t>lump</w:t>
      </w:r>
      <w:r>
        <w:rPr>
          <w:i/>
          <w:color w:val="211F1F"/>
          <w:spacing w:val="-10"/>
          <w:sz w:val="18"/>
        </w:rPr>
        <w:t xml:space="preserve"> </w:t>
      </w:r>
      <w:r>
        <w:rPr>
          <w:i/>
          <w:color w:val="211F1F"/>
          <w:spacing w:val="-2"/>
          <w:sz w:val="18"/>
        </w:rPr>
        <w:t>sum</w:t>
      </w:r>
      <w:r>
        <w:rPr>
          <w:i/>
          <w:color w:val="211F1F"/>
          <w:spacing w:val="-12"/>
          <w:sz w:val="18"/>
        </w:rPr>
        <w:t xml:space="preserve"> </w:t>
      </w:r>
      <w:r>
        <w:rPr>
          <w:i/>
          <w:color w:val="211F1F"/>
          <w:spacing w:val="-2"/>
          <w:sz w:val="18"/>
        </w:rPr>
        <w:t>contracts,</w:t>
      </w:r>
      <w:r>
        <w:rPr>
          <w:i/>
          <w:color w:val="211F1F"/>
          <w:spacing w:val="-7"/>
          <w:sz w:val="18"/>
        </w:rPr>
        <w:t xml:space="preserve"> </w:t>
      </w:r>
      <w:r>
        <w:rPr>
          <w:i/>
          <w:color w:val="211F1F"/>
          <w:spacing w:val="-2"/>
          <w:sz w:val="18"/>
        </w:rPr>
        <w:t>delete</w:t>
      </w:r>
      <w:r>
        <w:rPr>
          <w:i/>
          <w:color w:val="211F1F"/>
          <w:spacing w:val="-14"/>
          <w:sz w:val="18"/>
        </w:rPr>
        <w:t xml:space="preserve"> </w:t>
      </w:r>
      <w:r>
        <w:rPr>
          <w:i/>
          <w:color w:val="211F1F"/>
          <w:spacing w:val="-2"/>
          <w:sz w:val="18"/>
        </w:rPr>
        <w:t>this</w:t>
      </w:r>
      <w:r>
        <w:rPr>
          <w:i/>
          <w:color w:val="211F1F"/>
          <w:spacing w:val="-9"/>
          <w:sz w:val="18"/>
        </w:rPr>
        <w:t xml:space="preserve"> </w:t>
      </w:r>
      <w:r>
        <w:rPr>
          <w:i/>
          <w:color w:val="211F1F"/>
          <w:spacing w:val="-2"/>
          <w:sz w:val="18"/>
        </w:rPr>
        <w:t>paragraph.</w:t>
      </w:r>
    </w:p>
    <w:p w14:paraId="293951BC" w14:textId="77777777" w:rsidR="00BB77C0" w:rsidRDefault="00BB77C0">
      <w:pPr>
        <w:spacing w:line="271" w:lineRule="exact"/>
        <w:rPr>
          <w:i/>
          <w:sz w:val="18"/>
        </w:rPr>
        <w:sectPr w:rsidR="00BB77C0">
          <w:pgSz w:w="11920" w:h="16850"/>
          <w:pgMar w:top="260" w:right="0" w:bottom="280" w:left="360" w:header="720" w:footer="720" w:gutter="0"/>
          <w:cols w:space="720"/>
        </w:sectPr>
      </w:pPr>
    </w:p>
    <w:p w14:paraId="170172C4" w14:textId="77777777" w:rsidR="00BB77C0" w:rsidRDefault="00370BAA">
      <w:pPr>
        <w:pStyle w:val="ListParagraph"/>
        <w:numPr>
          <w:ilvl w:val="1"/>
          <w:numId w:val="23"/>
        </w:numPr>
        <w:tabs>
          <w:tab w:val="left" w:pos="1168"/>
          <w:tab w:val="left" w:pos="1171"/>
        </w:tabs>
        <w:spacing w:before="86" w:line="228" w:lineRule="auto"/>
        <w:ind w:right="853" w:hanging="360"/>
        <w:jc w:val="both"/>
        <w:rPr>
          <w:color w:val="211F1F"/>
        </w:rPr>
      </w:pPr>
      <w:r>
        <w:rPr>
          <w:color w:val="211F1F"/>
        </w:rPr>
        <w:lastRenderedPageBreak/>
        <w:t>The Contractor shall not be entitled to additional payment for costs that could have been avoided by giving early warning</w:t>
      </w:r>
    </w:p>
    <w:p w14:paraId="2D9C7809" w14:textId="77777777" w:rsidR="00BB77C0" w:rsidRDefault="00370BAA">
      <w:pPr>
        <w:pStyle w:val="ListParagraph"/>
        <w:numPr>
          <w:ilvl w:val="1"/>
          <w:numId w:val="23"/>
        </w:numPr>
        <w:tabs>
          <w:tab w:val="left" w:pos="1168"/>
          <w:tab w:val="left" w:pos="1171"/>
        </w:tabs>
        <w:spacing w:before="199" w:line="230" w:lineRule="auto"/>
        <w:ind w:right="838" w:hanging="360"/>
        <w:jc w:val="both"/>
        <w:rPr>
          <w:color w:val="211F1F"/>
        </w:rPr>
      </w:pPr>
      <w:r>
        <w:rPr>
          <w:color w:val="211F1F"/>
        </w:rPr>
        <w:t>If the</w:t>
      </w:r>
      <w:r>
        <w:rPr>
          <w:color w:val="211F1F"/>
          <w:spacing w:val="-2"/>
        </w:rPr>
        <w:t xml:space="preserve"> </w:t>
      </w:r>
      <w:r>
        <w:rPr>
          <w:color w:val="211F1F"/>
        </w:rPr>
        <w:t>work</w:t>
      </w:r>
      <w:r>
        <w:rPr>
          <w:color w:val="211F1F"/>
          <w:spacing w:val="-1"/>
        </w:rPr>
        <w:t xml:space="preserve"> </w:t>
      </w:r>
      <w:r>
        <w:rPr>
          <w:color w:val="211F1F"/>
        </w:rPr>
        <w:t>in</w:t>
      </w:r>
      <w:r>
        <w:rPr>
          <w:color w:val="211F1F"/>
          <w:spacing w:val="-6"/>
        </w:rPr>
        <w:t xml:space="preserve"> </w:t>
      </w:r>
      <w:r>
        <w:rPr>
          <w:color w:val="211F1F"/>
        </w:rPr>
        <w:t>the</w:t>
      </w:r>
      <w:r>
        <w:rPr>
          <w:color w:val="211F1F"/>
          <w:spacing w:val="-2"/>
        </w:rPr>
        <w:t xml:space="preserve"> </w:t>
      </w:r>
      <w:r>
        <w:rPr>
          <w:color w:val="211F1F"/>
        </w:rPr>
        <w:t>Variation</w:t>
      </w:r>
      <w:r>
        <w:rPr>
          <w:color w:val="211F1F"/>
          <w:spacing w:val="-5"/>
        </w:rPr>
        <w:t xml:space="preserve"> </w:t>
      </w:r>
      <w:r>
        <w:rPr>
          <w:color w:val="211F1F"/>
        </w:rPr>
        <w:t>corresponds to</w:t>
      </w:r>
      <w:r>
        <w:rPr>
          <w:color w:val="211F1F"/>
          <w:spacing w:val="-6"/>
        </w:rPr>
        <w:t xml:space="preserve"> </w:t>
      </w:r>
      <w:r>
        <w:rPr>
          <w:color w:val="211F1F"/>
        </w:rPr>
        <w:t>an</w:t>
      </w:r>
      <w:r>
        <w:rPr>
          <w:color w:val="211F1F"/>
          <w:spacing w:val="-5"/>
        </w:rPr>
        <w:t xml:space="preserve"> </w:t>
      </w:r>
      <w:r>
        <w:rPr>
          <w:color w:val="211F1F"/>
        </w:rPr>
        <w:t>item description in</w:t>
      </w:r>
      <w:r>
        <w:rPr>
          <w:color w:val="211F1F"/>
          <w:spacing w:val="-1"/>
        </w:rPr>
        <w:t xml:space="preserve"> </w:t>
      </w:r>
      <w:r>
        <w:rPr>
          <w:color w:val="211F1F"/>
        </w:rPr>
        <w:t>the</w:t>
      </w:r>
      <w:r>
        <w:rPr>
          <w:color w:val="211F1F"/>
          <w:spacing w:val="-3"/>
        </w:rPr>
        <w:t xml:space="preserve"> </w:t>
      </w:r>
      <w:r>
        <w:rPr>
          <w:color w:val="211F1F"/>
        </w:rPr>
        <w:t>Bill of Quantities and</w:t>
      </w:r>
      <w:r>
        <w:rPr>
          <w:color w:val="211F1F"/>
          <w:spacing w:val="-1"/>
        </w:rPr>
        <w:t xml:space="preserve"> </w:t>
      </w:r>
      <w:r>
        <w:rPr>
          <w:color w:val="211F1F"/>
        </w:rPr>
        <w:t>if, in</w:t>
      </w:r>
      <w:r>
        <w:rPr>
          <w:color w:val="211F1F"/>
          <w:spacing w:val="-1"/>
        </w:rPr>
        <w:t xml:space="preserve"> </w:t>
      </w:r>
      <w:r>
        <w:rPr>
          <w:color w:val="211F1F"/>
        </w:rPr>
        <w:t>the</w:t>
      </w:r>
      <w:r>
        <w:rPr>
          <w:color w:val="211F1F"/>
          <w:spacing w:val="-2"/>
        </w:rPr>
        <w:t xml:space="preserve"> </w:t>
      </w:r>
      <w:r>
        <w:rPr>
          <w:color w:val="211F1F"/>
        </w:rPr>
        <w:t>opinion of the Project Manager, the quantity of work above the limit stated in Sub-Clause 39.1 or the timing of its execution</w:t>
      </w:r>
      <w:r>
        <w:rPr>
          <w:color w:val="211F1F"/>
          <w:spacing w:val="-1"/>
        </w:rPr>
        <w:t xml:space="preserve"> </w:t>
      </w:r>
      <w:r>
        <w:rPr>
          <w:color w:val="211F1F"/>
        </w:rPr>
        <w:t>do</w:t>
      </w:r>
      <w:r>
        <w:rPr>
          <w:color w:val="211F1F"/>
          <w:spacing w:val="-1"/>
        </w:rPr>
        <w:t xml:space="preserve"> </w:t>
      </w:r>
      <w:r>
        <w:rPr>
          <w:color w:val="211F1F"/>
        </w:rPr>
        <w:t>not cause</w:t>
      </w:r>
      <w:r>
        <w:rPr>
          <w:color w:val="211F1F"/>
          <w:spacing w:val="-3"/>
        </w:rPr>
        <w:t xml:space="preserve"> </w:t>
      </w:r>
      <w:r>
        <w:rPr>
          <w:color w:val="211F1F"/>
        </w:rPr>
        <w:t>the cost per unit of quantity to</w:t>
      </w:r>
      <w:r>
        <w:rPr>
          <w:color w:val="211F1F"/>
          <w:spacing w:val="-1"/>
        </w:rPr>
        <w:t xml:space="preserve"> </w:t>
      </w:r>
      <w:r>
        <w:rPr>
          <w:color w:val="211F1F"/>
        </w:rPr>
        <w:t>change, the</w:t>
      </w:r>
      <w:r>
        <w:rPr>
          <w:color w:val="211F1F"/>
          <w:spacing w:val="-3"/>
        </w:rPr>
        <w:t xml:space="preserve"> </w:t>
      </w:r>
      <w:r>
        <w:rPr>
          <w:color w:val="211F1F"/>
        </w:rPr>
        <w:t>rate</w:t>
      </w:r>
      <w:r>
        <w:rPr>
          <w:color w:val="211F1F"/>
          <w:spacing w:val="-1"/>
        </w:rPr>
        <w:t xml:space="preserve"> </w:t>
      </w:r>
      <w:r>
        <w:rPr>
          <w:color w:val="211F1F"/>
        </w:rPr>
        <w:t>in</w:t>
      </w:r>
      <w:r>
        <w:rPr>
          <w:color w:val="211F1F"/>
          <w:spacing w:val="-1"/>
        </w:rPr>
        <w:t xml:space="preserve"> </w:t>
      </w:r>
      <w:r>
        <w:rPr>
          <w:color w:val="211F1F"/>
        </w:rPr>
        <w:t>the</w:t>
      </w:r>
      <w:r>
        <w:rPr>
          <w:color w:val="211F1F"/>
          <w:spacing w:val="-3"/>
        </w:rPr>
        <w:t xml:space="preserve"> </w:t>
      </w:r>
      <w:r>
        <w:rPr>
          <w:color w:val="211F1F"/>
        </w:rPr>
        <w:t>Bill of Quantities shall be</w:t>
      </w:r>
      <w:r>
        <w:rPr>
          <w:color w:val="211F1F"/>
          <w:spacing w:val="-3"/>
        </w:rPr>
        <w:t xml:space="preserve"> </w:t>
      </w:r>
      <w:r>
        <w:rPr>
          <w:color w:val="211F1F"/>
        </w:rPr>
        <w:t>used to calculate the value of the Variation. If the cost per unit of quantity changes, or if the nature or timing of the work in the Variation does not correspond with items in the Bill of Quantities, the quotation by the Contractor shall be in the form of new rates for the relevant items of work</w:t>
      </w:r>
    </w:p>
    <w:p w14:paraId="66B5B8E6" w14:textId="77777777" w:rsidR="00BB77C0" w:rsidRDefault="00370BAA">
      <w:pPr>
        <w:pStyle w:val="ListParagraph"/>
        <w:numPr>
          <w:ilvl w:val="1"/>
          <w:numId w:val="23"/>
        </w:numPr>
        <w:tabs>
          <w:tab w:val="left" w:pos="1168"/>
          <w:tab w:val="left" w:pos="1171"/>
        </w:tabs>
        <w:spacing w:before="195" w:line="230" w:lineRule="auto"/>
        <w:ind w:right="850" w:hanging="360"/>
        <w:jc w:val="both"/>
        <w:rPr>
          <w:color w:val="211F1F"/>
        </w:rPr>
      </w:pPr>
      <w:r>
        <w:rPr>
          <w:color w:val="211F1F"/>
        </w:rPr>
        <w:t xml:space="preserve">Value Engineering: The Contractor may prepare, at its own cost, a value engineering proposal at any time during the performance of the contract. The value engineering proposal shall, at a minimum, include the </w:t>
      </w:r>
      <w:r>
        <w:rPr>
          <w:color w:val="211F1F"/>
          <w:spacing w:val="-2"/>
        </w:rPr>
        <w:t>following;</w:t>
      </w:r>
    </w:p>
    <w:p w14:paraId="64834245" w14:textId="77777777" w:rsidR="00BB77C0" w:rsidRDefault="00370BAA">
      <w:pPr>
        <w:pStyle w:val="ListParagraph"/>
        <w:numPr>
          <w:ilvl w:val="0"/>
          <w:numId w:val="22"/>
        </w:numPr>
        <w:tabs>
          <w:tab w:val="left" w:pos="1479"/>
        </w:tabs>
        <w:spacing w:before="123"/>
      </w:pPr>
      <w:r>
        <w:rPr>
          <w:color w:val="211F1F"/>
          <w:spacing w:val="-4"/>
        </w:rPr>
        <w:t>the</w:t>
      </w:r>
      <w:r>
        <w:rPr>
          <w:color w:val="211F1F"/>
          <w:spacing w:val="-16"/>
        </w:rPr>
        <w:t xml:space="preserve"> </w:t>
      </w:r>
      <w:r>
        <w:rPr>
          <w:color w:val="211F1F"/>
          <w:spacing w:val="-4"/>
        </w:rPr>
        <w:t>proposed</w:t>
      </w:r>
      <w:r>
        <w:rPr>
          <w:color w:val="211F1F"/>
          <w:spacing w:val="-5"/>
        </w:rPr>
        <w:t xml:space="preserve"> </w:t>
      </w:r>
      <w:r>
        <w:rPr>
          <w:color w:val="211F1F"/>
          <w:spacing w:val="-4"/>
        </w:rPr>
        <w:t>change(s),</w:t>
      </w:r>
      <w:r>
        <w:rPr>
          <w:color w:val="211F1F"/>
          <w:spacing w:val="-15"/>
        </w:rPr>
        <w:t xml:space="preserve"> </w:t>
      </w:r>
      <w:r>
        <w:rPr>
          <w:color w:val="211F1F"/>
          <w:spacing w:val="-4"/>
        </w:rPr>
        <w:t>and</w:t>
      </w:r>
      <w:r>
        <w:rPr>
          <w:color w:val="211F1F"/>
          <w:spacing w:val="-11"/>
        </w:rPr>
        <w:t xml:space="preserve"> </w:t>
      </w:r>
      <w:r>
        <w:rPr>
          <w:color w:val="211F1F"/>
          <w:spacing w:val="-4"/>
        </w:rPr>
        <w:t>a</w:t>
      </w:r>
      <w:r>
        <w:rPr>
          <w:color w:val="211F1F"/>
          <w:spacing w:val="-2"/>
        </w:rPr>
        <w:t xml:space="preserve"> </w:t>
      </w:r>
      <w:r>
        <w:rPr>
          <w:color w:val="211F1F"/>
          <w:spacing w:val="-4"/>
        </w:rPr>
        <w:t>description</w:t>
      </w:r>
      <w:r>
        <w:rPr>
          <w:color w:val="211F1F"/>
          <w:spacing w:val="-5"/>
        </w:rPr>
        <w:t xml:space="preserve"> </w:t>
      </w:r>
      <w:r>
        <w:rPr>
          <w:color w:val="211F1F"/>
          <w:spacing w:val="-4"/>
        </w:rPr>
        <w:t>of</w:t>
      </w:r>
      <w:r>
        <w:rPr>
          <w:color w:val="211F1F"/>
          <w:spacing w:val="-2"/>
        </w:rPr>
        <w:t xml:space="preserve"> </w:t>
      </w:r>
      <w:r>
        <w:rPr>
          <w:color w:val="211F1F"/>
          <w:spacing w:val="-4"/>
        </w:rPr>
        <w:t>the</w:t>
      </w:r>
      <w:r>
        <w:rPr>
          <w:color w:val="211F1F"/>
          <w:spacing w:val="-16"/>
        </w:rPr>
        <w:t xml:space="preserve"> </w:t>
      </w:r>
      <w:r>
        <w:rPr>
          <w:color w:val="211F1F"/>
          <w:spacing w:val="-4"/>
        </w:rPr>
        <w:t>difference</w:t>
      </w:r>
      <w:r>
        <w:rPr>
          <w:color w:val="211F1F"/>
          <w:spacing w:val="-7"/>
        </w:rPr>
        <w:t xml:space="preserve"> </w:t>
      </w:r>
      <w:r>
        <w:rPr>
          <w:color w:val="211F1F"/>
          <w:spacing w:val="-4"/>
        </w:rPr>
        <w:t>to</w:t>
      </w:r>
      <w:r>
        <w:rPr>
          <w:color w:val="211F1F"/>
          <w:spacing w:val="-13"/>
        </w:rPr>
        <w:t xml:space="preserve"> </w:t>
      </w:r>
      <w:r>
        <w:rPr>
          <w:color w:val="211F1F"/>
          <w:spacing w:val="-4"/>
        </w:rPr>
        <w:t>the</w:t>
      </w:r>
      <w:r>
        <w:rPr>
          <w:color w:val="211F1F"/>
          <w:spacing w:val="-15"/>
        </w:rPr>
        <w:t xml:space="preserve"> </w:t>
      </w:r>
      <w:r>
        <w:rPr>
          <w:color w:val="211F1F"/>
          <w:spacing w:val="-4"/>
        </w:rPr>
        <w:t>existing</w:t>
      </w:r>
      <w:r>
        <w:rPr>
          <w:color w:val="211F1F"/>
          <w:spacing w:val="-5"/>
        </w:rPr>
        <w:t xml:space="preserve"> </w:t>
      </w:r>
      <w:r>
        <w:rPr>
          <w:color w:val="211F1F"/>
          <w:spacing w:val="-4"/>
        </w:rPr>
        <w:t>contract requirements;</w:t>
      </w:r>
    </w:p>
    <w:p w14:paraId="1A922E6E" w14:textId="77777777" w:rsidR="00BB77C0" w:rsidRDefault="00370BAA">
      <w:pPr>
        <w:pStyle w:val="ListParagraph"/>
        <w:numPr>
          <w:ilvl w:val="0"/>
          <w:numId w:val="22"/>
        </w:numPr>
        <w:tabs>
          <w:tab w:val="left" w:pos="1479"/>
          <w:tab w:val="left" w:pos="1484"/>
        </w:tabs>
        <w:spacing w:before="17" w:line="232" w:lineRule="auto"/>
        <w:ind w:left="1484" w:right="728" w:hanging="438"/>
      </w:pPr>
      <w:r>
        <w:rPr>
          <w:color w:val="211F1F"/>
        </w:rPr>
        <w:t>a</w:t>
      </w:r>
      <w:r>
        <w:rPr>
          <w:color w:val="211F1F"/>
          <w:spacing w:val="-14"/>
        </w:rPr>
        <w:t xml:space="preserve"> </w:t>
      </w:r>
      <w:r>
        <w:rPr>
          <w:color w:val="211F1F"/>
        </w:rPr>
        <w:t>full</w:t>
      </w:r>
      <w:r>
        <w:rPr>
          <w:color w:val="211F1F"/>
          <w:spacing w:val="-16"/>
        </w:rPr>
        <w:t xml:space="preserve"> </w:t>
      </w:r>
      <w:r>
        <w:rPr>
          <w:color w:val="211F1F"/>
        </w:rPr>
        <w:t>cost/benefit</w:t>
      </w:r>
      <w:r>
        <w:rPr>
          <w:color w:val="211F1F"/>
          <w:spacing w:val="-14"/>
        </w:rPr>
        <w:t xml:space="preserve"> </w:t>
      </w:r>
      <w:r>
        <w:rPr>
          <w:color w:val="211F1F"/>
        </w:rPr>
        <w:t>analysis</w:t>
      </w:r>
      <w:r>
        <w:rPr>
          <w:color w:val="211F1F"/>
          <w:spacing w:val="-14"/>
        </w:rPr>
        <w:t xml:space="preserve"> </w:t>
      </w:r>
      <w:r>
        <w:rPr>
          <w:color w:val="211F1F"/>
        </w:rPr>
        <w:t>of</w:t>
      </w:r>
      <w:r>
        <w:rPr>
          <w:color w:val="211F1F"/>
          <w:spacing w:val="-13"/>
        </w:rPr>
        <w:t xml:space="preserve"> </w:t>
      </w:r>
      <w:r>
        <w:rPr>
          <w:color w:val="211F1F"/>
        </w:rPr>
        <w:t>the</w:t>
      </w:r>
      <w:r>
        <w:rPr>
          <w:color w:val="211F1F"/>
          <w:spacing w:val="-19"/>
        </w:rPr>
        <w:t xml:space="preserve"> </w:t>
      </w:r>
      <w:r>
        <w:rPr>
          <w:color w:val="211F1F"/>
        </w:rPr>
        <w:t>proposed</w:t>
      </w:r>
      <w:r>
        <w:rPr>
          <w:color w:val="211F1F"/>
          <w:spacing w:val="-16"/>
        </w:rPr>
        <w:t xml:space="preserve"> </w:t>
      </w:r>
      <w:r>
        <w:rPr>
          <w:color w:val="211F1F"/>
        </w:rPr>
        <w:t>change(s)</w:t>
      </w:r>
      <w:r>
        <w:rPr>
          <w:color w:val="211F1F"/>
          <w:spacing w:val="-14"/>
        </w:rPr>
        <w:t xml:space="preserve"> </w:t>
      </w:r>
      <w:r>
        <w:rPr>
          <w:color w:val="211F1F"/>
        </w:rPr>
        <w:t>including</w:t>
      </w:r>
      <w:r>
        <w:rPr>
          <w:color w:val="211F1F"/>
          <w:spacing w:val="-17"/>
        </w:rPr>
        <w:t xml:space="preserve"> </w:t>
      </w:r>
      <w:r>
        <w:rPr>
          <w:color w:val="211F1F"/>
        </w:rPr>
        <w:t>a</w:t>
      </w:r>
      <w:r>
        <w:rPr>
          <w:color w:val="211F1F"/>
          <w:spacing w:val="-14"/>
        </w:rPr>
        <w:t xml:space="preserve"> </w:t>
      </w:r>
      <w:r>
        <w:rPr>
          <w:color w:val="211F1F"/>
        </w:rPr>
        <w:t>description</w:t>
      </w:r>
      <w:r>
        <w:rPr>
          <w:color w:val="211F1F"/>
          <w:spacing w:val="-16"/>
        </w:rPr>
        <w:t xml:space="preserve"> </w:t>
      </w:r>
      <w:r>
        <w:rPr>
          <w:color w:val="211F1F"/>
        </w:rPr>
        <w:t>and</w:t>
      </w:r>
      <w:r>
        <w:rPr>
          <w:color w:val="211F1F"/>
          <w:spacing w:val="-17"/>
        </w:rPr>
        <w:t xml:space="preserve"> </w:t>
      </w:r>
      <w:r>
        <w:rPr>
          <w:color w:val="211F1F"/>
        </w:rPr>
        <w:t>estimate</w:t>
      </w:r>
      <w:r>
        <w:rPr>
          <w:color w:val="211F1F"/>
          <w:spacing w:val="-18"/>
        </w:rPr>
        <w:t xml:space="preserve"> </w:t>
      </w:r>
      <w:r>
        <w:rPr>
          <w:color w:val="211F1F"/>
        </w:rPr>
        <w:t>of</w:t>
      </w:r>
      <w:r>
        <w:rPr>
          <w:color w:val="211F1F"/>
          <w:spacing w:val="-14"/>
        </w:rPr>
        <w:t xml:space="preserve"> </w:t>
      </w:r>
      <w:r>
        <w:rPr>
          <w:color w:val="211F1F"/>
        </w:rPr>
        <w:t>costs</w:t>
      </w:r>
      <w:r>
        <w:rPr>
          <w:color w:val="211F1F"/>
          <w:spacing w:val="-14"/>
        </w:rPr>
        <w:t xml:space="preserve"> </w:t>
      </w:r>
      <w:r>
        <w:rPr>
          <w:color w:val="211F1F"/>
        </w:rPr>
        <w:t>(including life</w:t>
      </w:r>
      <w:r>
        <w:rPr>
          <w:color w:val="211F1F"/>
          <w:spacing w:val="-6"/>
        </w:rPr>
        <w:t xml:space="preserve"> </w:t>
      </w:r>
      <w:r>
        <w:rPr>
          <w:color w:val="211F1F"/>
        </w:rPr>
        <w:t>cycle</w:t>
      </w:r>
      <w:r>
        <w:rPr>
          <w:color w:val="211F1F"/>
          <w:spacing w:val="-6"/>
        </w:rPr>
        <w:t xml:space="preserve"> </w:t>
      </w:r>
      <w:r>
        <w:rPr>
          <w:color w:val="211F1F"/>
        </w:rPr>
        <w:t>costs) the</w:t>
      </w:r>
      <w:r>
        <w:rPr>
          <w:color w:val="211F1F"/>
          <w:spacing w:val="-6"/>
        </w:rPr>
        <w:t xml:space="preserve"> </w:t>
      </w:r>
      <w:r>
        <w:rPr>
          <w:color w:val="211F1F"/>
        </w:rPr>
        <w:t>Procuring</w:t>
      </w:r>
      <w:r>
        <w:rPr>
          <w:color w:val="211F1F"/>
          <w:spacing w:val="-3"/>
        </w:rPr>
        <w:t xml:space="preserve"> </w:t>
      </w:r>
      <w:r>
        <w:rPr>
          <w:color w:val="211F1F"/>
        </w:rPr>
        <w:t>Entity may</w:t>
      </w:r>
      <w:r>
        <w:rPr>
          <w:color w:val="211F1F"/>
          <w:spacing w:val="-4"/>
        </w:rPr>
        <w:t xml:space="preserve"> </w:t>
      </w:r>
      <w:r>
        <w:rPr>
          <w:color w:val="211F1F"/>
        </w:rPr>
        <w:t>incur in implementing</w:t>
      </w:r>
      <w:r>
        <w:rPr>
          <w:color w:val="211F1F"/>
          <w:spacing w:val="-3"/>
        </w:rPr>
        <w:t xml:space="preserve"> </w:t>
      </w:r>
      <w:r>
        <w:rPr>
          <w:color w:val="211F1F"/>
        </w:rPr>
        <w:t>the value engineering</w:t>
      </w:r>
      <w:r>
        <w:rPr>
          <w:color w:val="211F1F"/>
          <w:spacing w:val="-3"/>
        </w:rPr>
        <w:t xml:space="preserve"> </w:t>
      </w:r>
      <w:r>
        <w:rPr>
          <w:color w:val="211F1F"/>
        </w:rPr>
        <w:t>proposal; and</w:t>
      </w:r>
    </w:p>
    <w:p w14:paraId="750BF1DF" w14:textId="77777777" w:rsidR="00BB77C0" w:rsidRDefault="00370BAA">
      <w:pPr>
        <w:pStyle w:val="ListParagraph"/>
        <w:numPr>
          <w:ilvl w:val="0"/>
          <w:numId w:val="22"/>
        </w:numPr>
        <w:tabs>
          <w:tab w:val="left" w:pos="1479"/>
        </w:tabs>
        <w:spacing w:before="17"/>
      </w:pPr>
      <w:r>
        <w:rPr>
          <w:color w:val="211F1F"/>
          <w:spacing w:val="-4"/>
        </w:rPr>
        <w:t>a</w:t>
      </w:r>
      <w:r>
        <w:rPr>
          <w:color w:val="211F1F"/>
          <w:spacing w:val="-7"/>
        </w:rPr>
        <w:t xml:space="preserve"> </w:t>
      </w:r>
      <w:r>
        <w:rPr>
          <w:color w:val="211F1F"/>
          <w:spacing w:val="-4"/>
        </w:rPr>
        <w:t>description</w:t>
      </w:r>
      <w:r>
        <w:rPr>
          <w:color w:val="211F1F"/>
          <w:spacing w:val="-14"/>
        </w:rPr>
        <w:t xml:space="preserve"> </w:t>
      </w:r>
      <w:r>
        <w:rPr>
          <w:color w:val="211F1F"/>
          <w:spacing w:val="-4"/>
        </w:rPr>
        <w:t>of</w:t>
      </w:r>
      <w:r>
        <w:rPr>
          <w:color w:val="211F1F"/>
          <w:spacing w:val="-5"/>
        </w:rPr>
        <w:t xml:space="preserve"> </w:t>
      </w:r>
      <w:r>
        <w:rPr>
          <w:color w:val="211F1F"/>
          <w:spacing w:val="-4"/>
        </w:rPr>
        <w:t>any</w:t>
      </w:r>
      <w:r>
        <w:rPr>
          <w:color w:val="211F1F"/>
          <w:spacing w:val="-16"/>
        </w:rPr>
        <w:t xml:space="preserve"> </w:t>
      </w:r>
      <w:r>
        <w:rPr>
          <w:color w:val="211F1F"/>
          <w:spacing w:val="-4"/>
        </w:rPr>
        <w:t>effect(s)</w:t>
      </w:r>
      <w:r>
        <w:rPr>
          <w:color w:val="211F1F"/>
          <w:spacing w:val="-10"/>
        </w:rPr>
        <w:t xml:space="preserve"> </w:t>
      </w:r>
      <w:r>
        <w:rPr>
          <w:color w:val="211F1F"/>
          <w:spacing w:val="-4"/>
        </w:rPr>
        <w:t>of</w:t>
      </w:r>
      <w:r>
        <w:rPr>
          <w:color w:val="211F1F"/>
          <w:spacing w:val="-12"/>
        </w:rPr>
        <w:t xml:space="preserve"> </w:t>
      </w:r>
      <w:r>
        <w:rPr>
          <w:color w:val="211F1F"/>
          <w:spacing w:val="-4"/>
        </w:rPr>
        <w:t>the</w:t>
      </w:r>
      <w:r>
        <w:rPr>
          <w:color w:val="211F1F"/>
          <w:spacing w:val="-18"/>
        </w:rPr>
        <w:t xml:space="preserve"> </w:t>
      </w:r>
      <w:r>
        <w:rPr>
          <w:color w:val="211F1F"/>
          <w:spacing w:val="-4"/>
        </w:rPr>
        <w:t>change</w:t>
      </w:r>
      <w:r>
        <w:rPr>
          <w:color w:val="211F1F"/>
          <w:spacing w:val="-11"/>
        </w:rPr>
        <w:t xml:space="preserve"> </w:t>
      </w:r>
      <w:r>
        <w:rPr>
          <w:color w:val="211F1F"/>
          <w:spacing w:val="-4"/>
        </w:rPr>
        <w:t>on</w:t>
      </w:r>
      <w:r>
        <w:rPr>
          <w:color w:val="211F1F"/>
          <w:spacing w:val="-15"/>
        </w:rPr>
        <w:t xml:space="preserve"> </w:t>
      </w:r>
      <w:r>
        <w:rPr>
          <w:color w:val="211F1F"/>
          <w:spacing w:val="-4"/>
        </w:rPr>
        <w:t>performance/functionality.</w:t>
      </w:r>
    </w:p>
    <w:p w14:paraId="664AF5E4" w14:textId="77777777" w:rsidR="00BB77C0" w:rsidRDefault="00370BAA">
      <w:pPr>
        <w:pStyle w:val="ListParagraph"/>
        <w:numPr>
          <w:ilvl w:val="1"/>
          <w:numId w:val="23"/>
        </w:numPr>
        <w:tabs>
          <w:tab w:val="left" w:pos="1168"/>
        </w:tabs>
        <w:spacing w:before="188"/>
        <w:ind w:left="1168" w:hanging="357"/>
        <w:rPr>
          <w:color w:val="211F1F"/>
        </w:rPr>
      </w:pPr>
      <w:r>
        <w:rPr>
          <w:color w:val="211F1F"/>
        </w:rPr>
        <w:t>The</w:t>
      </w:r>
      <w:r>
        <w:rPr>
          <w:color w:val="211F1F"/>
          <w:spacing w:val="-15"/>
        </w:rPr>
        <w:t xml:space="preserve"> </w:t>
      </w:r>
      <w:r>
        <w:rPr>
          <w:color w:val="211F1F"/>
        </w:rPr>
        <w:t>Procuring</w:t>
      </w:r>
      <w:r>
        <w:rPr>
          <w:color w:val="211F1F"/>
          <w:spacing w:val="-11"/>
        </w:rPr>
        <w:t xml:space="preserve"> </w:t>
      </w:r>
      <w:r>
        <w:rPr>
          <w:color w:val="211F1F"/>
        </w:rPr>
        <w:t>Entity</w:t>
      </w:r>
      <w:r>
        <w:rPr>
          <w:color w:val="211F1F"/>
          <w:spacing w:val="-6"/>
        </w:rPr>
        <w:t xml:space="preserve"> </w:t>
      </w:r>
      <w:r>
        <w:rPr>
          <w:color w:val="211F1F"/>
        </w:rPr>
        <w:t>may</w:t>
      </w:r>
      <w:r>
        <w:rPr>
          <w:color w:val="211F1F"/>
          <w:spacing w:val="-11"/>
        </w:rPr>
        <w:t xml:space="preserve"> </w:t>
      </w:r>
      <w:r>
        <w:rPr>
          <w:color w:val="211F1F"/>
        </w:rPr>
        <w:t>accept</w:t>
      </w:r>
      <w:r>
        <w:rPr>
          <w:color w:val="211F1F"/>
          <w:spacing w:val="-5"/>
        </w:rPr>
        <w:t xml:space="preserve"> </w:t>
      </w:r>
      <w:r>
        <w:rPr>
          <w:color w:val="211F1F"/>
        </w:rPr>
        <w:t>the</w:t>
      </w:r>
      <w:r>
        <w:rPr>
          <w:color w:val="211F1F"/>
          <w:spacing w:val="-10"/>
        </w:rPr>
        <w:t xml:space="preserve"> </w:t>
      </w:r>
      <w:r>
        <w:rPr>
          <w:color w:val="211F1F"/>
        </w:rPr>
        <w:t>value</w:t>
      </w:r>
      <w:r>
        <w:rPr>
          <w:color w:val="211F1F"/>
          <w:spacing w:val="-8"/>
        </w:rPr>
        <w:t xml:space="preserve"> </w:t>
      </w:r>
      <w:r>
        <w:rPr>
          <w:color w:val="211F1F"/>
        </w:rPr>
        <w:t>engineering</w:t>
      </w:r>
      <w:r>
        <w:rPr>
          <w:color w:val="211F1F"/>
          <w:spacing w:val="-11"/>
        </w:rPr>
        <w:t xml:space="preserve"> </w:t>
      </w:r>
      <w:r>
        <w:rPr>
          <w:color w:val="211F1F"/>
        </w:rPr>
        <w:t>proposal</w:t>
      </w:r>
      <w:r>
        <w:rPr>
          <w:color w:val="211F1F"/>
          <w:spacing w:val="-10"/>
        </w:rPr>
        <w:t xml:space="preserve"> </w:t>
      </w:r>
      <w:r>
        <w:rPr>
          <w:color w:val="211F1F"/>
        </w:rPr>
        <w:t>if</w:t>
      </w:r>
      <w:r>
        <w:rPr>
          <w:color w:val="211F1F"/>
          <w:spacing w:val="-8"/>
        </w:rPr>
        <w:t xml:space="preserve"> </w:t>
      </w:r>
      <w:r>
        <w:rPr>
          <w:color w:val="211F1F"/>
        </w:rPr>
        <w:t>the</w:t>
      </w:r>
      <w:r>
        <w:rPr>
          <w:color w:val="211F1F"/>
          <w:spacing w:val="-13"/>
        </w:rPr>
        <w:t xml:space="preserve"> </w:t>
      </w:r>
      <w:r>
        <w:rPr>
          <w:color w:val="211F1F"/>
        </w:rPr>
        <w:t>proposal</w:t>
      </w:r>
      <w:r>
        <w:rPr>
          <w:color w:val="211F1F"/>
          <w:spacing w:val="-9"/>
        </w:rPr>
        <w:t xml:space="preserve"> </w:t>
      </w:r>
      <w:r>
        <w:rPr>
          <w:color w:val="211F1F"/>
        </w:rPr>
        <w:t>demonstrates</w:t>
      </w:r>
      <w:r>
        <w:rPr>
          <w:color w:val="211F1F"/>
          <w:spacing w:val="-6"/>
        </w:rPr>
        <w:t xml:space="preserve"> </w:t>
      </w:r>
      <w:r>
        <w:rPr>
          <w:color w:val="211F1F"/>
        </w:rPr>
        <w:t>benefits</w:t>
      </w:r>
      <w:r>
        <w:rPr>
          <w:color w:val="211F1F"/>
          <w:spacing w:val="-5"/>
        </w:rPr>
        <w:t xml:space="preserve"> </w:t>
      </w:r>
      <w:r>
        <w:rPr>
          <w:color w:val="211F1F"/>
          <w:spacing w:val="-2"/>
        </w:rPr>
        <w:t>that:</w:t>
      </w:r>
    </w:p>
    <w:p w14:paraId="64C80BA9" w14:textId="77777777" w:rsidR="00BB77C0" w:rsidRDefault="00370BAA">
      <w:pPr>
        <w:pStyle w:val="ListParagraph"/>
        <w:numPr>
          <w:ilvl w:val="0"/>
          <w:numId w:val="21"/>
        </w:numPr>
        <w:tabs>
          <w:tab w:val="left" w:pos="1488"/>
        </w:tabs>
        <w:spacing w:before="122"/>
        <w:ind w:hanging="442"/>
      </w:pPr>
      <w:r>
        <w:rPr>
          <w:color w:val="211F1F"/>
          <w:spacing w:val="-4"/>
        </w:rPr>
        <w:t>accelerate</w:t>
      </w:r>
      <w:r>
        <w:rPr>
          <w:color w:val="211F1F"/>
          <w:spacing w:val="-8"/>
        </w:rPr>
        <w:t xml:space="preserve"> </w:t>
      </w:r>
      <w:r>
        <w:rPr>
          <w:color w:val="211F1F"/>
          <w:spacing w:val="-4"/>
        </w:rPr>
        <w:t>the</w:t>
      </w:r>
      <w:r>
        <w:rPr>
          <w:color w:val="211F1F"/>
          <w:spacing w:val="-7"/>
        </w:rPr>
        <w:t xml:space="preserve"> </w:t>
      </w:r>
      <w:r>
        <w:rPr>
          <w:color w:val="211F1F"/>
          <w:spacing w:val="-4"/>
        </w:rPr>
        <w:t>contract</w:t>
      </w:r>
      <w:r>
        <w:rPr>
          <w:color w:val="211F1F"/>
          <w:spacing w:val="1"/>
        </w:rPr>
        <w:t xml:space="preserve"> </w:t>
      </w:r>
      <w:r>
        <w:rPr>
          <w:color w:val="211F1F"/>
          <w:spacing w:val="-4"/>
        </w:rPr>
        <w:t>completion</w:t>
      </w:r>
      <w:r>
        <w:rPr>
          <w:color w:val="211F1F"/>
          <w:spacing w:val="-5"/>
        </w:rPr>
        <w:t xml:space="preserve"> </w:t>
      </w:r>
      <w:r>
        <w:rPr>
          <w:color w:val="211F1F"/>
          <w:spacing w:val="-4"/>
        </w:rPr>
        <w:t>period;</w:t>
      </w:r>
      <w:r>
        <w:rPr>
          <w:color w:val="211F1F"/>
          <w:spacing w:val="9"/>
        </w:rPr>
        <w:t xml:space="preserve"> </w:t>
      </w:r>
      <w:r>
        <w:rPr>
          <w:color w:val="211F1F"/>
          <w:spacing w:val="-5"/>
        </w:rPr>
        <w:t>or</w:t>
      </w:r>
    </w:p>
    <w:p w14:paraId="69743872" w14:textId="77777777" w:rsidR="00BB77C0" w:rsidRDefault="00370BAA">
      <w:pPr>
        <w:pStyle w:val="ListParagraph"/>
        <w:numPr>
          <w:ilvl w:val="0"/>
          <w:numId w:val="21"/>
        </w:numPr>
        <w:tabs>
          <w:tab w:val="left" w:pos="1488"/>
        </w:tabs>
        <w:spacing w:before="16"/>
        <w:ind w:hanging="442"/>
      </w:pPr>
      <w:r>
        <w:rPr>
          <w:color w:val="211F1F"/>
          <w:spacing w:val="-2"/>
        </w:rPr>
        <w:t>reduce</w:t>
      </w:r>
      <w:r>
        <w:rPr>
          <w:color w:val="211F1F"/>
          <w:spacing w:val="-24"/>
        </w:rPr>
        <w:t xml:space="preserve"> </w:t>
      </w:r>
      <w:r>
        <w:rPr>
          <w:color w:val="211F1F"/>
          <w:spacing w:val="-2"/>
        </w:rPr>
        <w:t>the</w:t>
      </w:r>
      <w:r>
        <w:rPr>
          <w:color w:val="211F1F"/>
          <w:spacing w:val="-19"/>
        </w:rPr>
        <w:t xml:space="preserve"> </w:t>
      </w:r>
      <w:r>
        <w:rPr>
          <w:color w:val="211F1F"/>
          <w:spacing w:val="-2"/>
        </w:rPr>
        <w:t>Contract</w:t>
      </w:r>
      <w:r>
        <w:rPr>
          <w:color w:val="211F1F"/>
          <w:spacing w:val="-20"/>
        </w:rPr>
        <w:t xml:space="preserve"> </w:t>
      </w:r>
      <w:r>
        <w:rPr>
          <w:color w:val="211F1F"/>
          <w:spacing w:val="-2"/>
        </w:rPr>
        <w:t>Price</w:t>
      </w:r>
      <w:r>
        <w:rPr>
          <w:color w:val="211F1F"/>
          <w:spacing w:val="-18"/>
        </w:rPr>
        <w:t xml:space="preserve"> </w:t>
      </w:r>
      <w:r>
        <w:rPr>
          <w:color w:val="211F1F"/>
          <w:spacing w:val="-2"/>
        </w:rPr>
        <w:t>or</w:t>
      </w:r>
      <w:r>
        <w:rPr>
          <w:color w:val="211F1F"/>
          <w:spacing w:val="-18"/>
        </w:rPr>
        <w:t xml:space="preserve"> </w:t>
      </w:r>
      <w:r>
        <w:rPr>
          <w:color w:val="211F1F"/>
          <w:spacing w:val="-2"/>
        </w:rPr>
        <w:t>the</w:t>
      </w:r>
      <w:r>
        <w:rPr>
          <w:color w:val="211F1F"/>
          <w:spacing w:val="-24"/>
        </w:rPr>
        <w:t xml:space="preserve"> </w:t>
      </w:r>
      <w:r>
        <w:rPr>
          <w:color w:val="211F1F"/>
          <w:spacing w:val="-2"/>
        </w:rPr>
        <w:t>life</w:t>
      </w:r>
      <w:r>
        <w:rPr>
          <w:color w:val="211F1F"/>
          <w:spacing w:val="-18"/>
        </w:rPr>
        <w:t xml:space="preserve"> </w:t>
      </w:r>
      <w:r>
        <w:rPr>
          <w:color w:val="211F1F"/>
          <w:spacing w:val="-2"/>
        </w:rPr>
        <w:t>cycle</w:t>
      </w:r>
      <w:r>
        <w:rPr>
          <w:color w:val="211F1F"/>
          <w:spacing w:val="-19"/>
        </w:rPr>
        <w:t xml:space="preserve"> </w:t>
      </w:r>
      <w:r>
        <w:rPr>
          <w:color w:val="211F1F"/>
          <w:spacing w:val="-2"/>
        </w:rPr>
        <w:t>costs</w:t>
      </w:r>
      <w:r>
        <w:rPr>
          <w:color w:val="211F1F"/>
          <w:spacing w:val="-16"/>
        </w:rPr>
        <w:t xml:space="preserve"> </w:t>
      </w:r>
      <w:r>
        <w:rPr>
          <w:color w:val="211F1F"/>
          <w:spacing w:val="-2"/>
        </w:rPr>
        <w:t>to</w:t>
      </w:r>
      <w:r>
        <w:rPr>
          <w:color w:val="211F1F"/>
          <w:spacing w:val="-21"/>
        </w:rPr>
        <w:t xml:space="preserve"> </w:t>
      </w:r>
      <w:r>
        <w:rPr>
          <w:color w:val="211F1F"/>
          <w:spacing w:val="-2"/>
        </w:rPr>
        <w:t>the</w:t>
      </w:r>
      <w:r>
        <w:rPr>
          <w:color w:val="211F1F"/>
          <w:spacing w:val="-24"/>
        </w:rPr>
        <w:t xml:space="preserve"> </w:t>
      </w:r>
      <w:r>
        <w:rPr>
          <w:color w:val="211F1F"/>
          <w:spacing w:val="-2"/>
        </w:rPr>
        <w:t>Procuring</w:t>
      </w:r>
      <w:r>
        <w:rPr>
          <w:color w:val="211F1F"/>
          <w:spacing w:val="-16"/>
        </w:rPr>
        <w:t xml:space="preserve"> </w:t>
      </w:r>
      <w:r>
        <w:rPr>
          <w:color w:val="211F1F"/>
          <w:spacing w:val="-2"/>
        </w:rPr>
        <w:t>Entity;</w:t>
      </w:r>
      <w:r>
        <w:rPr>
          <w:color w:val="211F1F"/>
          <w:spacing w:val="-14"/>
        </w:rPr>
        <w:t xml:space="preserve"> </w:t>
      </w:r>
      <w:r>
        <w:rPr>
          <w:color w:val="211F1F"/>
          <w:spacing w:val="-5"/>
        </w:rPr>
        <w:t>or</w:t>
      </w:r>
    </w:p>
    <w:p w14:paraId="2AA65664" w14:textId="77777777" w:rsidR="00BB77C0" w:rsidRDefault="00370BAA">
      <w:pPr>
        <w:pStyle w:val="ListParagraph"/>
        <w:numPr>
          <w:ilvl w:val="0"/>
          <w:numId w:val="21"/>
        </w:numPr>
        <w:tabs>
          <w:tab w:val="left" w:pos="1488"/>
        </w:tabs>
        <w:spacing w:before="16"/>
        <w:ind w:hanging="442"/>
      </w:pPr>
      <w:r>
        <w:rPr>
          <w:color w:val="211F1F"/>
          <w:spacing w:val="-4"/>
        </w:rPr>
        <w:t>improve</w:t>
      </w:r>
      <w:r>
        <w:rPr>
          <w:color w:val="211F1F"/>
          <w:spacing w:val="-15"/>
        </w:rPr>
        <w:t xml:space="preserve"> </w:t>
      </w:r>
      <w:r>
        <w:rPr>
          <w:color w:val="211F1F"/>
          <w:spacing w:val="-4"/>
        </w:rPr>
        <w:t>the</w:t>
      </w:r>
      <w:r>
        <w:rPr>
          <w:color w:val="211F1F"/>
          <w:spacing w:val="-9"/>
        </w:rPr>
        <w:t xml:space="preserve"> </w:t>
      </w:r>
      <w:r>
        <w:rPr>
          <w:color w:val="211F1F"/>
          <w:spacing w:val="-4"/>
        </w:rPr>
        <w:t>quality,</w:t>
      </w:r>
      <w:r>
        <w:rPr>
          <w:color w:val="211F1F"/>
          <w:spacing w:val="-2"/>
        </w:rPr>
        <w:t xml:space="preserve"> </w:t>
      </w:r>
      <w:r>
        <w:rPr>
          <w:color w:val="211F1F"/>
          <w:spacing w:val="-4"/>
        </w:rPr>
        <w:t>efficiency,</w:t>
      </w:r>
      <w:r>
        <w:rPr>
          <w:color w:val="211F1F"/>
          <w:spacing w:val="4"/>
        </w:rPr>
        <w:t xml:space="preserve"> </w:t>
      </w:r>
      <w:r>
        <w:rPr>
          <w:color w:val="211F1F"/>
          <w:spacing w:val="-4"/>
        </w:rPr>
        <w:t>safety</w:t>
      </w:r>
      <w:r>
        <w:rPr>
          <w:color w:val="211F1F"/>
          <w:spacing w:val="-7"/>
        </w:rPr>
        <w:t xml:space="preserve"> </w:t>
      </w:r>
      <w:r>
        <w:rPr>
          <w:color w:val="211F1F"/>
          <w:spacing w:val="-4"/>
        </w:rPr>
        <w:t>or</w:t>
      </w:r>
      <w:r>
        <w:rPr>
          <w:color w:val="211F1F"/>
          <w:spacing w:val="-9"/>
        </w:rPr>
        <w:t xml:space="preserve"> </w:t>
      </w:r>
      <w:r>
        <w:rPr>
          <w:color w:val="211F1F"/>
          <w:spacing w:val="-4"/>
        </w:rPr>
        <w:t>sustainability</w:t>
      </w:r>
      <w:r>
        <w:rPr>
          <w:color w:val="211F1F"/>
          <w:spacing w:val="-5"/>
        </w:rPr>
        <w:t xml:space="preserve"> </w:t>
      </w:r>
      <w:r>
        <w:rPr>
          <w:color w:val="211F1F"/>
          <w:spacing w:val="-4"/>
        </w:rPr>
        <w:t>of</w:t>
      </w:r>
      <w:r>
        <w:rPr>
          <w:color w:val="211F1F"/>
          <w:spacing w:val="-14"/>
        </w:rPr>
        <w:t xml:space="preserve"> </w:t>
      </w:r>
      <w:r>
        <w:rPr>
          <w:color w:val="211F1F"/>
          <w:spacing w:val="-4"/>
        </w:rPr>
        <w:t>the</w:t>
      </w:r>
      <w:r>
        <w:rPr>
          <w:color w:val="211F1F"/>
          <w:spacing w:val="-9"/>
        </w:rPr>
        <w:t xml:space="preserve"> </w:t>
      </w:r>
      <w:r>
        <w:rPr>
          <w:color w:val="211F1F"/>
          <w:spacing w:val="-4"/>
        </w:rPr>
        <w:t>Facilities;</w:t>
      </w:r>
      <w:r>
        <w:rPr>
          <w:color w:val="211F1F"/>
          <w:spacing w:val="3"/>
        </w:rPr>
        <w:t xml:space="preserve"> </w:t>
      </w:r>
      <w:r>
        <w:rPr>
          <w:color w:val="211F1F"/>
          <w:spacing w:val="-5"/>
        </w:rPr>
        <w:t>or</w:t>
      </w:r>
    </w:p>
    <w:p w14:paraId="4A4D0029" w14:textId="77777777" w:rsidR="00BB77C0" w:rsidRDefault="00370BAA">
      <w:pPr>
        <w:pStyle w:val="ListParagraph"/>
        <w:numPr>
          <w:ilvl w:val="0"/>
          <w:numId w:val="21"/>
        </w:numPr>
        <w:tabs>
          <w:tab w:val="left" w:pos="1484"/>
        </w:tabs>
        <w:spacing w:before="11"/>
        <w:ind w:left="1484" w:hanging="438"/>
      </w:pPr>
      <w:r>
        <w:rPr>
          <w:color w:val="211F1F"/>
          <w:spacing w:val="-4"/>
        </w:rPr>
        <w:t>yield</w:t>
      </w:r>
      <w:r>
        <w:rPr>
          <w:color w:val="211F1F"/>
          <w:spacing w:val="-11"/>
        </w:rPr>
        <w:t xml:space="preserve"> </w:t>
      </w:r>
      <w:r>
        <w:rPr>
          <w:color w:val="211F1F"/>
          <w:spacing w:val="-4"/>
        </w:rPr>
        <w:t>any</w:t>
      </w:r>
      <w:r>
        <w:rPr>
          <w:color w:val="211F1F"/>
          <w:spacing w:val="-13"/>
        </w:rPr>
        <w:t xml:space="preserve"> </w:t>
      </w:r>
      <w:r>
        <w:rPr>
          <w:color w:val="211F1F"/>
          <w:spacing w:val="-4"/>
        </w:rPr>
        <w:t>other</w:t>
      </w:r>
      <w:r>
        <w:rPr>
          <w:color w:val="211F1F"/>
        </w:rPr>
        <w:t xml:space="preserve"> </w:t>
      </w:r>
      <w:r>
        <w:rPr>
          <w:color w:val="211F1F"/>
          <w:spacing w:val="-4"/>
        </w:rPr>
        <w:t>benefits</w:t>
      </w:r>
      <w:r>
        <w:rPr>
          <w:color w:val="211F1F"/>
          <w:spacing w:val="-5"/>
        </w:rPr>
        <w:t xml:space="preserve"> </w:t>
      </w:r>
      <w:r>
        <w:rPr>
          <w:color w:val="211F1F"/>
          <w:spacing w:val="-4"/>
        </w:rPr>
        <w:t>to</w:t>
      </w:r>
      <w:r>
        <w:rPr>
          <w:color w:val="211F1F"/>
          <w:spacing w:val="-12"/>
        </w:rPr>
        <w:t xml:space="preserve"> </w:t>
      </w:r>
      <w:r>
        <w:rPr>
          <w:color w:val="211F1F"/>
          <w:spacing w:val="-4"/>
        </w:rPr>
        <w:t>the</w:t>
      </w:r>
      <w:r>
        <w:rPr>
          <w:color w:val="211F1F"/>
          <w:spacing w:val="-13"/>
        </w:rPr>
        <w:t xml:space="preserve"> </w:t>
      </w:r>
      <w:r>
        <w:rPr>
          <w:color w:val="211F1F"/>
          <w:spacing w:val="-4"/>
        </w:rPr>
        <w:t>Procuring</w:t>
      </w:r>
      <w:r>
        <w:rPr>
          <w:color w:val="211F1F"/>
          <w:spacing w:val="-11"/>
        </w:rPr>
        <w:t xml:space="preserve"> </w:t>
      </w:r>
      <w:r>
        <w:rPr>
          <w:color w:val="211F1F"/>
          <w:spacing w:val="-4"/>
        </w:rPr>
        <w:t>Entity,</w:t>
      </w:r>
      <w:r>
        <w:rPr>
          <w:color w:val="211F1F"/>
          <w:spacing w:val="-9"/>
        </w:rPr>
        <w:t xml:space="preserve"> </w:t>
      </w:r>
      <w:r>
        <w:rPr>
          <w:color w:val="211F1F"/>
          <w:spacing w:val="-4"/>
        </w:rPr>
        <w:t>without</w:t>
      </w:r>
      <w:r>
        <w:rPr>
          <w:color w:val="211F1F"/>
          <w:spacing w:val="-3"/>
        </w:rPr>
        <w:t xml:space="preserve"> </w:t>
      </w:r>
      <w:r>
        <w:rPr>
          <w:color w:val="211F1F"/>
          <w:spacing w:val="-4"/>
        </w:rPr>
        <w:t>compromising</w:t>
      </w:r>
      <w:r>
        <w:rPr>
          <w:color w:val="211F1F"/>
          <w:spacing w:val="-11"/>
        </w:rPr>
        <w:t xml:space="preserve"> </w:t>
      </w:r>
      <w:r>
        <w:rPr>
          <w:color w:val="211F1F"/>
          <w:spacing w:val="-4"/>
        </w:rPr>
        <w:t>the</w:t>
      </w:r>
      <w:r>
        <w:rPr>
          <w:color w:val="211F1F"/>
          <w:spacing w:val="-15"/>
        </w:rPr>
        <w:t xml:space="preserve"> </w:t>
      </w:r>
      <w:r>
        <w:rPr>
          <w:color w:val="211F1F"/>
          <w:spacing w:val="-4"/>
        </w:rPr>
        <w:t>functionality</w:t>
      </w:r>
      <w:r>
        <w:rPr>
          <w:color w:val="211F1F"/>
          <w:spacing w:val="-11"/>
        </w:rPr>
        <w:t xml:space="preserve"> </w:t>
      </w:r>
      <w:r>
        <w:rPr>
          <w:color w:val="211F1F"/>
          <w:spacing w:val="-4"/>
        </w:rPr>
        <w:t>of</w:t>
      </w:r>
      <w:r>
        <w:rPr>
          <w:color w:val="211F1F"/>
          <w:spacing w:val="-1"/>
        </w:rPr>
        <w:t xml:space="preserve"> </w:t>
      </w:r>
      <w:r>
        <w:rPr>
          <w:color w:val="211F1F"/>
          <w:spacing w:val="-4"/>
        </w:rPr>
        <w:t>the</w:t>
      </w:r>
      <w:r>
        <w:rPr>
          <w:color w:val="211F1F"/>
          <w:spacing w:val="-20"/>
        </w:rPr>
        <w:t xml:space="preserve"> </w:t>
      </w:r>
      <w:r>
        <w:rPr>
          <w:color w:val="211F1F"/>
          <w:spacing w:val="-4"/>
        </w:rPr>
        <w:t>Works.</w:t>
      </w:r>
    </w:p>
    <w:p w14:paraId="070C09D4" w14:textId="77777777" w:rsidR="00BB77C0" w:rsidRDefault="00BB77C0">
      <w:pPr>
        <w:pStyle w:val="BodyText"/>
        <w:spacing w:before="195"/>
      </w:pPr>
    </w:p>
    <w:p w14:paraId="73E1B0D3" w14:textId="77777777" w:rsidR="00BB77C0" w:rsidRDefault="00370BAA">
      <w:pPr>
        <w:pStyle w:val="ListParagraph"/>
        <w:numPr>
          <w:ilvl w:val="1"/>
          <w:numId w:val="23"/>
        </w:numPr>
        <w:tabs>
          <w:tab w:val="left" w:pos="1168"/>
        </w:tabs>
        <w:ind w:left="1168" w:hanging="357"/>
        <w:rPr>
          <w:color w:val="211F1F"/>
        </w:rPr>
      </w:pPr>
      <w:r>
        <w:rPr>
          <w:color w:val="211F1F"/>
        </w:rPr>
        <w:t>If</w:t>
      </w:r>
      <w:r>
        <w:rPr>
          <w:color w:val="211F1F"/>
          <w:spacing w:val="-8"/>
        </w:rPr>
        <w:t xml:space="preserve"> </w:t>
      </w:r>
      <w:r>
        <w:rPr>
          <w:color w:val="211F1F"/>
        </w:rPr>
        <w:t>the</w:t>
      </w:r>
      <w:r>
        <w:rPr>
          <w:color w:val="211F1F"/>
          <w:spacing w:val="-6"/>
        </w:rPr>
        <w:t xml:space="preserve"> </w:t>
      </w:r>
      <w:r>
        <w:rPr>
          <w:color w:val="211F1F"/>
        </w:rPr>
        <w:t>value</w:t>
      </w:r>
      <w:r>
        <w:rPr>
          <w:color w:val="211F1F"/>
          <w:spacing w:val="-5"/>
        </w:rPr>
        <w:t xml:space="preserve"> </w:t>
      </w:r>
      <w:r>
        <w:rPr>
          <w:color w:val="211F1F"/>
        </w:rPr>
        <w:t>engineering</w:t>
      </w:r>
      <w:r>
        <w:rPr>
          <w:color w:val="211F1F"/>
          <w:spacing w:val="-9"/>
        </w:rPr>
        <w:t xml:space="preserve"> </w:t>
      </w:r>
      <w:r>
        <w:rPr>
          <w:color w:val="211F1F"/>
        </w:rPr>
        <w:t>proposal</w:t>
      </w:r>
      <w:r>
        <w:rPr>
          <w:color w:val="211F1F"/>
          <w:spacing w:val="-6"/>
        </w:rPr>
        <w:t xml:space="preserve"> </w:t>
      </w:r>
      <w:r>
        <w:rPr>
          <w:color w:val="211F1F"/>
        </w:rPr>
        <w:t>is</w:t>
      </w:r>
      <w:r>
        <w:rPr>
          <w:color w:val="211F1F"/>
          <w:spacing w:val="-4"/>
        </w:rPr>
        <w:t xml:space="preserve"> </w:t>
      </w:r>
      <w:r>
        <w:rPr>
          <w:color w:val="211F1F"/>
        </w:rPr>
        <w:t>approved</w:t>
      </w:r>
      <w:r>
        <w:rPr>
          <w:color w:val="211F1F"/>
          <w:spacing w:val="-8"/>
        </w:rPr>
        <w:t xml:space="preserve"> </w:t>
      </w:r>
      <w:r>
        <w:rPr>
          <w:color w:val="211F1F"/>
        </w:rPr>
        <w:t>by</w:t>
      </w:r>
      <w:r>
        <w:rPr>
          <w:color w:val="211F1F"/>
          <w:spacing w:val="-9"/>
        </w:rPr>
        <w:t xml:space="preserve"> </w:t>
      </w:r>
      <w:r>
        <w:rPr>
          <w:color w:val="211F1F"/>
        </w:rPr>
        <w:t>the</w:t>
      </w:r>
      <w:r>
        <w:rPr>
          <w:color w:val="211F1F"/>
          <w:spacing w:val="-10"/>
        </w:rPr>
        <w:t xml:space="preserve"> </w:t>
      </w:r>
      <w:r>
        <w:rPr>
          <w:color w:val="211F1F"/>
        </w:rPr>
        <w:t>Procuring</w:t>
      </w:r>
      <w:r>
        <w:rPr>
          <w:color w:val="211F1F"/>
          <w:spacing w:val="-8"/>
        </w:rPr>
        <w:t xml:space="preserve"> </w:t>
      </w:r>
      <w:r>
        <w:rPr>
          <w:color w:val="211F1F"/>
        </w:rPr>
        <w:t>Entity</w:t>
      </w:r>
      <w:r>
        <w:rPr>
          <w:color w:val="211F1F"/>
          <w:spacing w:val="-8"/>
        </w:rPr>
        <w:t xml:space="preserve"> </w:t>
      </w:r>
      <w:r>
        <w:rPr>
          <w:color w:val="211F1F"/>
        </w:rPr>
        <w:t>and</w:t>
      </w:r>
      <w:r>
        <w:rPr>
          <w:color w:val="211F1F"/>
          <w:spacing w:val="-9"/>
        </w:rPr>
        <w:t xml:space="preserve"> </w:t>
      </w:r>
      <w:r>
        <w:rPr>
          <w:color w:val="211F1F"/>
        </w:rPr>
        <w:t>results</w:t>
      </w:r>
      <w:r>
        <w:rPr>
          <w:color w:val="211F1F"/>
          <w:spacing w:val="-3"/>
        </w:rPr>
        <w:t xml:space="preserve"> </w:t>
      </w:r>
      <w:r>
        <w:rPr>
          <w:color w:val="211F1F"/>
          <w:spacing w:val="-5"/>
        </w:rPr>
        <w:t>in:</w:t>
      </w:r>
    </w:p>
    <w:p w14:paraId="3449924D" w14:textId="77777777" w:rsidR="00BB77C0" w:rsidRDefault="00370BAA">
      <w:pPr>
        <w:pStyle w:val="ListParagraph"/>
        <w:numPr>
          <w:ilvl w:val="0"/>
          <w:numId w:val="20"/>
        </w:numPr>
        <w:tabs>
          <w:tab w:val="left" w:pos="1479"/>
        </w:tabs>
        <w:spacing w:before="109" w:line="237" w:lineRule="auto"/>
        <w:ind w:right="936"/>
      </w:pPr>
      <w:r>
        <w:rPr>
          <w:color w:val="211F1F"/>
          <w:spacing w:val="-2"/>
        </w:rPr>
        <w:t>a</w:t>
      </w:r>
      <w:r>
        <w:rPr>
          <w:color w:val="211F1F"/>
          <w:spacing w:val="-8"/>
        </w:rPr>
        <w:t xml:space="preserve"> </w:t>
      </w:r>
      <w:r>
        <w:rPr>
          <w:color w:val="211F1F"/>
          <w:spacing w:val="-2"/>
        </w:rPr>
        <w:t>reduction</w:t>
      </w:r>
      <w:r>
        <w:rPr>
          <w:color w:val="211F1F"/>
          <w:spacing w:val="-11"/>
        </w:rPr>
        <w:t xml:space="preserve"> </w:t>
      </w:r>
      <w:r>
        <w:rPr>
          <w:color w:val="211F1F"/>
          <w:spacing w:val="-2"/>
        </w:rPr>
        <w:t>of</w:t>
      </w:r>
      <w:r>
        <w:rPr>
          <w:color w:val="211F1F"/>
          <w:spacing w:val="-3"/>
        </w:rPr>
        <w:t xml:space="preserve"> </w:t>
      </w:r>
      <w:r>
        <w:rPr>
          <w:color w:val="211F1F"/>
          <w:spacing w:val="-2"/>
        </w:rPr>
        <w:t>the</w:t>
      </w:r>
      <w:r>
        <w:rPr>
          <w:color w:val="211F1F"/>
          <w:spacing w:val="-8"/>
        </w:rPr>
        <w:t xml:space="preserve"> </w:t>
      </w:r>
      <w:r>
        <w:rPr>
          <w:color w:val="211F1F"/>
          <w:spacing w:val="-2"/>
        </w:rPr>
        <w:t>Contract</w:t>
      </w:r>
      <w:r>
        <w:rPr>
          <w:color w:val="211F1F"/>
          <w:spacing w:val="-15"/>
        </w:rPr>
        <w:t xml:space="preserve"> </w:t>
      </w:r>
      <w:r>
        <w:rPr>
          <w:color w:val="211F1F"/>
          <w:spacing w:val="-2"/>
        </w:rPr>
        <w:t>Price;</w:t>
      </w:r>
      <w:r>
        <w:rPr>
          <w:color w:val="211F1F"/>
          <w:spacing w:val="-10"/>
        </w:rPr>
        <w:t xml:space="preserve"> </w:t>
      </w:r>
      <w:r>
        <w:rPr>
          <w:color w:val="211F1F"/>
          <w:spacing w:val="-2"/>
        </w:rPr>
        <w:t>the</w:t>
      </w:r>
      <w:r>
        <w:rPr>
          <w:color w:val="211F1F"/>
          <w:spacing w:val="-8"/>
        </w:rPr>
        <w:t xml:space="preserve"> </w:t>
      </w:r>
      <w:r>
        <w:rPr>
          <w:color w:val="211F1F"/>
          <w:spacing w:val="-2"/>
        </w:rPr>
        <w:t>amount</w:t>
      </w:r>
      <w:r>
        <w:rPr>
          <w:color w:val="211F1F"/>
          <w:spacing w:val="-5"/>
        </w:rPr>
        <w:t xml:space="preserve"> </w:t>
      </w:r>
      <w:r>
        <w:rPr>
          <w:color w:val="211F1F"/>
          <w:spacing w:val="-2"/>
        </w:rPr>
        <w:t>to</w:t>
      </w:r>
      <w:r>
        <w:rPr>
          <w:color w:val="211F1F"/>
          <w:spacing w:val="-11"/>
        </w:rPr>
        <w:t xml:space="preserve"> </w:t>
      </w:r>
      <w:r>
        <w:rPr>
          <w:color w:val="211F1F"/>
          <w:spacing w:val="-2"/>
        </w:rPr>
        <w:t>be</w:t>
      </w:r>
      <w:r>
        <w:rPr>
          <w:color w:val="211F1F"/>
          <w:spacing w:val="-13"/>
        </w:rPr>
        <w:t xml:space="preserve"> </w:t>
      </w:r>
      <w:r>
        <w:rPr>
          <w:color w:val="211F1F"/>
          <w:spacing w:val="-2"/>
        </w:rPr>
        <w:t>paid</w:t>
      </w:r>
      <w:r>
        <w:rPr>
          <w:color w:val="211F1F"/>
          <w:spacing w:val="-11"/>
        </w:rPr>
        <w:t xml:space="preserve"> </w:t>
      </w:r>
      <w:r>
        <w:rPr>
          <w:color w:val="211F1F"/>
          <w:spacing w:val="-2"/>
        </w:rPr>
        <w:t>to</w:t>
      </w:r>
      <w:r>
        <w:rPr>
          <w:color w:val="211F1F"/>
          <w:spacing w:val="-11"/>
        </w:rPr>
        <w:t xml:space="preserve"> </w:t>
      </w:r>
      <w:r>
        <w:rPr>
          <w:color w:val="211F1F"/>
          <w:spacing w:val="-2"/>
        </w:rPr>
        <w:t>the</w:t>
      </w:r>
      <w:r>
        <w:rPr>
          <w:color w:val="211F1F"/>
          <w:spacing w:val="-8"/>
        </w:rPr>
        <w:t xml:space="preserve"> </w:t>
      </w:r>
      <w:r>
        <w:rPr>
          <w:color w:val="211F1F"/>
          <w:spacing w:val="-2"/>
        </w:rPr>
        <w:t>Contractor</w:t>
      </w:r>
      <w:r>
        <w:rPr>
          <w:color w:val="211F1F"/>
          <w:spacing w:val="-7"/>
        </w:rPr>
        <w:t xml:space="preserve"> </w:t>
      </w:r>
      <w:r>
        <w:rPr>
          <w:color w:val="211F1F"/>
          <w:spacing w:val="-2"/>
        </w:rPr>
        <w:t>shall</w:t>
      </w:r>
      <w:r>
        <w:rPr>
          <w:color w:val="211F1F"/>
          <w:spacing w:val="-10"/>
        </w:rPr>
        <w:t xml:space="preserve"> </w:t>
      </w:r>
      <w:r>
        <w:rPr>
          <w:color w:val="211F1F"/>
          <w:spacing w:val="-2"/>
        </w:rPr>
        <w:t>be</w:t>
      </w:r>
      <w:r>
        <w:rPr>
          <w:color w:val="211F1F"/>
          <w:spacing w:val="-13"/>
        </w:rPr>
        <w:t xml:space="preserve"> </w:t>
      </w:r>
      <w:r>
        <w:rPr>
          <w:color w:val="211F1F"/>
          <w:spacing w:val="-2"/>
        </w:rPr>
        <w:t>the</w:t>
      </w:r>
      <w:r>
        <w:rPr>
          <w:color w:val="211F1F"/>
          <w:spacing w:val="-8"/>
        </w:rPr>
        <w:t xml:space="preserve"> </w:t>
      </w:r>
      <w:r>
        <w:rPr>
          <w:b/>
          <w:color w:val="211F1F"/>
          <w:spacing w:val="-2"/>
        </w:rPr>
        <w:t>percentage</w:t>
      </w:r>
      <w:r>
        <w:rPr>
          <w:b/>
          <w:color w:val="211F1F"/>
          <w:spacing w:val="-3"/>
        </w:rPr>
        <w:t xml:space="preserve"> </w:t>
      </w:r>
      <w:r>
        <w:rPr>
          <w:b/>
          <w:color w:val="211F1F"/>
          <w:spacing w:val="-2"/>
        </w:rPr>
        <w:t xml:space="preserve">specified </w:t>
      </w:r>
      <w:r>
        <w:rPr>
          <w:b/>
          <w:color w:val="211F1F"/>
        </w:rPr>
        <w:t>in</w:t>
      </w:r>
      <w:r>
        <w:rPr>
          <w:b/>
          <w:color w:val="211F1F"/>
          <w:spacing w:val="-13"/>
        </w:rPr>
        <w:t xml:space="preserve"> </w:t>
      </w:r>
      <w:r>
        <w:rPr>
          <w:b/>
          <w:color w:val="211F1F"/>
        </w:rPr>
        <w:t>the</w:t>
      </w:r>
      <w:r>
        <w:rPr>
          <w:b/>
          <w:color w:val="211F1F"/>
          <w:spacing w:val="-12"/>
        </w:rPr>
        <w:t xml:space="preserve"> </w:t>
      </w:r>
      <w:r>
        <w:rPr>
          <w:b/>
          <w:color w:val="211F1F"/>
        </w:rPr>
        <w:t>SCC</w:t>
      </w:r>
      <w:r>
        <w:rPr>
          <w:b/>
          <w:color w:val="211F1F"/>
          <w:spacing w:val="-10"/>
        </w:rPr>
        <w:t xml:space="preserve"> </w:t>
      </w:r>
      <w:r>
        <w:rPr>
          <w:color w:val="211F1F"/>
        </w:rPr>
        <w:t>of</w:t>
      </w:r>
      <w:r>
        <w:rPr>
          <w:color w:val="211F1F"/>
          <w:spacing w:val="-10"/>
        </w:rPr>
        <w:t xml:space="preserve"> </w:t>
      </w:r>
      <w:r>
        <w:rPr>
          <w:color w:val="211F1F"/>
        </w:rPr>
        <w:t>the</w:t>
      </w:r>
      <w:r>
        <w:rPr>
          <w:color w:val="211F1F"/>
          <w:spacing w:val="-18"/>
        </w:rPr>
        <w:t xml:space="preserve"> </w:t>
      </w:r>
      <w:r>
        <w:rPr>
          <w:color w:val="211F1F"/>
        </w:rPr>
        <w:t>reduction</w:t>
      </w:r>
      <w:r>
        <w:rPr>
          <w:color w:val="211F1F"/>
          <w:spacing w:val="-14"/>
        </w:rPr>
        <w:t xml:space="preserve"> </w:t>
      </w:r>
      <w:r>
        <w:rPr>
          <w:color w:val="211F1F"/>
        </w:rPr>
        <w:t>in</w:t>
      </w:r>
      <w:r>
        <w:rPr>
          <w:color w:val="211F1F"/>
          <w:spacing w:val="-15"/>
        </w:rPr>
        <w:t xml:space="preserve"> </w:t>
      </w:r>
      <w:r>
        <w:rPr>
          <w:color w:val="211F1F"/>
        </w:rPr>
        <w:t>the</w:t>
      </w:r>
      <w:r>
        <w:rPr>
          <w:color w:val="211F1F"/>
          <w:spacing w:val="-18"/>
        </w:rPr>
        <w:t xml:space="preserve"> </w:t>
      </w:r>
      <w:r>
        <w:rPr>
          <w:color w:val="211F1F"/>
        </w:rPr>
        <w:t>Contract</w:t>
      </w:r>
      <w:r>
        <w:rPr>
          <w:color w:val="211F1F"/>
          <w:spacing w:val="-13"/>
        </w:rPr>
        <w:t xml:space="preserve"> </w:t>
      </w:r>
      <w:r>
        <w:rPr>
          <w:color w:val="211F1F"/>
        </w:rPr>
        <w:t>Price;</w:t>
      </w:r>
      <w:r>
        <w:rPr>
          <w:color w:val="211F1F"/>
          <w:spacing w:val="-8"/>
        </w:rPr>
        <w:t xml:space="preserve"> </w:t>
      </w:r>
      <w:r>
        <w:rPr>
          <w:color w:val="211F1F"/>
        </w:rPr>
        <w:t>or</w:t>
      </w:r>
    </w:p>
    <w:p w14:paraId="057E735C" w14:textId="77777777" w:rsidR="00BB77C0" w:rsidRDefault="00370BAA">
      <w:pPr>
        <w:pStyle w:val="ListParagraph"/>
        <w:numPr>
          <w:ilvl w:val="0"/>
          <w:numId w:val="20"/>
        </w:numPr>
        <w:tabs>
          <w:tab w:val="left" w:pos="1479"/>
        </w:tabs>
        <w:spacing w:before="30" w:line="251" w:lineRule="exact"/>
        <w:ind w:hanging="437"/>
      </w:pPr>
      <w:r>
        <w:rPr>
          <w:color w:val="211F1F"/>
          <w:spacing w:val="-2"/>
        </w:rPr>
        <w:t>an</w:t>
      </w:r>
      <w:r>
        <w:rPr>
          <w:color w:val="211F1F"/>
          <w:spacing w:val="-14"/>
        </w:rPr>
        <w:t xml:space="preserve"> </w:t>
      </w:r>
      <w:r>
        <w:rPr>
          <w:color w:val="211F1F"/>
          <w:spacing w:val="-2"/>
        </w:rPr>
        <w:t>increase</w:t>
      </w:r>
      <w:r>
        <w:rPr>
          <w:color w:val="211F1F"/>
          <w:spacing w:val="-12"/>
        </w:rPr>
        <w:t xml:space="preserve"> </w:t>
      </w:r>
      <w:r>
        <w:rPr>
          <w:color w:val="211F1F"/>
          <w:spacing w:val="-2"/>
        </w:rPr>
        <w:t>in</w:t>
      </w:r>
      <w:r>
        <w:rPr>
          <w:color w:val="211F1F"/>
          <w:spacing w:val="-11"/>
        </w:rPr>
        <w:t xml:space="preserve"> </w:t>
      </w:r>
      <w:r>
        <w:rPr>
          <w:color w:val="211F1F"/>
          <w:spacing w:val="-2"/>
        </w:rPr>
        <w:t>the</w:t>
      </w:r>
      <w:r>
        <w:rPr>
          <w:color w:val="211F1F"/>
          <w:spacing w:val="-14"/>
        </w:rPr>
        <w:t xml:space="preserve"> </w:t>
      </w:r>
      <w:r>
        <w:rPr>
          <w:color w:val="211F1F"/>
          <w:spacing w:val="-2"/>
        </w:rPr>
        <w:t>Contract</w:t>
      </w:r>
      <w:r>
        <w:rPr>
          <w:color w:val="211F1F"/>
          <w:spacing w:val="-10"/>
        </w:rPr>
        <w:t xml:space="preserve"> </w:t>
      </w:r>
      <w:r>
        <w:rPr>
          <w:color w:val="211F1F"/>
          <w:spacing w:val="-2"/>
        </w:rPr>
        <w:t>Price;</w:t>
      </w:r>
      <w:r>
        <w:rPr>
          <w:color w:val="211F1F"/>
          <w:spacing w:val="-9"/>
        </w:rPr>
        <w:t xml:space="preserve"> </w:t>
      </w:r>
      <w:r>
        <w:rPr>
          <w:color w:val="211F1F"/>
          <w:spacing w:val="-2"/>
        </w:rPr>
        <w:t>but</w:t>
      </w:r>
      <w:r>
        <w:rPr>
          <w:color w:val="211F1F"/>
          <w:spacing w:val="-11"/>
        </w:rPr>
        <w:t xml:space="preserve"> </w:t>
      </w:r>
      <w:r>
        <w:rPr>
          <w:color w:val="211F1F"/>
          <w:spacing w:val="-2"/>
        </w:rPr>
        <w:t>results</w:t>
      </w:r>
      <w:r>
        <w:rPr>
          <w:color w:val="211F1F"/>
          <w:spacing w:val="-10"/>
        </w:rPr>
        <w:t xml:space="preserve"> </w:t>
      </w:r>
      <w:r>
        <w:rPr>
          <w:color w:val="211F1F"/>
          <w:spacing w:val="-2"/>
        </w:rPr>
        <w:t>in</w:t>
      </w:r>
      <w:r>
        <w:rPr>
          <w:color w:val="211F1F"/>
          <w:spacing w:val="-16"/>
        </w:rPr>
        <w:t xml:space="preserve"> </w:t>
      </w:r>
      <w:r>
        <w:rPr>
          <w:color w:val="211F1F"/>
          <w:spacing w:val="-2"/>
        </w:rPr>
        <w:t>a</w:t>
      </w:r>
      <w:r>
        <w:rPr>
          <w:color w:val="211F1F"/>
          <w:spacing w:val="-8"/>
        </w:rPr>
        <w:t xml:space="preserve"> </w:t>
      </w:r>
      <w:r>
        <w:rPr>
          <w:color w:val="211F1F"/>
          <w:spacing w:val="-2"/>
        </w:rPr>
        <w:t>reduction</w:t>
      </w:r>
      <w:r>
        <w:rPr>
          <w:color w:val="211F1F"/>
          <w:spacing w:val="-12"/>
        </w:rPr>
        <w:t xml:space="preserve"> </w:t>
      </w:r>
      <w:r>
        <w:rPr>
          <w:color w:val="211F1F"/>
          <w:spacing w:val="-2"/>
        </w:rPr>
        <w:t>in</w:t>
      </w:r>
      <w:r>
        <w:rPr>
          <w:color w:val="211F1F"/>
          <w:spacing w:val="-11"/>
        </w:rPr>
        <w:t xml:space="preserve"> </w:t>
      </w:r>
      <w:r>
        <w:rPr>
          <w:color w:val="211F1F"/>
          <w:spacing w:val="-2"/>
        </w:rPr>
        <w:t>life</w:t>
      </w:r>
      <w:r>
        <w:rPr>
          <w:color w:val="211F1F"/>
          <w:spacing w:val="-13"/>
        </w:rPr>
        <w:t xml:space="preserve"> </w:t>
      </w:r>
      <w:r>
        <w:rPr>
          <w:color w:val="211F1F"/>
          <w:spacing w:val="-2"/>
        </w:rPr>
        <w:t>cycle</w:t>
      </w:r>
      <w:r>
        <w:rPr>
          <w:color w:val="211F1F"/>
          <w:spacing w:val="-9"/>
        </w:rPr>
        <w:t xml:space="preserve"> </w:t>
      </w:r>
      <w:r>
        <w:rPr>
          <w:color w:val="211F1F"/>
          <w:spacing w:val="-2"/>
        </w:rPr>
        <w:t>costs</w:t>
      </w:r>
      <w:r>
        <w:rPr>
          <w:color w:val="211F1F"/>
          <w:spacing w:val="-6"/>
        </w:rPr>
        <w:t xml:space="preserve"> </w:t>
      </w:r>
      <w:r>
        <w:rPr>
          <w:color w:val="211F1F"/>
          <w:spacing w:val="-2"/>
        </w:rPr>
        <w:t>due</w:t>
      </w:r>
      <w:r>
        <w:rPr>
          <w:color w:val="211F1F"/>
          <w:spacing w:val="-18"/>
        </w:rPr>
        <w:t xml:space="preserve"> </w:t>
      </w:r>
      <w:r>
        <w:rPr>
          <w:color w:val="211F1F"/>
          <w:spacing w:val="-2"/>
        </w:rPr>
        <w:t>to</w:t>
      </w:r>
      <w:r>
        <w:rPr>
          <w:color w:val="211F1F"/>
          <w:spacing w:val="-17"/>
        </w:rPr>
        <w:t xml:space="preserve"> </w:t>
      </w:r>
      <w:r>
        <w:rPr>
          <w:color w:val="211F1F"/>
          <w:spacing w:val="-2"/>
        </w:rPr>
        <w:t>any</w:t>
      </w:r>
      <w:r>
        <w:rPr>
          <w:color w:val="211F1F"/>
          <w:spacing w:val="-11"/>
        </w:rPr>
        <w:t xml:space="preserve"> </w:t>
      </w:r>
      <w:r>
        <w:rPr>
          <w:color w:val="211F1F"/>
          <w:spacing w:val="-2"/>
        </w:rPr>
        <w:t>benefit</w:t>
      </w:r>
      <w:r>
        <w:rPr>
          <w:color w:val="211F1F"/>
          <w:spacing w:val="-5"/>
        </w:rPr>
        <w:t xml:space="preserve"> </w:t>
      </w:r>
      <w:r>
        <w:rPr>
          <w:color w:val="211F1F"/>
          <w:spacing w:val="-2"/>
        </w:rPr>
        <w:t>described</w:t>
      </w:r>
      <w:r>
        <w:rPr>
          <w:color w:val="211F1F"/>
          <w:spacing w:val="-10"/>
        </w:rPr>
        <w:t xml:space="preserve"> </w:t>
      </w:r>
      <w:r>
        <w:rPr>
          <w:color w:val="211F1F"/>
          <w:spacing w:val="-5"/>
        </w:rPr>
        <w:t>in</w:t>
      </w:r>
    </w:p>
    <w:p w14:paraId="5F1C4CAA" w14:textId="77777777" w:rsidR="00BB77C0" w:rsidRDefault="00370BAA">
      <w:pPr>
        <w:pStyle w:val="BodyText"/>
        <w:spacing w:line="251" w:lineRule="exact"/>
        <w:ind w:left="1479"/>
      </w:pPr>
      <w:r>
        <w:rPr>
          <w:color w:val="211F1F"/>
          <w:spacing w:val="-2"/>
        </w:rPr>
        <w:t>(a)</w:t>
      </w:r>
      <w:r>
        <w:rPr>
          <w:color w:val="211F1F"/>
          <w:spacing w:val="-25"/>
        </w:rPr>
        <w:t xml:space="preserve"> </w:t>
      </w:r>
      <w:r>
        <w:rPr>
          <w:color w:val="211F1F"/>
          <w:spacing w:val="-2"/>
        </w:rPr>
        <w:t>to</w:t>
      </w:r>
      <w:r>
        <w:rPr>
          <w:color w:val="211F1F"/>
          <w:spacing w:val="-21"/>
        </w:rPr>
        <w:t xml:space="preserve"> </w:t>
      </w:r>
      <w:r>
        <w:rPr>
          <w:color w:val="211F1F"/>
          <w:spacing w:val="-2"/>
        </w:rPr>
        <w:t>(d)</w:t>
      </w:r>
      <w:r>
        <w:rPr>
          <w:color w:val="211F1F"/>
          <w:spacing w:val="-18"/>
        </w:rPr>
        <w:t xml:space="preserve"> </w:t>
      </w:r>
      <w:r>
        <w:rPr>
          <w:color w:val="211F1F"/>
          <w:spacing w:val="-2"/>
        </w:rPr>
        <w:t>above,</w:t>
      </w:r>
      <w:r>
        <w:rPr>
          <w:color w:val="211F1F"/>
          <w:spacing w:val="-13"/>
        </w:rPr>
        <w:t xml:space="preserve"> </w:t>
      </w:r>
      <w:r>
        <w:rPr>
          <w:color w:val="211F1F"/>
          <w:spacing w:val="-2"/>
        </w:rPr>
        <w:t>the</w:t>
      </w:r>
      <w:r>
        <w:rPr>
          <w:color w:val="211F1F"/>
          <w:spacing w:val="-24"/>
        </w:rPr>
        <w:t xml:space="preserve"> </w:t>
      </w:r>
      <w:r>
        <w:rPr>
          <w:color w:val="211F1F"/>
          <w:spacing w:val="-2"/>
        </w:rPr>
        <w:t>amount</w:t>
      </w:r>
      <w:r>
        <w:rPr>
          <w:color w:val="211F1F"/>
          <w:spacing w:val="-14"/>
        </w:rPr>
        <w:t xml:space="preserve"> </w:t>
      </w:r>
      <w:r>
        <w:rPr>
          <w:color w:val="211F1F"/>
          <w:spacing w:val="-2"/>
        </w:rPr>
        <w:t>to</w:t>
      </w:r>
      <w:r>
        <w:rPr>
          <w:color w:val="211F1F"/>
          <w:spacing w:val="-21"/>
        </w:rPr>
        <w:t xml:space="preserve"> </w:t>
      </w:r>
      <w:r>
        <w:rPr>
          <w:color w:val="211F1F"/>
          <w:spacing w:val="-2"/>
        </w:rPr>
        <w:t>be</w:t>
      </w:r>
      <w:r>
        <w:rPr>
          <w:color w:val="211F1F"/>
          <w:spacing w:val="-23"/>
        </w:rPr>
        <w:t xml:space="preserve"> </w:t>
      </w:r>
      <w:r>
        <w:rPr>
          <w:color w:val="211F1F"/>
          <w:spacing w:val="-2"/>
        </w:rPr>
        <w:t>paid</w:t>
      </w:r>
      <w:r>
        <w:rPr>
          <w:color w:val="211F1F"/>
          <w:spacing w:val="-22"/>
        </w:rPr>
        <w:t xml:space="preserve"> </w:t>
      </w:r>
      <w:r>
        <w:rPr>
          <w:color w:val="211F1F"/>
          <w:spacing w:val="-2"/>
        </w:rPr>
        <w:t>to</w:t>
      </w:r>
      <w:r>
        <w:rPr>
          <w:color w:val="211F1F"/>
          <w:spacing w:val="-21"/>
        </w:rPr>
        <w:t xml:space="preserve"> </w:t>
      </w:r>
      <w:r>
        <w:rPr>
          <w:color w:val="211F1F"/>
          <w:spacing w:val="-2"/>
        </w:rPr>
        <w:t>the</w:t>
      </w:r>
      <w:r>
        <w:rPr>
          <w:color w:val="211F1F"/>
          <w:spacing w:val="-22"/>
        </w:rPr>
        <w:t xml:space="preserve"> </w:t>
      </w:r>
      <w:r>
        <w:rPr>
          <w:color w:val="211F1F"/>
          <w:spacing w:val="-2"/>
        </w:rPr>
        <w:t>Contractor</w:t>
      </w:r>
      <w:r>
        <w:rPr>
          <w:color w:val="211F1F"/>
          <w:spacing w:val="-12"/>
        </w:rPr>
        <w:t xml:space="preserve"> </w:t>
      </w:r>
      <w:r>
        <w:rPr>
          <w:color w:val="211F1F"/>
          <w:spacing w:val="-2"/>
        </w:rPr>
        <w:t>shall</w:t>
      </w:r>
      <w:r>
        <w:rPr>
          <w:color w:val="211F1F"/>
          <w:spacing w:val="-20"/>
        </w:rPr>
        <w:t xml:space="preserve"> </w:t>
      </w:r>
      <w:r>
        <w:rPr>
          <w:color w:val="211F1F"/>
          <w:spacing w:val="-2"/>
        </w:rPr>
        <w:t>be</w:t>
      </w:r>
      <w:r>
        <w:rPr>
          <w:color w:val="211F1F"/>
          <w:spacing w:val="-23"/>
        </w:rPr>
        <w:t xml:space="preserve"> </w:t>
      </w:r>
      <w:r>
        <w:rPr>
          <w:color w:val="211F1F"/>
          <w:spacing w:val="-2"/>
        </w:rPr>
        <w:t>the</w:t>
      </w:r>
      <w:r>
        <w:rPr>
          <w:color w:val="211F1F"/>
          <w:spacing w:val="-23"/>
        </w:rPr>
        <w:t xml:space="preserve"> </w:t>
      </w:r>
      <w:r>
        <w:rPr>
          <w:color w:val="211F1F"/>
          <w:spacing w:val="-2"/>
        </w:rPr>
        <w:t>full</w:t>
      </w:r>
      <w:r>
        <w:rPr>
          <w:color w:val="211F1F"/>
          <w:spacing w:val="-14"/>
        </w:rPr>
        <w:t xml:space="preserve"> </w:t>
      </w:r>
      <w:r>
        <w:rPr>
          <w:color w:val="211F1F"/>
          <w:spacing w:val="-2"/>
        </w:rPr>
        <w:t>increase</w:t>
      </w:r>
      <w:r>
        <w:rPr>
          <w:color w:val="211F1F"/>
          <w:spacing w:val="-23"/>
        </w:rPr>
        <w:t xml:space="preserve"> </w:t>
      </w:r>
      <w:r>
        <w:rPr>
          <w:color w:val="211F1F"/>
          <w:spacing w:val="-2"/>
        </w:rPr>
        <w:t>in</w:t>
      </w:r>
      <w:r>
        <w:rPr>
          <w:color w:val="211F1F"/>
          <w:spacing w:val="-21"/>
        </w:rPr>
        <w:t xml:space="preserve"> </w:t>
      </w:r>
      <w:r>
        <w:rPr>
          <w:color w:val="211F1F"/>
          <w:spacing w:val="-2"/>
        </w:rPr>
        <w:t>the</w:t>
      </w:r>
      <w:r>
        <w:rPr>
          <w:color w:val="211F1F"/>
          <w:spacing w:val="-22"/>
        </w:rPr>
        <w:t xml:space="preserve"> </w:t>
      </w:r>
      <w:r>
        <w:rPr>
          <w:color w:val="211F1F"/>
          <w:spacing w:val="-2"/>
        </w:rPr>
        <w:t>Contract</w:t>
      </w:r>
      <w:r>
        <w:rPr>
          <w:color w:val="211F1F"/>
          <w:spacing w:val="-14"/>
        </w:rPr>
        <w:t xml:space="preserve"> </w:t>
      </w:r>
      <w:r>
        <w:rPr>
          <w:color w:val="211F1F"/>
          <w:spacing w:val="-2"/>
        </w:rPr>
        <w:t>Price.</w:t>
      </w:r>
    </w:p>
    <w:p w14:paraId="5BB5F118" w14:textId="77777777" w:rsidR="00BB77C0" w:rsidRDefault="00370BAA">
      <w:pPr>
        <w:pStyle w:val="Heading7"/>
        <w:numPr>
          <w:ilvl w:val="0"/>
          <w:numId w:val="23"/>
        </w:numPr>
        <w:tabs>
          <w:tab w:val="left" w:pos="1080"/>
        </w:tabs>
        <w:spacing w:before="242"/>
        <w:ind w:left="1080" w:hanging="360"/>
        <w:jc w:val="left"/>
      </w:pPr>
      <w:bookmarkStart w:id="226" w:name="39._Cash_FlowForecasts"/>
      <w:bookmarkEnd w:id="226"/>
      <w:r>
        <w:rPr>
          <w:color w:val="211F1F"/>
        </w:rPr>
        <w:t>Cash</w:t>
      </w:r>
      <w:r>
        <w:rPr>
          <w:color w:val="211F1F"/>
          <w:spacing w:val="-7"/>
        </w:rPr>
        <w:t xml:space="preserve"> </w:t>
      </w:r>
      <w:r>
        <w:rPr>
          <w:color w:val="211F1F"/>
          <w:spacing w:val="-2"/>
        </w:rPr>
        <w:t>FlowForecasts</w:t>
      </w:r>
    </w:p>
    <w:p w14:paraId="6DEF0FAA" w14:textId="77777777" w:rsidR="00BB77C0" w:rsidRDefault="00370BAA">
      <w:pPr>
        <w:pStyle w:val="ListParagraph"/>
        <w:numPr>
          <w:ilvl w:val="1"/>
          <w:numId w:val="23"/>
        </w:numPr>
        <w:tabs>
          <w:tab w:val="left" w:pos="1163"/>
          <w:tab w:val="left" w:pos="1171"/>
        </w:tabs>
        <w:spacing w:before="191" w:line="230" w:lineRule="auto"/>
        <w:ind w:right="837" w:hanging="360"/>
        <w:jc w:val="both"/>
        <w:rPr>
          <w:color w:val="211F1F"/>
        </w:rPr>
      </w:pPr>
      <w:r>
        <w:rPr>
          <w:color w:val="211F1F"/>
        </w:rPr>
        <w:t>When</w:t>
      </w:r>
      <w:r>
        <w:rPr>
          <w:color w:val="211F1F"/>
          <w:spacing w:val="-11"/>
        </w:rPr>
        <w:t xml:space="preserve"> </w:t>
      </w:r>
      <w:r>
        <w:rPr>
          <w:color w:val="211F1F"/>
        </w:rPr>
        <w:t>the</w:t>
      </w:r>
      <w:r>
        <w:rPr>
          <w:color w:val="211F1F"/>
          <w:spacing w:val="-13"/>
        </w:rPr>
        <w:t xml:space="preserve"> </w:t>
      </w:r>
      <w:r>
        <w:rPr>
          <w:color w:val="211F1F"/>
        </w:rPr>
        <w:t>Program</w:t>
      </w:r>
      <w:r>
        <w:rPr>
          <w:color w:val="211F1F"/>
          <w:position w:val="11"/>
          <w:sz w:val="18"/>
        </w:rPr>
        <w:t>11</w:t>
      </w:r>
      <w:r>
        <w:rPr>
          <w:color w:val="211F1F"/>
        </w:rPr>
        <w:t>,</w:t>
      </w:r>
      <w:r>
        <w:rPr>
          <w:color w:val="211F1F"/>
          <w:spacing w:val="-5"/>
        </w:rPr>
        <w:t xml:space="preserve"> </w:t>
      </w:r>
      <w:r>
        <w:rPr>
          <w:color w:val="211F1F"/>
        </w:rPr>
        <w:t>is</w:t>
      </w:r>
      <w:r>
        <w:rPr>
          <w:color w:val="211F1F"/>
          <w:spacing w:val="-2"/>
        </w:rPr>
        <w:t xml:space="preserve"> </w:t>
      </w:r>
      <w:r>
        <w:rPr>
          <w:color w:val="211F1F"/>
        </w:rPr>
        <w:t>updated, the</w:t>
      </w:r>
      <w:r>
        <w:rPr>
          <w:color w:val="211F1F"/>
          <w:spacing w:val="-8"/>
        </w:rPr>
        <w:t xml:space="preserve"> </w:t>
      </w:r>
      <w:r>
        <w:rPr>
          <w:color w:val="211F1F"/>
        </w:rPr>
        <w:t>Contractor</w:t>
      </w:r>
      <w:r>
        <w:rPr>
          <w:color w:val="211F1F"/>
          <w:spacing w:val="-7"/>
        </w:rPr>
        <w:t xml:space="preserve"> </w:t>
      </w:r>
      <w:r>
        <w:rPr>
          <w:color w:val="211F1F"/>
        </w:rPr>
        <w:t>shall</w:t>
      </w:r>
      <w:r>
        <w:rPr>
          <w:color w:val="211F1F"/>
          <w:spacing w:val="-10"/>
        </w:rPr>
        <w:t xml:space="preserve"> </w:t>
      </w:r>
      <w:r>
        <w:rPr>
          <w:color w:val="211F1F"/>
        </w:rPr>
        <w:t>provide</w:t>
      </w:r>
      <w:r>
        <w:rPr>
          <w:color w:val="211F1F"/>
          <w:spacing w:val="-13"/>
        </w:rPr>
        <w:t xml:space="preserve"> </w:t>
      </w:r>
      <w:r>
        <w:rPr>
          <w:color w:val="211F1F"/>
        </w:rPr>
        <w:t>the</w:t>
      </w:r>
      <w:r>
        <w:rPr>
          <w:color w:val="211F1F"/>
          <w:spacing w:val="-8"/>
        </w:rPr>
        <w:t xml:space="preserve"> </w:t>
      </w:r>
      <w:r>
        <w:rPr>
          <w:color w:val="211F1F"/>
        </w:rPr>
        <w:t>Project</w:t>
      </w:r>
      <w:r>
        <w:rPr>
          <w:color w:val="211F1F"/>
          <w:spacing w:val="-6"/>
        </w:rPr>
        <w:t xml:space="preserve"> </w:t>
      </w:r>
      <w:r>
        <w:rPr>
          <w:color w:val="211F1F"/>
        </w:rPr>
        <w:t>Manager with</w:t>
      </w:r>
      <w:r>
        <w:rPr>
          <w:color w:val="211F1F"/>
          <w:spacing w:val="-7"/>
        </w:rPr>
        <w:t xml:space="preserve"> </w:t>
      </w:r>
      <w:r>
        <w:rPr>
          <w:color w:val="211F1F"/>
        </w:rPr>
        <w:t>an</w:t>
      </w:r>
      <w:r>
        <w:rPr>
          <w:color w:val="211F1F"/>
          <w:spacing w:val="-11"/>
        </w:rPr>
        <w:t xml:space="preserve"> </w:t>
      </w:r>
      <w:r>
        <w:rPr>
          <w:color w:val="211F1F"/>
        </w:rPr>
        <w:t>updated</w:t>
      </w:r>
      <w:r>
        <w:rPr>
          <w:color w:val="211F1F"/>
          <w:spacing w:val="-7"/>
        </w:rPr>
        <w:t xml:space="preserve"> </w:t>
      </w:r>
      <w:r>
        <w:rPr>
          <w:color w:val="211F1F"/>
        </w:rPr>
        <w:t>cash</w:t>
      </w:r>
      <w:r>
        <w:rPr>
          <w:color w:val="211F1F"/>
          <w:spacing w:val="-7"/>
        </w:rPr>
        <w:t xml:space="preserve"> </w:t>
      </w:r>
      <w:r>
        <w:rPr>
          <w:color w:val="211F1F"/>
        </w:rPr>
        <w:t>flow forecast. The cash flow forecast shall include different currencies, as defined in the Contract, converted as necessary using the Contract exchange rates.</w:t>
      </w:r>
    </w:p>
    <w:p w14:paraId="0738E6D2" w14:textId="77777777" w:rsidR="00BB77C0" w:rsidRDefault="00370BAA">
      <w:pPr>
        <w:pStyle w:val="Heading7"/>
        <w:numPr>
          <w:ilvl w:val="0"/>
          <w:numId w:val="23"/>
        </w:numPr>
        <w:tabs>
          <w:tab w:val="left" w:pos="1075"/>
        </w:tabs>
        <w:spacing w:before="243"/>
        <w:ind w:left="1075" w:hanging="355"/>
        <w:jc w:val="left"/>
      </w:pPr>
      <w:bookmarkStart w:id="227" w:name="40._Payment_Certificates"/>
      <w:bookmarkEnd w:id="227"/>
      <w:r>
        <w:rPr>
          <w:color w:val="211F1F"/>
          <w:spacing w:val="-5"/>
        </w:rPr>
        <w:t>Payment</w:t>
      </w:r>
      <w:r>
        <w:rPr>
          <w:color w:val="211F1F"/>
          <w:spacing w:val="-3"/>
        </w:rPr>
        <w:t xml:space="preserve"> </w:t>
      </w:r>
      <w:r>
        <w:rPr>
          <w:color w:val="211F1F"/>
          <w:spacing w:val="-2"/>
        </w:rPr>
        <w:t>Certificates</w:t>
      </w:r>
    </w:p>
    <w:p w14:paraId="2CFBB5B8" w14:textId="77777777" w:rsidR="00BB77C0" w:rsidRDefault="00370BAA">
      <w:pPr>
        <w:pStyle w:val="ListParagraph"/>
        <w:numPr>
          <w:ilvl w:val="1"/>
          <w:numId w:val="23"/>
        </w:numPr>
        <w:tabs>
          <w:tab w:val="left" w:pos="1168"/>
          <w:tab w:val="left" w:pos="1171"/>
        </w:tabs>
        <w:spacing w:before="190" w:line="232" w:lineRule="auto"/>
        <w:ind w:right="854" w:hanging="360"/>
        <w:jc w:val="both"/>
        <w:rPr>
          <w:color w:val="211F1F"/>
        </w:rPr>
      </w:pPr>
      <w:r>
        <w:rPr>
          <w:color w:val="211F1F"/>
        </w:rPr>
        <w:t>The Contractor shall submit to the Project Manager monthly statements of the estimated value of the work executed less the cumulative amount certified previously.</w:t>
      </w:r>
    </w:p>
    <w:p w14:paraId="4F772CDC" w14:textId="77777777" w:rsidR="00BB77C0" w:rsidRDefault="00370BAA">
      <w:pPr>
        <w:pStyle w:val="ListParagraph"/>
        <w:numPr>
          <w:ilvl w:val="1"/>
          <w:numId w:val="23"/>
        </w:numPr>
        <w:tabs>
          <w:tab w:val="left" w:pos="1168"/>
          <w:tab w:val="left" w:pos="1171"/>
        </w:tabs>
        <w:spacing w:before="192" w:line="237" w:lineRule="auto"/>
        <w:ind w:right="922" w:hanging="360"/>
        <w:jc w:val="both"/>
        <w:rPr>
          <w:color w:val="211F1F"/>
        </w:rPr>
      </w:pPr>
      <w:r>
        <w:rPr>
          <w:color w:val="211F1F"/>
        </w:rPr>
        <w:t>The</w:t>
      </w:r>
      <w:r>
        <w:rPr>
          <w:color w:val="211F1F"/>
          <w:spacing w:val="-11"/>
        </w:rPr>
        <w:t xml:space="preserve"> </w:t>
      </w:r>
      <w:r>
        <w:rPr>
          <w:color w:val="211F1F"/>
        </w:rPr>
        <w:t>Project</w:t>
      </w:r>
      <w:r>
        <w:rPr>
          <w:color w:val="211F1F"/>
          <w:spacing w:val="-3"/>
        </w:rPr>
        <w:t xml:space="preserve"> </w:t>
      </w:r>
      <w:r>
        <w:rPr>
          <w:color w:val="211F1F"/>
        </w:rPr>
        <w:t>Manager shall</w:t>
      </w:r>
      <w:r>
        <w:rPr>
          <w:color w:val="211F1F"/>
          <w:spacing w:val="-8"/>
        </w:rPr>
        <w:t xml:space="preserve"> </w:t>
      </w:r>
      <w:r>
        <w:rPr>
          <w:color w:val="211F1F"/>
        </w:rPr>
        <w:t>check</w:t>
      </w:r>
      <w:r>
        <w:rPr>
          <w:color w:val="211F1F"/>
          <w:spacing w:val="-9"/>
        </w:rPr>
        <w:t xml:space="preserve"> </w:t>
      </w:r>
      <w:r>
        <w:rPr>
          <w:color w:val="211F1F"/>
        </w:rPr>
        <w:t>the</w:t>
      </w:r>
      <w:r>
        <w:rPr>
          <w:color w:val="211F1F"/>
          <w:spacing w:val="-7"/>
        </w:rPr>
        <w:t xml:space="preserve"> </w:t>
      </w:r>
      <w:r>
        <w:rPr>
          <w:color w:val="211F1F"/>
        </w:rPr>
        <w:t>Contractor's</w:t>
      </w:r>
      <w:r>
        <w:rPr>
          <w:color w:val="211F1F"/>
          <w:spacing w:val="-3"/>
        </w:rPr>
        <w:t xml:space="preserve"> </w:t>
      </w:r>
      <w:r>
        <w:rPr>
          <w:color w:val="211F1F"/>
        </w:rPr>
        <w:t>monthly</w:t>
      </w:r>
      <w:r>
        <w:rPr>
          <w:color w:val="211F1F"/>
          <w:spacing w:val="-8"/>
        </w:rPr>
        <w:t xml:space="preserve"> </w:t>
      </w:r>
      <w:r>
        <w:rPr>
          <w:color w:val="211F1F"/>
        </w:rPr>
        <w:t>statement</w:t>
      </w:r>
      <w:r>
        <w:rPr>
          <w:color w:val="211F1F"/>
          <w:spacing w:val="-3"/>
        </w:rPr>
        <w:t xml:space="preserve"> </w:t>
      </w:r>
      <w:r>
        <w:rPr>
          <w:color w:val="211F1F"/>
        </w:rPr>
        <w:t>and</w:t>
      </w:r>
      <w:r>
        <w:rPr>
          <w:color w:val="211F1F"/>
          <w:spacing w:val="-9"/>
        </w:rPr>
        <w:t xml:space="preserve"> </w:t>
      </w:r>
      <w:r>
        <w:rPr>
          <w:color w:val="211F1F"/>
        </w:rPr>
        <w:t>certify</w:t>
      </w:r>
      <w:r>
        <w:rPr>
          <w:color w:val="211F1F"/>
          <w:spacing w:val="-9"/>
        </w:rPr>
        <w:t xml:space="preserve"> </w:t>
      </w:r>
      <w:r>
        <w:rPr>
          <w:color w:val="211F1F"/>
        </w:rPr>
        <w:t>the</w:t>
      </w:r>
      <w:r>
        <w:rPr>
          <w:color w:val="211F1F"/>
          <w:spacing w:val="-11"/>
        </w:rPr>
        <w:t xml:space="preserve"> </w:t>
      </w:r>
      <w:r>
        <w:rPr>
          <w:color w:val="211F1F"/>
        </w:rPr>
        <w:t>amount</w:t>
      </w:r>
      <w:r>
        <w:rPr>
          <w:color w:val="211F1F"/>
          <w:spacing w:val="-3"/>
        </w:rPr>
        <w:t xml:space="preserve"> </w:t>
      </w:r>
      <w:r>
        <w:rPr>
          <w:color w:val="211F1F"/>
        </w:rPr>
        <w:t>to</w:t>
      </w:r>
      <w:r>
        <w:rPr>
          <w:color w:val="211F1F"/>
          <w:spacing w:val="-9"/>
        </w:rPr>
        <w:t xml:space="preserve"> </w:t>
      </w:r>
      <w:r>
        <w:rPr>
          <w:color w:val="211F1F"/>
        </w:rPr>
        <w:t>be</w:t>
      </w:r>
      <w:r>
        <w:rPr>
          <w:color w:val="211F1F"/>
          <w:spacing w:val="-7"/>
        </w:rPr>
        <w:t xml:space="preserve"> </w:t>
      </w:r>
      <w:r>
        <w:rPr>
          <w:color w:val="211F1F"/>
        </w:rPr>
        <w:t>paid</w:t>
      </w:r>
      <w:r>
        <w:rPr>
          <w:color w:val="211F1F"/>
          <w:spacing w:val="-9"/>
        </w:rPr>
        <w:t xml:space="preserve"> </w:t>
      </w:r>
      <w:r>
        <w:rPr>
          <w:color w:val="211F1F"/>
        </w:rPr>
        <w:t>to</w:t>
      </w:r>
      <w:r>
        <w:rPr>
          <w:color w:val="211F1F"/>
          <w:spacing w:val="-9"/>
        </w:rPr>
        <w:t xml:space="preserve"> </w:t>
      </w:r>
      <w:r>
        <w:rPr>
          <w:color w:val="211F1F"/>
        </w:rPr>
        <w:t xml:space="preserve">the </w:t>
      </w:r>
      <w:r>
        <w:rPr>
          <w:color w:val="211F1F"/>
          <w:spacing w:val="-2"/>
        </w:rPr>
        <w:t>Contractor.</w:t>
      </w:r>
    </w:p>
    <w:p w14:paraId="2A00C5AC" w14:textId="77777777" w:rsidR="00BB77C0" w:rsidRDefault="00370BAA">
      <w:pPr>
        <w:pStyle w:val="ListParagraph"/>
        <w:numPr>
          <w:ilvl w:val="1"/>
          <w:numId w:val="23"/>
        </w:numPr>
        <w:tabs>
          <w:tab w:val="left" w:pos="1168"/>
        </w:tabs>
        <w:spacing w:before="183"/>
        <w:ind w:left="1168" w:hanging="357"/>
        <w:rPr>
          <w:color w:val="211F1F"/>
        </w:rPr>
      </w:pPr>
      <w:r>
        <w:rPr>
          <w:color w:val="211F1F"/>
        </w:rPr>
        <w:t>The</w:t>
      </w:r>
      <w:r>
        <w:rPr>
          <w:color w:val="211F1F"/>
          <w:spacing w:val="-10"/>
        </w:rPr>
        <w:t xml:space="preserve"> </w:t>
      </w:r>
      <w:r>
        <w:rPr>
          <w:color w:val="211F1F"/>
        </w:rPr>
        <w:t>value</w:t>
      </w:r>
      <w:r>
        <w:rPr>
          <w:color w:val="211F1F"/>
          <w:spacing w:val="-7"/>
        </w:rPr>
        <w:t xml:space="preserve"> </w:t>
      </w:r>
      <w:r>
        <w:rPr>
          <w:color w:val="211F1F"/>
        </w:rPr>
        <w:t>of</w:t>
      </w:r>
      <w:r>
        <w:rPr>
          <w:color w:val="211F1F"/>
          <w:spacing w:val="-2"/>
        </w:rPr>
        <w:t xml:space="preserve"> </w:t>
      </w:r>
      <w:r>
        <w:rPr>
          <w:color w:val="211F1F"/>
        </w:rPr>
        <w:t>work</w:t>
      </w:r>
      <w:r>
        <w:rPr>
          <w:color w:val="211F1F"/>
          <w:spacing w:val="-10"/>
        </w:rPr>
        <w:t xml:space="preserve"> </w:t>
      </w:r>
      <w:r>
        <w:rPr>
          <w:color w:val="211F1F"/>
        </w:rPr>
        <w:t>executed</w:t>
      </w:r>
      <w:r>
        <w:rPr>
          <w:color w:val="211F1F"/>
          <w:spacing w:val="-10"/>
        </w:rPr>
        <w:t xml:space="preserve"> </w:t>
      </w:r>
      <w:r>
        <w:rPr>
          <w:color w:val="211F1F"/>
        </w:rPr>
        <w:t>shall</w:t>
      </w:r>
      <w:r>
        <w:rPr>
          <w:color w:val="211F1F"/>
          <w:spacing w:val="-5"/>
        </w:rPr>
        <w:t xml:space="preserve"> </w:t>
      </w:r>
      <w:r>
        <w:rPr>
          <w:color w:val="211F1F"/>
        </w:rPr>
        <w:t>be</w:t>
      </w:r>
      <w:r>
        <w:rPr>
          <w:color w:val="211F1F"/>
          <w:spacing w:val="-8"/>
        </w:rPr>
        <w:t xml:space="preserve"> </w:t>
      </w:r>
      <w:r>
        <w:rPr>
          <w:color w:val="211F1F"/>
        </w:rPr>
        <w:t>determined</w:t>
      </w:r>
      <w:r>
        <w:rPr>
          <w:color w:val="211F1F"/>
          <w:spacing w:val="-9"/>
        </w:rPr>
        <w:t xml:space="preserve"> </w:t>
      </w:r>
      <w:r>
        <w:rPr>
          <w:color w:val="211F1F"/>
        </w:rPr>
        <w:t>by</w:t>
      </w:r>
      <w:r>
        <w:rPr>
          <w:color w:val="211F1F"/>
          <w:spacing w:val="-6"/>
        </w:rPr>
        <w:t xml:space="preserve"> </w:t>
      </w:r>
      <w:r>
        <w:rPr>
          <w:color w:val="211F1F"/>
        </w:rPr>
        <w:t>the</w:t>
      </w:r>
      <w:r>
        <w:rPr>
          <w:color w:val="211F1F"/>
          <w:spacing w:val="-8"/>
        </w:rPr>
        <w:t xml:space="preserve"> </w:t>
      </w:r>
      <w:r>
        <w:rPr>
          <w:color w:val="211F1F"/>
        </w:rPr>
        <w:t>Project</w:t>
      </w:r>
      <w:r>
        <w:rPr>
          <w:color w:val="211F1F"/>
          <w:spacing w:val="-4"/>
        </w:rPr>
        <w:t xml:space="preserve"> </w:t>
      </w:r>
      <w:r>
        <w:rPr>
          <w:color w:val="211F1F"/>
          <w:spacing w:val="-2"/>
        </w:rPr>
        <w:t>Manager.</w:t>
      </w:r>
    </w:p>
    <w:p w14:paraId="7AAC117A" w14:textId="77777777" w:rsidR="00BB77C0" w:rsidRDefault="00370BAA">
      <w:pPr>
        <w:pStyle w:val="ListParagraph"/>
        <w:numPr>
          <w:ilvl w:val="1"/>
          <w:numId w:val="23"/>
        </w:numPr>
        <w:tabs>
          <w:tab w:val="left" w:pos="1168"/>
          <w:tab w:val="left" w:pos="1171"/>
        </w:tabs>
        <w:spacing w:before="190" w:line="232" w:lineRule="auto"/>
        <w:ind w:right="841" w:hanging="360"/>
        <w:jc w:val="both"/>
        <w:rPr>
          <w:color w:val="211F1F"/>
        </w:rPr>
      </w:pPr>
      <w:r>
        <w:rPr>
          <w:color w:val="211F1F"/>
        </w:rPr>
        <w:t>The value of work executed shall comprise the value of the quantities of work in the Bill of Quantities that have been completed12.</w:t>
      </w:r>
    </w:p>
    <w:p w14:paraId="362765CA" w14:textId="77777777" w:rsidR="00BB77C0" w:rsidRDefault="00370BAA">
      <w:pPr>
        <w:pStyle w:val="ListParagraph"/>
        <w:numPr>
          <w:ilvl w:val="1"/>
          <w:numId w:val="23"/>
        </w:numPr>
        <w:tabs>
          <w:tab w:val="left" w:pos="1168"/>
        </w:tabs>
        <w:spacing w:before="190"/>
        <w:ind w:left="1168" w:hanging="357"/>
        <w:rPr>
          <w:color w:val="211F1F"/>
        </w:rPr>
      </w:pPr>
      <w:r>
        <w:rPr>
          <w:color w:val="211F1F"/>
        </w:rPr>
        <w:t>The</w:t>
      </w:r>
      <w:r>
        <w:rPr>
          <w:color w:val="211F1F"/>
          <w:spacing w:val="-9"/>
        </w:rPr>
        <w:t xml:space="preserve"> </w:t>
      </w:r>
      <w:r>
        <w:rPr>
          <w:color w:val="211F1F"/>
        </w:rPr>
        <w:t>value</w:t>
      </w:r>
      <w:r>
        <w:rPr>
          <w:color w:val="211F1F"/>
          <w:spacing w:val="-9"/>
        </w:rPr>
        <w:t xml:space="preserve"> </w:t>
      </w:r>
      <w:r>
        <w:rPr>
          <w:color w:val="211F1F"/>
        </w:rPr>
        <w:t>of</w:t>
      </w:r>
      <w:r>
        <w:rPr>
          <w:color w:val="211F1F"/>
          <w:spacing w:val="-3"/>
        </w:rPr>
        <w:t xml:space="preserve"> </w:t>
      </w:r>
      <w:r>
        <w:rPr>
          <w:color w:val="211F1F"/>
        </w:rPr>
        <w:t>work</w:t>
      </w:r>
      <w:r>
        <w:rPr>
          <w:color w:val="211F1F"/>
          <w:spacing w:val="-7"/>
        </w:rPr>
        <w:t xml:space="preserve"> </w:t>
      </w:r>
      <w:r>
        <w:rPr>
          <w:color w:val="211F1F"/>
        </w:rPr>
        <w:t>executed</w:t>
      </w:r>
      <w:r>
        <w:rPr>
          <w:color w:val="211F1F"/>
          <w:spacing w:val="-11"/>
        </w:rPr>
        <w:t xml:space="preserve"> </w:t>
      </w:r>
      <w:r>
        <w:rPr>
          <w:color w:val="211F1F"/>
        </w:rPr>
        <w:t>shall</w:t>
      </w:r>
      <w:r>
        <w:rPr>
          <w:color w:val="211F1F"/>
          <w:spacing w:val="-6"/>
        </w:rPr>
        <w:t xml:space="preserve"> </w:t>
      </w:r>
      <w:r>
        <w:rPr>
          <w:color w:val="211F1F"/>
        </w:rPr>
        <w:t>include</w:t>
      </w:r>
      <w:r>
        <w:rPr>
          <w:color w:val="211F1F"/>
          <w:spacing w:val="-13"/>
        </w:rPr>
        <w:t xml:space="preserve"> </w:t>
      </w:r>
      <w:r>
        <w:rPr>
          <w:color w:val="211F1F"/>
        </w:rPr>
        <w:t>the</w:t>
      </w:r>
      <w:r>
        <w:rPr>
          <w:color w:val="211F1F"/>
          <w:spacing w:val="-9"/>
        </w:rPr>
        <w:t xml:space="preserve"> </w:t>
      </w:r>
      <w:r>
        <w:rPr>
          <w:color w:val="211F1F"/>
        </w:rPr>
        <w:t>valuation</w:t>
      </w:r>
      <w:r>
        <w:rPr>
          <w:color w:val="211F1F"/>
          <w:spacing w:val="-6"/>
        </w:rPr>
        <w:t xml:space="preserve"> </w:t>
      </w:r>
      <w:r>
        <w:rPr>
          <w:color w:val="211F1F"/>
        </w:rPr>
        <w:t>of</w:t>
      </w:r>
      <w:r>
        <w:rPr>
          <w:color w:val="211F1F"/>
          <w:spacing w:val="-4"/>
        </w:rPr>
        <w:t xml:space="preserve"> </w:t>
      </w:r>
      <w:r>
        <w:rPr>
          <w:color w:val="211F1F"/>
        </w:rPr>
        <w:t>Variations</w:t>
      </w:r>
      <w:r>
        <w:rPr>
          <w:color w:val="211F1F"/>
          <w:spacing w:val="-2"/>
        </w:rPr>
        <w:t xml:space="preserve"> </w:t>
      </w:r>
      <w:r>
        <w:rPr>
          <w:color w:val="211F1F"/>
        </w:rPr>
        <w:t>and</w:t>
      </w:r>
      <w:r>
        <w:rPr>
          <w:color w:val="211F1F"/>
          <w:spacing w:val="-12"/>
        </w:rPr>
        <w:t xml:space="preserve"> </w:t>
      </w:r>
      <w:r>
        <w:rPr>
          <w:color w:val="211F1F"/>
        </w:rPr>
        <w:t>Compensation</w:t>
      </w:r>
      <w:r>
        <w:rPr>
          <w:color w:val="211F1F"/>
          <w:spacing w:val="-5"/>
        </w:rPr>
        <w:t xml:space="preserve"> </w:t>
      </w:r>
      <w:r>
        <w:rPr>
          <w:color w:val="211F1F"/>
          <w:spacing w:val="-2"/>
        </w:rPr>
        <w:t>Events.</w:t>
      </w:r>
    </w:p>
    <w:p w14:paraId="2078C296" w14:textId="77777777" w:rsidR="00BB77C0" w:rsidRDefault="00370BAA">
      <w:pPr>
        <w:pStyle w:val="ListParagraph"/>
        <w:numPr>
          <w:ilvl w:val="1"/>
          <w:numId w:val="23"/>
        </w:numPr>
        <w:tabs>
          <w:tab w:val="left" w:pos="1168"/>
          <w:tab w:val="left" w:pos="1171"/>
        </w:tabs>
        <w:spacing w:before="199" w:line="228" w:lineRule="auto"/>
        <w:ind w:right="838" w:hanging="360"/>
        <w:jc w:val="both"/>
        <w:rPr>
          <w:color w:val="211F1F"/>
        </w:rPr>
      </w:pPr>
      <w:r>
        <w:rPr>
          <w:color w:val="211F1F"/>
        </w:rPr>
        <w:t>The</w:t>
      </w:r>
      <w:r>
        <w:rPr>
          <w:color w:val="211F1F"/>
          <w:spacing w:val="-7"/>
        </w:rPr>
        <w:t xml:space="preserve"> </w:t>
      </w:r>
      <w:r>
        <w:rPr>
          <w:color w:val="211F1F"/>
        </w:rPr>
        <w:t>Project Manager may</w:t>
      </w:r>
      <w:r>
        <w:rPr>
          <w:color w:val="211F1F"/>
          <w:spacing w:val="-1"/>
        </w:rPr>
        <w:t xml:space="preserve"> </w:t>
      </w:r>
      <w:r>
        <w:rPr>
          <w:color w:val="211F1F"/>
        </w:rPr>
        <w:t>exclude</w:t>
      </w:r>
      <w:r>
        <w:rPr>
          <w:color w:val="211F1F"/>
          <w:spacing w:val="-7"/>
        </w:rPr>
        <w:t xml:space="preserve"> </w:t>
      </w:r>
      <w:r>
        <w:rPr>
          <w:color w:val="211F1F"/>
        </w:rPr>
        <w:t>any</w:t>
      </w:r>
      <w:r>
        <w:rPr>
          <w:color w:val="211F1F"/>
          <w:spacing w:val="-6"/>
        </w:rPr>
        <w:t xml:space="preserve"> </w:t>
      </w:r>
      <w:r>
        <w:rPr>
          <w:color w:val="211F1F"/>
        </w:rPr>
        <w:t>item</w:t>
      </w:r>
      <w:r>
        <w:rPr>
          <w:color w:val="211F1F"/>
          <w:spacing w:val="-4"/>
        </w:rPr>
        <w:t xml:space="preserve"> </w:t>
      </w:r>
      <w:r>
        <w:rPr>
          <w:color w:val="211F1F"/>
        </w:rPr>
        <w:t>certified</w:t>
      </w:r>
      <w:r>
        <w:rPr>
          <w:color w:val="211F1F"/>
          <w:spacing w:val="-5"/>
        </w:rPr>
        <w:t xml:space="preserve"> </w:t>
      </w:r>
      <w:r>
        <w:rPr>
          <w:color w:val="211F1F"/>
        </w:rPr>
        <w:t>in</w:t>
      </w:r>
      <w:r>
        <w:rPr>
          <w:color w:val="211F1F"/>
          <w:spacing w:val="-6"/>
        </w:rPr>
        <w:t xml:space="preserve"> </w:t>
      </w:r>
      <w:r>
        <w:rPr>
          <w:color w:val="211F1F"/>
        </w:rPr>
        <w:t>a previous certificate</w:t>
      </w:r>
      <w:r>
        <w:rPr>
          <w:color w:val="211F1F"/>
          <w:spacing w:val="-6"/>
        </w:rPr>
        <w:t xml:space="preserve"> </w:t>
      </w:r>
      <w:r>
        <w:rPr>
          <w:color w:val="211F1F"/>
        </w:rPr>
        <w:t>or reduce</w:t>
      </w:r>
      <w:r>
        <w:rPr>
          <w:color w:val="211F1F"/>
          <w:spacing w:val="-7"/>
        </w:rPr>
        <w:t xml:space="preserve"> </w:t>
      </w:r>
      <w:r>
        <w:rPr>
          <w:color w:val="211F1F"/>
        </w:rPr>
        <w:t>the</w:t>
      </w:r>
      <w:r>
        <w:rPr>
          <w:color w:val="211F1F"/>
          <w:spacing w:val="-8"/>
        </w:rPr>
        <w:t xml:space="preserve"> </w:t>
      </w:r>
      <w:r>
        <w:rPr>
          <w:color w:val="211F1F"/>
        </w:rPr>
        <w:t>proportion</w:t>
      </w:r>
      <w:r>
        <w:rPr>
          <w:color w:val="211F1F"/>
          <w:spacing w:val="-4"/>
        </w:rPr>
        <w:t xml:space="preserve"> </w:t>
      </w:r>
      <w:r>
        <w:rPr>
          <w:color w:val="211F1F"/>
        </w:rPr>
        <w:t>of</w:t>
      </w:r>
      <w:r>
        <w:rPr>
          <w:color w:val="211F1F"/>
          <w:spacing w:val="-2"/>
        </w:rPr>
        <w:t xml:space="preserve"> </w:t>
      </w:r>
      <w:r>
        <w:rPr>
          <w:color w:val="211F1F"/>
        </w:rPr>
        <w:t>any item previously certified in any certificate in the light of later information.</w:t>
      </w:r>
    </w:p>
    <w:p w14:paraId="53CDC3EA" w14:textId="77777777" w:rsidR="00BB77C0" w:rsidRDefault="00370BAA">
      <w:pPr>
        <w:pStyle w:val="ListParagraph"/>
        <w:numPr>
          <w:ilvl w:val="1"/>
          <w:numId w:val="23"/>
        </w:numPr>
        <w:tabs>
          <w:tab w:val="left" w:pos="1168"/>
          <w:tab w:val="left" w:pos="1171"/>
        </w:tabs>
        <w:spacing w:before="199" w:line="230" w:lineRule="auto"/>
        <w:ind w:right="837" w:hanging="360"/>
        <w:jc w:val="both"/>
        <w:rPr>
          <w:color w:val="211F1F"/>
        </w:rPr>
      </w:pPr>
      <w:r>
        <w:rPr>
          <w:color w:val="211F1F"/>
        </w:rPr>
        <w:t>Where</w:t>
      </w:r>
      <w:r>
        <w:rPr>
          <w:color w:val="211F1F"/>
          <w:spacing w:val="-1"/>
        </w:rPr>
        <w:t xml:space="preserve"> </w:t>
      </w:r>
      <w:r>
        <w:rPr>
          <w:color w:val="211F1F"/>
        </w:rPr>
        <w:t>the</w:t>
      </w:r>
      <w:r>
        <w:rPr>
          <w:color w:val="211F1F"/>
          <w:spacing w:val="-1"/>
        </w:rPr>
        <w:t xml:space="preserve"> </w:t>
      </w:r>
      <w:r>
        <w:rPr>
          <w:color w:val="211F1F"/>
        </w:rPr>
        <w:t>contract price</w:t>
      </w:r>
      <w:r>
        <w:rPr>
          <w:color w:val="211F1F"/>
          <w:spacing w:val="-1"/>
        </w:rPr>
        <w:t xml:space="preserve"> </w:t>
      </w:r>
      <w:r>
        <w:rPr>
          <w:color w:val="211F1F"/>
        </w:rPr>
        <w:t>is different from the corrected tender price, in order to ensure</w:t>
      </w:r>
      <w:r>
        <w:rPr>
          <w:color w:val="211F1F"/>
          <w:spacing w:val="-1"/>
        </w:rPr>
        <w:t xml:space="preserve"> </w:t>
      </w:r>
      <w:r>
        <w:rPr>
          <w:color w:val="211F1F"/>
        </w:rPr>
        <w:t>the</w:t>
      </w:r>
      <w:r>
        <w:rPr>
          <w:color w:val="211F1F"/>
          <w:spacing w:val="-1"/>
        </w:rPr>
        <w:t xml:space="preserve"> </w:t>
      </w:r>
      <w:r>
        <w:rPr>
          <w:color w:val="211F1F"/>
        </w:rPr>
        <w:t>contractor is not paid less or more relative to the contract price (which would be the tender price), payment valuation certificates and</w:t>
      </w:r>
      <w:r>
        <w:rPr>
          <w:color w:val="211F1F"/>
          <w:spacing w:val="-4"/>
        </w:rPr>
        <w:t xml:space="preserve"> </w:t>
      </w:r>
      <w:r>
        <w:rPr>
          <w:color w:val="211F1F"/>
        </w:rPr>
        <w:t>variation</w:t>
      </w:r>
      <w:r>
        <w:rPr>
          <w:color w:val="211F1F"/>
          <w:spacing w:val="-3"/>
        </w:rPr>
        <w:t xml:space="preserve"> </w:t>
      </w:r>
      <w:r>
        <w:rPr>
          <w:color w:val="211F1F"/>
        </w:rPr>
        <w:t>orders on</w:t>
      </w:r>
      <w:r>
        <w:rPr>
          <w:color w:val="211F1F"/>
          <w:spacing w:val="-4"/>
        </w:rPr>
        <w:t xml:space="preserve"> </w:t>
      </w:r>
      <w:r>
        <w:rPr>
          <w:color w:val="211F1F"/>
        </w:rPr>
        <w:t>omissions and</w:t>
      </w:r>
      <w:r>
        <w:rPr>
          <w:color w:val="211F1F"/>
          <w:spacing w:val="-7"/>
        </w:rPr>
        <w:t xml:space="preserve"> </w:t>
      </w:r>
      <w:r>
        <w:rPr>
          <w:color w:val="211F1F"/>
        </w:rPr>
        <w:t>additions valued</w:t>
      </w:r>
      <w:r>
        <w:rPr>
          <w:color w:val="211F1F"/>
          <w:spacing w:val="-4"/>
        </w:rPr>
        <w:t xml:space="preserve"> </w:t>
      </w:r>
      <w:r>
        <w:rPr>
          <w:color w:val="211F1F"/>
        </w:rPr>
        <w:t>based</w:t>
      </w:r>
      <w:r>
        <w:rPr>
          <w:color w:val="211F1F"/>
          <w:spacing w:val="-3"/>
        </w:rPr>
        <w:t xml:space="preserve"> </w:t>
      </w:r>
      <w:r>
        <w:rPr>
          <w:color w:val="211F1F"/>
        </w:rPr>
        <w:t>on</w:t>
      </w:r>
      <w:r>
        <w:rPr>
          <w:color w:val="211F1F"/>
          <w:spacing w:val="-8"/>
        </w:rPr>
        <w:t xml:space="preserve"> </w:t>
      </w:r>
      <w:r>
        <w:rPr>
          <w:color w:val="211F1F"/>
        </w:rPr>
        <w:t>rates</w:t>
      </w:r>
      <w:r>
        <w:rPr>
          <w:color w:val="211F1F"/>
          <w:spacing w:val="-3"/>
        </w:rPr>
        <w:t xml:space="preserve"> </w:t>
      </w:r>
      <w:r>
        <w:rPr>
          <w:color w:val="211F1F"/>
        </w:rPr>
        <w:t>in</w:t>
      </w:r>
      <w:r>
        <w:rPr>
          <w:color w:val="211F1F"/>
          <w:spacing w:val="-3"/>
        </w:rPr>
        <w:t xml:space="preserve"> </w:t>
      </w:r>
      <w:r>
        <w:rPr>
          <w:color w:val="211F1F"/>
        </w:rPr>
        <w:t>the</w:t>
      </w:r>
      <w:r>
        <w:rPr>
          <w:color w:val="211F1F"/>
          <w:spacing w:val="-5"/>
        </w:rPr>
        <w:t xml:space="preserve"> </w:t>
      </w:r>
      <w:r>
        <w:rPr>
          <w:color w:val="211F1F"/>
        </w:rPr>
        <w:t>Bill</w:t>
      </w:r>
      <w:r>
        <w:rPr>
          <w:color w:val="211F1F"/>
          <w:spacing w:val="-2"/>
        </w:rPr>
        <w:t xml:space="preserve"> </w:t>
      </w:r>
      <w:r>
        <w:rPr>
          <w:color w:val="211F1F"/>
        </w:rPr>
        <w:t>of</w:t>
      </w:r>
      <w:r>
        <w:rPr>
          <w:color w:val="211F1F"/>
          <w:spacing w:val="-1"/>
        </w:rPr>
        <w:t xml:space="preserve"> </w:t>
      </w:r>
      <w:r>
        <w:rPr>
          <w:color w:val="211F1F"/>
        </w:rPr>
        <w:t>Quantities or schedule</w:t>
      </w:r>
      <w:r>
        <w:rPr>
          <w:color w:val="211F1F"/>
          <w:spacing w:val="-14"/>
        </w:rPr>
        <w:t xml:space="preserve"> </w:t>
      </w:r>
      <w:r>
        <w:rPr>
          <w:color w:val="211F1F"/>
        </w:rPr>
        <w:t>of</w:t>
      </w:r>
      <w:r>
        <w:rPr>
          <w:color w:val="211F1F"/>
          <w:spacing w:val="-14"/>
        </w:rPr>
        <w:t xml:space="preserve"> </w:t>
      </w:r>
      <w:r>
        <w:rPr>
          <w:color w:val="211F1F"/>
        </w:rPr>
        <w:t>rates</w:t>
      </w:r>
      <w:r>
        <w:rPr>
          <w:color w:val="211F1F"/>
          <w:spacing w:val="-14"/>
        </w:rPr>
        <w:t xml:space="preserve"> </w:t>
      </w:r>
      <w:r>
        <w:rPr>
          <w:color w:val="211F1F"/>
        </w:rPr>
        <w:t>in</w:t>
      </w:r>
      <w:r>
        <w:rPr>
          <w:color w:val="211F1F"/>
          <w:spacing w:val="-13"/>
        </w:rPr>
        <w:t xml:space="preserve"> </w:t>
      </w:r>
      <w:r>
        <w:rPr>
          <w:color w:val="211F1F"/>
        </w:rPr>
        <w:t>the</w:t>
      </w:r>
      <w:r>
        <w:rPr>
          <w:color w:val="211F1F"/>
          <w:spacing w:val="-14"/>
        </w:rPr>
        <w:t xml:space="preserve"> </w:t>
      </w:r>
      <w:r>
        <w:rPr>
          <w:color w:val="211F1F"/>
        </w:rPr>
        <w:t>Tender,</w:t>
      </w:r>
      <w:r>
        <w:rPr>
          <w:color w:val="211F1F"/>
          <w:spacing w:val="-14"/>
        </w:rPr>
        <w:t xml:space="preserve"> </w:t>
      </w:r>
      <w:r>
        <w:rPr>
          <w:color w:val="211F1F"/>
        </w:rPr>
        <w:t>will</w:t>
      </w:r>
      <w:r>
        <w:rPr>
          <w:color w:val="211F1F"/>
          <w:spacing w:val="-14"/>
        </w:rPr>
        <w:t xml:space="preserve"> </w:t>
      </w:r>
      <w:r>
        <w:rPr>
          <w:color w:val="211F1F"/>
        </w:rPr>
        <w:t>be</w:t>
      </w:r>
      <w:r>
        <w:rPr>
          <w:color w:val="211F1F"/>
          <w:spacing w:val="-13"/>
        </w:rPr>
        <w:t xml:space="preserve"> </w:t>
      </w:r>
      <w:r>
        <w:rPr>
          <w:color w:val="211F1F"/>
        </w:rPr>
        <w:t>adjusted</w:t>
      </w:r>
      <w:r>
        <w:rPr>
          <w:color w:val="211F1F"/>
          <w:spacing w:val="-14"/>
        </w:rPr>
        <w:t xml:space="preserve"> </w:t>
      </w:r>
      <w:r>
        <w:rPr>
          <w:color w:val="211F1F"/>
        </w:rPr>
        <w:t>by</w:t>
      </w:r>
      <w:r>
        <w:rPr>
          <w:color w:val="211F1F"/>
          <w:spacing w:val="-14"/>
        </w:rPr>
        <w:t xml:space="preserve"> </w:t>
      </w:r>
      <w:r>
        <w:rPr>
          <w:color w:val="211F1F"/>
        </w:rPr>
        <w:t>a</w:t>
      </w:r>
      <w:r>
        <w:rPr>
          <w:color w:val="211F1F"/>
          <w:spacing w:val="-14"/>
        </w:rPr>
        <w:t xml:space="preserve"> </w:t>
      </w:r>
      <w:r>
        <w:rPr>
          <w:color w:val="211F1F"/>
        </w:rPr>
        <w:t>plus</w:t>
      </w:r>
      <w:r>
        <w:rPr>
          <w:color w:val="211F1F"/>
          <w:spacing w:val="-13"/>
        </w:rPr>
        <w:t xml:space="preserve"> </w:t>
      </w:r>
      <w:r>
        <w:rPr>
          <w:color w:val="211F1F"/>
        </w:rPr>
        <w:t>or</w:t>
      </w:r>
      <w:r>
        <w:rPr>
          <w:color w:val="211F1F"/>
          <w:spacing w:val="-14"/>
        </w:rPr>
        <w:t xml:space="preserve"> </w:t>
      </w:r>
      <w:r>
        <w:rPr>
          <w:color w:val="211F1F"/>
        </w:rPr>
        <w:t>minus</w:t>
      </w:r>
      <w:r>
        <w:rPr>
          <w:color w:val="211F1F"/>
          <w:spacing w:val="-14"/>
        </w:rPr>
        <w:t xml:space="preserve"> </w:t>
      </w:r>
      <w:r>
        <w:rPr>
          <w:color w:val="211F1F"/>
        </w:rPr>
        <w:t>percentage.</w:t>
      </w:r>
      <w:r>
        <w:rPr>
          <w:color w:val="211F1F"/>
          <w:spacing w:val="-14"/>
        </w:rPr>
        <w:t xml:space="preserve"> </w:t>
      </w:r>
      <w:r>
        <w:rPr>
          <w:color w:val="211F1F"/>
        </w:rPr>
        <w:t>The</w:t>
      </w:r>
      <w:r>
        <w:rPr>
          <w:color w:val="211F1F"/>
          <w:spacing w:val="-13"/>
        </w:rPr>
        <w:t xml:space="preserve"> </w:t>
      </w:r>
      <w:r>
        <w:rPr>
          <w:color w:val="211F1F"/>
        </w:rPr>
        <w:t>percentage</w:t>
      </w:r>
      <w:r>
        <w:rPr>
          <w:color w:val="211F1F"/>
          <w:spacing w:val="-14"/>
        </w:rPr>
        <w:t xml:space="preserve"> </w:t>
      </w:r>
      <w:r>
        <w:rPr>
          <w:color w:val="211F1F"/>
        </w:rPr>
        <w:t>already</w:t>
      </w:r>
      <w:r>
        <w:rPr>
          <w:color w:val="211F1F"/>
          <w:spacing w:val="-14"/>
        </w:rPr>
        <w:t xml:space="preserve"> </w:t>
      </w:r>
      <w:r>
        <w:rPr>
          <w:color w:val="211F1F"/>
        </w:rPr>
        <w:t>worked out</w:t>
      </w:r>
      <w:r>
        <w:rPr>
          <w:color w:val="211F1F"/>
          <w:spacing w:val="25"/>
        </w:rPr>
        <w:t xml:space="preserve"> </w:t>
      </w:r>
      <w:r>
        <w:rPr>
          <w:color w:val="211F1F"/>
        </w:rPr>
        <w:t>during tender</w:t>
      </w:r>
      <w:r>
        <w:rPr>
          <w:color w:val="211F1F"/>
          <w:spacing w:val="23"/>
        </w:rPr>
        <w:t xml:space="preserve"> </w:t>
      </w:r>
      <w:r>
        <w:rPr>
          <w:color w:val="211F1F"/>
        </w:rPr>
        <w:t>evaluation</w:t>
      </w:r>
      <w:r>
        <w:rPr>
          <w:color w:val="211F1F"/>
          <w:spacing w:val="20"/>
        </w:rPr>
        <w:t xml:space="preserve"> </w:t>
      </w:r>
      <w:r>
        <w:rPr>
          <w:color w:val="211F1F"/>
        </w:rPr>
        <w:t>is</w:t>
      </w:r>
      <w:r>
        <w:rPr>
          <w:color w:val="211F1F"/>
          <w:spacing w:val="20"/>
        </w:rPr>
        <w:t xml:space="preserve"> </w:t>
      </w:r>
      <w:r>
        <w:rPr>
          <w:color w:val="211F1F"/>
        </w:rPr>
        <w:t>worked</w:t>
      </w:r>
      <w:r>
        <w:rPr>
          <w:color w:val="211F1F"/>
          <w:spacing w:val="-11"/>
        </w:rPr>
        <w:t xml:space="preserve"> </w:t>
      </w:r>
      <w:r>
        <w:rPr>
          <w:color w:val="211F1F"/>
        </w:rPr>
        <w:t>out</w:t>
      </w:r>
      <w:r>
        <w:rPr>
          <w:color w:val="211F1F"/>
          <w:spacing w:val="-10"/>
        </w:rPr>
        <w:t xml:space="preserve"> </w:t>
      </w:r>
      <w:r>
        <w:rPr>
          <w:color w:val="211F1F"/>
        </w:rPr>
        <w:t>as</w:t>
      </w:r>
      <w:r>
        <w:rPr>
          <w:color w:val="211F1F"/>
          <w:spacing w:val="-11"/>
        </w:rPr>
        <w:t xml:space="preserve"> </w:t>
      </w:r>
      <w:r>
        <w:rPr>
          <w:color w:val="211F1F"/>
        </w:rPr>
        <w:t>follows:</w:t>
      </w:r>
      <w:r>
        <w:rPr>
          <w:color w:val="211F1F"/>
          <w:spacing w:val="-14"/>
        </w:rPr>
        <w:t xml:space="preserve"> </w:t>
      </w:r>
      <w:r>
        <w:rPr>
          <w:i/>
          <w:color w:val="211F1F"/>
        </w:rPr>
        <w:t>(corrected</w:t>
      </w:r>
      <w:r>
        <w:rPr>
          <w:i/>
          <w:color w:val="211F1F"/>
          <w:spacing w:val="-11"/>
        </w:rPr>
        <w:t xml:space="preserve"> </w:t>
      </w:r>
      <w:r>
        <w:rPr>
          <w:i/>
          <w:color w:val="211F1F"/>
        </w:rPr>
        <w:t>tender</w:t>
      </w:r>
      <w:r>
        <w:rPr>
          <w:i/>
          <w:color w:val="211F1F"/>
          <w:spacing w:val="-10"/>
        </w:rPr>
        <w:t xml:space="preserve"> </w:t>
      </w:r>
      <w:r>
        <w:rPr>
          <w:i/>
          <w:color w:val="211F1F"/>
        </w:rPr>
        <w:t>price</w:t>
      </w:r>
      <w:r>
        <w:rPr>
          <w:i/>
          <w:color w:val="211F1F"/>
          <w:spacing w:val="-13"/>
        </w:rPr>
        <w:t xml:space="preserve"> </w:t>
      </w:r>
      <w:r>
        <w:rPr>
          <w:i/>
          <w:color w:val="211F1F"/>
        </w:rPr>
        <w:t>–</w:t>
      </w:r>
      <w:r>
        <w:rPr>
          <w:i/>
          <w:color w:val="211F1F"/>
          <w:spacing w:val="-11"/>
        </w:rPr>
        <w:t xml:space="preserve"> </w:t>
      </w:r>
      <w:r>
        <w:rPr>
          <w:i/>
          <w:color w:val="211F1F"/>
        </w:rPr>
        <w:t>tender</w:t>
      </w:r>
      <w:r>
        <w:rPr>
          <w:i/>
          <w:color w:val="211F1F"/>
          <w:spacing w:val="-14"/>
        </w:rPr>
        <w:t xml:space="preserve"> </w:t>
      </w:r>
      <w:r>
        <w:rPr>
          <w:i/>
          <w:color w:val="211F1F"/>
        </w:rPr>
        <w:t>price)/tender</w:t>
      </w:r>
      <w:r>
        <w:rPr>
          <w:i/>
          <w:color w:val="211F1F"/>
          <w:spacing w:val="-10"/>
        </w:rPr>
        <w:t xml:space="preserve"> </w:t>
      </w:r>
      <w:r>
        <w:rPr>
          <w:i/>
          <w:color w:val="211F1F"/>
        </w:rPr>
        <w:t>price</w:t>
      </w:r>
      <w:r>
        <w:rPr>
          <w:i/>
          <w:color w:val="211F1F"/>
          <w:spacing w:val="-13"/>
        </w:rPr>
        <w:t xml:space="preserve"> </w:t>
      </w:r>
      <w:r>
        <w:rPr>
          <w:i/>
          <w:color w:val="211F1F"/>
        </w:rPr>
        <w:t xml:space="preserve">X </w:t>
      </w:r>
      <w:r>
        <w:rPr>
          <w:i/>
          <w:color w:val="211F1F"/>
          <w:spacing w:val="-4"/>
        </w:rPr>
        <w:t>100</w:t>
      </w:r>
      <w:r>
        <w:rPr>
          <w:color w:val="211F1F"/>
          <w:spacing w:val="-4"/>
        </w:rPr>
        <w:t>.</w:t>
      </w:r>
    </w:p>
    <w:p w14:paraId="17E1D688" w14:textId="77777777" w:rsidR="00BB77C0" w:rsidRDefault="00BB77C0">
      <w:pPr>
        <w:pStyle w:val="ListParagraph"/>
        <w:spacing w:line="230" w:lineRule="auto"/>
        <w:jc w:val="both"/>
        <w:sectPr w:rsidR="00BB77C0">
          <w:pgSz w:w="11920" w:h="16850"/>
          <w:pgMar w:top="440" w:right="0" w:bottom="280" w:left="360" w:header="720" w:footer="720" w:gutter="0"/>
          <w:cols w:space="720"/>
        </w:sectPr>
      </w:pPr>
    </w:p>
    <w:p w14:paraId="4DEFCFCF" w14:textId="77777777" w:rsidR="00BB77C0" w:rsidRDefault="00370BAA">
      <w:pPr>
        <w:pStyle w:val="Heading7"/>
        <w:numPr>
          <w:ilvl w:val="0"/>
          <w:numId w:val="23"/>
        </w:numPr>
        <w:tabs>
          <w:tab w:val="left" w:pos="1080"/>
        </w:tabs>
        <w:spacing w:before="64"/>
        <w:ind w:left="1080" w:hanging="360"/>
        <w:jc w:val="left"/>
      </w:pPr>
      <w:bookmarkStart w:id="228" w:name="41._Payments"/>
      <w:bookmarkEnd w:id="228"/>
      <w:r>
        <w:rPr>
          <w:color w:val="211F1F"/>
          <w:spacing w:val="-2"/>
        </w:rPr>
        <w:lastRenderedPageBreak/>
        <w:t>Payments</w:t>
      </w:r>
    </w:p>
    <w:p w14:paraId="04041F14" w14:textId="77777777" w:rsidR="00BB77C0" w:rsidRDefault="00370BAA">
      <w:pPr>
        <w:pStyle w:val="ListParagraph"/>
        <w:numPr>
          <w:ilvl w:val="1"/>
          <w:numId w:val="23"/>
        </w:numPr>
        <w:tabs>
          <w:tab w:val="left" w:pos="1168"/>
          <w:tab w:val="left" w:pos="1171"/>
        </w:tabs>
        <w:spacing w:before="192" w:line="230" w:lineRule="auto"/>
        <w:ind w:right="828" w:hanging="360"/>
        <w:jc w:val="both"/>
        <w:rPr>
          <w:color w:val="211F1F"/>
        </w:rPr>
      </w:pPr>
      <w:r>
        <w:rPr>
          <w:color w:val="211F1F"/>
        </w:rPr>
        <w:t>Payments shall be adjusted for deductions for advance payments and retention. The Procuring Entity shall pay</w:t>
      </w:r>
      <w:r>
        <w:rPr>
          <w:color w:val="211F1F"/>
          <w:spacing w:val="-14"/>
        </w:rPr>
        <w:t xml:space="preserve"> </w:t>
      </w:r>
      <w:r>
        <w:rPr>
          <w:color w:val="211F1F"/>
        </w:rPr>
        <w:t>the</w:t>
      </w:r>
      <w:r>
        <w:rPr>
          <w:color w:val="211F1F"/>
          <w:spacing w:val="-14"/>
        </w:rPr>
        <w:t xml:space="preserve"> </w:t>
      </w:r>
      <w:r>
        <w:rPr>
          <w:color w:val="211F1F"/>
        </w:rPr>
        <w:t>Contractor</w:t>
      </w:r>
      <w:r>
        <w:rPr>
          <w:color w:val="211F1F"/>
          <w:spacing w:val="-9"/>
        </w:rPr>
        <w:t xml:space="preserve"> </w:t>
      </w:r>
      <w:r>
        <w:rPr>
          <w:color w:val="211F1F"/>
        </w:rPr>
        <w:t>the</w:t>
      </w:r>
      <w:r>
        <w:rPr>
          <w:color w:val="211F1F"/>
          <w:spacing w:val="-14"/>
        </w:rPr>
        <w:t xml:space="preserve"> </w:t>
      </w:r>
      <w:r>
        <w:rPr>
          <w:color w:val="211F1F"/>
        </w:rPr>
        <w:t>amounts</w:t>
      </w:r>
      <w:r>
        <w:rPr>
          <w:color w:val="211F1F"/>
          <w:spacing w:val="-7"/>
        </w:rPr>
        <w:t xml:space="preserve"> </w:t>
      </w:r>
      <w:r>
        <w:rPr>
          <w:color w:val="211F1F"/>
        </w:rPr>
        <w:t>certified</w:t>
      </w:r>
      <w:r>
        <w:rPr>
          <w:color w:val="211F1F"/>
          <w:spacing w:val="-8"/>
        </w:rPr>
        <w:t xml:space="preserve"> </w:t>
      </w:r>
      <w:r>
        <w:rPr>
          <w:color w:val="211F1F"/>
        </w:rPr>
        <w:t>by</w:t>
      </w:r>
      <w:r>
        <w:rPr>
          <w:color w:val="211F1F"/>
          <w:spacing w:val="-14"/>
        </w:rPr>
        <w:t xml:space="preserve"> </w:t>
      </w:r>
      <w:r>
        <w:rPr>
          <w:color w:val="211F1F"/>
        </w:rPr>
        <w:t>the</w:t>
      </w:r>
      <w:r>
        <w:rPr>
          <w:color w:val="211F1F"/>
          <w:spacing w:val="-14"/>
        </w:rPr>
        <w:t xml:space="preserve"> </w:t>
      </w:r>
      <w:r>
        <w:rPr>
          <w:color w:val="211F1F"/>
        </w:rPr>
        <w:t>Project</w:t>
      </w:r>
      <w:r>
        <w:rPr>
          <w:color w:val="211F1F"/>
          <w:spacing w:val="-2"/>
        </w:rPr>
        <w:t xml:space="preserve"> </w:t>
      </w:r>
      <w:r>
        <w:rPr>
          <w:color w:val="211F1F"/>
        </w:rPr>
        <w:t>Manager</w:t>
      </w:r>
      <w:r>
        <w:rPr>
          <w:color w:val="211F1F"/>
          <w:spacing w:val="-4"/>
        </w:rPr>
        <w:t xml:space="preserve"> </w:t>
      </w:r>
      <w:r>
        <w:rPr>
          <w:color w:val="211F1F"/>
        </w:rPr>
        <w:t>within</w:t>
      </w:r>
      <w:r>
        <w:rPr>
          <w:color w:val="211F1F"/>
          <w:spacing w:val="-12"/>
        </w:rPr>
        <w:t xml:space="preserve"> </w:t>
      </w:r>
      <w:r>
        <w:rPr>
          <w:color w:val="211F1F"/>
        </w:rPr>
        <w:t>30</w:t>
      </w:r>
      <w:r>
        <w:rPr>
          <w:color w:val="211F1F"/>
          <w:spacing w:val="-8"/>
        </w:rPr>
        <w:t xml:space="preserve"> </w:t>
      </w:r>
      <w:r>
        <w:rPr>
          <w:color w:val="211F1F"/>
        </w:rPr>
        <w:t>days</w:t>
      </w:r>
      <w:r>
        <w:rPr>
          <w:color w:val="211F1F"/>
          <w:spacing w:val="-8"/>
        </w:rPr>
        <w:t xml:space="preserve"> </w:t>
      </w:r>
      <w:r>
        <w:rPr>
          <w:color w:val="211F1F"/>
        </w:rPr>
        <w:t>of</w:t>
      </w:r>
      <w:r>
        <w:rPr>
          <w:color w:val="211F1F"/>
          <w:spacing w:val="-10"/>
        </w:rPr>
        <w:t xml:space="preserve"> </w:t>
      </w:r>
      <w:r>
        <w:rPr>
          <w:color w:val="211F1F"/>
        </w:rPr>
        <w:t>the</w:t>
      </w:r>
      <w:r>
        <w:rPr>
          <w:color w:val="211F1F"/>
          <w:spacing w:val="-5"/>
        </w:rPr>
        <w:t xml:space="preserve"> </w:t>
      </w:r>
      <w:r>
        <w:rPr>
          <w:color w:val="211F1F"/>
        </w:rPr>
        <w:t>date</w:t>
      </w:r>
      <w:r>
        <w:rPr>
          <w:color w:val="211F1F"/>
          <w:spacing w:val="-10"/>
        </w:rPr>
        <w:t xml:space="preserve"> </w:t>
      </w:r>
      <w:r>
        <w:rPr>
          <w:color w:val="211F1F"/>
        </w:rPr>
        <w:t>of</w:t>
      </w:r>
      <w:r>
        <w:rPr>
          <w:color w:val="211F1F"/>
          <w:spacing w:val="-5"/>
        </w:rPr>
        <w:t xml:space="preserve"> </w:t>
      </w:r>
      <w:r>
        <w:rPr>
          <w:color w:val="211F1F"/>
        </w:rPr>
        <w:t>each</w:t>
      </w:r>
      <w:r>
        <w:rPr>
          <w:color w:val="211F1F"/>
          <w:spacing w:val="-8"/>
        </w:rPr>
        <w:t xml:space="preserve"> </w:t>
      </w:r>
      <w:r>
        <w:rPr>
          <w:color w:val="211F1F"/>
        </w:rPr>
        <w:t>certificate. If the</w:t>
      </w:r>
      <w:r>
        <w:rPr>
          <w:color w:val="211F1F"/>
          <w:spacing w:val="-2"/>
        </w:rPr>
        <w:t xml:space="preserve"> </w:t>
      </w:r>
      <w:r>
        <w:rPr>
          <w:color w:val="211F1F"/>
        </w:rPr>
        <w:t>Procuring Entity makes a late</w:t>
      </w:r>
      <w:r>
        <w:rPr>
          <w:color w:val="211F1F"/>
          <w:spacing w:val="-3"/>
        </w:rPr>
        <w:t xml:space="preserve"> </w:t>
      </w:r>
      <w:r>
        <w:rPr>
          <w:color w:val="211F1F"/>
        </w:rPr>
        <w:t>payment, the</w:t>
      </w:r>
      <w:r>
        <w:rPr>
          <w:color w:val="211F1F"/>
          <w:spacing w:val="-3"/>
        </w:rPr>
        <w:t xml:space="preserve"> </w:t>
      </w:r>
      <w:r>
        <w:rPr>
          <w:color w:val="211F1F"/>
        </w:rPr>
        <w:t>Contractor shall be</w:t>
      </w:r>
      <w:r>
        <w:rPr>
          <w:color w:val="211F1F"/>
          <w:spacing w:val="-1"/>
        </w:rPr>
        <w:t xml:space="preserve"> </w:t>
      </w:r>
      <w:r>
        <w:rPr>
          <w:color w:val="211F1F"/>
        </w:rPr>
        <w:t>paid</w:t>
      </w:r>
      <w:r>
        <w:rPr>
          <w:color w:val="211F1F"/>
          <w:spacing w:val="-5"/>
        </w:rPr>
        <w:t xml:space="preserve"> </w:t>
      </w:r>
      <w:r>
        <w:rPr>
          <w:color w:val="211F1F"/>
        </w:rPr>
        <w:t>interest on the</w:t>
      </w:r>
      <w:r>
        <w:rPr>
          <w:color w:val="211F1F"/>
          <w:spacing w:val="-7"/>
        </w:rPr>
        <w:t xml:space="preserve"> </w:t>
      </w:r>
      <w:r>
        <w:rPr>
          <w:color w:val="211F1F"/>
        </w:rPr>
        <w:t>late</w:t>
      </w:r>
      <w:r>
        <w:rPr>
          <w:color w:val="211F1F"/>
          <w:spacing w:val="-2"/>
        </w:rPr>
        <w:t xml:space="preserve"> </w:t>
      </w:r>
      <w:r>
        <w:rPr>
          <w:color w:val="211F1F"/>
        </w:rPr>
        <w:t>payment in</w:t>
      </w:r>
      <w:r>
        <w:rPr>
          <w:color w:val="211F1F"/>
          <w:spacing w:val="-5"/>
        </w:rPr>
        <w:t xml:space="preserve"> </w:t>
      </w:r>
      <w:r>
        <w:rPr>
          <w:color w:val="211F1F"/>
        </w:rPr>
        <w:t>the next payment. Interest shall be calculated from</w:t>
      </w:r>
      <w:r>
        <w:rPr>
          <w:color w:val="211F1F"/>
          <w:spacing w:val="-4"/>
        </w:rPr>
        <w:t xml:space="preserve"> </w:t>
      </w:r>
      <w:r>
        <w:rPr>
          <w:color w:val="211F1F"/>
        </w:rPr>
        <w:t>the</w:t>
      </w:r>
      <w:r>
        <w:rPr>
          <w:color w:val="211F1F"/>
          <w:spacing w:val="-2"/>
        </w:rPr>
        <w:t xml:space="preserve"> </w:t>
      </w:r>
      <w:r>
        <w:rPr>
          <w:color w:val="211F1F"/>
        </w:rPr>
        <w:t>date by which the</w:t>
      </w:r>
      <w:r>
        <w:rPr>
          <w:color w:val="211F1F"/>
          <w:spacing w:val="-2"/>
        </w:rPr>
        <w:t xml:space="preserve"> </w:t>
      </w:r>
      <w:r>
        <w:rPr>
          <w:color w:val="211F1F"/>
        </w:rPr>
        <w:t>payment should have</w:t>
      </w:r>
      <w:r>
        <w:rPr>
          <w:color w:val="211F1F"/>
          <w:spacing w:val="-2"/>
        </w:rPr>
        <w:t xml:space="preserve"> </w:t>
      </w:r>
      <w:r>
        <w:rPr>
          <w:color w:val="211F1F"/>
        </w:rPr>
        <w:t>been made</w:t>
      </w:r>
      <w:r>
        <w:rPr>
          <w:color w:val="211F1F"/>
          <w:spacing w:val="-2"/>
        </w:rPr>
        <w:t xml:space="preserve"> </w:t>
      </w:r>
      <w:r>
        <w:rPr>
          <w:color w:val="211F1F"/>
        </w:rPr>
        <w:t>up to the date when the late payment is made at the prevailing rate of interest for commercial borrowing for each of the currencies in which payments are made.</w:t>
      </w:r>
    </w:p>
    <w:p w14:paraId="2D2904CE" w14:textId="77777777" w:rsidR="00BB77C0" w:rsidRDefault="00370BAA">
      <w:pPr>
        <w:pStyle w:val="ListParagraph"/>
        <w:numPr>
          <w:ilvl w:val="1"/>
          <w:numId w:val="23"/>
        </w:numPr>
        <w:tabs>
          <w:tab w:val="left" w:pos="1168"/>
          <w:tab w:val="left" w:pos="1171"/>
        </w:tabs>
        <w:spacing w:before="190" w:line="230" w:lineRule="auto"/>
        <w:ind w:right="842" w:hanging="360"/>
        <w:jc w:val="both"/>
        <w:rPr>
          <w:color w:val="211F1F"/>
        </w:rPr>
      </w:pPr>
      <w:r>
        <w:rPr>
          <w:color w:val="211F1F"/>
        </w:rPr>
        <w:t>If an amount certified is increased in a later certificate or as a result of an award by the Adjudicator or an Arbitrator, the Contractor shall be paid interest upon the delayed payment as set out in this clause. Interest shall be</w:t>
      </w:r>
      <w:r>
        <w:rPr>
          <w:color w:val="211F1F"/>
          <w:spacing w:val="-1"/>
        </w:rPr>
        <w:t xml:space="preserve"> </w:t>
      </w:r>
      <w:r>
        <w:rPr>
          <w:color w:val="211F1F"/>
        </w:rPr>
        <w:t>calculated from</w:t>
      </w:r>
      <w:r>
        <w:rPr>
          <w:color w:val="211F1F"/>
          <w:spacing w:val="-4"/>
        </w:rPr>
        <w:t xml:space="preserve"> </w:t>
      </w:r>
      <w:r>
        <w:rPr>
          <w:color w:val="211F1F"/>
        </w:rPr>
        <w:t>the date</w:t>
      </w:r>
      <w:r>
        <w:rPr>
          <w:color w:val="211F1F"/>
          <w:spacing w:val="-1"/>
        </w:rPr>
        <w:t xml:space="preserve"> </w:t>
      </w:r>
      <w:r>
        <w:rPr>
          <w:color w:val="211F1F"/>
        </w:rPr>
        <w:t>upon which the</w:t>
      </w:r>
      <w:r>
        <w:rPr>
          <w:color w:val="211F1F"/>
          <w:spacing w:val="-2"/>
        </w:rPr>
        <w:t xml:space="preserve"> </w:t>
      </w:r>
      <w:r>
        <w:rPr>
          <w:color w:val="211F1F"/>
        </w:rPr>
        <w:t>increased amount would have</w:t>
      </w:r>
      <w:r>
        <w:rPr>
          <w:color w:val="211F1F"/>
          <w:spacing w:val="-2"/>
        </w:rPr>
        <w:t xml:space="preserve"> </w:t>
      </w:r>
      <w:r>
        <w:rPr>
          <w:color w:val="211F1F"/>
        </w:rPr>
        <w:t>been certified in the</w:t>
      </w:r>
      <w:r>
        <w:rPr>
          <w:color w:val="211F1F"/>
          <w:spacing w:val="-2"/>
        </w:rPr>
        <w:t xml:space="preserve"> </w:t>
      </w:r>
      <w:r>
        <w:rPr>
          <w:color w:val="211F1F"/>
        </w:rPr>
        <w:t>absence of dispute.</w:t>
      </w:r>
    </w:p>
    <w:p w14:paraId="19AA11B4" w14:textId="77777777" w:rsidR="00BB77C0" w:rsidRDefault="00370BAA">
      <w:pPr>
        <w:pStyle w:val="ListParagraph"/>
        <w:numPr>
          <w:ilvl w:val="1"/>
          <w:numId w:val="23"/>
        </w:numPr>
        <w:tabs>
          <w:tab w:val="left" w:pos="1168"/>
          <w:tab w:val="left" w:pos="1171"/>
        </w:tabs>
        <w:spacing w:before="203" w:line="232" w:lineRule="auto"/>
        <w:ind w:right="931" w:hanging="360"/>
        <w:jc w:val="both"/>
        <w:rPr>
          <w:color w:val="211F1F"/>
        </w:rPr>
      </w:pPr>
      <w:r>
        <w:rPr>
          <w:color w:val="211F1F"/>
        </w:rPr>
        <w:t>Unless</w:t>
      </w:r>
      <w:r>
        <w:rPr>
          <w:color w:val="211F1F"/>
          <w:spacing w:val="-16"/>
        </w:rPr>
        <w:t xml:space="preserve"> </w:t>
      </w:r>
      <w:r>
        <w:rPr>
          <w:color w:val="211F1F"/>
        </w:rPr>
        <w:t>otherwise</w:t>
      </w:r>
      <w:r>
        <w:rPr>
          <w:color w:val="211F1F"/>
          <w:spacing w:val="-14"/>
        </w:rPr>
        <w:t xml:space="preserve"> </w:t>
      </w:r>
      <w:r>
        <w:rPr>
          <w:color w:val="211F1F"/>
        </w:rPr>
        <w:t>stated,</w:t>
      </w:r>
      <w:r>
        <w:rPr>
          <w:color w:val="211F1F"/>
          <w:spacing w:val="-14"/>
        </w:rPr>
        <w:t xml:space="preserve"> </w:t>
      </w:r>
      <w:r>
        <w:rPr>
          <w:color w:val="211F1F"/>
        </w:rPr>
        <w:t>all</w:t>
      </w:r>
      <w:r>
        <w:rPr>
          <w:color w:val="211F1F"/>
          <w:spacing w:val="-13"/>
        </w:rPr>
        <w:t xml:space="preserve"> </w:t>
      </w:r>
      <w:r>
        <w:rPr>
          <w:color w:val="211F1F"/>
        </w:rPr>
        <w:t>payments</w:t>
      </w:r>
      <w:r>
        <w:rPr>
          <w:color w:val="211F1F"/>
          <w:spacing w:val="-14"/>
        </w:rPr>
        <w:t xml:space="preserve"> </w:t>
      </w:r>
      <w:r>
        <w:rPr>
          <w:color w:val="211F1F"/>
        </w:rPr>
        <w:t>and</w:t>
      </w:r>
      <w:r>
        <w:rPr>
          <w:color w:val="211F1F"/>
          <w:spacing w:val="-14"/>
        </w:rPr>
        <w:t xml:space="preserve"> </w:t>
      </w:r>
      <w:r>
        <w:rPr>
          <w:color w:val="211F1F"/>
        </w:rPr>
        <w:t>deductions</w:t>
      </w:r>
      <w:r>
        <w:rPr>
          <w:color w:val="211F1F"/>
          <w:spacing w:val="-14"/>
        </w:rPr>
        <w:t xml:space="preserve"> </w:t>
      </w:r>
      <w:r>
        <w:rPr>
          <w:color w:val="211F1F"/>
        </w:rPr>
        <w:t>shall</w:t>
      </w:r>
      <w:r>
        <w:rPr>
          <w:color w:val="211F1F"/>
          <w:spacing w:val="-13"/>
        </w:rPr>
        <w:t xml:space="preserve"> </w:t>
      </w:r>
      <w:r>
        <w:rPr>
          <w:color w:val="211F1F"/>
        </w:rPr>
        <w:t>be</w:t>
      </w:r>
      <w:r>
        <w:rPr>
          <w:color w:val="211F1F"/>
          <w:spacing w:val="-14"/>
        </w:rPr>
        <w:t xml:space="preserve"> </w:t>
      </w:r>
      <w:r>
        <w:rPr>
          <w:color w:val="211F1F"/>
        </w:rPr>
        <w:t>paid</w:t>
      </w:r>
      <w:r>
        <w:rPr>
          <w:color w:val="211F1F"/>
          <w:spacing w:val="-14"/>
        </w:rPr>
        <w:t xml:space="preserve"> </w:t>
      </w:r>
      <w:r>
        <w:rPr>
          <w:color w:val="211F1F"/>
        </w:rPr>
        <w:t>or</w:t>
      </w:r>
      <w:r>
        <w:rPr>
          <w:color w:val="211F1F"/>
          <w:spacing w:val="-14"/>
        </w:rPr>
        <w:t xml:space="preserve"> </w:t>
      </w:r>
      <w:r>
        <w:rPr>
          <w:color w:val="211F1F"/>
        </w:rPr>
        <w:t>charged</w:t>
      </w:r>
      <w:r>
        <w:rPr>
          <w:color w:val="211F1F"/>
          <w:spacing w:val="-13"/>
        </w:rPr>
        <w:t xml:space="preserve"> </w:t>
      </w:r>
      <w:r>
        <w:rPr>
          <w:color w:val="211F1F"/>
        </w:rPr>
        <w:t>in</w:t>
      </w:r>
      <w:r>
        <w:rPr>
          <w:color w:val="211F1F"/>
          <w:spacing w:val="-14"/>
        </w:rPr>
        <w:t xml:space="preserve"> </w:t>
      </w:r>
      <w:r>
        <w:rPr>
          <w:color w:val="211F1F"/>
        </w:rPr>
        <w:t>the</w:t>
      </w:r>
      <w:r>
        <w:rPr>
          <w:color w:val="211F1F"/>
          <w:spacing w:val="-14"/>
        </w:rPr>
        <w:t xml:space="preserve"> </w:t>
      </w:r>
      <w:r>
        <w:rPr>
          <w:color w:val="211F1F"/>
        </w:rPr>
        <w:t>proportions</w:t>
      </w:r>
      <w:r>
        <w:rPr>
          <w:color w:val="211F1F"/>
          <w:spacing w:val="-14"/>
        </w:rPr>
        <w:t xml:space="preserve"> </w:t>
      </w:r>
      <w:r>
        <w:rPr>
          <w:color w:val="211F1F"/>
        </w:rPr>
        <w:t>of</w:t>
      </w:r>
      <w:r>
        <w:rPr>
          <w:color w:val="211F1F"/>
          <w:spacing w:val="-13"/>
        </w:rPr>
        <w:t xml:space="preserve"> </w:t>
      </w:r>
      <w:r>
        <w:rPr>
          <w:color w:val="211F1F"/>
        </w:rPr>
        <w:t>currencies comprising the Contract Price.</w:t>
      </w:r>
    </w:p>
    <w:p w14:paraId="2C75E914" w14:textId="77777777" w:rsidR="00BB77C0" w:rsidRDefault="00370BAA">
      <w:pPr>
        <w:pStyle w:val="ListParagraph"/>
        <w:numPr>
          <w:ilvl w:val="1"/>
          <w:numId w:val="23"/>
        </w:numPr>
        <w:tabs>
          <w:tab w:val="left" w:pos="1168"/>
          <w:tab w:val="left" w:pos="1171"/>
        </w:tabs>
        <w:spacing w:before="191" w:line="232" w:lineRule="auto"/>
        <w:ind w:right="838" w:hanging="360"/>
        <w:jc w:val="both"/>
        <w:rPr>
          <w:color w:val="211F1F"/>
        </w:rPr>
      </w:pPr>
      <w:r>
        <w:rPr>
          <w:color w:val="211F1F"/>
        </w:rPr>
        <w:t>Items</w:t>
      </w:r>
      <w:r>
        <w:rPr>
          <w:color w:val="211F1F"/>
          <w:spacing w:val="-5"/>
        </w:rPr>
        <w:t xml:space="preserve"> </w:t>
      </w:r>
      <w:r>
        <w:rPr>
          <w:color w:val="211F1F"/>
        </w:rPr>
        <w:t>of</w:t>
      </w:r>
      <w:r>
        <w:rPr>
          <w:color w:val="211F1F"/>
          <w:spacing w:val="-7"/>
        </w:rPr>
        <w:t xml:space="preserve"> </w:t>
      </w:r>
      <w:r>
        <w:rPr>
          <w:color w:val="211F1F"/>
        </w:rPr>
        <w:t>the</w:t>
      </w:r>
      <w:r>
        <w:rPr>
          <w:color w:val="211F1F"/>
          <w:spacing w:val="-12"/>
        </w:rPr>
        <w:t xml:space="preserve"> </w:t>
      </w:r>
      <w:r>
        <w:rPr>
          <w:color w:val="211F1F"/>
        </w:rPr>
        <w:t>Works</w:t>
      </w:r>
      <w:r>
        <w:rPr>
          <w:color w:val="211F1F"/>
          <w:spacing w:val="-4"/>
        </w:rPr>
        <w:t xml:space="preserve"> </w:t>
      </w:r>
      <w:r>
        <w:rPr>
          <w:color w:val="211F1F"/>
        </w:rPr>
        <w:t>for</w:t>
      </w:r>
      <w:r>
        <w:rPr>
          <w:color w:val="211F1F"/>
          <w:spacing w:val="-2"/>
        </w:rPr>
        <w:t xml:space="preserve"> </w:t>
      </w:r>
      <w:r>
        <w:rPr>
          <w:color w:val="211F1F"/>
        </w:rPr>
        <w:t>which</w:t>
      </w:r>
      <w:r>
        <w:rPr>
          <w:color w:val="211F1F"/>
          <w:spacing w:val="-10"/>
        </w:rPr>
        <w:t xml:space="preserve"> </w:t>
      </w:r>
      <w:r>
        <w:rPr>
          <w:color w:val="211F1F"/>
        </w:rPr>
        <w:t>no</w:t>
      </w:r>
      <w:r>
        <w:rPr>
          <w:color w:val="211F1F"/>
          <w:spacing w:val="-10"/>
        </w:rPr>
        <w:t xml:space="preserve"> </w:t>
      </w:r>
      <w:r>
        <w:rPr>
          <w:color w:val="211F1F"/>
        </w:rPr>
        <w:t>rate</w:t>
      </w:r>
      <w:r>
        <w:rPr>
          <w:color w:val="211F1F"/>
          <w:spacing w:val="-12"/>
        </w:rPr>
        <w:t xml:space="preserve"> </w:t>
      </w:r>
      <w:r>
        <w:rPr>
          <w:color w:val="211F1F"/>
        </w:rPr>
        <w:t>or</w:t>
      </w:r>
      <w:r>
        <w:rPr>
          <w:color w:val="211F1F"/>
          <w:spacing w:val="-2"/>
        </w:rPr>
        <w:t xml:space="preserve"> </w:t>
      </w:r>
      <w:r>
        <w:rPr>
          <w:color w:val="211F1F"/>
        </w:rPr>
        <w:t>price</w:t>
      </w:r>
      <w:r>
        <w:rPr>
          <w:color w:val="211F1F"/>
          <w:spacing w:val="-12"/>
        </w:rPr>
        <w:t xml:space="preserve"> </w:t>
      </w:r>
      <w:r>
        <w:rPr>
          <w:color w:val="211F1F"/>
        </w:rPr>
        <w:t>has</w:t>
      </w:r>
      <w:r>
        <w:rPr>
          <w:color w:val="211F1F"/>
          <w:spacing w:val="-5"/>
        </w:rPr>
        <w:t xml:space="preserve"> </w:t>
      </w:r>
      <w:r>
        <w:rPr>
          <w:color w:val="211F1F"/>
        </w:rPr>
        <w:t>been</w:t>
      </w:r>
      <w:r>
        <w:rPr>
          <w:color w:val="211F1F"/>
          <w:spacing w:val="-6"/>
        </w:rPr>
        <w:t xml:space="preserve"> </w:t>
      </w:r>
      <w:r>
        <w:rPr>
          <w:color w:val="211F1F"/>
        </w:rPr>
        <w:t>entered</w:t>
      </w:r>
      <w:r>
        <w:rPr>
          <w:color w:val="211F1F"/>
          <w:spacing w:val="-5"/>
        </w:rPr>
        <w:t xml:space="preserve"> </w:t>
      </w:r>
      <w:r>
        <w:rPr>
          <w:color w:val="211F1F"/>
        </w:rPr>
        <w:t>in</w:t>
      </w:r>
      <w:r>
        <w:rPr>
          <w:color w:val="211F1F"/>
          <w:spacing w:val="-10"/>
        </w:rPr>
        <w:t xml:space="preserve"> </w:t>
      </w:r>
      <w:r>
        <w:rPr>
          <w:color w:val="211F1F"/>
        </w:rPr>
        <w:t>shall</w:t>
      </w:r>
      <w:r>
        <w:rPr>
          <w:color w:val="211F1F"/>
          <w:spacing w:val="-4"/>
        </w:rPr>
        <w:t xml:space="preserve"> </w:t>
      </w:r>
      <w:r>
        <w:rPr>
          <w:color w:val="211F1F"/>
        </w:rPr>
        <w:t>not be</w:t>
      </w:r>
      <w:r>
        <w:rPr>
          <w:color w:val="211F1F"/>
          <w:spacing w:val="-12"/>
        </w:rPr>
        <w:t xml:space="preserve"> </w:t>
      </w:r>
      <w:r>
        <w:rPr>
          <w:color w:val="211F1F"/>
        </w:rPr>
        <w:t>paid</w:t>
      </w:r>
      <w:r>
        <w:rPr>
          <w:color w:val="211F1F"/>
          <w:spacing w:val="-10"/>
        </w:rPr>
        <w:t xml:space="preserve"> </w:t>
      </w:r>
      <w:r>
        <w:rPr>
          <w:color w:val="211F1F"/>
        </w:rPr>
        <w:t>for</w:t>
      </w:r>
      <w:r>
        <w:rPr>
          <w:color w:val="211F1F"/>
          <w:spacing w:val="-2"/>
        </w:rPr>
        <w:t xml:space="preserve"> </w:t>
      </w:r>
      <w:r>
        <w:rPr>
          <w:color w:val="211F1F"/>
        </w:rPr>
        <w:t>by</w:t>
      </w:r>
      <w:r>
        <w:rPr>
          <w:color w:val="211F1F"/>
          <w:spacing w:val="-10"/>
        </w:rPr>
        <w:t xml:space="preserve"> </w:t>
      </w:r>
      <w:r>
        <w:rPr>
          <w:color w:val="211F1F"/>
        </w:rPr>
        <w:t>the</w:t>
      </w:r>
      <w:r>
        <w:rPr>
          <w:color w:val="211F1F"/>
          <w:spacing w:val="-12"/>
        </w:rPr>
        <w:t xml:space="preserve"> </w:t>
      </w:r>
      <w:r>
        <w:rPr>
          <w:color w:val="211F1F"/>
        </w:rPr>
        <w:t>Procuring</w:t>
      </w:r>
      <w:r>
        <w:rPr>
          <w:color w:val="211F1F"/>
          <w:spacing w:val="-9"/>
        </w:rPr>
        <w:t xml:space="preserve"> </w:t>
      </w:r>
      <w:r>
        <w:rPr>
          <w:color w:val="211F1F"/>
        </w:rPr>
        <w:t>Entity and shall be deemed covered by other rates and prices in the Contract.</w:t>
      </w:r>
    </w:p>
    <w:p w14:paraId="427B7111" w14:textId="77777777" w:rsidR="00BB77C0" w:rsidRDefault="00BB77C0">
      <w:pPr>
        <w:pStyle w:val="BodyText"/>
      </w:pPr>
    </w:p>
    <w:p w14:paraId="14AD79FC" w14:textId="77777777" w:rsidR="00BB77C0" w:rsidRDefault="00BB77C0">
      <w:pPr>
        <w:pStyle w:val="BodyText"/>
        <w:spacing w:before="106"/>
      </w:pPr>
    </w:p>
    <w:p w14:paraId="5E2D8619" w14:textId="77777777" w:rsidR="00BB77C0" w:rsidRDefault="00370BAA">
      <w:pPr>
        <w:pStyle w:val="Heading7"/>
        <w:numPr>
          <w:ilvl w:val="0"/>
          <w:numId w:val="23"/>
        </w:numPr>
        <w:tabs>
          <w:tab w:val="left" w:pos="1075"/>
        </w:tabs>
        <w:ind w:left="1075" w:hanging="355"/>
        <w:jc w:val="left"/>
      </w:pPr>
      <w:bookmarkStart w:id="229" w:name="42._Compensation_Events"/>
      <w:bookmarkEnd w:id="229"/>
      <w:r>
        <w:rPr>
          <w:color w:val="211F1F"/>
          <w:spacing w:val="-4"/>
        </w:rPr>
        <w:t>Compensation</w:t>
      </w:r>
      <w:r>
        <w:rPr>
          <w:color w:val="211F1F"/>
          <w:spacing w:val="8"/>
        </w:rPr>
        <w:t xml:space="preserve"> </w:t>
      </w:r>
      <w:r>
        <w:rPr>
          <w:color w:val="211F1F"/>
          <w:spacing w:val="-2"/>
        </w:rPr>
        <w:t>Events</w:t>
      </w:r>
    </w:p>
    <w:p w14:paraId="137E46D9" w14:textId="77777777" w:rsidR="00BB77C0" w:rsidRDefault="00370BAA">
      <w:pPr>
        <w:pStyle w:val="ListParagraph"/>
        <w:numPr>
          <w:ilvl w:val="1"/>
          <w:numId w:val="23"/>
        </w:numPr>
        <w:tabs>
          <w:tab w:val="left" w:pos="1168"/>
        </w:tabs>
        <w:spacing w:before="184"/>
        <w:ind w:left="1168" w:hanging="357"/>
        <w:rPr>
          <w:color w:val="211F1F"/>
        </w:rPr>
      </w:pPr>
      <w:r>
        <w:rPr>
          <w:color w:val="211F1F"/>
          <w:spacing w:val="-4"/>
        </w:rPr>
        <w:t>The</w:t>
      </w:r>
      <w:r>
        <w:rPr>
          <w:color w:val="211F1F"/>
          <w:spacing w:val="-7"/>
        </w:rPr>
        <w:t xml:space="preserve"> </w:t>
      </w:r>
      <w:r>
        <w:rPr>
          <w:color w:val="211F1F"/>
          <w:spacing w:val="-4"/>
        </w:rPr>
        <w:t>following</w:t>
      </w:r>
      <w:r>
        <w:rPr>
          <w:color w:val="211F1F"/>
          <w:spacing w:val="-5"/>
        </w:rPr>
        <w:t xml:space="preserve"> </w:t>
      </w:r>
      <w:r>
        <w:rPr>
          <w:color w:val="211F1F"/>
          <w:spacing w:val="-4"/>
        </w:rPr>
        <w:t>shall be</w:t>
      </w:r>
      <w:r>
        <w:rPr>
          <w:color w:val="211F1F"/>
          <w:spacing w:val="-14"/>
        </w:rPr>
        <w:t xml:space="preserve"> </w:t>
      </w:r>
      <w:r>
        <w:rPr>
          <w:color w:val="211F1F"/>
          <w:spacing w:val="-4"/>
        </w:rPr>
        <w:t>Compensation</w:t>
      </w:r>
      <w:r>
        <w:rPr>
          <w:color w:val="211F1F"/>
          <w:spacing w:val="-3"/>
        </w:rPr>
        <w:t xml:space="preserve"> </w:t>
      </w:r>
      <w:r>
        <w:rPr>
          <w:color w:val="211F1F"/>
          <w:spacing w:val="-4"/>
        </w:rPr>
        <w:t>Events:</w:t>
      </w:r>
    </w:p>
    <w:p w14:paraId="6E70BD88" w14:textId="77777777" w:rsidR="00BB77C0" w:rsidRDefault="00370BAA">
      <w:pPr>
        <w:pStyle w:val="ListParagraph"/>
        <w:numPr>
          <w:ilvl w:val="0"/>
          <w:numId w:val="22"/>
        </w:numPr>
        <w:tabs>
          <w:tab w:val="left" w:pos="1618"/>
          <w:tab w:val="left" w:pos="1623"/>
        </w:tabs>
        <w:spacing w:before="123" w:line="232" w:lineRule="auto"/>
        <w:ind w:left="1623" w:right="935" w:hanging="572"/>
      </w:pPr>
      <w:r>
        <w:rPr>
          <w:color w:val="211F1F"/>
          <w:spacing w:val="-2"/>
        </w:rPr>
        <w:t>The</w:t>
      </w:r>
      <w:r>
        <w:rPr>
          <w:color w:val="211F1F"/>
          <w:spacing w:val="-18"/>
        </w:rPr>
        <w:t xml:space="preserve"> </w:t>
      </w:r>
      <w:r>
        <w:rPr>
          <w:color w:val="211F1F"/>
          <w:spacing w:val="-2"/>
        </w:rPr>
        <w:t>Procuring</w:t>
      </w:r>
      <w:r>
        <w:rPr>
          <w:color w:val="211F1F"/>
          <w:spacing w:val="-15"/>
        </w:rPr>
        <w:t xml:space="preserve"> </w:t>
      </w:r>
      <w:r>
        <w:rPr>
          <w:color w:val="211F1F"/>
          <w:spacing w:val="-2"/>
        </w:rPr>
        <w:t>Entity</w:t>
      </w:r>
      <w:r>
        <w:rPr>
          <w:color w:val="211F1F"/>
          <w:spacing w:val="-16"/>
        </w:rPr>
        <w:t xml:space="preserve"> </w:t>
      </w:r>
      <w:r>
        <w:rPr>
          <w:color w:val="211F1F"/>
          <w:spacing w:val="-2"/>
        </w:rPr>
        <w:t>does</w:t>
      </w:r>
      <w:r>
        <w:rPr>
          <w:color w:val="211F1F"/>
          <w:spacing w:val="-10"/>
        </w:rPr>
        <w:t xml:space="preserve"> </w:t>
      </w:r>
      <w:r>
        <w:rPr>
          <w:color w:val="211F1F"/>
          <w:spacing w:val="-2"/>
        </w:rPr>
        <w:t>not</w:t>
      </w:r>
      <w:r>
        <w:rPr>
          <w:color w:val="211F1F"/>
          <w:spacing w:val="-5"/>
        </w:rPr>
        <w:t xml:space="preserve"> </w:t>
      </w:r>
      <w:r>
        <w:rPr>
          <w:color w:val="211F1F"/>
          <w:spacing w:val="-2"/>
        </w:rPr>
        <w:t>give</w:t>
      </w:r>
      <w:r>
        <w:rPr>
          <w:color w:val="211F1F"/>
          <w:spacing w:val="-18"/>
        </w:rPr>
        <w:t xml:space="preserve"> </w:t>
      </w:r>
      <w:r>
        <w:rPr>
          <w:color w:val="211F1F"/>
          <w:spacing w:val="-2"/>
        </w:rPr>
        <w:t>access</w:t>
      </w:r>
      <w:r>
        <w:rPr>
          <w:color w:val="211F1F"/>
          <w:spacing w:val="-15"/>
        </w:rPr>
        <w:t xml:space="preserve"> </w:t>
      </w:r>
      <w:r>
        <w:rPr>
          <w:color w:val="211F1F"/>
          <w:spacing w:val="-2"/>
        </w:rPr>
        <w:t>to</w:t>
      </w:r>
      <w:r>
        <w:rPr>
          <w:color w:val="211F1F"/>
          <w:spacing w:val="-16"/>
        </w:rPr>
        <w:t xml:space="preserve"> </w:t>
      </w:r>
      <w:r>
        <w:rPr>
          <w:color w:val="211F1F"/>
          <w:spacing w:val="-2"/>
        </w:rPr>
        <w:t>a</w:t>
      </w:r>
      <w:r>
        <w:rPr>
          <w:color w:val="211F1F"/>
          <w:spacing w:val="-18"/>
        </w:rPr>
        <w:t xml:space="preserve"> </w:t>
      </w:r>
      <w:r>
        <w:rPr>
          <w:color w:val="211F1F"/>
          <w:spacing w:val="-2"/>
        </w:rPr>
        <w:t>part</w:t>
      </w:r>
      <w:r>
        <w:rPr>
          <w:color w:val="211F1F"/>
          <w:spacing w:val="-10"/>
        </w:rPr>
        <w:t xml:space="preserve"> </w:t>
      </w:r>
      <w:r>
        <w:rPr>
          <w:color w:val="211F1F"/>
          <w:spacing w:val="-2"/>
        </w:rPr>
        <w:t>of</w:t>
      </w:r>
      <w:r>
        <w:rPr>
          <w:color w:val="211F1F"/>
          <w:spacing w:val="-18"/>
        </w:rPr>
        <w:t xml:space="preserve"> </w:t>
      </w:r>
      <w:r>
        <w:rPr>
          <w:color w:val="211F1F"/>
          <w:spacing w:val="-2"/>
        </w:rPr>
        <w:t>the</w:t>
      </w:r>
      <w:r>
        <w:rPr>
          <w:color w:val="211F1F"/>
          <w:spacing w:val="-17"/>
        </w:rPr>
        <w:t xml:space="preserve"> </w:t>
      </w:r>
      <w:r>
        <w:rPr>
          <w:color w:val="211F1F"/>
          <w:spacing w:val="-2"/>
        </w:rPr>
        <w:t>Site</w:t>
      </w:r>
      <w:r>
        <w:rPr>
          <w:color w:val="211F1F"/>
          <w:spacing w:val="-22"/>
        </w:rPr>
        <w:t xml:space="preserve"> </w:t>
      </w:r>
      <w:r>
        <w:rPr>
          <w:color w:val="211F1F"/>
          <w:spacing w:val="-2"/>
        </w:rPr>
        <w:t>by</w:t>
      </w:r>
      <w:r>
        <w:rPr>
          <w:color w:val="211F1F"/>
          <w:spacing w:val="-21"/>
        </w:rPr>
        <w:t xml:space="preserve"> </w:t>
      </w:r>
      <w:r>
        <w:rPr>
          <w:color w:val="211F1F"/>
          <w:spacing w:val="-2"/>
        </w:rPr>
        <w:t>the</w:t>
      </w:r>
      <w:r>
        <w:rPr>
          <w:color w:val="211F1F"/>
          <w:spacing w:val="-18"/>
        </w:rPr>
        <w:t xml:space="preserve"> </w:t>
      </w:r>
      <w:r>
        <w:rPr>
          <w:color w:val="211F1F"/>
          <w:spacing w:val="-2"/>
        </w:rPr>
        <w:t>Site</w:t>
      </w:r>
      <w:r>
        <w:rPr>
          <w:color w:val="211F1F"/>
          <w:spacing w:val="-17"/>
        </w:rPr>
        <w:t xml:space="preserve"> </w:t>
      </w:r>
      <w:r>
        <w:rPr>
          <w:color w:val="211F1F"/>
          <w:spacing w:val="-2"/>
        </w:rPr>
        <w:t>Possession</w:t>
      </w:r>
      <w:r>
        <w:rPr>
          <w:color w:val="211F1F"/>
          <w:spacing w:val="-20"/>
        </w:rPr>
        <w:t xml:space="preserve"> </w:t>
      </w:r>
      <w:r>
        <w:rPr>
          <w:color w:val="211F1F"/>
          <w:spacing w:val="-2"/>
        </w:rPr>
        <w:t>Date</w:t>
      </w:r>
      <w:r>
        <w:rPr>
          <w:color w:val="211F1F"/>
          <w:spacing w:val="-23"/>
        </w:rPr>
        <w:t xml:space="preserve"> </w:t>
      </w:r>
      <w:r>
        <w:rPr>
          <w:color w:val="211F1F"/>
          <w:spacing w:val="-2"/>
        </w:rPr>
        <w:t>pursuant</w:t>
      </w:r>
      <w:r>
        <w:rPr>
          <w:color w:val="211F1F"/>
          <w:spacing w:val="-14"/>
        </w:rPr>
        <w:t xml:space="preserve"> </w:t>
      </w:r>
      <w:r>
        <w:rPr>
          <w:color w:val="211F1F"/>
          <w:spacing w:val="-2"/>
        </w:rPr>
        <w:t>to</w:t>
      </w:r>
      <w:r>
        <w:rPr>
          <w:color w:val="211F1F"/>
          <w:spacing w:val="-11"/>
        </w:rPr>
        <w:t xml:space="preserve"> </w:t>
      </w:r>
      <w:r>
        <w:rPr>
          <w:color w:val="211F1F"/>
          <w:spacing w:val="-2"/>
        </w:rPr>
        <w:t xml:space="preserve">GCC </w:t>
      </w:r>
      <w:r>
        <w:rPr>
          <w:color w:val="211F1F"/>
        </w:rPr>
        <w:t>Sub-Clause</w:t>
      </w:r>
      <w:r>
        <w:rPr>
          <w:color w:val="211F1F"/>
          <w:spacing w:val="-12"/>
        </w:rPr>
        <w:t xml:space="preserve"> </w:t>
      </w:r>
      <w:r>
        <w:rPr>
          <w:color w:val="211F1F"/>
        </w:rPr>
        <w:t>20.1.</w:t>
      </w:r>
    </w:p>
    <w:p w14:paraId="76240E47" w14:textId="77777777" w:rsidR="00BB77C0" w:rsidRDefault="00370BAA">
      <w:pPr>
        <w:pStyle w:val="ListParagraph"/>
        <w:numPr>
          <w:ilvl w:val="0"/>
          <w:numId w:val="22"/>
        </w:numPr>
        <w:tabs>
          <w:tab w:val="left" w:pos="1618"/>
          <w:tab w:val="left" w:pos="1623"/>
        </w:tabs>
        <w:spacing w:before="86" w:line="237" w:lineRule="auto"/>
        <w:ind w:left="1623" w:right="1052" w:hanging="572"/>
      </w:pPr>
      <w:r>
        <w:rPr>
          <w:color w:val="211F1F"/>
        </w:rPr>
        <w:t>The</w:t>
      </w:r>
      <w:r>
        <w:rPr>
          <w:color w:val="211F1F"/>
          <w:spacing w:val="-12"/>
        </w:rPr>
        <w:t xml:space="preserve"> </w:t>
      </w:r>
      <w:r>
        <w:rPr>
          <w:color w:val="211F1F"/>
        </w:rPr>
        <w:t>Procuring</w:t>
      </w:r>
      <w:r>
        <w:rPr>
          <w:color w:val="211F1F"/>
          <w:spacing w:val="-9"/>
        </w:rPr>
        <w:t xml:space="preserve"> </w:t>
      </w:r>
      <w:r>
        <w:rPr>
          <w:color w:val="211F1F"/>
        </w:rPr>
        <w:t>Entity</w:t>
      </w:r>
      <w:r>
        <w:rPr>
          <w:color w:val="211F1F"/>
          <w:spacing w:val="-5"/>
        </w:rPr>
        <w:t xml:space="preserve"> </w:t>
      </w:r>
      <w:r>
        <w:rPr>
          <w:color w:val="211F1F"/>
        </w:rPr>
        <w:t>modifies</w:t>
      </w:r>
      <w:r>
        <w:rPr>
          <w:color w:val="211F1F"/>
          <w:spacing w:val="-4"/>
        </w:rPr>
        <w:t xml:space="preserve"> </w:t>
      </w:r>
      <w:r>
        <w:rPr>
          <w:color w:val="211F1F"/>
        </w:rPr>
        <w:t>the</w:t>
      </w:r>
      <w:r>
        <w:rPr>
          <w:color w:val="211F1F"/>
          <w:spacing w:val="-12"/>
        </w:rPr>
        <w:t xml:space="preserve"> </w:t>
      </w:r>
      <w:r>
        <w:rPr>
          <w:color w:val="211F1F"/>
        </w:rPr>
        <w:t>Schedule</w:t>
      </w:r>
      <w:r>
        <w:rPr>
          <w:color w:val="211F1F"/>
          <w:spacing w:val="-7"/>
        </w:rPr>
        <w:t xml:space="preserve"> </w:t>
      </w:r>
      <w:r>
        <w:rPr>
          <w:color w:val="211F1F"/>
        </w:rPr>
        <w:t>of</w:t>
      </w:r>
      <w:r>
        <w:rPr>
          <w:color w:val="211F1F"/>
          <w:spacing w:val="-7"/>
        </w:rPr>
        <w:t xml:space="preserve"> </w:t>
      </w:r>
      <w:r>
        <w:rPr>
          <w:color w:val="211F1F"/>
        </w:rPr>
        <w:t>Other</w:t>
      </w:r>
      <w:r>
        <w:rPr>
          <w:color w:val="211F1F"/>
          <w:spacing w:val="-2"/>
        </w:rPr>
        <w:t xml:space="preserve"> </w:t>
      </w:r>
      <w:r>
        <w:rPr>
          <w:color w:val="211F1F"/>
        </w:rPr>
        <w:t>Contractors</w:t>
      </w:r>
      <w:r>
        <w:rPr>
          <w:color w:val="211F1F"/>
          <w:spacing w:val="-4"/>
        </w:rPr>
        <w:t xml:space="preserve"> </w:t>
      </w:r>
      <w:r>
        <w:rPr>
          <w:color w:val="211F1F"/>
        </w:rPr>
        <w:t>in</w:t>
      </w:r>
      <w:r>
        <w:rPr>
          <w:color w:val="211F1F"/>
          <w:spacing w:val="-10"/>
        </w:rPr>
        <w:t xml:space="preserve"> </w:t>
      </w:r>
      <w:r>
        <w:rPr>
          <w:color w:val="211F1F"/>
        </w:rPr>
        <w:t>a</w:t>
      </w:r>
      <w:r>
        <w:rPr>
          <w:color w:val="211F1F"/>
          <w:spacing w:val="-3"/>
        </w:rPr>
        <w:t xml:space="preserve"> </w:t>
      </w:r>
      <w:r>
        <w:rPr>
          <w:color w:val="211F1F"/>
        </w:rPr>
        <w:t>way</w:t>
      </w:r>
      <w:r>
        <w:rPr>
          <w:color w:val="211F1F"/>
          <w:spacing w:val="-10"/>
        </w:rPr>
        <w:t xml:space="preserve"> </w:t>
      </w:r>
      <w:r>
        <w:rPr>
          <w:color w:val="211F1F"/>
        </w:rPr>
        <w:t>that</w:t>
      </w:r>
      <w:r>
        <w:rPr>
          <w:color w:val="211F1F"/>
          <w:spacing w:val="-9"/>
        </w:rPr>
        <w:t xml:space="preserve"> </w:t>
      </w:r>
      <w:r>
        <w:rPr>
          <w:color w:val="211F1F"/>
        </w:rPr>
        <w:t>affects</w:t>
      </w:r>
      <w:r>
        <w:rPr>
          <w:color w:val="211F1F"/>
          <w:spacing w:val="-4"/>
        </w:rPr>
        <w:t xml:space="preserve"> </w:t>
      </w:r>
      <w:r>
        <w:rPr>
          <w:color w:val="211F1F"/>
        </w:rPr>
        <w:t>the</w:t>
      </w:r>
      <w:r>
        <w:rPr>
          <w:color w:val="211F1F"/>
          <w:spacing w:val="-7"/>
        </w:rPr>
        <w:t xml:space="preserve"> </w:t>
      </w:r>
      <w:r>
        <w:rPr>
          <w:color w:val="211F1F"/>
        </w:rPr>
        <w:t>work</w:t>
      </w:r>
      <w:r>
        <w:rPr>
          <w:color w:val="211F1F"/>
          <w:spacing w:val="-5"/>
        </w:rPr>
        <w:t xml:space="preserve"> </w:t>
      </w:r>
      <w:r>
        <w:rPr>
          <w:color w:val="211F1F"/>
        </w:rPr>
        <w:t>of</w:t>
      </w:r>
      <w:r>
        <w:rPr>
          <w:color w:val="211F1F"/>
          <w:spacing w:val="-7"/>
        </w:rPr>
        <w:t xml:space="preserve"> </w:t>
      </w:r>
      <w:r>
        <w:rPr>
          <w:color w:val="211F1F"/>
        </w:rPr>
        <w:t>the Contractor under the Contract.</w:t>
      </w:r>
    </w:p>
    <w:p w14:paraId="6044AE01" w14:textId="77777777" w:rsidR="00BB77C0" w:rsidRDefault="00370BAA">
      <w:pPr>
        <w:pStyle w:val="ListParagraph"/>
        <w:numPr>
          <w:ilvl w:val="0"/>
          <w:numId w:val="22"/>
        </w:numPr>
        <w:tabs>
          <w:tab w:val="left" w:pos="1618"/>
          <w:tab w:val="left" w:pos="1623"/>
        </w:tabs>
        <w:spacing w:before="84" w:line="232" w:lineRule="auto"/>
        <w:ind w:left="1623" w:right="905" w:hanging="572"/>
      </w:pPr>
      <w:r>
        <w:rPr>
          <w:color w:val="211F1F"/>
        </w:rPr>
        <w:t>The</w:t>
      </w:r>
      <w:r>
        <w:rPr>
          <w:color w:val="211F1F"/>
          <w:spacing w:val="-14"/>
        </w:rPr>
        <w:t xml:space="preserve"> </w:t>
      </w:r>
      <w:r>
        <w:rPr>
          <w:color w:val="211F1F"/>
        </w:rPr>
        <w:t>Project</w:t>
      </w:r>
      <w:r>
        <w:rPr>
          <w:color w:val="211F1F"/>
          <w:spacing w:val="-6"/>
        </w:rPr>
        <w:t xml:space="preserve"> </w:t>
      </w:r>
      <w:r>
        <w:rPr>
          <w:color w:val="211F1F"/>
        </w:rPr>
        <w:t>Manager</w:t>
      </w:r>
      <w:r>
        <w:rPr>
          <w:color w:val="211F1F"/>
          <w:spacing w:val="-1"/>
        </w:rPr>
        <w:t xml:space="preserve"> </w:t>
      </w:r>
      <w:r>
        <w:rPr>
          <w:color w:val="211F1F"/>
        </w:rPr>
        <w:t>orders</w:t>
      </w:r>
      <w:r>
        <w:rPr>
          <w:color w:val="211F1F"/>
          <w:spacing w:val="-7"/>
        </w:rPr>
        <w:t xml:space="preserve"> </w:t>
      </w:r>
      <w:r>
        <w:rPr>
          <w:color w:val="211F1F"/>
        </w:rPr>
        <w:t>a</w:t>
      </w:r>
      <w:r>
        <w:rPr>
          <w:color w:val="211F1F"/>
          <w:spacing w:val="-6"/>
        </w:rPr>
        <w:t xml:space="preserve"> </w:t>
      </w:r>
      <w:r>
        <w:rPr>
          <w:color w:val="211F1F"/>
        </w:rPr>
        <w:t>delay</w:t>
      </w:r>
      <w:r>
        <w:rPr>
          <w:color w:val="211F1F"/>
          <w:spacing w:val="-13"/>
        </w:rPr>
        <w:t xml:space="preserve"> </w:t>
      </w:r>
      <w:r>
        <w:rPr>
          <w:color w:val="211F1F"/>
        </w:rPr>
        <w:t>or</w:t>
      </w:r>
      <w:r>
        <w:rPr>
          <w:color w:val="211F1F"/>
          <w:spacing w:val="-1"/>
        </w:rPr>
        <w:t xml:space="preserve"> </w:t>
      </w:r>
      <w:r>
        <w:rPr>
          <w:color w:val="211F1F"/>
        </w:rPr>
        <w:t>does</w:t>
      </w:r>
      <w:r>
        <w:rPr>
          <w:color w:val="211F1F"/>
          <w:spacing w:val="-4"/>
        </w:rPr>
        <w:t xml:space="preserve"> </w:t>
      </w:r>
      <w:r>
        <w:rPr>
          <w:color w:val="211F1F"/>
        </w:rPr>
        <w:t>not</w:t>
      </w:r>
      <w:r>
        <w:rPr>
          <w:color w:val="211F1F"/>
          <w:spacing w:val="-8"/>
        </w:rPr>
        <w:t xml:space="preserve"> </w:t>
      </w:r>
      <w:r>
        <w:rPr>
          <w:color w:val="211F1F"/>
        </w:rPr>
        <w:t>issue</w:t>
      </w:r>
      <w:r>
        <w:rPr>
          <w:color w:val="211F1F"/>
          <w:spacing w:val="-14"/>
        </w:rPr>
        <w:t xml:space="preserve"> </w:t>
      </w:r>
      <w:r>
        <w:rPr>
          <w:color w:val="211F1F"/>
        </w:rPr>
        <w:t>Drawings,</w:t>
      </w:r>
      <w:r>
        <w:rPr>
          <w:color w:val="211F1F"/>
          <w:spacing w:val="-5"/>
        </w:rPr>
        <w:t xml:space="preserve"> </w:t>
      </w:r>
      <w:r>
        <w:rPr>
          <w:color w:val="211F1F"/>
        </w:rPr>
        <w:t>Specifications,</w:t>
      </w:r>
      <w:r>
        <w:rPr>
          <w:color w:val="211F1F"/>
          <w:spacing w:val="-5"/>
        </w:rPr>
        <w:t xml:space="preserve"> </w:t>
      </w:r>
      <w:r>
        <w:rPr>
          <w:color w:val="211F1F"/>
        </w:rPr>
        <w:t>or</w:t>
      </w:r>
      <w:r>
        <w:rPr>
          <w:color w:val="211F1F"/>
          <w:spacing w:val="-2"/>
        </w:rPr>
        <w:t xml:space="preserve"> </w:t>
      </w:r>
      <w:r>
        <w:rPr>
          <w:color w:val="211F1F"/>
        </w:rPr>
        <w:t>instructions</w:t>
      </w:r>
      <w:r>
        <w:rPr>
          <w:color w:val="211F1F"/>
          <w:spacing w:val="-25"/>
        </w:rPr>
        <w:t xml:space="preserve"> </w:t>
      </w:r>
      <w:r>
        <w:rPr>
          <w:color w:val="211F1F"/>
        </w:rPr>
        <w:t>required for execution of the Works on time.</w:t>
      </w:r>
    </w:p>
    <w:p w14:paraId="45D45213" w14:textId="77777777" w:rsidR="00BB77C0" w:rsidRDefault="00370BAA">
      <w:pPr>
        <w:pStyle w:val="ListParagraph"/>
        <w:numPr>
          <w:ilvl w:val="0"/>
          <w:numId w:val="22"/>
        </w:numPr>
        <w:tabs>
          <w:tab w:val="left" w:pos="1618"/>
          <w:tab w:val="left" w:pos="1623"/>
        </w:tabs>
        <w:spacing w:before="99" w:line="228" w:lineRule="auto"/>
        <w:ind w:left="1623" w:right="877" w:hanging="572"/>
      </w:pPr>
      <w:r>
        <w:rPr>
          <w:color w:val="211F1F"/>
        </w:rPr>
        <w:t>The</w:t>
      </w:r>
      <w:r>
        <w:rPr>
          <w:color w:val="211F1F"/>
          <w:spacing w:val="-19"/>
        </w:rPr>
        <w:t xml:space="preserve"> </w:t>
      </w:r>
      <w:r>
        <w:rPr>
          <w:color w:val="211F1F"/>
        </w:rPr>
        <w:t>Project</w:t>
      </w:r>
      <w:r>
        <w:rPr>
          <w:color w:val="211F1F"/>
          <w:spacing w:val="-14"/>
        </w:rPr>
        <w:t xml:space="preserve"> </w:t>
      </w:r>
      <w:r>
        <w:rPr>
          <w:color w:val="211F1F"/>
        </w:rPr>
        <w:t>Manager</w:t>
      </w:r>
      <w:r>
        <w:rPr>
          <w:color w:val="211F1F"/>
          <w:spacing w:val="-14"/>
        </w:rPr>
        <w:t xml:space="preserve"> </w:t>
      </w:r>
      <w:r>
        <w:rPr>
          <w:color w:val="211F1F"/>
        </w:rPr>
        <w:t>instructs</w:t>
      </w:r>
      <w:r>
        <w:rPr>
          <w:color w:val="211F1F"/>
          <w:spacing w:val="-15"/>
        </w:rPr>
        <w:t xml:space="preserve"> </w:t>
      </w:r>
      <w:r>
        <w:rPr>
          <w:color w:val="211F1F"/>
        </w:rPr>
        <w:t>the</w:t>
      </w:r>
      <w:r>
        <w:rPr>
          <w:color w:val="211F1F"/>
          <w:spacing w:val="-19"/>
        </w:rPr>
        <w:t xml:space="preserve"> </w:t>
      </w:r>
      <w:r>
        <w:rPr>
          <w:color w:val="211F1F"/>
        </w:rPr>
        <w:t>Contractor</w:t>
      </w:r>
      <w:r>
        <w:rPr>
          <w:color w:val="211F1F"/>
          <w:spacing w:val="-14"/>
        </w:rPr>
        <w:t xml:space="preserve"> </w:t>
      </w:r>
      <w:r>
        <w:rPr>
          <w:color w:val="211F1F"/>
        </w:rPr>
        <w:t>to</w:t>
      </w:r>
      <w:r>
        <w:rPr>
          <w:color w:val="211F1F"/>
          <w:spacing w:val="-17"/>
        </w:rPr>
        <w:t xml:space="preserve"> </w:t>
      </w:r>
      <w:r>
        <w:rPr>
          <w:color w:val="211F1F"/>
        </w:rPr>
        <w:t>uncover</w:t>
      </w:r>
      <w:r>
        <w:rPr>
          <w:color w:val="211F1F"/>
          <w:spacing w:val="-13"/>
        </w:rPr>
        <w:t xml:space="preserve"> </w:t>
      </w:r>
      <w:r>
        <w:rPr>
          <w:color w:val="211F1F"/>
        </w:rPr>
        <w:t>or</w:t>
      </w:r>
      <w:r>
        <w:rPr>
          <w:color w:val="211F1F"/>
          <w:spacing w:val="-14"/>
        </w:rPr>
        <w:t xml:space="preserve"> </w:t>
      </w:r>
      <w:r>
        <w:rPr>
          <w:color w:val="211F1F"/>
        </w:rPr>
        <w:t>to</w:t>
      </w:r>
      <w:r>
        <w:rPr>
          <w:color w:val="211F1F"/>
          <w:spacing w:val="-22"/>
        </w:rPr>
        <w:t xml:space="preserve"> </w:t>
      </w:r>
      <w:r>
        <w:rPr>
          <w:color w:val="211F1F"/>
        </w:rPr>
        <w:t>carry</w:t>
      </w:r>
      <w:r>
        <w:rPr>
          <w:color w:val="211F1F"/>
          <w:spacing w:val="-16"/>
        </w:rPr>
        <w:t xml:space="preserve"> </w:t>
      </w:r>
      <w:r>
        <w:rPr>
          <w:color w:val="211F1F"/>
        </w:rPr>
        <w:t>out</w:t>
      </w:r>
      <w:r>
        <w:rPr>
          <w:color w:val="211F1F"/>
          <w:spacing w:val="-14"/>
        </w:rPr>
        <w:t xml:space="preserve"> </w:t>
      </w:r>
      <w:r>
        <w:rPr>
          <w:color w:val="211F1F"/>
        </w:rPr>
        <w:t>additional</w:t>
      </w:r>
      <w:r>
        <w:rPr>
          <w:color w:val="211F1F"/>
          <w:spacing w:val="-15"/>
        </w:rPr>
        <w:t xml:space="preserve"> </w:t>
      </w:r>
      <w:r>
        <w:rPr>
          <w:color w:val="211F1F"/>
        </w:rPr>
        <w:t>tests</w:t>
      </w:r>
      <w:r>
        <w:rPr>
          <w:color w:val="211F1F"/>
          <w:spacing w:val="-16"/>
        </w:rPr>
        <w:t xml:space="preserve"> </w:t>
      </w:r>
      <w:r>
        <w:rPr>
          <w:color w:val="211F1F"/>
        </w:rPr>
        <w:t>upon</w:t>
      </w:r>
      <w:r>
        <w:rPr>
          <w:color w:val="211F1F"/>
          <w:spacing w:val="-17"/>
        </w:rPr>
        <w:t xml:space="preserve"> </w:t>
      </w:r>
      <w:r>
        <w:rPr>
          <w:color w:val="211F1F"/>
        </w:rPr>
        <w:t>work,</w:t>
      </w:r>
      <w:r>
        <w:rPr>
          <w:color w:val="211F1F"/>
          <w:spacing w:val="-14"/>
        </w:rPr>
        <w:t xml:space="preserve"> </w:t>
      </w:r>
      <w:r>
        <w:rPr>
          <w:color w:val="211F1F"/>
        </w:rPr>
        <w:t>which is then found to have no Defects.</w:t>
      </w:r>
    </w:p>
    <w:p w14:paraId="7D5D8A73" w14:textId="77777777" w:rsidR="00BB77C0" w:rsidRDefault="00370BAA">
      <w:pPr>
        <w:pStyle w:val="ListParagraph"/>
        <w:numPr>
          <w:ilvl w:val="0"/>
          <w:numId w:val="22"/>
        </w:numPr>
        <w:tabs>
          <w:tab w:val="left" w:pos="1618"/>
        </w:tabs>
        <w:spacing w:before="90"/>
        <w:ind w:left="1618" w:hanging="567"/>
      </w:pPr>
      <w:r>
        <w:rPr>
          <w:color w:val="211F1F"/>
          <w:spacing w:val="-4"/>
        </w:rPr>
        <w:t>The</w:t>
      </w:r>
      <w:r>
        <w:rPr>
          <w:color w:val="211F1F"/>
          <w:spacing w:val="-16"/>
        </w:rPr>
        <w:t xml:space="preserve"> </w:t>
      </w:r>
      <w:r>
        <w:rPr>
          <w:color w:val="211F1F"/>
          <w:spacing w:val="-4"/>
        </w:rPr>
        <w:t>Project</w:t>
      </w:r>
      <w:r>
        <w:rPr>
          <w:color w:val="211F1F"/>
          <w:spacing w:val="-6"/>
        </w:rPr>
        <w:t xml:space="preserve"> </w:t>
      </w:r>
      <w:r>
        <w:rPr>
          <w:color w:val="211F1F"/>
          <w:spacing w:val="-4"/>
        </w:rPr>
        <w:t>Manager unreasonably</w:t>
      </w:r>
      <w:r>
        <w:rPr>
          <w:color w:val="211F1F"/>
          <w:spacing w:val="-7"/>
        </w:rPr>
        <w:t xml:space="preserve"> </w:t>
      </w:r>
      <w:r>
        <w:rPr>
          <w:color w:val="211F1F"/>
          <w:spacing w:val="-4"/>
        </w:rPr>
        <w:t>does</w:t>
      </w:r>
      <w:r>
        <w:rPr>
          <w:color w:val="211F1F"/>
          <w:spacing w:val="-1"/>
        </w:rPr>
        <w:t xml:space="preserve"> </w:t>
      </w:r>
      <w:r>
        <w:rPr>
          <w:color w:val="211F1F"/>
          <w:spacing w:val="-4"/>
        </w:rPr>
        <w:t>not</w:t>
      </w:r>
      <w:r>
        <w:rPr>
          <w:color w:val="211F1F"/>
          <w:spacing w:val="-7"/>
        </w:rPr>
        <w:t xml:space="preserve"> </w:t>
      </w:r>
      <w:r>
        <w:rPr>
          <w:color w:val="211F1F"/>
          <w:spacing w:val="-4"/>
        </w:rPr>
        <w:t>approve</w:t>
      </w:r>
      <w:r>
        <w:rPr>
          <w:color w:val="211F1F"/>
          <w:spacing w:val="-11"/>
        </w:rPr>
        <w:t xml:space="preserve"> </w:t>
      </w:r>
      <w:r>
        <w:rPr>
          <w:color w:val="211F1F"/>
          <w:spacing w:val="-4"/>
        </w:rPr>
        <w:t>a subcontract</w:t>
      </w:r>
      <w:r>
        <w:rPr>
          <w:color w:val="211F1F"/>
          <w:spacing w:val="-7"/>
        </w:rPr>
        <w:t xml:space="preserve"> </w:t>
      </w:r>
      <w:r>
        <w:rPr>
          <w:color w:val="211F1F"/>
          <w:spacing w:val="-4"/>
        </w:rPr>
        <w:t>to</w:t>
      </w:r>
      <w:r>
        <w:rPr>
          <w:color w:val="211F1F"/>
          <w:spacing w:val="-14"/>
        </w:rPr>
        <w:t xml:space="preserve"> </w:t>
      </w:r>
      <w:r>
        <w:rPr>
          <w:color w:val="211F1F"/>
          <w:spacing w:val="-4"/>
        </w:rPr>
        <w:t>be</w:t>
      </w:r>
      <w:r>
        <w:rPr>
          <w:color w:val="211F1F"/>
          <w:spacing w:val="-16"/>
        </w:rPr>
        <w:t xml:space="preserve"> </w:t>
      </w:r>
      <w:r>
        <w:rPr>
          <w:color w:val="211F1F"/>
          <w:spacing w:val="-4"/>
        </w:rPr>
        <w:t>let.</w:t>
      </w:r>
    </w:p>
    <w:p w14:paraId="08955F08" w14:textId="77777777" w:rsidR="00BB77C0" w:rsidRDefault="00370BAA">
      <w:pPr>
        <w:pStyle w:val="ListParagraph"/>
        <w:numPr>
          <w:ilvl w:val="0"/>
          <w:numId w:val="22"/>
        </w:numPr>
        <w:tabs>
          <w:tab w:val="left" w:pos="1616"/>
          <w:tab w:val="left" w:pos="1623"/>
        </w:tabs>
        <w:spacing w:before="96" w:line="230" w:lineRule="auto"/>
        <w:ind w:left="1623" w:right="717" w:hanging="577"/>
        <w:jc w:val="both"/>
      </w:pPr>
      <w:r>
        <w:rPr>
          <w:color w:val="211F1F"/>
        </w:rPr>
        <w:t>Ground conditions are substantially more adverse than could reasonably have been assumed before issuance of the Letter of Acceptance from the information issued to bidders (including the Site Investigation</w:t>
      </w:r>
      <w:r>
        <w:rPr>
          <w:color w:val="211F1F"/>
          <w:spacing w:val="-6"/>
        </w:rPr>
        <w:t xml:space="preserve"> </w:t>
      </w:r>
      <w:r>
        <w:rPr>
          <w:color w:val="211F1F"/>
        </w:rPr>
        <w:t>Reports),</w:t>
      </w:r>
      <w:r>
        <w:rPr>
          <w:color w:val="211F1F"/>
          <w:spacing w:val="-3"/>
        </w:rPr>
        <w:t xml:space="preserve"> </w:t>
      </w:r>
      <w:r>
        <w:rPr>
          <w:color w:val="211F1F"/>
        </w:rPr>
        <w:t>from</w:t>
      </w:r>
      <w:r>
        <w:rPr>
          <w:color w:val="211F1F"/>
          <w:spacing w:val="-11"/>
        </w:rPr>
        <w:t xml:space="preserve"> </w:t>
      </w:r>
      <w:r>
        <w:rPr>
          <w:color w:val="211F1F"/>
        </w:rPr>
        <w:t>information</w:t>
      </w:r>
      <w:r>
        <w:rPr>
          <w:color w:val="211F1F"/>
          <w:spacing w:val="-6"/>
        </w:rPr>
        <w:t xml:space="preserve"> </w:t>
      </w:r>
      <w:r>
        <w:rPr>
          <w:color w:val="211F1F"/>
        </w:rPr>
        <w:t>available</w:t>
      </w:r>
      <w:r>
        <w:rPr>
          <w:color w:val="211F1F"/>
          <w:spacing w:val="-8"/>
        </w:rPr>
        <w:t xml:space="preserve"> </w:t>
      </w:r>
      <w:r>
        <w:rPr>
          <w:color w:val="211F1F"/>
        </w:rPr>
        <w:t>publicly</w:t>
      </w:r>
      <w:r>
        <w:rPr>
          <w:color w:val="211F1F"/>
          <w:spacing w:val="-6"/>
        </w:rPr>
        <w:t xml:space="preserve"> </w:t>
      </w:r>
      <w:r>
        <w:rPr>
          <w:color w:val="211F1F"/>
        </w:rPr>
        <w:t>and</w:t>
      </w:r>
      <w:r>
        <w:rPr>
          <w:color w:val="211F1F"/>
          <w:spacing w:val="-7"/>
        </w:rPr>
        <w:t xml:space="preserve"> </w:t>
      </w:r>
      <w:r>
        <w:rPr>
          <w:color w:val="211F1F"/>
        </w:rPr>
        <w:t>from</w:t>
      </w:r>
      <w:r>
        <w:rPr>
          <w:color w:val="211F1F"/>
          <w:spacing w:val="-4"/>
        </w:rPr>
        <w:t xml:space="preserve"> </w:t>
      </w:r>
      <w:r>
        <w:rPr>
          <w:color w:val="211F1F"/>
        </w:rPr>
        <w:t>a visual</w:t>
      </w:r>
      <w:r>
        <w:rPr>
          <w:color w:val="211F1F"/>
          <w:spacing w:val="-6"/>
        </w:rPr>
        <w:t xml:space="preserve"> </w:t>
      </w:r>
      <w:r>
        <w:rPr>
          <w:color w:val="211F1F"/>
        </w:rPr>
        <w:t>inspection of the</w:t>
      </w:r>
      <w:r>
        <w:rPr>
          <w:color w:val="211F1F"/>
          <w:spacing w:val="-8"/>
        </w:rPr>
        <w:t xml:space="preserve"> </w:t>
      </w:r>
      <w:r>
        <w:rPr>
          <w:color w:val="211F1F"/>
        </w:rPr>
        <w:t>Site.</w:t>
      </w:r>
    </w:p>
    <w:p w14:paraId="656B761E" w14:textId="77777777" w:rsidR="00BB77C0" w:rsidRDefault="00370BAA">
      <w:pPr>
        <w:pStyle w:val="ListParagraph"/>
        <w:numPr>
          <w:ilvl w:val="0"/>
          <w:numId w:val="22"/>
        </w:numPr>
        <w:tabs>
          <w:tab w:val="left" w:pos="1613"/>
          <w:tab w:val="left" w:pos="1618"/>
        </w:tabs>
        <w:spacing w:before="100" w:line="232" w:lineRule="auto"/>
        <w:ind w:left="1618" w:right="1431" w:hanging="572"/>
      </w:pPr>
      <w:r>
        <w:rPr>
          <w:color w:val="211F1F"/>
        </w:rPr>
        <w:t>The</w:t>
      </w:r>
      <w:r>
        <w:rPr>
          <w:color w:val="211F1F"/>
          <w:spacing w:val="-13"/>
        </w:rPr>
        <w:t xml:space="preserve"> </w:t>
      </w:r>
      <w:r>
        <w:rPr>
          <w:color w:val="211F1F"/>
        </w:rPr>
        <w:t>Project Manager</w:t>
      </w:r>
      <w:r>
        <w:rPr>
          <w:color w:val="211F1F"/>
          <w:spacing w:val="-3"/>
        </w:rPr>
        <w:t xml:space="preserve"> </w:t>
      </w:r>
      <w:r>
        <w:rPr>
          <w:color w:val="211F1F"/>
        </w:rPr>
        <w:t>gives</w:t>
      </w:r>
      <w:r>
        <w:rPr>
          <w:color w:val="211F1F"/>
          <w:spacing w:val="-5"/>
        </w:rPr>
        <w:t xml:space="preserve"> </w:t>
      </w:r>
      <w:r>
        <w:rPr>
          <w:color w:val="211F1F"/>
        </w:rPr>
        <w:t>an</w:t>
      </w:r>
      <w:r>
        <w:rPr>
          <w:color w:val="211F1F"/>
          <w:spacing w:val="-11"/>
        </w:rPr>
        <w:t xml:space="preserve"> </w:t>
      </w:r>
      <w:r>
        <w:rPr>
          <w:color w:val="211F1F"/>
        </w:rPr>
        <w:t>instruction</w:t>
      </w:r>
      <w:r>
        <w:rPr>
          <w:color w:val="211F1F"/>
          <w:spacing w:val="-10"/>
        </w:rPr>
        <w:t xml:space="preserve"> </w:t>
      </w:r>
      <w:r>
        <w:rPr>
          <w:color w:val="211F1F"/>
        </w:rPr>
        <w:t>for</w:t>
      </w:r>
      <w:r>
        <w:rPr>
          <w:color w:val="211F1F"/>
          <w:spacing w:val="-3"/>
        </w:rPr>
        <w:t xml:space="preserve"> </w:t>
      </w:r>
      <w:r>
        <w:rPr>
          <w:color w:val="211F1F"/>
        </w:rPr>
        <w:t>dealing</w:t>
      </w:r>
      <w:r>
        <w:rPr>
          <w:color w:val="211F1F"/>
          <w:spacing w:val="-6"/>
        </w:rPr>
        <w:t xml:space="preserve"> </w:t>
      </w:r>
      <w:r>
        <w:rPr>
          <w:color w:val="211F1F"/>
        </w:rPr>
        <w:t>with</w:t>
      </w:r>
      <w:r>
        <w:rPr>
          <w:color w:val="211F1F"/>
          <w:spacing w:val="-11"/>
        </w:rPr>
        <w:t xml:space="preserve"> </w:t>
      </w:r>
      <w:r>
        <w:rPr>
          <w:color w:val="211F1F"/>
        </w:rPr>
        <w:t>an</w:t>
      </w:r>
      <w:r>
        <w:rPr>
          <w:color w:val="211F1F"/>
          <w:spacing w:val="-11"/>
        </w:rPr>
        <w:t xml:space="preserve"> </w:t>
      </w:r>
      <w:r>
        <w:rPr>
          <w:color w:val="211F1F"/>
        </w:rPr>
        <w:t>unforeseen</w:t>
      </w:r>
      <w:r>
        <w:rPr>
          <w:color w:val="211F1F"/>
          <w:spacing w:val="-5"/>
        </w:rPr>
        <w:t xml:space="preserve"> </w:t>
      </w:r>
      <w:r>
        <w:rPr>
          <w:color w:val="211F1F"/>
        </w:rPr>
        <w:t>condition,</w:t>
      </w:r>
      <w:r>
        <w:rPr>
          <w:color w:val="211F1F"/>
          <w:spacing w:val="-3"/>
        </w:rPr>
        <w:t xml:space="preserve"> </w:t>
      </w:r>
      <w:r>
        <w:rPr>
          <w:color w:val="211F1F"/>
        </w:rPr>
        <w:t>caused</w:t>
      </w:r>
      <w:r>
        <w:rPr>
          <w:color w:val="211F1F"/>
          <w:spacing w:val="-11"/>
        </w:rPr>
        <w:t xml:space="preserve"> </w:t>
      </w:r>
      <w:r>
        <w:rPr>
          <w:color w:val="211F1F"/>
        </w:rPr>
        <w:t>by</w:t>
      </w:r>
      <w:r>
        <w:rPr>
          <w:color w:val="211F1F"/>
          <w:spacing w:val="-11"/>
        </w:rPr>
        <w:t xml:space="preserve"> </w:t>
      </w:r>
      <w:r>
        <w:rPr>
          <w:color w:val="211F1F"/>
        </w:rPr>
        <w:t>the Procuring</w:t>
      </w:r>
      <w:r>
        <w:rPr>
          <w:color w:val="211F1F"/>
          <w:spacing w:val="-19"/>
        </w:rPr>
        <w:t xml:space="preserve"> </w:t>
      </w:r>
      <w:r>
        <w:rPr>
          <w:color w:val="211F1F"/>
        </w:rPr>
        <w:t>Entity,</w:t>
      </w:r>
      <w:r>
        <w:rPr>
          <w:color w:val="211F1F"/>
          <w:spacing w:val="-17"/>
        </w:rPr>
        <w:t xml:space="preserve"> </w:t>
      </w:r>
      <w:r>
        <w:rPr>
          <w:color w:val="211F1F"/>
        </w:rPr>
        <w:t>or</w:t>
      </w:r>
      <w:r>
        <w:rPr>
          <w:color w:val="211F1F"/>
          <w:spacing w:val="-17"/>
        </w:rPr>
        <w:t xml:space="preserve"> </w:t>
      </w:r>
      <w:r>
        <w:rPr>
          <w:color w:val="211F1F"/>
        </w:rPr>
        <w:t>additional</w:t>
      </w:r>
      <w:r>
        <w:rPr>
          <w:color w:val="211F1F"/>
          <w:spacing w:val="-13"/>
        </w:rPr>
        <w:t xml:space="preserve"> </w:t>
      </w:r>
      <w:r>
        <w:rPr>
          <w:color w:val="211F1F"/>
        </w:rPr>
        <w:t>work</w:t>
      </w:r>
      <w:r>
        <w:rPr>
          <w:color w:val="211F1F"/>
          <w:spacing w:val="-25"/>
        </w:rPr>
        <w:t xml:space="preserve"> </w:t>
      </w:r>
      <w:r>
        <w:rPr>
          <w:color w:val="211F1F"/>
        </w:rPr>
        <w:t>required</w:t>
      </w:r>
      <w:r>
        <w:rPr>
          <w:color w:val="211F1F"/>
          <w:spacing w:val="-19"/>
        </w:rPr>
        <w:t xml:space="preserve"> </w:t>
      </w:r>
      <w:r>
        <w:rPr>
          <w:color w:val="211F1F"/>
        </w:rPr>
        <w:t>for</w:t>
      </w:r>
      <w:r>
        <w:rPr>
          <w:color w:val="211F1F"/>
          <w:spacing w:val="-11"/>
        </w:rPr>
        <w:t xml:space="preserve"> </w:t>
      </w:r>
      <w:r>
        <w:rPr>
          <w:color w:val="211F1F"/>
        </w:rPr>
        <w:t>safety</w:t>
      </w:r>
      <w:r>
        <w:rPr>
          <w:color w:val="211F1F"/>
          <w:spacing w:val="-19"/>
        </w:rPr>
        <w:t xml:space="preserve"> </w:t>
      </w:r>
      <w:r>
        <w:rPr>
          <w:color w:val="211F1F"/>
        </w:rPr>
        <w:t>or</w:t>
      </w:r>
      <w:r>
        <w:rPr>
          <w:color w:val="211F1F"/>
          <w:spacing w:val="-11"/>
        </w:rPr>
        <w:t xml:space="preserve"> </w:t>
      </w:r>
      <w:r>
        <w:rPr>
          <w:color w:val="211F1F"/>
        </w:rPr>
        <w:t>other</w:t>
      </w:r>
      <w:r>
        <w:rPr>
          <w:color w:val="211F1F"/>
          <w:spacing w:val="-10"/>
        </w:rPr>
        <w:t xml:space="preserve"> </w:t>
      </w:r>
      <w:r>
        <w:rPr>
          <w:color w:val="211F1F"/>
        </w:rPr>
        <w:t>reasons.</w:t>
      </w:r>
    </w:p>
    <w:p w14:paraId="669F5049" w14:textId="77777777" w:rsidR="00BB77C0" w:rsidRDefault="00370BAA">
      <w:pPr>
        <w:pStyle w:val="ListParagraph"/>
        <w:numPr>
          <w:ilvl w:val="0"/>
          <w:numId w:val="22"/>
        </w:numPr>
        <w:tabs>
          <w:tab w:val="left" w:pos="1618"/>
          <w:tab w:val="left" w:pos="1623"/>
        </w:tabs>
        <w:spacing w:before="94" w:line="228" w:lineRule="auto"/>
        <w:ind w:left="1623" w:right="891" w:hanging="577"/>
      </w:pPr>
      <w:r>
        <w:rPr>
          <w:color w:val="211F1F"/>
        </w:rPr>
        <w:t>Other</w:t>
      </w:r>
      <w:r>
        <w:rPr>
          <w:color w:val="211F1F"/>
          <w:spacing w:val="-14"/>
        </w:rPr>
        <w:t xml:space="preserve"> </w:t>
      </w:r>
      <w:r>
        <w:rPr>
          <w:color w:val="211F1F"/>
        </w:rPr>
        <w:t>contractors,</w:t>
      </w:r>
      <w:r>
        <w:rPr>
          <w:color w:val="211F1F"/>
          <w:spacing w:val="-14"/>
        </w:rPr>
        <w:t xml:space="preserve"> </w:t>
      </w:r>
      <w:r>
        <w:rPr>
          <w:color w:val="211F1F"/>
        </w:rPr>
        <w:t>public</w:t>
      </w:r>
      <w:r>
        <w:rPr>
          <w:color w:val="211F1F"/>
          <w:spacing w:val="-14"/>
        </w:rPr>
        <w:t xml:space="preserve"> </w:t>
      </w:r>
      <w:r>
        <w:rPr>
          <w:color w:val="211F1F"/>
        </w:rPr>
        <w:t>authorities,</w:t>
      </w:r>
      <w:r>
        <w:rPr>
          <w:color w:val="211F1F"/>
          <w:spacing w:val="-13"/>
        </w:rPr>
        <w:t xml:space="preserve"> </w:t>
      </w:r>
      <w:r>
        <w:rPr>
          <w:color w:val="211F1F"/>
        </w:rPr>
        <w:t>utilities,</w:t>
      </w:r>
      <w:r>
        <w:rPr>
          <w:color w:val="211F1F"/>
          <w:spacing w:val="-14"/>
        </w:rPr>
        <w:t xml:space="preserve"> </w:t>
      </w:r>
      <w:r>
        <w:rPr>
          <w:color w:val="211F1F"/>
        </w:rPr>
        <w:t>or</w:t>
      </w:r>
      <w:r>
        <w:rPr>
          <w:color w:val="211F1F"/>
          <w:spacing w:val="-10"/>
        </w:rPr>
        <w:t xml:space="preserve"> </w:t>
      </w:r>
      <w:r>
        <w:rPr>
          <w:color w:val="211F1F"/>
        </w:rPr>
        <w:t>the</w:t>
      </w:r>
      <w:r>
        <w:rPr>
          <w:color w:val="211F1F"/>
          <w:spacing w:val="-14"/>
        </w:rPr>
        <w:t xml:space="preserve"> </w:t>
      </w:r>
      <w:r>
        <w:rPr>
          <w:color w:val="211F1F"/>
        </w:rPr>
        <w:t>Procuring</w:t>
      </w:r>
      <w:r>
        <w:rPr>
          <w:color w:val="211F1F"/>
          <w:spacing w:val="-14"/>
        </w:rPr>
        <w:t xml:space="preserve"> </w:t>
      </w:r>
      <w:r>
        <w:rPr>
          <w:color w:val="211F1F"/>
        </w:rPr>
        <w:t>Entity</w:t>
      </w:r>
      <w:r>
        <w:rPr>
          <w:color w:val="211F1F"/>
          <w:spacing w:val="-14"/>
        </w:rPr>
        <w:t xml:space="preserve"> </w:t>
      </w:r>
      <w:r>
        <w:rPr>
          <w:color w:val="211F1F"/>
        </w:rPr>
        <w:t>does</w:t>
      </w:r>
      <w:r>
        <w:rPr>
          <w:color w:val="211F1F"/>
          <w:spacing w:val="-7"/>
        </w:rPr>
        <w:t xml:space="preserve"> </w:t>
      </w:r>
      <w:r>
        <w:rPr>
          <w:color w:val="211F1F"/>
        </w:rPr>
        <w:t>not</w:t>
      </w:r>
      <w:r>
        <w:rPr>
          <w:color w:val="211F1F"/>
          <w:spacing w:val="-11"/>
        </w:rPr>
        <w:t xml:space="preserve"> </w:t>
      </w:r>
      <w:r>
        <w:rPr>
          <w:color w:val="211F1F"/>
        </w:rPr>
        <w:t>work</w:t>
      </w:r>
      <w:r>
        <w:rPr>
          <w:color w:val="211F1F"/>
          <w:spacing w:val="-14"/>
        </w:rPr>
        <w:t xml:space="preserve"> </w:t>
      </w:r>
      <w:r>
        <w:rPr>
          <w:color w:val="211F1F"/>
        </w:rPr>
        <w:t>within</w:t>
      </w:r>
      <w:r>
        <w:rPr>
          <w:color w:val="211F1F"/>
          <w:spacing w:val="-14"/>
        </w:rPr>
        <w:t xml:space="preserve"> </w:t>
      </w:r>
      <w:r>
        <w:rPr>
          <w:color w:val="211F1F"/>
        </w:rPr>
        <w:t>the</w:t>
      </w:r>
      <w:r>
        <w:rPr>
          <w:color w:val="211F1F"/>
          <w:spacing w:val="-14"/>
        </w:rPr>
        <w:t xml:space="preserve"> </w:t>
      </w:r>
      <w:r>
        <w:rPr>
          <w:color w:val="211F1F"/>
        </w:rPr>
        <w:t>dates</w:t>
      </w:r>
      <w:r>
        <w:rPr>
          <w:color w:val="211F1F"/>
          <w:spacing w:val="-11"/>
        </w:rPr>
        <w:t xml:space="preserve"> </w:t>
      </w:r>
      <w:r>
        <w:rPr>
          <w:color w:val="211F1F"/>
        </w:rPr>
        <w:t>and other constraints</w:t>
      </w:r>
      <w:r>
        <w:rPr>
          <w:color w:val="211F1F"/>
          <w:spacing w:val="-2"/>
        </w:rPr>
        <w:t xml:space="preserve"> </w:t>
      </w:r>
      <w:r>
        <w:rPr>
          <w:color w:val="211F1F"/>
        </w:rPr>
        <w:t>stated</w:t>
      </w:r>
      <w:r>
        <w:rPr>
          <w:color w:val="211F1F"/>
          <w:spacing w:val="-9"/>
        </w:rPr>
        <w:t xml:space="preserve"> </w:t>
      </w:r>
      <w:r>
        <w:rPr>
          <w:color w:val="211F1F"/>
        </w:rPr>
        <w:t>in</w:t>
      </w:r>
      <w:r>
        <w:rPr>
          <w:color w:val="211F1F"/>
          <w:spacing w:val="-8"/>
        </w:rPr>
        <w:t xml:space="preserve"> </w:t>
      </w:r>
      <w:r>
        <w:rPr>
          <w:color w:val="211F1F"/>
        </w:rPr>
        <w:t>the</w:t>
      </w:r>
      <w:r>
        <w:rPr>
          <w:color w:val="211F1F"/>
          <w:spacing w:val="-12"/>
        </w:rPr>
        <w:t xml:space="preserve"> </w:t>
      </w:r>
      <w:r>
        <w:rPr>
          <w:color w:val="211F1F"/>
        </w:rPr>
        <w:t>Contract,</w:t>
      </w:r>
      <w:r>
        <w:rPr>
          <w:color w:val="211F1F"/>
          <w:spacing w:val="-4"/>
        </w:rPr>
        <w:t xml:space="preserve"> </w:t>
      </w:r>
      <w:r>
        <w:rPr>
          <w:color w:val="211F1F"/>
        </w:rPr>
        <w:t>and</w:t>
      </w:r>
      <w:r>
        <w:rPr>
          <w:color w:val="211F1F"/>
          <w:spacing w:val="-9"/>
        </w:rPr>
        <w:t xml:space="preserve"> </w:t>
      </w:r>
      <w:r>
        <w:rPr>
          <w:color w:val="211F1F"/>
        </w:rPr>
        <w:t>they</w:t>
      </w:r>
      <w:r>
        <w:rPr>
          <w:color w:val="211F1F"/>
          <w:spacing w:val="-9"/>
        </w:rPr>
        <w:t xml:space="preserve"> </w:t>
      </w:r>
      <w:r>
        <w:rPr>
          <w:color w:val="211F1F"/>
        </w:rPr>
        <w:t>cause</w:t>
      </w:r>
      <w:r>
        <w:rPr>
          <w:color w:val="211F1F"/>
          <w:spacing w:val="-11"/>
        </w:rPr>
        <w:t xml:space="preserve"> </w:t>
      </w:r>
      <w:r>
        <w:rPr>
          <w:color w:val="211F1F"/>
        </w:rPr>
        <w:t>delay</w:t>
      </w:r>
      <w:r>
        <w:rPr>
          <w:color w:val="211F1F"/>
          <w:spacing w:val="-9"/>
        </w:rPr>
        <w:t xml:space="preserve"> </w:t>
      </w:r>
      <w:r>
        <w:rPr>
          <w:color w:val="211F1F"/>
        </w:rPr>
        <w:t>or extra</w:t>
      </w:r>
      <w:r>
        <w:rPr>
          <w:color w:val="211F1F"/>
          <w:spacing w:val="-4"/>
        </w:rPr>
        <w:t xml:space="preserve"> </w:t>
      </w:r>
      <w:r>
        <w:rPr>
          <w:color w:val="211F1F"/>
        </w:rPr>
        <w:t>cost</w:t>
      </w:r>
      <w:r>
        <w:rPr>
          <w:color w:val="211F1F"/>
          <w:spacing w:val="-8"/>
        </w:rPr>
        <w:t xml:space="preserve"> </w:t>
      </w:r>
      <w:r>
        <w:rPr>
          <w:color w:val="211F1F"/>
        </w:rPr>
        <w:t>to</w:t>
      </w:r>
      <w:r>
        <w:rPr>
          <w:color w:val="211F1F"/>
          <w:spacing w:val="-9"/>
        </w:rPr>
        <w:t xml:space="preserve"> </w:t>
      </w:r>
      <w:r>
        <w:rPr>
          <w:color w:val="211F1F"/>
        </w:rPr>
        <w:t>the</w:t>
      </w:r>
      <w:r>
        <w:rPr>
          <w:color w:val="211F1F"/>
          <w:spacing w:val="-12"/>
        </w:rPr>
        <w:t xml:space="preserve"> </w:t>
      </w:r>
      <w:r>
        <w:rPr>
          <w:color w:val="211F1F"/>
        </w:rPr>
        <w:t>Contractor.</w:t>
      </w:r>
    </w:p>
    <w:p w14:paraId="08D7F63C" w14:textId="77777777" w:rsidR="00BB77C0" w:rsidRDefault="00370BAA">
      <w:pPr>
        <w:pStyle w:val="ListParagraph"/>
        <w:numPr>
          <w:ilvl w:val="0"/>
          <w:numId w:val="22"/>
        </w:numPr>
        <w:tabs>
          <w:tab w:val="left" w:pos="1618"/>
        </w:tabs>
        <w:spacing w:before="91"/>
        <w:ind w:left="1618" w:hanging="567"/>
      </w:pPr>
      <w:r>
        <w:rPr>
          <w:color w:val="211F1F"/>
          <w:spacing w:val="-2"/>
        </w:rPr>
        <w:t>Theadvance</w:t>
      </w:r>
      <w:r>
        <w:rPr>
          <w:color w:val="211F1F"/>
          <w:spacing w:val="-16"/>
        </w:rPr>
        <w:t xml:space="preserve"> </w:t>
      </w:r>
      <w:r>
        <w:rPr>
          <w:color w:val="211F1F"/>
          <w:spacing w:val="-2"/>
        </w:rPr>
        <w:t>payment</w:t>
      </w:r>
      <w:r>
        <w:rPr>
          <w:color w:val="211F1F"/>
          <w:spacing w:val="-1"/>
        </w:rPr>
        <w:t xml:space="preserve"> </w:t>
      </w:r>
      <w:r>
        <w:rPr>
          <w:color w:val="211F1F"/>
          <w:spacing w:val="-2"/>
        </w:rPr>
        <w:t>is delayed.</w:t>
      </w:r>
    </w:p>
    <w:p w14:paraId="600E1CFC" w14:textId="77777777" w:rsidR="00BB77C0" w:rsidRDefault="00370BAA">
      <w:pPr>
        <w:pStyle w:val="ListParagraph"/>
        <w:numPr>
          <w:ilvl w:val="0"/>
          <w:numId w:val="22"/>
        </w:numPr>
        <w:tabs>
          <w:tab w:val="left" w:pos="1618"/>
        </w:tabs>
        <w:spacing w:before="93"/>
        <w:ind w:left="1618" w:hanging="572"/>
      </w:pPr>
      <w:r>
        <w:rPr>
          <w:color w:val="211F1F"/>
          <w:spacing w:val="-4"/>
        </w:rPr>
        <w:t>The</w:t>
      </w:r>
      <w:r>
        <w:rPr>
          <w:color w:val="211F1F"/>
          <w:spacing w:val="-15"/>
        </w:rPr>
        <w:t xml:space="preserve"> </w:t>
      </w:r>
      <w:r>
        <w:rPr>
          <w:color w:val="211F1F"/>
          <w:spacing w:val="-4"/>
        </w:rPr>
        <w:t>effects</w:t>
      </w:r>
      <w:r>
        <w:rPr>
          <w:color w:val="211F1F"/>
          <w:spacing w:val="-6"/>
        </w:rPr>
        <w:t xml:space="preserve"> </w:t>
      </w:r>
      <w:r>
        <w:rPr>
          <w:color w:val="211F1F"/>
          <w:spacing w:val="-4"/>
        </w:rPr>
        <w:t>on</w:t>
      </w:r>
      <w:r>
        <w:rPr>
          <w:color w:val="211F1F"/>
          <w:spacing w:val="-12"/>
        </w:rPr>
        <w:t xml:space="preserve"> </w:t>
      </w:r>
      <w:r>
        <w:rPr>
          <w:color w:val="211F1F"/>
          <w:spacing w:val="-4"/>
        </w:rPr>
        <w:t>the</w:t>
      </w:r>
      <w:r>
        <w:rPr>
          <w:color w:val="211F1F"/>
          <w:spacing w:val="-16"/>
        </w:rPr>
        <w:t xml:space="preserve"> </w:t>
      </w:r>
      <w:r>
        <w:rPr>
          <w:color w:val="211F1F"/>
          <w:spacing w:val="-4"/>
        </w:rPr>
        <w:t>Contractor</w:t>
      </w:r>
      <w:r>
        <w:rPr>
          <w:color w:val="211F1F"/>
          <w:spacing w:val="-1"/>
        </w:rPr>
        <w:t xml:space="preserve"> </w:t>
      </w:r>
      <w:r>
        <w:rPr>
          <w:color w:val="211F1F"/>
          <w:spacing w:val="-4"/>
        </w:rPr>
        <w:t>of</w:t>
      </w:r>
      <w:r>
        <w:rPr>
          <w:color w:val="211F1F"/>
          <w:spacing w:val="-14"/>
        </w:rPr>
        <w:t xml:space="preserve"> </w:t>
      </w:r>
      <w:r>
        <w:rPr>
          <w:color w:val="211F1F"/>
          <w:spacing w:val="-4"/>
        </w:rPr>
        <w:t>any</w:t>
      </w:r>
      <w:r>
        <w:rPr>
          <w:color w:val="211F1F"/>
          <w:spacing w:val="-13"/>
        </w:rPr>
        <w:t xml:space="preserve"> </w:t>
      </w:r>
      <w:r>
        <w:rPr>
          <w:color w:val="211F1F"/>
          <w:spacing w:val="-4"/>
        </w:rPr>
        <w:t>of</w:t>
      </w:r>
      <w:r>
        <w:rPr>
          <w:color w:val="211F1F"/>
          <w:spacing w:val="-10"/>
        </w:rPr>
        <w:t xml:space="preserve"> </w:t>
      </w:r>
      <w:r>
        <w:rPr>
          <w:color w:val="211F1F"/>
          <w:spacing w:val="-4"/>
        </w:rPr>
        <w:t>the</w:t>
      </w:r>
      <w:r>
        <w:rPr>
          <w:color w:val="211F1F"/>
          <w:spacing w:val="-15"/>
        </w:rPr>
        <w:t xml:space="preserve"> </w:t>
      </w:r>
      <w:r>
        <w:rPr>
          <w:color w:val="211F1F"/>
          <w:spacing w:val="-4"/>
        </w:rPr>
        <w:t>Procuring</w:t>
      </w:r>
      <w:r>
        <w:rPr>
          <w:color w:val="211F1F"/>
          <w:spacing w:val="-12"/>
        </w:rPr>
        <w:t xml:space="preserve"> </w:t>
      </w:r>
      <w:r>
        <w:rPr>
          <w:color w:val="211F1F"/>
          <w:spacing w:val="-4"/>
        </w:rPr>
        <w:t>Entity's</w:t>
      </w:r>
      <w:r>
        <w:rPr>
          <w:color w:val="211F1F"/>
          <w:spacing w:val="-5"/>
        </w:rPr>
        <w:t xml:space="preserve"> </w:t>
      </w:r>
      <w:r>
        <w:rPr>
          <w:color w:val="211F1F"/>
          <w:spacing w:val="-4"/>
        </w:rPr>
        <w:t>Risks.</w:t>
      </w:r>
    </w:p>
    <w:p w14:paraId="187ACA70" w14:textId="77777777" w:rsidR="00BB77C0" w:rsidRDefault="00370BAA">
      <w:pPr>
        <w:pStyle w:val="ListParagraph"/>
        <w:numPr>
          <w:ilvl w:val="0"/>
          <w:numId w:val="22"/>
        </w:numPr>
        <w:tabs>
          <w:tab w:val="left" w:pos="1618"/>
        </w:tabs>
        <w:spacing w:before="87"/>
        <w:ind w:left="1618" w:hanging="567"/>
      </w:pPr>
      <w:r>
        <w:rPr>
          <w:color w:val="211F1F"/>
          <w:spacing w:val="-4"/>
        </w:rPr>
        <w:t>The</w:t>
      </w:r>
      <w:r>
        <w:rPr>
          <w:color w:val="211F1F"/>
          <w:spacing w:val="-16"/>
        </w:rPr>
        <w:t xml:space="preserve"> </w:t>
      </w:r>
      <w:r>
        <w:rPr>
          <w:color w:val="211F1F"/>
          <w:spacing w:val="-4"/>
        </w:rPr>
        <w:t>Project</w:t>
      </w:r>
      <w:r>
        <w:rPr>
          <w:color w:val="211F1F"/>
          <w:spacing w:val="-5"/>
        </w:rPr>
        <w:t xml:space="preserve"> </w:t>
      </w:r>
      <w:r>
        <w:rPr>
          <w:color w:val="211F1F"/>
          <w:spacing w:val="-4"/>
        </w:rPr>
        <w:t>Manager unreasonably</w:t>
      </w:r>
      <w:r>
        <w:rPr>
          <w:color w:val="211F1F"/>
          <w:spacing w:val="-6"/>
        </w:rPr>
        <w:t xml:space="preserve"> </w:t>
      </w:r>
      <w:r>
        <w:rPr>
          <w:color w:val="211F1F"/>
          <w:spacing w:val="-4"/>
        </w:rPr>
        <w:t>delays</w:t>
      </w:r>
      <w:r>
        <w:rPr>
          <w:color w:val="211F1F"/>
          <w:spacing w:val="-7"/>
        </w:rPr>
        <w:t xml:space="preserve"> </w:t>
      </w:r>
      <w:r>
        <w:rPr>
          <w:color w:val="211F1F"/>
          <w:spacing w:val="-4"/>
        </w:rPr>
        <w:t>issuing</w:t>
      </w:r>
      <w:r>
        <w:rPr>
          <w:color w:val="211F1F"/>
          <w:spacing w:val="-14"/>
        </w:rPr>
        <w:t xml:space="preserve"> </w:t>
      </w:r>
      <w:r>
        <w:rPr>
          <w:color w:val="211F1F"/>
          <w:spacing w:val="-4"/>
        </w:rPr>
        <w:t>a Certificate</w:t>
      </w:r>
      <w:r>
        <w:rPr>
          <w:color w:val="211F1F"/>
          <w:spacing w:val="-9"/>
        </w:rPr>
        <w:t xml:space="preserve"> </w:t>
      </w:r>
      <w:r>
        <w:rPr>
          <w:color w:val="211F1F"/>
          <w:spacing w:val="-4"/>
        </w:rPr>
        <w:t>of</w:t>
      </w:r>
      <w:r>
        <w:rPr>
          <w:color w:val="211F1F"/>
          <w:spacing w:val="-3"/>
        </w:rPr>
        <w:t xml:space="preserve"> </w:t>
      </w:r>
      <w:r>
        <w:rPr>
          <w:color w:val="211F1F"/>
          <w:spacing w:val="-4"/>
        </w:rPr>
        <w:t>Completion.</w:t>
      </w:r>
    </w:p>
    <w:p w14:paraId="39B4EAD4" w14:textId="77777777" w:rsidR="00BB77C0" w:rsidRDefault="00BB77C0">
      <w:pPr>
        <w:pStyle w:val="BodyText"/>
        <w:spacing w:before="198"/>
      </w:pPr>
    </w:p>
    <w:p w14:paraId="6CA18D12" w14:textId="77777777" w:rsidR="00BB77C0" w:rsidRDefault="00370BAA">
      <w:pPr>
        <w:pStyle w:val="ListParagraph"/>
        <w:numPr>
          <w:ilvl w:val="1"/>
          <w:numId w:val="23"/>
        </w:numPr>
        <w:tabs>
          <w:tab w:val="left" w:pos="1168"/>
          <w:tab w:val="left" w:pos="1171"/>
        </w:tabs>
        <w:spacing w:before="1" w:line="230" w:lineRule="auto"/>
        <w:ind w:right="836" w:hanging="360"/>
        <w:jc w:val="both"/>
        <w:rPr>
          <w:color w:val="211F1F"/>
        </w:rPr>
      </w:pPr>
      <w:r>
        <w:rPr>
          <w:color w:val="211F1F"/>
        </w:rPr>
        <w:t>If a</w:t>
      </w:r>
      <w:r>
        <w:rPr>
          <w:color w:val="211F1F"/>
          <w:spacing w:val="-2"/>
        </w:rPr>
        <w:t xml:space="preserve"> </w:t>
      </w:r>
      <w:r>
        <w:rPr>
          <w:color w:val="211F1F"/>
        </w:rPr>
        <w:t>Compensation Event would cause</w:t>
      </w:r>
      <w:r>
        <w:rPr>
          <w:color w:val="211F1F"/>
          <w:spacing w:val="-2"/>
        </w:rPr>
        <w:t xml:space="preserve"> </w:t>
      </w:r>
      <w:r>
        <w:rPr>
          <w:color w:val="211F1F"/>
        </w:rPr>
        <w:t>additional cost or would</w:t>
      </w:r>
      <w:r>
        <w:rPr>
          <w:color w:val="211F1F"/>
          <w:spacing w:val="-5"/>
        </w:rPr>
        <w:t xml:space="preserve"> </w:t>
      </w:r>
      <w:r>
        <w:rPr>
          <w:color w:val="211F1F"/>
        </w:rPr>
        <w:t>prevent the</w:t>
      </w:r>
      <w:r>
        <w:rPr>
          <w:color w:val="211F1F"/>
          <w:spacing w:val="-3"/>
        </w:rPr>
        <w:t xml:space="preserve"> </w:t>
      </w:r>
      <w:r>
        <w:rPr>
          <w:color w:val="211F1F"/>
        </w:rPr>
        <w:t>work</w:t>
      </w:r>
      <w:r>
        <w:rPr>
          <w:color w:val="211F1F"/>
          <w:spacing w:val="-5"/>
        </w:rPr>
        <w:t xml:space="preserve"> </w:t>
      </w:r>
      <w:r>
        <w:rPr>
          <w:color w:val="211F1F"/>
        </w:rPr>
        <w:t>being</w:t>
      </w:r>
      <w:r>
        <w:rPr>
          <w:color w:val="211F1F"/>
          <w:spacing w:val="-5"/>
        </w:rPr>
        <w:t xml:space="preserve"> </w:t>
      </w:r>
      <w:r>
        <w:rPr>
          <w:color w:val="211F1F"/>
        </w:rPr>
        <w:t>completed</w:t>
      </w:r>
      <w:r>
        <w:rPr>
          <w:color w:val="211F1F"/>
          <w:spacing w:val="-4"/>
        </w:rPr>
        <w:t xml:space="preserve"> </w:t>
      </w:r>
      <w:r>
        <w:rPr>
          <w:color w:val="211F1F"/>
        </w:rPr>
        <w:t>before</w:t>
      </w:r>
      <w:r>
        <w:rPr>
          <w:color w:val="211F1F"/>
          <w:spacing w:val="-7"/>
        </w:rPr>
        <w:t xml:space="preserve"> </w:t>
      </w:r>
      <w:r>
        <w:rPr>
          <w:color w:val="211F1F"/>
        </w:rPr>
        <w:t>the Intended Completion Date, the Contract Price shall be increased and/or the Intended Completion Date shall be extended. The Project Manager shall decide whether and by how much the Contract Price shall be increased and whether and by how much the Intended Completion Date shall be extended.</w:t>
      </w:r>
    </w:p>
    <w:p w14:paraId="0CADE560" w14:textId="77777777" w:rsidR="00BB77C0" w:rsidRDefault="00370BAA">
      <w:pPr>
        <w:pStyle w:val="ListParagraph"/>
        <w:numPr>
          <w:ilvl w:val="1"/>
          <w:numId w:val="23"/>
        </w:numPr>
        <w:tabs>
          <w:tab w:val="left" w:pos="1168"/>
          <w:tab w:val="left" w:pos="1171"/>
        </w:tabs>
        <w:spacing w:before="195" w:line="230" w:lineRule="auto"/>
        <w:ind w:right="836" w:hanging="360"/>
        <w:jc w:val="both"/>
        <w:rPr>
          <w:color w:val="211F1F"/>
        </w:rPr>
      </w:pPr>
      <w:r>
        <w:rPr>
          <w:color w:val="211F1F"/>
        </w:rPr>
        <w:t>As soon</w:t>
      </w:r>
      <w:r>
        <w:rPr>
          <w:color w:val="211F1F"/>
          <w:spacing w:val="-3"/>
        </w:rPr>
        <w:t xml:space="preserve"> </w:t>
      </w:r>
      <w:r>
        <w:rPr>
          <w:color w:val="211F1F"/>
        </w:rPr>
        <w:t>as</w:t>
      </w:r>
      <w:r>
        <w:rPr>
          <w:color w:val="211F1F"/>
          <w:spacing w:val="-2"/>
        </w:rPr>
        <w:t xml:space="preserve"> </w:t>
      </w:r>
      <w:r>
        <w:rPr>
          <w:color w:val="211F1F"/>
        </w:rPr>
        <w:t>information</w:t>
      </w:r>
      <w:r>
        <w:rPr>
          <w:color w:val="211F1F"/>
          <w:spacing w:val="-2"/>
        </w:rPr>
        <w:t xml:space="preserve"> </w:t>
      </w:r>
      <w:r>
        <w:rPr>
          <w:color w:val="211F1F"/>
        </w:rPr>
        <w:t>demonstrating</w:t>
      </w:r>
      <w:r>
        <w:rPr>
          <w:color w:val="211F1F"/>
          <w:spacing w:val="-2"/>
        </w:rPr>
        <w:t xml:space="preserve"> </w:t>
      </w:r>
      <w:r>
        <w:rPr>
          <w:color w:val="211F1F"/>
        </w:rPr>
        <w:t>the</w:t>
      </w:r>
      <w:r>
        <w:rPr>
          <w:color w:val="211F1F"/>
          <w:spacing w:val="-4"/>
        </w:rPr>
        <w:t xml:space="preserve"> </w:t>
      </w:r>
      <w:r>
        <w:rPr>
          <w:color w:val="211F1F"/>
        </w:rPr>
        <w:t>effect of each</w:t>
      </w:r>
      <w:r>
        <w:rPr>
          <w:color w:val="211F1F"/>
          <w:spacing w:val="-3"/>
        </w:rPr>
        <w:t xml:space="preserve"> </w:t>
      </w:r>
      <w:r>
        <w:rPr>
          <w:color w:val="211F1F"/>
        </w:rPr>
        <w:t>Compensation</w:t>
      </w:r>
      <w:r>
        <w:rPr>
          <w:color w:val="211F1F"/>
          <w:spacing w:val="-1"/>
        </w:rPr>
        <w:t xml:space="preserve"> </w:t>
      </w:r>
      <w:r>
        <w:rPr>
          <w:color w:val="211F1F"/>
        </w:rPr>
        <w:t>Event upon</w:t>
      </w:r>
      <w:r>
        <w:rPr>
          <w:color w:val="211F1F"/>
          <w:spacing w:val="-3"/>
        </w:rPr>
        <w:t xml:space="preserve"> </w:t>
      </w:r>
      <w:r>
        <w:rPr>
          <w:color w:val="211F1F"/>
        </w:rPr>
        <w:t>the</w:t>
      </w:r>
      <w:r>
        <w:rPr>
          <w:color w:val="211F1F"/>
          <w:spacing w:val="-4"/>
        </w:rPr>
        <w:t xml:space="preserve"> </w:t>
      </w:r>
      <w:r>
        <w:rPr>
          <w:color w:val="211F1F"/>
        </w:rPr>
        <w:t>Contractor's</w:t>
      </w:r>
      <w:r>
        <w:rPr>
          <w:color w:val="211F1F"/>
          <w:spacing w:val="-1"/>
        </w:rPr>
        <w:t xml:space="preserve"> </w:t>
      </w:r>
      <w:r>
        <w:rPr>
          <w:color w:val="211F1F"/>
        </w:rPr>
        <w:t>forecast cost has been</w:t>
      </w:r>
      <w:r>
        <w:rPr>
          <w:color w:val="211F1F"/>
          <w:spacing w:val="-5"/>
        </w:rPr>
        <w:t xml:space="preserve"> </w:t>
      </w:r>
      <w:r>
        <w:rPr>
          <w:color w:val="211F1F"/>
        </w:rPr>
        <w:t>provided</w:t>
      </w:r>
      <w:r>
        <w:rPr>
          <w:color w:val="211F1F"/>
          <w:spacing w:val="-4"/>
        </w:rPr>
        <w:t xml:space="preserve"> </w:t>
      </w:r>
      <w:r>
        <w:rPr>
          <w:color w:val="211F1F"/>
        </w:rPr>
        <w:t>by</w:t>
      </w:r>
      <w:r>
        <w:rPr>
          <w:color w:val="211F1F"/>
          <w:spacing w:val="-5"/>
        </w:rPr>
        <w:t xml:space="preserve"> </w:t>
      </w:r>
      <w:r>
        <w:rPr>
          <w:color w:val="211F1F"/>
        </w:rPr>
        <w:t>the</w:t>
      </w:r>
      <w:r>
        <w:rPr>
          <w:color w:val="211F1F"/>
          <w:spacing w:val="-6"/>
        </w:rPr>
        <w:t xml:space="preserve"> </w:t>
      </w:r>
      <w:r>
        <w:rPr>
          <w:color w:val="211F1F"/>
        </w:rPr>
        <w:t>Contractor,</w:t>
      </w:r>
      <w:r>
        <w:rPr>
          <w:color w:val="211F1F"/>
          <w:spacing w:val="-1"/>
        </w:rPr>
        <w:t xml:space="preserve"> </w:t>
      </w:r>
      <w:r>
        <w:rPr>
          <w:color w:val="211F1F"/>
        </w:rPr>
        <w:t>it shall</w:t>
      </w:r>
      <w:r>
        <w:rPr>
          <w:color w:val="211F1F"/>
          <w:spacing w:val="-4"/>
        </w:rPr>
        <w:t xml:space="preserve"> </w:t>
      </w:r>
      <w:r>
        <w:rPr>
          <w:color w:val="211F1F"/>
        </w:rPr>
        <w:t>be</w:t>
      </w:r>
      <w:r>
        <w:rPr>
          <w:color w:val="211F1F"/>
          <w:spacing w:val="-7"/>
        </w:rPr>
        <w:t xml:space="preserve"> </w:t>
      </w:r>
      <w:r>
        <w:rPr>
          <w:color w:val="211F1F"/>
        </w:rPr>
        <w:t>assessed</w:t>
      </w:r>
      <w:r>
        <w:rPr>
          <w:color w:val="211F1F"/>
          <w:spacing w:val="-4"/>
        </w:rPr>
        <w:t xml:space="preserve"> </w:t>
      </w:r>
      <w:r>
        <w:rPr>
          <w:color w:val="211F1F"/>
        </w:rPr>
        <w:t>by</w:t>
      </w:r>
      <w:r>
        <w:rPr>
          <w:color w:val="211F1F"/>
          <w:spacing w:val="-5"/>
        </w:rPr>
        <w:t xml:space="preserve"> </w:t>
      </w:r>
      <w:r>
        <w:rPr>
          <w:color w:val="211F1F"/>
        </w:rPr>
        <w:t>the</w:t>
      </w:r>
      <w:r>
        <w:rPr>
          <w:color w:val="211F1F"/>
          <w:spacing w:val="-7"/>
        </w:rPr>
        <w:t xml:space="preserve"> </w:t>
      </w:r>
      <w:r>
        <w:rPr>
          <w:color w:val="211F1F"/>
        </w:rPr>
        <w:t>Project Manager, and</w:t>
      </w:r>
      <w:r>
        <w:rPr>
          <w:color w:val="211F1F"/>
          <w:spacing w:val="-4"/>
        </w:rPr>
        <w:t xml:space="preserve"> </w:t>
      </w:r>
      <w:r>
        <w:rPr>
          <w:color w:val="211F1F"/>
        </w:rPr>
        <w:t>the</w:t>
      </w:r>
      <w:r>
        <w:rPr>
          <w:color w:val="211F1F"/>
          <w:spacing w:val="-6"/>
        </w:rPr>
        <w:t xml:space="preserve"> </w:t>
      </w:r>
      <w:r>
        <w:rPr>
          <w:color w:val="211F1F"/>
        </w:rPr>
        <w:t>Contract Price shall</w:t>
      </w:r>
      <w:r>
        <w:rPr>
          <w:color w:val="211F1F"/>
          <w:spacing w:val="-2"/>
        </w:rPr>
        <w:t xml:space="preserve"> </w:t>
      </w:r>
      <w:r>
        <w:rPr>
          <w:color w:val="211F1F"/>
        </w:rPr>
        <w:t>be</w:t>
      </w:r>
      <w:r>
        <w:rPr>
          <w:color w:val="211F1F"/>
          <w:spacing w:val="-6"/>
        </w:rPr>
        <w:t xml:space="preserve"> </w:t>
      </w:r>
      <w:r>
        <w:rPr>
          <w:color w:val="211F1F"/>
        </w:rPr>
        <w:t>adjusted</w:t>
      </w:r>
      <w:r>
        <w:rPr>
          <w:color w:val="211F1F"/>
          <w:spacing w:val="-8"/>
        </w:rPr>
        <w:t xml:space="preserve"> </w:t>
      </w:r>
      <w:r>
        <w:rPr>
          <w:color w:val="211F1F"/>
        </w:rPr>
        <w:t>accordingly. If</w:t>
      </w:r>
      <w:r>
        <w:rPr>
          <w:color w:val="211F1F"/>
          <w:spacing w:val="-1"/>
        </w:rPr>
        <w:t xml:space="preserve"> </w:t>
      </w:r>
      <w:r>
        <w:rPr>
          <w:color w:val="211F1F"/>
        </w:rPr>
        <w:t>the</w:t>
      </w:r>
      <w:r>
        <w:rPr>
          <w:color w:val="211F1F"/>
          <w:spacing w:val="-6"/>
        </w:rPr>
        <w:t xml:space="preserve"> </w:t>
      </w:r>
      <w:r>
        <w:rPr>
          <w:color w:val="211F1F"/>
        </w:rPr>
        <w:t>Contractor's</w:t>
      </w:r>
      <w:r>
        <w:rPr>
          <w:color w:val="211F1F"/>
          <w:spacing w:val="-2"/>
        </w:rPr>
        <w:t xml:space="preserve"> </w:t>
      </w:r>
      <w:r>
        <w:rPr>
          <w:color w:val="211F1F"/>
        </w:rPr>
        <w:t>forecast</w:t>
      </w:r>
      <w:r>
        <w:rPr>
          <w:color w:val="211F1F"/>
          <w:spacing w:val="-1"/>
        </w:rPr>
        <w:t xml:space="preserve"> </w:t>
      </w:r>
      <w:r>
        <w:rPr>
          <w:color w:val="211F1F"/>
        </w:rPr>
        <w:t>is</w:t>
      </w:r>
      <w:r>
        <w:rPr>
          <w:color w:val="211F1F"/>
          <w:spacing w:val="-3"/>
        </w:rPr>
        <w:t xml:space="preserve"> </w:t>
      </w:r>
      <w:r>
        <w:rPr>
          <w:color w:val="211F1F"/>
        </w:rPr>
        <w:t>deemed</w:t>
      </w:r>
      <w:r>
        <w:rPr>
          <w:color w:val="211F1F"/>
          <w:spacing w:val="-4"/>
        </w:rPr>
        <w:t xml:space="preserve"> </w:t>
      </w:r>
      <w:r>
        <w:rPr>
          <w:color w:val="211F1F"/>
        </w:rPr>
        <w:t>unreasonable, the</w:t>
      </w:r>
      <w:r>
        <w:rPr>
          <w:color w:val="211F1F"/>
          <w:spacing w:val="-5"/>
        </w:rPr>
        <w:t xml:space="preserve"> </w:t>
      </w:r>
      <w:r>
        <w:rPr>
          <w:color w:val="211F1F"/>
        </w:rPr>
        <w:t>Project Manager shall adjust the Contract Price based on the Project Manager's own forecast. The Project Manager shall assume that the Contractor shall react competently and promptly to the event.</w:t>
      </w:r>
    </w:p>
    <w:p w14:paraId="064554D7" w14:textId="77777777" w:rsidR="00BB77C0" w:rsidRDefault="00370BAA">
      <w:pPr>
        <w:pStyle w:val="BodyText"/>
        <w:spacing w:before="108"/>
        <w:rPr>
          <w:sz w:val="20"/>
        </w:rPr>
      </w:pPr>
      <w:r>
        <w:rPr>
          <w:noProof/>
          <w:sz w:val="20"/>
        </w:rPr>
        <mc:AlternateContent>
          <mc:Choice Requires="wps">
            <w:drawing>
              <wp:anchor distT="0" distB="0" distL="0" distR="0" simplePos="0" relativeHeight="487642112" behindDoc="1" locked="0" layoutInCell="1" allowOverlap="1" wp14:anchorId="65DDC8ED" wp14:editId="08721EBE">
                <wp:simplePos x="0" y="0"/>
                <wp:positionH relativeFrom="page">
                  <wp:posOffset>538480</wp:posOffset>
                </wp:positionH>
                <wp:positionV relativeFrom="paragraph">
                  <wp:posOffset>229857</wp:posOffset>
                </wp:positionV>
                <wp:extent cx="2795270" cy="1270"/>
                <wp:effectExtent l="0" t="0" r="0" b="0"/>
                <wp:wrapTopAndBottom/>
                <wp:docPr id="421" name="Graphic 4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5270" cy="1270"/>
                        </a:xfrm>
                        <a:custGeom>
                          <a:avLst/>
                          <a:gdLst/>
                          <a:ahLst/>
                          <a:cxnLst/>
                          <a:rect l="l" t="t" r="r" b="b"/>
                          <a:pathLst>
                            <a:path w="2795270">
                              <a:moveTo>
                                <a:pt x="0" y="0"/>
                              </a:moveTo>
                              <a:lnTo>
                                <a:pt x="2795270" y="0"/>
                              </a:lnTo>
                            </a:path>
                          </a:pathLst>
                        </a:custGeom>
                        <a:ln w="6350">
                          <a:solidFill>
                            <a:srgbClr val="211F1F"/>
                          </a:solidFill>
                          <a:prstDash val="solid"/>
                        </a:ln>
                      </wps:spPr>
                      <wps:bodyPr wrap="square" lIns="0" tIns="0" rIns="0" bIns="0" rtlCol="0">
                        <a:prstTxWarp prst="textNoShape">
                          <a:avLst/>
                        </a:prstTxWarp>
                        <a:noAutofit/>
                      </wps:bodyPr>
                    </wps:wsp>
                  </a:graphicData>
                </a:graphic>
              </wp:anchor>
            </w:drawing>
          </mc:Choice>
          <mc:Fallback>
            <w:pict>
              <v:shape w14:anchorId="51F09F1E" id="Graphic 421" o:spid="_x0000_s1026" style="position:absolute;margin-left:42.4pt;margin-top:18.1pt;width:220.1pt;height:.1pt;z-index:-15674368;visibility:visible;mso-wrap-style:square;mso-wrap-distance-left:0;mso-wrap-distance-top:0;mso-wrap-distance-right:0;mso-wrap-distance-bottom:0;mso-position-horizontal:absolute;mso-position-horizontal-relative:page;mso-position-vertical:absolute;mso-position-vertical-relative:text;v-text-anchor:top" coordsize="2795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" path="m,l2795270,e" filled="f" strokecolor="#211f1f" strokeweight=".5pt">
                <v:path arrowok="t"/>
                <w10:wrap type="topAndBottom" anchorx="page"/>
              </v:shape>
            </w:pict>
          </mc:Fallback>
        </mc:AlternateContent>
      </w:r>
    </w:p>
    <w:p w14:paraId="2CD48217" w14:textId="77777777" w:rsidR="00BB77C0" w:rsidRDefault="00370BAA">
      <w:pPr>
        <w:spacing w:line="203" w:lineRule="exact"/>
        <w:ind w:left="494"/>
        <w:rPr>
          <w:i/>
          <w:sz w:val="18"/>
        </w:rPr>
      </w:pPr>
      <w:r>
        <w:rPr>
          <w:i/>
          <w:color w:val="211F1F"/>
          <w:position w:val="8"/>
          <w:sz w:val="18"/>
        </w:rPr>
        <w:t>11</w:t>
      </w:r>
      <w:r>
        <w:rPr>
          <w:i/>
          <w:color w:val="211F1F"/>
          <w:sz w:val="18"/>
        </w:rPr>
        <w:t>In</w:t>
      </w:r>
      <w:r>
        <w:rPr>
          <w:i/>
          <w:color w:val="211F1F"/>
          <w:spacing w:val="-10"/>
          <w:sz w:val="18"/>
        </w:rPr>
        <w:t xml:space="preserve"> </w:t>
      </w:r>
      <w:r>
        <w:rPr>
          <w:i/>
          <w:color w:val="211F1F"/>
          <w:sz w:val="18"/>
        </w:rPr>
        <w:t>lump</w:t>
      </w:r>
      <w:r>
        <w:rPr>
          <w:i/>
          <w:color w:val="211F1F"/>
          <w:spacing w:val="-5"/>
          <w:sz w:val="18"/>
        </w:rPr>
        <w:t xml:space="preserve"> </w:t>
      </w:r>
      <w:r>
        <w:rPr>
          <w:i/>
          <w:color w:val="211F1F"/>
          <w:sz w:val="18"/>
        </w:rPr>
        <w:t>sum</w:t>
      </w:r>
      <w:r>
        <w:rPr>
          <w:i/>
          <w:color w:val="211F1F"/>
          <w:spacing w:val="-10"/>
          <w:sz w:val="18"/>
        </w:rPr>
        <w:t xml:space="preserve"> </w:t>
      </w:r>
      <w:r>
        <w:rPr>
          <w:i/>
          <w:color w:val="211F1F"/>
          <w:sz w:val="18"/>
        </w:rPr>
        <w:t>contracts,</w:t>
      </w:r>
      <w:r>
        <w:rPr>
          <w:i/>
          <w:color w:val="211F1F"/>
          <w:spacing w:val="-3"/>
          <w:sz w:val="18"/>
        </w:rPr>
        <w:t xml:space="preserve"> </w:t>
      </w:r>
      <w:r>
        <w:rPr>
          <w:i/>
          <w:color w:val="211F1F"/>
          <w:sz w:val="18"/>
        </w:rPr>
        <w:t>add</w:t>
      </w:r>
      <w:r>
        <w:rPr>
          <w:i/>
          <w:color w:val="211F1F"/>
          <w:spacing w:val="-4"/>
          <w:sz w:val="18"/>
        </w:rPr>
        <w:t xml:space="preserve"> </w:t>
      </w:r>
      <w:r>
        <w:rPr>
          <w:i/>
          <w:color w:val="211F1F"/>
          <w:sz w:val="18"/>
        </w:rPr>
        <w:t>“or</w:t>
      </w:r>
      <w:r>
        <w:rPr>
          <w:i/>
          <w:color w:val="211F1F"/>
          <w:spacing w:val="-4"/>
          <w:sz w:val="18"/>
        </w:rPr>
        <w:t xml:space="preserve"> </w:t>
      </w:r>
      <w:r>
        <w:rPr>
          <w:i/>
          <w:color w:val="211F1F"/>
          <w:sz w:val="18"/>
        </w:rPr>
        <w:t>Activity</w:t>
      </w:r>
      <w:r>
        <w:rPr>
          <w:i/>
          <w:color w:val="211F1F"/>
          <w:spacing w:val="-4"/>
          <w:sz w:val="18"/>
        </w:rPr>
        <w:t xml:space="preserve"> </w:t>
      </w:r>
      <w:r>
        <w:rPr>
          <w:i/>
          <w:color w:val="211F1F"/>
          <w:sz w:val="18"/>
        </w:rPr>
        <w:t>Schedule”</w:t>
      </w:r>
      <w:r>
        <w:rPr>
          <w:i/>
          <w:color w:val="211F1F"/>
          <w:spacing w:val="-5"/>
          <w:sz w:val="18"/>
        </w:rPr>
        <w:t xml:space="preserve"> </w:t>
      </w:r>
      <w:r>
        <w:rPr>
          <w:i/>
          <w:color w:val="211F1F"/>
          <w:sz w:val="18"/>
        </w:rPr>
        <w:t>after</w:t>
      </w:r>
      <w:r>
        <w:rPr>
          <w:i/>
          <w:color w:val="211F1F"/>
          <w:spacing w:val="-4"/>
          <w:sz w:val="18"/>
        </w:rPr>
        <w:t xml:space="preserve"> </w:t>
      </w:r>
      <w:r>
        <w:rPr>
          <w:i/>
          <w:color w:val="211F1F"/>
          <w:spacing w:val="-2"/>
          <w:sz w:val="18"/>
        </w:rPr>
        <w:t>“Program.”</w:t>
      </w:r>
    </w:p>
    <w:p w14:paraId="6F8F78DB" w14:textId="77777777" w:rsidR="00BB77C0" w:rsidRDefault="00370BAA">
      <w:pPr>
        <w:spacing w:before="1" w:line="228" w:lineRule="auto"/>
        <w:ind w:left="490" w:right="901"/>
        <w:rPr>
          <w:i/>
          <w:sz w:val="18"/>
        </w:rPr>
      </w:pPr>
      <w:r>
        <w:rPr>
          <w:i/>
          <w:color w:val="211F1F"/>
          <w:position w:val="8"/>
          <w:sz w:val="18"/>
        </w:rPr>
        <w:t>12</w:t>
      </w:r>
      <w:r>
        <w:rPr>
          <w:i/>
          <w:color w:val="211F1F"/>
          <w:sz w:val="18"/>
        </w:rPr>
        <w:t>In</w:t>
      </w:r>
      <w:r>
        <w:rPr>
          <w:i/>
          <w:color w:val="211F1F"/>
          <w:spacing w:val="-4"/>
          <w:sz w:val="18"/>
        </w:rPr>
        <w:t xml:space="preserve"> </w:t>
      </w:r>
      <w:r>
        <w:rPr>
          <w:i/>
          <w:color w:val="211F1F"/>
          <w:sz w:val="18"/>
        </w:rPr>
        <w:t>lump</w:t>
      </w:r>
      <w:r>
        <w:rPr>
          <w:i/>
          <w:color w:val="211F1F"/>
          <w:spacing w:val="-4"/>
          <w:sz w:val="18"/>
        </w:rPr>
        <w:t xml:space="preserve"> </w:t>
      </w:r>
      <w:r>
        <w:rPr>
          <w:i/>
          <w:color w:val="211F1F"/>
          <w:sz w:val="18"/>
        </w:rPr>
        <w:t>sum</w:t>
      </w:r>
      <w:r>
        <w:rPr>
          <w:i/>
          <w:color w:val="211F1F"/>
          <w:spacing w:val="-5"/>
          <w:sz w:val="18"/>
        </w:rPr>
        <w:t xml:space="preserve"> </w:t>
      </w:r>
      <w:r>
        <w:rPr>
          <w:i/>
          <w:color w:val="211F1F"/>
          <w:sz w:val="18"/>
        </w:rPr>
        <w:t>contracts,</w:t>
      </w:r>
      <w:r>
        <w:rPr>
          <w:i/>
          <w:color w:val="211F1F"/>
          <w:spacing w:val="-2"/>
          <w:sz w:val="18"/>
        </w:rPr>
        <w:t xml:space="preserve"> </w:t>
      </w:r>
      <w:r>
        <w:rPr>
          <w:i/>
          <w:color w:val="211F1F"/>
          <w:sz w:val="18"/>
        </w:rPr>
        <w:t>replace</w:t>
      </w:r>
      <w:r>
        <w:rPr>
          <w:i/>
          <w:color w:val="211F1F"/>
          <w:spacing w:val="-7"/>
          <w:sz w:val="18"/>
        </w:rPr>
        <w:t xml:space="preserve"> </w:t>
      </w:r>
      <w:r>
        <w:rPr>
          <w:i/>
          <w:color w:val="211F1F"/>
          <w:sz w:val="18"/>
        </w:rPr>
        <w:t>this</w:t>
      </w:r>
      <w:r>
        <w:rPr>
          <w:i/>
          <w:color w:val="211F1F"/>
          <w:spacing w:val="-3"/>
          <w:sz w:val="18"/>
        </w:rPr>
        <w:t xml:space="preserve"> </w:t>
      </w:r>
      <w:r>
        <w:rPr>
          <w:i/>
          <w:color w:val="211F1F"/>
          <w:sz w:val="18"/>
        </w:rPr>
        <w:t>paragraph</w:t>
      </w:r>
      <w:r>
        <w:rPr>
          <w:i/>
          <w:color w:val="211F1F"/>
          <w:spacing w:val="-1"/>
          <w:sz w:val="18"/>
        </w:rPr>
        <w:t xml:space="preserve"> </w:t>
      </w:r>
      <w:r>
        <w:rPr>
          <w:i/>
          <w:color w:val="211F1F"/>
          <w:sz w:val="18"/>
        </w:rPr>
        <w:t>with</w:t>
      </w:r>
      <w:r>
        <w:rPr>
          <w:i/>
          <w:color w:val="211F1F"/>
          <w:spacing w:val="-3"/>
          <w:sz w:val="18"/>
        </w:rPr>
        <w:t xml:space="preserve"> </w:t>
      </w:r>
      <w:r>
        <w:rPr>
          <w:i/>
          <w:color w:val="211F1F"/>
          <w:sz w:val="18"/>
        </w:rPr>
        <w:t>the</w:t>
      </w:r>
      <w:r>
        <w:rPr>
          <w:i/>
          <w:color w:val="211F1F"/>
          <w:spacing w:val="-8"/>
          <w:sz w:val="18"/>
        </w:rPr>
        <w:t xml:space="preserve"> </w:t>
      </w:r>
      <w:r>
        <w:rPr>
          <w:i/>
          <w:color w:val="211F1F"/>
          <w:sz w:val="18"/>
        </w:rPr>
        <w:t>following: “The</w:t>
      </w:r>
      <w:r>
        <w:rPr>
          <w:i/>
          <w:color w:val="211F1F"/>
          <w:spacing w:val="-8"/>
          <w:sz w:val="18"/>
        </w:rPr>
        <w:t xml:space="preserve"> </w:t>
      </w:r>
      <w:r>
        <w:rPr>
          <w:i/>
          <w:color w:val="211F1F"/>
          <w:sz w:val="18"/>
        </w:rPr>
        <w:t>value</w:t>
      </w:r>
      <w:r>
        <w:rPr>
          <w:i/>
          <w:color w:val="211F1F"/>
          <w:spacing w:val="-3"/>
          <w:sz w:val="18"/>
        </w:rPr>
        <w:t xml:space="preserve"> </w:t>
      </w:r>
      <w:r>
        <w:rPr>
          <w:i/>
          <w:color w:val="211F1F"/>
          <w:sz w:val="18"/>
        </w:rPr>
        <w:t>of</w:t>
      </w:r>
      <w:r>
        <w:rPr>
          <w:i/>
          <w:color w:val="211F1F"/>
          <w:spacing w:val="-2"/>
          <w:sz w:val="18"/>
        </w:rPr>
        <w:t xml:space="preserve"> </w:t>
      </w:r>
      <w:r>
        <w:rPr>
          <w:i/>
          <w:color w:val="211F1F"/>
          <w:sz w:val="18"/>
        </w:rPr>
        <w:t>work</w:t>
      </w:r>
      <w:r>
        <w:rPr>
          <w:i/>
          <w:color w:val="211F1F"/>
          <w:spacing w:val="-4"/>
          <w:sz w:val="18"/>
        </w:rPr>
        <w:t xml:space="preserve"> </w:t>
      </w:r>
      <w:r>
        <w:rPr>
          <w:i/>
          <w:color w:val="211F1F"/>
          <w:sz w:val="18"/>
        </w:rPr>
        <w:t>executed</w:t>
      </w:r>
      <w:r>
        <w:rPr>
          <w:i/>
          <w:color w:val="211F1F"/>
          <w:spacing w:val="-1"/>
          <w:sz w:val="18"/>
        </w:rPr>
        <w:t xml:space="preserve"> </w:t>
      </w:r>
      <w:r>
        <w:rPr>
          <w:i/>
          <w:color w:val="211F1F"/>
          <w:sz w:val="18"/>
        </w:rPr>
        <w:t>shall</w:t>
      </w:r>
      <w:r>
        <w:rPr>
          <w:i/>
          <w:color w:val="211F1F"/>
          <w:spacing w:val="-1"/>
          <w:sz w:val="18"/>
        </w:rPr>
        <w:t xml:space="preserve"> </w:t>
      </w:r>
      <w:r>
        <w:rPr>
          <w:i/>
          <w:color w:val="211F1F"/>
          <w:sz w:val="18"/>
        </w:rPr>
        <w:t>comprise</w:t>
      </w:r>
      <w:r>
        <w:rPr>
          <w:i/>
          <w:color w:val="211F1F"/>
          <w:spacing w:val="-8"/>
          <w:sz w:val="18"/>
        </w:rPr>
        <w:t xml:space="preserve"> </w:t>
      </w:r>
      <w:r>
        <w:rPr>
          <w:i/>
          <w:color w:val="211F1F"/>
          <w:sz w:val="18"/>
        </w:rPr>
        <w:t>the</w:t>
      </w:r>
      <w:r>
        <w:rPr>
          <w:i/>
          <w:color w:val="211F1F"/>
          <w:spacing w:val="-4"/>
          <w:sz w:val="18"/>
        </w:rPr>
        <w:t xml:space="preserve"> </w:t>
      </w:r>
      <w:r>
        <w:rPr>
          <w:i/>
          <w:color w:val="211F1F"/>
          <w:sz w:val="18"/>
        </w:rPr>
        <w:t>value</w:t>
      </w:r>
      <w:r>
        <w:rPr>
          <w:i/>
          <w:color w:val="211F1F"/>
          <w:spacing w:val="-8"/>
          <w:sz w:val="18"/>
        </w:rPr>
        <w:t xml:space="preserve"> </w:t>
      </w:r>
      <w:r>
        <w:rPr>
          <w:i/>
          <w:color w:val="211F1F"/>
          <w:sz w:val="18"/>
        </w:rPr>
        <w:t>of</w:t>
      </w:r>
      <w:r>
        <w:rPr>
          <w:i/>
          <w:color w:val="211F1F"/>
          <w:spacing w:val="-2"/>
          <w:sz w:val="18"/>
        </w:rPr>
        <w:t xml:space="preserve"> </w:t>
      </w:r>
      <w:r>
        <w:rPr>
          <w:i/>
          <w:color w:val="211F1F"/>
          <w:sz w:val="18"/>
        </w:rPr>
        <w:t>completed activities in the Activity Schedule.”</w:t>
      </w:r>
    </w:p>
    <w:p w14:paraId="6E1C54DA" w14:textId="77777777" w:rsidR="00BB77C0" w:rsidRDefault="00BB77C0">
      <w:pPr>
        <w:spacing w:line="228" w:lineRule="auto"/>
        <w:rPr>
          <w:i/>
          <w:sz w:val="18"/>
        </w:rPr>
        <w:sectPr w:rsidR="00BB77C0">
          <w:pgSz w:w="11920" w:h="16850"/>
          <w:pgMar w:top="260" w:right="0" w:bottom="280" w:left="360" w:header="720" w:footer="720" w:gutter="0"/>
          <w:cols w:space="720"/>
        </w:sectPr>
      </w:pPr>
    </w:p>
    <w:p w14:paraId="4FF03398" w14:textId="77777777" w:rsidR="00BB77C0" w:rsidRDefault="00370BAA">
      <w:pPr>
        <w:pStyle w:val="ListParagraph"/>
        <w:numPr>
          <w:ilvl w:val="1"/>
          <w:numId w:val="23"/>
        </w:numPr>
        <w:tabs>
          <w:tab w:val="left" w:pos="1168"/>
          <w:tab w:val="left" w:pos="1171"/>
        </w:tabs>
        <w:spacing w:before="74" w:line="230" w:lineRule="auto"/>
        <w:ind w:right="839" w:hanging="360"/>
        <w:jc w:val="both"/>
        <w:rPr>
          <w:color w:val="211F1F"/>
        </w:rPr>
      </w:pPr>
      <w:r>
        <w:rPr>
          <w:color w:val="211F1F"/>
        </w:rPr>
        <w:lastRenderedPageBreak/>
        <w:t xml:space="preserve">The Contractor shall not be entitled to compensation to the extent that the Procuring Entity's interests are </w:t>
      </w:r>
      <w:r>
        <w:rPr>
          <w:color w:val="211F1F"/>
          <w:spacing w:val="-2"/>
        </w:rPr>
        <w:t>adversely</w:t>
      </w:r>
      <w:r>
        <w:rPr>
          <w:color w:val="211F1F"/>
          <w:spacing w:val="-6"/>
        </w:rPr>
        <w:t xml:space="preserve"> </w:t>
      </w:r>
      <w:r>
        <w:rPr>
          <w:color w:val="211F1F"/>
          <w:spacing w:val="-2"/>
        </w:rPr>
        <w:t>affected by</w:t>
      </w:r>
      <w:r>
        <w:rPr>
          <w:color w:val="211F1F"/>
          <w:spacing w:val="-12"/>
        </w:rPr>
        <w:t xml:space="preserve"> </w:t>
      </w:r>
      <w:r>
        <w:rPr>
          <w:color w:val="211F1F"/>
          <w:spacing w:val="-2"/>
        </w:rPr>
        <w:t>the</w:t>
      </w:r>
      <w:r>
        <w:rPr>
          <w:color w:val="211F1F"/>
          <w:spacing w:val="-12"/>
        </w:rPr>
        <w:t xml:space="preserve"> </w:t>
      </w:r>
      <w:r>
        <w:rPr>
          <w:color w:val="211F1F"/>
          <w:spacing w:val="-2"/>
        </w:rPr>
        <w:t>Contractor's</w:t>
      </w:r>
      <w:r>
        <w:rPr>
          <w:color w:val="211F1F"/>
          <w:spacing w:val="-7"/>
        </w:rPr>
        <w:t xml:space="preserve"> </w:t>
      </w:r>
      <w:r>
        <w:rPr>
          <w:color w:val="211F1F"/>
          <w:spacing w:val="-2"/>
        </w:rPr>
        <w:t>not</w:t>
      </w:r>
      <w:r>
        <w:rPr>
          <w:color w:val="211F1F"/>
          <w:spacing w:val="-8"/>
        </w:rPr>
        <w:t xml:space="preserve"> </w:t>
      </w:r>
      <w:r>
        <w:rPr>
          <w:color w:val="211F1F"/>
          <w:spacing w:val="-2"/>
        </w:rPr>
        <w:t>having</w:t>
      </w:r>
      <w:r>
        <w:rPr>
          <w:color w:val="211F1F"/>
          <w:spacing w:val="-9"/>
        </w:rPr>
        <w:t xml:space="preserve"> </w:t>
      </w:r>
      <w:r>
        <w:rPr>
          <w:color w:val="211F1F"/>
          <w:spacing w:val="-2"/>
        </w:rPr>
        <w:t>given</w:t>
      </w:r>
      <w:r>
        <w:rPr>
          <w:color w:val="211F1F"/>
          <w:spacing w:val="-9"/>
        </w:rPr>
        <w:t xml:space="preserve"> </w:t>
      </w:r>
      <w:r>
        <w:rPr>
          <w:color w:val="211F1F"/>
          <w:spacing w:val="-2"/>
        </w:rPr>
        <w:t>early</w:t>
      </w:r>
      <w:r>
        <w:rPr>
          <w:color w:val="211F1F"/>
          <w:spacing w:val="-9"/>
        </w:rPr>
        <w:t xml:space="preserve"> </w:t>
      </w:r>
      <w:r>
        <w:rPr>
          <w:color w:val="211F1F"/>
          <w:spacing w:val="-2"/>
        </w:rPr>
        <w:t>warning</w:t>
      </w:r>
      <w:r>
        <w:rPr>
          <w:color w:val="211F1F"/>
          <w:spacing w:val="-9"/>
        </w:rPr>
        <w:t xml:space="preserve"> </w:t>
      </w:r>
      <w:r>
        <w:rPr>
          <w:color w:val="211F1F"/>
          <w:spacing w:val="-2"/>
        </w:rPr>
        <w:t>or</w:t>
      </w:r>
      <w:r>
        <w:rPr>
          <w:color w:val="211F1F"/>
          <w:spacing w:val="-6"/>
        </w:rPr>
        <w:t xml:space="preserve"> </w:t>
      </w:r>
      <w:r>
        <w:rPr>
          <w:color w:val="211F1F"/>
          <w:spacing w:val="-2"/>
        </w:rPr>
        <w:t>not</w:t>
      </w:r>
      <w:r>
        <w:rPr>
          <w:color w:val="211F1F"/>
          <w:spacing w:val="-4"/>
        </w:rPr>
        <w:t xml:space="preserve"> </w:t>
      </w:r>
      <w:r>
        <w:rPr>
          <w:color w:val="211F1F"/>
          <w:spacing w:val="-2"/>
        </w:rPr>
        <w:t>having</w:t>
      </w:r>
      <w:r>
        <w:rPr>
          <w:color w:val="211F1F"/>
          <w:spacing w:val="-12"/>
        </w:rPr>
        <w:t xml:space="preserve"> </w:t>
      </w:r>
      <w:r>
        <w:rPr>
          <w:color w:val="211F1F"/>
          <w:spacing w:val="-2"/>
        </w:rPr>
        <w:t>cooperated</w:t>
      </w:r>
      <w:r>
        <w:rPr>
          <w:color w:val="211F1F"/>
          <w:spacing w:val="-12"/>
        </w:rPr>
        <w:t xml:space="preserve"> </w:t>
      </w:r>
      <w:r>
        <w:rPr>
          <w:color w:val="211F1F"/>
          <w:spacing w:val="-2"/>
        </w:rPr>
        <w:t>with</w:t>
      </w:r>
      <w:r>
        <w:rPr>
          <w:color w:val="211F1F"/>
          <w:spacing w:val="-8"/>
        </w:rPr>
        <w:t xml:space="preserve"> </w:t>
      </w:r>
      <w:r>
        <w:rPr>
          <w:color w:val="211F1F"/>
          <w:spacing w:val="-2"/>
        </w:rPr>
        <w:t>the</w:t>
      </w:r>
      <w:r>
        <w:rPr>
          <w:color w:val="211F1F"/>
          <w:spacing w:val="-11"/>
        </w:rPr>
        <w:t xml:space="preserve"> </w:t>
      </w:r>
      <w:r>
        <w:rPr>
          <w:color w:val="211F1F"/>
          <w:spacing w:val="-2"/>
        </w:rPr>
        <w:t>Project Manager.</w:t>
      </w:r>
    </w:p>
    <w:p w14:paraId="4CF8268F" w14:textId="77777777" w:rsidR="00BB77C0" w:rsidRDefault="00370BAA">
      <w:pPr>
        <w:pStyle w:val="Heading7"/>
        <w:numPr>
          <w:ilvl w:val="0"/>
          <w:numId w:val="23"/>
        </w:numPr>
        <w:tabs>
          <w:tab w:val="left" w:pos="1075"/>
        </w:tabs>
        <w:spacing w:before="243"/>
        <w:ind w:left="1075" w:hanging="355"/>
        <w:jc w:val="left"/>
      </w:pPr>
      <w:bookmarkStart w:id="230" w:name="43._Tax"/>
      <w:bookmarkEnd w:id="230"/>
      <w:r>
        <w:rPr>
          <w:color w:val="211F1F"/>
          <w:spacing w:val="-5"/>
        </w:rPr>
        <w:t>Tax</w:t>
      </w:r>
    </w:p>
    <w:p w14:paraId="66EC1BB5" w14:textId="77777777" w:rsidR="00BB77C0" w:rsidRDefault="00370BAA">
      <w:pPr>
        <w:pStyle w:val="ListParagraph"/>
        <w:numPr>
          <w:ilvl w:val="1"/>
          <w:numId w:val="23"/>
        </w:numPr>
        <w:tabs>
          <w:tab w:val="left" w:pos="1168"/>
          <w:tab w:val="left" w:pos="1171"/>
        </w:tabs>
        <w:spacing w:before="192" w:line="230" w:lineRule="auto"/>
        <w:ind w:right="833" w:hanging="360"/>
        <w:jc w:val="both"/>
        <w:rPr>
          <w:color w:val="211F1F"/>
        </w:rPr>
      </w:pPr>
      <w:r>
        <w:rPr>
          <w:color w:val="211F1F"/>
          <w:spacing w:val="-4"/>
        </w:rPr>
        <w:t>The</w:t>
      </w:r>
      <w:r>
        <w:rPr>
          <w:color w:val="211F1F"/>
          <w:spacing w:val="-10"/>
        </w:rPr>
        <w:t xml:space="preserve"> </w:t>
      </w:r>
      <w:r>
        <w:rPr>
          <w:color w:val="211F1F"/>
          <w:spacing w:val="-4"/>
        </w:rPr>
        <w:t>Project</w:t>
      </w:r>
      <w:r>
        <w:rPr>
          <w:color w:val="211F1F"/>
          <w:spacing w:val="-5"/>
        </w:rPr>
        <w:t xml:space="preserve"> </w:t>
      </w:r>
      <w:r>
        <w:rPr>
          <w:color w:val="211F1F"/>
          <w:spacing w:val="-4"/>
        </w:rPr>
        <w:t>Manager shall</w:t>
      </w:r>
      <w:r>
        <w:rPr>
          <w:color w:val="211F1F"/>
          <w:spacing w:val="-6"/>
        </w:rPr>
        <w:t xml:space="preserve"> </w:t>
      </w:r>
      <w:r>
        <w:rPr>
          <w:color w:val="211F1F"/>
          <w:spacing w:val="-4"/>
        </w:rPr>
        <w:t>adjust the</w:t>
      </w:r>
      <w:r>
        <w:rPr>
          <w:color w:val="211F1F"/>
          <w:spacing w:val="-9"/>
        </w:rPr>
        <w:t xml:space="preserve"> </w:t>
      </w:r>
      <w:r>
        <w:rPr>
          <w:color w:val="211F1F"/>
          <w:spacing w:val="-4"/>
        </w:rPr>
        <w:t>Contract Price</w:t>
      </w:r>
      <w:r>
        <w:rPr>
          <w:color w:val="211F1F"/>
          <w:spacing w:val="-9"/>
        </w:rPr>
        <w:t xml:space="preserve"> </w:t>
      </w:r>
      <w:r>
        <w:rPr>
          <w:color w:val="211F1F"/>
          <w:spacing w:val="-4"/>
        </w:rPr>
        <w:t>if</w:t>
      </w:r>
      <w:r>
        <w:rPr>
          <w:color w:val="211F1F"/>
          <w:spacing w:val="-9"/>
        </w:rPr>
        <w:t xml:space="preserve"> </w:t>
      </w:r>
      <w:r>
        <w:rPr>
          <w:color w:val="211F1F"/>
          <w:spacing w:val="-4"/>
        </w:rPr>
        <w:t>taxes, duties, and</w:t>
      </w:r>
      <w:r>
        <w:rPr>
          <w:color w:val="211F1F"/>
          <w:spacing w:val="-6"/>
        </w:rPr>
        <w:t xml:space="preserve"> </w:t>
      </w:r>
      <w:r>
        <w:rPr>
          <w:color w:val="211F1F"/>
          <w:spacing w:val="-4"/>
        </w:rPr>
        <w:t>other levies are</w:t>
      </w:r>
      <w:r>
        <w:rPr>
          <w:color w:val="211F1F"/>
          <w:spacing w:val="-10"/>
        </w:rPr>
        <w:t xml:space="preserve"> </w:t>
      </w:r>
      <w:r>
        <w:rPr>
          <w:color w:val="211F1F"/>
          <w:spacing w:val="-4"/>
        </w:rPr>
        <w:t>changed</w:t>
      </w:r>
      <w:r>
        <w:rPr>
          <w:color w:val="211F1F"/>
          <w:spacing w:val="-7"/>
        </w:rPr>
        <w:t xml:space="preserve"> </w:t>
      </w:r>
      <w:r>
        <w:rPr>
          <w:color w:val="211F1F"/>
          <w:spacing w:val="-4"/>
        </w:rPr>
        <w:t xml:space="preserve">betweenthe date </w:t>
      </w:r>
      <w:r>
        <w:rPr>
          <w:color w:val="211F1F"/>
        </w:rPr>
        <w:t>30 days before the submission of bids for the Contract and the date of the last Completion certificate. The adjustment</w:t>
      </w:r>
      <w:r>
        <w:rPr>
          <w:color w:val="211F1F"/>
          <w:spacing w:val="-1"/>
        </w:rPr>
        <w:t xml:space="preserve"> </w:t>
      </w:r>
      <w:r>
        <w:rPr>
          <w:color w:val="211F1F"/>
        </w:rPr>
        <w:t>shall</w:t>
      </w:r>
      <w:r>
        <w:rPr>
          <w:color w:val="211F1F"/>
          <w:spacing w:val="-6"/>
        </w:rPr>
        <w:t xml:space="preserve"> </w:t>
      </w:r>
      <w:r>
        <w:rPr>
          <w:color w:val="211F1F"/>
        </w:rPr>
        <w:t>be</w:t>
      </w:r>
      <w:r>
        <w:rPr>
          <w:color w:val="211F1F"/>
          <w:spacing w:val="-14"/>
        </w:rPr>
        <w:t xml:space="preserve"> </w:t>
      </w:r>
      <w:r>
        <w:rPr>
          <w:color w:val="211F1F"/>
        </w:rPr>
        <w:t>the</w:t>
      </w:r>
      <w:r>
        <w:rPr>
          <w:color w:val="211F1F"/>
          <w:spacing w:val="-9"/>
        </w:rPr>
        <w:t xml:space="preserve"> </w:t>
      </w:r>
      <w:r>
        <w:rPr>
          <w:color w:val="211F1F"/>
        </w:rPr>
        <w:t>change</w:t>
      </w:r>
      <w:r>
        <w:rPr>
          <w:color w:val="211F1F"/>
          <w:spacing w:val="-4"/>
        </w:rPr>
        <w:t xml:space="preserve"> </w:t>
      </w:r>
      <w:r>
        <w:rPr>
          <w:color w:val="211F1F"/>
        </w:rPr>
        <w:t>in</w:t>
      </w:r>
      <w:r>
        <w:rPr>
          <w:color w:val="211F1F"/>
          <w:spacing w:val="-12"/>
        </w:rPr>
        <w:t xml:space="preserve"> </w:t>
      </w:r>
      <w:r>
        <w:rPr>
          <w:color w:val="211F1F"/>
        </w:rPr>
        <w:t>the</w:t>
      </w:r>
      <w:r>
        <w:rPr>
          <w:color w:val="211F1F"/>
          <w:spacing w:val="-9"/>
        </w:rPr>
        <w:t xml:space="preserve"> </w:t>
      </w:r>
      <w:r>
        <w:rPr>
          <w:color w:val="211F1F"/>
        </w:rPr>
        <w:t>amount</w:t>
      </w:r>
      <w:r>
        <w:rPr>
          <w:color w:val="211F1F"/>
          <w:spacing w:val="-1"/>
        </w:rPr>
        <w:t xml:space="preserve"> </w:t>
      </w:r>
      <w:r>
        <w:rPr>
          <w:color w:val="211F1F"/>
        </w:rPr>
        <w:t>of</w:t>
      </w:r>
      <w:r>
        <w:rPr>
          <w:color w:val="211F1F"/>
          <w:spacing w:val="-9"/>
        </w:rPr>
        <w:t xml:space="preserve"> </w:t>
      </w:r>
      <w:r>
        <w:rPr>
          <w:color w:val="211F1F"/>
        </w:rPr>
        <w:t>tax</w:t>
      </w:r>
      <w:r>
        <w:rPr>
          <w:color w:val="211F1F"/>
          <w:spacing w:val="-7"/>
        </w:rPr>
        <w:t xml:space="preserve"> </w:t>
      </w:r>
      <w:r>
        <w:rPr>
          <w:color w:val="211F1F"/>
        </w:rPr>
        <w:t>payable</w:t>
      </w:r>
      <w:r>
        <w:rPr>
          <w:color w:val="211F1F"/>
          <w:spacing w:val="-9"/>
        </w:rPr>
        <w:t xml:space="preserve"> </w:t>
      </w:r>
      <w:r>
        <w:rPr>
          <w:color w:val="211F1F"/>
        </w:rPr>
        <w:t>by</w:t>
      </w:r>
      <w:r>
        <w:rPr>
          <w:color w:val="211F1F"/>
          <w:spacing w:val="-7"/>
        </w:rPr>
        <w:t xml:space="preserve"> </w:t>
      </w:r>
      <w:r>
        <w:rPr>
          <w:color w:val="211F1F"/>
        </w:rPr>
        <w:t>the</w:t>
      </w:r>
      <w:r>
        <w:rPr>
          <w:color w:val="211F1F"/>
          <w:spacing w:val="-9"/>
        </w:rPr>
        <w:t xml:space="preserve"> </w:t>
      </w:r>
      <w:r>
        <w:rPr>
          <w:color w:val="211F1F"/>
        </w:rPr>
        <w:t>Contractor,</w:t>
      </w:r>
      <w:r>
        <w:rPr>
          <w:color w:val="211F1F"/>
          <w:spacing w:val="-3"/>
        </w:rPr>
        <w:t xml:space="preserve"> </w:t>
      </w:r>
      <w:r>
        <w:rPr>
          <w:color w:val="211F1F"/>
        </w:rPr>
        <w:t>provided</w:t>
      </w:r>
      <w:r>
        <w:rPr>
          <w:color w:val="211F1F"/>
          <w:spacing w:val="-11"/>
        </w:rPr>
        <w:t xml:space="preserve"> </w:t>
      </w:r>
      <w:r>
        <w:rPr>
          <w:color w:val="211F1F"/>
        </w:rPr>
        <w:t>such</w:t>
      </w:r>
      <w:r>
        <w:rPr>
          <w:color w:val="211F1F"/>
          <w:spacing w:val="-7"/>
        </w:rPr>
        <w:t xml:space="preserve"> </w:t>
      </w:r>
      <w:r>
        <w:rPr>
          <w:color w:val="211F1F"/>
        </w:rPr>
        <w:t>changes</w:t>
      </w:r>
      <w:r>
        <w:rPr>
          <w:color w:val="211F1F"/>
          <w:spacing w:val="-6"/>
        </w:rPr>
        <w:t xml:space="preserve"> </w:t>
      </w:r>
      <w:r>
        <w:rPr>
          <w:color w:val="211F1F"/>
        </w:rPr>
        <w:t>are</w:t>
      </w:r>
      <w:r>
        <w:rPr>
          <w:color w:val="211F1F"/>
          <w:spacing w:val="-4"/>
        </w:rPr>
        <w:t xml:space="preserve"> </w:t>
      </w:r>
      <w:r>
        <w:rPr>
          <w:color w:val="211F1F"/>
        </w:rPr>
        <w:t>not already</w:t>
      </w:r>
      <w:r>
        <w:rPr>
          <w:color w:val="211F1F"/>
          <w:spacing w:val="-4"/>
        </w:rPr>
        <w:t xml:space="preserve"> </w:t>
      </w:r>
      <w:r>
        <w:rPr>
          <w:color w:val="211F1F"/>
        </w:rPr>
        <w:t>reflected</w:t>
      </w:r>
      <w:r>
        <w:rPr>
          <w:color w:val="211F1F"/>
          <w:spacing w:val="-11"/>
        </w:rPr>
        <w:t xml:space="preserve"> </w:t>
      </w:r>
      <w:r>
        <w:rPr>
          <w:color w:val="211F1F"/>
        </w:rPr>
        <w:t>in</w:t>
      </w:r>
      <w:r>
        <w:rPr>
          <w:color w:val="211F1F"/>
          <w:spacing w:val="-5"/>
        </w:rPr>
        <w:t xml:space="preserve"> </w:t>
      </w:r>
      <w:r>
        <w:rPr>
          <w:color w:val="211F1F"/>
        </w:rPr>
        <w:t>the</w:t>
      </w:r>
      <w:r>
        <w:rPr>
          <w:color w:val="211F1F"/>
          <w:spacing w:val="-8"/>
        </w:rPr>
        <w:t xml:space="preserve"> </w:t>
      </w:r>
      <w:r>
        <w:rPr>
          <w:color w:val="211F1F"/>
        </w:rPr>
        <w:t>Contract Price</w:t>
      </w:r>
      <w:r>
        <w:rPr>
          <w:color w:val="211F1F"/>
          <w:spacing w:val="-8"/>
        </w:rPr>
        <w:t xml:space="preserve"> </w:t>
      </w:r>
      <w:r>
        <w:rPr>
          <w:color w:val="211F1F"/>
        </w:rPr>
        <w:t>or are</w:t>
      </w:r>
      <w:r>
        <w:rPr>
          <w:color w:val="211F1F"/>
          <w:spacing w:val="-7"/>
        </w:rPr>
        <w:t xml:space="preserve"> </w:t>
      </w:r>
      <w:r>
        <w:rPr>
          <w:color w:val="211F1F"/>
        </w:rPr>
        <w:t>a</w:t>
      </w:r>
      <w:r>
        <w:rPr>
          <w:color w:val="211F1F"/>
          <w:spacing w:val="-2"/>
        </w:rPr>
        <w:t xml:space="preserve"> </w:t>
      </w:r>
      <w:r>
        <w:rPr>
          <w:color w:val="211F1F"/>
        </w:rPr>
        <w:t>result of</w:t>
      </w:r>
      <w:r>
        <w:rPr>
          <w:color w:val="211F1F"/>
          <w:spacing w:val="-2"/>
        </w:rPr>
        <w:t xml:space="preserve"> </w:t>
      </w:r>
      <w:r>
        <w:rPr>
          <w:color w:val="211F1F"/>
        </w:rPr>
        <w:t>GCC</w:t>
      </w:r>
      <w:r>
        <w:rPr>
          <w:color w:val="211F1F"/>
          <w:spacing w:val="-3"/>
        </w:rPr>
        <w:t xml:space="preserve"> </w:t>
      </w:r>
      <w:r>
        <w:rPr>
          <w:color w:val="211F1F"/>
        </w:rPr>
        <w:t>Clause</w:t>
      </w:r>
      <w:r>
        <w:rPr>
          <w:color w:val="211F1F"/>
          <w:spacing w:val="-7"/>
        </w:rPr>
        <w:t xml:space="preserve"> </w:t>
      </w:r>
      <w:r>
        <w:rPr>
          <w:color w:val="211F1F"/>
        </w:rPr>
        <w:t>44.</w:t>
      </w:r>
    </w:p>
    <w:p w14:paraId="0AEFCDD7" w14:textId="77777777" w:rsidR="00BB77C0" w:rsidRDefault="00370BAA">
      <w:pPr>
        <w:pStyle w:val="Heading7"/>
        <w:numPr>
          <w:ilvl w:val="0"/>
          <w:numId w:val="23"/>
        </w:numPr>
        <w:tabs>
          <w:tab w:val="left" w:pos="1075"/>
        </w:tabs>
        <w:spacing w:before="245"/>
        <w:ind w:left="1075" w:hanging="355"/>
        <w:jc w:val="left"/>
      </w:pPr>
      <w:bookmarkStart w:id="231" w:name="44._Currency_y_of_Payment"/>
      <w:bookmarkEnd w:id="231"/>
      <w:r>
        <w:rPr>
          <w:color w:val="211F1F"/>
          <w:spacing w:val="-2"/>
        </w:rPr>
        <w:t>Currency</w:t>
      </w:r>
      <w:r>
        <w:rPr>
          <w:color w:val="211F1F"/>
          <w:spacing w:val="-17"/>
        </w:rPr>
        <w:t xml:space="preserve"> </w:t>
      </w:r>
      <w:r>
        <w:rPr>
          <w:color w:val="211F1F"/>
          <w:spacing w:val="-2"/>
        </w:rPr>
        <w:t>y</w:t>
      </w:r>
      <w:r>
        <w:rPr>
          <w:color w:val="211F1F"/>
          <w:spacing w:val="-22"/>
        </w:rPr>
        <w:t xml:space="preserve"> </w:t>
      </w:r>
      <w:r>
        <w:rPr>
          <w:color w:val="211F1F"/>
          <w:spacing w:val="-2"/>
        </w:rPr>
        <w:t>of</w:t>
      </w:r>
      <w:r>
        <w:rPr>
          <w:color w:val="211F1F"/>
          <w:spacing w:val="-19"/>
        </w:rPr>
        <w:t xml:space="preserve"> </w:t>
      </w:r>
      <w:r>
        <w:rPr>
          <w:color w:val="211F1F"/>
          <w:spacing w:val="-2"/>
        </w:rPr>
        <w:t>Payment</w:t>
      </w:r>
    </w:p>
    <w:p w14:paraId="2CB877D7" w14:textId="77777777" w:rsidR="00BB77C0" w:rsidRDefault="00370BAA">
      <w:pPr>
        <w:pStyle w:val="ListParagraph"/>
        <w:numPr>
          <w:ilvl w:val="1"/>
          <w:numId w:val="23"/>
        </w:numPr>
        <w:tabs>
          <w:tab w:val="left" w:pos="1168"/>
        </w:tabs>
        <w:spacing w:before="183"/>
        <w:ind w:left="1168" w:hanging="357"/>
        <w:rPr>
          <w:color w:val="211F1F"/>
        </w:rPr>
      </w:pPr>
      <w:r>
        <w:rPr>
          <w:color w:val="211F1F"/>
          <w:spacing w:val="-4"/>
        </w:rPr>
        <w:t>All</w:t>
      </w:r>
      <w:r>
        <w:rPr>
          <w:color w:val="211F1F"/>
          <w:spacing w:val="-10"/>
        </w:rPr>
        <w:t xml:space="preserve"> </w:t>
      </w:r>
      <w:r>
        <w:rPr>
          <w:color w:val="211F1F"/>
          <w:spacing w:val="-4"/>
        </w:rPr>
        <w:t>payments</w:t>
      </w:r>
      <w:r>
        <w:rPr>
          <w:color w:val="211F1F"/>
          <w:spacing w:val="-9"/>
        </w:rPr>
        <w:t xml:space="preserve"> </w:t>
      </w:r>
      <w:r>
        <w:rPr>
          <w:color w:val="211F1F"/>
          <w:spacing w:val="-4"/>
        </w:rPr>
        <w:t>under</w:t>
      </w:r>
      <w:r>
        <w:rPr>
          <w:color w:val="211F1F"/>
          <w:spacing w:val="-1"/>
        </w:rPr>
        <w:t xml:space="preserve"> </w:t>
      </w:r>
      <w:r>
        <w:rPr>
          <w:color w:val="211F1F"/>
          <w:spacing w:val="-4"/>
        </w:rPr>
        <w:t>the</w:t>
      </w:r>
      <w:r>
        <w:rPr>
          <w:color w:val="211F1F"/>
          <w:spacing w:val="-18"/>
        </w:rPr>
        <w:t xml:space="preserve"> </w:t>
      </w:r>
      <w:r>
        <w:rPr>
          <w:color w:val="211F1F"/>
          <w:spacing w:val="-4"/>
        </w:rPr>
        <w:t>contract</w:t>
      </w:r>
      <w:r>
        <w:rPr>
          <w:color w:val="211F1F"/>
          <w:spacing w:val="-9"/>
        </w:rPr>
        <w:t xml:space="preserve"> </w:t>
      </w:r>
      <w:r>
        <w:rPr>
          <w:color w:val="211F1F"/>
          <w:spacing w:val="-4"/>
        </w:rPr>
        <w:t>shall</w:t>
      </w:r>
      <w:r>
        <w:rPr>
          <w:color w:val="211F1F"/>
          <w:spacing w:val="-9"/>
        </w:rPr>
        <w:t xml:space="preserve"> </w:t>
      </w:r>
      <w:r>
        <w:rPr>
          <w:color w:val="211F1F"/>
          <w:spacing w:val="-4"/>
        </w:rPr>
        <w:t>be</w:t>
      </w:r>
      <w:r>
        <w:rPr>
          <w:color w:val="211F1F"/>
          <w:spacing w:val="-19"/>
        </w:rPr>
        <w:t xml:space="preserve"> </w:t>
      </w:r>
      <w:r>
        <w:rPr>
          <w:color w:val="211F1F"/>
          <w:spacing w:val="-4"/>
        </w:rPr>
        <w:t>made</w:t>
      </w:r>
      <w:r>
        <w:rPr>
          <w:color w:val="211F1F"/>
          <w:spacing w:val="-18"/>
        </w:rPr>
        <w:t xml:space="preserve"> </w:t>
      </w:r>
      <w:r>
        <w:rPr>
          <w:color w:val="211F1F"/>
          <w:spacing w:val="-4"/>
        </w:rPr>
        <w:t>in</w:t>
      </w:r>
      <w:r>
        <w:rPr>
          <w:color w:val="211F1F"/>
          <w:spacing w:val="-10"/>
        </w:rPr>
        <w:t xml:space="preserve"> </w:t>
      </w:r>
      <w:r>
        <w:rPr>
          <w:color w:val="211F1F"/>
          <w:spacing w:val="-4"/>
        </w:rPr>
        <w:t>Kenya</w:t>
      </w:r>
      <w:r>
        <w:rPr>
          <w:color w:val="211F1F"/>
          <w:spacing w:val="-7"/>
        </w:rPr>
        <w:t xml:space="preserve"> </w:t>
      </w:r>
      <w:r>
        <w:rPr>
          <w:color w:val="211F1F"/>
          <w:spacing w:val="-4"/>
        </w:rPr>
        <w:t>Shillings</w:t>
      </w:r>
    </w:p>
    <w:p w14:paraId="3BDA3891" w14:textId="77777777" w:rsidR="00BB77C0" w:rsidRDefault="00370BAA">
      <w:pPr>
        <w:pStyle w:val="Heading7"/>
        <w:numPr>
          <w:ilvl w:val="0"/>
          <w:numId w:val="23"/>
        </w:numPr>
        <w:tabs>
          <w:tab w:val="left" w:pos="1075"/>
        </w:tabs>
        <w:spacing w:before="242"/>
        <w:ind w:left="1075" w:hanging="355"/>
        <w:jc w:val="left"/>
      </w:pPr>
      <w:bookmarkStart w:id="232" w:name="45._Price_Adjustment"/>
      <w:bookmarkEnd w:id="232"/>
      <w:r>
        <w:rPr>
          <w:color w:val="211F1F"/>
          <w:spacing w:val="-2"/>
        </w:rPr>
        <w:t>PriceAdjustment</w:t>
      </w:r>
    </w:p>
    <w:p w14:paraId="3DB8D4C3" w14:textId="77777777" w:rsidR="00BB77C0" w:rsidRDefault="00370BAA">
      <w:pPr>
        <w:pStyle w:val="ListParagraph"/>
        <w:numPr>
          <w:ilvl w:val="1"/>
          <w:numId w:val="23"/>
        </w:numPr>
        <w:tabs>
          <w:tab w:val="left" w:pos="1162"/>
          <w:tab w:val="left" w:pos="1166"/>
        </w:tabs>
        <w:spacing w:before="192" w:line="230" w:lineRule="auto"/>
        <w:ind w:left="1166" w:right="836"/>
        <w:jc w:val="both"/>
        <w:rPr>
          <w:color w:val="211F1F"/>
        </w:rPr>
      </w:pPr>
      <w:r>
        <w:rPr>
          <w:color w:val="211F1F"/>
          <w:spacing w:val="-2"/>
        </w:rPr>
        <w:t>Prices</w:t>
      </w:r>
      <w:r>
        <w:rPr>
          <w:color w:val="211F1F"/>
          <w:spacing w:val="-12"/>
        </w:rPr>
        <w:t xml:space="preserve"> </w:t>
      </w:r>
      <w:r>
        <w:rPr>
          <w:color w:val="211F1F"/>
          <w:spacing w:val="-2"/>
        </w:rPr>
        <w:t>shall</w:t>
      </w:r>
      <w:r>
        <w:rPr>
          <w:color w:val="211F1F"/>
          <w:spacing w:val="-12"/>
        </w:rPr>
        <w:t xml:space="preserve"> </w:t>
      </w:r>
      <w:r>
        <w:rPr>
          <w:color w:val="211F1F"/>
          <w:spacing w:val="-2"/>
        </w:rPr>
        <w:t>be</w:t>
      </w:r>
      <w:r>
        <w:rPr>
          <w:color w:val="211F1F"/>
          <w:spacing w:val="-12"/>
        </w:rPr>
        <w:t xml:space="preserve"> </w:t>
      </w:r>
      <w:r>
        <w:rPr>
          <w:color w:val="211F1F"/>
          <w:spacing w:val="-2"/>
        </w:rPr>
        <w:t>adjusted</w:t>
      </w:r>
      <w:r>
        <w:rPr>
          <w:color w:val="211F1F"/>
          <w:spacing w:val="-11"/>
        </w:rPr>
        <w:t xml:space="preserve"> </w:t>
      </w:r>
      <w:r>
        <w:rPr>
          <w:color w:val="211F1F"/>
          <w:spacing w:val="-2"/>
        </w:rPr>
        <w:t>for</w:t>
      </w:r>
      <w:r>
        <w:rPr>
          <w:color w:val="211F1F"/>
          <w:spacing w:val="-12"/>
        </w:rPr>
        <w:t xml:space="preserve"> </w:t>
      </w:r>
      <w:r>
        <w:rPr>
          <w:color w:val="211F1F"/>
          <w:spacing w:val="-2"/>
        </w:rPr>
        <w:t>fluctuations</w:t>
      </w:r>
      <w:r>
        <w:rPr>
          <w:color w:val="211F1F"/>
          <w:spacing w:val="-12"/>
        </w:rPr>
        <w:t xml:space="preserve"> </w:t>
      </w:r>
      <w:r>
        <w:rPr>
          <w:color w:val="211F1F"/>
          <w:spacing w:val="-2"/>
        </w:rPr>
        <w:t>in</w:t>
      </w:r>
      <w:r>
        <w:rPr>
          <w:color w:val="211F1F"/>
          <w:spacing w:val="-12"/>
        </w:rPr>
        <w:t xml:space="preserve"> </w:t>
      </w:r>
      <w:r>
        <w:rPr>
          <w:color w:val="211F1F"/>
          <w:spacing w:val="-2"/>
        </w:rPr>
        <w:t>the</w:t>
      </w:r>
      <w:r>
        <w:rPr>
          <w:color w:val="211F1F"/>
          <w:spacing w:val="-11"/>
        </w:rPr>
        <w:t xml:space="preserve"> </w:t>
      </w:r>
      <w:r>
        <w:rPr>
          <w:color w:val="211F1F"/>
          <w:spacing w:val="-2"/>
        </w:rPr>
        <w:t>cost</w:t>
      </w:r>
      <w:r>
        <w:rPr>
          <w:color w:val="211F1F"/>
          <w:spacing w:val="-12"/>
        </w:rPr>
        <w:t xml:space="preserve"> </w:t>
      </w:r>
      <w:r>
        <w:rPr>
          <w:color w:val="211F1F"/>
          <w:spacing w:val="-2"/>
        </w:rPr>
        <w:t>of</w:t>
      </w:r>
      <w:r>
        <w:rPr>
          <w:color w:val="211F1F"/>
          <w:spacing w:val="-12"/>
        </w:rPr>
        <w:t xml:space="preserve"> </w:t>
      </w:r>
      <w:r>
        <w:rPr>
          <w:color w:val="211F1F"/>
          <w:spacing w:val="-2"/>
        </w:rPr>
        <w:t>inputs</w:t>
      </w:r>
      <w:r>
        <w:rPr>
          <w:color w:val="211F1F"/>
          <w:spacing w:val="-5"/>
        </w:rPr>
        <w:t xml:space="preserve"> </w:t>
      </w:r>
      <w:r>
        <w:rPr>
          <w:color w:val="211F1F"/>
          <w:spacing w:val="-2"/>
        </w:rPr>
        <w:t>only</w:t>
      </w:r>
      <w:r>
        <w:rPr>
          <w:color w:val="211F1F"/>
          <w:spacing w:val="-11"/>
        </w:rPr>
        <w:t xml:space="preserve"> </w:t>
      </w:r>
      <w:r>
        <w:rPr>
          <w:color w:val="211F1F"/>
          <w:spacing w:val="-2"/>
        </w:rPr>
        <w:t>if</w:t>
      </w:r>
      <w:r>
        <w:rPr>
          <w:color w:val="211F1F"/>
          <w:spacing w:val="-8"/>
        </w:rPr>
        <w:t xml:space="preserve"> </w:t>
      </w:r>
      <w:r>
        <w:rPr>
          <w:b/>
          <w:color w:val="211F1F"/>
          <w:spacing w:val="-2"/>
        </w:rPr>
        <w:t>provided</w:t>
      </w:r>
      <w:r>
        <w:rPr>
          <w:b/>
          <w:color w:val="211F1F"/>
          <w:spacing w:val="-12"/>
        </w:rPr>
        <w:t xml:space="preserve"> </w:t>
      </w:r>
      <w:r>
        <w:rPr>
          <w:b/>
          <w:color w:val="211F1F"/>
          <w:spacing w:val="-2"/>
        </w:rPr>
        <w:t>for</w:t>
      </w:r>
      <w:r>
        <w:rPr>
          <w:b/>
          <w:color w:val="211F1F"/>
          <w:spacing w:val="-12"/>
        </w:rPr>
        <w:t xml:space="preserve"> </w:t>
      </w:r>
      <w:r>
        <w:rPr>
          <w:b/>
          <w:color w:val="211F1F"/>
          <w:spacing w:val="-2"/>
        </w:rPr>
        <w:t>in</w:t>
      </w:r>
      <w:r>
        <w:rPr>
          <w:b/>
          <w:color w:val="211F1F"/>
          <w:spacing w:val="-12"/>
        </w:rPr>
        <w:t xml:space="preserve"> </w:t>
      </w:r>
      <w:r>
        <w:rPr>
          <w:b/>
          <w:color w:val="211F1F"/>
          <w:spacing w:val="-2"/>
        </w:rPr>
        <w:t>the</w:t>
      </w:r>
      <w:r>
        <w:rPr>
          <w:b/>
          <w:color w:val="211F1F"/>
          <w:spacing w:val="-7"/>
        </w:rPr>
        <w:t xml:space="preserve"> </w:t>
      </w:r>
      <w:r>
        <w:rPr>
          <w:b/>
          <w:color w:val="211F1F"/>
          <w:spacing w:val="-2"/>
        </w:rPr>
        <w:t>SCC.</w:t>
      </w:r>
      <w:r>
        <w:rPr>
          <w:b/>
          <w:color w:val="211F1F"/>
          <w:spacing w:val="-4"/>
        </w:rPr>
        <w:t xml:space="preserve"> </w:t>
      </w:r>
      <w:r>
        <w:rPr>
          <w:color w:val="211F1F"/>
          <w:spacing w:val="-2"/>
        </w:rPr>
        <w:t>If</w:t>
      </w:r>
      <w:r>
        <w:rPr>
          <w:color w:val="211F1F"/>
          <w:spacing w:val="-12"/>
        </w:rPr>
        <w:t xml:space="preserve"> </w:t>
      </w:r>
      <w:r>
        <w:rPr>
          <w:color w:val="211F1F"/>
          <w:spacing w:val="-2"/>
        </w:rPr>
        <w:t>so</w:t>
      </w:r>
      <w:r>
        <w:rPr>
          <w:color w:val="211F1F"/>
          <w:spacing w:val="-12"/>
        </w:rPr>
        <w:t xml:space="preserve"> </w:t>
      </w:r>
      <w:r>
        <w:rPr>
          <w:color w:val="211F1F"/>
          <w:spacing w:val="-2"/>
        </w:rPr>
        <w:t>provided,</w:t>
      </w:r>
      <w:r>
        <w:rPr>
          <w:color w:val="211F1F"/>
          <w:spacing w:val="-7"/>
        </w:rPr>
        <w:t xml:space="preserve"> </w:t>
      </w:r>
      <w:r>
        <w:rPr>
          <w:color w:val="211F1F"/>
          <w:spacing w:val="-2"/>
        </w:rPr>
        <w:t xml:space="preserve">the </w:t>
      </w:r>
      <w:r>
        <w:rPr>
          <w:color w:val="211F1F"/>
        </w:rPr>
        <w:t xml:space="preserve">amounts certified in each payment certificate, before deducting for Advance Payment, shall be adjusted by </w:t>
      </w:r>
      <w:r>
        <w:rPr>
          <w:color w:val="211F1F"/>
          <w:spacing w:val="-2"/>
        </w:rPr>
        <w:t>applyingthe</w:t>
      </w:r>
      <w:r>
        <w:rPr>
          <w:color w:val="211F1F"/>
          <w:spacing w:val="-12"/>
        </w:rPr>
        <w:t xml:space="preserve"> </w:t>
      </w:r>
      <w:r>
        <w:rPr>
          <w:color w:val="211F1F"/>
          <w:spacing w:val="-2"/>
        </w:rPr>
        <w:t>respective</w:t>
      </w:r>
      <w:r>
        <w:rPr>
          <w:color w:val="211F1F"/>
          <w:spacing w:val="-12"/>
        </w:rPr>
        <w:t xml:space="preserve"> </w:t>
      </w:r>
      <w:r>
        <w:rPr>
          <w:color w:val="211F1F"/>
          <w:spacing w:val="-2"/>
        </w:rPr>
        <w:t>price</w:t>
      </w:r>
      <w:r>
        <w:rPr>
          <w:color w:val="211F1F"/>
          <w:spacing w:val="-12"/>
        </w:rPr>
        <w:t xml:space="preserve"> </w:t>
      </w:r>
      <w:r>
        <w:rPr>
          <w:color w:val="211F1F"/>
          <w:spacing w:val="-2"/>
        </w:rPr>
        <w:t>adjustment</w:t>
      </w:r>
      <w:r>
        <w:rPr>
          <w:color w:val="211F1F"/>
          <w:spacing w:val="-11"/>
        </w:rPr>
        <w:t xml:space="preserve"> </w:t>
      </w:r>
      <w:r>
        <w:rPr>
          <w:color w:val="211F1F"/>
          <w:spacing w:val="-2"/>
        </w:rPr>
        <w:t>factor</w:t>
      </w:r>
      <w:r>
        <w:rPr>
          <w:color w:val="211F1F"/>
          <w:spacing w:val="-12"/>
        </w:rPr>
        <w:t xml:space="preserve"> </w:t>
      </w:r>
      <w:r>
        <w:rPr>
          <w:color w:val="211F1F"/>
          <w:spacing w:val="-2"/>
        </w:rPr>
        <w:t>to</w:t>
      </w:r>
      <w:r>
        <w:rPr>
          <w:color w:val="211F1F"/>
          <w:spacing w:val="-12"/>
        </w:rPr>
        <w:t xml:space="preserve"> </w:t>
      </w:r>
      <w:r>
        <w:rPr>
          <w:color w:val="211F1F"/>
          <w:spacing w:val="-2"/>
        </w:rPr>
        <w:t>the</w:t>
      </w:r>
      <w:r>
        <w:rPr>
          <w:color w:val="211F1F"/>
          <w:spacing w:val="-12"/>
        </w:rPr>
        <w:t xml:space="preserve"> </w:t>
      </w:r>
      <w:r>
        <w:rPr>
          <w:color w:val="211F1F"/>
          <w:spacing w:val="-2"/>
        </w:rPr>
        <w:t>payment</w:t>
      </w:r>
      <w:r>
        <w:rPr>
          <w:color w:val="211F1F"/>
          <w:spacing w:val="-11"/>
        </w:rPr>
        <w:t xml:space="preserve"> </w:t>
      </w:r>
      <w:r>
        <w:rPr>
          <w:color w:val="211F1F"/>
          <w:spacing w:val="-2"/>
        </w:rPr>
        <w:t>amounts</w:t>
      </w:r>
      <w:r>
        <w:rPr>
          <w:color w:val="211F1F"/>
          <w:spacing w:val="-12"/>
        </w:rPr>
        <w:t xml:space="preserve"> </w:t>
      </w:r>
      <w:r>
        <w:rPr>
          <w:color w:val="211F1F"/>
          <w:spacing w:val="-2"/>
        </w:rPr>
        <w:t>due</w:t>
      </w:r>
      <w:r>
        <w:rPr>
          <w:color w:val="211F1F"/>
          <w:spacing w:val="-12"/>
        </w:rPr>
        <w:t xml:space="preserve"> </w:t>
      </w:r>
      <w:r>
        <w:rPr>
          <w:color w:val="211F1F"/>
          <w:spacing w:val="-2"/>
        </w:rPr>
        <w:t>in</w:t>
      </w:r>
      <w:r>
        <w:rPr>
          <w:color w:val="211F1F"/>
          <w:spacing w:val="-12"/>
        </w:rPr>
        <w:t xml:space="preserve"> </w:t>
      </w:r>
      <w:r>
        <w:rPr>
          <w:color w:val="211F1F"/>
          <w:spacing w:val="-2"/>
        </w:rPr>
        <w:t>each</w:t>
      </w:r>
      <w:r>
        <w:rPr>
          <w:color w:val="211F1F"/>
          <w:spacing w:val="-11"/>
        </w:rPr>
        <w:t xml:space="preserve"> </w:t>
      </w:r>
      <w:r>
        <w:rPr>
          <w:color w:val="211F1F"/>
          <w:spacing w:val="-2"/>
        </w:rPr>
        <w:t>currency.</w:t>
      </w:r>
      <w:r>
        <w:rPr>
          <w:color w:val="211F1F"/>
          <w:spacing w:val="-12"/>
        </w:rPr>
        <w:t xml:space="preserve"> </w:t>
      </w:r>
      <w:r>
        <w:rPr>
          <w:color w:val="211F1F"/>
          <w:spacing w:val="-2"/>
        </w:rPr>
        <w:t>A</w:t>
      </w:r>
      <w:r>
        <w:rPr>
          <w:color w:val="211F1F"/>
          <w:spacing w:val="-12"/>
        </w:rPr>
        <w:t xml:space="preserve"> </w:t>
      </w:r>
      <w:r>
        <w:rPr>
          <w:color w:val="211F1F"/>
          <w:spacing w:val="-2"/>
        </w:rPr>
        <w:t>separate</w:t>
      </w:r>
      <w:r>
        <w:rPr>
          <w:color w:val="211F1F"/>
          <w:spacing w:val="-12"/>
        </w:rPr>
        <w:t xml:space="preserve"> </w:t>
      </w:r>
      <w:r>
        <w:rPr>
          <w:color w:val="211F1F"/>
          <w:spacing w:val="-2"/>
        </w:rPr>
        <w:t xml:space="preserve">formula </w:t>
      </w:r>
      <w:r>
        <w:rPr>
          <w:color w:val="211F1F"/>
        </w:rPr>
        <w:t>of the type specified below applies:</w:t>
      </w:r>
    </w:p>
    <w:p w14:paraId="76C71E9E" w14:textId="77777777" w:rsidR="00BB77C0" w:rsidRDefault="00370BAA">
      <w:pPr>
        <w:pStyle w:val="Heading7"/>
        <w:spacing w:before="125"/>
        <w:ind w:left="1046"/>
        <w:jc w:val="both"/>
      </w:pPr>
      <w:bookmarkStart w:id="233" w:name="P_=_A_+_B_Im/Io"/>
      <w:bookmarkEnd w:id="233"/>
      <w:r>
        <w:rPr>
          <w:color w:val="211F1F"/>
        </w:rPr>
        <w:t>P</w:t>
      </w:r>
      <w:r>
        <w:rPr>
          <w:color w:val="211F1F"/>
          <w:spacing w:val="-3"/>
        </w:rPr>
        <w:t xml:space="preserve"> </w:t>
      </w:r>
      <w:r>
        <w:rPr>
          <w:color w:val="211F1F"/>
        </w:rPr>
        <w:t>=</w:t>
      </w:r>
      <w:r>
        <w:rPr>
          <w:color w:val="211F1F"/>
          <w:spacing w:val="2"/>
        </w:rPr>
        <w:t xml:space="preserve"> </w:t>
      </w:r>
      <w:r>
        <w:rPr>
          <w:color w:val="211F1F"/>
        </w:rPr>
        <w:t>A</w:t>
      </w:r>
      <w:r>
        <w:rPr>
          <w:color w:val="211F1F"/>
          <w:spacing w:val="1"/>
        </w:rPr>
        <w:t xml:space="preserve"> </w:t>
      </w:r>
      <w:r>
        <w:rPr>
          <w:color w:val="211F1F"/>
        </w:rPr>
        <w:t>+</w:t>
      </w:r>
      <w:r>
        <w:rPr>
          <w:color w:val="211F1F"/>
          <w:spacing w:val="-4"/>
        </w:rPr>
        <w:t xml:space="preserve"> </w:t>
      </w:r>
      <w:r>
        <w:rPr>
          <w:color w:val="211F1F"/>
        </w:rPr>
        <w:t>B</w:t>
      </w:r>
      <w:r>
        <w:rPr>
          <w:color w:val="211F1F"/>
          <w:spacing w:val="-1"/>
        </w:rPr>
        <w:t xml:space="preserve"> </w:t>
      </w:r>
      <w:r>
        <w:rPr>
          <w:color w:val="211F1F"/>
          <w:spacing w:val="-2"/>
        </w:rPr>
        <w:t>Im/Io</w:t>
      </w:r>
    </w:p>
    <w:p w14:paraId="4FEE952C" w14:textId="77777777" w:rsidR="00BB77C0" w:rsidRDefault="00370BAA">
      <w:pPr>
        <w:pStyle w:val="BodyText"/>
        <w:tabs>
          <w:tab w:val="left" w:pos="6929"/>
        </w:tabs>
        <w:spacing w:before="35"/>
        <w:ind w:left="1046"/>
        <w:jc w:val="both"/>
      </w:pPr>
      <w:r>
        <w:rPr>
          <w:color w:val="211F1F"/>
          <w:spacing w:val="-2"/>
        </w:rPr>
        <w:t>where:</w:t>
      </w:r>
      <w:r>
        <w:rPr>
          <w:color w:val="211F1F"/>
        </w:rPr>
        <w:tab/>
      </w:r>
      <w:r>
        <w:rPr>
          <w:color w:val="211F1F"/>
          <w:spacing w:val="-4"/>
        </w:rPr>
        <w:t>P</w:t>
      </w:r>
      <w:r>
        <w:rPr>
          <w:color w:val="211F1F"/>
          <w:spacing w:val="-19"/>
        </w:rPr>
        <w:t xml:space="preserve"> </w:t>
      </w:r>
      <w:r>
        <w:rPr>
          <w:color w:val="211F1F"/>
          <w:spacing w:val="-4"/>
        </w:rPr>
        <w:t>is</w:t>
      </w:r>
      <w:r>
        <w:rPr>
          <w:color w:val="211F1F"/>
          <w:spacing w:val="-20"/>
        </w:rPr>
        <w:t xml:space="preserve"> </w:t>
      </w:r>
      <w:r>
        <w:rPr>
          <w:color w:val="211F1F"/>
          <w:spacing w:val="-4"/>
        </w:rPr>
        <w:t>the</w:t>
      </w:r>
      <w:r>
        <w:rPr>
          <w:color w:val="211F1F"/>
          <w:spacing w:val="-17"/>
        </w:rPr>
        <w:t xml:space="preserve"> </w:t>
      </w:r>
      <w:r>
        <w:rPr>
          <w:color w:val="211F1F"/>
          <w:spacing w:val="-4"/>
        </w:rPr>
        <w:t>adjustment</w:t>
      </w:r>
      <w:r>
        <w:rPr>
          <w:color w:val="211F1F"/>
          <w:spacing w:val="-1"/>
        </w:rPr>
        <w:t xml:space="preserve"> </w:t>
      </w:r>
      <w:r>
        <w:rPr>
          <w:color w:val="211F1F"/>
          <w:spacing w:val="-4"/>
        </w:rPr>
        <w:t>factor</w:t>
      </w:r>
      <w:r>
        <w:rPr>
          <w:color w:val="211F1F"/>
          <w:spacing w:val="-5"/>
        </w:rPr>
        <w:t xml:space="preserve"> </w:t>
      </w:r>
      <w:r>
        <w:rPr>
          <w:color w:val="211F1F"/>
          <w:spacing w:val="-4"/>
        </w:rPr>
        <w:t>for</w:t>
      </w:r>
      <w:r>
        <w:rPr>
          <w:color w:val="211F1F"/>
          <w:spacing w:val="-5"/>
        </w:rPr>
        <w:t xml:space="preserve"> </w:t>
      </w:r>
      <w:r>
        <w:rPr>
          <w:color w:val="211F1F"/>
          <w:spacing w:val="-4"/>
        </w:rPr>
        <w:t>the</w:t>
      </w:r>
      <w:r>
        <w:rPr>
          <w:color w:val="211F1F"/>
          <w:spacing w:val="-18"/>
        </w:rPr>
        <w:t xml:space="preserve"> </w:t>
      </w:r>
      <w:r>
        <w:rPr>
          <w:color w:val="211F1F"/>
          <w:spacing w:val="-4"/>
        </w:rPr>
        <w:t>portion</w:t>
      </w:r>
      <w:r>
        <w:rPr>
          <w:color w:val="211F1F"/>
          <w:spacing w:val="-13"/>
        </w:rPr>
        <w:t xml:space="preserve"> </w:t>
      </w:r>
      <w:r>
        <w:rPr>
          <w:color w:val="211F1F"/>
          <w:spacing w:val="-5"/>
        </w:rPr>
        <w:t>of</w:t>
      </w:r>
    </w:p>
    <w:p w14:paraId="0EDDA9E8" w14:textId="77777777" w:rsidR="00BB77C0" w:rsidRDefault="00370BAA">
      <w:pPr>
        <w:pStyle w:val="BodyText"/>
        <w:spacing w:before="40"/>
        <w:ind w:left="1046"/>
        <w:jc w:val="both"/>
      </w:pPr>
      <w:r>
        <w:rPr>
          <w:color w:val="211F1F"/>
          <w:spacing w:val="-2"/>
        </w:rPr>
        <w:t>the</w:t>
      </w:r>
      <w:r>
        <w:rPr>
          <w:color w:val="211F1F"/>
          <w:spacing w:val="-19"/>
        </w:rPr>
        <w:t xml:space="preserve"> </w:t>
      </w:r>
      <w:r>
        <w:rPr>
          <w:color w:val="211F1F"/>
          <w:spacing w:val="-2"/>
        </w:rPr>
        <w:t>Contract</w:t>
      </w:r>
      <w:r>
        <w:rPr>
          <w:color w:val="211F1F"/>
          <w:spacing w:val="-15"/>
        </w:rPr>
        <w:t xml:space="preserve"> </w:t>
      </w:r>
      <w:r>
        <w:rPr>
          <w:color w:val="211F1F"/>
          <w:spacing w:val="-2"/>
        </w:rPr>
        <w:t>Price</w:t>
      </w:r>
      <w:r>
        <w:rPr>
          <w:color w:val="211F1F"/>
          <w:spacing w:val="-17"/>
        </w:rPr>
        <w:t xml:space="preserve"> </w:t>
      </w:r>
      <w:r>
        <w:rPr>
          <w:color w:val="211F1F"/>
          <w:spacing w:val="-2"/>
        </w:rPr>
        <w:t>payable.</w:t>
      </w:r>
    </w:p>
    <w:p w14:paraId="68CBD27D" w14:textId="77777777" w:rsidR="00BB77C0" w:rsidRDefault="00370BAA">
      <w:pPr>
        <w:pStyle w:val="BodyText"/>
        <w:spacing w:before="84" w:line="232" w:lineRule="auto"/>
        <w:ind w:left="1056" w:right="709" w:hanging="15"/>
        <w:jc w:val="both"/>
      </w:pPr>
      <w:r>
        <w:rPr>
          <w:color w:val="211F1F"/>
        </w:rPr>
        <w:t>A and B are coefficients</w:t>
      </w:r>
      <w:r>
        <w:rPr>
          <w:color w:val="211F1F"/>
          <w:vertAlign w:val="superscript"/>
        </w:rPr>
        <w:t>13</w:t>
      </w:r>
      <w:r>
        <w:rPr>
          <w:color w:val="211F1F"/>
        </w:rPr>
        <w:t xml:space="preserve"> </w:t>
      </w:r>
      <w:r>
        <w:rPr>
          <w:b/>
          <w:color w:val="211F1F"/>
        </w:rPr>
        <w:t xml:space="preserve">specified in the SCC, </w:t>
      </w:r>
      <w:r>
        <w:rPr>
          <w:color w:val="211F1F"/>
        </w:rPr>
        <w:t>representing the non-adjustable and adjustable portions, respectively,</w:t>
      </w:r>
      <w:r>
        <w:rPr>
          <w:color w:val="211F1F"/>
          <w:spacing w:val="-3"/>
        </w:rPr>
        <w:t xml:space="preserve"> </w:t>
      </w:r>
      <w:r>
        <w:rPr>
          <w:color w:val="211F1F"/>
        </w:rPr>
        <w:t>of</w:t>
      </w:r>
      <w:r>
        <w:rPr>
          <w:color w:val="211F1F"/>
          <w:spacing w:val="-7"/>
        </w:rPr>
        <w:t xml:space="preserve"> </w:t>
      </w:r>
      <w:r>
        <w:rPr>
          <w:color w:val="211F1F"/>
        </w:rPr>
        <w:t>the</w:t>
      </w:r>
      <w:r>
        <w:rPr>
          <w:color w:val="211F1F"/>
          <w:spacing w:val="-12"/>
        </w:rPr>
        <w:t xml:space="preserve"> </w:t>
      </w:r>
      <w:r>
        <w:rPr>
          <w:color w:val="211F1F"/>
        </w:rPr>
        <w:t>Contract</w:t>
      </w:r>
      <w:r>
        <w:rPr>
          <w:color w:val="211F1F"/>
          <w:spacing w:val="-4"/>
        </w:rPr>
        <w:t xml:space="preserve"> </w:t>
      </w:r>
      <w:r>
        <w:rPr>
          <w:color w:val="211F1F"/>
        </w:rPr>
        <w:t>Price</w:t>
      </w:r>
      <w:r>
        <w:rPr>
          <w:color w:val="211F1F"/>
          <w:spacing w:val="-11"/>
        </w:rPr>
        <w:t xml:space="preserve"> </w:t>
      </w:r>
      <w:r>
        <w:rPr>
          <w:color w:val="211F1F"/>
        </w:rPr>
        <w:t>payable</w:t>
      </w:r>
      <w:r>
        <w:rPr>
          <w:color w:val="211F1F"/>
          <w:spacing w:val="-7"/>
        </w:rPr>
        <w:t xml:space="preserve"> </w:t>
      </w:r>
      <w:r>
        <w:rPr>
          <w:color w:val="211F1F"/>
        </w:rPr>
        <w:t>and</w:t>
      </w:r>
      <w:r>
        <w:rPr>
          <w:color w:val="211F1F"/>
          <w:spacing w:val="-5"/>
        </w:rPr>
        <w:t xml:space="preserve"> </w:t>
      </w:r>
      <w:r>
        <w:rPr>
          <w:color w:val="211F1F"/>
        </w:rPr>
        <w:t>Im</w:t>
      </w:r>
      <w:r>
        <w:rPr>
          <w:color w:val="211F1F"/>
          <w:spacing w:val="-9"/>
        </w:rPr>
        <w:t xml:space="preserve"> </w:t>
      </w:r>
      <w:r>
        <w:rPr>
          <w:color w:val="211F1F"/>
        </w:rPr>
        <w:t>is</w:t>
      </w:r>
      <w:r>
        <w:rPr>
          <w:color w:val="211F1F"/>
          <w:spacing w:val="-5"/>
        </w:rPr>
        <w:t xml:space="preserve"> </w:t>
      </w:r>
      <w:r>
        <w:rPr>
          <w:color w:val="211F1F"/>
        </w:rPr>
        <w:t>the</w:t>
      </w:r>
      <w:r>
        <w:rPr>
          <w:color w:val="211F1F"/>
          <w:spacing w:val="-3"/>
        </w:rPr>
        <w:t xml:space="preserve"> </w:t>
      </w:r>
      <w:r>
        <w:rPr>
          <w:color w:val="211F1F"/>
        </w:rPr>
        <w:t>index</w:t>
      </w:r>
      <w:r>
        <w:rPr>
          <w:color w:val="211F1F"/>
          <w:spacing w:val="-1"/>
        </w:rPr>
        <w:t xml:space="preserve"> </w:t>
      </w:r>
      <w:r>
        <w:rPr>
          <w:color w:val="211F1F"/>
        </w:rPr>
        <w:t>prevailing</w:t>
      </w:r>
      <w:r>
        <w:rPr>
          <w:color w:val="211F1F"/>
          <w:spacing w:val="-4"/>
        </w:rPr>
        <w:t xml:space="preserve"> </w:t>
      </w:r>
      <w:r>
        <w:rPr>
          <w:color w:val="211F1F"/>
        </w:rPr>
        <w:t>at</w:t>
      </w:r>
      <w:r>
        <w:rPr>
          <w:color w:val="211F1F"/>
          <w:spacing w:val="-5"/>
        </w:rPr>
        <w:t xml:space="preserve"> </w:t>
      </w:r>
      <w:r>
        <w:rPr>
          <w:color w:val="211F1F"/>
        </w:rPr>
        <w:t>the</w:t>
      </w:r>
      <w:r>
        <w:rPr>
          <w:color w:val="211F1F"/>
          <w:spacing w:val="-7"/>
        </w:rPr>
        <w:t xml:space="preserve"> </w:t>
      </w:r>
      <w:r>
        <w:rPr>
          <w:color w:val="211F1F"/>
        </w:rPr>
        <w:t>end</w:t>
      </w:r>
      <w:r>
        <w:rPr>
          <w:color w:val="211F1F"/>
          <w:spacing w:val="-6"/>
        </w:rPr>
        <w:t xml:space="preserve"> </w:t>
      </w:r>
      <w:r>
        <w:rPr>
          <w:color w:val="211F1F"/>
        </w:rPr>
        <w:t>of</w:t>
      </w:r>
      <w:r>
        <w:rPr>
          <w:color w:val="211F1F"/>
          <w:spacing w:val="-7"/>
        </w:rPr>
        <w:t xml:space="preserve"> </w:t>
      </w:r>
      <w:r>
        <w:rPr>
          <w:color w:val="211F1F"/>
        </w:rPr>
        <w:t>the</w:t>
      </w:r>
      <w:r>
        <w:rPr>
          <w:color w:val="211F1F"/>
          <w:spacing w:val="-8"/>
        </w:rPr>
        <w:t xml:space="preserve"> </w:t>
      </w:r>
      <w:r>
        <w:rPr>
          <w:color w:val="211F1F"/>
        </w:rPr>
        <w:t>month</w:t>
      </w:r>
      <w:r>
        <w:rPr>
          <w:color w:val="211F1F"/>
          <w:spacing w:val="-10"/>
        </w:rPr>
        <w:t xml:space="preserve"> </w:t>
      </w:r>
      <w:r>
        <w:rPr>
          <w:color w:val="211F1F"/>
        </w:rPr>
        <w:t>being</w:t>
      </w:r>
      <w:r>
        <w:rPr>
          <w:color w:val="211F1F"/>
          <w:spacing w:val="-10"/>
        </w:rPr>
        <w:t xml:space="preserve"> </w:t>
      </w:r>
      <w:r>
        <w:rPr>
          <w:color w:val="211F1F"/>
        </w:rPr>
        <w:t>invoiced and</w:t>
      </w:r>
      <w:r>
        <w:rPr>
          <w:color w:val="211F1F"/>
          <w:spacing w:val="-7"/>
        </w:rPr>
        <w:t xml:space="preserve"> </w:t>
      </w:r>
      <w:r>
        <w:rPr>
          <w:color w:val="211F1F"/>
        </w:rPr>
        <w:t>IOC is</w:t>
      </w:r>
      <w:r>
        <w:rPr>
          <w:color w:val="211F1F"/>
          <w:spacing w:val="-3"/>
        </w:rPr>
        <w:t xml:space="preserve"> </w:t>
      </w:r>
      <w:r>
        <w:rPr>
          <w:color w:val="211F1F"/>
        </w:rPr>
        <w:t>the</w:t>
      </w:r>
      <w:r>
        <w:rPr>
          <w:color w:val="211F1F"/>
          <w:spacing w:val="-5"/>
        </w:rPr>
        <w:t xml:space="preserve"> </w:t>
      </w:r>
      <w:r>
        <w:rPr>
          <w:color w:val="211F1F"/>
        </w:rPr>
        <w:t>index</w:t>
      </w:r>
      <w:r>
        <w:rPr>
          <w:color w:val="211F1F"/>
          <w:spacing w:val="-3"/>
        </w:rPr>
        <w:t xml:space="preserve"> </w:t>
      </w:r>
      <w:r>
        <w:rPr>
          <w:color w:val="211F1F"/>
        </w:rPr>
        <w:t>prevailing</w:t>
      </w:r>
      <w:r>
        <w:rPr>
          <w:color w:val="211F1F"/>
          <w:spacing w:val="-7"/>
        </w:rPr>
        <w:t xml:space="preserve"> </w:t>
      </w:r>
      <w:r>
        <w:rPr>
          <w:color w:val="211F1F"/>
        </w:rPr>
        <w:t>30 days</w:t>
      </w:r>
      <w:r>
        <w:rPr>
          <w:color w:val="211F1F"/>
          <w:spacing w:val="-1"/>
        </w:rPr>
        <w:t xml:space="preserve"> </w:t>
      </w:r>
      <w:r>
        <w:rPr>
          <w:color w:val="211F1F"/>
        </w:rPr>
        <w:t>before</w:t>
      </w:r>
      <w:r>
        <w:rPr>
          <w:color w:val="211F1F"/>
          <w:spacing w:val="-10"/>
        </w:rPr>
        <w:t xml:space="preserve"> </w:t>
      </w:r>
      <w:r>
        <w:rPr>
          <w:color w:val="211F1F"/>
        </w:rPr>
        <w:t>Bid</w:t>
      </w:r>
      <w:r>
        <w:rPr>
          <w:color w:val="211F1F"/>
          <w:spacing w:val="-3"/>
        </w:rPr>
        <w:t xml:space="preserve"> </w:t>
      </w:r>
      <w:r>
        <w:rPr>
          <w:color w:val="211F1F"/>
        </w:rPr>
        <w:t>opening</w:t>
      </w:r>
      <w:r>
        <w:rPr>
          <w:color w:val="211F1F"/>
          <w:spacing w:val="-7"/>
        </w:rPr>
        <w:t xml:space="preserve"> </w:t>
      </w:r>
      <w:r>
        <w:rPr>
          <w:color w:val="211F1F"/>
        </w:rPr>
        <w:t>for inputs</w:t>
      </w:r>
      <w:r>
        <w:rPr>
          <w:color w:val="211F1F"/>
          <w:spacing w:val="-3"/>
        </w:rPr>
        <w:t xml:space="preserve"> </w:t>
      </w:r>
      <w:r>
        <w:rPr>
          <w:color w:val="211F1F"/>
        </w:rPr>
        <w:t>payable.</w:t>
      </w:r>
    </w:p>
    <w:p w14:paraId="6E5701DD" w14:textId="77777777" w:rsidR="00BB77C0" w:rsidRDefault="00370BAA">
      <w:pPr>
        <w:pStyle w:val="ListParagraph"/>
        <w:numPr>
          <w:ilvl w:val="1"/>
          <w:numId w:val="23"/>
        </w:numPr>
        <w:tabs>
          <w:tab w:val="left" w:pos="1163"/>
          <w:tab w:val="left" w:pos="1171"/>
        </w:tabs>
        <w:spacing w:before="198" w:line="230" w:lineRule="auto"/>
        <w:ind w:right="838" w:hanging="360"/>
        <w:jc w:val="both"/>
        <w:rPr>
          <w:color w:val="211F1F"/>
        </w:rPr>
      </w:pPr>
      <w:r>
        <w:rPr>
          <w:color w:val="211F1F"/>
        </w:rPr>
        <w:t>If</w:t>
      </w:r>
      <w:r>
        <w:rPr>
          <w:color w:val="211F1F"/>
          <w:spacing w:val="-14"/>
        </w:rPr>
        <w:t xml:space="preserve"> </w:t>
      </w:r>
      <w:r>
        <w:rPr>
          <w:color w:val="211F1F"/>
        </w:rPr>
        <w:t>the</w:t>
      </w:r>
      <w:r>
        <w:rPr>
          <w:color w:val="211F1F"/>
          <w:spacing w:val="-14"/>
        </w:rPr>
        <w:t xml:space="preserve"> </w:t>
      </w:r>
      <w:r>
        <w:rPr>
          <w:color w:val="211F1F"/>
        </w:rPr>
        <w:t>value</w:t>
      </w:r>
      <w:r>
        <w:rPr>
          <w:color w:val="211F1F"/>
          <w:spacing w:val="-14"/>
        </w:rPr>
        <w:t xml:space="preserve"> </w:t>
      </w:r>
      <w:r>
        <w:rPr>
          <w:color w:val="211F1F"/>
        </w:rPr>
        <w:t>of</w:t>
      </w:r>
      <w:r>
        <w:rPr>
          <w:color w:val="211F1F"/>
          <w:spacing w:val="-13"/>
        </w:rPr>
        <w:t xml:space="preserve"> </w:t>
      </w:r>
      <w:r>
        <w:rPr>
          <w:color w:val="211F1F"/>
        </w:rPr>
        <w:t>the</w:t>
      </w:r>
      <w:r>
        <w:rPr>
          <w:color w:val="211F1F"/>
          <w:spacing w:val="-14"/>
        </w:rPr>
        <w:t xml:space="preserve"> </w:t>
      </w:r>
      <w:r>
        <w:rPr>
          <w:color w:val="211F1F"/>
        </w:rPr>
        <w:t>index</w:t>
      </w:r>
      <w:r>
        <w:rPr>
          <w:color w:val="211F1F"/>
          <w:spacing w:val="-14"/>
        </w:rPr>
        <w:t xml:space="preserve"> </w:t>
      </w:r>
      <w:r>
        <w:rPr>
          <w:color w:val="211F1F"/>
        </w:rPr>
        <w:t>is</w:t>
      </w:r>
      <w:r>
        <w:rPr>
          <w:color w:val="211F1F"/>
          <w:spacing w:val="-14"/>
        </w:rPr>
        <w:t xml:space="preserve"> </w:t>
      </w:r>
      <w:r>
        <w:rPr>
          <w:color w:val="211F1F"/>
        </w:rPr>
        <w:t>changed</w:t>
      </w:r>
      <w:r>
        <w:rPr>
          <w:color w:val="211F1F"/>
          <w:spacing w:val="-13"/>
        </w:rPr>
        <w:t xml:space="preserve"> </w:t>
      </w:r>
      <w:r>
        <w:rPr>
          <w:color w:val="211F1F"/>
        </w:rPr>
        <w:t>after</w:t>
      </w:r>
      <w:r>
        <w:rPr>
          <w:color w:val="211F1F"/>
          <w:spacing w:val="-14"/>
        </w:rPr>
        <w:t xml:space="preserve"> </w:t>
      </w:r>
      <w:r>
        <w:rPr>
          <w:color w:val="211F1F"/>
        </w:rPr>
        <w:t>it</w:t>
      </w:r>
      <w:r>
        <w:rPr>
          <w:color w:val="211F1F"/>
          <w:spacing w:val="-11"/>
        </w:rPr>
        <w:t xml:space="preserve"> </w:t>
      </w:r>
      <w:r>
        <w:rPr>
          <w:color w:val="211F1F"/>
        </w:rPr>
        <w:t>has</w:t>
      </w:r>
      <w:r>
        <w:rPr>
          <w:color w:val="211F1F"/>
          <w:spacing w:val="-12"/>
        </w:rPr>
        <w:t xml:space="preserve"> </w:t>
      </w:r>
      <w:r>
        <w:rPr>
          <w:color w:val="211F1F"/>
        </w:rPr>
        <w:t>been</w:t>
      </w:r>
      <w:r>
        <w:rPr>
          <w:color w:val="211F1F"/>
          <w:spacing w:val="-14"/>
        </w:rPr>
        <w:t xml:space="preserve"> </w:t>
      </w:r>
      <w:r>
        <w:rPr>
          <w:color w:val="211F1F"/>
        </w:rPr>
        <w:t>used</w:t>
      </w:r>
      <w:r>
        <w:rPr>
          <w:color w:val="211F1F"/>
          <w:spacing w:val="-12"/>
        </w:rPr>
        <w:t xml:space="preserve"> </w:t>
      </w:r>
      <w:r>
        <w:rPr>
          <w:color w:val="211F1F"/>
        </w:rPr>
        <w:t>in</w:t>
      </w:r>
      <w:r>
        <w:rPr>
          <w:color w:val="211F1F"/>
          <w:spacing w:val="-14"/>
        </w:rPr>
        <w:t xml:space="preserve"> </w:t>
      </w:r>
      <w:r>
        <w:rPr>
          <w:color w:val="211F1F"/>
        </w:rPr>
        <w:t>a</w:t>
      </w:r>
      <w:r>
        <w:rPr>
          <w:color w:val="211F1F"/>
          <w:spacing w:val="-9"/>
        </w:rPr>
        <w:t xml:space="preserve"> </w:t>
      </w:r>
      <w:r>
        <w:rPr>
          <w:color w:val="211F1F"/>
        </w:rPr>
        <w:t>calculation,</w:t>
      </w:r>
      <w:r>
        <w:rPr>
          <w:color w:val="211F1F"/>
          <w:spacing w:val="-10"/>
        </w:rPr>
        <w:t xml:space="preserve"> </w:t>
      </w:r>
      <w:r>
        <w:rPr>
          <w:color w:val="211F1F"/>
        </w:rPr>
        <w:t>the</w:t>
      </w:r>
      <w:r>
        <w:rPr>
          <w:color w:val="211F1F"/>
          <w:spacing w:val="-14"/>
        </w:rPr>
        <w:t xml:space="preserve"> </w:t>
      </w:r>
      <w:r>
        <w:rPr>
          <w:color w:val="211F1F"/>
        </w:rPr>
        <w:t>calculation</w:t>
      </w:r>
      <w:r>
        <w:rPr>
          <w:color w:val="211F1F"/>
          <w:spacing w:val="-14"/>
        </w:rPr>
        <w:t xml:space="preserve"> </w:t>
      </w:r>
      <w:r>
        <w:rPr>
          <w:color w:val="211F1F"/>
        </w:rPr>
        <w:t>shall</w:t>
      </w:r>
      <w:r>
        <w:rPr>
          <w:color w:val="211F1F"/>
          <w:spacing w:val="-11"/>
        </w:rPr>
        <w:t xml:space="preserve"> </w:t>
      </w:r>
      <w:r>
        <w:rPr>
          <w:color w:val="211F1F"/>
        </w:rPr>
        <w:t>be</w:t>
      </w:r>
      <w:r>
        <w:rPr>
          <w:color w:val="211F1F"/>
          <w:spacing w:val="-14"/>
        </w:rPr>
        <w:t xml:space="preserve"> </w:t>
      </w:r>
      <w:r>
        <w:rPr>
          <w:color w:val="211F1F"/>
        </w:rPr>
        <w:t>corrected</w:t>
      </w:r>
      <w:r>
        <w:rPr>
          <w:color w:val="211F1F"/>
          <w:spacing w:val="-11"/>
        </w:rPr>
        <w:t xml:space="preserve"> </w:t>
      </w:r>
      <w:r>
        <w:rPr>
          <w:color w:val="211F1F"/>
        </w:rPr>
        <w:t>and an adjustment made in the next payment certificate. The index value shall be deemed to take account of all changes in cost due to fluctuations in costs.</w:t>
      </w:r>
    </w:p>
    <w:p w14:paraId="1AEF702D" w14:textId="77777777" w:rsidR="00BB77C0" w:rsidRDefault="00370BAA">
      <w:pPr>
        <w:pStyle w:val="Heading7"/>
        <w:numPr>
          <w:ilvl w:val="0"/>
          <w:numId w:val="23"/>
        </w:numPr>
        <w:tabs>
          <w:tab w:val="left" w:pos="1080"/>
        </w:tabs>
        <w:spacing w:before="242"/>
        <w:ind w:left="1080" w:hanging="360"/>
        <w:jc w:val="left"/>
      </w:pPr>
      <w:bookmarkStart w:id="234" w:name="46._Retention"/>
      <w:bookmarkEnd w:id="234"/>
      <w:r>
        <w:rPr>
          <w:color w:val="211F1F"/>
          <w:spacing w:val="-2"/>
        </w:rPr>
        <w:t>Retention</w:t>
      </w:r>
    </w:p>
    <w:p w14:paraId="6EAF2F9C" w14:textId="77777777" w:rsidR="00BB77C0" w:rsidRDefault="00370BAA">
      <w:pPr>
        <w:pStyle w:val="ListParagraph"/>
        <w:numPr>
          <w:ilvl w:val="1"/>
          <w:numId w:val="23"/>
        </w:numPr>
        <w:tabs>
          <w:tab w:val="left" w:pos="1168"/>
        </w:tabs>
        <w:spacing w:before="184" w:line="251" w:lineRule="exact"/>
        <w:ind w:left="1168" w:hanging="357"/>
        <w:rPr>
          <w:color w:val="211F1F"/>
        </w:rPr>
      </w:pPr>
      <w:r>
        <w:rPr>
          <w:color w:val="211F1F"/>
        </w:rPr>
        <w:t>The</w:t>
      </w:r>
      <w:r>
        <w:rPr>
          <w:color w:val="211F1F"/>
          <w:spacing w:val="-8"/>
        </w:rPr>
        <w:t xml:space="preserve"> </w:t>
      </w:r>
      <w:r>
        <w:rPr>
          <w:color w:val="211F1F"/>
        </w:rPr>
        <w:t>Procuring</w:t>
      </w:r>
      <w:r>
        <w:rPr>
          <w:color w:val="211F1F"/>
          <w:spacing w:val="-5"/>
        </w:rPr>
        <w:t xml:space="preserve"> </w:t>
      </w:r>
      <w:r>
        <w:rPr>
          <w:color w:val="211F1F"/>
        </w:rPr>
        <w:t>Entity</w:t>
      </w:r>
      <w:r>
        <w:rPr>
          <w:color w:val="211F1F"/>
          <w:spacing w:val="-1"/>
        </w:rPr>
        <w:t xml:space="preserve"> </w:t>
      </w:r>
      <w:r>
        <w:rPr>
          <w:color w:val="211F1F"/>
        </w:rPr>
        <w:t>shall</w:t>
      </w:r>
      <w:r>
        <w:rPr>
          <w:color w:val="211F1F"/>
          <w:spacing w:val="-3"/>
        </w:rPr>
        <w:t xml:space="preserve"> </w:t>
      </w:r>
      <w:r>
        <w:rPr>
          <w:color w:val="211F1F"/>
        </w:rPr>
        <w:t>retain</w:t>
      </w:r>
      <w:r>
        <w:rPr>
          <w:color w:val="211F1F"/>
          <w:spacing w:val="-5"/>
        </w:rPr>
        <w:t xml:space="preserve"> </w:t>
      </w:r>
      <w:r>
        <w:rPr>
          <w:color w:val="211F1F"/>
        </w:rPr>
        <w:t>from</w:t>
      </w:r>
      <w:r>
        <w:rPr>
          <w:color w:val="211F1F"/>
          <w:spacing w:val="-4"/>
        </w:rPr>
        <w:t xml:space="preserve"> </w:t>
      </w:r>
      <w:r>
        <w:rPr>
          <w:color w:val="211F1F"/>
        </w:rPr>
        <w:t>each</w:t>
      </w:r>
      <w:r>
        <w:rPr>
          <w:color w:val="211F1F"/>
          <w:spacing w:val="-5"/>
        </w:rPr>
        <w:t xml:space="preserve"> </w:t>
      </w:r>
      <w:r>
        <w:rPr>
          <w:color w:val="211F1F"/>
        </w:rPr>
        <w:t>payment due</w:t>
      </w:r>
      <w:r>
        <w:rPr>
          <w:color w:val="211F1F"/>
          <w:spacing w:val="-4"/>
        </w:rPr>
        <w:t xml:space="preserve"> </w:t>
      </w:r>
      <w:r>
        <w:rPr>
          <w:color w:val="211F1F"/>
        </w:rPr>
        <w:t>to</w:t>
      </w:r>
      <w:r>
        <w:rPr>
          <w:color w:val="211F1F"/>
          <w:spacing w:val="-5"/>
        </w:rPr>
        <w:t xml:space="preserve"> </w:t>
      </w:r>
      <w:r>
        <w:rPr>
          <w:color w:val="211F1F"/>
        </w:rPr>
        <w:t>the</w:t>
      </w:r>
      <w:r>
        <w:rPr>
          <w:color w:val="211F1F"/>
          <w:spacing w:val="-7"/>
        </w:rPr>
        <w:t xml:space="preserve"> </w:t>
      </w:r>
      <w:r>
        <w:rPr>
          <w:color w:val="211F1F"/>
        </w:rPr>
        <w:t>Contractor the</w:t>
      </w:r>
      <w:r>
        <w:rPr>
          <w:color w:val="211F1F"/>
          <w:spacing w:val="-8"/>
        </w:rPr>
        <w:t xml:space="preserve"> </w:t>
      </w:r>
      <w:r>
        <w:rPr>
          <w:color w:val="211F1F"/>
        </w:rPr>
        <w:t>proportion</w:t>
      </w:r>
      <w:r>
        <w:rPr>
          <w:color w:val="211F1F"/>
          <w:spacing w:val="-5"/>
        </w:rPr>
        <w:t xml:space="preserve"> </w:t>
      </w:r>
      <w:r>
        <w:rPr>
          <w:color w:val="211F1F"/>
        </w:rPr>
        <w:t>stated</w:t>
      </w:r>
      <w:r>
        <w:rPr>
          <w:color w:val="211F1F"/>
          <w:spacing w:val="-2"/>
        </w:rPr>
        <w:t xml:space="preserve"> </w:t>
      </w:r>
      <w:r>
        <w:rPr>
          <w:color w:val="211F1F"/>
        </w:rPr>
        <w:t>in</w:t>
      </w:r>
      <w:r>
        <w:rPr>
          <w:color w:val="211F1F"/>
          <w:spacing w:val="-5"/>
        </w:rPr>
        <w:t xml:space="preserve"> </w:t>
      </w:r>
      <w:r>
        <w:rPr>
          <w:color w:val="211F1F"/>
        </w:rPr>
        <w:t>the</w:t>
      </w:r>
      <w:r>
        <w:rPr>
          <w:color w:val="211F1F"/>
          <w:spacing w:val="-5"/>
        </w:rPr>
        <w:t xml:space="preserve"> </w:t>
      </w:r>
      <w:r>
        <w:rPr>
          <w:b/>
          <w:color w:val="211F1F"/>
          <w:spacing w:val="-5"/>
        </w:rPr>
        <w:t>SCC</w:t>
      </w:r>
    </w:p>
    <w:p w14:paraId="51C25587" w14:textId="77777777" w:rsidR="00BB77C0" w:rsidRDefault="00370BAA">
      <w:pPr>
        <w:pStyle w:val="BodyText"/>
        <w:spacing w:line="251" w:lineRule="exact"/>
        <w:ind w:left="1171"/>
      </w:pPr>
      <w:r>
        <w:rPr>
          <w:color w:val="211F1F"/>
        </w:rPr>
        <w:t>until</w:t>
      </w:r>
      <w:r>
        <w:rPr>
          <w:color w:val="211F1F"/>
          <w:spacing w:val="-8"/>
        </w:rPr>
        <w:t xml:space="preserve"> </w:t>
      </w:r>
      <w:r>
        <w:rPr>
          <w:color w:val="211F1F"/>
        </w:rPr>
        <w:t>Completion</w:t>
      </w:r>
      <w:r>
        <w:rPr>
          <w:color w:val="211F1F"/>
          <w:spacing w:val="-3"/>
        </w:rPr>
        <w:t xml:space="preserve"> </w:t>
      </w:r>
      <w:r>
        <w:rPr>
          <w:color w:val="211F1F"/>
        </w:rPr>
        <w:t>of</w:t>
      </w:r>
      <w:r>
        <w:rPr>
          <w:color w:val="211F1F"/>
          <w:spacing w:val="-6"/>
        </w:rPr>
        <w:t xml:space="preserve"> </w:t>
      </w:r>
      <w:r>
        <w:rPr>
          <w:color w:val="211F1F"/>
        </w:rPr>
        <w:t>the</w:t>
      </w:r>
      <w:r>
        <w:rPr>
          <w:color w:val="211F1F"/>
          <w:spacing w:val="-6"/>
        </w:rPr>
        <w:t xml:space="preserve"> </w:t>
      </w:r>
      <w:r>
        <w:rPr>
          <w:color w:val="211F1F"/>
        </w:rPr>
        <w:t>whole</w:t>
      </w:r>
      <w:r>
        <w:rPr>
          <w:color w:val="211F1F"/>
          <w:spacing w:val="-6"/>
        </w:rPr>
        <w:t xml:space="preserve"> </w:t>
      </w:r>
      <w:r>
        <w:rPr>
          <w:color w:val="211F1F"/>
        </w:rPr>
        <w:t>of</w:t>
      </w:r>
      <w:r>
        <w:rPr>
          <w:color w:val="211F1F"/>
          <w:spacing w:val="-6"/>
        </w:rPr>
        <w:t xml:space="preserve"> </w:t>
      </w:r>
      <w:r>
        <w:rPr>
          <w:color w:val="211F1F"/>
        </w:rPr>
        <w:t>the</w:t>
      </w:r>
      <w:r>
        <w:rPr>
          <w:color w:val="211F1F"/>
          <w:spacing w:val="-5"/>
        </w:rPr>
        <w:t xml:space="preserve"> </w:t>
      </w:r>
      <w:r>
        <w:rPr>
          <w:color w:val="211F1F"/>
          <w:spacing w:val="-2"/>
        </w:rPr>
        <w:t>Works.</w:t>
      </w:r>
    </w:p>
    <w:p w14:paraId="2757FE93" w14:textId="77777777" w:rsidR="00BB77C0" w:rsidRDefault="00370BAA">
      <w:pPr>
        <w:pStyle w:val="ListParagraph"/>
        <w:numPr>
          <w:ilvl w:val="1"/>
          <w:numId w:val="23"/>
        </w:numPr>
        <w:tabs>
          <w:tab w:val="left" w:pos="1168"/>
          <w:tab w:val="left" w:pos="1171"/>
        </w:tabs>
        <w:spacing w:before="188" w:line="230" w:lineRule="auto"/>
        <w:ind w:right="830" w:hanging="360"/>
        <w:jc w:val="both"/>
        <w:rPr>
          <w:color w:val="211F1F"/>
        </w:rPr>
      </w:pPr>
      <w:r>
        <w:rPr>
          <w:color w:val="211F1F"/>
        </w:rPr>
        <w:t>Upon</w:t>
      </w:r>
      <w:r>
        <w:rPr>
          <w:color w:val="211F1F"/>
          <w:spacing w:val="-5"/>
        </w:rPr>
        <w:t xml:space="preserve"> </w:t>
      </w:r>
      <w:r>
        <w:rPr>
          <w:color w:val="211F1F"/>
        </w:rPr>
        <w:t>the</w:t>
      </w:r>
      <w:r>
        <w:rPr>
          <w:color w:val="211F1F"/>
          <w:spacing w:val="-8"/>
        </w:rPr>
        <w:t xml:space="preserve"> </w:t>
      </w:r>
      <w:r>
        <w:rPr>
          <w:color w:val="211F1F"/>
        </w:rPr>
        <w:t>issue</w:t>
      </w:r>
      <w:r>
        <w:rPr>
          <w:color w:val="211F1F"/>
          <w:spacing w:val="-8"/>
        </w:rPr>
        <w:t xml:space="preserve"> </w:t>
      </w:r>
      <w:r>
        <w:rPr>
          <w:color w:val="211F1F"/>
        </w:rPr>
        <w:t>of</w:t>
      </w:r>
      <w:r>
        <w:rPr>
          <w:color w:val="211F1F"/>
          <w:spacing w:val="-3"/>
        </w:rPr>
        <w:t xml:space="preserve"> </w:t>
      </w:r>
      <w:r>
        <w:rPr>
          <w:color w:val="211F1F"/>
        </w:rPr>
        <w:t>a</w:t>
      </w:r>
      <w:r>
        <w:rPr>
          <w:color w:val="211F1F"/>
          <w:spacing w:val="-8"/>
        </w:rPr>
        <w:t xml:space="preserve"> </w:t>
      </w:r>
      <w:r>
        <w:rPr>
          <w:color w:val="211F1F"/>
        </w:rPr>
        <w:t>Certificate</w:t>
      </w:r>
      <w:r>
        <w:rPr>
          <w:color w:val="211F1F"/>
          <w:spacing w:val="-6"/>
        </w:rPr>
        <w:t xml:space="preserve"> </w:t>
      </w:r>
      <w:r>
        <w:rPr>
          <w:color w:val="211F1F"/>
        </w:rPr>
        <w:t>of</w:t>
      </w:r>
      <w:r>
        <w:rPr>
          <w:color w:val="211F1F"/>
          <w:spacing w:val="-3"/>
        </w:rPr>
        <w:t xml:space="preserve"> </w:t>
      </w:r>
      <w:r>
        <w:rPr>
          <w:color w:val="211F1F"/>
        </w:rPr>
        <w:t>Completion</w:t>
      </w:r>
      <w:r>
        <w:rPr>
          <w:color w:val="211F1F"/>
          <w:spacing w:val="-5"/>
        </w:rPr>
        <w:t xml:space="preserve"> </w:t>
      </w:r>
      <w:r>
        <w:rPr>
          <w:color w:val="211F1F"/>
        </w:rPr>
        <w:t>of</w:t>
      </w:r>
      <w:r>
        <w:rPr>
          <w:color w:val="211F1F"/>
          <w:spacing w:val="-7"/>
        </w:rPr>
        <w:t xml:space="preserve"> </w:t>
      </w:r>
      <w:r>
        <w:rPr>
          <w:color w:val="211F1F"/>
        </w:rPr>
        <w:t>the</w:t>
      </w:r>
      <w:r>
        <w:rPr>
          <w:color w:val="211F1F"/>
          <w:spacing w:val="-8"/>
        </w:rPr>
        <w:t xml:space="preserve"> </w:t>
      </w:r>
      <w:r>
        <w:rPr>
          <w:color w:val="211F1F"/>
        </w:rPr>
        <w:t>Works</w:t>
      </w:r>
      <w:r>
        <w:rPr>
          <w:color w:val="211F1F"/>
          <w:spacing w:val="-1"/>
        </w:rPr>
        <w:t xml:space="preserve"> </w:t>
      </w:r>
      <w:r>
        <w:rPr>
          <w:color w:val="211F1F"/>
        </w:rPr>
        <w:t>by</w:t>
      </w:r>
      <w:r>
        <w:rPr>
          <w:color w:val="211F1F"/>
          <w:spacing w:val="-6"/>
        </w:rPr>
        <w:t xml:space="preserve"> </w:t>
      </w:r>
      <w:r>
        <w:rPr>
          <w:color w:val="211F1F"/>
        </w:rPr>
        <w:t>the</w:t>
      </w:r>
      <w:r>
        <w:rPr>
          <w:color w:val="211F1F"/>
          <w:spacing w:val="-7"/>
        </w:rPr>
        <w:t xml:space="preserve"> </w:t>
      </w:r>
      <w:r>
        <w:rPr>
          <w:color w:val="211F1F"/>
        </w:rPr>
        <w:t>Project Manager, in</w:t>
      </w:r>
      <w:r>
        <w:rPr>
          <w:color w:val="211F1F"/>
          <w:spacing w:val="-10"/>
        </w:rPr>
        <w:t xml:space="preserve"> </w:t>
      </w:r>
      <w:r>
        <w:rPr>
          <w:color w:val="211F1F"/>
        </w:rPr>
        <w:t>accordance</w:t>
      </w:r>
      <w:r>
        <w:rPr>
          <w:color w:val="211F1F"/>
          <w:spacing w:val="-6"/>
        </w:rPr>
        <w:t xml:space="preserve"> </w:t>
      </w:r>
      <w:r>
        <w:rPr>
          <w:color w:val="211F1F"/>
        </w:rPr>
        <w:t>with</w:t>
      </w:r>
      <w:r>
        <w:rPr>
          <w:color w:val="211F1F"/>
          <w:spacing w:val="-5"/>
        </w:rPr>
        <w:t xml:space="preserve"> </w:t>
      </w:r>
      <w:r>
        <w:rPr>
          <w:color w:val="211F1F"/>
        </w:rPr>
        <w:t>GCC 53.1, half the total amount retained shall be repaid to the Contractor and half when the Defects Liability Period</w:t>
      </w:r>
      <w:r>
        <w:rPr>
          <w:color w:val="211F1F"/>
          <w:spacing w:val="-13"/>
        </w:rPr>
        <w:t xml:space="preserve"> </w:t>
      </w:r>
      <w:r>
        <w:rPr>
          <w:color w:val="211F1F"/>
        </w:rPr>
        <w:t>has</w:t>
      </w:r>
      <w:r>
        <w:rPr>
          <w:color w:val="211F1F"/>
          <w:spacing w:val="-5"/>
        </w:rPr>
        <w:t xml:space="preserve"> </w:t>
      </w:r>
      <w:r>
        <w:rPr>
          <w:color w:val="211F1F"/>
        </w:rPr>
        <w:t>passed</w:t>
      </w:r>
      <w:r>
        <w:rPr>
          <w:color w:val="211F1F"/>
          <w:spacing w:val="-14"/>
        </w:rPr>
        <w:t xml:space="preserve"> </w:t>
      </w:r>
      <w:r>
        <w:rPr>
          <w:color w:val="211F1F"/>
        </w:rPr>
        <w:t>and</w:t>
      </w:r>
      <w:r>
        <w:rPr>
          <w:color w:val="211F1F"/>
          <w:spacing w:val="-14"/>
        </w:rPr>
        <w:t xml:space="preserve"> </w:t>
      </w:r>
      <w:r>
        <w:rPr>
          <w:color w:val="211F1F"/>
        </w:rPr>
        <w:t>the</w:t>
      </w:r>
      <w:r>
        <w:rPr>
          <w:color w:val="211F1F"/>
          <w:spacing w:val="-12"/>
        </w:rPr>
        <w:t xml:space="preserve"> </w:t>
      </w:r>
      <w:r>
        <w:rPr>
          <w:color w:val="211F1F"/>
        </w:rPr>
        <w:t>Project</w:t>
      </w:r>
      <w:r>
        <w:rPr>
          <w:color w:val="211F1F"/>
          <w:spacing w:val="-4"/>
        </w:rPr>
        <w:t xml:space="preserve"> </w:t>
      </w:r>
      <w:r>
        <w:rPr>
          <w:color w:val="211F1F"/>
        </w:rPr>
        <w:t>Manager</w:t>
      </w:r>
      <w:r>
        <w:rPr>
          <w:color w:val="211F1F"/>
          <w:spacing w:val="-3"/>
        </w:rPr>
        <w:t xml:space="preserve"> </w:t>
      </w:r>
      <w:r>
        <w:rPr>
          <w:color w:val="211F1F"/>
        </w:rPr>
        <w:t>has</w:t>
      </w:r>
      <w:r>
        <w:rPr>
          <w:color w:val="211F1F"/>
          <w:spacing w:val="-10"/>
        </w:rPr>
        <w:t xml:space="preserve"> </w:t>
      </w:r>
      <w:r>
        <w:rPr>
          <w:color w:val="211F1F"/>
        </w:rPr>
        <w:t>certified</w:t>
      </w:r>
      <w:r>
        <w:rPr>
          <w:color w:val="211F1F"/>
          <w:spacing w:val="-11"/>
        </w:rPr>
        <w:t xml:space="preserve"> </w:t>
      </w:r>
      <w:r>
        <w:rPr>
          <w:color w:val="211F1F"/>
        </w:rPr>
        <w:t>that</w:t>
      </w:r>
      <w:r>
        <w:rPr>
          <w:color w:val="211F1F"/>
          <w:spacing w:val="-10"/>
        </w:rPr>
        <w:t xml:space="preserve"> </w:t>
      </w:r>
      <w:r>
        <w:rPr>
          <w:color w:val="211F1F"/>
        </w:rPr>
        <w:t>all</w:t>
      </w:r>
      <w:r>
        <w:rPr>
          <w:color w:val="211F1F"/>
          <w:spacing w:val="-10"/>
        </w:rPr>
        <w:t xml:space="preserve"> </w:t>
      </w:r>
      <w:r>
        <w:rPr>
          <w:color w:val="211F1F"/>
        </w:rPr>
        <w:t>Defects</w:t>
      </w:r>
      <w:r>
        <w:rPr>
          <w:color w:val="211F1F"/>
          <w:spacing w:val="-10"/>
        </w:rPr>
        <w:t xml:space="preserve"> </w:t>
      </w:r>
      <w:r>
        <w:rPr>
          <w:color w:val="211F1F"/>
        </w:rPr>
        <w:t>notified</w:t>
      </w:r>
      <w:r>
        <w:rPr>
          <w:color w:val="211F1F"/>
          <w:spacing w:val="-14"/>
        </w:rPr>
        <w:t xml:space="preserve"> </w:t>
      </w:r>
      <w:r>
        <w:rPr>
          <w:color w:val="211F1F"/>
        </w:rPr>
        <w:t>by</w:t>
      </w:r>
      <w:r>
        <w:rPr>
          <w:color w:val="211F1F"/>
          <w:spacing w:val="-14"/>
        </w:rPr>
        <w:t xml:space="preserve"> </w:t>
      </w:r>
      <w:r>
        <w:rPr>
          <w:color w:val="211F1F"/>
        </w:rPr>
        <w:t>the</w:t>
      </w:r>
      <w:r>
        <w:rPr>
          <w:color w:val="211F1F"/>
          <w:spacing w:val="-12"/>
        </w:rPr>
        <w:t xml:space="preserve"> </w:t>
      </w:r>
      <w:r>
        <w:rPr>
          <w:color w:val="211F1F"/>
        </w:rPr>
        <w:t>Project</w:t>
      </w:r>
      <w:r>
        <w:rPr>
          <w:color w:val="211F1F"/>
          <w:spacing w:val="-10"/>
        </w:rPr>
        <w:t xml:space="preserve"> </w:t>
      </w:r>
      <w:r>
        <w:rPr>
          <w:color w:val="211F1F"/>
        </w:rPr>
        <w:t>Manager</w:t>
      </w:r>
      <w:r>
        <w:rPr>
          <w:color w:val="211F1F"/>
          <w:spacing w:val="-7"/>
        </w:rPr>
        <w:t xml:space="preserve"> </w:t>
      </w:r>
      <w:r>
        <w:rPr>
          <w:color w:val="211F1F"/>
        </w:rPr>
        <w:t>to</w:t>
      </w:r>
      <w:r>
        <w:rPr>
          <w:color w:val="211F1F"/>
          <w:spacing w:val="-14"/>
        </w:rPr>
        <w:t xml:space="preserve"> </w:t>
      </w:r>
      <w:r>
        <w:rPr>
          <w:color w:val="211F1F"/>
        </w:rPr>
        <w:t>the Contractor before</w:t>
      </w:r>
      <w:r>
        <w:rPr>
          <w:color w:val="211F1F"/>
          <w:spacing w:val="-7"/>
        </w:rPr>
        <w:t xml:space="preserve"> </w:t>
      </w:r>
      <w:r>
        <w:rPr>
          <w:color w:val="211F1F"/>
        </w:rPr>
        <w:t>the</w:t>
      </w:r>
      <w:r>
        <w:rPr>
          <w:color w:val="211F1F"/>
          <w:spacing w:val="-3"/>
        </w:rPr>
        <w:t xml:space="preserve"> </w:t>
      </w:r>
      <w:r>
        <w:rPr>
          <w:color w:val="211F1F"/>
        </w:rPr>
        <w:t>end</w:t>
      </w:r>
      <w:r>
        <w:rPr>
          <w:color w:val="211F1F"/>
          <w:spacing w:val="-6"/>
        </w:rPr>
        <w:t xml:space="preserve"> </w:t>
      </w:r>
      <w:r>
        <w:rPr>
          <w:color w:val="211F1F"/>
        </w:rPr>
        <w:t>of</w:t>
      </w:r>
      <w:r>
        <w:rPr>
          <w:color w:val="211F1F"/>
          <w:spacing w:val="-2"/>
        </w:rPr>
        <w:t xml:space="preserve"> </w:t>
      </w:r>
      <w:r>
        <w:rPr>
          <w:color w:val="211F1F"/>
        </w:rPr>
        <w:t>this period</w:t>
      </w:r>
      <w:r>
        <w:rPr>
          <w:color w:val="211F1F"/>
          <w:spacing w:val="-5"/>
        </w:rPr>
        <w:t xml:space="preserve"> </w:t>
      </w:r>
      <w:r>
        <w:rPr>
          <w:color w:val="211F1F"/>
        </w:rPr>
        <w:t>have</w:t>
      </w:r>
      <w:r>
        <w:rPr>
          <w:color w:val="211F1F"/>
          <w:spacing w:val="-7"/>
        </w:rPr>
        <w:t xml:space="preserve"> </w:t>
      </w:r>
      <w:r>
        <w:rPr>
          <w:color w:val="211F1F"/>
        </w:rPr>
        <w:t>been</w:t>
      </w:r>
      <w:r>
        <w:rPr>
          <w:color w:val="211F1F"/>
          <w:spacing w:val="-6"/>
        </w:rPr>
        <w:t xml:space="preserve"> </w:t>
      </w:r>
      <w:r>
        <w:rPr>
          <w:color w:val="211F1F"/>
        </w:rPr>
        <w:t>corrected.</w:t>
      </w:r>
      <w:r>
        <w:rPr>
          <w:color w:val="211F1F"/>
          <w:spacing w:val="-2"/>
        </w:rPr>
        <w:t xml:space="preserve"> </w:t>
      </w:r>
      <w:r>
        <w:rPr>
          <w:color w:val="211F1F"/>
        </w:rPr>
        <w:t>The</w:t>
      </w:r>
      <w:r>
        <w:rPr>
          <w:color w:val="211F1F"/>
          <w:spacing w:val="-7"/>
        </w:rPr>
        <w:t xml:space="preserve"> </w:t>
      </w:r>
      <w:r>
        <w:rPr>
          <w:color w:val="211F1F"/>
        </w:rPr>
        <w:t>Contractor may</w:t>
      </w:r>
      <w:r>
        <w:rPr>
          <w:color w:val="211F1F"/>
          <w:spacing w:val="-5"/>
        </w:rPr>
        <w:t xml:space="preserve"> </w:t>
      </w:r>
      <w:r>
        <w:rPr>
          <w:color w:val="211F1F"/>
        </w:rPr>
        <w:t>substitute</w:t>
      </w:r>
      <w:r>
        <w:rPr>
          <w:color w:val="211F1F"/>
          <w:spacing w:val="-7"/>
        </w:rPr>
        <w:t xml:space="preserve"> </w:t>
      </w:r>
      <w:r>
        <w:rPr>
          <w:color w:val="211F1F"/>
        </w:rPr>
        <w:t>retention</w:t>
      </w:r>
      <w:r>
        <w:rPr>
          <w:color w:val="211F1F"/>
          <w:spacing w:val="-4"/>
        </w:rPr>
        <w:t xml:space="preserve"> </w:t>
      </w:r>
      <w:r>
        <w:rPr>
          <w:color w:val="211F1F"/>
        </w:rPr>
        <w:t>money with an “on demand” Bank guarantee.</w:t>
      </w:r>
    </w:p>
    <w:p w14:paraId="75CE21C5" w14:textId="77777777" w:rsidR="00BB77C0" w:rsidRDefault="00370BAA">
      <w:pPr>
        <w:pStyle w:val="Heading7"/>
        <w:numPr>
          <w:ilvl w:val="0"/>
          <w:numId w:val="23"/>
        </w:numPr>
        <w:tabs>
          <w:tab w:val="left" w:pos="1080"/>
        </w:tabs>
        <w:spacing w:before="242"/>
        <w:ind w:left="1080" w:hanging="360"/>
        <w:jc w:val="left"/>
      </w:pPr>
      <w:bookmarkStart w:id="235" w:name="47._Liquidated_Damages"/>
      <w:bookmarkEnd w:id="235"/>
      <w:r>
        <w:rPr>
          <w:color w:val="211F1F"/>
          <w:spacing w:val="-2"/>
        </w:rPr>
        <w:t>Liquidated</w:t>
      </w:r>
      <w:r>
        <w:rPr>
          <w:color w:val="211F1F"/>
          <w:spacing w:val="4"/>
        </w:rPr>
        <w:t xml:space="preserve"> </w:t>
      </w:r>
      <w:r>
        <w:rPr>
          <w:color w:val="211F1F"/>
          <w:spacing w:val="-2"/>
        </w:rPr>
        <w:t>Damages</w:t>
      </w:r>
    </w:p>
    <w:p w14:paraId="7FF270A2" w14:textId="77777777" w:rsidR="00BB77C0" w:rsidRDefault="00370BAA">
      <w:pPr>
        <w:pStyle w:val="ListParagraph"/>
        <w:numPr>
          <w:ilvl w:val="1"/>
          <w:numId w:val="23"/>
        </w:numPr>
        <w:tabs>
          <w:tab w:val="left" w:pos="1168"/>
          <w:tab w:val="left" w:pos="1171"/>
        </w:tabs>
        <w:spacing w:before="192" w:line="230" w:lineRule="auto"/>
        <w:ind w:right="839" w:hanging="360"/>
        <w:jc w:val="both"/>
        <w:rPr>
          <w:color w:val="211F1F"/>
        </w:rPr>
      </w:pPr>
      <w:r>
        <w:rPr>
          <w:color w:val="211F1F"/>
        </w:rPr>
        <w:t>The</w:t>
      </w:r>
      <w:r>
        <w:rPr>
          <w:color w:val="211F1F"/>
          <w:spacing w:val="-4"/>
        </w:rPr>
        <w:t xml:space="preserve"> </w:t>
      </w:r>
      <w:r>
        <w:rPr>
          <w:color w:val="211F1F"/>
        </w:rPr>
        <w:t>Contractor shall</w:t>
      </w:r>
      <w:r>
        <w:rPr>
          <w:color w:val="211F1F"/>
          <w:spacing w:val="-1"/>
        </w:rPr>
        <w:t xml:space="preserve"> </w:t>
      </w:r>
      <w:r>
        <w:rPr>
          <w:color w:val="211F1F"/>
        </w:rPr>
        <w:t>pay</w:t>
      </w:r>
      <w:r>
        <w:rPr>
          <w:color w:val="211F1F"/>
          <w:spacing w:val="-7"/>
        </w:rPr>
        <w:t xml:space="preserve"> </w:t>
      </w:r>
      <w:r>
        <w:rPr>
          <w:color w:val="211F1F"/>
        </w:rPr>
        <w:t>liquidated</w:t>
      </w:r>
      <w:r>
        <w:rPr>
          <w:color w:val="211F1F"/>
          <w:spacing w:val="-1"/>
        </w:rPr>
        <w:t xml:space="preserve"> </w:t>
      </w:r>
      <w:r>
        <w:rPr>
          <w:color w:val="211F1F"/>
        </w:rPr>
        <w:t>damages</w:t>
      </w:r>
      <w:r>
        <w:rPr>
          <w:color w:val="211F1F"/>
          <w:spacing w:val="-1"/>
        </w:rPr>
        <w:t xml:space="preserve"> </w:t>
      </w:r>
      <w:r>
        <w:rPr>
          <w:color w:val="211F1F"/>
        </w:rPr>
        <w:t>to</w:t>
      </w:r>
      <w:r>
        <w:rPr>
          <w:color w:val="211F1F"/>
          <w:spacing w:val="-7"/>
        </w:rPr>
        <w:t xml:space="preserve"> </w:t>
      </w:r>
      <w:r>
        <w:rPr>
          <w:color w:val="211F1F"/>
        </w:rPr>
        <w:t>the</w:t>
      </w:r>
      <w:r>
        <w:rPr>
          <w:color w:val="211F1F"/>
          <w:spacing w:val="-4"/>
        </w:rPr>
        <w:t xml:space="preserve"> </w:t>
      </w:r>
      <w:r>
        <w:rPr>
          <w:color w:val="211F1F"/>
        </w:rPr>
        <w:t>Procuring</w:t>
      </w:r>
      <w:r>
        <w:rPr>
          <w:color w:val="211F1F"/>
          <w:spacing w:val="-6"/>
        </w:rPr>
        <w:t xml:space="preserve"> </w:t>
      </w:r>
      <w:r>
        <w:rPr>
          <w:color w:val="211F1F"/>
        </w:rPr>
        <w:t>Entity</w:t>
      </w:r>
      <w:r>
        <w:rPr>
          <w:color w:val="211F1F"/>
          <w:spacing w:val="-2"/>
        </w:rPr>
        <w:t xml:space="preserve"> </w:t>
      </w:r>
      <w:r>
        <w:rPr>
          <w:color w:val="211F1F"/>
        </w:rPr>
        <w:t>at</w:t>
      </w:r>
      <w:r>
        <w:rPr>
          <w:color w:val="211F1F"/>
          <w:spacing w:val="-1"/>
        </w:rPr>
        <w:t xml:space="preserve"> </w:t>
      </w:r>
      <w:r>
        <w:rPr>
          <w:color w:val="211F1F"/>
        </w:rPr>
        <w:t>the</w:t>
      </w:r>
      <w:r>
        <w:rPr>
          <w:color w:val="211F1F"/>
          <w:spacing w:val="-5"/>
        </w:rPr>
        <w:t xml:space="preserve"> </w:t>
      </w:r>
      <w:r>
        <w:rPr>
          <w:color w:val="211F1F"/>
        </w:rPr>
        <w:t>rate</w:t>
      </w:r>
      <w:r>
        <w:rPr>
          <w:color w:val="211F1F"/>
          <w:spacing w:val="-4"/>
        </w:rPr>
        <w:t xml:space="preserve"> </w:t>
      </w:r>
      <w:r>
        <w:rPr>
          <w:color w:val="211F1F"/>
        </w:rPr>
        <w:t>per day</w:t>
      </w:r>
      <w:r>
        <w:rPr>
          <w:color w:val="211F1F"/>
          <w:spacing w:val="-7"/>
        </w:rPr>
        <w:t xml:space="preserve"> </w:t>
      </w:r>
      <w:r>
        <w:rPr>
          <w:color w:val="211F1F"/>
        </w:rPr>
        <w:t>stated</w:t>
      </w:r>
      <w:r>
        <w:rPr>
          <w:color w:val="211F1F"/>
          <w:spacing w:val="-2"/>
        </w:rPr>
        <w:t xml:space="preserve"> </w:t>
      </w:r>
      <w:r>
        <w:rPr>
          <w:color w:val="211F1F"/>
        </w:rPr>
        <w:t>in</w:t>
      </w:r>
      <w:r>
        <w:rPr>
          <w:color w:val="211F1F"/>
          <w:spacing w:val="-7"/>
        </w:rPr>
        <w:t xml:space="preserve"> </w:t>
      </w:r>
      <w:r>
        <w:rPr>
          <w:color w:val="211F1F"/>
        </w:rPr>
        <w:t>the</w:t>
      </w:r>
      <w:r>
        <w:rPr>
          <w:color w:val="211F1F"/>
          <w:spacing w:val="-4"/>
        </w:rPr>
        <w:t xml:space="preserve"> </w:t>
      </w:r>
      <w:r>
        <w:rPr>
          <w:b/>
          <w:color w:val="211F1F"/>
        </w:rPr>
        <w:t>SCC</w:t>
      </w:r>
      <w:r>
        <w:rPr>
          <w:b/>
          <w:color w:val="211F1F"/>
          <w:spacing w:val="-3"/>
        </w:rPr>
        <w:t xml:space="preserve"> </w:t>
      </w:r>
      <w:r>
        <w:rPr>
          <w:color w:val="211F1F"/>
        </w:rPr>
        <w:t>for each</w:t>
      </w:r>
      <w:r>
        <w:rPr>
          <w:color w:val="211F1F"/>
          <w:spacing w:val="-10"/>
        </w:rPr>
        <w:t xml:space="preserve"> </w:t>
      </w:r>
      <w:r>
        <w:rPr>
          <w:color w:val="211F1F"/>
        </w:rPr>
        <w:t>day</w:t>
      </w:r>
      <w:r>
        <w:rPr>
          <w:color w:val="211F1F"/>
          <w:spacing w:val="-10"/>
        </w:rPr>
        <w:t xml:space="preserve"> </w:t>
      </w:r>
      <w:r>
        <w:rPr>
          <w:color w:val="211F1F"/>
        </w:rPr>
        <w:t>that</w:t>
      </w:r>
      <w:r>
        <w:rPr>
          <w:color w:val="211F1F"/>
          <w:spacing w:val="-5"/>
        </w:rPr>
        <w:t xml:space="preserve"> </w:t>
      </w:r>
      <w:r>
        <w:rPr>
          <w:color w:val="211F1F"/>
        </w:rPr>
        <w:t>the</w:t>
      </w:r>
      <w:r>
        <w:rPr>
          <w:color w:val="211F1F"/>
          <w:spacing w:val="-8"/>
        </w:rPr>
        <w:t xml:space="preserve"> </w:t>
      </w:r>
      <w:r>
        <w:rPr>
          <w:color w:val="211F1F"/>
        </w:rPr>
        <w:t>Completion</w:t>
      </w:r>
      <w:r>
        <w:rPr>
          <w:color w:val="211F1F"/>
          <w:spacing w:val="-5"/>
        </w:rPr>
        <w:t xml:space="preserve"> </w:t>
      </w:r>
      <w:r>
        <w:rPr>
          <w:color w:val="211F1F"/>
        </w:rPr>
        <w:t>Date</w:t>
      </w:r>
      <w:r>
        <w:rPr>
          <w:color w:val="211F1F"/>
          <w:spacing w:val="-12"/>
        </w:rPr>
        <w:t xml:space="preserve"> </w:t>
      </w:r>
      <w:r>
        <w:rPr>
          <w:color w:val="211F1F"/>
        </w:rPr>
        <w:t>is</w:t>
      </w:r>
      <w:r>
        <w:rPr>
          <w:color w:val="211F1F"/>
          <w:spacing w:val="-6"/>
        </w:rPr>
        <w:t xml:space="preserve"> </w:t>
      </w:r>
      <w:r>
        <w:rPr>
          <w:color w:val="211F1F"/>
        </w:rPr>
        <w:t>later</w:t>
      </w:r>
      <w:r>
        <w:rPr>
          <w:color w:val="211F1F"/>
          <w:spacing w:val="-3"/>
        </w:rPr>
        <w:t xml:space="preserve"> </w:t>
      </w:r>
      <w:r>
        <w:rPr>
          <w:color w:val="211F1F"/>
        </w:rPr>
        <w:t>than</w:t>
      </w:r>
      <w:r>
        <w:rPr>
          <w:color w:val="211F1F"/>
          <w:spacing w:val="-10"/>
        </w:rPr>
        <w:t xml:space="preserve"> </w:t>
      </w:r>
      <w:r>
        <w:rPr>
          <w:color w:val="211F1F"/>
        </w:rPr>
        <w:t>the</w:t>
      </w:r>
      <w:r>
        <w:rPr>
          <w:color w:val="211F1F"/>
          <w:spacing w:val="-9"/>
        </w:rPr>
        <w:t xml:space="preserve"> </w:t>
      </w:r>
      <w:r>
        <w:rPr>
          <w:color w:val="211F1F"/>
        </w:rPr>
        <w:t>Intended</w:t>
      </w:r>
      <w:r>
        <w:rPr>
          <w:color w:val="211F1F"/>
          <w:spacing w:val="-6"/>
        </w:rPr>
        <w:t xml:space="preserve"> </w:t>
      </w:r>
      <w:r>
        <w:rPr>
          <w:color w:val="211F1F"/>
        </w:rPr>
        <w:t>Completion</w:t>
      </w:r>
      <w:r>
        <w:rPr>
          <w:color w:val="211F1F"/>
          <w:spacing w:val="-10"/>
        </w:rPr>
        <w:t xml:space="preserve"> </w:t>
      </w:r>
      <w:r>
        <w:rPr>
          <w:color w:val="211F1F"/>
        </w:rPr>
        <w:t>Date.</w:t>
      </w:r>
      <w:r>
        <w:rPr>
          <w:color w:val="211F1F"/>
          <w:spacing w:val="-4"/>
        </w:rPr>
        <w:t xml:space="preserve"> </w:t>
      </w:r>
      <w:r>
        <w:rPr>
          <w:color w:val="211F1F"/>
        </w:rPr>
        <w:t>The</w:t>
      </w:r>
      <w:r>
        <w:rPr>
          <w:color w:val="211F1F"/>
          <w:spacing w:val="-12"/>
        </w:rPr>
        <w:t xml:space="preserve"> </w:t>
      </w:r>
      <w:r>
        <w:rPr>
          <w:color w:val="211F1F"/>
        </w:rPr>
        <w:t>total</w:t>
      </w:r>
      <w:r>
        <w:rPr>
          <w:color w:val="211F1F"/>
          <w:spacing w:val="-5"/>
        </w:rPr>
        <w:t xml:space="preserve"> </w:t>
      </w:r>
      <w:r>
        <w:rPr>
          <w:color w:val="211F1F"/>
        </w:rPr>
        <w:t>amount</w:t>
      </w:r>
      <w:r>
        <w:rPr>
          <w:color w:val="211F1F"/>
          <w:spacing w:val="-5"/>
        </w:rPr>
        <w:t xml:space="preserve"> </w:t>
      </w:r>
      <w:r>
        <w:rPr>
          <w:color w:val="211F1F"/>
        </w:rPr>
        <w:t>of</w:t>
      </w:r>
      <w:r>
        <w:rPr>
          <w:color w:val="211F1F"/>
          <w:spacing w:val="-8"/>
        </w:rPr>
        <w:t xml:space="preserve"> </w:t>
      </w:r>
      <w:r>
        <w:rPr>
          <w:color w:val="211F1F"/>
        </w:rPr>
        <w:t>liquidated damages shall not exceed the amount defined in the SCC. The Procuring Entity may deduct liquidated damages from payments due to the Contractor. Payment of liquidated damages shall not affect the Contractor's liabilities.</w:t>
      </w:r>
    </w:p>
    <w:p w14:paraId="12D7F09D" w14:textId="77777777" w:rsidR="00BB77C0" w:rsidRDefault="00370BAA">
      <w:pPr>
        <w:pStyle w:val="ListParagraph"/>
        <w:numPr>
          <w:ilvl w:val="1"/>
          <w:numId w:val="23"/>
        </w:numPr>
        <w:tabs>
          <w:tab w:val="left" w:pos="1168"/>
          <w:tab w:val="left" w:pos="1171"/>
        </w:tabs>
        <w:spacing w:before="197" w:line="230" w:lineRule="auto"/>
        <w:ind w:right="832" w:hanging="360"/>
        <w:jc w:val="both"/>
        <w:rPr>
          <w:color w:val="211F1F"/>
        </w:rPr>
      </w:pPr>
      <w:r>
        <w:rPr>
          <w:color w:val="211F1F"/>
          <w:spacing w:val="-2"/>
        </w:rPr>
        <w:t>If</w:t>
      </w:r>
      <w:r>
        <w:rPr>
          <w:color w:val="211F1F"/>
          <w:spacing w:val="-12"/>
        </w:rPr>
        <w:t xml:space="preserve"> </w:t>
      </w:r>
      <w:r>
        <w:rPr>
          <w:color w:val="211F1F"/>
          <w:spacing w:val="-2"/>
        </w:rPr>
        <w:t>the</w:t>
      </w:r>
      <w:r>
        <w:rPr>
          <w:color w:val="211F1F"/>
          <w:spacing w:val="-9"/>
        </w:rPr>
        <w:t xml:space="preserve"> </w:t>
      </w:r>
      <w:r>
        <w:rPr>
          <w:color w:val="211F1F"/>
          <w:spacing w:val="-2"/>
        </w:rPr>
        <w:t>Intended</w:t>
      </w:r>
      <w:r>
        <w:rPr>
          <w:color w:val="211F1F"/>
          <w:spacing w:val="-8"/>
        </w:rPr>
        <w:t xml:space="preserve"> </w:t>
      </w:r>
      <w:r>
        <w:rPr>
          <w:color w:val="211F1F"/>
          <w:spacing w:val="-2"/>
        </w:rPr>
        <w:t>Completion</w:t>
      </w:r>
      <w:r>
        <w:rPr>
          <w:color w:val="211F1F"/>
          <w:spacing w:val="-12"/>
        </w:rPr>
        <w:t xml:space="preserve"> </w:t>
      </w:r>
      <w:r>
        <w:rPr>
          <w:color w:val="211F1F"/>
          <w:spacing w:val="-2"/>
        </w:rPr>
        <w:t>Date</w:t>
      </w:r>
      <w:r>
        <w:rPr>
          <w:color w:val="211F1F"/>
          <w:spacing w:val="-12"/>
        </w:rPr>
        <w:t xml:space="preserve"> </w:t>
      </w:r>
      <w:r>
        <w:rPr>
          <w:color w:val="211F1F"/>
          <w:spacing w:val="-2"/>
        </w:rPr>
        <w:t>is</w:t>
      </w:r>
      <w:r>
        <w:rPr>
          <w:color w:val="211F1F"/>
          <w:spacing w:val="-12"/>
        </w:rPr>
        <w:t xml:space="preserve"> </w:t>
      </w:r>
      <w:r>
        <w:rPr>
          <w:color w:val="211F1F"/>
          <w:spacing w:val="-2"/>
        </w:rPr>
        <w:t>extended</w:t>
      </w:r>
      <w:r>
        <w:rPr>
          <w:color w:val="211F1F"/>
          <w:spacing w:val="-7"/>
        </w:rPr>
        <w:t xml:space="preserve"> </w:t>
      </w:r>
      <w:r>
        <w:rPr>
          <w:color w:val="211F1F"/>
          <w:spacing w:val="-2"/>
        </w:rPr>
        <w:t>after</w:t>
      </w:r>
      <w:r>
        <w:rPr>
          <w:color w:val="211F1F"/>
          <w:spacing w:val="-10"/>
        </w:rPr>
        <w:t xml:space="preserve"> </w:t>
      </w:r>
      <w:r>
        <w:rPr>
          <w:color w:val="211F1F"/>
          <w:spacing w:val="-2"/>
        </w:rPr>
        <w:t>liquidated</w:t>
      </w:r>
      <w:r>
        <w:rPr>
          <w:color w:val="211F1F"/>
          <w:spacing w:val="-12"/>
        </w:rPr>
        <w:t xml:space="preserve"> </w:t>
      </w:r>
      <w:r>
        <w:rPr>
          <w:color w:val="211F1F"/>
          <w:spacing w:val="-2"/>
        </w:rPr>
        <w:t>damages</w:t>
      </w:r>
      <w:r>
        <w:rPr>
          <w:color w:val="211F1F"/>
          <w:spacing w:val="-7"/>
        </w:rPr>
        <w:t xml:space="preserve"> </w:t>
      </w:r>
      <w:r>
        <w:rPr>
          <w:color w:val="211F1F"/>
          <w:spacing w:val="-2"/>
        </w:rPr>
        <w:t>have</w:t>
      </w:r>
      <w:r>
        <w:rPr>
          <w:color w:val="211F1F"/>
          <w:spacing w:val="-10"/>
        </w:rPr>
        <w:t xml:space="preserve"> </w:t>
      </w:r>
      <w:r>
        <w:rPr>
          <w:color w:val="211F1F"/>
          <w:spacing w:val="-2"/>
        </w:rPr>
        <w:t>been</w:t>
      </w:r>
      <w:r>
        <w:rPr>
          <w:color w:val="211F1F"/>
          <w:spacing w:val="-12"/>
        </w:rPr>
        <w:t xml:space="preserve"> </w:t>
      </w:r>
      <w:r>
        <w:rPr>
          <w:color w:val="211F1F"/>
          <w:spacing w:val="-2"/>
        </w:rPr>
        <w:t>paid,</w:t>
      </w:r>
      <w:r>
        <w:rPr>
          <w:color w:val="211F1F"/>
          <w:spacing w:val="-11"/>
        </w:rPr>
        <w:t xml:space="preserve"> </w:t>
      </w:r>
      <w:r>
        <w:rPr>
          <w:color w:val="211F1F"/>
          <w:spacing w:val="-2"/>
        </w:rPr>
        <w:t>the</w:t>
      </w:r>
      <w:r>
        <w:rPr>
          <w:color w:val="211F1F"/>
          <w:spacing w:val="-12"/>
        </w:rPr>
        <w:t xml:space="preserve"> </w:t>
      </w:r>
      <w:r>
        <w:rPr>
          <w:color w:val="211F1F"/>
          <w:spacing w:val="-2"/>
        </w:rPr>
        <w:t>Project</w:t>
      </w:r>
      <w:r>
        <w:rPr>
          <w:color w:val="211F1F"/>
          <w:spacing w:val="-7"/>
        </w:rPr>
        <w:t xml:space="preserve"> </w:t>
      </w:r>
      <w:r>
        <w:rPr>
          <w:color w:val="211F1F"/>
          <w:spacing w:val="-2"/>
        </w:rPr>
        <w:t>Manager</w:t>
      </w:r>
      <w:r>
        <w:rPr>
          <w:color w:val="211F1F"/>
          <w:spacing w:val="-9"/>
        </w:rPr>
        <w:t xml:space="preserve"> </w:t>
      </w:r>
      <w:r>
        <w:rPr>
          <w:color w:val="211F1F"/>
          <w:spacing w:val="-2"/>
        </w:rPr>
        <w:t>shall correct</w:t>
      </w:r>
      <w:r>
        <w:rPr>
          <w:color w:val="211F1F"/>
          <w:spacing w:val="-12"/>
        </w:rPr>
        <w:t xml:space="preserve"> </w:t>
      </w:r>
      <w:r>
        <w:rPr>
          <w:color w:val="211F1F"/>
          <w:spacing w:val="-2"/>
        </w:rPr>
        <w:t>any</w:t>
      </w:r>
      <w:r>
        <w:rPr>
          <w:color w:val="211F1F"/>
          <w:spacing w:val="-12"/>
        </w:rPr>
        <w:t xml:space="preserve"> </w:t>
      </w:r>
      <w:r>
        <w:rPr>
          <w:color w:val="211F1F"/>
          <w:spacing w:val="-2"/>
        </w:rPr>
        <w:t>overpayment</w:t>
      </w:r>
      <w:r>
        <w:rPr>
          <w:color w:val="211F1F"/>
          <w:spacing w:val="-12"/>
        </w:rPr>
        <w:t xml:space="preserve"> </w:t>
      </w:r>
      <w:r>
        <w:rPr>
          <w:color w:val="211F1F"/>
          <w:spacing w:val="-2"/>
        </w:rPr>
        <w:t>of</w:t>
      </w:r>
      <w:r>
        <w:rPr>
          <w:color w:val="211F1F"/>
          <w:spacing w:val="-11"/>
        </w:rPr>
        <w:t xml:space="preserve"> </w:t>
      </w:r>
      <w:r>
        <w:rPr>
          <w:color w:val="211F1F"/>
          <w:spacing w:val="-2"/>
        </w:rPr>
        <w:t>liquidated</w:t>
      </w:r>
      <w:r>
        <w:rPr>
          <w:color w:val="211F1F"/>
          <w:spacing w:val="-12"/>
        </w:rPr>
        <w:t xml:space="preserve"> </w:t>
      </w:r>
      <w:r>
        <w:rPr>
          <w:color w:val="211F1F"/>
          <w:spacing w:val="-2"/>
        </w:rPr>
        <w:t>damages</w:t>
      </w:r>
      <w:r>
        <w:rPr>
          <w:color w:val="211F1F"/>
          <w:spacing w:val="-11"/>
        </w:rPr>
        <w:t xml:space="preserve"> </w:t>
      </w:r>
      <w:r>
        <w:rPr>
          <w:color w:val="211F1F"/>
          <w:spacing w:val="-2"/>
        </w:rPr>
        <w:t>by</w:t>
      </w:r>
      <w:r>
        <w:rPr>
          <w:color w:val="211F1F"/>
          <w:spacing w:val="-12"/>
        </w:rPr>
        <w:t xml:space="preserve"> </w:t>
      </w:r>
      <w:r>
        <w:rPr>
          <w:color w:val="211F1F"/>
          <w:spacing w:val="-2"/>
        </w:rPr>
        <w:t>the</w:t>
      </w:r>
      <w:r>
        <w:rPr>
          <w:color w:val="211F1F"/>
          <w:spacing w:val="-12"/>
        </w:rPr>
        <w:t xml:space="preserve"> </w:t>
      </w:r>
      <w:r>
        <w:rPr>
          <w:color w:val="211F1F"/>
          <w:spacing w:val="-2"/>
        </w:rPr>
        <w:t>Contractor</w:t>
      </w:r>
      <w:r>
        <w:rPr>
          <w:color w:val="211F1F"/>
          <w:spacing w:val="-9"/>
        </w:rPr>
        <w:t xml:space="preserve"> </w:t>
      </w:r>
      <w:r>
        <w:rPr>
          <w:color w:val="211F1F"/>
          <w:spacing w:val="-2"/>
        </w:rPr>
        <w:t>by</w:t>
      </w:r>
      <w:r>
        <w:rPr>
          <w:color w:val="211F1F"/>
          <w:spacing w:val="-12"/>
        </w:rPr>
        <w:t xml:space="preserve"> </w:t>
      </w:r>
      <w:r>
        <w:rPr>
          <w:color w:val="211F1F"/>
          <w:spacing w:val="-2"/>
        </w:rPr>
        <w:t>adjusting</w:t>
      </w:r>
      <w:r>
        <w:rPr>
          <w:color w:val="211F1F"/>
          <w:spacing w:val="-12"/>
        </w:rPr>
        <w:t xml:space="preserve"> </w:t>
      </w:r>
      <w:r>
        <w:rPr>
          <w:color w:val="211F1F"/>
          <w:spacing w:val="-2"/>
        </w:rPr>
        <w:t>the</w:t>
      </w:r>
      <w:r>
        <w:rPr>
          <w:color w:val="211F1F"/>
          <w:spacing w:val="-10"/>
        </w:rPr>
        <w:t xml:space="preserve"> </w:t>
      </w:r>
      <w:r>
        <w:rPr>
          <w:color w:val="211F1F"/>
          <w:spacing w:val="-2"/>
        </w:rPr>
        <w:t>next</w:t>
      </w:r>
      <w:r>
        <w:rPr>
          <w:color w:val="211F1F"/>
          <w:spacing w:val="-12"/>
        </w:rPr>
        <w:t xml:space="preserve"> </w:t>
      </w:r>
      <w:r>
        <w:rPr>
          <w:color w:val="211F1F"/>
          <w:spacing w:val="-2"/>
        </w:rPr>
        <w:t>payment</w:t>
      </w:r>
      <w:r>
        <w:rPr>
          <w:color w:val="211F1F"/>
          <w:spacing w:val="-8"/>
        </w:rPr>
        <w:t xml:space="preserve"> </w:t>
      </w:r>
      <w:r>
        <w:rPr>
          <w:color w:val="211F1F"/>
          <w:spacing w:val="-2"/>
        </w:rPr>
        <w:t>certificate.</w:t>
      </w:r>
      <w:r>
        <w:rPr>
          <w:color w:val="211F1F"/>
          <w:spacing w:val="-10"/>
        </w:rPr>
        <w:t xml:space="preserve"> </w:t>
      </w:r>
      <w:r>
        <w:rPr>
          <w:color w:val="211F1F"/>
          <w:spacing w:val="-2"/>
        </w:rPr>
        <w:t xml:space="preserve">The </w:t>
      </w:r>
      <w:r>
        <w:rPr>
          <w:color w:val="211F1F"/>
        </w:rPr>
        <w:t>Contractor shall be paid interest on the overpayment, calculated from the date of payment to the date of repayment, at the rates specified in GCC Sub-Clause 41.1.</w:t>
      </w:r>
    </w:p>
    <w:p w14:paraId="013670F5" w14:textId="77777777" w:rsidR="00BB77C0" w:rsidRDefault="00370BAA">
      <w:pPr>
        <w:pStyle w:val="Heading7"/>
        <w:numPr>
          <w:ilvl w:val="0"/>
          <w:numId w:val="23"/>
        </w:numPr>
        <w:tabs>
          <w:tab w:val="left" w:pos="1075"/>
        </w:tabs>
        <w:spacing w:before="245"/>
        <w:ind w:left="1075" w:hanging="360"/>
        <w:jc w:val="left"/>
      </w:pPr>
      <w:bookmarkStart w:id="236" w:name="48._Bonus"/>
      <w:bookmarkEnd w:id="236"/>
      <w:r>
        <w:rPr>
          <w:color w:val="211F1F"/>
          <w:spacing w:val="-2"/>
        </w:rPr>
        <w:t>Bonus</w:t>
      </w:r>
    </w:p>
    <w:p w14:paraId="20982A24" w14:textId="77777777" w:rsidR="00BB77C0" w:rsidRDefault="00370BAA">
      <w:pPr>
        <w:pStyle w:val="ListParagraph"/>
        <w:numPr>
          <w:ilvl w:val="1"/>
          <w:numId w:val="23"/>
        </w:numPr>
        <w:tabs>
          <w:tab w:val="left" w:pos="1168"/>
          <w:tab w:val="left" w:pos="1171"/>
        </w:tabs>
        <w:spacing w:before="192" w:line="230" w:lineRule="auto"/>
        <w:ind w:right="826" w:hanging="360"/>
        <w:jc w:val="both"/>
        <w:rPr>
          <w:color w:val="211F1F"/>
        </w:rPr>
      </w:pPr>
      <w:r>
        <w:rPr>
          <w:color w:val="211F1F"/>
          <w:spacing w:val="-2"/>
        </w:rPr>
        <w:t>The</w:t>
      </w:r>
      <w:r>
        <w:rPr>
          <w:color w:val="211F1F"/>
          <w:spacing w:val="-12"/>
        </w:rPr>
        <w:t xml:space="preserve"> </w:t>
      </w:r>
      <w:r>
        <w:rPr>
          <w:color w:val="211F1F"/>
          <w:spacing w:val="-2"/>
        </w:rPr>
        <w:t>Contractor</w:t>
      </w:r>
      <w:r>
        <w:rPr>
          <w:color w:val="211F1F"/>
          <w:spacing w:val="-12"/>
        </w:rPr>
        <w:t xml:space="preserve"> </w:t>
      </w:r>
      <w:r>
        <w:rPr>
          <w:color w:val="211F1F"/>
          <w:spacing w:val="-2"/>
        </w:rPr>
        <w:t>shall</w:t>
      </w:r>
      <w:r>
        <w:rPr>
          <w:color w:val="211F1F"/>
          <w:spacing w:val="-12"/>
        </w:rPr>
        <w:t xml:space="preserve"> </w:t>
      </w:r>
      <w:r>
        <w:rPr>
          <w:color w:val="211F1F"/>
          <w:spacing w:val="-2"/>
        </w:rPr>
        <w:t>be</w:t>
      </w:r>
      <w:r>
        <w:rPr>
          <w:color w:val="211F1F"/>
          <w:spacing w:val="-11"/>
        </w:rPr>
        <w:t xml:space="preserve"> </w:t>
      </w:r>
      <w:r>
        <w:rPr>
          <w:color w:val="211F1F"/>
          <w:spacing w:val="-2"/>
        </w:rPr>
        <w:t>paid</w:t>
      </w:r>
      <w:r>
        <w:rPr>
          <w:color w:val="211F1F"/>
          <w:spacing w:val="-12"/>
        </w:rPr>
        <w:t xml:space="preserve"> </w:t>
      </w:r>
      <w:r>
        <w:rPr>
          <w:color w:val="211F1F"/>
          <w:spacing w:val="-2"/>
        </w:rPr>
        <w:t>a</w:t>
      </w:r>
      <w:r>
        <w:rPr>
          <w:color w:val="211F1F"/>
          <w:spacing w:val="-12"/>
        </w:rPr>
        <w:t xml:space="preserve"> </w:t>
      </w:r>
      <w:r>
        <w:rPr>
          <w:color w:val="211F1F"/>
          <w:spacing w:val="-2"/>
        </w:rPr>
        <w:t>Bonus</w:t>
      </w:r>
      <w:r>
        <w:rPr>
          <w:color w:val="211F1F"/>
          <w:spacing w:val="-12"/>
        </w:rPr>
        <w:t xml:space="preserve"> </w:t>
      </w:r>
      <w:r>
        <w:rPr>
          <w:color w:val="211F1F"/>
          <w:spacing w:val="-2"/>
        </w:rPr>
        <w:t>calculated</w:t>
      </w:r>
      <w:r>
        <w:rPr>
          <w:color w:val="211F1F"/>
          <w:spacing w:val="-11"/>
        </w:rPr>
        <w:t xml:space="preserve"> </w:t>
      </w:r>
      <w:r>
        <w:rPr>
          <w:color w:val="211F1F"/>
          <w:spacing w:val="-2"/>
        </w:rPr>
        <w:t>at</w:t>
      </w:r>
      <w:r>
        <w:rPr>
          <w:color w:val="211F1F"/>
          <w:spacing w:val="-12"/>
        </w:rPr>
        <w:t xml:space="preserve"> </w:t>
      </w:r>
      <w:r>
        <w:rPr>
          <w:color w:val="211F1F"/>
          <w:spacing w:val="-2"/>
        </w:rPr>
        <w:t>the</w:t>
      </w:r>
      <w:r>
        <w:rPr>
          <w:color w:val="211F1F"/>
          <w:spacing w:val="-12"/>
        </w:rPr>
        <w:t xml:space="preserve"> </w:t>
      </w:r>
      <w:r>
        <w:rPr>
          <w:color w:val="211F1F"/>
          <w:spacing w:val="-2"/>
        </w:rPr>
        <w:t>rate</w:t>
      </w:r>
      <w:r>
        <w:rPr>
          <w:color w:val="211F1F"/>
          <w:spacing w:val="-12"/>
        </w:rPr>
        <w:t xml:space="preserve"> </w:t>
      </w:r>
      <w:r>
        <w:rPr>
          <w:color w:val="211F1F"/>
          <w:spacing w:val="-2"/>
        </w:rPr>
        <w:t>per</w:t>
      </w:r>
      <w:r>
        <w:rPr>
          <w:color w:val="211F1F"/>
          <w:spacing w:val="-11"/>
        </w:rPr>
        <w:t xml:space="preserve"> </w:t>
      </w:r>
      <w:r>
        <w:rPr>
          <w:color w:val="211F1F"/>
          <w:spacing w:val="-2"/>
        </w:rPr>
        <w:t>calendar</w:t>
      </w:r>
      <w:r>
        <w:rPr>
          <w:color w:val="211F1F"/>
          <w:spacing w:val="-12"/>
        </w:rPr>
        <w:t xml:space="preserve"> </w:t>
      </w:r>
      <w:r>
        <w:rPr>
          <w:color w:val="211F1F"/>
          <w:spacing w:val="-2"/>
        </w:rPr>
        <w:t>day</w:t>
      </w:r>
      <w:r>
        <w:rPr>
          <w:color w:val="211F1F"/>
          <w:spacing w:val="-12"/>
        </w:rPr>
        <w:t xml:space="preserve"> </w:t>
      </w:r>
      <w:r>
        <w:rPr>
          <w:b/>
          <w:color w:val="211F1F"/>
          <w:spacing w:val="-2"/>
        </w:rPr>
        <w:t>stated</w:t>
      </w:r>
      <w:r>
        <w:rPr>
          <w:b/>
          <w:color w:val="211F1F"/>
          <w:spacing w:val="-12"/>
        </w:rPr>
        <w:t xml:space="preserve"> </w:t>
      </w:r>
      <w:r>
        <w:rPr>
          <w:b/>
          <w:color w:val="211F1F"/>
          <w:spacing w:val="-2"/>
        </w:rPr>
        <w:t>in</w:t>
      </w:r>
      <w:r>
        <w:rPr>
          <w:b/>
          <w:color w:val="211F1F"/>
          <w:spacing w:val="-11"/>
        </w:rPr>
        <w:t xml:space="preserve"> </w:t>
      </w:r>
      <w:r>
        <w:rPr>
          <w:b/>
          <w:color w:val="211F1F"/>
          <w:spacing w:val="-2"/>
        </w:rPr>
        <w:t>the</w:t>
      </w:r>
      <w:r>
        <w:rPr>
          <w:b/>
          <w:color w:val="211F1F"/>
          <w:spacing w:val="-12"/>
        </w:rPr>
        <w:t xml:space="preserve"> </w:t>
      </w:r>
      <w:r>
        <w:rPr>
          <w:b/>
          <w:color w:val="211F1F"/>
          <w:spacing w:val="-2"/>
        </w:rPr>
        <w:t>SCC</w:t>
      </w:r>
      <w:r>
        <w:rPr>
          <w:b/>
          <w:color w:val="211F1F"/>
          <w:spacing w:val="-12"/>
        </w:rPr>
        <w:t xml:space="preserve"> </w:t>
      </w:r>
      <w:r>
        <w:rPr>
          <w:color w:val="211F1F"/>
          <w:spacing w:val="-2"/>
        </w:rPr>
        <w:t>for</w:t>
      </w:r>
      <w:r>
        <w:rPr>
          <w:color w:val="211F1F"/>
          <w:spacing w:val="-9"/>
        </w:rPr>
        <w:t xml:space="preserve"> </w:t>
      </w:r>
      <w:r>
        <w:rPr>
          <w:color w:val="211F1F"/>
          <w:spacing w:val="-2"/>
        </w:rPr>
        <w:t>each</w:t>
      </w:r>
      <w:r>
        <w:rPr>
          <w:color w:val="211F1F"/>
          <w:spacing w:val="-9"/>
        </w:rPr>
        <w:t xml:space="preserve"> </w:t>
      </w:r>
      <w:r>
        <w:rPr>
          <w:color w:val="211F1F"/>
          <w:spacing w:val="-2"/>
        </w:rPr>
        <w:t>day</w:t>
      </w:r>
      <w:r>
        <w:rPr>
          <w:color w:val="211F1F"/>
          <w:spacing w:val="-12"/>
        </w:rPr>
        <w:t xml:space="preserve"> </w:t>
      </w:r>
      <w:r>
        <w:rPr>
          <w:color w:val="211F1F"/>
          <w:spacing w:val="-2"/>
        </w:rPr>
        <w:t xml:space="preserve">(less </w:t>
      </w:r>
      <w:r>
        <w:rPr>
          <w:color w:val="211F1F"/>
        </w:rPr>
        <w:t xml:space="preserve">any days for which the Contractor is paid for acceleration) that the Completion is earlier than the Intended </w:t>
      </w:r>
      <w:r>
        <w:rPr>
          <w:color w:val="211F1F"/>
          <w:spacing w:val="-2"/>
        </w:rPr>
        <w:t>Completion</w:t>
      </w:r>
      <w:r>
        <w:rPr>
          <w:color w:val="211F1F"/>
          <w:spacing w:val="-12"/>
        </w:rPr>
        <w:t xml:space="preserve"> </w:t>
      </w:r>
      <w:r>
        <w:rPr>
          <w:color w:val="211F1F"/>
          <w:spacing w:val="-2"/>
        </w:rPr>
        <w:t>Date.</w:t>
      </w:r>
      <w:r>
        <w:rPr>
          <w:color w:val="211F1F"/>
          <w:spacing w:val="-11"/>
        </w:rPr>
        <w:t xml:space="preserve"> </w:t>
      </w:r>
      <w:r>
        <w:rPr>
          <w:color w:val="211F1F"/>
          <w:spacing w:val="-2"/>
        </w:rPr>
        <w:t>The</w:t>
      </w:r>
      <w:r>
        <w:rPr>
          <w:color w:val="211F1F"/>
          <w:spacing w:val="-12"/>
        </w:rPr>
        <w:t xml:space="preserve"> </w:t>
      </w:r>
      <w:r>
        <w:rPr>
          <w:color w:val="211F1F"/>
          <w:spacing w:val="-2"/>
        </w:rPr>
        <w:t>Project Manager shall</w:t>
      </w:r>
      <w:r>
        <w:rPr>
          <w:color w:val="211F1F"/>
          <w:spacing w:val="-12"/>
        </w:rPr>
        <w:t xml:space="preserve"> </w:t>
      </w:r>
      <w:r>
        <w:rPr>
          <w:color w:val="211F1F"/>
          <w:spacing w:val="-2"/>
        </w:rPr>
        <w:t>certify</w:t>
      </w:r>
      <w:r>
        <w:rPr>
          <w:color w:val="211F1F"/>
          <w:spacing w:val="-8"/>
        </w:rPr>
        <w:t xml:space="preserve"> </w:t>
      </w:r>
      <w:r>
        <w:rPr>
          <w:color w:val="211F1F"/>
          <w:spacing w:val="-2"/>
        </w:rPr>
        <w:t>that</w:t>
      </w:r>
      <w:r>
        <w:rPr>
          <w:color w:val="211F1F"/>
          <w:spacing w:val="-7"/>
        </w:rPr>
        <w:t xml:space="preserve"> </w:t>
      </w:r>
      <w:r>
        <w:rPr>
          <w:color w:val="211F1F"/>
          <w:spacing w:val="-2"/>
        </w:rPr>
        <w:t>the</w:t>
      </w:r>
      <w:r>
        <w:rPr>
          <w:color w:val="211F1F"/>
          <w:spacing w:val="-10"/>
        </w:rPr>
        <w:t xml:space="preserve"> </w:t>
      </w:r>
      <w:r>
        <w:rPr>
          <w:color w:val="211F1F"/>
          <w:spacing w:val="-2"/>
        </w:rPr>
        <w:t>Works</w:t>
      </w:r>
      <w:r>
        <w:rPr>
          <w:color w:val="211F1F"/>
          <w:spacing w:val="-12"/>
        </w:rPr>
        <w:t xml:space="preserve"> </w:t>
      </w:r>
      <w:r>
        <w:rPr>
          <w:color w:val="211F1F"/>
          <w:spacing w:val="-2"/>
        </w:rPr>
        <w:t>are</w:t>
      </w:r>
      <w:r>
        <w:rPr>
          <w:color w:val="211F1F"/>
          <w:spacing w:val="-10"/>
        </w:rPr>
        <w:t xml:space="preserve"> </w:t>
      </w:r>
      <w:r>
        <w:rPr>
          <w:color w:val="211F1F"/>
          <w:spacing w:val="-2"/>
        </w:rPr>
        <w:t>complete,</w:t>
      </w:r>
      <w:r>
        <w:rPr>
          <w:color w:val="211F1F"/>
          <w:spacing w:val="-5"/>
        </w:rPr>
        <w:t xml:space="preserve"> </w:t>
      </w:r>
      <w:r>
        <w:rPr>
          <w:color w:val="211F1F"/>
          <w:spacing w:val="-2"/>
        </w:rPr>
        <w:t>although</w:t>
      </w:r>
      <w:r>
        <w:rPr>
          <w:color w:val="211F1F"/>
          <w:spacing w:val="-8"/>
        </w:rPr>
        <w:t xml:space="preserve"> </w:t>
      </w:r>
      <w:r>
        <w:rPr>
          <w:color w:val="211F1F"/>
          <w:spacing w:val="-2"/>
        </w:rPr>
        <w:t>they</w:t>
      </w:r>
      <w:r>
        <w:rPr>
          <w:color w:val="211F1F"/>
          <w:spacing w:val="-8"/>
        </w:rPr>
        <w:t xml:space="preserve"> </w:t>
      </w:r>
      <w:r>
        <w:rPr>
          <w:color w:val="211F1F"/>
          <w:spacing w:val="-2"/>
        </w:rPr>
        <w:t>may</w:t>
      </w:r>
      <w:r>
        <w:rPr>
          <w:color w:val="211F1F"/>
          <w:spacing w:val="-8"/>
        </w:rPr>
        <w:t xml:space="preserve"> </w:t>
      </w:r>
      <w:r>
        <w:rPr>
          <w:color w:val="211F1F"/>
          <w:spacing w:val="-2"/>
        </w:rPr>
        <w:t>not be</w:t>
      </w:r>
      <w:r>
        <w:rPr>
          <w:color w:val="211F1F"/>
          <w:spacing w:val="-10"/>
        </w:rPr>
        <w:t xml:space="preserve"> </w:t>
      </w:r>
      <w:r>
        <w:rPr>
          <w:color w:val="211F1F"/>
          <w:spacing w:val="-2"/>
        </w:rPr>
        <w:t xml:space="preserve">due </w:t>
      </w:r>
      <w:r>
        <w:rPr>
          <w:color w:val="211F1F"/>
        </w:rPr>
        <w:t>to be</w:t>
      </w:r>
      <w:r>
        <w:rPr>
          <w:color w:val="211F1F"/>
          <w:spacing w:val="-3"/>
        </w:rPr>
        <w:t xml:space="preserve"> </w:t>
      </w:r>
      <w:r>
        <w:rPr>
          <w:color w:val="211F1F"/>
        </w:rPr>
        <w:t>complete.</w:t>
      </w:r>
    </w:p>
    <w:p w14:paraId="08957755" w14:textId="77777777" w:rsidR="00BB77C0" w:rsidRDefault="00BB77C0">
      <w:pPr>
        <w:pStyle w:val="ListParagraph"/>
        <w:spacing w:line="230" w:lineRule="auto"/>
        <w:jc w:val="both"/>
        <w:sectPr w:rsidR="00BB77C0">
          <w:pgSz w:w="11920" w:h="16850"/>
          <w:pgMar w:top="700" w:right="0" w:bottom="280" w:left="360" w:header="720" w:footer="720" w:gutter="0"/>
          <w:cols w:space="720"/>
        </w:sectPr>
      </w:pPr>
    </w:p>
    <w:p w14:paraId="690FA519" w14:textId="77777777" w:rsidR="00BB77C0" w:rsidRDefault="00370BAA">
      <w:pPr>
        <w:pStyle w:val="Heading7"/>
        <w:numPr>
          <w:ilvl w:val="0"/>
          <w:numId w:val="23"/>
        </w:numPr>
        <w:tabs>
          <w:tab w:val="left" w:pos="1080"/>
        </w:tabs>
        <w:spacing w:before="79" w:line="246" w:lineRule="exact"/>
        <w:ind w:left="1080" w:hanging="360"/>
        <w:jc w:val="both"/>
      </w:pPr>
      <w:bookmarkStart w:id="237" w:name="49._Advance_Payment"/>
      <w:bookmarkEnd w:id="237"/>
      <w:r>
        <w:rPr>
          <w:color w:val="211F1F"/>
          <w:spacing w:val="-4"/>
        </w:rPr>
        <w:lastRenderedPageBreak/>
        <w:t>Advance</w:t>
      </w:r>
      <w:r>
        <w:rPr>
          <w:color w:val="211F1F"/>
          <w:spacing w:val="-6"/>
        </w:rPr>
        <w:t xml:space="preserve"> </w:t>
      </w:r>
      <w:r>
        <w:rPr>
          <w:color w:val="211F1F"/>
          <w:spacing w:val="-2"/>
        </w:rPr>
        <w:t>Payment</w:t>
      </w:r>
    </w:p>
    <w:p w14:paraId="183D8E88" w14:textId="77777777" w:rsidR="00BB77C0" w:rsidRDefault="00370BAA">
      <w:pPr>
        <w:pStyle w:val="ListParagraph"/>
        <w:numPr>
          <w:ilvl w:val="1"/>
          <w:numId w:val="23"/>
        </w:numPr>
        <w:tabs>
          <w:tab w:val="left" w:pos="1163"/>
          <w:tab w:val="left" w:pos="1171"/>
        </w:tabs>
        <w:spacing w:before="2" w:line="230" w:lineRule="auto"/>
        <w:ind w:right="836" w:hanging="360"/>
        <w:jc w:val="both"/>
        <w:rPr>
          <w:color w:val="211F1F"/>
        </w:rPr>
      </w:pPr>
      <w:r>
        <w:rPr>
          <w:color w:val="211F1F"/>
        </w:rPr>
        <w:t>The</w:t>
      </w:r>
      <w:r>
        <w:rPr>
          <w:color w:val="211F1F"/>
          <w:spacing w:val="-6"/>
        </w:rPr>
        <w:t xml:space="preserve"> </w:t>
      </w:r>
      <w:r>
        <w:rPr>
          <w:color w:val="211F1F"/>
        </w:rPr>
        <w:t>Procuring</w:t>
      </w:r>
      <w:r>
        <w:rPr>
          <w:color w:val="211F1F"/>
          <w:spacing w:val="-4"/>
        </w:rPr>
        <w:t xml:space="preserve"> </w:t>
      </w:r>
      <w:r>
        <w:rPr>
          <w:color w:val="211F1F"/>
        </w:rPr>
        <w:t>Entity</w:t>
      </w:r>
      <w:r>
        <w:rPr>
          <w:color w:val="211F1F"/>
          <w:spacing w:val="-3"/>
        </w:rPr>
        <w:t xml:space="preserve"> </w:t>
      </w:r>
      <w:r>
        <w:rPr>
          <w:color w:val="211F1F"/>
        </w:rPr>
        <w:t>shall make</w:t>
      </w:r>
      <w:r>
        <w:rPr>
          <w:color w:val="211F1F"/>
          <w:spacing w:val="-6"/>
        </w:rPr>
        <w:t xml:space="preserve"> </w:t>
      </w:r>
      <w:r>
        <w:rPr>
          <w:color w:val="211F1F"/>
        </w:rPr>
        <w:t>advance</w:t>
      </w:r>
      <w:r>
        <w:rPr>
          <w:color w:val="211F1F"/>
          <w:spacing w:val="-6"/>
        </w:rPr>
        <w:t xml:space="preserve"> </w:t>
      </w:r>
      <w:r>
        <w:rPr>
          <w:color w:val="211F1F"/>
        </w:rPr>
        <w:t>payment to</w:t>
      </w:r>
      <w:r>
        <w:rPr>
          <w:color w:val="211F1F"/>
          <w:spacing w:val="-5"/>
        </w:rPr>
        <w:t xml:space="preserve"> </w:t>
      </w:r>
      <w:r>
        <w:rPr>
          <w:color w:val="211F1F"/>
        </w:rPr>
        <w:t>the</w:t>
      </w:r>
      <w:r>
        <w:rPr>
          <w:color w:val="211F1F"/>
          <w:spacing w:val="-6"/>
        </w:rPr>
        <w:t xml:space="preserve"> </w:t>
      </w:r>
      <w:r>
        <w:rPr>
          <w:color w:val="211F1F"/>
        </w:rPr>
        <w:t>Contractor of</w:t>
      </w:r>
      <w:r>
        <w:rPr>
          <w:color w:val="211F1F"/>
          <w:spacing w:val="-1"/>
        </w:rPr>
        <w:t xml:space="preserve"> </w:t>
      </w:r>
      <w:r>
        <w:rPr>
          <w:color w:val="211F1F"/>
        </w:rPr>
        <w:t>the</w:t>
      </w:r>
      <w:r>
        <w:rPr>
          <w:color w:val="211F1F"/>
          <w:spacing w:val="-6"/>
        </w:rPr>
        <w:t xml:space="preserve"> </w:t>
      </w:r>
      <w:r>
        <w:rPr>
          <w:color w:val="211F1F"/>
        </w:rPr>
        <w:t>amounts stated</w:t>
      </w:r>
      <w:r>
        <w:rPr>
          <w:color w:val="211F1F"/>
          <w:spacing w:val="-4"/>
        </w:rPr>
        <w:t xml:space="preserve"> </w:t>
      </w:r>
      <w:r>
        <w:rPr>
          <w:color w:val="211F1F"/>
        </w:rPr>
        <w:t>in</w:t>
      </w:r>
      <w:r>
        <w:rPr>
          <w:color w:val="211F1F"/>
          <w:spacing w:val="-5"/>
        </w:rPr>
        <w:t xml:space="preserve"> </w:t>
      </w:r>
      <w:r>
        <w:rPr>
          <w:color w:val="211F1F"/>
        </w:rPr>
        <w:t>the</w:t>
      </w:r>
      <w:r>
        <w:rPr>
          <w:color w:val="211F1F"/>
          <w:spacing w:val="-7"/>
        </w:rPr>
        <w:t xml:space="preserve"> </w:t>
      </w:r>
      <w:r>
        <w:rPr>
          <w:b/>
          <w:color w:val="211F1F"/>
        </w:rPr>
        <w:t xml:space="preserve">SCC </w:t>
      </w:r>
      <w:r>
        <w:rPr>
          <w:color w:val="211F1F"/>
        </w:rPr>
        <w:t>by</w:t>
      </w:r>
      <w:r>
        <w:rPr>
          <w:color w:val="211F1F"/>
          <w:spacing w:val="-5"/>
        </w:rPr>
        <w:t xml:space="preserve"> </w:t>
      </w:r>
      <w:r>
        <w:rPr>
          <w:color w:val="211F1F"/>
        </w:rPr>
        <w:t xml:space="preserve">the date stated in the </w:t>
      </w:r>
      <w:r>
        <w:rPr>
          <w:b/>
          <w:color w:val="211F1F"/>
        </w:rPr>
        <w:t>SCC</w:t>
      </w:r>
      <w:r>
        <w:rPr>
          <w:color w:val="211F1F"/>
        </w:rPr>
        <w:t>, against provision by the Contractor of an Unconditional Bank Guarantee in a form and by a bank acceptable to the Procuring Entity in amounts and currencies equal to the advance payment. The Guarantee shall remain effective until the advance payment has been repaid, but the amount of the Guarantee shall be progressively reduced by the amounts repaid by the Contractor. Interest shall not be charged on the advance payment.</w:t>
      </w:r>
    </w:p>
    <w:p w14:paraId="0C91BC7E" w14:textId="77777777" w:rsidR="00BB77C0" w:rsidRDefault="00370BAA">
      <w:pPr>
        <w:pStyle w:val="ListParagraph"/>
        <w:numPr>
          <w:ilvl w:val="1"/>
          <w:numId w:val="23"/>
        </w:numPr>
        <w:tabs>
          <w:tab w:val="left" w:pos="1168"/>
          <w:tab w:val="left" w:pos="1171"/>
        </w:tabs>
        <w:spacing w:before="237" w:line="230" w:lineRule="auto"/>
        <w:ind w:right="716" w:hanging="360"/>
        <w:jc w:val="both"/>
        <w:rPr>
          <w:color w:val="211F1F"/>
        </w:rPr>
      </w:pPr>
      <w:r>
        <w:rPr>
          <w:color w:val="211F1F"/>
        </w:rPr>
        <w:t>The Contractor is to use the advance payment only to pay for Equipment, Plant, Materials, and mobilization expenses required specifically for execution of the Contract. The Contractor shall demonstrate that advance payment</w:t>
      </w:r>
      <w:r>
        <w:rPr>
          <w:color w:val="211F1F"/>
          <w:spacing w:val="-10"/>
        </w:rPr>
        <w:t xml:space="preserve"> </w:t>
      </w:r>
      <w:r>
        <w:rPr>
          <w:color w:val="211F1F"/>
        </w:rPr>
        <w:t>has</w:t>
      </w:r>
      <w:r>
        <w:rPr>
          <w:color w:val="211F1F"/>
          <w:spacing w:val="-6"/>
        </w:rPr>
        <w:t xml:space="preserve"> </w:t>
      </w:r>
      <w:r>
        <w:rPr>
          <w:color w:val="211F1F"/>
        </w:rPr>
        <w:t>been</w:t>
      </w:r>
      <w:r>
        <w:rPr>
          <w:color w:val="211F1F"/>
          <w:spacing w:val="-12"/>
        </w:rPr>
        <w:t xml:space="preserve"> </w:t>
      </w:r>
      <w:r>
        <w:rPr>
          <w:color w:val="211F1F"/>
        </w:rPr>
        <w:t>used</w:t>
      </w:r>
      <w:r>
        <w:rPr>
          <w:color w:val="211F1F"/>
          <w:spacing w:val="-12"/>
        </w:rPr>
        <w:t xml:space="preserve"> </w:t>
      </w:r>
      <w:r>
        <w:rPr>
          <w:color w:val="211F1F"/>
        </w:rPr>
        <w:t>in</w:t>
      </w:r>
      <w:r>
        <w:rPr>
          <w:color w:val="211F1F"/>
          <w:spacing w:val="-18"/>
        </w:rPr>
        <w:t xml:space="preserve"> </w:t>
      </w:r>
      <w:r>
        <w:rPr>
          <w:color w:val="211F1F"/>
        </w:rPr>
        <w:t>this</w:t>
      </w:r>
      <w:r>
        <w:rPr>
          <w:color w:val="211F1F"/>
          <w:spacing w:val="-6"/>
        </w:rPr>
        <w:t xml:space="preserve"> </w:t>
      </w:r>
      <w:r>
        <w:rPr>
          <w:color w:val="211F1F"/>
        </w:rPr>
        <w:t>way</w:t>
      </w:r>
      <w:r>
        <w:rPr>
          <w:color w:val="211F1F"/>
          <w:spacing w:val="-11"/>
        </w:rPr>
        <w:t xml:space="preserve"> </w:t>
      </w:r>
      <w:r>
        <w:rPr>
          <w:color w:val="211F1F"/>
        </w:rPr>
        <w:t>by</w:t>
      </w:r>
      <w:r>
        <w:rPr>
          <w:color w:val="211F1F"/>
          <w:spacing w:val="-12"/>
        </w:rPr>
        <w:t xml:space="preserve"> </w:t>
      </w:r>
      <w:r>
        <w:rPr>
          <w:color w:val="211F1F"/>
        </w:rPr>
        <w:t>supplying</w:t>
      </w:r>
      <w:r>
        <w:rPr>
          <w:color w:val="211F1F"/>
          <w:spacing w:val="-17"/>
        </w:rPr>
        <w:t xml:space="preserve"> </w:t>
      </w:r>
      <w:r>
        <w:rPr>
          <w:color w:val="211F1F"/>
        </w:rPr>
        <w:t>copies</w:t>
      </w:r>
      <w:r>
        <w:rPr>
          <w:color w:val="211F1F"/>
          <w:spacing w:val="-5"/>
        </w:rPr>
        <w:t xml:space="preserve"> </w:t>
      </w:r>
      <w:r>
        <w:rPr>
          <w:color w:val="211F1F"/>
        </w:rPr>
        <w:t>of</w:t>
      </w:r>
      <w:r>
        <w:rPr>
          <w:color w:val="211F1F"/>
          <w:spacing w:val="-14"/>
        </w:rPr>
        <w:t xml:space="preserve"> </w:t>
      </w:r>
      <w:r>
        <w:rPr>
          <w:color w:val="211F1F"/>
        </w:rPr>
        <w:t>invoices</w:t>
      </w:r>
      <w:r>
        <w:rPr>
          <w:color w:val="211F1F"/>
          <w:spacing w:val="-5"/>
        </w:rPr>
        <w:t xml:space="preserve"> </w:t>
      </w:r>
      <w:r>
        <w:rPr>
          <w:color w:val="211F1F"/>
        </w:rPr>
        <w:t>or</w:t>
      </w:r>
      <w:r>
        <w:rPr>
          <w:color w:val="211F1F"/>
          <w:spacing w:val="-9"/>
        </w:rPr>
        <w:t xml:space="preserve"> </w:t>
      </w:r>
      <w:r>
        <w:rPr>
          <w:color w:val="211F1F"/>
        </w:rPr>
        <w:t>other</w:t>
      </w:r>
      <w:r>
        <w:rPr>
          <w:color w:val="211F1F"/>
          <w:spacing w:val="-2"/>
        </w:rPr>
        <w:t xml:space="preserve"> </w:t>
      </w:r>
      <w:r>
        <w:rPr>
          <w:color w:val="211F1F"/>
        </w:rPr>
        <w:t>documents</w:t>
      </w:r>
      <w:r>
        <w:rPr>
          <w:color w:val="211F1F"/>
          <w:spacing w:val="-11"/>
        </w:rPr>
        <w:t xml:space="preserve"> </w:t>
      </w:r>
      <w:r>
        <w:rPr>
          <w:color w:val="211F1F"/>
        </w:rPr>
        <w:t>to</w:t>
      </w:r>
      <w:r>
        <w:rPr>
          <w:color w:val="211F1F"/>
          <w:spacing w:val="-12"/>
        </w:rPr>
        <w:t xml:space="preserve"> </w:t>
      </w:r>
      <w:r>
        <w:rPr>
          <w:color w:val="211F1F"/>
        </w:rPr>
        <w:t>the</w:t>
      </w:r>
      <w:r>
        <w:rPr>
          <w:color w:val="211F1F"/>
          <w:spacing w:val="-14"/>
        </w:rPr>
        <w:t xml:space="preserve"> </w:t>
      </w:r>
      <w:r>
        <w:rPr>
          <w:color w:val="211F1F"/>
        </w:rPr>
        <w:t>Project</w:t>
      </w:r>
      <w:r>
        <w:rPr>
          <w:color w:val="211F1F"/>
          <w:spacing w:val="-10"/>
        </w:rPr>
        <w:t xml:space="preserve"> </w:t>
      </w:r>
      <w:r>
        <w:rPr>
          <w:color w:val="211F1F"/>
        </w:rPr>
        <w:t>Manager.</w:t>
      </w:r>
    </w:p>
    <w:p w14:paraId="4DF8F362" w14:textId="77777777" w:rsidR="00BB77C0" w:rsidRDefault="00370BAA">
      <w:pPr>
        <w:pStyle w:val="ListParagraph"/>
        <w:numPr>
          <w:ilvl w:val="1"/>
          <w:numId w:val="23"/>
        </w:numPr>
        <w:tabs>
          <w:tab w:val="left" w:pos="1163"/>
          <w:tab w:val="left" w:pos="1171"/>
        </w:tabs>
        <w:spacing w:before="252" w:line="230" w:lineRule="auto"/>
        <w:ind w:right="831" w:hanging="360"/>
        <w:jc w:val="both"/>
        <w:rPr>
          <w:color w:val="211F1F"/>
        </w:rPr>
      </w:pPr>
      <w:r>
        <w:rPr>
          <w:color w:val="211F1F"/>
        </w:rPr>
        <w:t>The</w:t>
      </w:r>
      <w:r>
        <w:rPr>
          <w:color w:val="211F1F"/>
          <w:spacing w:val="-14"/>
        </w:rPr>
        <w:t xml:space="preserve"> </w:t>
      </w:r>
      <w:r>
        <w:rPr>
          <w:color w:val="211F1F"/>
        </w:rPr>
        <w:t>advance</w:t>
      </w:r>
      <w:r>
        <w:rPr>
          <w:color w:val="211F1F"/>
          <w:spacing w:val="-14"/>
        </w:rPr>
        <w:t xml:space="preserve"> </w:t>
      </w:r>
      <w:r>
        <w:rPr>
          <w:color w:val="211F1F"/>
        </w:rPr>
        <w:t>payment</w:t>
      </w:r>
      <w:r>
        <w:rPr>
          <w:color w:val="211F1F"/>
          <w:spacing w:val="-14"/>
        </w:rPr>
        <w:t xml:space="preserve"> </w:t>
      </w:r>
      <w:r>
        <w:rPr>
          <w:color w:val="211F1F"/>
        </w:rPr>
        <w:t>shall</w:t>
      </w:r>
      <w:r>
        <w:rPr>
          <w:color w:val="211F1F"/>
          <w:spacing w:val="-13"/>
        </w:rPr>
        <w:t xml:space="preserve"> </w:t>
      </w:r>
      <w:r>
        <w:rPr>
          <w:color w:val="211F1F"/>
        </w:rPr>
        <w:t>be</w:t>
      </w:r>
      <w:r>
        <w:rPr>
          <w:color w:val="211F1F"/>
          <w:spacing w:val="-14"/>
        </w:rPr>
        <w:t xml:space="preserve"> </w:t>
      </w:r>
      <w:r>
        <w:rPr>
          <w:color w:val="211F1F"/>
        </w:rPr>
        <w:t>repaid</w:t>
      </w:r>
      <w:r>
        <w:rPr>
          <w:color w:val="211F1F"/>
          <w:spacing w:val="-14"/>
        </w:rPr>
        <w:t xml:space="preserve"> </w:t>
      </w:r>
      <w:r>
        <w:rPr>
          <w:color w:val="211F1F"/>
        </w:rPr>
        <w:t>by</w:t>
      </w:r>
      <w:r>
        <w:rPr>
          <w:color w:val="211F1F"/>
          <w:spacing w:val="-14"/>
        </w:rPr>
        <w:t xml:space="preserve"> </w:t>
      </w:r>
      <w:r>
        <w:rPr>
          <w:color w:val="211F1F"/>
        </w:rPr>
        <w:t>deducting</w:t>
      </w:r>
      <w:r>
        <w:rPr>
          <w:color w:val="211F1F"/>
          <w:spacing w:val="-13"/>
        </w:rPr>
        <w:t xml:space="preserve"> </w:t>
      </w:r>
      <w:r>
        <w:rPr>
          <w:color w:val="211F1F"/>
        </w:rPr>
        <w:t>proportionate</w:t>
      </w:r>
      <w:r>
        <w:rPr>
          <w:color w:val="211F1F"/>
          <w:spacing w:val="-14"/>
        </w:rPr>
        <w:t xml:space="preserve"> </w:t>
      </w:r>
      <w:r>
        <w:rPr>
          <w:color w:val="211F1F"/>
        </w:rPr>
        <w:t>amounts</w:t>
      </w:r>
      <w:r>
        <w:rPr>
          <w:color w:val="211F1F"/>
          <w:spacing w:val="-14"/>
        </w:rPr>
        <w:t xml:space="preserve"> </w:t>
      </w:r>
      <w:r>
        <w:rPr>
          <w:color w:val="211F1F"/>
        </w:rPr>
        <w:t>from</w:t>
      </w:r>
      <w:r>
        <w:rPr>
          <w:color w:val="211F1F"/>
          <w:spacing w:val="-14"/>
        </w:rPr>
        <w:t xml:space="preserve"> </w:t>
      </w:r>
      <w:r>
        <w:rPr>
          <w:color w:val="211F1F"/>
        </w:rPr>
        <w:t>payments</w:t>
      </w:r>
      <w:r>
        <w:rPr>
          <w:color w:val="211F1F"/>
          <w:spacing w:val="-5"/>
        </w:rPr>
        <w:t xml:space="preserve"> </w:t>
      </w:r>
      <w:r>
        <w:rPr>
          <w:color w:val="211F1F"/>
        </w:rPr>
        <w:t>otherwise</w:t>
      </w:r>
      <w:r>
        <w:rPr>
          <w:color w:val="211F1F"/>
          <w:spacing w:val="-11"/>
        </w:rPr>
        <w:t xml:space="preserve"> </w:t>
      </w:r>
      <w:r>
        <w:rPr>
          <w:color w:val="211F1F"/>
        </w:rPr>
        <w:t>due</w:t>
      </w:r>
      <w:r>
        <w:rPr>
          <w:color w:val="211F1F"/>
          <w:spacing w:val="-13"/>
        </w:rPr>
        <w:t xml:space="preserve"> </w:t>
      </w:r>
      <w:r>
        <w:rPr>
          <w:color w:val="211F1F"/>
        </w:rPr>
        <w:t>to</w:t>
      </w:r>
      <w:r>
        <w:rPr>
          <w:color w:val="211F1F"/>
          <w:spacing w:val="-14"/>
        </w:rPr>
        <w:t xml:space="preserve"> </w:t>
      </w:r>
      <w:r>
        <w:rPr>
          <w:color w:val="211F1F"/>
        </w:rPr>
        <w:t>the Contractor, following the schedule of completed percentages of the Works on a payment basis. No</w:t>
      </w:r>
      <w:r>
        <w:rPr>
          <w:color w:val="211F1F"/>
          <w:spacing w:val="-1"/>
        </w:rPr>
        <w:t xml:space="preserve"> </w:t>
      </w:r>
      <w:r>
        <w:rPr>
          <w:color w:val="211F1F"/>
        </w:rPr>
        <w:t>account shall</w:t>
      </w:r>
      <w:r>
        <w:rPr>
          <w:color w:val="211F1F"/>
          <w:spacing w:val="-14"/>
        </w:rPr>
        <w:t xml:space="preserve"> </w:t>
      </w:r>
      <w:r>
        <w:rPr>
          <w:color w:val="211F1F"/>
        </w:rPr>
        <w:t>be</w:t>
      </w:r>
      <w:r>
        <w:rPr>
          <w:color w:val="211F1F"/>
          <w:spacing w:val="-14"/>
        </w:rPr>
        <w:t xml:space="preserve"> </w:t>
      </w:r>
      <w:r>
        <w:rPr>
          <w:color w:val="211F1F"/>
        </w:rPr>
        <w:t>taken</w:t>
      </w:r>
      <w:r>
        <w:rPr>
          <w:color w:val="211F1F"/>
          <w:spacing w:val="-14"/>
        </w:rPr>
        <w:t xml:space="preserve"> </w:t>
      </w:r>
      <w:r>
        <w:rPr>
          <w:color w:val="211F1F"/>
        </w:rPr>
        <w:t>of</w:t>
      </w:r>
      <w:r>
        <w:rPr>
          <w:color w:val="211F1F"/>
          <w:spacing w:val="-13"/>
        </w:rPr>
        <w:t xml:space="preserve"> </w:t>
      </w:r>
      <w:r>
        <w:rPr>
          <w:color w:val="211F1F"/>
        </w:rPr>
        <w:t>the</w:t>
      </w:r>
      <w:r>
        <w:rPr>
          <w:color w:val="211F1F"/>
          <w:spacing w:val="-14"/>
        </w:rPr>
        <w:t xml:space="preserve"> </w:t>
      </w:r>
      <w:r>
        <w:rPr>
          <w:color w:val="211F1F"/>
        </w:rPr>
        <w:t>advance</w:t>
      </w:r>
      <w:r>
        <w:rPr>
          <w:color w:val="211F1F"/>
          <w:spacing w:val="-14"/>
        </w:rPr>
        <w:t xml:space="preserve"> </w:t>
      </w:r>
      <w:r>
        <w:rPr>
          <w:color w:val="211F1F"/>
        </w:rPr>
        <w:t>payment</w:t>
      </w:r>
      <w:r>
        <w:rPr>
          <w:color w:val="211F1F"/>
          <w:spacing w:val="-14"/>
        </w:rPr>
        <w:t xml:space="preserve"> </w:t>
      </w:r>
      <w:r>
        <w:rPr>
          <w:color w:val="211F1F"/>
        </w:rPr>
        <w:t>or</w:t>
      </w:r>
      <w:r>
        <w:rPr>
          <w:color w:val="211F1F"/>
          <w:spacing w:val="-8"/>
        </w:rPr>
        <w:t xml:space="preserve"> </w:t>
      </w:r>
      <w:r>
        <w:rPr>
          <w:color w:val="211F1F"/>
        </w:rPr>
        <w:t>its</w:t>
      </w:r>
      <w:r>
        <w:rPr>
          <w:color w:val="211F1F"/>
          <w:spacing w:val="-14"/>
        </w:rPr>
        <w:t xml:space="preserve"> </w:t>
      </w:r>
      <w:r>
        <w:rPr>
          <w:color w:val="211F1F"/>
        </w:rPr>
        <w:t>repayment</w:t>
      </w:r>
      <w:r>
        <w:rPr>
          <w:color w:val="211F1F"/>
          <w:spacing w:val="-10"/>
        </w:rPr>
        <w:t xml:space="preserve"> </w:t>
      </w:r>
      <w:r>
        <w:rPr>
          <w:color w:val="211F1F"/>
        </w:rPr>
        <w:t>in</w:t>
      </w:r>
      <w:r>
        <w:rPr>
          <w:color w:val="211F1F"/>
          <w:spacing w:val="-11"/>
        </w:rPr>
        <w:t xml:space="preserve"> </w:t>
      </w:r>
      <w:r>
        <w:rPr>
          <w:color w:val="211F1F"/>
        </w:rPr>
        <w:t>assessing</w:t>
      </w:r>
      <w:r>
        <w:rPr>
          <w:color w:val="211F1F"/>
          <w:spacing w:val="-11"/>
        </w:rPr>
        <w:t xml:space="preserve"> </w:t>
      </w:r>
      <w:r>
        <w:rPr>
          <w:color w:val="211F1F"/>
        </w:rPr>
        <w:t>valuations</w:t>
      </w:r>
      <w:r>
        <w:rPr>
          <w:color w:val="211F1F"/>
          <w:spacing w:val="-6"/>
        </w:rPr>
        <w:t xml:space="preserve"> </w:t>
      </w:r>
      <w:r>
        <w:rPr>
          <w:color w:val="211F1F"/>
        </w:rPr>
        <w:t>of</w:t>
      </w:r>
      <w:r>
        <w:rPr>
          <w:color w:val="211F1F"/>
          <w:spacing w:val="-9"/>
        </w:rPr>
        <w:t xml:space="preserve"> </w:t>
      </w:r>
      <w:r>
        <w:rPr>
          <w:color w:val="211F1F"/>
        </w:rPr>
        <w:t>work</w:t>
      </w:r>
      <w:r>
        <w:rPr>
          <w:color w:val="211F1F"/>
          <w:spacing w:val="-11"/>
        </w:rPr>
        <w:t xml:space="preserve"> </w:t>
      </w:r>
      <w:r>
        <w:rPr>
          <w:color w:val="211F1F"/>
        </w:rPr>
        <w:t>done,</w:t>
      </w:r>
      <w:r>
        <w:rPr>
          <w:color w:val="211F1F"/>
          <w:spacing w:val="-9"/>
        </w:rPr>
        <w:t xml:space="preserve"> </w:t>
      </w:r>
      <w:r>
        <w:rPr>
          <w:color w:val="211F1F"/>
        </w:rPr>
        <w:t>Variations,</w:t>
      </w:r>
      <w:r>
        <w:rPr>
          <w:color w:val="211F1F"/>
          <w:spacing w:val="-8"/>
        </w:rPr>
        <w:t xml:space="preserve"> </w:t>
      </w:r>
      <w:r>
        <w:rPr>
          <w:color w:val="211F1F"/>
        </w:rPr>
        <w:t>price adjustments, Compensation Events, Bonuses, or Liquidated Damages.</w:t>
      </w:r>
    </w:p>
    <w:p w14:paraId="629DC6A0" w14:textId="77777777" w:rsidR="00BB77C0" w:rsidRDefault="00370BAA">
      <w:pPr>
        <w:spacing w:before="15"/>
        <w:ind w:left="2641"/>
        <w:rPr>
          <w:i/>
          <w:sz w:val="8"/>
        </w:rPr>
      </w:pPr>
      <w:bookmarkStart w:id="238" w:name="50._Securities"/>
      <w:bookmarkEnd w:id="238"/>
      <w:r>
        <w:rPr>
          <w:i/>
          <w:color w:val="211F1F"/>
          <w:spacing w:val="-10"/>
          <w:sz w:val="8"/>
        </w:rPr>
        <w:t>c</w:t>
      </w:r>
    </w:p>
    <w:p w14:paraId="59D9C1AA" w14:textId="77777777" w:rsidR="00BB77C0" w:rsidRDefault="00370BAA">
      <w:pPr>
        <w:pStyle w:val="Heading7"/>
        <w:numPr>
          <w:ilvl w:val="0"/>
          <w:numId w:val="23"/>
        </w:numPr>
        <w:tabs>
          <w:tab w:val="left" w:pos="1080"/>
        </w:tabs>
        <w:spacing w:before="147" w:line="246" w:lineRule="exact"/>
        <w:ind w:left="1080" w:hanging="360"/>
        <w:jc w:val="both"/>
      </w:pPr>
      <w:r>
        <w:rPr>
          <w:color w:val="211F1F"/>
          <w:spacing w:val="-2"/>
        </w:rPr>
        <w:t>Securities</w:t>
      </w:r>
    </w:p>
    <w:p w14:paraId="11E772EC" w14:textId="77777777" w:rsidR="00BB77C0" w:rsidRDefault="00370BAA">
      <w:pPr>
        <w:pStyle w:val="ListParagraph"/>
        <w:numPr>
          <w:ilvl w:val="1"/>
          <w:numId w:val="23"/>
        </w:numPr>
        <w:tabs>
          <w:tab w:val="left" w:pos="1168"/>
          <w:tab w:val="left" w:pos="1171"/>
        </w:tabs>
        <w:spacing w:before="2" w:line="230" w:lineRule="auto"/>
        <w:ind w:right="832" w:hanging="360"/>
        <w:jc w:val="both"/>
        <w:rPr>
          <w:color w:val="211F1F"/>
        </w:rPr>
      </w:pPr>
      <w:r>
        <w:rPr>
          <w:color w:val="211F1F"/>
          <w:spacing w:val="-2"/>
        </w:rPr>
        <w:t>The</w:t>
      </w:r>
      <w:r>
        <w:rPr>
          <w:color w:val="211F1F"/>
          <w:spacing w:val="-12"/>
        </w:rPr>
        <w:t xml:space="preserve"> </w:t>
      </w:r>
      <w:r>
        <w:rPr>
          <w:color w:val="211F1F"/>
          <w:spacing w:val="-2"/>
        </w:rPr>
        <w:t>Performance</w:t>
      </w:r>
      <w:r>
        <w:rPr>
          <w:color w:val="211F1F"/>
          <w:spacing w:val="-7"/>
        </w:rPr>
        <w:t xml:space="preserve"> </w:t>
      </w:r>
      <w:r>
        <w:rPr>
          <w:color w:val="211F1F"/>
          <w:spacing w:val="-2"/>
        </w:rPr>
        <w:t>Security</w:t>
      </w:r>
      <w:r>
        <w:rPr>
          <w:color w:val="211F1F"/>
          <w:spacing w:val="-11"/>
        </w:rPr>
        <w:t xml:space="preserve"> </w:t>
      </w:r>
      <w:r>
        <w:rPr>
          <w:color w:val="211F1F"/>
          <w:spacing w:val="-2"/>
        </w:rPr>
        <w:t>shall</w:t>
      </w:r>
      <w:r>
        <w:rPr>
          <w:color w:val="211F1F"/>
          <w:spacing w:val="-5"/>
        </w:rPr>
        <w:t xml:space="preserve"> </w:t>
      </w:r>
      <w:r>
        <w:rPr>
          <w:color w:val="211F1F"/>
          <w:spacing w:val="-2"/>
        </w:rPr>
        <w:t>be</w:t>
      </w:r>
      <w:r>
        <w:rPr>
          <w:color w:val="211F1F"/>
          <w:spacing w:val="-8"/>
        </w:rPr>
        <w:t xml:space="preserve"> </w:t>
      </w:r>
      <w:r>
        <w:rPr>
          <w:color w:val="211F1F"/>
          <w:spacing w:val="-2"/>
        </w:rPr>
        <w:t>provided to</w:t>
      </w:r>
      <w:r>
        <w:rPr>
          <w:color w:val="211F1F"/>
          <w:spacing w:val="-11"/>
        </w:rPr>
        <w:t xml:space="preserve"> </w:t>
      </w:r>
      <w:r>
        <w:rPr>
          <w:color w:val="211F1F"/>
          <w:spacing w:val="-2"/>
        </w:rPr>
        <w:t>the</w:t>
      </w:r>
      <w:r>
        <w:rPr>
          <w:color w:val="211F1F"/>
          <w:spacing w:val="-8"/>
        </w:rPr>
        <w:t xml:space="preserve"> </w:t>
      </w:r>
      <w:r>
        <w:rPr>
          <w:color w:val="211F1F"/>
          <w:spacing w:val="-2"/>
        </w:rPr>
        <w:t>Procuring</w:t>
      </w:r>
      <w:r>
        <w:rPr>
          <w:color w:val="211F1F"/>
          <w:spacing w:val="-5"/>
        </w:rPr>
        <w:t xml:space="preserve"> </w:t>
      </w:r>
      <w:r>
        <w:rPr>
          <w:color w:val="211F1F"/>
          <w:spacing w:val="-2"/>
        </w:rPr>
        <w:t>Entity</w:t>
      </w:r>
      <w:r>
        <w:rPr>
          <w:color w:val="211F1F"/>
          <w:spacing w:val="-6"/>
        </w:rPr>
        <w:t xml:space="preserve"> </w:t>
      </w:r>
      <w:r>
        <w:rPr>
          <w:color w:val="211F1F"/>
          <w:spacing w:val="-2"/>
        </w:rPr>
        <w:t>no</w:t>
      </w:r>
      <w:r>
        <w:rPr>
          <w:color w:val="211F1F"/>
          <w:spacing w:val="-6"/>
        </w:rPr>
        <w:t xml:space="preserve"> </w:t>
      </w:r>
      <w:r>
        <w:rPr>
          <w:color w:val="211F1F"/>
          <w:spacing w:val="-2"/>
        </w:rPr>
        <w:t>later</w:t>
      </w:r>
      <w:r>
        <w:rPr>
          <w:color w:val="211F1F"/>
          <w:spacing w:val="-7"/>
        </w:rPr>
        <w:t xml:space="preserve"> </w:t>
      </w:r>
      <w:r>
        <w:rPr>
          <w:color w:val="211F1F"/>
          <w:spacing w:val="-2"/>
        </w:rPr>
        <w:t>than</w:t>
      </w:r>
      <w:r>
        <w:rPr>
          <w:color w:val="211F1F"/>
          <w:spacing w:val="-12"/>
        </w:rPr>
        <w:t xml:space="preserve"> </w:t>
      </w:r>
      <w:r>
        <w:rPr>
          <w:color w:val="211F1F"/>
          <w:spacing w:val="-2"/>
        </w:rPr>
        <w:t>the</w:t>
      </w:r>
      <w:r>
        <w:rPr>
          <w:color w:val="211F1F"/>
          <w:spacing w:val="-8"/>
        </w:rPr>
        <w:t xml:space="preserve"> </w:t>
      </w:r>
      <w:r>
        <w:rPr>
          <w:color w:val="211F1F"/>
          <w:spacing w:val="-2"/>
        </w:rPr>
        <w:t>date</w:t>
      </w:r>
      <w:r>
        <w:rPr>
          <w:color w:val="211F1F"/>
          <w:spacing w:val="-8"/>
        </w:rPr>
        <w:t xml:space="preserve"> </w:t>
      </w:r>
      <w:r>
        <w:rPr>
          <w:color w:val="211F1F"/>
          <w:spacing w:val="-2"/>
        </w:rPr>
        <w:t>specified in the</w:t>
      </w:r>
      <w:r>
        <w:rPr>
          <w:color w:val="211F1F"/>
          <w:spacing w:val="-4"/>
        </w:rPr>
        <w:t xml:space="preserve"> </w:t>
      </w:r>
      <w:r>
        <w:rPr>
          <w:color w:val="211F1F"/>
          <w:spacing w:val="-2"/>
        </w:rPr>
        <w:t xml:space="preserve">Letter </w:t>
      </w:r>
      <w:r>
        <w:rPr>
          <w:color w:val="211F1F"/>
        </w:rPr>
        <w:t>of</w:t>
      </w:r>
      <w:r>
        <w:rPr>
          <w:color w:val="211F1F"/>
          <w:spacing w:val="-11"/>
        </w:rPr>
        <w:t xml:space="preserve"> </w:t>
      </w:r>
      <w:r>
        <w:rPr>
          <w:color w:val="211F1F"/>
        </w:rPr>
        <w:t>Acceptance</w:t>
      </w:r>
      <w:r>
        <w:rPr>
          <w:color w:val="211F1F"/>
          <w:spacing w:val="-5"/>
        </w:rPr>
        <w:t xml:space="preserve"> </w:t>
      </w:r>
      <w:r>
        <w:rPr>
          <w:color w:val="211F1F"/>
        </w:rPr>
        <w:t>and shall be</w:t>
      </w:r>
      <w:r>
        <w:rPr>
          <w:color w:val="211F1F"/>
          <w:spacing w:val="-6"/>
        </w:rPr>
        <w:t xml:space="preserve"> </w:t>
      </w:r>
      <w:r>
        <w:rPr>
          <w:color w:val="211F1F"/>
        </w:rPr>
        <w:t>issued in an</w:t>
      </w:r>
      <w:r>
        <w:rPr>
          <w:color w:val="211F1F"/>
          <w:spacing w:val="-5"/>
        </w:rPr>
        <w:t xml:space="preserve"> </w:t>
      </w:r>
      <w:r>
        <w:rPr>
          <w:color w:val="211F1F"/>
        </w:rPr>
        <w:t xml:space="preserve">amount </w:t>
      </w:r>
      <w:r>
        <w:rPr>
          <w:b/>
          <w:color w:val="211F1F"/>
        </w:rPr>
        <w:t>specified in</w:t>
      </w:r>
      <w:r>
        <w:rPr>
          <w:b/>
          <w:color w:val="211F1F"/>
          <w:spacing w:val="-2"/>
        </w:rPr>
        <w:t xml:space="preserve"> </w:t>
      </w:r>
      <w:r>
        <w:rPr>
          <w:b/>
          <w:color w:val="211F1F"/>
        </w:rPr>
        <w:t xml:space="preserve">the SCC, </w:t>
      </w:r>
      <w:r>
        <w:rPr>
          <w:color w:val="211F1F"/>
        </w:rPr>
        <w:t>by</w:t>
      </w:r>
      <w:r>
        <w:rPr>
          <w:color w:val="211F1F"/>
          <w:spacing w:val="-5"/>
        </w:rPr>
        <w:t xml:space="preserve"> </w:t>
      </w:r>
      <w:r>
        <w:rPr>
          <w:color w:val="211F1F"/>
        </w:rPr>
        <w:t>a</w:t>
      </w:r>
      <w:r>
        <w:rPr>
          <w:color w:val="211F1F"/>
          <w:spacing w:val="-2"/>
        </w:rPr>
        <w:t xml:space="preserve"> </w:t>
      </w:r>
      <w:r>
        <w:rPr>
          <w:color w:val="211F1F"/>
        </w:rPr>
        <w:t>bank or surety acceptable</w:t>
      </w:r>
      <w:r>
        <w:rPr>
          <w:color w:val="211F1F"/>
          <w:spacing w:val="32"/>
        </w:rPr>
        <w:t xml:space="preserve"> </w:t>
      </w:r>
      <w:r>
        <w:rPr>
          <w:color w:val="211F1F"/>
        </w:rPr>
        <w:t>to</w:t>
      </w:r>
      <w:r>
        <w:rPr>
          <w:color w:val="211F1F"/>
          <w:spacing w:val="28"/>
        </w:rPr>
        <w:t xml:space="preserve"> </w:t>
      </w:r>
      <w:r>
        <w:rPr>
          <w:color w:val="211F1F"/>
        </w:rPr>
        <w:t>the Procuring</w:t>
      </w:r>
      <w:r>
        <w:rPr>
          <w:color w:val="211F1F"/>
          <w:spacing w:val="-5"/>
        </w:rPr>
        <w:t xml:space="preserve"> </w:t>
      </w:r>
      <w:r>
        <w:rPr>
          <w:color w:val="211F1F"/>
        </w:rPr>
        <w:t>Entity,</w:t>
      </w:r>
      <w:r>
        <w:rPr>
          <w:color w:val="211F1F"/>
          <w:spacing w:val="-2"/>
        </w:rPr>
        <w:t xml:space="preserve"> </w:t>
      </w:r>
      <w:r>
        <w:rPr>
          <w:color w:val="211F1F"/>
        </w:rPr>
        <w:t>and</w:t>
      </w:r>
      <w:r>
        <w:rPr>
          <w:color w:val="211F1F"/>
          <w:spacing w:val="-5"/>
        </w:rPr>
        <w:t xml:space="preserve"> </w:t>
      </w:r>
      <w:r>
        <w:rPr>
          <w:color w:val="211F1F"/>
        </w:rPr>
        <w:t>denominated</w:t>
      </w:r>
      <w:r>
        <w:rPr>
          <w:color w:val="211F1F"/>
          <w:spacing w:val="-5"/>
        </w:rPr>
        <w:t xml:space="preserve"> </w:t>
      </w:r>
      <w:r>
        <w:rPr>
          <w:color w:val="211F1F"/>
        </w:rPr>
        <w:t>in</w:t>
      </w:r>
      <w:r>
        <w:rPr>
          <w:color w:val="211F1F"/>
          <w:spacing w:val="-6"/>
        </w:rPr>
        <w:t xml:space="preserve"> </w:t>
      </w:r>
      <w:r>
        <w:rPr>
          <w:color w:val="211F1F"/>
        </w:rPr>
        <w:t>the</w:t>
      </w:r>
      <w:r>
        <w:rPr>
          <w:color w:val="211F1F"/>
          <w:spacing w:val="-8"/>
        </w:rPr>
        <w:t xml:space="preserve"> </w:t>
      </w:r>
      <w:r>
        <w:rPr>
          <w:color w:val="211F1F"/>
        </w:rPr>
        <w:t>types and</w:t>
      </w:r>
      <w:r>
        <w:rPr>
          <w:color w:val="211F1F"/>
          <w:spacing w:val="-6"/>
        </w:rPr>
        <w:t xml:space="preserve"> </w:t>
      </w:r>
      <w:r>
        <w:rPr>
          <w:color w:val="211F1F"/>
        </w:rPr>
        <w:t>proportions of</w:t>
      </w:r>
      <w:r>
        <w:rPr>
          <w:color w:val="211F1F"/>
          <w:spacing w:val="-2"/>
        </w:rPr>
        <w:t xml:space="preserve"> </w:t>
      </w:r>
      <w:r>
        <w:rPr>
          <w:color w:val="211F1F"/>
        </w:rPr>
        <w:t>the</w:t>
      </w:r>
      <w:r>
        <w:rPr>
          <w:color w:val="211F1F"/>
          <w:spacing w:val="-8"/>
        </w:rPr>
        <w:t xml:space="preserve"> </w:t>
      </w:r>
      <w:r>
        <w:rPr>
          <w:color w:val="211F1F"/>
        </w:rPr>
        <w:t>currencies in</w:t>
      </w:r>
      <w:r>
        <w:rPr>
          <w:color w:val="211F1F"/>
          <w:spacing w:val="-6"/>
        </w:rPr>
        <w:t xml:space="preserve"> </w:t>
      </w:r>
      <w:r>
        <w:rPr>
          <w:color w:val="211F1F"/>
        </w:rPr>
        <w:t>which</w:t>
      </w:r>
      <w:r>
        <w:rPr>
          <w:color w:val="211F1F"/>
          <w:spacing w:val="-5"/>
        </w:rPr>
        <w:t xml:space="preserve"> </w:t>
      </w:r>
      <w:r>
        <w:rPr>
          <w:color w:val="211F1F"/>
        </w:rPr>
        <w:t>the</w:t>
      </w:r>
      <w:r>
        <w:rPr>
          <w:color w:val="211F1F"/>
          <w:spacing w:val="-8"/>
        </w:rPr>
        <w:t xml:space="preserve"> </w:t>
      </w:r>
      <w:r>
        <w:rPr>
          <w:color w:val="211F1F"/>
        </w:rPr>
        <w:t>Contract Price is</w:t>
      </w:r>
      <w:r>
        <w:rPr>
          <w:color w:val="211F1F"/>
          <w:spacing w:val="-14"/>
        </w:rPr>
        <w:t xml:space="preserve"> </w:t>
      </w:r>
      <w:r>
        <w:rPr>
          <w:color w:val="211F1F"/>
        </w:rPr>
        <w:t>payable.</w:t>
      </w:r>
      <w:r>
        <w:rPr>
          <w:color w:val="211F1F"/>
          <w:spacing w:val="-14"/>
        </w:rPr>
        <w:t xml:space="preserve"> </w:t>
      </w:r>
      <w:r>
        <w:rPr>
          <w:color w:val="211F1F"/>
        </w:rPr>
        <w:t>The</w:t>
      </w:r>
      <w:r>
        <w:rPr>
          <w:color w:val="211F1F"/>
          <w:spacing w:val="-14"/>
        </w:rPr>
        <w:t xml:space="preserve"> </w:t>
      </w:r>
      <w:r>
        <w:rPr>
          <w:color w:val="211F1F"/>
        </w:rPr>
        <w:t>Performance</w:t>
      </w:r>
      <w:r>
        <w:rPr>
          <w:color w:val="211F1F"/>
          <w:spacing w:val="-13"/>
        </w:rPr>
        <w:t xml:space="preserve"> </w:t>
      </w:r>
      <w:r>
        <w:rPr>
          <w:color w:val="211F1F"/>
        </w:rPr>
        <w:t>Security</w:t>
      </w:r>
      <w:r>
        <w:rPr>
          <w:color w:val="211F1F"/>
          <w:spacing w:val="-11"/>
        </w:rPr>
        <w:t xml:space="preserve"> </w:t>
      </w:r>
      <w:r>
        <w:rPr>
          <w:color w:val="211F1F"/>
        </w:rPr>
        <w:t>shall</w:t>
      </w:r>
      <w:r>
        <w:rPr>
          <w:color w:val="211F1F"/>
          <w:spacing w:val="-10"/>
        </w:rPr>
        <w:t xml:space="preserve"> </w:t>
      </w:r>
      <w:r>
        <w:rPr>
          <w:color w:val="211F1F"/>
        </w:rPr>
        <w:t>be</w:t>
      </w:r>
      <w:r>
        <w:rPr>
          <w:color w:val="211F1F"/>
          <w:spacing w:val="-8"/>
        </w:rPr>
        <w:t xml:space="preserve"> </w:t>
      </w:r>
      <w:r>
        <w:rPr>
          <w:color w:val="211F1F"/>
        </w:rPr>
        <w:t>valid</w:t>
      </w:r>
      <w:r>
        <w:rPr>
          <w:color w:val="211F1F"/>
          <w:spacing w:val="-11"/>
        </w:rPr>
        <w:t xml:space="preserve"> </w:t>
      </w:r>
      <w:r>
        <w:rPr>
          <w:color w:val="211F1F"/>
        </w:rPr>
        <w:t>until</w:t>
      </w:r>
      <w:r>
        <w:rPr>
          <w:color w:val="211F1F"/>
          <w:spacing w:val="-10"/>
        </w:rPr>
        <w:t xml:space="preserve"> </w:t>
      </w:r>
      <w:r>
        <w:rPr>
          <w:color w:val="211F1F"/>
        </w:rPr>
        <w:t>a</w:t>
      </w:r>
      <w:r>
        <w:rPr>
          <w:color w:val="211F1F"/>
          <w:spacing w:val="-3"/>
        </w:rPr>
        <w:t xml:space="preserve"> </w:t>
      </w:r>
      <w:r>
        <w:rPr>
          <w:color w:val="211F1F"/>
        </w:rPr>
        <w:t>date</w:t>
      </w:r>
      <w:r>
        <w:rPr>
          <w:color w:val="211F1F"/>
          <w:spacing w:val="-13"/>
        </w:rPr>
        <w:t xml:space="preserve"> </w:t>
      </w:r>
      <w:r>
        <w:rPr>
          <w:color w:val="211F1F"/>
        </w:rPr>
        <w:t>28</w:t>
      </w:r>
      <w:r>
        <w:rPr>
          <w:color w:val="211F1F"/>
          <w:spacing w:val="-2"/>
        </w:rPr>
        <w:t xml:space="preserve"> </w:t>
      </w:r>
      <w:r>
        <w:rPr>
          <w:color w:val="211F1F"/>
        </w:rPr>
        <w:t>day</w:t>
      </w:r>
      <w:r>
        <w:rPr>
          <w:color w:val="211F1F"/>
          <w:spacing w:val="-11"/>
        </w:rPr>
        <w:t xml:space="preserve"> </w:t>
      </w:r>
      <w:r>
        <w:rPr>
          <w:color w:val="211F1F"/>
        </w:rPr>
        <w:t>from</w:t>
      </w:r>
      <w:r>
        <w:rPr>
          <w:color w:val="211F1F"/>
          <w:spacing w:val="-14"/>
        </w:rPr>
        <w:t xml:space="preserve"> </w:t>
      </w:r>
      <w:r>
        <w:rPr>
          <w:color w:val="211F1F"/>
        </w:rPr>
        <w:t>the</w:t>
      </w:r>
      <w:r>
        <w:rPr>
          <w:color w:val="211F1F"/>
          <w:spacing w:val="-8"/>
        </w:rPr>
        <w:t xml:space="preserve"> </w:t>
      </w:r>
      <w:r>
        <w:rPr>
          <w:color w:val="211F1F"/>
        </w:rPr>
        <w:t>date</w:t>
      </w:r>
      <w:r>
        <w:rPr>
          <w:color w:val="211F1F"/>
          <w:spacing w:val="-8"/>
        </w:rPr>
        <w:t xml:space="preserve"> </w:t>
      </w:r>
      <w:r>
        <w:rPr>
          <w:color w:val="211F1F"/>
        </w:rPr>
        <w:t>of</w:t>
      </w:r>
      <w:r>
        <w:rPr>
          <w:color w:val="211F1F"/>
          <w:spacing w:val="-8"/>
        </w:rPr>
        <w:t xml:space="preserve"> </w:t>
      </w:r>
      <w:r>
        <w:rPr>
          <w:color w:val="211F1F"/>
        </w:rPr>
        <w:t>issue</w:t>
      </w:r>
      <w:r>
        <w:rPr>
          <w:color w:val="211F1F"/>
          <w:spacing w:val="-13"/>
        </w:rPr>
        <w:t xml:space="preserve"> </w:t>
      </w:r>
      <w:r>
        <w:rPr>
          <w:color w:val="211F1F"/>
        </w:rPr>
        <w:t>of</w:t>
      </w:r>
      <w:r>
        <w:rPr>
          <w:color w:val="211F1F"/>
          <w:spacing w:val="-13"/>
        </w:rPr>
        <w:t xml:space="preserve"> </w:t>
      </w:r>
      <w:r>
        <w:rPr>
          <w:color w:val="211F1F"/>
        </w:rPr>
        <w:t>the</w:t>
      </w:r>
      <w:r>
        <w:rPr>
          <w:color w:val="211F1F"/>
          <w:spacing w:val="-14"/>
        </w:rPr>
        <w:t xml:space="preserve"> </w:t>
      </w:r>
      <w:r>
        <w:rPr>
          <w:color w:val="211F1F"/>
        </w:rPr>
        <w:t>Certificate of Completion in the</w:t>
      </w:r>
      <w:r>
        <w:rPr>
          <w:color w:val="211F1F"/>
          <w:spacing w:val="-1"/>
        </w:rPr>
        <w:t xml:space="preserve"> </w:t>
      </w:r>
      <w:r>
        <w:rPr>
          <w:color w:val="211F1F"/>
        </w:rPr>
        <w:t>case of a Bank Guarantee, and until one</w:t>
      </w:r>
      <w:r>
        <w:rPr>
          <w:color w:val="211F1F"/>
          <w:spacing w:val="-1"/>
        </w:rPr>
        <w:t xml:space="preserve"> </w:t>
      </w:r>
      <w:r>
        <w:rPr>
          <w:color w:val="211F1F"/>
        </w:rPr>
        <w:t>year from</w:t>
      </w:r>
      <w:r>
        <w:rPr>
          <w:color w:val="211F1F"/>
          <w:spacing w:val="-3"/>
        </w:rPr>
        <w:t xml:space="preserve"> </w:t>
      </w:r>
      <w:r>
        <w:rPr>
          <w:color w:val="211F1F"/>
        </w:rPr>
        <w:t>the date</w:t>
      </w:r>
      <w:r>
        <w:rPr>
          <w:color w:val="211F1F"/>
          <w:spacing w:val="-1"/>
        </w:rPr>
        <w:t xml:space="preserve"> </w:t>
      </w:r>
      <w:r>
        <w:rPr>
          <w:color w:val="211F1F"/>
        </w:rPr>
        <w:t>of</w:t>
      </w:r>
      <w:r>
        <w:rPr>
          <w:color w:val="211F1F"/>
          <w:spacing w:val="40"/>
        </w:rPr>
        <w:t xml:space="preserve"> </w:t>
      </w:r>
      <w:r>
        <w:rPr>
          <w:color w:val="211F1F"/>
        </w:rPr>
        <w:t>issue</w:t>
      </w:r>
      <w:r>
        <w:rPr>
          <w:color w:val="211F1F"/>
          <w:spacing w:val="-6"/>
        </w:rPr>
        <w:t xml:space="preserve"> </w:t>
      </w:r>
      <w:r>
        <w:rPr>
          <w:color w:val="211F1F"/>
        </w:rPr>
        <w:t>of</w:t>
      </w:r>
      <w:r>
        <w:rPr>
          <w:color w:val="211F1F"/>
          <w:spacing w:val="-5"/>
        </w:rPr>
        <w:t xml:space="preserve"> </w:t>
      </w:r>
      <w:r>
        <w:rPr>
          <w:color w:val="211F1F"/>
        </w:rPr>
        <w:t>the</w:t>
      </w:r>
      <w:r>
        <w:rPr>
          <w:color w:val="211F1F"/>
          <w:spacing w:val="-10"/>
        </w:rPr>
        <w:t xml:space="preserve"> </w:t>
      </w:r>
      <w:r>
        <w:rPr>
          <w:color w:val="211F1F"/>
        </w:rPr>
        <w:t>Completion Certificate in the case of a Performance Bond.</w:t>
      </w:r>
    </w:p>
    <w:p w14:paraId="77308B3E" w14:textId="77777777" w:rsidR="00BB77C0" w:rsidRDefault="00370BAA">
      <w:pPr>
        <w:pStyle w:val="Heading7"/>
        <w:numPr>
          <w:ilvl w:val="0"/>
          <w:numId w:val="23"/>
        </w:numPr>
        <w:tabs>
          <w:tab w:val="left" w:pos="1080"/>
        </w:tabs>
        <w:spacing w:before="244" w:line="246" w:lineRule="exact"/>
        <w:ind w:left="1080" w:hanging="360"/>
        <w:jc w:val="both"/>
      </w:pPr>
      <w:bookmarkStart w:id="239" w:name="51._Dayworks"/>
      <w:bookmarkEnd w:id="239"/>
      <w:r>
        <w:rPr>
          <w:color w:val="211F1F"/>
          <w:spacing w:val="-2"/>
        </w:rPr>
        <w:t>Dayworks</w:t>
      </w:r>
    </w:p>
    <w:p w14:paraId="1C5ABC9E" w14:textId="77777777" w:rsidR="00BB77C0" w:rsidRDefault="00370BAA">
      <w:pPr>
        <w:pStyle w:val="ListParagraph"/>
        <w:numPr>
          <w:ilvl w:val="1"/>
          <w:numId w:val="23"/>
        </w:numPr>
        <w:tabs>
          <w:tab w:val="left" w:pos="1168"/>
          <w:tab w:val="left" w:pos="1171"/>
        </w:tabs>
        <w:spacing w:line="232" w:lineRule="auto"/>
        <w:ind w:right="840" w:hanging="360"/>
        <w:jc w:val="both"/>
        <w:rPr>
          <w:color w:val="211F1F"/>
        </w:rPr>
      </w:pPr>
      <w:r>
        <w:rPr>
          <w:color w:val="211F1F"/>
        </w:rPr>
        <w:t>If applicable, the Dayworks rates in the Contractor's Bid shall be used only when the Project Manager has given written instructions in advance for additional work to be paid for in that way.</w:t>
      </w:r>
    </w:p>
    <w:p w14:paraId="6002ACDF" w14:textId="77777777" w:rsidR="00BB77C0" w:rsidRDefault="00370BAA">
      <w:pPr>
        <w:pStyle w:val="ListParagraph"/>
        <w:numPr>
          <w:ilvl w:val="1"/>
          <w:numId w:val="23"/>
        </w:numPr>
        <w:tabs>
          <w:tab w:val="left" w:pos="1168"/>
          <w:tab w:val="left" w:pos="1171"/>
        </w:tabs>
        <w:spacing w:before="236" w:line="230" w:lineRule="auto"/>
        <w:ind w:right="849" w:hanging="360"/>
        <w:jc w:val="both"/>
        <w:rPr>
          <w:color w:val="211F1F"/>
        </w:rPr>
      </w:pPr>
      <w:r>
        <w:rPr>
          <w:color w:val="211F1F"/>
        </w:rPr>
        <w:t>All work to be paid for as Dayworks shall be recorded by the Contractor on forms approved by the Project Manager. Each completed form shall be verified and signed by the Project Manager within two days of the work being done.</w:t>
      </w:r>
    </w:p>
    <w:p w14:paraId="61AEDF0C" w14:textId="77777777" w:rsidR="00BB77C0" w:rsidRDefault="00370BAA">
      <w:pPr>
        <w:pStyle w:val="ListParagraph"/>
        <w:numPr>
          <w:ilvl w:val="1"/>
          <w:numId w:val="23"/>
        </w:numPr>
        <w:tabs>
          <w:tab w:val="left" w:pos="1168"/>
        </w:tabs>
        <w:spacing w:before="247"/>
        <w:ind w:left="1168" w:hanging="357"/>
        <w:jc w:val="both"/>
        <w:rPr>
          <w:color w:val="211F1F"/>
        </w:rPr>
      </w:pPr>
      <w:r>
        <w:rPr>
          <w:color w:val="211F1F"/>
          <w:spacing w:val="-2"/>
        </w:rPr>
        <w:t>The</w:t>
      </w:r>
      <w:r>
        <w:rPr>
          <w:color w:val="211F1F"/>
          <w:spacing w:val="-11"/>
        </w:rPr>
        <w:t xml:space="preserve"> </w:t>
      </w:r>
      <w:r>
        <w:rPr>
          <w:color w:val="211F1F"/>
          <w:spacing w:val="-2"/>
        </w:rPr>
        <w:t>Contractor</w:t>
      </w:r>
      <w:r>
        <w:rPr>
          <w:color w:val="211F1F"/>
          <w:spacing w:val="-18"/>
        </w:rPr>
        <w:t xml:space="preserve"> </w:t>
      </w:r>
      <w:r>
        <w:rPr>
          <w:color w:val="211F1F"/>
          <w:spacing w:val="-2"/>
        </w:rPr>
        <w:t>shall</w:t>
      </w:r>
      <w:r>
        <w:rPr>
          <w:color w:val="211F1F"/>
          <w:spacing w:val="-20"/>
        </w:rPr>
        <w:t xml:space="preserve"> </w:t>
      </w:r>
      <w:r>
        <w:rPr>
          <w:color w:val="211F1F"/>
          <w:spacing w:val="-2"/>
        </w:rPr>
        <w:t>be</w:t>
      </w:r>
      <w:r>
        <w:rPr>
          <w:color w:val="211F1F"/>
          <w:spacing w:val="-24"/>
        </w:rPr>
        <w:t xml:space="preserve"> </w:t>
      </w:r>
      <w:r>
        <w:rPr>
          <w:color w:val="211F1F"/>
          <w:spacing w:val="-2"/>
        </w:rPr>
        <w:t>paid</w:t>
      </w:r>
      <w:r>
        <w:rPr>
          <w:color w:val="211F1F"/>
          <w:spacing w:val="-22"/>
        </w:rPr>
        <w:t xml:space="preserve"> </w:t>
      </w:r>
      <w:r>
        <w:rPr>
          <w:color w:val="211F1F"/>
          <w:spacing w:val="-2"/>
        </w:rPr>
        <w:t>for</w:t>
      </w:r>
      <w:r>
        <w:rPr>
          <w:color w:val="211F1F"/>
          <w:spacing w:val="-13"/>
        </w:rPr>
        <w:t xml:space="preserve"> </w:t>
      </w:r>
      <w:r>
        <w:rPr>
          <w:color w:val="211F1F"/>
          <w:spacing w:val="-2"/>
        </w:rPr>
        <w:t>Dayworks</w:t>
      </w:r>
      <w:r>
        <w:rPr>
          <w:color w:val="211F1F"/>
          <w:spacing w:val="-12"/>
        </w:rPr>
        <w:t xml:space="preserve"> </w:t>
      </w:r>
      <w:r>
        <w:rPr>
          <w:color w:val="211F1F"/>
          <w:spacing w:val="-2"/>
        </w:rPr>
        <w:t>subject</w:t>
      </w:r>
      <w:r>
        <w:rPr>
          <w:color w:val="211F1F"/>
          <w:spacing w:val="-16"/>
        </w:rPr>
        <w:t xml:space="preserve"> </w:t>
      </w:r>
      <w:r>
        <w:rPr>
          <w:color w:val="211F1F"/>
          <w:spacing w:val="-2"/>
        </w:rPr>
        <w:t>to</w:t>
      </w:r>
      <w:r>
        <w:rPr>
          <w:color w:val="211F1F"/>
          <w:spacing w:val="-22"/>
        </w:rPr>
        <w:t xml:space="preserve"> </w:t>
      </w:r>
      <w:r>
        <w:rPr>
          <w:color w:val="211F1F"/>
          <w:spacing w:val="-2"/>
        </w:rPr>
        <w:t>obtaining</w:t>
      </w:r>
      <w:r>
        <w:rPr>
          <w:color w:val="211F1F"/>
          <w:spacing w:val="-16"/>
        </w:rPr>
        <w:t xml:space="preserve"> </w:t>
      </w:r>
      <w:r>
        <w:rPr>
          <w:color w:val="211F1F"/>
          <w:spacing w:val="-2"/>
        </w:rPr>
        <w:t>signed</w:t>
      </w:r>
      <w:r>
        <w:rPr>
          <w:color w:val="211F1F"/>
          <w:spacing w:val="-17"/>
        </w:rPr>
        <w:t xml:space="preserve"> </w:t>
      </w:r>
      <w:r>
        <w:rPr>
          <w:color w:val="211F1F"/>
          <w:spacing w:val="-2"/>
        </w:rPr>
        <w:t>Dayworks</w:t>
      </w:r>
      <w:r>
        <w:rPr>
          <w:color w:val="211F1F"/>
          <w:spacing w:val="-11"/>
        </w:rPr>
        <w:t xml:space="preserve"> </w:t>
      </w:r>
      <w:r>
        <w:rPr>
          <w:color w:val="211F1F"/>
          <w:spacing w:val="-2"/>
        </w:rPr>
        <w:t>forms.</w:t>
      </w:r>
    </w:p>
    <w:p w14:paraId="0CAFA8C1" w14:textId="77777777" w:rsidR="00BB77C0" w:rsidRDefault="00370BAA">
      <w:pPr>
        <w:pStyle w:val="Heading7"/>
        <w:numPr>
          <w:ilvl w:val="0"/>
          <w:numId w:val="23"/>
        </w:numPr>
        <w:tabs>
          <w:tab w:val="left" w:pos="1075"/>
        </w:tabs>
        <w:spacing w:before="251" w:line="247" w:lineRule="exact"/>
        <w:ind w:left="1075" w:hanging="355"/>
        <w:jc w:val="both"/>
      </w:pPr>
      <w:bookmarkStart w:id="240" w:name="52._Cost_of_Repairs"/>
      <w:bookmarkEnd w:id="240"/>
      <w:r>
        <w:rPr>
          <w:color w:val="211F1F"/>
        </w:rPr>
        <w:t>Cost</w:t>
      </w:r>
      <w:r>
        <w:rPr>
          <w:color w:val="211F1F"/>
          <w:spacing w:val="1"/>
        </w:rPr>
        <w:t xml:space="preserve"> </w:t>
      </w:r>
      <w:r>
        <w:rPr>
          <w:color w:val="211F1F"/>
        </w:rPr>
        <w:t>of</w:t>
      </w:r>
      <w:r>
        <w:rPr>
          <w:color w:val="211F1F"/>
          <w:spacing w:val="9"/>
        </w:rPr>
        <w:t xml:space="preserve"> </w:t>
      </w:r>
      <w:r>
        <w:rPr>
          <w:color w:val="211F1F"/>
          <w:spacing w:val="-2"/>
        </w:rPr>
        <w:t>Repairs</w:t>
      </w:r>
    </w:p>
    <w:p w14:paraId="49E99BFA" w14:textId="77777777" w:rsidR="00BB77C0" w:rsidRDefault="00370BAA">
      <w:pPr>
        <w:pStyle w:val="ListParagraph"/>
        <w:numPr>
          <w:ilvl w:val="1"/>
          <w:numId w:val="23"/>
        </w:numPr>
        <w:tabs>
          <w:tab w:val="left" w:pos="1162"/>
          <w:tab w:val="left" w:pos="1166"/>
        </w:tabs>
        <w:spacing w:before="2" w:line="230" w:lineRule="auto"/>
        <w:ind w:left="1166" w:right="838"/>
        <w:jc w:val="both"/>
        <w:rPr>
          <w:color w:val="211F1F"/>
        </w:rPr>
      </w:pPr>
      <w:r>
        <w:rPr>
          <w:color w:val="211F1F"/>
        </w:rPr>
        <w:t>Loss</w:t>
      </w:r>
      <w:r>
        <w:rPr>
          <w:color w:val="211F1F"/>
          <w:spacing w:val="-2"/>
        </w:rPr>
        <w:t xml:space="preserve"> </w:t>
      </w:r>
      <w:r>
        <w:rPr>
          <w:color w:val="211F1F"/>
        </w:rPr>
        <w:t>or</w:t>
      </w:r>
      <w:r>
        <w:rPr>
          <w:color w:val="211F1F"/>
          <w:spacing w:val="-6"/>
        </w:rPr>
        <w:t xml:space="preserve"> </w:t>
      </w:r>
      <w:r>
        <w:rPr>
          <w:color w:val="211F1F"/>
        </w:rPr>
        <w:t>damage</w:t>
      </w:r>
      <w:r>
        <w:rPr>
          <w:color w:val="211F1F"/>
          <w:spacing w:val="-11"/>
        </w:rPr>
        <w:t xml:space="preserve"> </w:t>
      </w:r>
      <w:r>
        <w:rPr>
          <w:color w:val="211F1F"/>
        </w:rPr>
        <w:t>to</w:t>
      </w:r>
      <w:r>
        <w:rPr>
          <w:color w:val="211F1F"/>
          <w:spacing w:val="-9"/>
        </w:rPr>
        <w:t xml:space="preserve"> </w:t>
      </w:r>
      <w:r>
        <w:rPr>
          <w:color w:val="211F1F"/>
        </w:rPr>
        <w:t>the</w:t>
      </w:r>
      <w:r>
        <w:rPr>
          <w:color w:val="211F1F"/>
          <w:spacing w:val="-14"/>
        </w:rPr>
        <w:t xml:space="preserve"> </w:t>
      </w:r>
      <w:r>
        <w:rPr>
          <w:color w:val="211F1F"/>
        </w:rPr>
        <w:t>Works</w:t>
      </w:r>
      <w:r>
        <w:rPr>
          <w:color w:val="211F1F"/>
          <w:spacing w:val="-4"/>
        </w:rPr>
        <w:t xml:space="preserve"> </w:t>
      </w:r>
      <w:r>
        <w:rPr>
          <w:color w:val="211F1F"/>
        </w:rPr>
        <w:t>or</w:t>
      </w:r>
      <w:r>
        <w:rPr>
          <w:color w:val="211F1F"/>
          <w:spacing w:val="-2"/>
        </w:rPr>
        <w:t xml:space="preserve"> </w:t>
      </w:r>
      <w:r>
        <w:rPr>
          <w:color w:val="211F1F"/>
        </w:rPr>
        <w:t>Materials</w:t>
      </w:r>
      <w:r>
        <w:rPr>
          <w:color w:val="211F1F"/>
          <w:spacing w:val="-4"/>
        </w:rPr>
        <w:t xml:space="preserve"> </w:t>
      </w:r>
      <w:r>
        <w:rPr>
          <w:color w:val="211F1F"/>
        </w:rPr>
        <w:t>to</w:t>
      </w:r>
      <w:r>
        <w:rPr>
          <w:color w:val="211F1F"/>
          <w:spacing w:val="-9"/>
        </w:rPr>
        <w:t xml:space="preserve"> </w:t>
      </w:r>
      <w:r>
        <w:rPr>
          <w:color w:val="211F1F"/>
        </w:rPr>
        <w:t>be</w:t>
      </w:r>
      <w:r>
        <w:rPr>
          <w:color w:val="211F1F"/>
          <w:spacing w:val="-11"/>
        </w:rPr>
        <w:t xml:space="preserve"> </w:t>
      </w:r>
      <w:r>
        <w:rPr>
          <w:color w:val="211F1F"/>
        </w:rPr>
        <w:t>incorporated</w:t>
      </w:r>
      <w:r>
        <w:rPr>
          <w:color w:val="211F1F"/>
          <w:spacing w:val="-8"/>
        </w:rPr>
        <w:t xml:space="preserve"> </w:t>
      </w:r>
      <w:r>
        <w:rPr>
          <w:color w:val="211F1F"/>
        </w:rPr>
        <w:t>in</w:t>
      </w:r>
      <w:r>
        <w:rPr>
          <w:color w:val="211F1F"/>
          <w:spacing w:val="-9"/>
        </w:rPr>
        <w:t xml:space="preserve"> </w:t>
      </w:r>
      <w:r>
        <w:rPr>
          <w:color w:val="211F1F"/>
        </w:rPr>
        <w:t>the</w:t>
      </w:r>
      <w:r>
        <w:rPr>
          <w:color w:val="211F1F"/>
          <w:spacing w:val="-14"/>
        </w:rPr>
        <w:t xml:space="preserve"> </w:t>
      </w:r>
      <w:r>
        <w:rPr>
          <w:color w:val="211F1F"/>
        </w:rPr>
        <w:t>Works</w:t>
      </w:r>
      <w:r>
        <w:rPr>
          <w:color w:val="211F1F"/>
          <w:spacing w:val="-3"/>
        </w:rPr>
        <w:t xml:space="preserve"> </w:t>
      </w:r>
      <w:r>
        <w:rPr>
          <w:color w:val="211F1F"/>
        </w:rPr>
        <w:t>between</w:t>
      </w:r>
      <w:r>
        <w:rPr>
          <w:color w:val="211F1F"/>
          <w:spacing w:val="-14"/>
        </w:rPr>
        <w:t xml:space="preserve"> </w:t>
      </w:r>
      <w:r>
        <w:rPr>
          <w:color w:val="211F1F"/>
        </w:rPr>
        <w:t>the</w:t>
      </w:r>
      <w:r>
        <w:rPr>
          <w:color w:val="211F1F"/>
          <w:spacing w:val="-11"/>
        </w:rPr>
        <w:t xml:space="preserve"> </w:t>
      </w:r>
      <w:r>
        <w:rPr>
          <w:color w:val="211F1F"/>
        </w:rPr>
        <w:t>Start</w:t>
      </w:r>
      <w:r>
        <w:rPr>
          <w:color w:val="211F1F"/>
          <w:spacing w:val="-8"/>
        </w:rPr>
        <w:t xml:space="preserve"> </w:t>
      </w:r>
      <w:r>
        <w:rPr>
          <w:color w:val="211F1F"/>
        </w:rPr>
        <w:t>Date</w:t>
      </w:r>
      <w:r>
        <w:rPr>
          <w:color w:val="211F1F"/>
          <w:spacing w:val="-11"/>
        </w:rPr>
        <w:t xml:space="preserve"> </w:t>
      </w:r>
      <w:r>
        <w:rPr>
          <w:color w:val="211F1F"/>
        </w:rPr>
        <w:t>and</w:t>
      </w:r>
      <w:r>
        <w:rPr>
          <w:color w:val="211F1F"/>
          <w:spacing w:val="-9"/>
        </w:rPr>
        <w:t xml:space="preserve"> </w:t>
      </w:r>
      <w:r>
        <w:rPr>
          <w:color w:val="211F1F"/>
        </w:rPr>
        <w:t>the</w:t>
      </w:r>
      <w:r>
        <w:rPr>
          <w:color w:val="211F1F"/>
          <w:spacing w:val="-3"/>
        </w:rPr>
        <w:t xml:space="preserve"> </w:t>
      </w:r>
      <w:r>
        <w:rPr>
          <w:color w:val="211F1F"/>
        </w:rPr>
        <w:t>end of the Defects Correction periods shall be remedied by the Contractor at the Contractor's cost if the loss or damage arises from the Contractor's acts or omissions.</w:t>
      </w:r>
    </w:p>
    <w:p w14:paraId="22119193" w14:textId="77777777" w:rsidR="00BB77C0" w:rsidRDefault="00370BAA">
      <w:pPr>
        <w:pStyle w:val="Heading7"/>
        <w:numPr>
          <w:ilvl w:val="0"/>
          <w:numId w:val="32"/>
        </w:numPr>
        <w:tabs>
          <w:tab w:val="left" w:pos="1342"/>
        </w:tabs>
        <w:spacing w:before="247"/>
        <w:ind w:left="1342" w:hanging="291"/>
        <w:jc w:val="left"/>
        <w:rPr>
          <w:color w:val="211F1F"/>
        </w:rPr>
      </w:pPr>
      <w:bookmarkStart w:id="241" w:name="E._Finishing_theContract"/>
      <w:bookmarkEnd w:id="241"/>
      <w:r>
        <w:rPr>
          <w:color w:val="211F1F"/>
          <w:spacing w:val="-2"/>
        </w:rPr>
        <w:t>Finishing</w:t>
      </w:r>
      <w:r>
        <w:rPr>
          <w:color w:val="211F1F"/>
          <w:spacing w:val="3"/>
        </w:rPr>
        <w:t xml:space="preserve"> </w:t>
      </w:r>
      <w:r>
        <w:rPr>
          <w:color w:val="211F1F"/>
          <w:spacing w:val="-2"/>
        </w:rPr>
        <w:t>theContract</w:t>
      </w:r>
    </w:p>
    <w:p w14:paraId="170A8062" w14:textId="77777777" w:rsidR="00BB77C0" w:rsidRDefault="00370BAA">
      <w:pPr>
        <w:pStyle w:val="ListParagraph"/>
        <w:numPr>
          <w:ilvl w:val="0"/>
          <w:numId w:val="23"/>
        </w:numPr>
        <w:tabs>
          <w:tab w:val="left" w:pos="1075"/>
        </w:tabs>
        <w:spacing w:before="251" w:line="247" w:lineRule="exact"/>
        <w:ind w:left="1075" w:hanging="355"/>
        <w:jc w:val="both"/>
        <w:rPr>
          <w:b/>
        </w:rPr>
      </w:pPr>
      <w:r>
        <w:rPr>
          <w:b/>
          <w:color w:val="211F1F"/>
          <w:spacing w:val="-2"/>
        </w:rPr>
        <w:t>Completion</w:t>
      </w:r>
    </w:p>
    <w:p w14:paraId="08EBEA20" w14:textId="77777777" w:rsidR="00BB77C0" w:rsidRDefault="00370BAA">
      <w:pPr>
        <w:pStyle w:val="ListParagraph"/>
        <w:numPr>
          <w:ilvl w:val="1"/>
          <w:numId w:val="23"/>
        </w:numPr>
        <w:tabs>
          <w:tab w:val="left" w:pos="1163"/>
          <w:tab w:val="left" w:pos="1171"/>
        </w:tabs>
        <w:spacing w:line="232" w:lineRule="auto"/>
        <w:ind w:right="837" w:hanging="360"/>
        <w:jc w:val="both"/>
        <w:rPr>
          <w:color w:val="211F1F"/>
        </w:rPr>
      </w:pPr>
      <w:r>
        <w:rPr>
          <w:color w:val="211F1F"/>
        </w:rPr>
        <w:t>The</w:t>
      </w:r>
      <w:r>
        <w:rPr>
          <w:color w:val="211F1F"/>
          <w:spacing w:val="-3"/>
        </w:rPr>
        <w:t xml:space="preserve"> </w:t>
      </w:r>
      <w:r>
        <w:rPr>
          <w:color w:val="211F1F"/>
        </w:rPr>
        <w:t>Contractor shall request the</w:t>
      </w:r>
      <w:r>
        <w:rPr>
          <w:color w:val="211F1F"/>
          <w:spacing w:val="-3"/>
        </w:rPr>
        <w:t xml:space="preserve"> </w:t>
      </w:r>
      <w:r>
        <w:rPr>
          <w:color w:val="211F1F"/>
        </w:rPr>
        <w:t>Project Manager to issue</w:t>
      </w:r>
      <w:r>
        <w:rPr>
          <w:color w:val="211F1F"/>
          <w:spacing w:val="-3"/>
        </w:rPr>
        <w:t xml:space="preserve"> </w:t>
      </w:r>
      <w:r>
        <w:rPr>
          <w:color w:val="211F1F"/>
        </w:rPr>
        <w:t>a Certificate of Completion</w:t>
      </w:r>
      <w:r>
        <w:rPr>
          <w:color w:val="211F1F"/>
          <w:spacing w:val="-1"/>
        </w:rPr>
        <w:t xml:space="preserve"> </w:t>
      </w:r>
      <w:r>
        <w:rPr>
          <w:color w:val="211F1F"/>
        </w:rPr>
        <w:t>of the</w:t>
      </w:r>
      <w:r>
        <w:rPr>
          <w:color w:val="211F1F"/>
          <w:spacing w:val="-5"/>
        </w:rPr>
        <w:t xml:space="preserve"> </w:t>
      </w:r>
      <w:r>
        <w:rPr>
          <w:color w:val="211F1F"/>
        </w:rPr>
        <w:t>Works, and</w:t>
      </w:r>
      <w:r>
        <w:rPr>
          <w:color w:val="211F1F"/>
          <w:spacing w:val="-1"/>
        </w:rPr>
        <w:t xml:space="preserve"> </w:t>
      </w:r>
      <w:r>
        <w:rPr>
          <w:color w:val="211F1F"/>
        </w:rPr>
        <w:t>the Project</w:t>
      </w:r>
      <w:r>
        <w:rPr>
          <w:color w:val="211F1F"/>
          <w:spacing w:val="-1"/>
        </w:rPr>
        <w:t xml:space="preserve"> </w:t>
      </w:r>
      <w:r>
        <w:rPr>
          <w:color w:val="211F1F"/>
        </w:rPr>
        <w:t>Manager shall</w:t>
      </w:r>
      <w:r>
        <w:rPr>
          <w:color w:val="211F1F"/>
          <w:spacing w:val="-2"/>
        </w:rPr>
        <w:t xml:space="preserve"> </w:t>
      </w:r>
      <w:r>
        <w:rPr>
          <w:color w:val="211F1F"/>
        </w:rPr>
        <w:t>do</w:t>
      </w:r>
      <w:r>
        <w:rPr>
          <w:color w:val="211F1F"/>
          <w:spacing w:val="-10"/>
        </w:rPr>
        <w:t xml:space="preserve"> </w:t>
      </w:r>
      <w:r>
        <w:rPr>
          <w:color w:val="211F1F"/>
        </w:rPr>
        <w:t>so</w:t>
      </w:r>
      <w:r>
        <w:rPr>
          <w:color w:val="211F1F"/>
          <w:spacing w:val="-10"/>
        </w:rPr>
        <w:t xml:space="preserve"> </w:t>
      </w:r>
      <w:r>
        <w:rPr>
          <w:color w:val="211F1F"/>
        </w:rPr>
        <w:t>upon</w:t>
      </w:r>
      <w:r>
        <w:rPr>
          <w:color w:val="211F1F"/>
          <w:spacing w:val="-4"/>
        </w:rPr>
        <w:t xml:space="preserve"> </w:t>
      </w:r>
      <w:r>
        <w:rPr>
          <w:color w:val="211F1F"/>
        </w:rPr>
        <w:t>deciding</w:t>
      </w:r>
      <w:r>
        <w:rPr>
          <w:color w:val="211F1F"/>
          <w:spacing w:val="-10"/>
        </w:rPr>
        <w:t xml:space="preserve"> </w:t>
      </w:r>
      <w:r>
        <w:rPr>
          <w:color w:val="211F1F"/>
        </w:rPr>
        <w:t>that</w:t>
      </w:r>
      <w:r>
        <w:rPr>
          <w:color w:val="211F1F"/>
          <w:spacing w:val="-7"/>
        </w:rPr>
        <w:t xml:space="preserve"> </w:t>
      </w:r>
      <w:r>
        <w:rPr>
          <w:color w:val="211F1F"/>
        </w:rPr>
        <w:t>the</w:t>
      </w:r>
      <w:r>
        <w:rPr>
          <w:color w:val="211F1F"/>
          <w:spacing w:val="-6"/>
        </w:rPr>
        <w:t xml:space="preserve"> </w:t>
      </w:r>
      <w:r>
        <w:rPr>
          <w:color w:val="211F1F"/>
        </w:rPr>
        <w:t>whole</w:t>
      </w:r>
      <w:r>
        <w:rPr>
          <w:color w:val="211F1F"/>
          <w:spacing w:val="-6"/>
        </w:rPr>
        <w:t xml:space="preserve"> </w:t>
      </w:r>
      <w:r>
        <w:rPr>
          <w:color w:val="211F1F"/>
        </w:rPr>
        <w:t>of the</w:t>
      </w:r>
      <w:r>
        <w:rPr>
          <w:color w:val="211F1F"/>
          <w:spacing w:val="-18"/>
        </w:rPr>
        <w:t xml:space="preserve"> </w:t>
      </w:r>
      <w:r>
        <w:rPr>
          <w:color w:val="211F1F"/>
        </w:rPr>
        <w:t>Works</w:t>
      </w:r>
      <w:r>
        <w:rPr>
          <w:color w:val="211F1F"/>
          <w:spacing w:val="-8"/>
        </w:rPr>
        <w:t xml:space="preserve"> </w:t>
      </w:r>
      <w:r>
        <w:rPr>
          <w:color w:val="211F1F"/>
        </w:rPr>
        <w:t>is</w:t>
      </w:r>
      <w:r>
        <w:rPr>
          <w:color w:val="211F1F"/>
          <w:spacing w:val="-2"/>
        </w:rPr>
        <w:t xml:space="preserve"> </w:t>
      </w:r>
      <w:r>
        <w:rPr>
          <w:color w:val="211F1F"/>
        </w:rPr>
        <w:t>completed.</w:t>
      </w:r>
    </w:p>
    <w:p w14:paraId="5D817BC8" w14:textId="77777777" w:rsidR="00BB77C0" w:rsidRDefault="00370BAA">
      <w:pPr>
        <w:pStyle w:val="Heading7"/>
        <w:numPr>
          <w:ilvl w:val="0"/>
          <w:numId w:val="23"/>
        </w:numPr>
        <w:tabs>
          <w:tab w:val="left" w:pos="1075"/>
        </w:tabs>
        <w:spacing w:before="243" w:line="249" w:lineRule="exact"/>
        <w:ind w:left="1075" w:hanging="355"/>
        <w:jc w:val="both"/>
      </w:pPr>
      <w:bookmarkStart w:id="242" w:name="54._Taking_Over"/>
      <w:bookmarkEnd w:id="242"/>
      <w:r>
        <w:rPr>
          <w:color w:val="211F1F"/>
          <w:spacing w:val="-8"/>
        </w:rPr>
        <w:t>Taking</w:t>
      </w:r>
      <w:r>
        <w:rPr>
          <w:color w:val="211F1F"/>
          <w:spacing w:val="-15"/>
        </w:rPr>
        <w:t xml:space="preserve"> </w:t>
      </w:r>
      <w:r>
        <w:rPr>
          <w:color w:val="211F1F"/>
          <w:spacing w:val="-4"/>
        </w:rPr>
        <w:t>Over</w:t>
      </w:r>
    </w:p>
    <w:p w14:paraId="4B767D4D" w14:textId="77777777" w:rsidR="00BB77C0" w:rsidRDefault="00370BAA">
      <w:pPr>
        <w:pStyle w:val="ListParagraph"/>
        <w:numPr>
          <w:ilvl w:val="1"/>
          <w:numId w:val="23"/>
        </w:numPr>
        <w:tabs>
          <w:tab w:val="left" w:pos="1168"/>
          <w:tab w:val="left" w:pos="1171"/>
        </w:tabs>
        <w:spacing w:before="2" w:line="232" w:lineRule="auto"/>
        <w:ind w:right="919" w:hanging="360"/>
        <w:jc w:val="both"/>
        <w:rPr>
          <w:color w:val="211F1F"/>
        </w:rPr>
      </w:pPr>
      <w:r>
        <w:rPr>
          <w:color w:val="211F1F"/>
          <w:spacing w:val="-2"/>
        </w:rPr>
        <w:t>The</w:t>
      </w:r>
      <w:r>
        <w:rPr>
          <w:color w:val="211F1F"/>
          <w:spacing w:val="-12"/>
        </w:rPr>
        <w:t xml:space="preserve"> </w:t>
      </w:r>
      <w:r>
        <w:rPr>
          <w:color w:val="211F1F"/>
          <w:spacing w:val="-2"/>
        </w:rPr>
        <w:t>Procuring</w:t>
      </w:r>
      <w:r>
        <w:rPr>
          <w:color w:val="211F1F"/>
          <w:spacing w:val="-12"/>
        </w:rPr>
        <w:t xml:space="preserve"> </w:t>
      </w:r>
      <w:r>
        <w:rPr>
          <w:color w:val="211F1F"/>
          <w:spacing w:val="-2"/>
        </w:rPr>
        <w:t>Entity</w:t>
      </w:r>
      <w:r>
        <w:rPr>
          <w:color w:val="211F1F"/>
          <w:spacing w:val="-12"/>
        </w:rPr>
        <w:t xml:space="preserve"> </w:t>
      </w:r>
      <w:r>
        <w:rPr>
          <w:color w:val="211F1F"/>
          <w:spacing w:val="-2"/>
        </w:rPr>
        <w:t>shall</w:t>
      </w:r>
      <w:r>
        <w:rPr>
          <w:color w:val="211F1F"/>
          <w:spacing w:val="-10"/>
        </w:rPr>
        <w:t xml:space="preserve"> </w:t>
      </w:r>
      <w:r>
        <w:rPr>
          <w:color w:val="211F1F"/>
          <w:spacing w:val="-2"/>
        </w:rPr>
        <w:t>take</w:t>
      </w:r>
      <w:r>
        <w:rPr>
          <w:color w:val="211F1F"/>
          <w:spacing w:val="-9"/>
        </w:rPr>
        <w:t xml:space="preserve"> </w:t>
      </w:r>
      <w:r>
        <w:rPr>
          <w:color w:val="211F1F"/>
          <w:spacing w:val="-2"/>
        </w:rPr>
        <w:t>over the</w:t>
      </w:r>
      <w:r>
        <w:rPr>
          <w:color w:val="211F1F"/>
          <w:spacing w:val="-9"/>
        </w:rPr>
        <w:t xml:space="preserve"> </w:t>
      </w:r>
      <w:r>
        <w:rPr>
          <w:color w:val="211F1F"/>
          <w:spacing w:val="-2"/>
        </w:rPr>
        <w:t>Site</w:t>
      </w:r>
      <w:r>
        <w:rPr>
          <w:color w:val="211F1F"/>
          <w:spacing w:val="-12"/>
        </w:rPr>
        <w:t xml:space="preserve"> </w:t>
      </w:r>
      <w:r>
        <w:rPr>
          <w:color w:val="211F1F"/>
          <w:spacing w:val="-2"/>
        </w:rPr>
        <w:t>and</w:t>
      </w:r>
      <w:r>
        <w:rPr>
          <w:color w:val="211F1F"/>
          <w:spacing w:val="-12"/>
        </w:rPr>
        <w:t xml:space="preserve"> </w:t>
      </w:r>
      <w:r>
        <w:rPr>
          <w:color w:val="211F1F"/>
          <w:spacing w:val="-2"/>
        </w:rPr>
        <w:t>the</w:t>
      </w:r>
      <w:r>
        <w:rPr>
          <w:color w:val="211F1F"/>
          <w:spacing w:val="-9"/>
        </w:rPr>
        <w:t xml:space="preserve"> </w:t>
      </w:r>
      <w:r>
        <w:rPr>
          <w:color w:val="211F1F"/>
          <w:spacing w:val="-2"/>
        </w:rPr>
        <w:t>Works</w:t>
      </w:r>
      <w:r>
        <w:rPr>
          <w:color w:val="211F1F"/>
          <w:spacing w:val="-12"/>
        </w:rPr>
        <w:t xml:space="preserve"> </w:t>
      </w:r>
      <w:r>
        <w:rPr>
          <w:color w:val="211F1F"/>
          <w:spacing w:val="-2"/>
        </w:rPr>
        <w:t>within</w:t>
      </w:r>
      <w:r>
        <w:rPr>
          <w:color w:val="211F1F"/>
          <w:spacing w:val="-7"/>
        </w:rPr>
        <w:t xml:space="preserve"> </w:t>
      </w:r>
      <w:r>
        <w:rPr>
          <w:color w:val="211F1F"/>
          <w:spacing w:val="-2"/>
        </w:rPr>
        <w:t>seven</w:t>
      </w:r>
      <w:r>
        <w:rPr>
          <w:color w:val="211F1F"/>
          <w:spacing w:val="-7"/>
        </w:rPr>
        <w:t xml:space="preserve"> </w:t>
      </w:r>
      <w:r>
        <w:rPr>
          <w:color w:val="211F1F"/>
          <w:spacing w:val="-2"/>
        </w:rPr>
        <w:t>days of</w:t>
      </w:r>
      <w:r>
        <w:rPr>
          <w:color w:val="211F1F"/>
          <w:spacing w:val="-9"/>
        </w:rPr>
        <w:t xml:space="preserve"> </w:t>
      </w:r>
      <w:r>
        <w:rPr>
          <w:color w:val="211F1F"/>
          <w:spacing w:val="-2"/>
        </w:rPr>
        <w:t>the</w:t>
      </w:r>
      <w:r>
        <w:rPr>
          <w:color w:val="211F1F"/>
          <w:spacing w:val="-12"/>
        </w:rPr>
        <w:t xml:space="preserve"> </w:t>
      </w:r>
      <w:r>
        <w:rPr>
          <w:color w:val="211F1F"/>
          <w:spacing w:val="-2"/>
        </w:rPr>
        <w:t>Project Manager's</w:t>
      </w:r>
      <w:r>
        <w:rPr>
          <w:color w:val="211F1F"/>
          <w:spacing w:val="-6"/>
        </w:rPr>
        <w:t xml:space="preserve"> </w:t>
      </w:r>
      <w:r>
        <w:rPr>
          <w:color w:val="211F1F"/>
          <w:spacing w:val="-2"/>
        </w:rPr>
        <w:t xml:space="preserve">issuing </w:t>
      </w:r>
      <w:bookmarkStart w:id="243" w:name="55._Final_Account"/>
      <w:bookmarkEnd w:id="243"/>
      <w:r>
        <w:rPr>
          <w:color w:val="211F1F"/>
        </w:rPr>
        <w:t>a certificate</w:t>
      </w:r>
      <w:r>
        <w:rPr>
          <w:color w:val="211F1F"/>
          <w:spacing w:val="-4"/>
        </w:rPr>
        <w:t xml:space="preserve"> </w:t>
      </w:r>
      <w:r>
        <w:rPr>
          <w:color w:val="211F1F"/>
        </w:rPr>
        <w:t>of</w:t>
      </w:r>
      <w:r>
        <w:rPr>
          <w:color w:val="211F1F"/>
          <w:spacing w:val="-4"/>
        </w:rPr>
        <w:t xml:space="preserve"> </w:t>
      </w:r>
      <w:r>
        <w:rPr>
          <w:color w:val="211F1F"/>
        </w:rPr>
        <w:t>Completion.</w:t>
      </w:r>
    </w:p>
    <w:p w14:paraId="1BB1BE0E" w14:textId="77777777" w:rsidR="00BB77C0" w:rsidRDefault="00370BAA">
      <w:pPr>
        <w:pStyle w:val="Heading7"/>
        <w:numPr>
          <w:ilvl w:val="0"/>
          <w:numId w:val="23"/>
        </w:numPr>
        <w:tabs>
          <w:tab w:val="left" w:pos="1080"/>
        </w:tabs>
        <w:spacing w:before="238" w:line="249" w:lineRule="exact"/>
        <w:ind w:left="1080" w:hanging="360"/>
        <w:jc w:val="both"/>
      </w:pPr>
      <w:r>
        <w:rPr>
          <w:color w:val="211F1F"/>
          <w:spacing w:val="-4"/>
        </w:rPr>
        <w:t>Final</w:t>
      </w:r>
      <w:r>
        <w:rPr>
          <w:color w:val="211F1F"/>
          <w:spacing w:val="-21"/>
        </w:rPr>
        <w:t xml:space="preserve"> </w:t>
      </w:r>
      <w:r>
        <w:rPr>
          <w:color w:val="211F1F"/>
          <w:spacing w:val="-2"/>
        </w:rPr>
        <w:t>Account</w:t>
      </w:r>
    </w:p>
    <w:p w14:paraId="0CD4D2B7" w14:textId="77777777" w:rsidR="00BB77C0" w:rsidRDefault="00370BAA">
      <w:pPr>
        <w:pStyle w:val="ListParagraph"/>
        <w:numPr>
          <w:ilvl w:val="1"/>
          <w:numId w:val="23"/>
        </w:numPr>
        <w:tabs>
          <w:tab w:val="left" w:pos="1163"/>
          <w:tab w:val="left" w:pos="1171"/>
        </w:tabs>
        <w:spacing w:before="4" w:line="230" w:lineRule="auto"/>
        <w:ind w:right="835" w:hanging="360"/>
        <w:jc w:val="both"/>
        <w:rPr>
          <w:color w:val="211F1F"/>
        </w:rPr>
      </w:pPr>
      <w:r>
        <w:rPr>
          <w:color w:val="211F1F"/>
        </w:rPr>
        <w:t>The Contractor shall supply the Project Manager with a detailed account of the total amount that the Contractor considers payable under the Contract before the end of the Defects Liability Period. The Project Manager shall</w:t>
      </w:r>
      <w:r>
        <w:rPr>
          <w:color w:val="211F1F"/>
          <w:spacing w:val="-6"/>
        </w:rPr>
        <w:t xml:space="preserve"> </w:t>
      </w:r>
      <w:r>
        <w:rPr>
          <w:color w:val="211F1F"/>
        </w:rPr>
        <w:t>issue</w:t>
      </w:r>
      <w:r>
        <w:rPr>
          <w:color w:val="211F1F"/>
          <w:spacing w:val="-7"/>
        </w:rPr>
        <w:t xml:space="preserve"> </w:t>
      </w:r>
      <w:r>
        <w:rPr>
          <w:color w:val="211F1F"/>
        </w:rPr>
        <w:t>a Defects Liability</w:t>
      </w:r>
      <w:r>
        <w:rPr>
          <w:color w:val="211F1F"/>
          <w:spacing w:val="-6"/>
        </w:rPr>
        <w:t xml:space="preserve"> </w:t>
      </w:r>
      <w:r>
        <w:rPr>
          <w:color w:val="211F1F"/>
        </w:rPr>
        <w:t>Certificate</w:t>
      </w:r>
      <w:r>
        <w:rPr>
          <w:color w:val="211F1F"/>
          <w:spacing w:val="-6"/>
        </w:rPr>
        <w:t xml:space="preserve"> </w:t>
      </w:r>
      <w:r>
        <w:rPr>
          <w:color w:val="211F1F"/>
        </w:rPr>
        <w:t>and</w:t>
      </w:r>
      <w:r>
        <w:rPr>
          <w:color w:val="211F1F"/>
          <w:spacing w:val="-6"/>
        </w:rPr>
        <w:t xml:space="preserve"> </w:t>
      </w:r>
      <w:r>
        <w:rPr>
          <w:color w:val="211F1F"/>
        </w:rPr>
        <w:t>certify</w:t>
      </w:r>
      <w:r>
        <w:rPr>
          <w:color w:val="211F1F"/>
          <w:spacing w:val="-6"/>
        </w:rPr>
        <w:t xml:space="preserve"> </w:t>
      </w:r>
      <w:r>
        <w:rPr>
          <w:color w:val="211F1F"/>
        </w:rPr>
        <w:t>any</w:t>
      </w:r>
      <w:r>
        <w:rPr>
          <w:color w:val="211F1F"/>
          <w:spacing w:val="-6"/>
        </w:rPr>
        <w:t xml:space="preserve"> </w:t>
      </w:r>
      <w:r>
        <w:rPr>
          <w:color w:val="211F1F"/>
        </w:rPr>
        <w:t>final</w:t>
      </w:r>
      <w:r>
        <w:rPr>
          <w:color w:val="211F1F"/>
          <w:spacing w:val="-5"/>
        </w:rPr>
        <w:t xml:space="preserve"> </w:t>
      </w:r>
      <w:r>
        <w:rPr>
          <w:color w:val="211F1F"/>
        </w:rPr>
        <w:t>payment</w:t>
      </w:r>
      <w:r>
        <w:rPr>
          <w:color w:val="211F1F"/>
          <w:spacing w:val="-1"/>
        </w:rPr>
        <w:t xml:space="preserve"> </w:t>
      </w:r>
      <w:r>
        <w:rPr>
          <w:color w:val="211F1F"/>
        </w:rPr>
        <w:t>that</w:t>
      </w:r>
      <w:r>
        <w:rPr>
          <w:color w:val="211F1F"/>
          <w:spacing w:val="-5"/>
        </w:rPr>
        <w:t xml:space="preserve"> </w:t>
      </w:r>
      <w:r>
        <w:rPr>
          <w:color w:val="211F1F"/>
        </w:rPr>
        <w:t>is</w:t>
      </w:r>
      <w:r>
        <w:rPr>
          <w:color w:val="211F1F"/>
          <w:spacing w:val="-1"/>
        </w:rPr>
        <w:t xml:space="preserve"> </w:t>
      </w:r>
      <w:r>
        <w:rPr>
          <w:color w:val="211F1F"/>
        </w:rPr>
        <w:t>due</w:t>
      </w:r>
      <w:r>
        <w:rPr>
          <w:color w:val="211F1F"/>
          <w:spacing w:val="-8"/>
        </w:rPr>
        <w:t xml:space="preserve"> </w:t>
      </w:r>
      <w:r>
        <w:rPr>
          <w:color w:val="211F1F"/>
        </w:rPr>
        <w:t>to</w:t>
      </w:r>
      <w:r>
        <w:rPr>
          <w:color w:val="211F1F"/>
          <w:spacing w:val="-6"/>
        </w:rPr>
        <w:t xml:space="preserve"> </w:t>
      </w:r>
      <w:r>
        <w:rPr>
          <w:color w:val="211F1F"/>
        </w:rPr>
        <w:t>the</w:t>
      </w:r>
      <w:r>
        <w:rPr>
          <w:color w:val="211F1F"/>
          <w:spacing w:val="-4"/>
        </w:rPr>
        <w:t xml:space="preserve"> </w:t>
      </w:r>
      <w:r>
        <w:rPr>
          <w:color w:val="211F1F"/>
        </w:rPr>
        <w:t xml:space="preserve">Contractor </w:t>
      </w:r>
      <w:r>
        <w:rPr>
          <w:color w:val="211F1F"/>
          <w:spacing w:val="-2"/>
        </w:rPr>
        <w:t>within</w:t>
      </w:r>
      <w:r>
        <w:rPr>
          <w:color w:val="211F1F"/>
          <w:spacing w:val="-12"/>
        </w:rPr>
        <w:t xml:space="preserve"> </w:t>
      </w:r>
      <w:r>
        <w:rPr>
          <w:color w:val="211F1F"/>
          <w:spacing w:val="-2"/>
        </w:rPr>
        <w:t>56</w:t>
      </w:r>
      <w:r>
        <w:rPr>
          <w:color w:val="211F1F"/>
          <w:spacing w:val="-12"/>
        </w:rPr>
        <w:t xml:space="preserve"> </w:t>
      </w:r>
      <w:r>
        <w:rPr>
          <w:color w:val="211F1F"/>
          <w:spacing w:val="-2"/>
        </w:rPr>
        <w:t>days</w:t>
      </w:r>
      <w:r>
        <w:rPr>
          <w:color w:val="211F1F"/>
          <w:spacing w:val="-12"/>
        </w:rPr>
        <w:t xml:space="preserve"> </w:t>
      </w:r>
      <w:r>
        <w:rPr>
          <w:color w:val="211F1F"/>
          <w:spacing w:val="-2"/>
        </w:rPr>
        <w:t>of</w:t>
      </w:r>
      <w:r>
        <w:rPr>
          <w:color w:val="211F1F"/>
          <w:spacing w:val="-11"/>
        </w:rPr>
        <w:t xml:space="preserve"> </w:t>
      </w:r>
      <w:r>
        <w:rPr>
          <w:color w:val="211F1F"/>
          <w:spacing w:val="-2"/>
        </w:rPr>
        <w:t>receiving</w:t>
      </w:r>
      <w:r>
        <w:rPr>
          <w:color w:val="211F1F"/>
          <w:spacing w:val="-12"/>
        </w:rPr>
        <w:t xml:space="preserve"> </w:t>
      </w:r>
      <w:r>
        <w:rPr>
          <w:color w:val="211F1F"/>
          <w:spacing w:val="-2"/>
        </w:rPr>
        <w:t>the</w:t>
      </w:r>
      <w:r>
        <w:rPr>
          <w:color w:val="211F1F"/>
          <w:spacing w:val="-12"/>
        </w:rPr>
        <w:t xml:space="preserve"> </w:t>
      </w:r>
      <w:r>
        <w:rPr>
          <w:color w:val="211F1F"/>
          <w:spacing w:val="-2"/>
        </w:rPr>
        <w:t>Contractor's</w:t>
      </w:r>
      <w:r>
        <w:rPr>
          <w:color w:val="211F1F"/>
          <w:spacing w:val="-12"/>
        </w:rPr>
        <w:t xml:space="preserve"> </w:t>
      </w:r>
      <w:r>
        <w:rPr>
          <w:color w:val="211F1F"/>
          <w:spacing w:val="-2"/>
        </w:rPr>
        <w:t>account</w:t>
      </w:r>
      <w:r>
        <w:rPr>
          <w:color w:val="211F1F"/>
          <w:spacing w:val="-11"/>
        </w:rPr>
        <w:t xml:space="preserve"> </w:t>
      </w:r>
      <w:r>
        <w:rPr>
          <w:color w:val="211F1F"/>
          <w:spacing w:val="-2"/>
        </w:rPr>
        <w:t>if</w:t>
      </w:r>
      <w:r>
        <w:rPr>
          <w:color w:val="211F1F"/>
          <w:spacing w:val="-12"/>
        </w:rPr>
        <w:t xml:space="preserve"> </w:t>
      </w:r>
      <w:r>
        <w:rPr>
          <w:color w:val="211F1F"/>
          <w:spacing w:val="-2"/>
        </w:rPr>
        <w:t>it</w:t>
      </w:r>
      <w:r>
        <w:rPr>
          <w:color w:val="211F1F"/>
          <w:spacing w:val="-12"/>
        </w:rPr>
        <w:t xml:space="preserve"> </w:t>
      </w:r>
      <w:r>
        <w:rPr>
          <w:color w:val="211F1F"/>
          <w:spacing w:val="-2"/>
        </w:rPr>
        <w:t>is</w:t>
      </w:r>
      <w:r>
        <w:rPr>
          <w:color w:val="211F1F"/>
          <w:spacing w:val="-12"/>
        </w:rPr>
        <w:t xml:space="preserve"> </w:t>
      </w:r>
      <w:r>
        <w:rPr>
          <w:color w:val="211F1F"/>
          <w:spacing w:val="-2"/>
        </w:rPr>
        <w:t>correct</w:t>
      </w:r>
      <w:r>
        <w:rPr>
          <w:color w:val="211F1F"/>
          <w:spacing w:val="-11"/>
        </w:rPr>
        <w:t xml:space="preserve"> </w:t>
      </w:r>
      <w:r>
        <w:rPr>
          <w:color w:val="211F1F"/>
          <w:spacing w:val="-2"/>
        </w:rPr>
        <w:t>and</w:t>
      </w:r>
      <w:r>
        <w:rPr>
          <w:color w:val="211F1F"/>
          <w:spacing w:val="-12"/>
        </w:rPr>
        <w:t xml:space="preserve"> </w:t>
      </w:r>
      <w:r>
        <w:rPr>
          <w:color w:val="211F1F"/>
          <w:spacing w:val="-2"/>
        </w:rPr>
        <w:t>complete.</w:t>
      </w:r>
      <w:r>
        <w:rPr>
          <w:color w:val="211F1F"/>
          <w:spacing w:val="-12"/>
        </w:rPr>
        <w:t xml:space="preserve"> </w:t>
      </w:r>
      <w:r>
        <w:rPr>
          <w:color w:val="211F1F"/>
          <w:spacing w:val="-2"/>
        </w:rPr>
        <w:t>If</w:t>
      </w:r>
      <w:r>
        <w:rPr>
          <w:color w:val="211F1F"/>
          <w:spacing w:val="-12"/>
        </w:rPr>
        <w:t xml:space="preserve"> </w:t>
      </w:r>
      <w:r>
        <w:rPr>
          <w:color w:val="211F1F"/>
          <w:spacing w:val="-2"/>
        </w:rPr>
        <w:t>it</w:t>
      </w:r>
      <w:r>
        <w:rPr>
          <w:color w:val="211F1F"/>
          <w:spacing w:val="-7"/>
        </w:rPr>
        <w:t xml:space="preserve"> </w:t>
      </w:r>
      <w:r>
        <w:rPr>
          <w:color w:val="211F1F"/>
          <w:spacing w:val="-2"/>
        </w:rPr>
        <w:t>is</w:t>
      </w:r>
      <w:r>
        <w:rPr>
          <w:color w:val="211F1F"/>
          <w:spacing w:val="-10"/>
        </w:rPr>
        <w:t xml:space="preserve"> </w:t>
      </w:r>
      <w:r>
        <w:rPr>
          <w:color w:val="211F1F"/>
          <w:spacing w:val="-2"/>
        </w:rPr>
        <w:t>not,</w:t>
      </w:r>
      <w:r>
        <w:rPr>
          <w:color w:val="211F1F"/>
          <w:spacing w:val="-12"/>
        </w:rPr>
        <w:t xml:space="preserve"> </w:t>
      </w:r>
      <w:r>
        <w:rPr>
          <w:color w:val="211F1F"/>
          <w:spacing w:val="-2"/>
        </w:rPr>
        <w:t>the</w:t>
      </w:r>
      <w:r>
        <w:rPr>
          <w:color w:val="211F1F"/>
          <w:spacing w:val="-12"/>
        </w:rPr>
        <w:t xml:space="preserve"> </w:t>
      </w:r>
      <w:r>
        <w:rPr>
          <w:color w:val="211F1F"/>
          <w:spacing w:val="-2"/>
        </w:rPr>
        <w:t>Project</w:t>
      </w:r>
      <w:r>
        <w:rPr>
          <w:color w:val="211F1F"/>
        </w:rPr>
        <w:t xml:space="preserve"> </w:t>
      </w:r>
      <w:r>
        <w:rPr>
          <w:color w:val="211F1F"/>
          <w:spacing w:val="-2"/>
        </w:rPr>
        <w:t xml:space="preserve">Manager </w:t>
      </w:r>
      <w:r>
        <w:rPr>
          <w:color w:val="211F1F"/>
        </w:rPr>
        <w:t>shall</w:t>
      </w:r>
      <w:r>
        <w:rPr>
          <w:color w:val="211F1F"/>
          <w:spacing w:val="-9"/>
        </w:rPr>
        <w:t xml:space="preserve"> </w:t>
      </w:r>
      <w:r>
        <w:rPr>
          <w:color w:val="211F1F"/>
        </w:rPr>
        <w:t>issue</w:t>
      </w:r>
      <w:r>
        <w:rPr>
          <w:color w:val="211F1F"/>
          <w:spacing w:val="-12"/>
        </w:rPr>
        <w:t xml:space="preserve"> </w:t>
      </w:r>
      <w:r>
        <w:rPr>
          <w:color w:val="211F1F"/>
        </w:rPr>
        <w:t>within</w:t>
      </w:r>
      <w:r>
        <w:rPr>
          <w:color w:val="211F1F"/>
          <w:spacing w:val="-9"/>
        </w:rPr>
        <w:t xml:space="preserve"> </w:t>
      </w:r>
      <w:r>
        <w:rPr>
          <w:color w:val="211F1F"/>
        </w:rPr>
        <w:t>56</w:t>
      </w:r>
      <w:r>
        <w:rPr>
          <w:color w:val="211F1F"/>
          <w:spacing w:val="-6"/>
        </w:rPr>
        <w:t xml:space="preserve"> </w:t>
      </w:r>
      <w:r>
        <w:rPr>
          <w:color w:val="211F1F"/>
        </w:rPr>
        <w:t>days</w:t>
      </w:r>
      <w:r>
        <w:rPr>
          <w:color w:val="211F1F"/>
          <w:spacing w:val="-5"/>
        </w:rPr>
        <w:t xml:space="preserve"> </w:t>
      </w:r>
      <w:r>
        <w:rPr>
          <w:color w:val="211F1F"/>
        </w:rPr>
        <w:t>a</w:t>
      </w:r>
      <w:r>
        <w:rPr>
          <w:color w:val="211F1F"/>
          <w:spacing w:val="-8"/>
        </w:rPr>
        <w:t xml:space="preserve"> </w:t>
      </w:r>
      <w:r>
        <w:rPr>
          <w:color w:val="211F1F"/>
        </w:rPr>
        <w:t>schedule</w:t>
      </w:r>
      <w:r>
        <w:rPr>
          <w:color w:val="211F1F"/>
          <w:spacing w:val="-11"/>
        </w:rPr>
        <w:t xml:space="preserve"> </w:t>
      </w:r>
      <w:r>
        <w:rPr>
          <w:color w:val="211F1F"/>
        </w:rPr>
        <w:t>that</w:t>
      </w:r>
      <w:r>
        <w:rPr>
          <w:color w:val="211F1F"/>
          <w:spacing w:val="-4"/>
        </w:rPr>
        <w:t xml:space="preserve"> </w:t>
      </w:r>
      <w:r>
        <w:rPr>
          <w:color w:val="211F1F"/>
        </w:rPr>
        <w:t>states</w:t>
      </w:r>
      <w:r>
        <w:rPr>
          <w:color w:val="211F1F"/>
          <w:spacing w:val="-4"/>
        </w:rPr>
        <w:t xml:space="preserve"> </w:t>
      </w:r>
      <w:r>
        <w:rPr>
          <w:color w:val="211F1F"/>
        </w:rPr>
        <w:t>the</w:t>
      </w:r>
      <w:r>
        <w:rPr>
          <w:color w:val="211F1F"/>
          <w:spacing w:val="-12"/>
        </w:rPr>
        <w:t xml:space="preserve"> </w:t>
      </w:r>
      <w:r>
        <w:rPr>
          <w:color w:val="211F1F"/>
        </w:rPr>
        <w:t>scope</w:t>
      </w:r>
      <w:r>
        <w:rPr>
          <w:color w:val="211F1F"/>
          <w:spacing w:val="-7"/>
        </w:rPr>
        <w:t xml:space="preserve"> </w:t>
      </w:r>
      <w:r>
        <w:rPr>
          <w:color w:val="211F1F"/>
        </w:rPr>
        <w:t>of</w:t>
      </w:r>
      <w:r>
        <w:rPr>
          <w:color w:val="211F1F"/>
          <w:spacing w:val="-7"/>
        </w:rPr>
        <w:t xml:space="preserve"> </w:t>
      </w:r>
      <w:r>
        <w:rPr>
          <w:color w:val="211F1F"/>
        </w:rPr>
        <w:t>the</w:t>
      </w:r>
      <w:r>
        <w:rPr>
          <w:color w:val="211F1F"/>
          <w:spacing w:val="-12"/>
        </w:rPr>
        <w:t xml:space="preserve"> </w:t>
      </w:r>
      <w:r>
        <w:rPr>
          <w:color w:val="211F1F"/>
        </w:rPr>
        <w:t>corrections</w:t>
      </w:r>
      <w:r>
        <w:rPr>
          <w:color w:val="211F1F"/>
          <w:spacing w:val="-4"/>
        </w:rPr>
        <w:t xml:space="preserve"> </w:t>
      </w:r>
      <w:r>
        <w:rPr>
          <w:color w:val="211F1F"/>
        </w:rPr>
        <w:t>or</w:t>
      </w:r>
      <w:r>
        <w:rPr>
          <w:color w:val="211F1F"/>
          <w:spacing w:val="-3"/>
        </w:rPr>
        <w:t xml:space="preserve"> </w:t>
      </w:r>
      <w:r>
        <w:rPr>
          <w:color w:val="211F1F"/>
        </w:rPr>
        <w:t>additions that</w:t>
      </w:r>
      <w:r>
        <w:rPr>
          <w:color w:val="211F1F"/>
          <w:spacing w:val="-1"/>
        </w:rPr>
        <w:t xml:space="preserve"> </w:t>
      </w:r>
      <w:r>
        <w:rPr>
          <w:color w:val="211F1F"/>
        </w:rPr>
        <w:t>are</w:t>
      </w:r>
      <w:r>
        <w:rPr>
          <w:color w:val="211F1F"/>
          <w:spacing w:val="-3"/>
        </w:rPr>
        <w:t xml:space="preserve"> </w:t>
      </w:r>
      <w:r>
        <w:rPr>
          <w:color w:val="211F1F"/>
        </w:rPr>
        <w:t>necessary. If the</w:t>
      </w:r>
      <w:r>
        <w:rPr>
          <w:color w:val="211F1F"/>
          <w:spacing w:val="-14"/>
        </w:rPr>
        <w:t xml:space="preserve"> </w:t>
      </w:r>
      <w:r>
        <w:rPr>
          <w:color w:val="211F1F"/>
        </w:rPr>
        <w:t>Final</w:t>
      </w:r>
      <w:r>
        <w:rPr>
          <w:color w:val="211F1F"/>
          <w:spacing w:val="-14"/>
        </w:rPr>
        <w:t xml:space="preserve"> </w:t>
      </w:r>
      <w:r>
        <w:rPr>
          <w:color w:val="211F1F"/>
        </w:rPr>
        <w:t>Account</w:t>
      </w:r>
      <w:r>
        <w:rPr>
          <w:color w:val="211F1F"/>
          <w:spacing w:val="-9"/>
        </w:rPr>
        <w:t xml:space="preserve"> </w:t>
      </w:r>
      <w:r>
        <w:rPr>
          <w:color w:val="211F1F"/>
        </w:rPr>
        <w:t>is still</w:t>
      </w:r>
      <w:r>
        <w:rPr>
          <w:color w:val="211F1F"/>
          <w:spacing w:val="-2"/>
        </w:rPr>
        <w:t xml:space="preserve"> </w:t>
      </w:r>
      <w:r>
        <w:rPr>
          <w:color w:val="211F1F"/>
        </w:rPr>
        <w:t>unsatisfactory</w:t>
      </w:r>
      <w:r>
        <w:rPr>
          <w:color w:val="211F1F"/>
          <w:spacing w:val="-1"/>
        </w:rPr>
        <w:t xml:space="preserve"> </w:t>
      </w:r>
      <w:r>
        <w:rPr>
          <w:color w:val="211F1F"/>
        </w:rPr>
        <w:t>after it has</w:t>
      </w:r>
      <w:r>
        <w:rPr>
          <w:color w:val="211F1F"/>
          <w:spacing w:val="-6"/>
        </w:rPr>
        <w:t xml:space="preserve"> </w:t>
      </w:r>
      <w:r>
        <w:rPr>
          <w:color w:val="211F1F"/>
        </w:rPr>
        <w:t>been</w:t>
      </w:r>
      <w:r>
        <w:rPr>
          <w:color w:val="211F1F"/>
          <w:spacing w:val="-3"/>
        </w:rPr>
        <w:t xml:space="preserve"> </w:t>
      </w:r>
      <w:r>
        <w:rPr>
          <w:color w:val="211F1F"/>
        </w:rPr>
        <w:t>resubmitted, the</w:t>
      </w:r>
      <w:r>
        <w:rPr>
          <w:color w:val="211F1F"/>
          <w:spacing w:val="-5"/>
        </w:rPr>
        <w:t xml:space="preserve"> </w:t>
      </w:r>
      <w:r>
        <w:rPr>
          <w:color w:val="211F1F"/>
        </w:rPr>
        <w:t>Project Manager</w:t>
      </w:r>
      <w:r>
        <w:rPr>
          <w:color w:val="211F1F"/>
          <w:spacing w:val="-5"/>
        </w:rPr>
        <w:t xml:space="preserve"> </w:t>
      </w:r>
      <w:r>
        <w:rPr>
          <w:color w:val="211F1F"/>
        </w:rPr>
        <w:t>shall</w:t>
      </w:r>
      <w:r>
        <w:rPr>
          <w:color w:val="211F1F"/>
          <w:spacing w:val="-14"/>
        </w:rPr>
        <w:t xml:space="preserve"> </w:t>
      </w:r>
      <w:r>
        <w:rPr>
          <w:color w:val="211F1F"/>
        </w:rPr>
        <w:t>decide</w:t>
      </w:r>
      <w:r>
        <w:rPr>
          <w:color w:val="211F1F"/>
          <w:spacing w:val="-14"/>
        </w:rPr>
        <w:t xml:space="preserve"> </w:t>
      </w:r>
      <w:r>
        <w:rPr>
          <w:color w:val="211F1F"/>
        </w:rPr>
        <w:t>on</w:t>
      </w:r>
      <w:r>
        <w:rPr>
          <w:color w:val="211F1F"/>
          <w:spacing w:val="-14"/>
        </w:rPr>
        <w:t xml:space="preserve"> </w:t>
      </w:r>
      <w:r>
        <w:rPr>
          <w:color w:val="211F1F"/>
        </w:rPr>
        <w:t>the amount payable to the Contractor and issue a payment certificate.</w:t>
      </w:r>
    </w:p>
    <w:p w14:paraId="5BA46FB9" w14:textId="77777777" w:rsidR="00BB77C0" w:rsidRDefault="00BB77C0">
      <w:pPr>
        <w:pStyle w:val="BodyText"/>
      </w:pPr>
    </w:p>
    <w:p w14:paraId="4E5F03B8" w14:textId="77777777" w:rsidR="00BB77C0" w:rsidRDefault="00BB77C0">
      <w:pPr>
        <w:pStyle w:val="BodyText"/>
        <w:spacing w:before="25"/>
      </w:pPr>
    </w:p>
    <w:p w14:paraId="2E1E78D2" w14:textId="77777777" w:rsidR="00BB77C0" w:rsidRDefault="00370BAA">
      <w:pPr>
        <w:spacing w:line="230" w:lineRule="auto"/>
        <w:ind w:left="485" w:right="704"/>
        <w:jc w:val="both"/>
        <w:rPr>
          <w:i/>
          <w:sz w:val="18"/>
        </w:rPr>
      </w:pPr>
      <w:r>
        <w:rPr>
          <w:i/>
          <w:noProof/>
          <w:sz w:val="18"/>
        </w:rPr>
        <mc:AlternateContent>
          <mc:Choice Requires="wps">
            <w:drawing>
              <wp:anchor distT="0" distB="0" distL="0" distR="0" simplePos="0" relativeHeight="484052480" behindDoc="1" locked="0" layoutInCell="1" allowOverlap="1" wp14:anchorId="1D120F0E" wp14:editId="58D8501F">
                <wp:simplePos x="0" y="0"/>
                <wp:positionH relativeFrom="page">
                  <wp:posOffset>477519</wp:posOffset>
                </wp:positionH>
                <wp:positionV relativeFrom="paragraph">
                  <wp:posOffset>73732</wp:posOffset>
                </wp:positionV>
                <wp:extent cx="2957830" cy="1270"/>
                <wp:effectExtent l="0" t="0" r="0" b="0"/>
                <wp:wrapNone/>
                <wp:docPr id="422" name="Graphic 4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7830" cy="1270"/>
                        </a:xfrm>
                        <a:custGeom>
                          <a:avLst/>
                          <a:gdLst/>
                          <a:ahLst/>
                          <a:cxnLst/>
                          <a:rect l="l" t="t" r="r" b="b"/>
                          <a:pathLst>
                            <a:path w="2957830">
                              <a:moveTo>
                                <a:pt x="0" y="0"/>
                              </a:moveTo>
                              <a:lnTo>
                                <a:pt x="2957830" y="0"/>
                              </a:lnTo>
                            </a:path>
                          </a:pathLst>
                        </a:custGeom>
                        <a:ln w="6350">
                          <a:solidFill>
                            <a:srgbClr val="211F1F"/>
                          </a:solidFill>
                          <a:prstDash val="solid"/>
                        </a:ln>
                      </wps:spPr>
                      <wps:bodyPr wrap="square" lIns="0" tIns="0" rIns="0" bIns="0" rtlCol="0">
                        <a:prstTxWarp prst="textNoShape">
                          <a:avLst/>
                        </a:prstTxWarp>
                        <a:noAutofit/>
                      </wps:bodyPr>
                    </wps:wsp>
                  </a:graphicData>
                </a:graphic>
              </wp:anchor>
            </w:drawing>
          </mc:Choice>
          <mc:Fallback>
            <w:pict>
              <v:shape w14:anchorId="38A9776E" id="Graphic 422" o:spid="_x0000_s1026" style="position:absolute;margin-left:37.6pt;margin-top:5.8pt;width:232.9pt;height:.1pt;z-index:-19264000;visibility:visible;mso-wrap-style:square;mso-wrap-distance-left:0;mso-wrap-distance-top:0;mso-wrap-distance-right:0;mso-wrap-distance-bottom:0;mso-position-horizontal:absolute;mso-position-horizontal-relative:page;mso-position-vertical:absolute;mso-position-vertical-relative:text;v-text-anchor:top" coordsize="2957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" path="m,l2957830,e" filled="f" strokecolor="#211f1f" strokeweight=".5pt">
                <v:path arrowok="t"/>
                <w10:wrap anchorx="page"/>
              </v:shape>
            </w:pict>
          </mc:Fallback>
        </mc:AlternateContent>
      </w:r>
      <w:r>
        <w:rPr>
          <w:i/>
          <w:color w:val="211F1F"/>
          <w:position w:val="8"/>
          <w:sz w:val="18"/>
        </w:rPr>
        <w:t>13</w:t>
      </w:r>
      <w:r>
        <w:rPr>
          <w:i/>
          <w:color w:val="211F1F"/>
          <w:sz w:val="18"/>
        </w:rPr>
        <w:t>The</w:t>
      </w:r>
      <w:r>
        <w:rPr>
          <w:i/>
          <w:color w:val="211F1F"/>
          <w:spacing w:val="-12"/>
          <w:sz w:val="18"/>
        </w:rPr>
        <w:t xml:space="preserve"> </w:t>
      </w:r>
      <w:r>
        <w:rPr>
          <w:i/>
          <w:color w:val="211F1F"/>
          <w:sz w:val="18"/>
        </w:rPr>
        <w:t>sum</w:t>
      </w:r>
      <w:r>
        <w:rPr>
          <w:i/>
          <w:color w:val="211F1F"/>
          <w:spacing w:val="-11"/>
          <w:sz w:val="18"/>
        </w:rPr>
        <w:t xml:space="preserve"> </w:t>
      </w:r>
      <w:r>
        <w:rPr>
          <w:i/>
          <w:color w:val="211F1F"/>
          <w:sz w:val="18"/>
        </w:rPr>
        <w:t>of</w:t>
      </w:r>
      <w:r>
        <w:rPr>
          <w:i/>
          <w:color w:val="211F1F"/>
          <w:spacing w:val="-11"/>
          <w:sz w:val="18"/>
        </w:rPr>
        <w:t xml:space="preserve"> </w:t>
      </w:r>
      <w:r>
        <w:rPr>
          <w:i/>
          <w:color w:val="211F1F"/>
          <w:sz w:val="18"/>
        </w:rPr>
        <w:t>the</w:t>
      </w:r>
      <w:r>
        <w:rPr>
          <w:i/>
          <w:color w:val="211F1F"/>
          <w:spacing w:val="-11"/>
          <w:sz w:val="18"/>
        </w:rPr>
        <w:t xml:space="preserve"> </w:t>
      </w:r>
      <w:r>
        <w:rPr>
          <w:i/>
          <w:color w:val="211F1F"/>
          <w:sz w:val="18"/>
        </w:rPr>
        <w:t>two</w:t>
      </w:r>
      <w:r>
        <w:rPr>
          <w:i/>
          <w:color w:val="211F1F"/>
          <w:spacing w:val="-12"/>
          <w:sz w:val="18"/>
        </w:rPr>
        <w:t xml:space="preserve"> </w:t>
      </w:r>
      <w:r>
        <w:rPr>
          <w:i/>
          <w:color w:val="211F1F"/>
          <w:sz w:val="18"/>
        </w:rPr>
        <w:t>coefficients</w:t>
      </w:r>
      <w:r>
        <w:rPr>
          <w:i/>
          <w:color w:val="211F1F"/>
          <w:spacing w:val="-11"/>
          <w:sz w:val="18"/>
        </w:rPr>
        <w:t xml:space="preserve"> </w:t>
      </w:r>
      <w:r>
        <w:rPr>
          <w:i/>
          <w:color w:val="211F1F"/>
          <w:sz w:val="18"/>
        </w:rPr>
        <w:t>A</w:t>
      </w:r>
      <w:r>
        <w:rPr>
          <w:i/>
          <w:color w:val="211F1F"/>
          <w:spacing w:val="24"/>
          <w:sz w:val="18"/>
        </w:rPr>
        <w:t xml:space="preserve"> </w:t>
      </w:r>
      <w:r>
        <w:rPr>
          <w:i/>
          <w:color w:val="211F1F"/>
          <w:sz w:val="18"/>
        </w:rPr>
        <w:t>and</w:t>
      </w:r>
      <w:r>
        <w:rPr>
          <w:i/>
          <w:color w:val="211F1F"/>
          <w:spacing w:val="-7"/>
          <w:sz w:val="18"/>
        </w:rPr>
        <w:t xml:space="preserve"> </w:t>
      </w:r>
      <w:r>
        <w:rPr>
          <w:i/>
          <w:color w:val="211F1F"/>
          <w:sz w:val="18"/>
        </w:rPr>
        <w:t>B</w:t>
      </w:r>
      <w:r>
        <w:rPr>
          <w:i/>
          <w:color w:val="211F1F"/>
          <w:spacing w:val="21"/>
          <w:sz w:val="18"/>
        </w:rPr>
        <w:t xml:space="preserve"> </w:t>
      </w:r>
      <w:r>
        <w:rPr>
          <w:i/>
          <w:color w:val="211F1F"/>
          <w:sz w:val="18"/>
        </w:rPr>
        <w:t>should</w:t>
      </w:r>
      <w:r>
        <w:rPr>
          <w:i/>
          <w:color w:val="211F1F"/>
          <w:spacing w:val="-11"/>
          <w:sz w:val="18"/>
        </w:rPr>
        <w:t xml:space="preserve"> </w:t>
      </w:r>
      <w:r>
        <w:rPr>
          <w:i/>
          <w:color w:val="211F1F"/>
          <w:sz w:val="18"/>
        </w:rPr>
        <w:t>be</w:t>
      </w:r>
      <w:r>
        <w:rPr>
          <w:i/>
          <w:color w:val="211F1F"/>
          <w:spacing w:val="-11"/>
          <w:sz w:val="18"/>
        </w:rPr>
        <w:t xml:space="preserve"> </w:t>
      </w:r>
      <w:r>
        <w:rPr>
          <w:i/>
          <w:color w:val="211F1F"/>
          <w:sz w:val="18"/>
        </w:rPr>
        <w:t>1</w:t>
      </w:r>
      <w:r>
        <w:rPr>
          <w:i/>
          <w:color w:val="211F1F"/>
          <w:spacing w:val="-7"/>
          <w:sz w:val="18"/>
        </w:rPr>
        <w:t xml:space="preserve"> </w:t>
      </w:r>
      <w:r>
        <w:rPr>
          <w:i/>
          <w:color w:val="211F1F"/>
          <w:sz w:val="18"/>
        </w:rPr>
        <w:t>(one)</w:t>
      </w:r>
      <w:r>
        <w:rPr>
          <w:i/>
          <w:color w:val="211F1F"/>
          <w:spacing w:val="-10"/>
          <w:sz w:val="18"/>
        </w:rPr>
        <w:t xml:space="preserve"> </w:t>
      </w:r>
      <w:r>
        <w:rPr>
          <w:i/>
          <w:color w:val="211F1F"/>
          <w:sz w:val="18"/>
        </w:rPr>
        <w:t>in</w:t>
      </w:r>
      <w:r>
        <w:rPr>
          <w:i/>
          <w:color w:val="211F1F"/>
          <w:spacing w:val="-12"/>
          <w:sz w:val="18"/>
        </w:rPr>
        <w:t xml:space="preserve"> </w:t>
      </w:r>
      <w:r>
        <w:rPr>
          <w:i/>
          <w:color w:val="211F1F"/>
          <w:sz w:val="18"/>
        </w:rPr>
        <w:t>the</w:t>
      </w:r>
      <w:r>
        <w:rPr>
          <w:i/>
          <w:color w:val="211F1F"/>
          <w:spacing w:val="-11"/>
          <w:sz w:val="18"/>
        </w:rPr>
        <w:t xml:space="preserve"> </w:t>
      </w:r>
      <w:r>
        <w:rPr>
          <w:i/>
          <w:color w:val="211F1F"/>
          <w:sz w:val="18"/>
        </w:rPr>
        <w:t>formula</w:t>
      </w:r>
      <w:r>
        <w:rPr>
          <w:i/>
          <w:color w:val="211F1F"/>
          <w:spacing w:val="-11"/>
          <w:sz w:val="18"/>
        </w:rPr>
        <w:t xml:space="preserve"> </w:t>
      </w:r>
      <w:r>
        <w:rPr>
          <w:i/>
          <w:color w:val="211F1F"/>
          <w:sz w:val="18"/>
        </w:rPr>
        <w:t>for</w:t>
      </w:r>
      <w:r>
        <w:rPr>
          <w:i/>
          <w:color w:val="211F1F"/>
          <w:spacing w:val="-6"/>
          <w:sz w:val="18"/>
        </w:rPr>
        <w:t xml:space="preserve"> </w:t>
      </w:r>
      <w:r>
        <w:rPr>
          <w:i/>
          <w:color w:val="211F1F"/>
          <w:sz w:val="18"/>
        </w:rPr>
        <w:t>each</w:t>
      </w:r>
      <w:r>
        <w:rPr>
          <w:i/>
          <w:color w:val="211F1F"/>
          <w:spacing w:val="-7"/>
          <w:sz w:val="18"/>
        </w:rPr>
        <w:t xml:space="preserve"> </w:t>
      </w:r>
      <w:r>
        <w:rPr>
          <w:i/>
          <w:color w:val="211F1F"/>
          <w:sz w:val="18"/>
        </w:rPr>
        <w:t>currency. Normally,</w:t>
      </w:r>
      <w:r>
        <w:rPr>
          <w:i/>
          <w:color w:val="211F1F"/>
          <w:spacing w:val="-4"/>
          <w:sz w:val="18"/>
        </w:rPr>
        <w:t xml:space="preserve"> </w:t>
      </w:r>
      <w:r>
        <w:rPr>
          <w:i/>
          <w:color w:val="211F1F"/>
          <w:sz w:val="18"/>
        </w:rPr>
        <w:t>both</w:t>
      </w:r>
      <w:r>
        <w:rPr>
          <w:i/>
          <w:color w:val="211F1F"/>
          <w:spacing w:val="-7"/>
          <w:sz w:val="18"/>
        </w:rPr>
        <w:t xml:space="preserve"> </w:t>
      </w:r>
      <w:r>
        <w:rPr>
          <w:i/>
          <w:color w:val="211F1F"/>
          <w:sz w:val="18"/>
        </w:rPr>
        <w:t>coefficients</w:t>
      </w:r>
      <w:r>
        <w:rPr>
          <w:i/>
          <w:color w:val="211F1F"/>
          <w:spacing w:val="-9"/>
          <w:sz w:val="18"/>
        </w:rPr>
        <w:t xml:space="preserve"> </w:t>
      </w:r>
      <w:r>
        <w:rPr>
          <w:i/>
          <w:color w:val="211F1F"/>
          <w:sz w:val="18"/>
        </w:rPr>
        <w:t>shall</w:t>
      </w:r>
      <w:r>
        <w:rPr>
          <w:i/>
          <w:color w:val="211F1F"/>
          <w:spacing w:val="-5"/>
          <w:sz w:val="18"/>
        </w:rPr>
        <w:t xml:space="preserve"> </w:t>
      </w:r>
      <w:r>
        <w:rPr>
          <w:i/>
          <w:color w:val="211F1F"/>
          <w:sz w:val="18"/>
        </w:rPr>
        <w:t>be</w:t>
      </w:r>
      <w:r>
        <w:rPr>
          <w:i/>
          <w:color w:val="211F1F"/>
          <w:spacing w:val="-11"/>
          <w:sz w:val="18"/>
        </w:rPr>
        <w:t xml:space="preserve"> </w:t>
      </w:r>
      <w:r>
        <w:rPr>
          <w:i/>
          <w:color w:val="211F1F"/>
          <w:sz w:val="18"/>
        </w:rPr>
        <w:t>the</w:t>
      </w:r>
      <w:r>
        <w:rPr>
          <w:i/>
          <w:color w:val="211F1F"/>
          <w:spacing w:val="-10"/>
          <w:sz w:val="18"/>
        </w:rPr>
        <w:t xml:space="preserve"> </w:t>
      </w:r>
      <w:r>
        <w:rPr>
          <w:i/>
          <w:color w:val="211F1F"/>
          <w:sz w:val="18"/>
        </w:rPr>
        <w:t>same</w:t>
      </w:r>
      <w:r>
        <w:rPr>
          <w:i/>
          <w:color w:val="211F1F"/>
          <w:spacing w:val="-11"/>
          <w:sz w:val="18"/>
        </w:rPr>
        <w:t xml:space="preserve"> </w:t>
      </w:r>
      <w:r>
        <w:rPr>
          <w:i/>
          <w:color w:val="211F1F"/>
          <w:sz w:val="18"/>
        </w:rPr>
        <w:t>in</w:t>
      </w:r>
      <w:r>
        <w:rPr>
          <w:i/>
          <w:color w:val="211F1F"/>
          <w:spacing w:val="-7"/>
          <w:sz w:val="18"/>
        </w:rPr>
        <w:t xml:space="preserve"> </w:t>
      </w:r>
      <w:r>
        <w:rPr>
          <w:i/>
          <w:color w:val="211F1F"/>
          <w:sz w:val="18"/>
        </w:rPr>
        <w:t>the formulae</w:t>
      </w:r>
      <w:r>
        <w:rPr>
          <w:i/>
          <w:color w:val="211F1F"/>
          <w:spacing w:val="-12"/>
          <w:sz w:val="18"/>
        </w:rPr>
        <w:t xml:space="preserve"> </w:t>
      </w:r>
      <w:r>
        <w:rPr>
          <w:i/>
          <w:color w:val="211F1F"/>
          <w:sz w:val="18"/>
        </w:rPr>
        <w:t>for</w:t>
      </w:r>
      <w:r>
        <w:rPr>
          <w:i/>
          <w:color w:val="211F1F"/>
          <w:spacing w:val="-11"/>
          <w:sz w:val="18"/>
        </w:rPr>
        <w:t xml:space="preserve"> </w:t>
      </w:r>
      <w:r>
        <w:rPr>
          <w:i/>
          <w:color w:val="211F1F"/>
          <w:sz w:val="18"/>
        </w:rPr>
        <w:t>all</w:t>
      </w:r>
      <w:r>
        <w:rPr>
          <w:i/>
          <w:color w:val="211F1F"/>
          <w:spacing w:val="4"/>
          <w:sz w:val="18"/>
        </w:rPr>
        <w:t xml:space="preserve"> </w:t>
      </w:r>
      <w:r>
        <w:rPr>
          <w:i/>
          <w:color w:val="211F1F"/>
          <w:sz w:val="18"/>
        </w:rPr>
        <w:t>currencies,</w:t>
      </w:r>
      <w:r>
        <w:rPr>
          <w:i/>
          <w:color w:val="211F1F"/>
          <w:spacing w:val="-5"/>
          <w:sz w:val="18"/>
        </w:rPr>
        <w:t xml:space="preserve"> </w:t>
      </w:r>
      <w:r>
        <w:rPr>
          <w:i/>
          <w:color w:val="211F1F"/>
          <w:sz w:val="18"/>
        </w:rPr>
        <w:t>since</w:t>
      </w:r>
      <w:r>
        <w:rPr>
          <w:i/>
          <w:color w:val="211F1F"/>
          <w:spacing w:val="-11"/>
          <w:sz w:val="18"/>
        </w:rPr>
        <w:t xml:space="preserve"> </w:t>
      </w:r>
      <w:r>
        <w:rPr>
          <w:i/>
          <w:color w:val="211F1F"/>
          <w:sz w:val="18"/>
        </w:rPr>
        <w:t>coefficient</w:t>
      </w:r>
      <w:r>
        <w:rPr>
          <w:i/>
          <w:color w:val="211F1F"/>
          <w:spacing w:val="-5"/>
          <w:sz w:val="18"/>
        </w:rPr>
        <w:t xml:space="preserve"> </w:t>
      </w:r>
      <w:r>
        <w:rPr>
          <w:i/>
          <w:color w:val="211F1F"/>
          <w:sz w:val="18"/>
        </w:rPr>
        <w:t>A,</w:t>
      </w:r>
      <w:r>
        <w:rPr>
          <w:i/>
          <w:color w:val="211F1F"/>
          <w:spacing w:val="-10"/>
          <w:sz w:val="18"/>
        </w:rPr>
        <w:t xml:space="preserve"> </w:t>
      </w:r>
      <w:r>
        <w:rPr>
          <w:i/>
          <w:color w:val="211F1F"/>
          <w:sz w:val="18"/>
        </w:rPr>
        <w:t>for</w:t>
      </w:r>
      <w:r>
        <w:rPr>
          <w:i/>
          <w:color w:val="211F1F"/>
          <w:spacing w:val="-12"/>
          <w:sz w:val="18"/>
        </w:rPr>
        <w:t xml:space="preserve"> </w:t>
      </w:r>
      <w:r>
        <w:rPr>
          <w:i/>
          <w:color w:val="211F1F"/>
          <w:sz w:val="18"/>
        </w:rPr>
        <w:t>the</w:t>
      </w:r>
      <w:r>
        <w:rPr>
          <w:i/>
          <w:color w:val="211F1F"/>
          <w:spacing w:val="-11"/>
          <w:sz w:val="18"/>
        </w:rPr>
        <w:t xml:space="preserve"> </w:t>
      </w:r>
      <w:r>
        <w:rPr>
          <w:i/>
          <w:color w:val="211F1F"/>
          <w:sz w:val="18"/>
        </w:rPr>
        <w:t>non-adjustable</w:t>
      </w:r>
      <w:r>
        <w:rPr>
          <w:i/>
          <w:color w:val="211F1F"/>
          <w:spacing w:val="-6"/>
          <w:sz w:val="18"/>
        </w:rPr>
        <w:t xml:space="preserve"> </w:t>
      </w:r>
      <w:r>
        <w:rPr>
          <w:i/>
          <w:color w:val="211F1F"/>
          <w:sz w:val="18"/>
        </w:rPr>
        <w:t>portion</w:t>
      </w:r>
      <w:r>
        <w:rPr>
          <w:i/>
          <w:color w:val="211F1F"/>
          <w:spacing w:val="-8"/>
          <w:sz w:val="18"/>
        </w:rPr>
        <w:t xml:space="preserve"> </w:t>
      </w:r>
      <w:r>
        <w:rPr>
          <w:i/>
          <w:color w:val="211F1F"/>
          <w:sz w:val="18"/>
        </w:rPr>
        <w:t>of</w:t>
      </w:r>
      <w:r>
        <w:rPr>
          <w:i/>
          <w:color w:val="211F1F"/>
          <w:spacing w:val="-10"/>
          <w:sz w:val="18"/>
        </w:rPr>
        <w:t xml:space="preserve"> </w:t>
      </w:r>
      <w:r>
        <w:rPr>
          <w:i/>
          <w:color w:val="211F1F"/>
          <w:sz w:val="18"/>
        </w:rPr>
        <w:t>the</w:t>
      </w:r>
      <w:r>
        <w:rPr>
          <w:i/>
          <w:color w:val="211F1F"/>
          <w:spacing w:val="-12"/>
          <w:sz w:val="18"/>
        </w:rPr>
        <w:t xml:space="preserve"> </w:t>
      </w:r>
      <w:r>
        <w:rPr>
          <w:i/>
          <w:color w:val="211F1F"/>
          <w:sz w:val="18"/>
        </w:rPr>
        <w:t>payments,</w:t>
      </w:r>
      <w:r>
        <w:rPr>
          <w:i/>
          <w:color w:val="211F1F"/>
          <w:spacing w:val="-4"/>
          <w:sz w:val="18"/>
        </w:rPr>
        <w:t xml:space="preserve"> </w:t>
      </w:r>
      <w:r>
        <w:rPr>
          <w:i/>
          <w:color w:val="211F1F"/>
          <w:sz w:val="18"/>
        </w:rPr>
        <w:t>is</w:t>
      </w:r>
      <w:r>
        <w:rPr>
          <w:i/>
          <w:color w:val="211F1F"/>
          <w:spacing w:val="-6"/>
          <w:sz w:val="18"/>
        </w:rPr>
        <w:t xml:space="preserve"> </w:t>
      </w:r>
      <w:r>
        <w:rPr>
          <w:i/>
          <w:color w:val="211F1F"/>
          <w:sz w:val="18"/>
        </w:rPr>
        <w:t>a</w:t>
      </w:r>
      <w:r>
        <w:rPr>
          <w:i/>
          <w:color w:val="211F1F"/>
          <w:spacing w:val="-8"/>
          <w:sz w:val="18"/>
        </w:rPr>
        <w:t xml:space="preserve"> </w:t>
      </w:r>
      <w:r>
        <w:rPr>
          <w:i/>
          <w:color w:val="211F1F"/>
          <w:sz w:val="18"/>
        </w:rPr>
        <w:t>very</w:t>
      </w:r>
      <w:r>
        <w:rPr>
          <w:i/>
          <w:color w:val="211F1F"/>
          <w:spacing w:val="-7"/>
          <w:sz w:val="18"/>
        </w:rPr>
        <w:t xml:space="preserve"> </w:t>
      </w:r>
      <w:r>
        <w:rPr>
          <w:i/>
          <w:color w:val="211F1F"/>
          <w:sz w:val="18"/>
        </w:rPr>
        <w:t>approximate</w:t>
      </w:r>
      <w:r>
        <w:rPr>
          <w:i/>
          <w:color w:val="211F1F"/>
          <w:spacing w:val="-11"/>
          <w:sz w:val="18"/>
        </w:rPr>
        <w:t xml:space="preserve"> </w:t>
      </w:r>
      <w:r>
        <w:rPr>
          <w:i/>
          <w:color w:val="211F1F"/>
          <w:sz w:val="18"/>
        </w:rPr>
        <w:t>figure</w:t>
      </w:r>
      <w:r>
        <w:rPr>
          <w:i/>
          <w:color w:val="211F1F"/>
          <w:spacing w:val="-7"/>
          <w:sz w:val="18"/>
        </w:rPr>
        <w:t xml:space="preserve"> </w:t>
      </w:r>
      <w:r>
        <w:rPr>
          <w:i/>
          <w:color w:val="211F1F"/>
          <w:sz w:val="18"/>
        </w:rPr>
        <w:t>(usually</w:t>
      </w:r>
      <w:r>
        <w:rPr>
          <w:i/>
          <w:color w:val="211F1F"/>
          <w:spacing w:val="-6"/>
          <w:sz w:val="18"/>
        </w:rPr>
        <w:t xml:space="preserve"> </w:t>
      </w:r>
      <w:r>
        <w:rPr>
          <w:i/>
          <w:color w:val="211F1F"/>
          <w:sz w:val="18"/>
        </w:rPr>
        <w:t>0.15)</w:t>
      </w:r>
      <w:r>
        <w:rPr>
          <w:i/>
          <w:color w:val="211F1F"/>
          <w:spacing w:val="-11"/>
          <w:sz w:val="18"/>
        </w:rPr>
        <w:t xml:space="preserve"> </w:t>
      </w:r>
      <w:r>
        <w:rPr>
          <w:i/>
          <w:color w:val="211F1F"/>
          <w:sz w:val="18"/>
        </w:rPr>
        <w:t>to</w:t>
      </w:r>
      <w:r>
        <w:rPr>
          <w:i/>
          <w:color w:val="211F1F"/>
          <w:spacing w:val="-8"/>
          <w:sz w:val="18"/>
        </w:rPr>
        <w:t xml:space="preserve"> </w:t>
      </w:r>
      <w:r>
        <w:rPr>
          <w:i/>
          <w:color w:val="211F1F"/>
          <w:sz w:val="18"/>
        </w:rPr>
        <w:t>take account</w:t>
      </w:r>
      <w:r>
        <w:rPr>
          <w:i/>
          <w:color w:val="211F1F"/>
          <w:spacing w:val="-6"/>
          <w:sz w:val="18"/>
        </w:rPr>
        <w:t xml:space="preserve"> </w:t>
      </w:r>
      <w:r>
        <w:rPr>
          <w:i/>
          <w:color w:val="211F1F"/>
          <w:sz w:val="18"/>
        </w:rPr>
        <w:t>of</w:t>
      </w:r>
      <w:r>
        <w:rPr>
          <w:i/>
          <w:color w:val="211F1F"/>
          <w:spacing w:val="-7"/>
          <w:sz w:val="18"/>
        </w:rPr>
        <w:t xml:space="preserve"> </w:t>
      </w:r>
      <w:r>
        <w:rPr>
          <w:i/>
          <w:color w:val="211F1F"/>
          <w:sz w:val="18"/>
        </w:rPr>
        <w:t>fixed cost elements</w:t>
      </w:r>
      <w:r>
        <w:rPr>
          <w:i/>
          <w:color w:val="211F1F"/>
          <w:spacing w:val="-7"/>
          <w:sz w:val="18"/>
        </w:rPr>
        <w:t xml:space="preserve"> </w:t>
      </w:r>
      <w:r>
        <w:rPr>
          <w:i/>
          <w:color w:val="211F1F"/>
          <w:sz w:val="18"/>
        </w:rPr>
        <w:t>or other</w:t>
      </w:r>
      <w:r>
        <w:rPr>
          <w:i/>
          <w:color w:val="211F1F"/>
          <w:spacing w:val="-13"/>
          <w:sz w:val="18"/>
        </w:rPr>
        <w:t xml:space="preserve"> </w:t>
      </w:r>
      <w:r>
        <w:rPr>
          <w:i/>
          <w:color w:val="211F1F"/>
          <w:sz w:val="18"/>
        </w:rPr>
        <w:t>non-adjustable</w:t>
      </w:r>
      <w:r>
        <w:rPr>
          <w:i/>
          <w:color w:val="211F1F"/>
          <w:spacing w:val="-18"/>
          <w:sz w:val="18"/>
        </w:rPr>
        <w:t xml:space="preserve"> </w:t>
      </w:r>
      <w:r>
        <w:rPr>
          <w:i/>
          <w:color w:val="211F1F"/>
          <w:sz w:val="18"/>
        </w:rPr>
        <w:t>components.</w:t>
      </w:r>
      <w:r>
        <w:rPr>
          <w:i/>
          <w:color w:val="211F1F"/>
          <w:spacing w:val="26"/>
          <w:sz w:val="18"/>
        </w:rPr>
        <w:t xml:space="preserve"> </w:t>
      </w:r>
      <w:r>
        <w:rPr>
          <w:i/>
          <w:color w:val="211F1F"/>
          <w:sz w:val="18"/>
        </w:rPr>
        <w:t>The</w:t>
      </w:r>
      <w:r>
        <w:rPr>
          <w:i/>
          <w:color w:val="211F1F"/>
          <w:spacing w:val="-14"/>
          <w:sz w:val="18"/>
        </w:rPr>
        <w:t xml:space="preserve"> </w:t>
      </w:r>
      <w:r>
        <w:rPr>
          <w:i/>
          <w:color w:val="211F1F"/>
          <w:sz w:val="18"/>
        </w:rPr>
        <w:t>sum</w:t>
      </w:r>
      <w:r>
        <w:rPr>
          <w:i/>
          <w:color w:val="211F1F"/>
          <w:spacing w:val="-23"/>
          <w:sz w:val="18"/>
        </w:rPr>
        <w:t xml:space="preserve"> </w:t>
      </w:r>
      <w:r>
        <w:rPr>
          <w:i/>
          <w:color w:val="211F1F"/>
          <w:sz w:val="18"/>
        </w:rPr>
        <w:t>of</w:t>
      </w:r>
      <w:r>
        <w:rPr>
          <w:i/>
          <w:color w:val="211F1F"/>
          <w:spacing w:val="-13"/>
          <w:sz w:val="18"/>
        </w:rPr>
        <w:t xml:space="preserve"> </w:t>
      </w:r>
      <w:r>
        <w:rPr>
          <w:i/>
          <w:color w:val="211F1F"/>
          <w:sz w:val="18"/>
        </w:rPr>
        <w:t>the</w:t>
      </w:r>
      <w:r>
        <w:rPr>
          <w:i/>
          <w:color w:val="211F1F"/>
          <w:spacing w:val="-18"/>
          <w:sz w:val="18"/>
        </w:rPr>
        <w:t xml:space="preserve"> </w:t>
      </w:r>
      <w:r>
        <w:rPr>
          <w:i/>
          <w:color w:val="211F1F"/>
          <w:sz w:val="18"/>
        </w:rPr>
        <w:t>adjustments</w:t>
      </w:r>
      <w:r>
        <w:rPr>
          <w:i/>
          <w:color w:val="211F1F"/>
          <w:spacing w:val="-13"/>
          <w:sz w:val="18"/>
        </w:rPr>
        <w:t xml:space="preserve"> </w:t>
      </w:r>
      <w:r>
        <w:rPr>
          <w:i/>
          <w:color w:val="211F1F"/>
          <w:sz w:val="18"/>
        </w:rPr>
        <w:t>for</w:t>
      </w:r>
      <w:r>
        <w:rPr>
          <w:i/>
          <w:color w:val="211F1F"/>
          <w:spacing w:val="-18"/>
          <w:sz w:val="18"/>
        </w:rPr>
        <w:t xml:space="preserve"> </w:t>
      </w:r>
      <w:r>
        <w:rPr>
          <w:i/>
          <w:color w:val="211F1F"/>
          <w:sz w:val="18"/>
        </w:rPr>
        <w:t>each</w:t>
      </w:r>
      <w:r>
        <w:rPr>
          <w:i/>
          <w:color w:val="211F1F"/>
          <w:spacing w:val="-14"/>
          <w:sz w:val="18"/>
        </w:rPr>
        <w:t xml:space="preserve"> </w:t>
      </w:r>
      <w:r>
        <w:rPr>
          <w:i/>
          <w:color w:val="211F1F"/>
          <w:sz w:val="18"/>
        </w:rPr>
        <w:t>currency</w:t>
      </w:r>
      <w:r>
        <w:rPr>
          <w:i/>
          <w:color w:val="211F1F"/>
          <w:spacing w:val="-18"/>
          <w:sz w:val="18"/>
        </w:rPr>
        <w:t xml:space="preserve"> </w:t>
      </w:r>
      <w:r>
        <w:rPr>
          <w:i/>
          <w:color w:val="211F1F"/>
          <w:sz w:val="18"/>
        </w:rPr>
        <w:t>areadded</w:t>
      </w:r>
      <w:r>
        <w:rPr>
          <w:i/>
          <w:color w:val="211F1F"/>
          <w:spacing w:val="-15"/>
          <w:sz w:val="18"/>
        </w:rPr>
        <w:t xml:space="preserve"> </w:t>
      </w:r>
      <w:r>
        <w:rPr>
          <w:i/>
          <w:color w:val="211F1F"/>
          <w:sz w:val="18"/>
        </w:rPr>
        <w:t>to</w:t>
      </w:r>
      <w:r>
        <w:rPr>
          <w:i/>
          <w:color w:val="211F1F"/>
          <w:spacing w:val="-19"/>
          <w:sz w:val="18"/>
        </w:rPr>
        <w:t xml:space="preserve"> </w:t>
      </w:r>
      <w:r>
        <w:rPr>
          <w:i/>
          <w:color w:val="211F1F"/>
          <w:sz w:val="18"/>
        </w:rPr>
        <w:t>the</w:t>
      </w:r>
      <w:r>
        <w:rPr>
          <w:i/>
          <w:color w:val="211F1F"/>
          <w:spacing w:val="-19"/>
          <w:sz w:val="18"/>
        </w:rPr>
        <w:t xml:space="preserve"> </w:t>
      </w:r>
      <w:r>
        <w:rPr>
          <w:i/>
          <w:color w:val="211F1F"/>
          <w:sz w:val="18"/>
        </w:rPr>
        <w:t>Contract</w:t>
      </w:r>
      <w:r>
        <w:rPr>
          <w:i/>
          <w:color w:val="211F1F"/>
          <w:spacing w:val="-12"/>
          <w:sz w:val="18"/>
        </w:rPr>
        <w:t xml:space="preserve"> </w:t>
      </w:r>
      <w:r>
        <w:rPr>
          <w:i/>
          <w:color w:val="211F1F"/>
          <w:sz w:val="18"/>
        </w:rPr>
        <w:t>Price.</w:t>
      </w:r>
    </w:p>
    <w:p w14:paraId="620DD4FF" w14:textId="77777777" w:rsidR="00BB77C0" w:rsidRDefault="00BB77C0">
      <w:pPr>
        <w:spacing w:line="230" w:lineRule="auto"/>
        <w:jc w:val="both"/>
        <w:rPr>
          <w:i/>
          <w:sz w:val="18"/>
        </w:rPr>
        <w:sectPr w:rsidR="00BB77C0">
          <w:pgSz w:w="11920" w:h="16850"/>
          <w:pgMar w:top="240" w:right="0" w:bottom="280" w:left="360" w:header="720" w:footer="720" w:gutter="0"/>
          <w:cols w:space="720"/>
        </w:sectPr>
      </w:pPr>
    </w:p>
    <w:p w14:paraId="47B12A21" w14:textId="77777777" w:rsidR="00BB77C0" w:rsidRDefault="00370BAA">
      <w:pPr>
        <w:pStyle w:val="Heading7"/>
        <w:numPr>
          <w:ilvl w:val="0"/>
          <w:numId w:val="23"/>
        </w:numPr>
        <w:tabs>
          <w:tab w:val="left" w:pos="1080"/>
        </w:tabs>
        <w:spacing w:before="64"/>
        <w:ind w:left="1080" w:hanging="360"/>
        <w:jc w:val="left"/>
      </w:pPr>
      <w:bookmarkStart w:id="244" w:name="56._Operating_and_Maintenance_Manuals"/>
      <w:bookmarkEnd w:id="244"/>
      <w:r>
        <w:rPr>
          <w:color w:val="211F1F"/>
          <w:spacing w:val="-4"/>
        </w:rPr>
        <w:lastRenderedPageBreak/>
        <w:t>Operating and</w:t>
      </w:r>
      <w:r>
        <w:rPr>
          <w:color w:val="211F1F"/>
          <w:spacing w:val="-1"/>
        </w:rPr>
        <w:t xml:space="preserve"> </w:t>
      </w:r>
      <w:r>
        <w:rPr>
          <w:color w:val="211F1F"/>
          <w:spacing w:val="-4"/>
        </w:rPr>
        <w:t>Maintenance</w:t>
      </w:r>
      <w:r>
        <w:rPr>
          <w:color w:val="211F1F"/>
          <w:spacing w:val="-6"/>
        </w:rPr>
        <w:t xml:space="preserve"> </w:t>
      </w:r>
      <w:r>
        <w:rPr>
          <w:color w:val="211F1F"/>
          <w:spacing w:val="-4"/>
        </w:rPr>
        <w:t>Manuals</w:t>
      </w:r>
    </w:p>
    <w:p w14:paraId="72AA189D" w14:textId="77777777" w:rsidR="00BB77C0" w:rsidRDefault="00370BAA">
      <w:pPr>
        <w:pStyle w:val="ListParagraph"/>
        <w:numPr>
          <w:ilvl w:val="1"/>
          <w:numId w:val="23"/>
        </w:numPr>
        <w:tabs>
          <w:tab w:val="left" w:pos="1168"/>
          <w:tab w:val="left" w:pos="1171"/>
        </w:tabs>
        <w:spacing w:before="186" w:line="237" w:lineRule="auto"/>
        <w:ind w:right="919" w:hanging="360"/>
        <w:jc w:val="both"/>
        <w:rPr>
          <w:color w:val="211F1F"/>
        </w:rPr>
      </w:pPr>
      <w:r>
        <w:rPr>
          <w:color w:val="211F1F"/>
        </w:rPr>
        <w:t>If “as built” Drawings and/or operating and maintenance manuals are</w:t>
      </w:r>
      <w:r>
        <w:rPr>
          <w:color w:val="211F1F"/>
          <w:spacing w:val="-3"/>
        </w:rPr>
        <w:t xml:space="preserve"> </w:t>
      </w:r>
      <w:r>
        <w:rPr>
          <w:color w:val="211F1F"/>
        </w:rPr>
        <w:t>required, the Contractor shall supply them by the dates stated in the SCC.</w:t>
      </w:r>
    </w:p>
    <w:p w14:paraId="027F3D12" w14:textId="77777777" w:rsidR="00BB77C0" w:rsidRDefault="00370BAA">
      <w:pPr>
        <w:pStyle w:val="ListParagraph"/>
        <w:numPr>
          <w:ilvl w:val="1"/>
          <w:numId w:val="23"/>
        </w:numPr>
        <w:tabs>
          <w:tab w:val="left" w:pos="1168"/>
          <w:tab w:val="left" w:pos="1171"/>
        </w:tabs>
        <w:spacing w:before="187" w:line="230" w:lineRule="auto"/>
        <w:ind w:right="843" w:hanging="360"/>
        <w:jc w:val="both"/>
        <w:rPr>
          <w:color w:val="211F1F"/>
        </w:rPr>
      </w:pPr>
      <w:r>
        <w:rPr>
          <w:color w:val="211F1F"/>
        </w:rPr>
        <w:t>If the Contractor does not supply the Drawings and/or manuals by the dates stated in the SCC pursuant to GCC Sub-Clause 56.1, or they do not receive the Project Manager's approval, the Project Manager shall withhold</w:t>
      </w:r>
      <w:r>
        <w:rPr>
          <w:color w:val="211F1F"/>
          <w:spacing w:val="-4"/>
        </w:rPr>
        <w:t xml:space="preserve"> </w:t>
      </w:r>
      <w:r>
        <w:rPr>
          <w:color w:val="211F1F"/>
        </w:rPr>
        <w:t>the</w:t>
      </w:r>
      <w:r>
        <w:rPr>
          <w:color w:val="211F1F"/>
          <w:spacing w:val="-8"/>
        </w:rPr>
        <w:t xml:space="preserve"> </w:t>
      </w:r>
      <w:r>
        <w:rPr>
          <w:color w:val="211F1F"/>
        </w:rPr>
        <w:t xml:space="preserve">amount </w:t>
      </w:r>
      <w:r>
        <w:rPr>
          <w:b/>
          <w:color w:val="211F1F"/>
        </w:rPr>
        <w:t>stated</w:t>
      </w:r>
      <w:r>
        <w:rPr>
          <w:b/>
          <w:color w:val="211F1F"/>
          <w:spacing w:val="-3"/>
        </w:rPr>
        <w:t xml:space="preserve"> </w:t>
      </w:r>
      <w:r>
        <w:rPr>
          <w:b/>
          <w:color w:val="211F1F"/>
        </w:rPr>
        <w:t>in</w:t>
      </w:r>
      <w:r>
        <w:rPr>
          <w:b/>
          <w:color w:val="211F1F"/>
          <w:spacing w:val="-2"/>
        </w:rPr>
        <w:t xml:space="preserve"> </w:t>
      </w:r>
      <w:r>
        <w:rPr>
          <w:b/>
          <w:color w:val="211F1F"/>
        </w:rPr>
        <w:t xml:space="preserve">the SCC </w:t>
      </w:r>
      <w:r>
        <w:rPr>
          <w:color w:val="211F1F"/>
        </w:rPr>
        <w:t>from</w:t>
      </w:r>
      <w:r>
        <w:rPr>
          <w:color w:val="211F1F"/>
          <w:spacing w:val="-3"/>
        </w:rPr>
        <w:t xml:space="preserve"> </w:t>
      </w:r>
      <w:r>
        <w:rPr>
          <w:color w:val="211F1F"/>
        </w:rPr>
        <w:t>payments due</w:t>
      </w:r>
      <w:r>
        <w:rPr>
          <w:color w:val="211F1F"/>
          <w:spacing w:val="-2"/>
        </w:rPr>
        <w:t xml:space="preserve"> </w:t>
      </w:r>
      <w:r>
        <w:rPr>
          <w:color w:val="211F1F"/>
        </w:rPr>
        <w:t>to</w:t>
      </w:r>
      <w:r>
        <w:rPr>
          <w:color w:val="211F1F"/>
          <w:spacing w:val="-5"/>
        </w:rPr>
        <w:t xml:space="preserve"> </w:t>
      </w:r>
      <w:r>
        <w:rPr>
          <w:color w:val="211F1F"/>
        </w:rPr>
        <w:t>the</w:t>
      </w:r>
      <w:r>
        <w:rPr>
          <w:color w:val="211F1F"/>
          <w:spacing w:val="-2"/>
        </w:rPr>
        <w:t xml:space="preserve"> </w:t>
      </w:r>
      <w:r>
        <w:rPr>
          <w:color w:val="211F1F"/>
        </w:rPr>
        <w:t>Contractor.</w:t>
      </w:r>
    </w:p>
    <w:p w14:paraId="66567CBB" w14:textId="77777777" w:rsidR="00BB77C0" w:rsidRDefault="00370BAA">
      <w:pPr>
        <w:pStyle w:val="Heading7"/>
        <w:numPr>
          <w:ilvl w:val="0"/>
          <w:numId w:val="23"/>
        </w:numPr>
        <w:tabs>
          <w:tab w:val="left" w:pos="1075"/>
        </w:tabs>
        <w:spacing w:before="243"/>
        <w:ind w:left="1075" w:hanging="355"/>
        <w:jc w:val="left"/>
      </w:pPr>
      <w:bookmarkStart w:id="245" w:name="57._Termination"/>
      <w:bookmarkEnd w:id="245"/>
      <w:r>
        <w:rPr>
          <w:color w:val="211F1F"/>
          <w:spacing w:val="-2"/>
        </w:rPr>
        <w:t>Termination</w:t>
      </w:r>
    </w:p>
    <w:p w14:paraId="1EFBFDAF" w14:textId="77777777" w:rsidR="00BB77C0" w:rsidRDefault="00370BAA">
      <w:pPr>
        <w:pStyle w:val="ListParagraph"/>
        <w:numPr>
          <w:ilvl w:val="1"/>
          <w:numId w:val="23"/>
        </w:numPr>
        <w:tabs>
          <w:tab w:val="left" w:pos="1163"/>
          <w:tab w:val="left" w:pos="1171"/>
        </w:tabs>
        <w:spacing w:before="190" w:line="232" w:lineRule="auto"/>
        <w:ind w:right="838" w:hanging="360"/>
        <w:jc w:val="both"/>
        <w:rPr>
          <w:color w:val="211F1F"/>
        </w:rPr>
      </w:pPr>
      <w:r>
        <w:rPr>
          <w:color w:val="211F1F"/>
          <w:spacing w:val="-2"/>
        </w:rPr>
        <w:t>The</w:t>
      </w:r>
      <w:r>
        <w:rPr>
          <w:color w:val="211F1F"/>
          <w:spacing w:val="-10"/>
        </w:rPr>
        <w:t xml:space="preserve"> </w:t>
      </w:r>
      <w:r>
        <w:rPr>
          <w:color w:val="211F1F"/>
          <w:spacing w:val="-2"/>
        </w:rPr>
        <w:t>Procuring</w:t>
      </w:r>
      <w:r>
        <w:rPr>
          <w:color w:val="211F1F"/>
          <w:spacing w:val="-3"/>
        </w:rPr>
        <w:t xml:space="preserve"> </w:t>
      </w:r>
      <w:r>
        <w:rPr>
          <w:color w:val="211F1F"/>
          <w:spacing w:val="-2"/>
        </w:rPr>
        <w:t>Entity</w:t>
      </w:r>
      <w:r>
        <w:rPr>
          <w:color w:val="211F1F"/>
          <w:spacing w:val="-3"/>
        </w:rPr>
        <w:t xml:space="preserve"> </w:t>
      </w:r>
      <w:r>
        <w:rPr>
          <w:color w:val="211F1F"/>
          <w:spacing w:val="-2"/>
        </w:rPr>
        <w:t>or the</w:t>
      </w:r>
      <w:r>
        <w:rPr>
          <w:color w:val="211F1F"/>
          <w:spacing w:val="-10"/>
        </w:rPr>
        <w:t xml:space="preserve"> </w:t>
      </w:r>
      <w:r>
        <w:rPr>
          <w:color w:val="211F1F"/>
          <w:spacing w:val="-2"/>
        </w:rPr>
        <w:t>Contractormayterminatethe</w:t>
      </w:r>
      <w:r>
        <w:rPr>
          <w:color w:val="211F1F"/>
          <w:spacing w:val="-3"/>
        </w:rPr>
        <w:t xml:space="preserve"> </w:t>
      </w:r>
      <w:r>
        <w:rPr>
          <w:color w:val="211F1F"/>
          <w:spacing w:val="-2"/>
        </w:rPr>
        <w:t>Contract if</w:t>
      </w:r>
      <w:r>
        <w:rPr>
          <w:color w:val="211F1F"/>
          <w:spacing w:val="-5"/>
        </w:rPr>
        <w:t xml:space="preserve"> </w:t>
      </w:r>
      <w:r>
        <w:rPr>
          <w:color w:val="211F1F"/>
          <w:spacing w:val="-2"/>
        </w:rPr>
        <w:t>the</w:t>
      </w:r>
      <w:r>
        <w:rPr>
          <w:color w:val="211F1F"/>
          <w:spacing w:val="-5"/>
        </w:rPr>
        <w:t xml:space="preserve"> </w:t>
      </w:r>
      <w:r>
        <w:rPr>
          <w:color w:val="211F1F"/>
          <w:spacing w:val="-2"/>
        </w:rPr>
        <w:t>otherparty</w:t>
      </w:r>
      <w:r>
        <w:rPr>
          <w:color w:val="211F1F"/>
          <w:spacing w:val="-7"/>
        </w:rPr>
        <w:t xml:space="preserve"> </w:t>
      </w:r>
      <w:r>
        <w:rPr>
          <w:color w:val="211F1F"/>
          <w:spacing w:val="-2"/>
        </w:rPr>
        <w:t>causes</w:t>
      </w:r>
      <w:r>
        <w:rPr>
          <w:color w:val="211F1F"/>
          <w:spacing w:val="-7"/>
        </w:rPr>
        <w:t xml:space="preserve"> </w:t>
      </w:r>
      <w:r>
        <w:rPr>
          <w:color w:val="211F1F"/>
          <w:spacing w:val="-2"/>
        </w:rPr>
        <w:t xml:space="preserve">a fundamental breach </w:t>
      </w:r>
      <w:r>
        <w:rPr>
          <w:color w:val="211F1F"/>
        </w:rPr>
        <w:t>of the</w:t>
      </w:r>
      <w:r>
        <w:rPr>
          <w:color w:val="211F1F"/>
          <w:spacing w:val="-1"/>
        </w:rPr>
        <w:t xml:space="preserve"> </w:t>
      </w:r>
      <w:r>
        <w:rPr>
          <w:color w:val="211F1F"/>
        </w:rPr>
        <w:t>Contract.</w:t>
      </w:r>
    </w:p>
    <w:p w14:paraId="443FF4B2" w14:textId="77777777" w:rsidR="00BB77C0" w:rsidRDefault="00370BAA">
      <w:pPr>
        <w:pStyle w:val="ListParagraph"/>
        <w:numPr>
          <w:ilvl w:val="1"/>
          <w:numId w:val="23"/>
        </w:numPr>
        <w:tabs>
          <w:tab w:val="left" w:pos="1168"/>
        </w:tabs>
        <w:spacing w:before="189"/>
        <w:ind w:left="1168" w:hanging="357"/>
        <w:jc w:val="both"/>
        <w:rPr>
          <w:color w:val="211F1F"/>
        </w:rPr>
      </w:pPr>
      <w:r>
        <w:rPr>
          <w:color w:val="211F1F"/>
          <w:spacing w:val="-4"/>
        </w:rPr>
        <w:t>Fundamental</w:t>
      </w:r>
      <w:r>
        <w:rPr>
          <w:color w:val="211F1F"/>
          <w:spacing w:val="-13"/>
        </w:rPr>
        <w:t xml:space="preserve"> </w:t>
      </w:r>
      <w:r>
        <w:rPr>
          <w:color w:val="211F1F"/>
          <w:spacing w:val="-4"/>
        </w:rPr>
        <w:t>breaches</w:t>
      </w:r>
      <w:r>
        <w:rPr>
          <w:color w:val="211F1F"/>
          <w:spacing w:val="-1"/>
        </w:rPr>
        <w:t xml:space="preserve"> </w:t>
      </w:r>
      <w:r>
        <w:rPr>
          <w:color w:val="211F1F"/>
          <w:spacing w:val="-4"/>
        </w:rPr>
        <w:t>of</w:t>
      </w:r>
      <w:r>
        <w:rPr>
          <w:color w:val="211F1F"/>
          <w:spacing w:val="-10"/>
        </w:rPr>
        <w:t xml:space="preserve"> </w:t>
      </w:r>
      <w:r>
        <w:rPr>
          <w:color w:val="211F1F"/>
          <w:spacing w:val="-4"/>
        </w:rPr>
        <w:t>Contract</w:t>
      </w:r>
      <w:r>
        <w:rPr>
          <w:color w:val="211F1F"/>
          <w:spacing w:val="-12"/>
        </w:rPr>
        <w:t xml:space="preserve"> </w:t>
      </w:r>
      <w:r>
        <w:rPr>
          <w:color w:val="211F1F"/>
          <w:spacing w:val="-4"/>
        </w:rPr>
        <w:t>shall</w:t>
      </w:r>
      <w:r>
        <w:rPr>
          <w:color w:val="211F1F"/>
          <w:spacing w:val="-8"/>
        </w:rPr>
        <w:t xml:space="preserve"> </w:t>
      </w:r>
      <w:r>
        <w:rPr>
          <w:color w:val="211F1F"/>
          <w:spacing w:val="-4"/>
        </w:rPr>
        <w:t>include, but</w:t>
      </w:r>
      <w:r>
        <w:rPr>
          <w:color w:val="211F1F"/>
          <w:spacing w:val="-7"/>
        </w:rPr>
        <w:t xml:space="preserve"> </w:t>
      </w:r>
      <w:r>
        <w:rPr>
          <w:color w:val="211F1F"/>
          <w:spacing w:val="-4"/>
        </w:rPr>
        <w:t>shall</w:t>
      </w:r>
      <w:r>
        <w:rPr>
          <w:color w:val="211F1F"/>
          <w:spacing w:val="-20"/>
        </w:rPr>
        <w:t xml:space="preserve"> </w:t>
      </w:r>
      <w:r>
        <w:rPr>
          <w:color w:val="211F1F"/>
          <w:spacing w:val="-4"/>
        </w:rPr>
        <w:t>not</w:t>
      </w:r>
      <w:r>
        <w:rPr>
          <w:color w:val="211F1F"/>
          <w:spacing w:val="-1"/>
        </w:rPr>
        <w:t xml:space="preserve"> </w:t>
      </w:r>
      <w:r>
        <w:rPr>
          <w:color w:val="211F1F"/>
          <w:spacing w:val="-4"/>
        </w:rPr>
        <w:t>be</w:t>
      </w:r>
      <w:r>
        <w:rPr>
          <w:color w:val="211F1F"/>
          <w:spacing w:val="-11"/>
        </w:rPr>
        <w:t xml:space="preserve"> </w:t>
      </w:r>
      <w:r>
        <w:rPr>
          <w:color w:val="211F1F"/>
          <w:spacing w:val="-4"/>
        </w:rPr>
        <w:t>limited</w:t>
      </w:r>
      <w:r>
        <w:rPr>
          <w:color w:val="211F1F"/>
          <w:spacing w:val="-13"/>
        </w:rPr>
        <w:t xml:space="preserve"> </w:t>
      </w:r>
      <w:r>
        <w:rPr>
          <w:color w:val="211F1F"/>
          <w:spacing w:val="-4"/>
        </w:rPr>
        <w:t>to,</w:t>
      </w:r>
      <w:r>
        <w:rPr>
          <w:color w:val="211F1F"/>
          <w:spacing w:val="-5"/>
        </w:rPr>
        <w:t xml:space="preserve"> </w:t>
      </w:r>
      <w:r>
        <w:rPr>
          <w:color w:val="211F1F"/>
          <w:spacing w:val="-4"/>
        </w:rPr>
        <w:t>the</w:t>
      </w:r>
      <w:r>
        <w:rPr>
          <w:color w:val="211F1F"/>
          <w:spacing w:val="-10"/>
        </w:rPr>
        <w:t xml:space="preserve"> </w:t>
      </w:r>
      <w:r>
        <w:rPr>
          <w:color w:val="211F1F"/>
          <w:spacing w:val="-4"/>
        </w:rPr>
        <w:t>following:</w:t>
      </w:r>
    </w:p>
    <w:p w14:paraId="649B2D80" w14:textId="77777777" w:rsidR="00BB77C0" w:rsidRDefault="00370BAA">
      <w:pPr>
        <w:pStyle w:val="ListParagraph"/>
        <w:numPr>
          <w:ilvl w:val="0"/>
          <w:numId w:val="19"/>
        </w:numPr>
        <w:tabs>
          <w:tab w:val="left" w:pos="1472"/>
          <w:tab w:val="left" w:pos="1474"/>
        </w:tabs>
        <w:spacing w:before="123" w:line="228" w:lineRule="auto"/>
        <w:ind w:right="764"/>
        <w:jc w:val="both"/>
      </w:pPr>
      <w:r>
        <w:rPr>
          <w:color w:val="211F1F"/>
        </w:rPr>
        <w:t>the</w:t>
      </w:r>
      <w:r>
        <w:rPr>
          <w:color w:val="211F1F"/>
          <w:spacing w:val="-6"/>
        </w:rPr>
        <w:t xml:space="preserve"> </w:t>
      </w:r>
      <w:r>
        <w:rPr>
          <w:color w:val="211F1F"/>
        </w:rPr>
        <w:t>Contractor</w:t>
      </w:r>
      <w:r>
        <w:rPr>
          <w:color w:val="211F1F"/>
          <w:spacing w:val="-2"/>
        </w:rPr>
        <w:t xml:space="preserve"> </w:t>
      </w:r>
      <w:r>
        <w:rPr>
          <w:color w:val="211F1F"/>
        </w:rPr>
        <w:t>stops work</w:t>
      </w:r>
      <w:r>
        <w:rPr>
          <w:color w:val="211F1F"/>
          <w:spacing w:val="-5"/>
        </w:rPr>
        <w:t xml:space="preserve"> </w:t>
      </w:r>
      <w:r>
        <w:rPr>
          <w:color w:val="211F1F"/>
        </w:rPr>
        <w:t>for 30 days when</w:t>
      </w:r>
      <w:r>
        <w:rPr>
          <w:color w:val="211F1F"/>
          <w:spacing w:val="-4"/>
        </w:rPr>
        <w:t xml:space="preserve"> </w:t>
      </w:r>
      <w:r>
        <w:rPr>
          <w:color w:val="211F1F"/>
        </w:rPr>
        <w:t>no</w:t>
      </w:r>
      <w:r>
        <w:rPr>
          <w:color w:val="211F1F"/>
          <w:spacing w:val="-5"/>
        </w:rPr>
        <w:t xml:space="preserve"> </w:t>
      </w:r>
      <w:r>
        <w:rPr>
          <w:color w:val="211F1F"/>
        </w:rPr>
        <w:t>stoppage</w:t>
      </w:r>
      <w:r>
        <w:rPr>
          <w:color w:val="211F1F"/>
          <w:spacing w:val="-1"/>
        </w:rPr>
        <w:t xml:space="preserve"> </w:t>
      </w:r>
      <w:r>
        <w:rPr>
          <w:color w:val="211F1F"/>
        </w:rPr>
        <w:t>of</w:t>
      </w:r>
      <w:r>
        <w:rPr>
          <w:color w:val="211F1F"/>
          <w:spacing w:val="-2"/>
        </w:rPr>
        <w:t xml:space="preserve"> </w:t>
      </w:r>
      <w:r>
        <w:rPr>
          <w:color w:val="211F1F"/>
        </w:rPr>
        <w:t>work</w:t>
      </w:r>
      <w:r>
        <w:rPr>
          <w:color w:val="211F1F"/>
          <w:spacing w:val="-4"/>
        </w:rPr>
        <w:t xml:space="preserve"> </w:t>
      </w:r>
      <w:r>
        <w:rPr>
          <w:color w:val="211F1F"/>
        </w:rPr>
        <w:t>is shown</w:t>
      </w:r>
      <w:r>
        <w:rPr>
          <w:color w:val="211F1F"/>
          <w:spacing w:val="-5"/>
        </w:rPr>
        <w:t xml:space="preserve"> </w:t>
      </w:r>
      <w:r>
        <w:rPr>
          <w:color w:val="211F1F"/>
        </w:rPr>
        <w:t>on</w:t>
      </w:r>
      <w:r>
        <w:rPr>
          <w:color w:val="211F1F"/>
          <w:spacing w:val="-5"/>
        </w:rPr>
        <w:t xml:space="preserve"> </w:t>
      </w:r>
      <w:r>
        <w:rPr>
          <w:color w:val="211F1F"/>
        </w:rPr>
        <w:t>the</w:t>
      </w:r>
      <w:r>
        <w:rPr>
          <w:color w:val="211F1F"/>
          <w:spacing w:val="-6"/>
        </w:rPr>
        <w:t xml:space="preserve"> </w:t>
      </w:r>
      <w:r>
        <w:rPr>
          <w:color w:val="211F1F"/>
        </w:rPr>
        <w:t>current Program</w:t>
      </w:r>
      <w:r>
        <w:rPr>
          <w:color w:val="211F1F"/>
          <w:spacing w:val="-9"/>
        </w:rPr>
        <w:t xml:space="preserve"> </w:t>
      </w:r>
      <w:r>
        <w:rPr>
          <w:color w:val="211F1F"/>
        </w:rPr>
        <w:t>and</w:t>
      </w:r>
      <w:r>
        <w:rPr>
          <w:color w:val="211F1F"/>
          <w:spacing w:val="-2"/>
        </w:rPr>
        <w:t xml:space="preserve"> </w:t>
      </w:r>
      <w:r>
        <w:rPr>
          <w:color w:val="211F1F"/>
        </w:rPr>
        <w:t>the stoppage has not been authorized by the Project Manager;</w:t>
      </w:r>
    </w:p>
    <w:p w14:paraId="302D635D" w14:textId="77777777" w:rsidR="00BB77C0" w:rsidRDefault="00370BAA">
      <w:pPr>
        <w:pStyle w:val="ListParagraph"/>
        <w:numPr>
          <w:ilvl w:val="0"/>
          <w:numId w:val="19"/>
        </w:numPr>
        <w:tabs>
          <w:tab w:val="left" w:pos="1472"/>
          <w:tab w:val="left" w:pos="1474"/>
        </w:tabs>
        <w:spacing w:before="48" w:line="232" w:lineRule="auto"/>
        <w:ind w:right="814"/>
        <w:jc w:val="both"/>
      </w:pPr>
      <w:r>
        <w:rPr>
          <w:color w:val="211F1F"/>
        </w:rPr>
        <w:t>the</w:t>
      </w:r>
      <w:r>
        <w:rPr>
          <w:color w:val="211F1F"/>
          <w:spacing w:val="-7"/>
        </w:rPr>
        <w:t xml:space="preserve"> </w:t>
      </w:r>
      <w:r>
        <w:rPr>
          <w:color w:val="211F1F"/>
        </w:rPr>
        <w:t>Project Manager instructs</w:t>
      </w:r>
      <w:r>
        <w:rPr>
          <w:color w:val="211F1F"/>
          <w:spacing w:val="-4"/>
        </w:rPr>
        <w:t xml:space="preserve"> </w:t>
      </w:r>
      <w:r>
        <w:rPr>
          <w:color w:val="211F1F"/>
        </w:rPr>
        <w:t>the</w:t>
      </w:r>
      <w:r>
        <w:rPr>
          <w:color w:val="211F1F"/>
          <w:spacing w:val="-7"/>
        </w:rPr>
        <w:t xml:space="preserve"> </w:t>
      </w:r>
      <w:r>
        <w:rPr>
          <w:color w:val="211F1F"/>
        </w:rPr>
        <w:t>Contractor</w:t>
      </w:r>
      <w:r>
        <w:rPr>
          <w:color w:val="211F1F"/>
          <w:spacing w:val="-3"/>
        </w:rPr>
        <w:t xml:space="preserve"> </w:t>
      </w:r>
      <w:r>
        <w:rPr>
          <w:color w:val="211F1F"/>
        </w:rPr>
        <w:t>to</w:t>
      </w:r>
      <w:r>
        <w:rPr>
          <w:color w:val="211F1F"/>
          <w:spacing w:val="-5"/>
        </w:rPr>
        <w:t xml:space="preserve"> </w:t>
      </w:r>
      <w:r>
        <w:rPr>
          <w:color w:val="211F1F"/>
        </w:rPr>
        <w:t>delay</w:t>
      </w:r>
      <w:r>
        <w:rPr>
          <w:color w:val="211F1F"/>
          <w:spacing w:val="-5"/>
        </w:rPr>
        <w:t xml:space="preserve"> </w:t>
      </w:r>
      <w:r>
        <w:rPr>
          <w:color w:val="211F1F"/>
        </w:rPr>
        <w:t>the</w:t>
      </w:r>
      <w:r>
        <w:rPr>
          <w:color w:val="211F1F"/>
          <w:spacing w:val="-7"/>
        </w:rPr>
        <w:t xml:space="preserve"> </w:t>
      </w:r>
      <w:r>
        <w:rPr>
          <w:color w:val="211F1F"/>
        </w:rPr>
        <w:t>progress of</w:t>
      </w:r>
      <w:r>
        <w:rPr>
          <w:color w:val="211F1F"/>
          <w:spacing w:val="-3"/>
        </w:rPr>
        <w:t xml:space="preserve"> </w:t>
      </w:r>
      <w:r>
        <w:rPr>
          <w:color w:val="211F1F"/>
        </w:rPr>
        <w:t>the Works, and</w:t>
      </w:r>
      <w:r>
        <w:rPr>
          <w:color w:val="211F1F"/>
          <w:spacing w:val="-5"/>
        </w:rPr>
        <w:t xml:space="preserve"> </w:t>
      </w:r>
      <w:r>
        <w:rPr>
          <w:color w:val="211F1F"/>
        </w:rPr>
        <w:t>the</w:t>
      </w:r>
      <w:r>
        <w:rPr>
          <w:color w:val="211F1F"/>
          <w:spacing w:val="-7"/>
        </w:rPr>
        <w:t xml:space="preserve"> </w:t>
      </w:r>
      <w:r>
        <w:rPr>
          <w:color w:val="211F1F"/>
        </w:rPr>
        <w:t>instruction</w:t>
      </w:r>
      <w:r>
        <w:rPr>
          <w:color w:val="211F1F"/>
          <w:spacing w:val="-1"/>
        </w:rPr>
        <w:t xml:space="preserve"> </w:t>
      </w:r>
      <w:r>
        <w:rPr>
          <w:color w:val="211F1F"/>
        </w:rPr>
        <w:t>is</w:t>
      </w:r>
      <w:r>
        <w:rPr>
          <w:color w:val="211F1F"/>
          <w:spacing w:val="-1"/>
        </w:rPr>
        <w:t xml:space="preserve"> </w:t>
      </w:r>
      <w:r>
        <w:rPr>
          <w:color w:val="211F1F"/>
        </w:rPr>
        <w:t>not withdrawn within 30 days;</w:t>
      </w:r>
    </w:p>
    <w:p w14:paraId="5849B4C9" w14:textId="77777777" w:rsidR="00BB77C0" w:rsidRDefault="00370BAA">
      <w:pPr>
        <w:pStyle w:val="ListParagraph"/>
        <w:numPr>
          <w:ilvl w:val="0"/>
          <w:numId w:val="19"/>
        </w:numPr>
        <w:tabs>
          <w:tab w:val="left" w:pos="1472"/>
          <w:tab w:val="left" w:pos="1474"/>
        </w:tabs>
        <w:spacing w:before="38" w:line="237" w:lineRule="auto"/>
        <w:ind w:right="775"/>
        <w:jc w:val="both"/>
      </w:pPr>
      <w:r>
        <w:rPr>
          <w:color w:val="211F1F"/>
        </w:rPr>
        <w:t>the Procuring Entity or the Contractor is made bankrupt or goes into liquidation other than for a reconstruction</w:t>
      </w:r>
      <w:r>
        <w:rPr>
          <w:color w:val="211F1F"/>
          <w:spacing w:val="-8"/>
        </w:rPr>
        <w:t xml:space="preserve"> </w:t>
      </w:r>
      <w:r>
        <w:rPr>
          <w:color w:val="211F1F"/>
        </w:rPr>
        <w:t>oramalgamation;</w:t>
      </w:r>
    </w:p>
    <w:p w14:paraId="1EA9603C" w14:textId="77777777" w:rsidR="00BB77C0" w:rsidRDefault="00370BAA">
      <w:pPr>
        <w:pStyle w:val="ListParagraph"/>
        <w:numPr>
          <w:ilvl w:val="0"/>
          <w:numId w:val="19"/>
        </w:numPr>
        <w:tabs>
          <w:tab w:val="left" w:pos="1467"/>
          <w:tab w:val="left" w:pos="1474"/>
        </w:tabs>
        <w:spacing w:before="45" w:line="228" w:lineRule="auto"/>
        <w:ind w:right="708"/>
        <w:jc w:val="both"/>
      </w:pPr>
      <w:r>
        <w:rPr>
          <w:color w:val="211F1F"/>
        </w:rPr>
        <w:t>a payment certified by</w:t>
      </w:r>
      <w:r>
        <w:rPr>
          <w:color w:val="211F1F"/>
          <w:spacing w:val="-2"/>
        </w:rPr>
        <w:t xml:space="preserve"> </w:t>
      </w:r>
      <w:r>
        <w:rPr>
          <w:color w:val="211F1F"/>
        </w:rPr>
        <w:t>the</w:t>
      </w:r>
      <w:r>
        <w:rPr>
          <w:color w:val="211F1F"/>
          <w:spacing w:val="-3"/>
        </w:rPr>
        <w:t xml:space="preserve"> </w:t>
      </w:r>
      <w:r>
        <w:rPr>
          <w:color w:val="211F1F"/>
        </w:rPr>
        <w:t>Project Manager is</w:t>
      </w:r>
      <w:r>
        <w:rPr>
          <w:color w:val="211F1F"/>
          <w:spacing w:val="-1"/>
        </w:rPr>
        <w:t xml:space="preserve"> </w:t>
      </w:r>
      <w:r>
        <w:rPr>
          <w:color w:val="211F1F"/>
        </w:rPr>
        <w:t>not paid</w:t>
      </w:r>
      <w:r>
        <w:rPr>
          <w:color w:val="211F1F"/>
          <w:spacing w:val="-5"/>
        </w:rPr>
        <w:t xml:space="preserve"> </w:t>
      </w:r>
      <w:r>
        <w:rPr>
          <w:color w:val="211F1F"/>
        </w:rPr>
        <w:t>by</w:t>
      </w:r>
      <w:r>
        <w:rPr>
          <w:color w:val="211F1F"/>
          <w:spacing w:val="-2"/>
        </w:rPr>
        <w:t xml:space="preserve"> </w:t>
      </w:r>
      <w:r>
        <w:rPr>
          <w:color w:val="211F1F"/>
        </w:rPr>
        <w:t>the</w:t>
      </w:r>
      <w:r>
        <w:rPr>
          <w:color w:val="211F1F"/>
          <w:spacing w:val="-4"/>
        </w:rPr>
        <w:t xml:space="preserve"> </w:t>
      </w:r>
      <w:r>
        <w:rPr>
          <w:color w:val="211F1F"/>
        </w:rPr>
        <w:t>Procuring</w:t>
      </w:r>
      <w:r>
        <w:rPr>
          <w:color w:val="211F1F"/>
          <w:spacing w:val="-1"/>
        </w:rPr>
        <w:t xml:space="preserve"> </w:t>
      </w:r>
      <w:r>
        <w:rPr>
          <w:color w:val="211F1F"/>
        </w:rPr>
        <w:t>Entity</w:t>
      </w:r>
      <w:r>
        <w:rPr>
          <w:color w:val="211F1F"/>
          <w:spacing w:val="-1"/>
        </w:rPr>
        <w:t xml:space="preserve"> </w:t>
      </w:r>
      <w:r>
        <w:rPr>
          <w:color w:val="211F1F"/>
        </w:rPr>
        <w:t>to</w:t>
      </w:r>
      <w:r>
        <w:rPr>
          <w:color w:val="211F1F"/>
          <w:spacing w:val="-1"/>
        </w:rPr>
        <w:t xml:space="preserve"> </w:t>
      </w:r>
      <w:r>
        <w:rPr>
          <w:color w:val="211F1F"/>
        </w:rPr>
        <w:t>the</w:t>
      </w:r>
      <w:r>
        <w:rPr>
          <w:color w:val="211F1F"/>
          <w:spacing w:val="-4"/>
        </w:rPr>
        <w:t xml:space="preserve"> </w:t>
      </w:r>
      <w:r>
        <w:rPr>
          <w:color w:val="211F1F"/>
        </w:rPr>
        <w:t>Contractor within 84 days of the date of the</w:t>
      </w:r>
      <w:r>
        <w:rPr>
          <w:color w:val="211F1F"/>
          <w:spacing w:val="-1"/>
        </w:rPr>
        <w:t xml:space="preserve"> </w:t>
      </w:r>
      <w:r>
        <w:rPr>
          <w:color w:val="211F1F"/>
        </w:rPr>
        <w:t>Project Manager's certificate;</w:t>
      </w:r>
    </w:p>
    <w:p w14:paraId="62DD8FC6" w14:textId="77777777" w:rsidR="00BB77C0" w:rsidRDefault="00370BAA">
      <w:pPr>
        <w:pStyle w:val="ListParagraph"/>
        <w:numPr>
          <w:ilvl w:val="0"/>
          <w:numId w:val="19"/>
        </w:numPr>
        <w:tabs>
          <w:tab w:val="left" w:pos="1467"/>
          <w:tab w:val="left" w:pos="1469"/>
        </w:tabs>
        <w:spacing w:before="51" w:line="230" w:lineRule="auto"/>
        <w:ind w:left="1469" w:right="715"/>
        <w:jc w:val="both"/>
      </w:pPr>
      <w:r>
        <w:rPr>
          <w:color w:val="211F1F"/>
        </w:rPr>
        <w:t>the Project Manager gives Notice that failure to correct a particular Defect is a fundamental breach of Contract</w:t>
      </w:r>
      <w:r>
        <w:rPr>
          <w:color w:val="211F1F"/>
          <w:spacing w:val="-1"/>
        </w:rPr>
        <w:t xml:space="preserve"> </w:t>
      </w:r>
      <w:r>
        <w:rPr>
          <w:color w:val="211F1F"/>
        </w:rPr>
        <w:t>and the</w:t>
      </w:r>
      <w:r>
        <w:rPr>
          <w:color w:val="211F1F"/>
          <w:spacing w:val="-4"/>
        </w:rPr>
        <w:t xml:space="preserve"> </w:t>
      </w:r>
      <w:r>
        <w:rPr>
          <w:color w:val="211F1F"/>
        </w:rPr>
        <w:t>Contractor fails to</w:t>
      </w:r>
      <w:r>
        <w:rPr>
          <w:color w:val="211F1F"/>
          <w:spacing w:val="-2"/>
        </w:rPr>
        <w:t xml:space="preserve"> </w:t>
      </w:r>
      <w:r>
        <w:rPr>
          <w:color w:val="211F1F"/>
        </w:rPr>
        <w:t>correct it within</w:t>
      </w:r>
      <w:r>
        <w:rPr>
          <w:color w:val="211F1F"/>
          <w:spacing w:val="-1"/>
        </w:rPr>
        <w:t xml:space="preserve"> </w:t>
      </w:r>
      <w:r>
        <w:rPr>
          <w:color w:val="211F1F"/>
        </w:rPr>
        <w:t>a</w:t>
      </w:r>
      <w:r>
        <w:rPr>
          <w:color w:val="211F1F"/>
          <w:spacing w:val="-3"/>
        </w:rPr>
        <w:t xml:space="preserve"> </w:t>
      </w:r>
      <w:r>
        <w:rPr>
          <w:color w:val="211F1F"/>
        </w:rPr>
        <w:t>reasonable</w:t>
      </w:r>
      <w:r>
        <w:rPr>
          <w:color w:val="211F1F"/>
          <w:spacing w:val="-4"/>
        </w:rPr>
        <w:t xml:space="preserve"> </w:t>
      </w:r>
      <w:r>
        <w:rPr>
          <w:color w:val="211F1F"/>
        </w:rPr>
        <w:t>period of</w:t>
      </w:r>
      <w:r>
        <w:rPr>
          <w:color w:val="211F1F"/>
          <w:spacing w:val="-3"/>
        </w:rPr>
        <w:t xml:space="preserve"> </w:t>
      </w:r>
      <w:r>
        <w:rPr>
          <w:color w:val="211F1F"/>
        </w:rPr>
        <w:t>time</w:t>
      </w:r>
      <w:r>
        <w:rPr>
          <w:color w:val="211F1F"/>
          <w:spacing w:val="-4"/>
        </w:rPr>
        <w:t xml:space="preserve"> </w:t>
      </w:r>
      <w:r>
        <w:rPr>
          <w:color w:val="211F1F"/>
        </w:rPr>
        <w:t>determined</w:t>
      </w:r>
      <w:r>
        <w:rPr>
          <w:color w:val="211F1F"/>
          <w:spacing w:val="-1"/>
        </w:rPr>
        <w:t xml:space="preserve"> </w:t>
      </w:r>
      <w:r>
        <w:rPr>
          <w:color w:val="211F1F"/>
        </w:rPr>
        <w:t>by</w:t>
      </w:r>
      <w:r>
        <w:rPr>
          <w:color w:val="211F1F"/>
          <w:spacing w:val="-1"/>
        </w:rPr>
        <w:t xml:space="preserve"> </w:t>
      </w:r>
      <w:r>
        <w:rPr>
          <w:color w:val="211F1F"/>
        </w:rPr>
        <w:t>the</w:t>
      </w:r>
      <w:r>
        <w:rPr>
          <w:color w:val="211F1F"/>
          <w:spacing w:val="-4"/>
        </w:rPr>
        <w:t xml:space="preserve"> </w:t>
      </w:r>
      <w:r>
        <w:rPr>
          <w:color w:val="211F1F"/>
        </w:rPr>
        <w:t xml:space="preserve">Project </w:t>
      </w:r>
      <w:r>
        <w:rPr>
          <w:color w:val="211F1F"/>
          <w:spacing w:val="-2"/>
        </w:rPr>
        <w:t>Manager;</w:t>
      </w:r>
    </w:p>
    <w:p w14:paraId="68E17EB0" w14:textId="77777777" w:rsidR="00BB77C0" w:rsidRDefault="00370BAA">
      <w:pPr>
        <w:pStyle w:val="ListParagraph"/>
        <w:numPr>
          <w:ilvl w:val="0"/>
          <w:numId w:val="19"/>
        </w:numPr>
        <w:tabs>
          <w:tab w:val="left" w:pos="1468"/>
        </w:tabs>
        <w:spacing w:before="45"/>
        <w:ind w:left="1468" w:hanging="417"/>
        <w:jc w:val="both"/>
      </w:pPr>
      <w:r>
        <w:rPr>
          <w:color w:val="211F1F"/>
          <w:spacing w:val="-4"/>
        </w:rPr>
        <w:t>the</w:t>
      </w:r>
      <w:r>
        <w:rPr>
          <w:color w:val="211F1F"/>
          <w:spacing w:val="-19"/>
        </w:rPr>
        <w:t xml:space="preserve"> </w:t>
      </w:r>
      <w:r>
        <w:rPr>
          <w:color w:val="211F1F"/>
          <w:spacing w:val="-4"/>
        </w:rPr>
        <w:t>Contractor</w:t>
      </w:r>
      <w:r>
        <w:rPr>
          <w:color w:val="211F1F"/>
          <w:spacing w:val="-6"/>
        </w:rPr>
        <w:t xml:space="preserve"> </w:t>
      </w:r>
      <w:r>
        <w:rPr>
          <w:color w:val="211F1F"/>
          <w:spacing w:val="-4"/>
        </w:rPr>
        <w:t>does</w:t>
      </w:r>
      <w:r>
        <w:rPr>
          <w:color w:val="211F1F"/>
          <w:spacing w:val="-9"/>
        </w:rPr>
        <w:t xml:space="preserve"> </w:t>
      </w:r>
      <w:r>
        <w:rPr>
          <w:color w:val="211F1F"/>
          <w:spacing w:val="-4"/>
        </w:rPr>
        <w:t>not</w:t>
      </w:r>
      <w:r>
        <w:rPr>
          <w:color w:val="211F1F"/>
          <w:spacing w:val="-3"/>
        </w:rPr>
        <w:t xml:space="preserve"> </w:t>
      </w:r>
      <w:r>
        <w:rPr>
          <w:color w:val="211F1F"/>
          <w:spacing w:val="-4"/>
        </w:rPr>
        <w:t>maintain</w:t>
      </w:r>
      <w:r>
        <w:rPr>
          <w:color w:val="211F1F"/>
          <w:spacing w:val="-15"/>
        </w:rPr>
        <w:t xml:space="preserve"> </w:t>
      </w:r>
      <w:r>
        <w:rPr>
          <w:color w:val="211F1F"/>
          <w:spacing w:val="-4"/>
        </w:rPr>
        <w:t>a</w:t>
      </w:r>
      <w:r>
        <w:rPr>
          <w:color w:val="211F1F"/>
          <w:spacing w:val="-12"/>
        </w:rPr>
        <w:t xml:space="preserve"> </w:t>
      </w:r>
      <w:r>
        <w:rPr>
          <w:color w:val="211F1F"/>
          <w:spacing w:val="-4"/>
        </w:rPr>
        <w:t>Security,</w:t>
      </w:r>
      <w:r>
        <w:rPr>
          <w:color w:val="211F1F"/>
          <w:spacing w:val="-7"/>
        </w:rPr>
        <w:t xml:space="preserve"> </w:t>
      </w:r>
      <w:r>
        <w:rPr>
          <w:color w:val="211F1F"/>
          <w:spacing w:val="-4"/>
        </w:rPr>
        <w:t>which</w:t>
      </w:r>
      <w:r>
        <w:rPr>
          <w:color w:val="211F1F"/>
          <w:spacing w:val="-16"/>
        </w:rPr>
        <w:t xml:space="preserve"> </w:t>
      </w:r>
      <w:r>
        <w:rPr>
          <w:color w:val="211F1F"/>
          <w:spacing w:val="-4"/>
        </w:rPr>
        <w:t>is</w:t>
      </w:r>
      <w:r>
        <w:rPr>
          <w:color w:val="211F1F"/>
          <w:spacing w:val="-10"/>
        </w:rPr>
        <w:t xml:space="preserve"> </w:t>
      </w:r>
      <w:r>
        <w:rPr>
          <w:color w:val="211F1F"/>
          <w:spacing w:val="-4"/>
        </w:rPr>
        <w:t>required;</w:t>
      </w:r>
    </w:p>
    <w:p w14:paraId="2DC60506" w14:textId="77777777" w:rsidR="00BB77C0" w:rsidRDefault="00370BAA">
      <w:pPr>
        <w:pStyle w:val="ListParagraph"/>
        <w:numPr>
          <w:ilvl w:val="0"/>
          <w:numId w:val="19"/>
        </w:numPr>
        <w:tabs>
          <w:tab w:val="left" w:pos="1467"/>
          <w:tab w:val="left" w:pos="1469"/>
        </w:tabs>
        <w:spacing w:before="41" w:line="232" w:lineRule="auto"/>
        <w:ind w:left="1469" w:right="720"/>
        <w:jc w:val="both"/>
      </w:pPr>
      <w:r>
        <w:rPr>
          <w:color w:val="211F1F"/>
        </w:rPr>
        <w:t>the Contractor has delayed the completion of the Works by the number of days for which the maximum amount of</w:t>
      </w:r>
      <w:r>
        <w:rPr>
          <w:color w:val="211F1F"/>
          <w:spacing w:val="-5"/>
        </w:rPr>
        <w:t xml:space="preserve"> </w:t>
      </w:r>
      <w:r>
        <w:rPr>
          <w:color w:val="211F1F"/>
        </w:rPr>
        <w:t>liquidated</w:t>
      </w:r>
      <w:r>
        <w:rPr>
          <w:color w:val="211F1F"/>
          <w:spacing w:val="-1"/>
        </w:rPr>
        <w:t xml:space="preserve"> </w:t>
      </w:r>
      <w:r>
        <w:rPr>
          <w:color w:val="211F1F"/>
        </w:rPr>
        <w:t>damages can</w:t>
      </w:r>
      <w:r>
        <w:rPr>
          <w:color w:val="211F1F"/>
          <w:spacing w:val="-9"/>
        </w:rPr>
        <w:t xml:space="preserve"> </w:t>
      </w:r>
      <w:r>
        <w:rPr>
          <w:color w:val="211F1F"/>
        </w:rPr>
        <w:t>be</w:t>
      </w:r>
      <w:r>
        <w:rPr>
          <w:color w:val="211F1F"/>
          <w:spacing w:val="-11"/>
        </w:rPr>
        <w:t xml:space="preserve"> </w:t>
      </w:r>
      <w:r>
        <w:rPr>
          <w:color w:val="211F1F"/>
        </w:rPr>
        <w:t>paid, as</w:t>
      </w:r>
      <w:r>
        <w:rPr>
          <w:color w:val="211F1F"/>
          <w:spacing w:val="-3"/>
        </w:rPr>
        <w:t xml:space="preserve"> </w:t>
      </w:r>
      <w:r>
        <w:rPr>
          <w:b/>
          <w:color w:val="211F1F"/>
        </w:rPr>
        <w:t>defined</w:t>
      </w:r>
      <w:r>
        <w:rPr>
          <w:b/>
          <w:color w:val="211F1F"/>
          <w:spacing w:val="-6"/>
        </w:rPr>
        <w:t xml:space="preserve"> </w:t>
      </w:r>
      <w:r>
        <w:rPr>
          <w:b/>
          <w:color w:val="211F1F"/>
        </w:rPr>
        <w:t>in the</w:t>
      </w:r>
      <w:r>
        <w:rPr>
          <w:b/>
          <w:color w:val="211F1F"/>
          <w:spacing w:val="-5"/>
        </w:rPr>
        <w:t xml:space="preserve"> </w:t>
      </w:r>
      <w:r>
        <w:rPr>
          <w:b/>
          <w:color w:val="211F1F"/>
        </w:rPr>
        <w:t>SCC</w:t>
      </w:r>
      <w:r>
        <w:rPr>
          <w:color w:val="211F1F"/>
        </w:rPr>
        <w:t>; or</w:t>
      </w:r>
    </w:p>
    <w:p w14:paraId="20BB7DEA" w14:textId="77777777" w:rsidR="00BB77C0" w:rsidRDefault="00370BAA">
      <w:pPr>
        <w:pStyle w:val="ListParagraph"/>
        <w:numPr>
          <w:ilvl w:val="0"/>
          <w:numId w:val="19"/>
        </w:numPr>
        <w:tabs>
          <w:tab w:val="left" w:pos="1467"/>
          <w:tab w:val="left" w:pos="1474"/>
        </w:tabs>
        <w:spacing w:before="45" w:line="230" w:lineRule="auto"/>
        <w:ind w:right="704"/>
        <w:jc w:val="both"/>
      </w:pPr>
      <w:r>
        <w:rPr>
          <w:color w:val="211F1F"/>
        </w:rPr>
        <w:t>if</w:t>
      </w:r>
      <w:r>
        <w:rPr>
          <w:color w:val="211F1F"/>
          <w:spacing w:val="-14"/>
        </w:rPr>
        <w:t xml:space="preserve"> </w:t>
      </w:r>
      <w:r>
        <w:rPr>
          <w:color w:val="211F1F"/>
        </w:rPr>
        <w:t>the</w:t>
      </w:r>
      <w:r>
        <w:rPr>
          <w:color w:val="211F1F"/>
          <w:spacing w:val="-14"/>
        </w:rPr>
        <w:t xml:space="preserve"> </w:t>
      </w:r>
      <w:r>
        <w:rPr>
          <w:color w:val="211F1F"/>
        </w:rPr>
        <w:t>Contractor,</w:t>
      </w:r>
      <w:r>
        <w:rPr>
          <w:color w:val="211F1F"/>
          <w:spacing w:val="-14"/>
        </w:rPr>
        <w:t xml:space="preserve"> </w:t>
      </w:r>
      <w:r>
        <w:rPr>
          <w:color w:val="211F1F"/>
        </w:rPr>
        <w:t>in</w:t>
      </w:r>
      <w:r>
        <w:rPr>
          <w:color w:val="211F1F"/>
          <w:spacing w:val="-13"/>
        </w:rPr>
        <w:t xml:space="preserve"> </w:t>
      </w:r>
      <w:r>
        <w:rPr>
          <w:color w:val="211F1F"/>
        </w:rPr>
        <w:t>the</w:t>
      </w:r>
      <w:r>
        <w:rPr>
          <w:color w:val="211F1F"/>
          <w:spacing w:val="-14"/>
        </w:rPr>
        <w:t xml:space="preserve"> </w:t>
      </w:r>
      <w:r>
        <w:rPr>
          <w:color w:val="211F1F"/>
        </w:rPr>
        <w:t>judgment</w:t>
      </w:r>
      <w:r>
        <w:rPr>
          <w:color w:val="211F1F"/>
          <w:spacing w:val="-14"/>
        </w:rPr>
        <w:t xml:space="preserve"> </w:t>
      </w:r>
      <w:r>
        <w:rPr>
          <w:color w:val="211F1F"/>
        </w:rPr>
        <w:t>of</w:t>
      </w:r>
      <w:r>
        <w:rPr>
          <w:color w:val="211F1F"/>
          <w:spacing w:val="-14"/>
        </w:rPr>
        <w:t xml:space="preserve"> </w:t>
      </w:r>
      <w:r>
        <w:rPr>
          <w:color w:val="211F1F"/>
        </w:rPr>
        <w:t>the</w:t>
      </w:r>
      <w:r>
        <w:rPr>
          <w:color w:val="211F1F"/>
          <w:spacing w:val="-13"/>
        </w:rPr>
        <w:t xml:space="preserve"> </w:t>
      </w:r>
      <w:r>
        <w:rPr>
          <w:color w:val="211F1F"/>
        </w:rPr>
        <w:t>Procuring</w:t>
      </w:r>
      <w:r>
        <w:rPr>
          <w:color w:val="211F1F"/>
          <w:spacing w:val="-14"/>
        </w:rPr>
        <w:t xml:space="preserve"> </w:t>
      </w:r>
      <w:r>
        <w:rPr>
          <w:color w:val="211F1F"/>
        </w:rPr>
        <w:t>Entity</w:t>
      </w:r>
      <w:r>
        <w:rPr>
          <w:color w:val="211F1F"/>
          <w:spacing w:val="-14"/>
        </w:rPr>
        <w:t xml:space="preserve"> </w:t>
      </w:r>
      <w:r>
        <w:rPr>
          <w:color w:val="211F1F"/>
        </w:rPr>
        <w:t>has</w:t>
      </w:r>
      <w:r>
        <w:rPr>
          <w:color w:val="211F1F"/>
          <w:spacing w:val="-14"/>
        </w:rPr>
        <w:t xml:space="preserve"> </w:t>
      </w:r>
      <w:r>
        <w:rPr>
          <w:color w:val="211F1F"/>
        </w:rPr>
        <w:t>engaged</w:t>
      </w:r>
      <w:r>
        <w:rPr>
          <w:color w:val="211F1F"/>
          <w:spacing w:val="-7"/>
        </w:rPr>
        <w:t xml:space="preserve"> </w:t>
      </w:r>
      <w:r>
        <w:rPr>
          <w:color w:val="211F1F"/>
        </w:rPr>
        <w:t>in</w:t>
      </w:r>
      <w:r>
        <w:rPr>
          <w:color w:val="211F1F"/>
          <w:spacing w:val="-14"/>
        </w:rPr>
        <w:t xml:space="preserve"> </w:t>
      </w:r>
      <w:r>
        <w:rPr>
          <w:color w:val="211F1F"/>
        </w:rPr>
        <w:t>Fraud</w:t>
      </w:r>
      <w:r>
        <w:rPr>
          <w:color w:val="211F1F"/>
          <w:spacing w:val="-14"/>
        </w:rPr>
        <w:t xml:space="preserve"> </w:t>
      </w:r>
      <w:r>
        <w:rPr>
          <w:color w:val="211F1F"/>
        </w:rPr>
        <w:t>and</w:t>
      </w:r>
      <w:r>
        <w:rPr>
          <w:color w:val="211F1F"/>
          <w:spacing w:val="-14"/>
        </w:rPr>
        <w:t xml:space="preserve"> </w:t>
      </w:r>
      <w:r>
        <w:rPr>
          <w:color w:val="211F1F"/>
        </w:rPr>
        <w:t>Corruption,</w:t>
      </w:r>
      <w:r>
        <w:rPr>
          <w:color w:val="211F1F"/>
          <w:spacing w:val="-9"/>
        </w:rPr>
        <w:t xml:space="preserve"> </w:t>
      </w:r>
      <w:r>
        <w:rPr>
          <w:color w:val="211F1F"/>
        </w:rPr>
        <w:t>as</w:t>
      </w:r>
      <w:r>
        <w:rPr>
          <w:color w:val="211F1F"/>
          <w:spacing w:val="-11"/>
        </w:rPr>
        <w:t xml:space="preserve"> </w:t>
      </w:r>
      <w:r>
        <w:rPr>
          <w:color w:val="211F1F"/>
        </w:rPr>
        <w:t>defined</w:t>
      </w:r>
      <w:r>
        <w:rPr>
          <w:color w:val="211F1F"/>
          <w:spacing w:val="-12"/>
        </w:rPr>
        <w:t xml:space="preserve"> </w:t>
      </w:r>
      <w:r>
        <w:rPr>
          <w:color w:val="211F1F"/>
        </w:rPr>
        <w:t>in paragraph 2.2 a of the Appendix A to the GCC, in competing for or in executing the Contract, then the Procuring Entity may, after giving fourteen (14) days written notice to the Contractor, terminate the Contract and expel him from the Site.</w:t>
      </w:r>
    </w:p>
    <w:p w14:paraId="53DA3F77" w14:textId="77777777" w:rsidR="00BB77C0" w:rsidRDefault="00370BAA">
      <w:pPr>
        <w:pStyle w:val="ListParagraph"/>
        <w:numPr>
          <w:ilvl w:val="1"/>
          <w:numId w:val="23"/>
        </w:numPr>
        <w:tabs>
          <w:tab w:val="left" w:pos="1168"/>
        </w:tabs>
        <w:spacing w:before="191"/>
        <w:ind w:left="1168" w:hanging="357"/>
        <w:jc w:val="both"/>
        <w:rPr>
          <w:color w:val="211F1F"/>
        </w:rPr>
      </w:pPr>
      <w:r>
        <w:rPr>
          <w:color w:val="211F1F"/>
        </w:rPr>
        <w:t>Notwithstanding</w:t>
      </w:r>
      <w:r>
        <w:rPr>
          <w:color w:val="211F1F"/>
          <w:spacing w:val="-11"/>
        </w:rPr>
        <w:t xml:space="preserve"> </w:t>
      </w:r>
      <w:r>
        <w:rPr>
          <w:color w:val="211F1F"/>
        </w:rPr>
        <w:t>the</w:t>
      </w:r>
      <w:r>
        <w:rPr>
          <w:color w:val="211F1F"/>
          <w:spacing w:val="-12"/>
        </w:rPr>
        <w:t xml:space="preserve"> </w:t>
      </w:r>
      <w:r>
        <w:rPr>
          <w:color w:val="211F1F"/>
        </w:rPr>
        <w:t>above,</w:t>
      </w:r>
      <w:r>
        <w:rPr>
          <w:color w:val="211F1F"/>
          <w:spacing w:val="-3"/>
        </w:rPr>
        <w:t xml:space="preserve"> </w:t>
      </w:r>
      <w:r>
        <w:rPr>
          <w:color w:val="211F1F"/>
        </w:rPr>
        <w:t>the</w:t>
      </w:r>
      <w:r>
        <w:rPr>
          <w:color w:val="211F1F"/>
          <w:spacing w:val="-12"/>
        </w:rPr>
        <w:t xml:space="preserve"> </w:t>
      </w:r>
      <w:r>
        <w:rPr>
          <w:color w:val="211F1F"/>
        </w:rPr>
        <w:t>Procuring</w:t>
      </w:r>
      <w:r>
        <w:rPr>
          <w:color w:val="211F1F"/>
          <w:spacing w:val="-10"/>
        </w:rPr>
        <w:t xml:space="preserve"> </w:t>
      </w:r>
      <w:r>
        <w:rPr>
          <w:color w:val="211F1F"/>
        </w:rPr>
        <w:t>Entity</w:t>
      </w:r>
      <w:r>
        <w:rPr>
          <w:color w:val="211F1F"/>
          <w:spacing w:val="-6"/>
        </w:rPr>
        <w:t xml:space="preserve"> </w:t>
      </w:r>
      <w:r>
        <w:rPr>
          <w:color w:val="211F1F"/>
        </w:rPr>
        <w:t>may</w:t>
      </w:r>
      <w:r>
        <w:rPr>
          <w:color w:val="211F1F"/>
          <w:spacing w:val="-10"/>
        </w:rPr>
        <w:t xml:space="preserve"> </w:t>
      </w:r>
      <w:r>
        <w:rPr>
          <w:color w:val="211F1F"/>
        </w:rPr>
        <w:t>terminate</w:t>
      </w:r>
      <w:r>
        <w:rPr>
          <w:color w:val="211F1F"/>
          <w:spacing w:val="-11"/>
        </w:rPr>
        <w:t xml:space="preserve"> </w:t>
      </w:r>
      <w:r>
        <w:rPr>
          <w:color w:val="211F1F"/>
        </w:rPr>
        <w:t>the</w:t>
      </w:r>
      <w:r>
        <w:rPr>
          <w:color w:val="211F1F"/>
          <w:spacing w:val="-12"/>
        </w:rPr>
        <w:t xml:space="preserve"> </w:t>
      </w:r>
      <w:r>
        <w:rPr>
          <w:color w:val="211F1F"/>
        </w:rPr>
        <w:t>Contract</w:t>
      </w:r>
      <w:r>
        <w:rPr>
          <w:color w:val="211F1F"/>
          <w:spacing w:val="-4"/>
        </w:rPr>
        <w:t xml:space="preserve"> </w:t>
      </w:r>
      <w:r>
        <w:rPr>
          <w:color w:val="211F1F"/>
        </w:rPr>
        <w:t>for</w:t>
      </w:r>
      <w:r>
        <w:rPr>
          <w:color w:val="211F1F"/>
          <w:spacing w:val="2"/>
        </w:rPr>
        <w:t xml:space="preserve"> </w:t>
      </w:r>
      <w:r>
        <w:rPr>
          <w:color w:val="211F1F"/>
          <w:spacing w:val="-2"/>
        </w:rPr>
        <w:t>convenience.</w:t>
      </w:r>
    </w:p>
    <w:p w14:paraId="76C1A0AD" w14:textId="77777777" w:rsidR="00BB77C0" w:rsidRDefault="00370BAA">
      <w:pPr>
        <w:pStyle w:val="ListParagraph"/>
        <w:numPr>
          <w:ilvl w:val="1"/>
          <w:numId w:val="23"/>
        </w:numPr>
        <w:tabs>
          <w:tab w:val="left" w:pos="1168"/>
          <w:tab w:val="left" w:pos="1171"/>
        </w:tabs>
        <w:spacing w:before="196" w:line="232" w:lineRule="auto"/>
        <w:ind w:right="838" w:hanging="360"/>
        <w:jc w:val="both"/>
        <w:rPr>
          <w:color w:val="211F1F"/>
        </w:rPr>
      </w:pPr>
      <w:r>
        <w:rPr>
          <w:color w:val="211F1F"/>
        </w:rPr>
        <w:t>If the</w:t>
      </w:r>
      <w:r>
        <w:rPr>
          <w:color w:val="211F1F"/>
          <w:spacing w:val="-7"/>
        </w:rPr>
        <w:t xml:space="preserve"> </w:t>
      </w:r>
      <w:r>
        <w:rPr>
          <w:color w:val="211F1F"/>
        </w:rPr>
        <w:t>Contract is terminated, the</w:t>
      </w:r>
      <w:r>
        <w:rPr>
          <w:color w:val="211F1F"/>
          <w:spacing w:val="-2"/>
        </w:rPr>
        <w:t xml:space="preserve"> </w:t>
      </w:r>
      <w:r>
        <w:rPr>
          <w:color w:val="211F1F"/>
        </w:rPr>
        <w:t>Contractor</w:t>
      </w:r>
      <w:r>
        <w:rPr>
          <w:color w:val="211F1F"/>
          <w:spacing w:val="-1"/>
        </w:rPr>
        <w:t xml:space="preserve"> </w:t>
      </w:r>
      <w:r>
        <w:rPr>
          <w:color w:val="211F1F"/>
        </w:rPr>
        <w:t>shall</w:t>
      </w:r>
      <w:r>
        <w:rPr>
          <w:color w:val="211F1F"/>
          <w:spacing w:val="-5"/>
        </w:rPr>
        <w:t xml:space="preserve"> </w:t>
      </w:r>
      <w:r>
        <w:rPr>
          <w:color w:val="211F1F"/>
        </w:rPr>
        <w:t>stop</w:t>
      </w:r>
      <w:r>
        <w:rPr>
          <w:color w:val="211F1F"/>
          <w:spacing w:val="-1"/>
        </w:rPr>
        <w:t xml:space="preserve"> </w:t>
      </w:r>
      <w:r>
        <w:rPr>
          <w:color w:val="211F1F"/>
        </w:rPr>
        <w:t>work</w:t>
      </w:r>
      <w:r>
        <w:rPr>
          <w:color w:val="211F1F"/>
          <w:spacing w:val="-5"/>
        </w:rPr>
        <w:t xml:space="preserve"> </w:t>
      </w:r>
      <w:r>
        <w:rPr>
          <w:color w:val="211F1F"/>
        </w:rPr>
        <w:t>immediately, make</w:t>
      </w:r>
      <w:r>
        <w:rPr>
          <w:color w:val="211F1F"/>
          <w:spacing w:val="-7"/>
        </w:rPr>
        <w:t xml:space="preserve"> </w:t>
      </w:r>
      <w:r>
        <w:rPr>
          <w:color w:val="211F1F"/>
        </w:rPr>
        <w:t>the</w:t>
      </w:r>
      <w:r>
        <w:rPr>
          <w:color w:val="211F1F"/>
          <w:spacing w:val="-3"/>
        </w:rPr>
        <w:t xml:space="preserve"> </w:t>
      </w:r>
      <w:r>
        <w:rPr>
          <w:color w:val="211F1F"/>
        </w:rPr>
        <w:t>Site</w:t>
      </w:r>
      <w:r>
        <w:rPr>
          <w:color w:val="211F1F"/>
          <w:spacing w:val="-7"/>
        </w:rPr>
        <w:t xml:space="preserve"> </w:t>
      </w:r>
      <w:r>
        <w:rPr>
          <w:color w:val="211F1F"/>
        </w:rPr>
        <w:t>safe</w:t>
      </w:r>
      <w:r>
        <w:rPr>
          <w:color w:val="211F1F"/>
          <w:spacing w:val="-7"/>
        </w:rPr>
        <w:t xml:space="preserve"> </w:t>
      </w:r>
      <w:r>
        <w:rPr>
          <w:color w:val="211F1F"/>
        </w:rPr>
        <w:t>and</w:t>
      </w:r>
      <w:r>
        <w:rPr>
          <w:color w:val="211F1F"/>
          <w:spacing w:val="-6"/>
        </w:rPr>
        <w:t xml:space="preserve"> </w:t>
      </w:r>
      <w:r>
        <w:rPr>
          <w:color w:val="211F1F"/>
        </w:rPr>
        <w:t>secure, and leave the Site as soon as reasonably possible.</w:t>
      </w:r>
    </w:p>
    <w:p w14:paraId="7D3E14FD" w14:textId="77777777" w:rsidR="00BB77C0" w:rsidRDefault="00370BAA">
      <w:pPr>
        <w:pStyle w:val="ListParagraph"/>
        <w:numPr>
          <w:ilvl w:val="1"/>
          <w:numId w:val="23"/>
        </w:numPr>
        <w:tabs>
          <w:tab w:val="left" w:pos="1168"/>
          <w:tab w:val="left" w:pos="1171"/>
        </w:tabs>
        <w:spacing w:before="192" w:line="230" w:lineRule="auto"/>
        <w:ind w:right="838" w:hanging="360"/>
        <w:jc w:val="both"/>
        <w:rPr>
          <w:color w:val="211F1F"/>
        </w:rPr>
      </w:pPr>
      <w:r>
        <w:rPr>
          <w:color w:val="211F1F"/>
        </w:rPr>
        <w:t>When either party to the Contract gives notice of a breach of Contract to the Project Manager for a cause other than those listed under GCC Sub-Clause 56.2 above, the Project Manager shall decide whether the breach is fundamental or not.</w:t>
      </w:r>
    </w:p>
    <w:p w14:paraId="51B82FC3" w14:textId="77777777" w:rsidR="00BB77C0" w:rsidRDefault="00370BAA">
      <w:pPr>
        <w:pStyle w:val="Heading7"/>
        <w:numPr>
          <w:ilvl w:val="0"/>
          <w:numId w:val="23"/>
        </w:numPr>
        <w:tabs>
          <w:tab w:val="left" w:pos="1075"/>
        </w:tabs>
        <w:spacing w:before="243"/>
        <w:ind w:left="1075" w:hanging="355"/>
        <w:jc w:val="both"/>
      </w:pPr>
      <w:bookmarkStart w:id="246" w:name="58._Payment_upon_Termination"/>
      <w:bookmarkEnd w:id="246"/>
      <w:r>
        <w:rPr>
          <w:color w:val="211F1F"/>
          <w:spacing w:val="-4"/>
        </w:rPr>
        <w:t>Payment upon</w:t>
      </w:r>
      <w:r>
        <w:rPr>
          <w:color w:val="211F1F"/>
          <w:spacing w:val="-21"/>
        </w:rPr>
        <w:t xml:space="preserve"> </w:t>
      </w:r>
      <w:r>
        <w:rPr>
          <w:color w:val="211F1F"/>
          <w:spacing w:val="-4"/>
        </w:rPr>
        <w:t>Termination</w:t>
      </w:r>
    </w:p>
    <w:p w14:paraId="220D1D70" w14:textId="77777777" w:rsidR="00BB77C0" w:rsidRDefault="00370BAA">
      <w:pPr>
        <w:pStyle w:val="ListParagraph"/>
        <w:numPr>
          <w:ilvl w:val="1"/>
          <w:numId w:val="23"/>
        </w:numPr>
        <w:tabs>
          <w:tab w:val="left" w:pos="1168"/>
          <w:tab w:val="left" w:pos="1171"/>
        </w:tabs>
        <w:spacing w:before="192" w:line="230" w:lineRule="auto"/>
        <w:ind w:right="832" w:hanging="360"/>
        <w:jc w:val="both"/>
        <w:rPr>
          <w:color w:val="211F1F"/>
        </w:rPr>
      </w:pPr>
      <w:r>
        <w:rPr>
          <w:color w:val="211F1F"/>
        </w:rPr>
        <w:t>If the Contract is terminated because of a fundamental breach of Contract by the Contractor, the Project Manager shall</w:t>
      </w:r>
      <w:r>
        <w:rPr>
          <w:color w:val="211F1F"/>
          <w:spacing w:val="-6"/>
        </w:rPr>
        <w:t xml:space="preserve"> </w:t>
      </w:r>
      <w:r>
        <w:rPr>
          <w:color w:val="211F1F"/>
        </w:rPr>
        <w:t>issue</w:t>
      </w:r>
      <w:r>
        <w:rPr>
          <w:color w:val="211F1F"/>
          <w:spacing w:val="-8"/>
        </w:rPr>
        <w:t xml:space="preserve"> </w:t>
      </w:r>
      <w:r>
        <w:rPr>
          <w:color w:val="211F1F"/>
        </w:rPr>
        <w:t>a</w:t>
      </w:r>
      <w:r>
        <w:rPr>
          <w:color w:val="211F1F"/>
          <w:spacing w:val="-5"/>
        </w:rPr>
        <w:t xml:space="preserve"> </w:t>
      </w:r>
      <w:r>
        <w:rPr>
          <w:color w:val="211F1F"/>
        </w:rPr>
        <w:t>certificate</w:t>
      </w:r>
      <w:r>
        <w:rPr>
          <w:color w:val="211F1F"/>
          <w:spacing w:val="-7"/>
        </w:rPr>
        <w:t xml:space="preserve"> </w:t>
      </w:r>
      <w:r>
        <w:rPr>
          <w:color w:val="211F1F"/>
        </w:rPr>
        <w:t>for the</w:t>
      </w:r>
      <w:r>
        <w:rPr>
          <w:color w:val="211F1F"/>
          <w:spacing w:val="-8"/>
        </w:rPr>
        <w:t xml:space="preserve"> </w:t>
      </w:r>
      <w:r>
        <w:rPr>
          <w:color w:val="211F1F"/>
        </w:rPr>
        <w:t>value</w:t>
      </w:r>
      <w:r>
        <w:rPr>
          <w:color w:val="211F1F"/>
          <w:spacing w:val="-8"/>
        </w:rPr>
        <w:t xml:space="preserve"> </w:t>
      </w:r>
      <w:r>
        <w:rPr>
          <w:color w:val="211F1F"/>
        </w:rPr>
        <w:t>of</w:t>
      </w:r>
      <w:r>
        <w:rPr>
          <w:color w:val="211F1F"/>
          <w:spacing w:val="-4"/>
        </w:rPr>
        <w:t xml:space="preserve"> </w:t>
      </w:r>
      <w:r>
        <w:rPr>
          <w:color w:val="211F1F"/>
        </w:rPr>
        <w:t>the</w:t>
      </w:r>
      <w:r>
        <w:rPr>
          <w:color w:val="211F1F"/>
          <w:spacing w:val="-5"/>
        </w:rPr>
        <w:t xml:space="preserve"> </w:t>
      </w:r>
      <w:r>
        <w:rPr>
          <w:color w:val="211F1F"/>
        </w:rPr>
        <w:t>work</w:t>
      </w:r>
      <w:r>
        <w:rPr>
          <w:color w:val="211F1F"/>
          <w:spacing w:val="-6"/>
        </w:rPr>
        <w:t xml:space="preserve"> </w:t>
      </w:r>
      <w:r>
        <w:rPr>
          <w:color w:val="211F1F"/>
        </w:rPr>
        <w:t>done</w:t>
      </w:r>
      <w:r>
        <w:rPr>
          <w:color w:val="211F1F"/>
          <w:spacing w:val="-9"/>
        </w:rPr>
        <w:t xml:space="preserve"> </w:t>
      </w:r>
      <w:r>
        <w:rPr>
          <w:color w:val="211F1F"/>
        </w:rPr>
        <w:t>and</w:t>
      </w:r>
      <w:r>
        <w:rPr>
          <w:color w:val="211F1F"/>
          <w:spacing w:val="-6"/>
        </w:rPr>
        <w:t xml:space="preserve"> </w:t>
      </w:r>
      <w:r>
        <w:rPr>
          <w:color w:val="211F1F"/>
        </w:rPr>
        <w:t>Materials</w:t>
      </w:r>
      <w:r>
        <w:rPr>
          <w:color w:val="211F1F"/>
          <w:spacing w:val="-1"/>
        </w:rPr>
        <w:t xml:space="preserve"> </w:t>
      </w:r>
      <w:r>
        <w:rPr>
          <w:color w:val="211F1F"/>
        </w:rPr>
        <w:t>ordered</w:t>
      </w:r>
      <w:r>
        <w:rPr>
          <w:color w:val="211F1F"/>
          <w:spacing w:val="-6"/>
        </w:rPr>
        <w:t xml:space="preserve"> </w:t>
      </w:r>
      <w:r>
        <w:rPr>
          <w:color w:val="211F1F"/>
        </w:rPr>
        <w:t>less</w:t>
      </w:r>
      <w:r>
        <w:rPr>
          <w:color w:val="211F1F"/>
          <w:spacing w:val="-2"/>
        </w:rPr>
        <w:t xml:space="preserve"> </w:t>
      </w:r>
      <w:r>
        <w:rPr>
          <w:color w:val="211F1F"/>
        </w:rPr>
        <w:t>advance</w:t>
      </w:r>
      <w:r>
        <w:rPr>
          <w:color w:val="211F1F"/>
          <w:spacing w:val="-7"/>
        </w:rPr>
        <w:t xml:space="preserve"> </w:t>
      </w:r>
      <w:r>
        <w:rPr>
          <w:color w:val="211F1F"/>
        </w:rPr>
        <w:t>payments received</w:t>
      </w:r>
      <w:r>
        <w:rPr>
          <w:color w:val="211F1F"/>
          <w:spacing w:val="-1"/>
        </w:rPr>
        <w:t xml:space="preserve"> </w:t>
      </w:r>
      <w:r>
        <w:rPr>
          <w:color w:val="211F1F"/>
        </w:rPr>
        <w:t>up</w:t>
      </w:r>
      <w:r>
        <w:rPr>
          <w:color w:val="211F1F"/>
          <w:spacing w:val="-2"/>
        </w:rPr>
        <w:t xml:space="preserve"> </w:t>
      </w:r>
      <w:r>
        <w:rPr>
          <w:color w:val="211F1F"/>
        </w:rPr>
        <w:t>to</w:t>
      </w:r>
      <w:r>
        <w:rPr>
          <w:color w:val="211F1F"/>
          <w:spacing w:val="-2"/>
        </w:rPr>
        <w:t xml:space="preserve"> </w:t>
      </w:r>
      <w:r>
        <w:rPr>
          <w:color w:val="211F1F"/>
        </w:rPr>
        <w:t>the date</w:t>
      </w:r>
      <w:r>
        <w:rPr>
          <w:color w:val="211F1F"/>
          <w:spacing w:val="-3"/>
        </w:rPr>
        <w:t xml:space="preserve"> </w:t>
      </w:r>
      <w:r>
        <w:rPr>
          <w:color w:val="211F1F"/>
        </w:rPr>
        <w:t>of</w:t>
      </w:r>
      <w:r>
        <w:rPr>
          <w:color w:val="211F1F"/>
          <w:spacing w:val="-3"/>
        </w:rPr>
        <w:t xml:space="preserve"> </w:t>
      </w:r>
      <w:r>
        <w:rPr>
          <w:color w:val="211F1F"/>
        </w:rPr>
        <w:t>the issue</w:t>
      </w:r>
      <w:r>
        <w:rPr>
          <w:color w:val="211F1F"/>
          <w:spacing w:val="-3"/>
        </w:rPr>
        <w:t xml:space="preserve"> </w:t>
      </w:r>
      <w:r>
        <w:rPr>
          <w:color w:val="211F1F"/>
        </w:rPr>
        <w:t>of the certificate</w:t>
      </w:r>
      <w:r>
        <w:rPr>
          <w:color w:val="211F1F"/>
          <w:spacing w:val="-2"/>
        </w:rPr>
        <w:t xml:space="preserve"> </w:t>
      </w:r>
      <w:r>
        <w:rPr>
          <w:color w:val="211F1F"/>
        </w:rPr>
        <w:t>and</w:t>
      </w:r>
      <w:r>
        <w:rPr>
          <w:color w:val="211F1F"/>
          <w:spacing w:val="-2"/>
        </w:rPr>
        <w:t xml:space="preserve"> </w:t>
      </w:r>
      <w:r>
        <w:rPr>
          <w:color w:val="211F1F"/>
        </w:rPr>
        <w:t>less the</w:t>
      </w:r>
      <w:r>
        <w:rPr>
          <w:color w:val="211F1F"/>
          <w:spacing w:val="-9"/>
        </w:rPr>
        <w:t xml:space="preserve"> </w:t>
      </w:r>
      <w:r>
        <w:rPr>
          <w:color w:val="211F1F"/>
        </w:rPr>
        <w:t>percentage</w:t>
      </w:r>
      <w:r>
        <w:rPr>
          <w:color w:val="211F1F"/>
          <w:spacing w:val="-2"/>
        </w:rPr>
        <w:t xml:space="preserve"> </w:t>
      </w:r>
      <w:r>
        <w:rPr>
          <w:color w:val="211F1F"/>
        </w:rPr>
        <w:t>to</w:t>
      </w:r>
      <w:r>
        <w:rPr>
          <w:color w:val="211F1F"/>
          <w:spacing w:val="-6"/>
        </w:rPr>
        <w:t xml:space="preserve"> </w:t>
      </w:r>
      <w:r>
        <w:rPr>
          <w:color w:val="211F1F"/>
        </w:rPr>
        <w:t>apply</w:t>
      </w:r>
      <w:r>
        <w:rPr>
          <w:color w:val="211F1F"/>
          <w:spacing w:val="-1"/>
        </w:rPr>
        <w:t xml:space="preserve"> </w:t>
      </w:r>
      <w:r>
        <w:rPr>
          <w:color w:val="211F1F"/>
        </w:rPr>
        <w:t>to</w:t>
      </w:r>
      <w:r>
        <w:rPr>
          <w:color w:val="211F1F"/>
          <w:spacing w:val="-6"/>
        </w:rPr>
        <w:t xml:space="preserve"> </w:t>
      </w:r>
      <w:r>
        <w:rPr>
          <w:color w:val="211F1F"/>
        </w:rPr>
        <w:t>the</w:t>
      </w:r>
      <w:r>
        <w:rPr>
          <w:color w:val="211F1F"/>
          <w:spacing w:val="-3"/>
        </w:rPr>
        <w:t xml:space="preserve"> </w:t>
      </w:r>
      <w:r>
        <w:rPr>
          <w:color w:val="211F1F"/>
        </w:rPr>
        <w:t>value of</w:t>
      </w:r>
      <w:r>
        <w:rPr>
          <w:color w:val="211F1F"/>
          <w:spacing w:val="-3"/>
        </w:rPr>
        <w:t xml:space="preserve"> </w:t>
      </w:r>
      <w:r>
        <w:rPr>
          <w:color w:val="211F1F"/>
        </w:rPr>
        <w:t>the work not completed, as specified in the</w:t>
      </w:r>
      <w:r>
        <w:rPr>
          <w:color w:val="211F1F"/>
          <w:spacing w:val="-2"/>
        </w:rPr>
        <w:t xml:space="preserve"> </w:t>
      </w:r>
      <w:r>
        <w:rPr>
          <w:color w:val="211F1F"/>
        </w:rPr>
        <w:t>SCC. Additional Liquidated Damages shall not apply. If the</w:t>
      </w:r>
      <w:r>
        <w:rPr>
          <w:color w:val="211F1F"/>
          <w:spacing w:val="-2"/>
        </w:rPr>
        <w:t xml:space="preserve"> </w:t>
      </w:r>
      <w:r>
        <w:rPr>
          <w:color w:val="211F1F"/>
        </w:rPr>
        <w:t>total amount due</w:t>
      </w:r>
      <w:r>
        <w:rPr>
          <w:color w:val="211F1F"/>
          <w:spacing w:val="-10"/>
        </w:rPr>
        <w:t xml:space="preserve"> </w:t>
      </w:r>
      <w:r>
        <w:rPr>
          <w:color w:val="211F1F"/>
        </w:rPr>
        <w:t>to</w:t>
      </w:r>
      <w:r>
        <w:rPr>
          <w:color w:val="211F1F"/>
          <w:spacing w:val="-7"/>
        </w:rPr>
        <w:t xml:space="preserve"> </w:t>
      </w:r>
      <w:r>
        <w:rPr>
          <w:color w:val="211F1F"/>
        </w:rPr>
        <w:t>the</w:t>
      </w:r>
      <w:r>
        <w:rPr>
          <w:color w:val="211F1F"/>
          <w:spacing w:val="-9"/>
        </w:rPr>
        <w:t xml:space="preserve"> </w:t>
      </w:r>
      <w:r>
        <w:rPr>
          <w:color w:val="211F1F"/>
        </w:rPr>
        <w:t>Procuring</w:t>
      </w:r>
      <w:r>
        <w:rPr>
          <w:color w:val="211F1F"/>
          <w:spacing w:val="-11"/>
        </w:rPr>
        <w:t xml:space="preserve"> </w:t>
      </w:r>
      <w:r>
        <w:rPr>
          <w:color w:val="211F1F"/>
        </w:rPr>
        <w:t>Entity</w:t>
      </w:r>
      <w:r>
        <w:rPr>
          <w:color w:val="211F1F"/>
          <w:spacing w:val="-7"/>
        </w:rPr>
        <w:t xml:space="preserve"> </w:t>
      </w:r>
      <w:r>
        <w:rPr>
          <w:color w:val="211F1F"/>
        </w:rPr>
        <w:t>exceeds</w:t>
      </w:r>
      <w:r>
        <w:rPr>
          <w:color w:val="211F1F"/>
          <w:spacing w:val="-1"/>
        </w:rPr>
        <w:t xml:space="preserve"> </w:t>
      </w:r>
      <w:r>
        <w:rPr>
          <w:color w:val="211F1F"/>
        </w:rPr>
        <w:t>any</w:t>
      </w:r>
      <w:r>
        <w:rPr>
          <w:color w:val="211F1F"/>
          <w:spacing w:val="-7"/>
        </w:rPr>
        <w:t xml:space="preserve"> </w:t>
      </w:r>
      <w:r>
        <w:rPr>
          <w:color w:val="211F1F"/>
        </w:rPr>
        <w:t>payment due</w:t>
      </w:r>
      <w:r>
        <w:rPr>
          <w:color w:val="211F1F"/>
          <w:spacing w:val="-14"/>
        </w:rPr>
        <w:t xml:space="preserve"> </w:t>
      </w:r>
      <w:r>
        <w:rPr>
          <w:color w:val="211F1F"/>
        </w:rPr>
        <w:t>to</w:t>
      </w:r>
      <w:r>
        <w:rPr>
          <w:color w:val="211F1F"/>
          <w:spacing w:val="-3"/>
        </w:rPr>
        <w:t xml:space="preserve"> </w:t>
      </w:r>
      <w:r>
        <w:rPr>
          <w:color w:val="211F1F"/>
        </w:rPr>
        <w:t>the</w:t>
      </w:r>
      <w:r>
        <w:rPr>
          <w:color w:val="211F1F"/>
          <w:spacing w:val="-14"/>
        </w:rPr>
        <w:t xml:space="preserve"> </w:t>
      </w:r>
      <w:r>
        <w:rPr>
          <w:color w:val="211F1F"/>
        </w:rPr>
        <w:t>Contractor, the</w:t>
      </w:r>
      <w:r>
        <w:rPr>
          <w:color w:val="211F1F"/>
          <w:spacing w:val="-4"/>
        </w:rPr>
        <w:t xml:space="preserve"> </w:t>
      </w:r>
      <w:r>
        <w:rPr>
          <w:color w:val="211F1F"/>
        </w:rPr>
        <w:t>difference</w:t>
      </w:r>
      <w:r>
        <w:rPr>
          <w:color w:val="211F1F"/>
          <w:spacing w:val="-8"/>
        </w:rPr>
        <w:t xml:space="preserve"> </w:t>
      </w:r>
      <w:r>
        <w:rPr>
          <w:color w:val="211F1F"/>
        </w:rPr>
        <w:t>shall</w:t>
      </w:r>
      <w:r>
        <w:rPr>
          <w:color w:val="211F1F"/>
          <w:spacing w:val="-6"/>
        </w:rPr>
        <w:t xml:space="preserve"> </w:t>
      </w:r>
      <w:r>
        <w:rPr>
          <w:color w:val="211F1F"/>
        </w:rPr>
        <w:t>be</w:t>
      </w:r>
      <w:r>
        <w:rPr>
          <w:color w:val="211F1F"/>
          <w:spacing w:val="-9"/>
        </w:rPr>
        <w:t xml:space="preserve"> </w:t>
      </w:r>
      <w:r>
        <w:rPr>
          <w:color w:val="211F1F"/>
        </w:rPr>
        <w:t>a debt</w:t>
      </w:r>
      <w:r>
        <w:rPr>
          <w:color w:val="211F1F"/>
          <w:spacing w:val="-1"/>
        </w:rPr>
        <w:t xml:space="preserve"> </w:t>
      </w:r>
      <w:r>
        <w:rPr>
          <w:color w:val="211F1F"/>
        </w:rPr>
        <w:t>payable to the Procuring Entity.</w:t>
      </w:r>
    </w:p>
    <w:p w14:paraId="6C2F241B" w14:textId="77777777" w:rsidR="00BB77C0" w:rsidRDefault="00370BAA">
      <w:pPr>
        <w:pStyle w:val="ListParagraph"/>
        <w:numPr>
          <w:ilvl w:val="1"/>
          <w:numId w:val="23"/>
        </w:numPr>
        <w:tabs>
          <w:tab w:val="left" w:pos="1168"/>
          <w:tab w:val="left" w:pos="1171"/>
        </w:tabs>
        <w:spacing w:before="195" w:line="230" w:lineRule="auto"/>
        <w:ind w:right="836" w:hanging="360"/>
        <w:jc w:val="both"/>
        <w:rPr>
          <w:color w:val="211F1F"/>
        </w:rPr>
      </w:pPr>
      <w:r>
        <w:rPr>
          <w:color w:val="211F1F"/>
        </w:rPr>
        <w:t>If the Contract is terminated for the Procuring Entity's convenience or because of a fundamental breach of Contract by</w:t>
      </w:r>
      <w:r>
        <w:rPr>
          <w:color w:val="211F1F"/>
          <w:spacing w:val="-10"/>
        </w:rPr>
        <w:t xml:space="preserve"> </w:t>
      </w:r>
      <w:r>
        <w:rPr>
          <w:color w:val="211F1F"/>
        </w:rPr>
        <w:t>the</w:t>
      </w:r>
      <w:r>
        <w:rPr>
          <w:color w:val="211F1F"/>
          <w:spacing w:val="-7"/>
        </w:rPr>
        <w:t xml:space="preserve"> </w:t>
      </w:r>
      <w:r>
        <w:rPr>
          <w:color w:val="211F1F"/>
        </w:rPr>
        <w:t>Procuring</w:t>
      </w:r>
      <w:r>
        <w:rPr>
          <w:color w:val="211F1F"/>
          <w:spacing w:val="-6"/>
        </w:rPr>
        <w:t xml:space="preserve"> </w:t>
      </w:r>
      <w:r>
        <w:rPr>
          <w:color w:val="211F1F"/>
        </w:rPr>
        <w:t>Entity,</w:t>
      </w:r>
      <w:r>
        <w:rPr>
          <w:color w:val="211F1F"/>
          <w:spacing w:val="-3"/>
        </w:rPr>
        <w:t xml:space="preserve"> </w:t>
      </w:r>
      <w:r>
        <w:rPr>
          <w:color w:val="211F1F"/>
        </w:rPr>
        <w:t>the</w:t>
      </w:r>
      <w:r>
        <w:rPr>
          <w:color w:val="211F1F"/>
          <w:spacing w:val="-7"/>
        </w:rPr>
        <w:t xml:space="preserve"> </w:t>
      </w:r>
      <w:r>
        <w:rPr>
          <w:color w:val="211F1F"/>
        </w:rPr>
        <w:t>Project Manager shall</w:t>
      </w:r>
      <w:r>
        <w:rPr>
          <w:color w:val="211F1F"/>
          <w:spacing w:val="-5"/>
        </w:rPr>
        <w:t xml:space="preserve"> </w:t>
      </w:r>
      <w:r>
        <w:rPr>
          <w:color w:val="211F1F"/>
        </w:rPr>
        <w:t>issue</w:t>
      </w:r>
      <w:r>
        <w:rPr>
          <w:color w:val="211F1F"/>
          <w:spacing w:val="-7"/>
        </w:rPr>
        <w:t xml:space="preserve"> </w:t>
      </w:r>
      <w:r>
        <w:rPr>
          <w:color w:val="211F1F"/>
        </w:rPr>
        <w:t>a</w:t>
      </w:r>
      <w:r>
        <w:rPr>
          <w:color w:val="211F1F"/>
          <w:spacing w:val="-4"/>
        </w:rPr>
        <w:t xml:space="preserve"> </w:t>
      </w:r>
      <w:r>
        <w:rPr>
          <w:color w:val="211F1F"/>
        </w:rPr>
        <w:t>certificate</w:t>
      </w:r>
      <w:r>
        <w:rPr>
          <w:color w:val="211F1F"/>
          <w:spacing w:val="-6"/>
        </w:rPr>
        <w:t xml:space="preserve"> </w:t>
      </w:r>
      <w:r>
        <w:rPr>
          <w:color w:val="211F1F"/>
        </w:rPr>
        <w:t>for</w:t>
      </w:r>
      <w:r>
        <w:rPr>
          <w:color w:val="211F1F"/>
          <w:spacing w:val="-3"/>
        </w:rPr>
        <w:t xml:space="preserve"> </w:t>
      </w:r>
      <w:r>
        <w:rPr>
          <w:color w:val="211F1F"/>
        </w:rPr>
        <w:t>the</w:t>
      </w:r>
      <w:r>
        <w:rPr>
          <w:color w:val="211F1F"/>
          <w:spacing w:val="-7"/>
        </w:rPr>
        <w:t xml:space="preserve"> </w:t>
      </w:r>
      <w:r>
        <w:rPr>
          <w:color w:val="211F1F"/>
        </w:rPr>
        <w:t>value</w:t>
      </w:r>
      <w:r>
        <w:rPr>
          <w:color w:val="211F1F"/>
          <w:spacing w:val="-7"/>
        </w:rPr>
        <w:t xml:space="preserve"> </w:t>
      </w:r>
      <w:r>
        <w:rPr>
          <w:color w:val="211F1F"/>
        </w:rPr>
        <w:t>of</w:t>
      </w:r>
      <w:r>
        <w:rPr>
          <w:color w:val="211F1F"/>
          <w:spacing w:val="-3"/>
        </w:rPr>
        <w:t xml:space="preserve"> </w:t>
      </w:r>
      <w:r>
        <w:rPr>
          <w:color w:val="211F1F"/>
        </w:rPr>
        <w:t>the</w:t>
      </w:r>
      <w:r>
        <w:rPr>
          <w:color w:val="211F1F"/>
          <w:spacing w:val="-8"/>
        </w:rPr>
        <w:t xml:space="preserve"> </w:t>
      </w:r>
      <w:r>
        <w:rPr>
          <w:color w:val="211F1F"/>
        </w:rPr>
        <w:t>work</w:t>
      </w:r>
      <w:r>
        <w:rPr>
          <w:color w:val="211F1F"/>
          <w:spacing w:val="-6"/>
        </w:rPr>
        <w:t xml:space="preserve"> </w:t>
      </w:r>
      <w:r>
        <w:rPr>
          <w:color w:val="211F1F"/>
        </w:rPr>
        <w:t xml:space="preserve">done, Materials ordered, the reasonable cost of removal of Equipment, repatriation of the Contractor's personnel </w:t>
      </w:r>
      <w:r>
        <w:rPr>
          <w:color w:val="211F1F"/>
          <w:spacing w:val="-4"/>
        </w:rPr>
        <w:t>employed</w:t>
      </w:r>
      <w:r>
        <w:rPr>
          <w:color w:val="211F1F"/>
          <w:spacing w:val="-10"/>
        </w:rPr>
        <w:t xml:space="preserve"> </w:t>
      </w:r>
      <w:r>
        <w:rPr>
          <w:color w:val="211F1F"/>
          <w:spacing w:val="-4"/>
        </w:rPr>
        <w:t>solely on</w:t>
      </w:r>
      <w:r>
        <w:rPr>
          <w:color w:val="211F1F"/>
          <w:spacing w:val="-10"/>
        </w:rPr>
        <w:t xml:space="preserve"> </w:t>
      </w:r>
      <w:r>
        <w:rPr>
          <w:color w:val="211F1F"/>
          <w:spacing w:val="-4"/>
        </w:rPr>
        <w:t>the</w:t>
      </w:r>
      <w:r>
        <w:rPr>
          <w:color w:val="211F1F"/>
          <w:spacing w:val="-10"/>
        </w:rPr>
        <w:t xml:space="preserve"> </w:t>
      </w:r>
      <w:r>
        <w:rPr>
          <w:color w:val="211F1F"/>
          <w:spacing w:val="-4"/>
        </w:rPr>
        <w:t>Works, and</w:t>
      </w:r>
      <w:r>
        <w:rPr>
          <w:color w:val="211F1F"/>
          <w:spacing w:val="-6"/>
        </w:rPr>
        <w:t xml:space="preserve"> </w:t>
      </w:r>
      <w:r>
        <w:rPr>
          <w:color w:val="211F1F"/>
          <w:spacing w:val="-4"/>
        </w:rPr>
        <w:t>the</w:t>
      </w:r>
      <w:r>
        <w:rPr>
          <w:color w:val="211F1F"/>
          <w:spacing w:val="-7"/>
        </w:rPr>
        <w:t xml:space="preserve"> </w:t>
      </w:r>
      <w:r>
        <w:rPr>
          <w:color w:val="211F1F"/>
          <w:spacing w:val="-4"/>
        </w:rPr>
        <w:t>Contractor's costs of protecting</w:t>
      </w:r>
      <w:r>
        <w:rPr>
          <w:color w:val="211F1F"/>
          <w:spacing w:val="-6"/>
        </w:rPr>
        <w:t xml:space="preserve"> </w:t>
      </w:r>
      <w:r>
        <w:rPr>
          <w:color w:val="211F1F"/>
          <w:spacing w:val="-4"/>
        </w:rPr>
        <w:t>and</w:t>
      </w:r>
      <w:r>
        <w:rPr>
          <w:color w:val="211F1F"/>
          <w:spacing w:val="-6"/>
        </w:rPr>
        <w:t xml:space="preserve"> </w:t>
      </w:r>
      <w:r>
        <w:rPr>
          <w:color w:val="211F1F"/>
          <w:spacing w:val="-4"/>
        </w:rPr>
        <w:t>securing</w:t>
      </w:r>
      <w:r>
        <w:rPr>
          <w:color w:val="211F1F"/>
          <w:spacing w:val="-8"/>
        </w:rPr>
        <w:t xml:space="preserve"> </w:t>
      </w:r>
      <w:r>
        <w:rPr>
          <w:color w:val="211F1F"/>
          <w:spacing w:val="-4"/>
        </w:rPr>
        <w:t>the</w:t>
      </w:r>
      <w:r>
        <w:rPr>
          <w:color w:val="211F1F"/>
          <w:spacing w:val="-7"/>
        </w:rPr>
        <w:t xml:space="preserve"> </w:t>
      </w:r>
      <w:r>
        <w:rPr>
          <w:color w:val="211F1F"/>
          <w:spacing w:val="-4"/>
        </w:rPr>
        <w:t>Works, and</w:t>
      </w:r>
      <w:r>
        <w:rPr>
          <w:color w:val="211F1F"/>
          <w:spacing w:val="-10"/>
        </w:rPr>
        <w:t xml:space="preserve"> </w:t>
      </w:r>
      <w:r>
        <w:rPr>
          <w:color w:val="211F1F"/>
          <w:spacing w:val="-4"/>
        </w:rPr>
        <w:t xml:space="preserve">less advance </w:t>
      </w:r>
      <w:bookmarkStart w:id="247" w:name="59._Property"/>
      <w:bookmarkEnd w:id="247"/>
      <w:r>
        <w:rPr>
          <w:color w:val="211F1F"/>
        </w:rPr>
        <w:t>payments received up to the date of the certificate.</w:t>
      </w:r>
    </w:p>
    <w:p w14:paraId="67891884" w14:textId="77777777" w:rsidR="00BB77C0" w:rsidRDefault="00370BAA">
      <w:pPr>
        <w:pStyle w:val="Heading7"/>
        <w:numPr>
          <w:ilvl w:val="0"/>
          <w:numId w:val="23"/>
        </w:numPr>
        <w:tabs>
          <w:tab w:val="left" w:pos="1075"/>
        </w:tabs>
        <w:spacing w:before="242"/>
        <w:ind w:left="1075" w:hanging="360"/>
        <w:jc w:val="both"/>
      </w:pPr>
      <w:r>
        <w:rPr>
          <w:color w:val="211F1F"/>
          <w:spacing w:val="-2"/>
        </w:rPr>
        <w:t>Property</w:t>
      </w:r>
    </w:p>
    <w:p w14:paraId="117E71C6" w14:textId="77777777" w:rsidR="00BB77C0" w:rsidRDefault="00370BAA">
      <w:pPr>
        <w:pStyle w:val="ListParagraph"/>
        <w:numPr>
          <w:ilvl w:val="1"/>
          <w:numId w:val="23"/>
        </w:numPr>
        <w:tabs>
          <w:tab w:val="left" w:pos="1168"/>
          <w:tab w:val="left" w:pos="1171"/>
        </w:tabs>
        <w:spacing w:before="194" w:line="228" w:lineRule="auto"/>
        <w:ind w:right="839" w:hanging="360"/>
        <w:jc w:val="both"/>
        <w:rPr>
          <w:color w:val="211F1F"/>
        </w:rPr>
      </w:pPr>
      <w:r>
        <w:rPr>
          <w:color w:val="211F1F"/>
        </w:rPr>
        <w:t>All</w:t>
      </w:r>
      <w:r>
        <w:rPr>
          <w:color w:val="211F1F"/>
          <w:spacing w:val="-14"/>
        </w:rPr>
        <w:t xml:space="preserve"> </w:t>
      </w:r>
      <w:r>
        <w:rPr>
          <w:color w:val="211F1F"/>
        </w:rPr>
        <w:t>Materials</w:t>
      </w:r>
      <w:r>
        <w:rPr>
          <w:color w:val="211F1F"/>
          <w:spacing w:val="-10"/>
        </w:rPr>
        <w:t xml:space="preserve"> </w:t>
      </w:r>
      <w:r>
        <w:rPr>
          <w:color w:val="211F1F"/>
        </w:rPr>
        <w:t>on</w:t>
      </w:r>
      <w:r>
        <w:rPr>
          <w:color w:val="211F1F"/>
          <w:spacing w:val="-10"/>
        </w:rPr>
        <w:t xml:space="preserve"> </w:t>
      </w:r>
      <w:r>
        <w:rPr>
          <w:color w:val="211F1F"/>
        </w:rPr>
        <w:t>the</w:t>
      </w:r>
      <w:r>
        <w:rPr>
          <w:color w:val="211F1F"/>
          <w:spacing w:val="-12"/>
        </w:rPr>
        <w:t xml:space="preserve"> </w:t>
      </w:r>
      <w:r>
        <w:rPr>
          <w:color w:val="211F1F"/>
        </w:rPr>
        <w:t>Site,</w:t>
      </w:r>
      <w:r>
        <w:rPr>
          <w:color w:val="211F1F"/>
          <w:spacing w:val="-4"/>
        </w:rPr>
        <w:t xml:space="preserve"> </w:t>
      </w:r>
      <w:r>
        <w:rPr>
          <w:color w:val="211F1F"/>
        </w:rPr>
        <w:t>Plant,</w:t>
      </w:r>
      <w:r>
        <w:rPr>
          <w:color w:val="211F1F"/>
          <w:spacing w:val="-8"/>
        </w:rPr>
        <w:t xml:space="preserve"> </w:t>
      </w:r>
      <w:r>
        <w:rPr>
          <w:color w:val="211F1F"/>
        </w:rPr>
        <w:t>Equipment,</w:t>
      </w:r>
      <w:r>
        <w:rPr>
          <w:color w:val="211F1F"/>
          <w:spacing w:val="-8"/>
        </w:rPr>
        <w:t xml:space="preserve"> </w:t>
      </w:r>
      <w:r>
        <w:rPr>
          <w:color w:val="211F1F"/>
        </w:rPr>
        <w:t>Temporary</w:t>
      </w:r>
      <w:r>
        <w:rPr>
          <w:color w:val="211F1F"/>
          <w:spacing w:val="-14"/>
        </w:rPr>
        <w:t xml:space="preserve"> </w:t>
      </w:r>
      <w:r>
        <w:rPr>
          <w:color w:val="211F1F"/>
        </w:rPr>
        <w:t>Works,</w:t>
      </w:r>
      <w:r>
        <w:rPr>
          <w:color w:val="211F1F"/>
          <w:spacing w:val="-7"/>
        </w:rPr>
        <w:t xml:space="preserve"> </w:t>
      </w:r>
      <w:r>
        <w:rPr>
          <w:color w:val="211F1F"/>
        </w:rPr>
        <w:t>and</w:t>
      </w:r>
      <w:r>
        <w:rPr>
          <w:color w:val="211F1F"/>
          <w:spacing w:val="-14"/>
        </w:rPr>
        <w:t xml:space="preserve"> </w:t>
      </w:r>
      <w:r>
        <w:rPr>
          <w:color w:val="211F1F"/>
        </w:rPr>
        <w:t>Works</w:t>
      </w:r>
      <w:r>
        <w:rPr>
          <w:color w:val="211F1F"/>
          <w:spacing w:val="-9"/>
        </w:rPr>
        <w:t xml:space="preserve"> </w:t>
      </w:r>
      <w:r>
        <w:rPr>
          <w:color w:val="211F1F"/>
        </w:rPr>
        <w:t>shall</w:t>
      </w:r>
      <w:r>
        <w:rPr>
          <w:color w:val="211F1F"/>
          <w:spacing w:val="-9"/>
        </w:rPr>
        <w:t xml:space="preserve"> </w:t>
      </w:r>
      <w:r>
        <w:rPr>
          <w:color w:val="211F1F"/>
        </w:rPr>
        <w:t>be</w:t>
      </w:r>
      <w:r>
        <w:rPr>
          <w:color w:val="211F1F"/>
          <w:spacing w:val="-12"/>
        </w:rPr>
        <w:t xml:space="preserve"> </w:t>
      </w:r>
      <w:r>
        <w:rPr>
          <w:color w:val="211F1F"/>
        </w:rPr>
        <w:t>deemed</w:t>
      </w:r>
      <w:r>
        <w:rPr>
          <w:color w:val="211F1F"/>
          <w:spacing w:val="-10"/>
        </w:rPr>
        <w:t xml:space="preserve"> </w:t>
      </w:r>
      <w:r>
        <w:rPr>
          <w:color w:val="211F1F"/>
        </w:rPr>
        <w:t>to</w:t>
      </w:r>
      <w:r>
        <w:rPr>
          <w:color w:val="211F1F"/>
          <w:spacing w:val="-10"/>
        </w:rPr>
        <w:t xml:space="preserve"> </w:t>
      </w:r>
      <w:r>
        <w:rPr>
          <w:color w:val="211F1F"/>
        </w:rPr>
        <w:t>be</w:t>
      </w:r>
      <w:r>
        <w:rPr>
          <w:color w:val="211F1F"/>
          <w:spacing w:val="-12"/>
        </w:rPr>
        <w:t xml:space="preserve"> </w:t>
      </w:r>
      <w:r>
        <w:rPr>
          <w:color w:val="211F1F"/>
        </w:rPr>
        <w:t>the</w:t>
      </w:r>
      <w:r>
        <w:rPr>
          <w:color w:val="211F1F"/>
          <w:spacing w:val="-12"/>
        </w:rPr>
        <w:t xml:space="preserve"> </w:t>
      </w:r>
      <w:r>
        <w:rPr>
          <w:color w:val="211F1F"/>
        </w:rPr>
        <w:t>property of the</w:t>
      </w:r>
      <w:r>
        <w:rPr>
          <w:color w:val="211F1F"/>
          <w:spacing w:val="-9"/>
        </w:rPr>
        <w:t xml:space="preserve"> </w:t>
      </w:r>
      <w:r>
        <w:rPr>
          <w:color w:val="211F1F"/>
        </w:rPr>
        <w:t>Procuring</w:t>
      </w:r>
      <w:r>
        <w:rPr>
          <w:color w:val="211F1F"/>
          <w:spacing w:val="-7"/>
        </w:rPr>
        <w:t xml:space="preserve"> </w:t>
      </w:r>
      <w:r>
        <w:rPr>
          <w:color w:val="211F1F"/>
        </w:rPr>
        <w:t>Entity</w:t>
      </w:r>
      <w:r>
        <w:rPr>
          <w:color w:val="211F1F"/>
          <w:spacing w:val="-8"/>
        </w:rPr>
        <w:t xml:space="preserve"> </w:t>
      </w:r>
      <w:r>
        <w:rPr>
          <w:color w:val="211F1F"/>
        </w:rPr>
        <w:t>if</w:t>
      </w:r>
      <w:r>
        <w:rPr>
          <w:color w:val="211F1F"/>
          <w:spacing w:val="-4"/>
        </w:rPr>
        <w:t xml:space="preserve"> </w:t>
      </w:r>
      <w:r>
        <w:rPr>
          <w:color w:val="211F1F"/>
        </w:rPr>
        <w:t>the</w:t>
      </w:r>
      <w:r>
        <w:rPr>
          <w:color w:val="211F1F"/>
          <w:spacing w:val="-11"/>
        </w:rPr>
        <w:t xml:space="preserve"> </w:t>
      </w:r>
      <w:r>
        <w:rPr>
          <w:color w:val="211F1F"/>
        </w:rPr>
        <w:t>Contract is terminated</w:t>
      </w:r>
      <w:r>
        <w:rPr>
          <w:color w:val="211F1F"/>
          <w:spacing w:val="-7"/>
        </w:rPr>
        <w:t xml:space="preserve"> </w:t>
      </w:r>
      <w:r>
        <w:rPr>
          <w:color w:val="211F1F"/>
        </w:rPr>
        <w:t>because</w:t>
      </w:r>
      <w:r>
        <w:rPr>
          <w:color w:val="211F1F"/>
          <w:spacing w:val="-3"/>
        </w:rPr>
        <w:t xml:space="preserve"> </w:t>
      </w:r>
      <w:r>
        <w:rPr>
          <w:color w:val="211F1F"/>
        </w:rPr>
        <w:t>of</w:t>
      </w:r>
      <w:r>
        <w:rPr>
          <w:color w:val="211F1F"/>
          <w:spacing w:val="-4"/>
        </w:rPr>
        <w:t xml:space="preserve"> </w:t>
      </w:r>
      <w:r>
        <w:rPr>
          <w:color w:val="211F1F"/>
        </w:rPr>
        <w:t>the</w:t>
      </w:r>
      <w:r>
        <w:rPr>
          <w:color w:val="211F1F"/>
          <w:spacing w:val="-11"/>
        </w:rPr>
        <w:t xml:space="preserve"> </w:t>
      </w:r>
      <w:r>
        <w:rPr>
          <w:color w:val="211F1F"/>
        </w:rPr>
        <w:t>Contractor's default.</w:t>
      </w:r>
    </w:p>
    <w:p w14:paraId="3ADF6909" w14:textId="77777777" w:rsidR="00BB77C0" w:rsidRDefault="00BB77C0">
      <w:pPr>
        <w:pStyle w:val="ListParagraph"/>
        <w:spacing w:line="228" w:lineRule="auto"/>
        <w:jc w:val="both"/>
        <w:sectPr w:rsidR="00BB77C0">
          <w:pgSz w:w="11920" w:h="16850"/>
          <w:pgMar w:top="260" w:right="0" w:bottom="280" w:left="360" w:header="720" w:footer="720" w:gutter="0"/>
          <w:cols w:space="720"/>
        </w:sectPr>
      </w:pPr>
    </w:p>
    <w:p w14:paraId="27CD4946" w14:textId="77777777" w:rsidR="00BB77C0" w:rsidRDefault="00370BAA">
      <w:pPr>
        <w:pStyle w:val="Heading7"/>
        <w:numPr>
          <w:ilvl w:val="0"/>
          <w:numId w:val="23"/>
        </w:numPr>
        <w:tabs>
          <w:tab w:val="left" w:pos="1080"/>
        </w:tabs>
        <w:spacing w:before="64"/>
        <w:ind w:left="1080" w:hanging="360"/>
        <w:jc w:val="left"/>
      </w:pPr>
      <w:bookmarkStart w:id="248" w:name="60._Release_from_Performance"/>
      <w:bookmarkEnd w:id="248"/>
      <w:r>
        <w:rPr>
          <w:color w:val="211F1F"/>
          <w:spacing w:val="-4"/>
        </w:rPr>
        <w:lastRenderedPageBreak/>
        <w:t>Release from</w:t>
      </w:r>
      <w:r>
        <w:rPr>
          <w:color w:val="211F1F"/>
          <w:spacing w:val="-14"/>
        </w:rPr>
        <w:t xml:space="preserve"> </w:t>
      </w:r>
      <w:r>
        <w:rPr>
          <w:color w:val="211F1F"/>
          <w:spacing w:val="-4"/>
        </w:rPr>
        <w:t>Performance</w:t>
      </w:r>
    </w:p>
    <w:p w14:paraId="0980D574" w14:textId="77777777" w:rsidR="00BB77C0" w:rsidRDefault="00370BAA">
      <w:pPr>
        <w:pStyle w:val="ListParagraph"/>
        <w:numPr>
          <w:ilvl w:val="1"/>
          <w:numId w:val="23"/>
        </w:numPr>
        <w:tabs>
          <w:tab w:val="left" w:pos="1163"/>
          <w:tab w:val="left" w:pos="1171"/>
        </w:tabs>
        <w:spacing w:before="192" w:line="230" w:lineRule="auto"/>
        <w:ind w:right="834" w:hanging="360"/>
        <w:jc w:val="both"/>
        <w:rPr>
          <w:color w:val="211F1F"/>
        </w:rPr>
      </w:pPr>
      <w:r>
        <w:rPr>
          <w:color w:val="211F1F"/>
          <w:spacing w:val="-2"/>
        </w:rPr>
        <w:t>If</w:t>
      </w:r>
      <w:r>
        <w:rPr>
          <w:color w:val="211F1F"/>
          <w:spacing w:val="-12"/>
        </w:rPr>
        <w:t xml:space="preserve"> </w:t>
      </w:r>
      <w:r>
        <w:rPr>
          <w:color w:val="211F1F"/>
          <w:spacing w:val="-2"/>
        </w:rPr>
        <w:t>the</w:t>
      </w:r>
      <w:r>
        <w:rPr>
          <w:color w:val="211F1F"/>
          <w:spacing w:val="-12"/>
        </w:rPr>
        <w:t xml:space="preserve"> </w:t>
      </w:r>
      <w:r>
        <w:rPr>
          <w:color w:val="211F1F"/>
          <w:spacing w:val="-2"/>
        </w:rPr>
        <w:t>Contract</w:t>
      </w:r>
      <w:r>
        <w:rPr>
          <w:color w:val="211F1F"/>
          <w:spacing w:val="-12"/>
        </w:rPr>
        <w:t xml:space="preserve"> </w:t>
      </w:r>
      <w:r>
        <w:rPr>
          <w:color w:val="211F1F"/>
          <w:spacing w:val="-2"/>
        </w:rPr>
        <w:t>is</w:t>
      </w:r>
      <w:r>
        <w:rPr>
          <w:color w:val="211F1F"/>
          <w:spacing w:val="-11"/>
        </w:rPr>
        <w:t xml:space="preserve"> </w:t>
      </w:r>
      <w:r>
        <w:rPr>
          <w:color w:val="211F1F"/>
          <w:spacing w:val="-2"/>
        </w:rPr>
        <w:t>frustrated</w:t>
      </w:r>
      <w:r>
        <w:rPr>
          <w:color w:val="211F1F"/>
          <w:spacing w:val="-12"/>
        </w:rPr>
        <w:t xml:space="preserve"> </w:t>
      </w:r>
      <w:r>
        <w:rPr>
          <w:color w:val="211F1F"/>
          <w:spacing w:val="-2"/>
        </w:rPr>
        <w:t>by</w:t>
      </w:r>
      <w:r>
        <w:rPr>
          <w:color w:val="211F1F"/>
          <w:spacing w:val="-8"/>
        </w:rPr>
        <w:t xml:space="preserve"> </w:t>
      </w:r>
      <w:r>
        <w:rPr>
          <w:color w:val="211F1F"/>
          <w:spacing w:val="-2"/>
        </w:rPr>
        <w:t>the</w:t>
      </w:r>
      <w:r>
        <w:rPr>
          <w:color w:val="211F1F"/>
          <w:spacing w:val="-9"/>
        </w:rPr>
        <w:t xml:space="preserve"> </w:t>
      </w:r>
      <w:r>
        <w:rPr>
          <w:color w:val="211F1F"/>
          <w:spacing w:val="-2"/>
        </w:rPr>
        <w:t>outbreak</w:t>
      </w:r>
      <w:r>
        <w:rPr>
          <w:color w:val="211F1F"/>
          <w:spacing w:val="-12"/>
        </w:rPr>
        <w:t xml:space="preserve"> </w:t>
      </w:r>
      <w:r>
        <w:rPr>
          <w:color w:val="211F1F"/>
          <w:spacing w:val="-2"/>
        </w:rPr>
        <w:t>of</w:t>
      </w:r>
      <w:r>
        <w:rPr>
          <w:color w:val="211F1F"/>
          <w:spacing w:val="-3"/>
        </w:rPr>
        <w:t xml:space="preserve"> </w:t>
      </w:r>
      <w:r>
        <w:rPr>
          <w:color w:val="211F1F"/>
          <w:spacing w:val="-2"/>
        </w:rPr>
        <w:t>war</w:t>
      </w:r>
      <w:r>
        <w:rPr>
          <w:color w:val="211F1F"/>
          <w:spacing w:val="-4"/>
        </w:rPr>
        <w:t xml:space="preserve"> </w:t>
      </w:r>
      <w:r>
        <w:rPr>
          <w:color w:val="211F1F"/>
          <w:spacing w:val="-2"/>
        </w:rPr>
        <w:t>or</w:t>
      </w:r>
      <w:r>
        <w:rPr>
          <w:color w:val="211F1F"/>
          <w:spacing w:val="-9"/>
        </w:rPr>
        <w:t xml:space="preserve"> </w:t>
      </w:r>
      <w:r>
        <w:rPr>
          <w:color w:val="211F1F"/>
          <w:spacing w:val="-2"/>
        </w:rPr>
        <w:t>by</w:t>
      </w:r>
      <w:r>
        <w:rPr>
          <w:color w:val="211F1F"/>
          <w:spacing w:val="-12"/>
        </w:rPr>
        <w:t xml:space="preserve"> </w:t>
      </w:r>
      <w:r>
        <w:rPr>
          <w:color w:val="211F1F"/>
          <w:spacing w:val="-2"/>
        </w:rPr>
        <w:t>any</w:t>
      </w:r>
      <w:r>
        <w:rPr>
          <w:color w:val="211F1F"/>
          <w:spacing w:val="-11"/>
        </w:rPr>
        <w:t xml:space="preserve"> </w:t>
      </w:r>
      <w:r>
        <w:rPr>
          <w:color w:val="211F1F"/>
          <w:spacing w:val="-2"/>
        </w:rPr>
        <w:t>other</w:t>
      </w:r>
      <w:r>
        <w:rPr>
          <w:color w:val="211F1F"/>
          <w:spacing w:val="-4"/>
        </w:rPr>
        <w:t xml:space="preserve"> </w:t>
      </w:r>
      <w:r>
        <w:rPr>
          <w:color w:val="211F1F"/>
          <w:spacing w:val="-2"/>
        </w:rPr>
        <w:t>event</w:t>
      </w:r>
      <w:r>
        <w:rPr>
          <w:color w:val="211F1F"/>
          <w:spacing w:val="-6"/>
        </w:rPr>
        <w:t xml:space="preserve"> </w:t>
      </w:r>
      <w:r>
        <w:rPr>
          <w:color w:val="211F1F"/>
          <w:spacing w:val="-2"/>
        </w:rPr>
        <w:t>entirely</w:t>
      </w:r>
      <w:r>
        <w:rPr>
          <w:color w:val="211F1F"/>
          <w:spacing w:val="-11"/>
        </w:rPr>
        <w:t xml:space="preserve"> </w:t>
      </w:r>
      <w:r>
        <w:rPr>
          <w:color w:val="211F1F"/>
          <w:spacing w:val="-2"/>
        </w:rPr>
        <w:t>outside</w:t>
      </w:r>
      <w:r>
        <w:rPr>
          <w:color w:val="211F1F"/>
          <w:spacing w:val="-12"/>
        </w:rPr>
        <w:t xml:space="preserve"> </w:t>
      </w:r>
      <w:r>
        <w:rPr>
          <w:color w:val="211F1F"/>
          <w:spacing w:val="-2"/>
        </w:rPr>
        <w:t>the</w:t>
      </w:r>
      <w:r>
        <w:rPr>
          <w:color w:val="211F1F"/>
          <w:spacing w:val="-12"/>
        </w:rPr>
        <w:t xml:space="preserve"> </w:t>
      </w:r>
      <w:r>
        <w:rPr>
          <w:color w:val="211F1F"/>
          <w:spacing w:val="-2"/>
        </w:rPr>
        <w:t>control</w:t>
      </w:r>
      <w:r>
        <w:rPr>
          <w:color w:val="211F1F"/>
          <w:spacing w:val="-5"/>
        </w:rPr>
        <w:t xml:space="preserve"> </w:t>
      </w:r>
      <w:r>
        <w:rPr>
          <w:color w:val="211F1F"/>
          <w:spacing w:val="-2"/>
        </w:rPr>
        <w:t>of</w:t>
      </w:r>
      <w:r>
        <w:rPr>
          <w:color w:val="211F1F"/>
          <w:spacing w:val="-4"/>
        </w:rPr>
        <w:t xml:space="preserve"> </w:t>
      </w:r>
      <w:r>
        <w:rPr>
          <w:color w:val="211F1F"/>
          <w:spacing w:val="-2"/>
        </w:rPr>
        <w:t>either</w:t>
      </w:r>
      <w:r>
        <w:rPr>
          <w:color w:val="211F1F"/>
          <w:spacing w:val="-4"/>
        </w:rPr>
        <w:t xml:space="preserve"> </w:t>
      </w:r>
      <w:r>
        <w:rPr>
          <w:color w:val="211F1F"/>
          <w:spacing w:val="-2"/>
        </w:rPr>
        <w:t xml:space="preserve">the </w:t>
      </w:r>
      <w:r>
        <w:rPr>
          <w:color w:val="211F1F"/>
        </w:rPr>
        <w:t>Procuring</w:t>
      </w:r>
      <w:r>
        <w:rPr>
          <w:color w:val="211F1F"/>
          <w:spacing w:val="-14"/>
        </w:rPr>
        <w:t xml:space="preserve"> </w:t>
      </w:r>
      <w:r>
        <w:rPr>
          <w:color w:val="211F1F"/>
        </w:rPr>
        <w:t>Entity</w:t>
      </w:r>
      <w:r>
        <w:rPr>
          <w:color w:val="211F1F"/>
          <w:spacing w:val="-14"/>
        </w:rPr>
        <w:t xml:space="preserve"> </w:t>
      </w:r>
      <w:r>
        <w:rPr>
          <w:color w:val="211F1F"/>
        </w:rPr>
        <w:t>or</w:t>
      </w:r>
      <w:r>
        <w:rPr>
          <w:color w:val="211F1F"/>
          <w:spacing w:val="-14"/>
        </w:rPr>
        <w:t xml:space="preserve"> </w:t>
      </w:r>
      <w:r>
        <w:rPr>
          <w:color w:val="211F1F"/>
        </w:rPr>
        <w:t>the</w:t>
      </w:r>
      <w:r>
        <w:rPr>
          <w:color w:val="211F1F"/>
          <w:spacing w:val="-13"/>
        </w:rPr>
        <w:t xml:space="preserve"> </w:t>
      </w:r>
      <w:r>
        <w:rPr>
          <w:color w:val="211F1F"/>
        </w:rPr>
        <w:t>Contractor,</w:t>
      </w:r>
      <w:r>
        <w:rPr>
          <w:color w:val="211F1F"/>
          <w:spacing w:val="-14"/>
        </w:rPr>
        <w:t xml:space="preserve"> </w:t>
      </w:r>
      <w:r>
        <w:rPr>
          <w:color w:val="211F1F"/>
        </w:rPr>
        <w:t>the</w:t>
      </w:r>
      <w:r>
        <w:rPr>
          <w:color w:val="211F1F"/>
          <w:spacing w:val="-14"/>
        </w:rPr>
        <w:t xml:space="preserve"> </w:t>
      </w:r>
      <w:r>
        <w:rPr>
          <w:color w:val="211F1F"/>
        </w:rPr>
        <w:t>Project</w:t>
      </w:r>
      <w:r>
        <w:rPr>
          <w:color w:val="211F1F"/>
          <w:spacing w:val="-9"/>
        </w:rPr>
        <w:t xml:space="preserve"> </w:t>
      </w:r>
      <w:r>
        <w:rPr>
          <w:color w:val="211F1F"/>
        </w:rPr>
        <w:t>Manager</w:t>
      </w:r>
      <w:r>
        <w:rPr>
          <w:color w:val="211F1F"/>
          <w:spacing w:val="-8"/>
        </w:rPr>
        <w:t xml:space="preserve"> </w:t>
      </w:r>
      <w:r>
        <w:rPr>
          <w:color w:val="211F1F"/>
        </w:rPr>
        <w:t>shall</w:t>
      </w:r>
      <w:r>
        <w:rPr>
          <w:color w:val="211F1F"/>
          <w:spacing w:val="-14"/>
        </w:rPr>
        <w:t xml:space="preserve"> </w:t>
      </w:r>
      <w:r>
        <w:rPr>
          <w:color w:val="211F1F"/>
        </w:rPr>
        <w:t>certify</w:t>
      </w:r>
      <w:r>
        <w:rPr>
          <w:color w:val="211F1F"/>
          <w:spacing w:val="-14"/>
        </w:rPr>
        <w:t xml:space="preserve"> </w:t>
      </w:r>
      <w:r>
        <w:rPr>
          <w:color w:val="211F1F"/>
        </w:rPr>
        <w:t>that</w:t>
      </w:r>
      <w:r>
        <w:rPr>
          <w:color w:val="211F1F"/>
          <w:spacing w:val="-8"/>
        </w:rPr>
        <w:t xml:space="preserve"> </w:t>
      </w:r>
      <w:r>
        <w:rPr>
          <w:color w:val="211F1F"/>
        </w:rPr>
        <w:t>the</w:t>
      </w:r>
      <w:r>
        <w:rPr>
          <w:color w:val="211F1F"/>
          <w:spacing w:val="-13"/>
        </w:rPr>
        <w:t xml:space="preserve"> </w:t>
      </w:r>
      <w:r>
        <w:rPr>
          <w:color w:val="211F1F"/>
        </w:rPr>
        <w:t>Contract</w:t>
      </w:r>
      <w:r>
        <w:rPr>
          <w:color w:val="211F1F"/>
          <w:spacing w:val="-9"/>
        </w:rPr>
        <w:t xml:space="preserve"> </w:t>
      </w:r>
      <w:r>
        <w:rPr>
          <w:color w:val="211F1F"/>
        </w:rPr>
        <w:t>has</w:t>
      </w:r>
      <w:r>
        <w:rPr>
          <w:color w:val="211F1F"/>
          <w:spacing w:val="-11"/>
        </w:rPr>
        <w:t xml:space="preserve"> </w:t>
      </w:r>
      <w:r>
        <w:rPr>
          <w:color w:val="211F1F"/>
        </w:rPr>
        <w:t>been</w:t>
      </w:r>
      <w:r>
        <w:rPr>
          <w:color w:val="211F1F"/>
          <w:spacing w:val="-14"/>
        </w:rPr>
        <w:t xml:space="preserve"> </w:t>
      </w:r>
      <w:r>
        <w:rPr>
          <w:color w:val="211F1F"/>
        </w:rPr>
        <w:t>frustrated.</w:t>
      </w:r>
      <w:r>
        <w:rPr>
          <w:color w:val="211F1F"/>
          <w:spacing w:val="-8"/>
        </w:rPr>
        <w:t xml:space="preserve"> </w:t>
      </w:r>
      <w:r>
        <w:rPr>
          <w:color w:val="211F1F"/>
        </w:rPr>
        <w:t xml:space="preserve">The </w:t>
      </w:r>
      <w:r>
        <w:rPr>
          <w:color w:val="211F1F"/>
          <w:spacing w:val="-2"/>
        </w:rPr>
        <w:t>Contractor</w:t>
      </w:r>
      <w:r>
        <w:rPr>
          <w:color w:val="211F1F"/>
          <w:spacing w:val="-4"/>
        </w:rPr>
        <w:t xml:space="preserve"> </w:t>
      </w:r>
      <w:r>
        <w:rPr>
          <w:color w:val="211F1F"/>
          <w:spacing w:val="-2"/>
        </w:rPr>
        <w:t>shall</w:t>
      </w:r>
      <w:r>
        <w:rPr>
          <w:color w:val="211F1F"/>
          <w:spacing w:val="-5"/>
        </w:rPr>
        <w:t xml:space="preserve"> </w:t>
      </w:r>
      <w:r>
        <w:rPr>
          <w:color w:val="211F1F"/>
          <w:spacing w:val="-2"/>
        </w:rPr>
        <w:t>make</w:t>
      </w:r>
      <w:r>
        <w:rPr>
          <w:color w:val="211F1F"/>
          <w:spacing w:val="-8"/>
        </w:rPr>
        <w:t xml:space="preserve"> </w:t>
      </w:r>
      <w:r>
        <w:rPr>
          <w:color w:val="211F1F"/>
          <w:spacing w:val="-2"/>
        </w:rPr>
        <w:t>the</w:t>
      </w:r>
      <w:r>
        <w:rPr>
          <w:color w:val="211F1F"/>
          <w:spacing w:val="-8"/>
        </w:rPr>
        <w:t xml:space="preserve"> </w:t>
      </w:r>
      <w:r>
        <w:rPr>
          <w:color w:val="211F1F"/>
          <w:spacing w:val="-2"/>
        </w:rPr>
        <w:t>Site</w:t>
      </w:r>
      <w:r>
        <w:rPr>
          <w:color w:val="211F1F"/>
          <w:spacing w:val="-7"/>
        </w:rPr>
        <w:t xml:space="preserve"> </w:t>
      </w:r>
      <w:r>
        <w:rPr>
          <w:color w:val="211F1F"/>
          <w:spacing w:val="-2"/>
        </w:rPr>
        <w:t>safe</w:t>
      </w:r>
      <w:r>
        <w:rPr>
          <w:color w:val="211F1F"/>
          <w:spacing w:val="-12"/>
        </w:rPr>
        <w:t xml:space="preserve"> </w:t>
      </w:r>
      <w:r>
        <w:rPr>
          <w:color w:val="211F1F"/>
          <w:spacing w:val="-2"/>
        </w:rPr>
        <w:t>and</w:t>
      </w:r>
      <w:r>
        <w:rPr>
          <w:color w:val="211F1F"/>
          <w:spacing w:val="-6"/>
        </w:rPr>
        <w:t xml:space="preserve"> </w:t>
      </w:r>
      <w:r>
        <w:rPr>
          <w:color w:val="211F1F"/>
          <w:spacing w:val="-2"/>
        </w:rPr>
        <w:t>stop work</w:t>
      </w:r>
      <w:r>
        <w:rPr>
          <w:color w:val="211F1F"/>
          <w:spacing w:val="-12"/>
        </w:rPr>
        <w:t xml:space="preserve"> </w:t>
      </w:r>
      <w:r>
        <w:rPr>
          <w:color w:val="211F1F"/>
          <w:spacing w:val="-2"/>
        </w:rPr>
        <w:t>as</w:t>
      </w:r>
      <w:r>
        <w:rPr>
          <w:color w:val="211F1F"/>
          <w:spacing w:val="-6"/>
        </w:rPr>
        <w:t xml:space="preserve"> </w:t>
      </w:r>
      <w:r>
        <w:rPr>
          <w:color w:val="211F1F"/>
          <w:spacing w:val="-2"/>
        </w:rPr>
        <w:t>quickly</w:t>
      </w:r>
      <w:r>
        <w:rPr>
          <w:color w:val="211F1F"/>
          <w:spacing w:val="-6"/>
        </w:rPr>
        <w:t xml:space="preserve"> </w:t>
      </w:r>
      <w:r>
        <w:rPr>
          <w:color w:val="211F1F"/>
          <w:spacing w:val="-2"/>
        </w:rPr>
        <w:t>as</w:t>
      </w:r>
      <w:r>
        <w:rPr>
          <w:color w:val="211F1F"/>
          <w:spacing w:val="-6"/>
        </w:rPr>
        <w:t xml:space="preserve"> </w:t>
      </w:r>
      <w:r>
        <w:rPr>
          <w:color w:val="211F1F"/>
          <w:spacing w:val="-2"/>
        </w:rPr>
        <w:t>possible</w:t>
      </w:r>
      <w:r>
        <w:rPr>
          <w:color w:val="211F1F"/>
          <w:spacing w:val="-9"/>
        </w:rPr>
        <w:t xml:space="preserve"> </w:t>
      </w:r>
      <w:r>
        <w:rPr>
          <w:color w:val="211F1F"/>
          <w:spacing w:val="-2"/>
        </w:rPr>
        <w:t>after receiving</w:t>
      </w:r>
      <w:r>
        <w:rPr>
          <w:color w:val="211F1F"/>
          <w:spacing w:val="-6"/>
        </w:rPr>
        <w:t xml:space="preserve"> </w:t>
      </w:r>
      <w:r>
        <w:rPr>
          <w:color w:val="211F1F"/>
          <w:spacing w:val="-2"/>
        </w:rPr>
        <w:t>this certificate</w:t>
      </w:r>
      <w:r>
        <w:rPr>
          <w:color w:val="211F1F"/>
          <w:spacing w:val="-12"/>
        </w:rPr>
        <w:t xml:space="preserve"> </w:t>
      </w:r>
      <w:r>
        <w:rPr>
          <w:color w:val="211F1F"/>
          <w:spacing w:val="-2"/>
        </w:rPr>
        <w:t>and</w:t>
      </w:r>
      <w:r>
        <w:rPr>
          <w:color w:val="211F1F"/>
          <w:spacing w:val="-11"/>
        </w:rPr>
        <w:t xml:space="preserve"> </w:t>
      </w:r>
      <w:r>
        <w:rPr>
          <w:color w:val="211F1F"/>
          <w:spacing w:val="-2"/>
        </w:rPr>
        <w:t xml:space="preserve">shall </w:t>
      </w:r>
      <w:r>
        <w:rPr>
          <w:color w:val="211F1F"/>
        </w:rPr>
        <w:t>be paid for all work carried out before receiving it and for any work carried out afterwards to which a commitment wasmade.</w:t>
      </w:r>
    </w:p>
    <w:p w14:paraId="2E898082" w14:textId="77777777" w:rsidR="00BB77C0" w:rsidRDefault="00BB77C0">
      <w:pPr>
        <w:pStyle w:val="ListParagraph"/>
        <w:spacing w:line="230" w:lineRule="auto"/>
        <w:jc w:val="both"/>
        <w:sectPr w:rsidR="00BB77C0">
          <w:pgSz w:w="11920" w:h="16850"/>
          <w:pgMar w:top="260" w:right="0" w:bottom="280" w:left="360" w:header="720" w:footer="720" w:gutter="0"/>
          <w:cols w:space="720"/>
        </w:sectPr>
      </w:pPr>
    </w:p>
    <w:p w14:paraId="6C13CBFF" w14:textId="77777777" w:rsidR="00BB77C0" w:rsidRDefault="00370BAA">
      <w:pPr>
        <w:pStyle w:val="Heading5"/>
        <w:spacing w:before="65"/>
        <w:ind w:left="494"/>
      </w:pPr>
      <w:bookmarkStart w:id="249" w:name="SECTION_IX_-_SPECIAL_CONDITIONS_OF_CONTR"/>
      <w:bookmarkEnd w:id="249"/>
      <w:r>
        <w:rPr>
          <w:color w:val="211F1F"/>
        </w:rPr>
        <w:lastRenderedPageBreak/>
        <w:t>SECTION</w:t>
      </w:r>
      <w:r>
        <w:rPr>
          <w:color w:val="211F1F"/>
          <w:spacing w:val="-8"/>
        </w:rPr>
        <w:t xml:space="preserve"> </w:t>
      </w:r>
      <w:r>
        <w:rPr>
          <w:color w:val="211F1F"/>
        </w:rPr>
        <w:t>IX</w:t>
      </w:r>
      <w:r>
        <w:rPr>
          <w:color w:val="211F1F"/>
          <w:spacing w:val="-6"/>
        </w:rPr>
        <w:t xml:space="preserve"> </w:t>
      </w:r>
      <w:r>
        <w:rPr>
          <w:color w:val="211F1F"/>
        </w:rPr>
        <w:t>-</w:t>
      </w:r>
      <w:r>
        <w:rPr>
          <w:color w:val="211F1F"/>
          <w:spacing w:val="-4"/>
        </w:rPr>
        <w:t xml:space="preserve"> </w:t>
      </w:r>
      <w:r>
        <w:rPr>
          <w:color w:val="211F1F"/>
        </w:rPr>
        <w:t>SPECIAL</w:t>
      </w:r>
      <w:r>
        <w:rPr>
          <w:color w:val="211F1F"/>
          <w:spacing w:val="-3"/>
        </w:rPr>
        <w:t xml:space="preserve"> </w:t>
      </w:r>
      <w:r>
        <w:rPr>
          <w:color w:val="211F1F"/>
        </w:rPr>
        <w:t>CONDITIONS</w:t>
      </w:r>
      <w:r>
        <w:rPr>
          <w:color w:val="211F1F"/>
          <w:spacing w:val="1"/>
        </w:rPr>
        <w:t xml:space="preserve"> </w:t>
      </w:r>
      <w:r>
        <w:rPr>
          <w:color w:val="211F1F"/>
        </w:rPr>
        <w:t>OF</w:t>
      </w:r>
      <w:r>
        <w:rPr>
          <w:color w:val="211F1F"/>
          <w:spacing w:val="-8"/>
        </w:rPr>
        <w:t xml:space="preserve"> </w:t>
      </w:r>
      <w:r>
        <w:rPr>
          <w:color w:val="211F1F"/>
          <w:spacing w:val="-2"/>
        </w:rPr>
        <w:t>CONTRACT</w:t>
      </w:r>
    </w:p>
    <w:p w14:paraId="4E85EE7F" w14:textId="77777777" w:rsidR="00BB77C0" w:rsidRDefault="00370BAA">
      <w:pPr>
        <w:spacing w:before="238" w:line="232" w:lineRule="auto"/>
        <w:ind w:left="494" w:right="587"/>
        <w:rPr>
          <w:i/>
        </w:rPr>
      </w:pPr>
      <w:r>
        <w:rPr>
          <w:i/>
          <w:color w:val="211F1F"/>
          <w:spacing w:val="-2"/>
        </w:rPr>
        <w:t>Except</w:t>
      </w:r>
      <w:r>
        <w:rPr>
          <w:i/>
          <w:color w:val="211F1F"/>
          <w:spacing w:val="-5"/>
        </w:rPr>
        <w:t xml:space="preserve"> </w:t>
      </w:r>
      <w:r>
        <w:rPr>
          <w:i/>
          <w:color w:val="211F1F"/>
          <w:spacing w:val="-2"/>
        </w:rPr>
        <w:t>where</w:t>
      </w:r>
      <w:r>
        <w:rPr>
          <w:i/>
          <w:color w:val="211F1F"/>
          <w:spacing w:val="-13"/>
        </w:rPr>
        <w:t xml:space="preserve"> </w:t>
      </w:r>
      <w:r>
        <w:rPr>
          <w:i/>
          <w:color w:val="211F1F"/>
          <w:spacing w:val="-2"/>
        </w:rPr>
        <w:t>otherwise</w:t>
      </w:r>
      <w:r>
        <w:rPr>
          <w:i/>
          <w:color w:val="211F1F"/>
          <w:spacing w:val="-13"/>
        </w:rPr>
        <w:t xml:space="preserve"> </w:t>
      </w:r>
      <w:r>
        <w:rPr>
          <w:i/>
          <w:color w:val="211F1F"/>
          <w:spacing w:val="-2"/>
        </w:rPr>
        <w:t>specified,</w:t>
      </w:r>
      <w:r>
        <w:rPr>
          <w:i/>
          <w:color w:val="211F1F"/>
          <w:spacing w:val="-13"/>
        </w:rPr>
        <w:t xml:space="preserve"> </w:t>
      </w:r>
      <w:r>
        <w:rPr>
          <w:i/>
          <w:color w:val="211F1F"/>
          <w:spacing w:val="-2"/>
        </w:rPr>
        <w:t>all</w:t>
      </w:r>
      <w:r>
        <w:rPr>
          <w:i/>
          <w:color w:val="211F1F"/>
          <w:spacing w:val="-15"/>
        </w:rPr>
        <w:t xml:space="preserve"> </w:t>
      </w:r>
      <w:r>
        <w:rPr>
          <w:color w:val="211F1F"/>
          <w:spacing w:val="-2"/>
        </w:rPr>
        <w:t>Special</w:t>
      </w:r>
      <w:r>
        <w:rPr>
          <w:color w:val="211F1F"/>
          <w:spacing w:val="-14"/>
        </w:rPr>
        <w:t xml:space="preserve"> </w:t>
      </w:r>
      <w:r>
        <w:rPr>
          <w:i/>
          <w:color w:val="211F1F"/>
          <w:spacing w:val="-2"/>
        </w:rPr>
        <w:t>Conditions</w:t>
      </w:r>
      <w:r>
        <w:rPr>
          <w:i/>
          <w:color w:val="211F1F"/>
          <w:spacing w:val="-15"/>
        </w:rPr>
        <w:t xml:space="preserve"> </w:t>
      </w:r>
      <w:r>
        <w:rPr>
          <w:i/>
          <w:color w:val="211F1F"/>
          <w:spacing w:val="-2"/>
        </w:rPr>
        <w:t>of</w:t>
      </w:r>
      <w:r>
        <w:rPr>
          <w:i/>
          <w:color w:val="211F1F"/>
          <w:spacing w:val="-10"/>
        </w:rPr>
        <w:t xml:space="preserve"> </w:t>
      </w:r>
      <w:r>
        <w:rPr>
          <w:i/>
          <w:color w:val="211F1F"/>
          <w:spacing w:val="-2"/>
        </w:rPr>
        <w:t>Contract</w:t>
      </w:r>
      <w:r>
        <w:rPr>
          <w:i/>
          <w:color w:val="211F1F"/>
          <w:spacing w:val="-10"/>
        </w:rPr>
        <w:t xml:space="preserve"> </w:t>
      </w:r>
      <w:r>
        <w:rPr>
          <w:i/>
          <w:color w:val="211F1F"/>
          <w:spacing w:val="-2"/>
        </w:rPr>
        <w:t>should</w:t>
      </w:r>
      <w:r>
        <w:rPr>
          <w:i/>
          <w:color w:val="211F1F"/>
          <w:spacing w:val="-11"/>
        </w:rPr>
        <w:t xml:space="preserve"> </w:t>
      </w:r>
      <w:r>
        <w:rPr>
          <w:i/>
          <w:color w:val="211F1F"/>
          <w:spacing w:val="-2"/>
        </w:rPr>
        <w:t>be</w:t>
      </w:r>
      <w:r>
        <w:rPr>
          <w:i/>
          <w:color w:val="211F1F"/>
          <w:spacing w:val="-13"/>
        </w:rPr>
        <w:t xml:space="preserve"> </w:t>
      </w:r>
      <w:r>
        <w:rPr>
          <w:i/>
          <w:color w:val="211F1F"/>
          <w:spacing w:val="-2"/>
        </w:rPr>
        <w:t>filled</w:t>
      </w:r>
      <w:r>
        <w:rPr>
          <w:i/>
          <w:color w:val="211F1F"/>
          <w:spacing w:val="-20"/>
        </w:rPr>
        <w:t xml:space="preserve"> </w:t>
      </w:r>
      <w:r>
        <w:rPr>
          <w:i/>
          <w:color w:val="211F1F"/>
          <w:spacing w:val="-2"/>
        </w:rPr>
        <w:t>in</w:t>
      </w:r>
      <w:r>
        <w:rPr>
          <w:i/>
          <w:color w:val="211F1F"/>
          <w:spacing w:val="-11"/>
        </w:rPr>
        <w:t xml:space="preserve"> </w:t>
      </w:r>
      <w:r>
        <w:rPr>
          <w:i/>
          <w:color w:val="211F1F"/>
          <w:spacing w:val="-2"/>
        </w:rPr>
        <w:t>by</w:t>
      </w:r>
      <w:r>
        <w:rPr>
          <w:i/>
          <w:color w:val="211F1F"/>
          <w:spacing w:val="-18"/>
        </w:rPr>
        <w:t xml:space="preserve"> </w:t>
      </w:r>
      <w:r>
        <w:rPr>
          <w:i/>
          <w:color w:val="211F1F"/>
          <w:spacing w:val="-2"/>
        </w:rPr>
        <w:t>the</w:t>
      </w:r>
      <w:r>
        <w:rPr>
          <w:i/>
          <w:color w:val="211F1F"/>
          <w:spacing w:val="-8"/>
        </w:rPr>
        <w:t xml:space="preserve"> </w:t>
      </w:r>
      <w:r>
        <w:rPr>
          <w:i/>
          <w:color w:val="211F1F"/>
          <w:spacing w:val="-2"/>
        </w:rPr>
        <w:t>Procuring</w:t>
      </w:r>
      <w:r>
        <w:rPr>
          <w:i/>
          <w:color w:val="211F1F"/>
          <w:spacing w:val="-11"/>
        </w:rPr>
        <w:t xml:space="preserve"> </w:t>
      </w:r>
      <w:r>
        <w:rPr>
          <w:i/>
          <w:color w:val="211F1F"/>
          <w:spacing w:val="-2"/>
        </w:rPr>
        <w:t>Entity</w:t>
      </w:r>
      <w:r>
        <w:rPr>
          <w:i/>
          <w:color w:val="211F1F"/>
          <w:spacing w:val="-17"/>
        </w:rPr>
        <w:t xml:space="preserve"> </w:t>
      </w:r>
      <w:r>
        <w:rPr>
          <w:i/>
          <w:color w:val="211F1F"/>
          <w:spacing w:val="-2"/>
        </w:rPr>
        <w:t>prior</w:t>
      </w:r>
      <w:r>
        <w:rPr>
          <w:i/>
          <w:color w:val="211F1F"/>
          <w:spacing w:val="-16"/>
        </w:rPr>
        <w:t xml:space="preserve"> </w:t>
      </w:r>
      <w:r>
        <w:rPr>
          <w:i/>
          <w:color w:val="211F1F"/>
          <w:spacing w:val="-2"/>
        </w:rPr>
        <w:t xml:space="preserve">to </w:t>
      </w:r>
      <w:r>
        <w:rPr>
          <w:i/>
          <w:color w:val="211F1F"/>
        </w:rPr>
        <w:t>issuance</w:t>
      </w:r>
      <w:r>
        <w:rPr>
          <w:i/>
          <w:color w:val="211F1F"/>
          <w:spacing w:val="-12"/>
        </w:rPr>
        <w:t xml:space="preserve"> </w:t>
      </w:r>
      <w:r>
        <w:rPr>
          <w:i/>
          <w:color w:val="211F1F"/>
        </w:rPr>
        <w:t>of</w:t>
      </w:r>
      <w:r>
        <w:rPr>
          <w:i/>
          <w:color w:val="211F1F"/>
          <w:spacing w:val="-13"/>
        </w:rPr>
        <w:t xml:space="preserve"> </w:t>
      </w:r>
      <w:r>
        <w:rPr>
          <w:i/>
          <w:color w:val="211F1F"/>
        </w:rPr>
        <w:t>the</w:t>
      </w:r>
      <w:r>
        <w:rPr>
          <w:i/>
          <w:color w:val="211F1F"/>
          <w:spacing w:val="-12"/>
        </w:rPr>
        <w:t xml:space="preserve"> </w:t>
      </w:r>
      <w:r>
        <w:rPr>
          <w:i/>
          <w:color w:val="211F1F"/>
        </w:rPr>
        <w:t>bidding</w:t>
      </w:r>
      <w:r>
        <w:rPr>
          <w:i/>
          <w:color w:val="211F1F"/>
          <w:spacing w:val="-10"/>
        </w:rPr>
        <w:t xml:space="preserve"> </w:t>
      </w:r>
      <w:r>
        <w:rPr>
          <w:i/>
          <w:color w:val="211F1F"/>
        </w:rPr>
        <w:t>document.</w:t>
      </w:r>
      <w:r>
        <w:rPr>
          <w:i/>
          <w:color w:val="211F1F"/>
          <w:spacing w:val="40"/>
        </w:rPr>
        <w:t xml:space="preserve"> </w:t>
      </w:r>
      <w:r>
        <w:rPr>
          <w:i/>
          <w:color w:val="211F1F"/>
        </w:rPr>
        <w:t>Schedules</w:t>
      </w:r>
      <w:r>
        <w:rPr>
          <w:i/>
          <w:color w:val="211F1F"/>
          <w:spacing w:val="-9"/>
        </w:rPr>
        <w:t xml:space="preserve"> </w:t>
      </w:r>
      <w:r>
        <w:rPr>
          <w:i/>
          <w:color w:val="211F1F"/>
        </w:rPr>
        <w:t>and</w:t>
      </w:r>
      <w:r>
        <w:rPr>
          <w:i/>
          <w:color w:val="211F1F"/>
          <w:spacing w:val="-16"/>
        </w:rPr>
        <w:t xml:space="preserve"> </w:t>
      </w:r>
      <w:r>
        <w:rPr>
          <w:i/>
          <w:color w:val="211F1F"/>
        </w:rPr>
        <w:t>reports</w:t>
      </w:r>
      <w:r>
        <w:rPr>
          <w:i/>
          <w:color w:val="211F1F"/>
          <w:spacing w:val="-9"/>
        </w:rPr>
        <w:t xml:space="preserve"> </w:t>
      </w:r>
      <w:r>
        <w:rPr>
          <w:i/>
          <w:color w:val="211F1F"/>
        </w:rPr>
        <w:t>to</w:t>
      </w:r>
      <w:r>
        <w:rPr>
          <w:i/>
          <w:color w:val="211F1F"/>
          <w:spacing w:val="-10"/>
        </w:rPr>
        <w:t xml:space="preserve"> </w:t>
      </w:r>
      <w:r>
        <w:rPr>
          <w:i/>
          <w:color w:val="211F1F"/>
        </w:rPr>
        <w:t>be</w:t>
      </w:r>
      <w:r>
        <w:rPr>
          <w:i/>
          <w:color w:val="211F1F"/>
          <w:spacing w:val="-12"/>
        </w:rPr>
        <w:t xml:space="preserve"> </w:t>
      </w:r>
      <w:r>
        <w:rPr>
          <w:i/>
          <w:color w:val="211F1F"/>
        </w:rPr>
        <w:t>provided</w:t>
      </w:r>
      <w:r>
        <w:rPr>
          <w:i/>
          <w:color w:val="211F1F"/>
          <w:spacing w:val="-10"/>
        </w:rPr>
        <w:t xml:space="preserve"> </w:t>
      </w:r>
      <w:r>
        <w:rPr>
          <w:i/>
          <w:color w:val="211F1F"/>
        </w:rPr>
        <w:t>by</w:t>
      </w:r>
      <w:r>
        <w:rPr>
          <w:i/>
          <w:color w:val="211F1F"/>
          <w:spacing w:val="-12"/>
        </w:rPr>
        <w:t xml:space="preserve"> </w:t>
      </w:r>
      <w:r>
        <w:rPr>
          <w:i/>
          <w:color w:val="211F1F"/>
        </w:rPr>
        <w:t>the</w:t>
      </w:r>
      <w:r>
        <w:rPr>
          <w:i/>
          <w:color w:val="211F1F"/>
          <w:spacing w:val="-12"/>
        </w:rPr>
        <w:t xml:space="preserve"> </w:t>
      </w:r>
      <w:r>
        <w:rPr>
          <w:i/>
          <w:color w:val="211F1F"/>
        </w:rPr>
        <w:t>Procuring</w:t>
      </w:r>
      <w:r>
        <w:rPr>
          <w:i/>
          <w:color w:val="211F1F"/>
          <w:spacing w:val="-9"/>
        </w:rPr>
        <w:t xml:space="preserve"> </w:t>
      </w:r>
      <w:r>
        <w:rPr>
          <w:i/>
          <w:color w:val="211F1F"/>
        </w:rPr>
        <w:t>Entity</w:t>
      </w:r>
      <w:r>
        <w:rPr>
          <w:i/>
          <w:color w:val="211F1F"/>
          <w:spacing w:val="-11"/>
        </w:rPr>
        <w:t xml:space="preserve"> </w:t>
      </w:r>
      <w:r>
        <w:rPr>
          <w:i/>
          <w:color w:val="211F1F"/>
        </w:rPr>
        <w:t>should</w:t>
      </w:r>
      <w:r>
        <w:rPr>
          <w:i/>
          <w:color w:val="211F1F"/>
          <w:spacing w:val="-10"/>
        </w:rPr>
        <w:t xml:space="preserve"> </w:t>
      </w:r>
      <w:r>
        <w:rPr>
          <w:i/>
          <w:color w:val="211F1F"/>
        </w:rPr>
        <w:t>be</w:t>
      </w:r>
      <w:r>
        <w:rPr>
          <w:i/>
          <w:color w:val="211F1F"/>
          <w:spacing w:val="-12"/>
        </w:rPr>
        <w:t xml:space="preserve"> </w:t>
      </w:r>
      <w:r>
        <w:rPr>
          <w:i/>
          <w:color w:val="211F1F"/>
        </w:rPr>
        <w:t>annexed.</w:t>
      </w:r>
    </w:p>
    <w:p w14:paraId="031B5788" w14:textId="77777777" w:rsidR="00BB77C0" w:rsidRDefault="00BB77C0">
      <w:pPr>
        <w:pStyle w:val="BodyText"/>
        <w:spacing w:before="117"/>
        <w:rPr>
          <w:i/>
          <w:sz w:val="20"/>
        </w:rPr>
      </w:pPr>
    </w:p>
    <w:tbl>
      <w:tblPr>
        <w:tblW w:w="0" w:type="auto"/>
        <w:tblInd w:w="4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09"/>
        <w:gridCol w:w="8649"/>
      </w:tblGrid>
      <w:tr w:rsidR="00BB77C0" w14:paraId="69B57944" w14:textId="77777777">
        <w:trPr>
          <w:trHeight w:val="508"/>
        </w:trPr>
        <w:tc>
          <w:tcPr>
            <w:tcW w:w="1609" w:type="dxa"/>
          </w:tcPr>
          <w:p w14:paraId="4AF9A445" w14:textId="77777777" w:rsidR="00BB77C0" w:rsidRDefault="00370BAA">
            <w:pPr>
              <w:pStyle w:val="TableParagraph"/>
              <w:spacing w:line="250" w:lineRule="exact"/>
              <w:ind w:left="88" w:right="450"/>
              <w:rPr>
                <w:b/>
              </w:rPr>
            </w:pPr>
            <w:r>
              <w:rPr>
                <w:b/>
                <w:spacing w:val="-2"/>
              </w:rPr>
              <w:t>Number</w:t>
            </w:r>
            <w:r>
              <w:rPr>
                <w:b/>
                <w:spacing w:val="-16"/>
              </w:rPr>
              <w:t xml:space="preserve"> </w:t>
            </w:r>
            <w:r>
              <w:rPr>
                <w:b/>
                <w:spacing w:val="-2"/>
              </w:rPr>
              <w:t xml:space="preserve">of </w:t>
            </w:r>
            <w:r>
              <w:rPr>
                <w:b/>
              </w:rPr>
              <w:t>GC</w:t>
            </w:r>
            <w:r>
              <w:rPr>
                <w:b/>
                <w:spacing w:val="-5"/>
              </w:rPr>
              <w:t xml:space="preserve"> </w:t>
            </w:r>
            <w:r>
              <w:rPr>
                <w:b/>
                <w:spacing w:val="-4"/>
              </w:rPr>
              <w:t>Clause</w:t>
            </w:r>
          </w:p>
        </w:tc>
        <w:tc>
          <w:tcPr>
            <w:tcW w:w="8649" w:type="dxa"/>
          </w:tcPr>
          <w:p w14:paraId="661FB6D2" w14:textId="77777777" w:rsidR="00BB77C0" w:rsidRDefault="00370BAA">
            <w:pPr>
              <w:pStyle w:val="TableParagraph"/>
              <w:ind w:left="83"/>
              <w:rPr>
                <w:b/>
              </w:rPr>
            </w:pPr>
            <w:r>
              <w:rPr>
                <w:b/>
              </w:rPr>
              <w:t>Amendments</w:t>
            </w:r>
            <w:r>
              <w:rPr>
                <w:b/>
                <w:spacing w:val="-12"/>
              </w:rPr>
              <w:t xml:space="preserve"> </w:t>
            </w:r>
            <w:r>
              <w:rPr>
                <w:b/>
              </w:rPr>
              <w:t>of,</w:t>
            </w:r>
            <w:r>
              <w:rPr>
                <w:b/>
                <w:spacing w:val="-7"/>
              </w:rPr>
              <w:t xml:space="preserve"> </w:t>
            </w:r>
            <w:r>
              <w:rPr>
                <w:b/>
              </w:rPr>
              <w:t>and</w:t>
            </w:r>
            <w:r>
              <w:rPr>
                <w:b/>
                <w:spacing w:val="-11"/>
              </w:rPr>
              <w:t xml:space="preserve"> </w:t>
            </w:r>
            <w:r>
              <w:rPr>
                <w:b/>
              </w:rPr>
              <w:t>Supplements</w:t>
            </w:r>
            <w:r>
              <w:rPr>
                <w:b/>
                <w:spacing w:val="-7"/>
              </w:rPr>
              <w:t xml:space="preserve"> </w:t>
            </w:r>
            <w:r>
              <w:rPr>
                <w:b/>
              </w:rPr>
              <w:t>to,</w:t>
            </w:r>
            <w:r>
              <w:rPr>
                <w:b/>
                <w:spacing w:val="-6"/>
              </w:rPr>
              <w:t xml:space="preserve"> </w:t>
            </w:r>
            <w:r>
              <w:rPr>
                <w:b/>
              </w:rPr>
              <w:t>Clauses</w:t>
            </w:r>
            <w:r>
              <w:rPr>
                <w:b/>
                <w:spacing w:val="-9"/>
              </w:rPr>
              <w:t xml:space="preserve"> </w:t>
            </w:r>
            <w:r>
              <w:rPr>
                <w:b/>
              </w:rPr>
              <w:t>in</w:t>
            </w:r>
            <w:r>
              <w:rPr>
                <w:b/>
                <w:spacing w:val="-13"/>
              </w:rPr>
              <w:t xml:space="preserve"> </w:t>
            </w:r>
            <w:r>
              <w:rPr>
                <w:b/>
              </w:rPr>
              <w:t>the</w:t>
            </w:r>
            <w:r>
              <w:rPr>
                <w:b/>
                <w:spacing w:val="-10"/>
              </w:rPr>
              <w:t xml:space="preserve"> </w:t>
            </w:r>
            <w:r>
              <w:rPr>
                <w:b/>
              </w:rPr>
              <w:t>General</w:t>
            </w:r>
            <w:r>
              <w:rPr>
                <w:b/>
                <w:spacing w:val="-11"/>
              </w:rPr>
              <w:t xml:space="preserve"> </w:t>
            </w:r>
            <w:r>
              <w:rPr>
                <w:b/>
              </w:rPr>
              <w:t>Conditions</w:t>
            </w:r>
            <w:r>
              <w:rPr>
                <w:b/>
                <w:spacing w:val="-8"/>
              </w:rPr>
              <w:t xml:space="preserve"> </w:t>
            </w:r>
            <w:r>
              <w:rPr>
                <w:b/>
              </w:rPr>
              <w:t>of</w:t>
            </w:r>
            <w:r>
              <w:rPr>
                <w:b/>
                <w:spacing w:val="-13"/>
              </w:rPr>
              <w:t xml:space="preserve"> </w:t>
            </w:r>
            <w:r>
              <w:rPr>
                <w:b/>
                <w:spacing w:val="-2"/>
              </w:rPr>
              <w:t>Contract</w:t>
            </w:r>
          </w:p>
        </w:tc>
      </w:tr>
      <w:tr w:rsidR="00BB77C0" w14:paraId="243F6A72" w14:textId="77777777">
        <w:trPr>
          <w:trHeight w:val="450"/>
        </w:trPr>
        <w:tc>
          <w:tcPr>
            <w:tcW w:w="10258" w:type="dxa"/>
            <w:gridSpan w:val="2"/>
          </w:tcPr>
          <w:p w14:paraId="71FA23E1" w14:textId="77777777" w:rsidR="00BB77C0" w:rsidRDefault="00370BAA">
            <w:pPr>
              <w:pStyle w:val="TableParagraph"/>
              <w:ind w:left="4592"/>
              <w:rPr>
                <w:b/>
              </w:rPr>
            </w:pPr>
            <w:r>
              <w:rPr>
                <w:b/>
              </w:rPr>
              <w:t>A.</w:t>
            </w:r>
            <w:r>
              <w:rPr>
                <w:b/>
                <w:spacing w:val="-9"/>
              </w:rPr>
              <w:t xml:space="preserve"> </w:t>
            </w:r>
            <w:r>
              <w:rPr>
                <w:b/>
                <w:spacing w:val="-2"/>
              </w:rPr>
              <w:t>General</w:t>
            </w:r>
          </w:p>
        </w:tc>
      </w:tr>
      <w:tr w:rsidR="00BB77C0" w14:paraId="7F1D4C07" w14:textId="77777777">
        <w:trPr>
          <w:trHeight w:val="450"/>
        </w:trPr>
        <w:tc>
          <w:tcPr>
            <w:tcW w:w="1609" w:type="dxa"/>
          </w:tcPr>
          <w:p w14:paraId="2FE36D0F" w14:textId="77777777" w:rsidR="00BB77C0" w:rsidRDefault="00370BAA">
            <w:pPr>
              <w:pStyle w:val="TableParagraph"/>
              <w:ind w:left="88"/>
              <w:rPr>
                <w:b/>
              </w:rPr>
            </w:pPr>
            <w:r>
              <w:rPr>
                <w:b/>
              </w:rPr>
              <w:t>GCC</w:t>
            </w:r>
            <w:r>
              <w:rPr>
                <w:b/>
                <w:spacing w:val="-2"/>
              </w:rPr>
              <w:t xml:space="preserve"> </w:t>
            </w:r>
            <w:r>
              <w:rPr>
                <w:b/>
              </w:rPr>
              <w:t xml:space="preserve">1.1 </w:t>
            </w:r>
            <w:r>
              <w:rPr>
                <w:b/>
                <w:spacing w:val="-5"/>
              </w:rPr>
              <w:t>(q)</w:t>
            </w:r>
          </w:p>
        </w:tc>
        <w:tc>
          <w:tcPr>
            <w:tcW w:w="8649" w:type="dxa"/>
          </w:tcPr>
          <w:p w14:paraId="42DBA387" w14:textId="77777777" w:rsidR="00BB77C0" w:rsidRDefault="00370BAA">
            <w:pPr>
              <w:pStyle w:val="TableParagraph"/>
              <w:spacing w:line="249" w:lineRule="exact"/>
              <w:ind w:left="83"/>
            </w:pPr>
            <w:r>
              <w:t>The</w:t>
            </w:r>
            <w:r>
              <w:rPr>
                <w:spacing w:val="-14"/>
              </w:rPr>
              <w:t xml:space="preserve"> </w:t>
            </w:r>
            <w:r>
              <w:t>Procuring</w:t>
            </w:r>
            <w:r>
              <w:rPr>
                <w:spacing w:val="-9"/>
              </w:rPr>
              <w:t xml:space="preserve"> </w:t>
            </w:r>
            <w:r>
              <w:t>Entity</w:t>
            </w:r>
            <w:r>
              <w:rPr>
                <w:spacing w:val="-9"/>
              </w:rPr>
              <w:t xml:space="preserve"> </w:t>
            </w:r>
            <w:r>
              <w:t>is</w:t>
            </w:r>
            <w:r>
              <w:rPr>
                <w:spacing w:val="-6"/>
              </w:rPr>
              <w:t xml:space="preserve"> </w:t>
            </w:r>
            <w:r>
              <w:rPr>
                <w:i/>
              </w:rPr>
              <w:t>[insert</w:t>
            </w:r>
            <w:r>
              <w:rPr>
                <w:i/>
                <w:spacing w:val="-4"/>
              </w:rPr>
              <w:t xml:space="preserve"> </w:t>
            </w:r>
            <w:r>
              <w:rPr>
                <w:i/>
              </w:rPr>
              <w:t>name,</w:t>
            </w:r>
            <w:r>
              <w:rPr>
                <w:i/>
                <w:spacing w:val="-8"/>
              </w:rPr>
              <w:t xml:space="preserve"> </w:t>
            </w:r>
            <w:r>
              <w:rPr>
                <w:i/>
              </w:rPr>
              <w:t>address,</w:t>
            </w:r>
            <w:r>
              <w:rPr>
                <w:i/>
                <w:spacing w:val="-4"/>
              </w:rPr>
              <w:t xml:space="preserve"> </w:t>
            </w:r>
            <w:r>
              <w:rPr>
                <w:i/>
              </w:rPr>
              <w:t>and</w:t>
            </w:r>
            <w:r>
              <w:rPr>
                <w:i/>
                <w:spacing w:val="-10"/>
              </w:rPr>
              <w:t xml:space="preserve"> </w:t>
            </w:r>
            <w:r>
              <w:rPr>
                <w:i/>
              </w:rPr>
              <w:t>name</w:t>
            </w:r>
            <w:r>
              <w:rPr>
                <w:i/>
                <w:spacing w:val="-8"/>
              </w:rPr>
              <w:t xml:space="preserve"> </w:t>
            </w:r>
            <w:r>
              <w:rPr>
                <w:i/>
              </w:rPr>
              <w:t>of</w:t>
            </w:r>
            <w:r>
              <w:rPr>
                <w:i/>
                <w:spacing w:val="-5"/>
              </w:rPr>
              <w:t xml:space="preserve"> </w:t>
            </w:r>
            <w:r>
              <w:rPr>
                <w:i/>
              </w:rPr>
              <w:t>authorized</w:t>
            </w:r>
            <w:r>
              <w:rPr>
                <w:i/>
                <w:spacing w:val="-5"/>
              </w:rPr>
              <w:t xml:space="preserve"> </w:t>
            </w:r>
            <w:r>
              <w:rPr>
                <w:i/>
                <w:spacing w:val="-2"/>
              </w:rPr>
              <w:t>representative]</w:t>
            </w:r>
            <w:r>
              <w:rPr>
                <w:spacing w:val="-2"/>
              </w:rPr>
              <w:t>.</w:t>
            </w:r>
          </w:p>
        </w:tc>
      </w:tr>
      <w:tr w:rsidR="00BB77C0" w14:paraId="5B48DEF1" w14:textId="77777777">
        <w:trPr>
          <w:trHeight w:val="1161"/>
        </w:trPr>
        <w:tc>
          <w:tcPr>
            <w:tcW w:w="1609" w:type="dxa"/>
          </w:tcPr>
          <w:p w14:paraId="21FAAE84" w14:textId="77777777" w:rsidR="00BB77C0" w:rsidRDefault="00370BAA">
            <w:pPr>
              <w:pStyle w:val="TableParagraph"/>
              <w:ind w:left="88"/>
              <w:rPr>
                <w:b/>
              </w:rPr>
            </w:pPr>
            <w:r>
              <w:rPr>
                <w:b/>
              </w:rPr>
              <w:t>GCC</w:t>
            </w:r>
            <w:r>
              <w:rPr>
                <w:b/>
                <w:spacing w:val="-2"/>
              </w:rPr>
              <w:t xml:space="preserve"> </w:t>
            </w:r>
            <w:r>
              <w:rPr>
                <w:b/>
              </w:rPr>
              <w:t xml:space="preserve">1.1 </w:t>
            </w:r>
            <w:r>
              <w:rPr>
                <w:b/>
                <w:spacing w:val="-5"/>
              </w:rPr>
              <w:t>(u)</w:t>
            </w:r>
          </w:p>
        </w:tc>
        <w:tc>
          <w:tcPr>
            <w:tcW w:w="8649" w:type="dxa"/>
          </w:tcPr>
          <w:p w14:paraId="2905CF1A" w14:textId="77777777" w:rsidR="00BB77C0" w:rsidRDefault="00370BAA">
            <w:pPr>
              <w:pStyle w:val="TableParagraph"/>
              <w:spacing w:line="249" w:lineRule="exact"/>
              <w:ind w:left="83"/>
              <w:rPr>
                <w:i/>
              </w:rPr>
            </w:pPr>
            <w:r>
              <w:t>The</w:t>
            </w:r>
            <w:r>
              <w:rPr>
                <w:spacing w:val="-12"/>
              </w:rPr>
              <w:t xml:space="preserve"> </w:t>
            </w:r>
            <w:r>
              <w:t>Intended</w:t>
            </w:r>
            <w:r>
              <w:rPr>
                <w:spacing w:val="-4"/>
              </w:rPr>
              <w:t xml:space="preserve"> </w:t>
            </w:r>
            <w:r>
              <w:t>Completion</w:t>
            </w:r>
            <w:r>
              <w:rPr>
                <w:spacing w:val="-8"/>
              </w:rPr>
              <w:t xml:space="preserve"> </w:t>
            </w:r>
            <w:r>
              <w:t>Date</w:t>
            </w:r>
            <w:r>
              <w:rPr>
                <w:spacing w:val="-11"/>
              </w:rPr>
              <w:t xml:space="preserve"> </w:t>
            </w:r>
            <w:r>
              <w:t>for</w:t>
            </w:r>
            <w:r>
              <w:rPr>
                <w:spacing w:val="-2"/>
              </w:rPr>
              <w:t xml:space="preserve"> </w:t>
            </w:r>
            <w:r>
              <w:t>the</w:t>
            </w:r>
            <w:r>
              <w:rPr>
                <w:spacing w:val="-3"/>
              </w:rPr>
              <w:t xml:space="preserve"> </w:t>
            </w:r>
            <w:r>
              <w:t>whole</w:t>
            </w:r>
            <w:r>
              <w:rPr>
                <w:spacing w:val="-7"/>
              </w:rPr>
              <w:t xml:space="preserve"> </w:t>
            </w:r>
            <w:r>
              <w:t>of</w:t>
            </w:r>
            <w:r>
              <w:rPr>
                <w:spacing w:val="-6"/>
              </w:rPr>
              <w:t xml:space="preserve"> </w:t>
            </w:r>
            <w:r>
              <w:t>the</w:t>
            </w:r>
            <w:r>
              <w:rPr>
                <w:spacing w:val="-11"/>
              </w:rPr>
              <w:t xml:space="preserve"> </w:t>
            </w:r>
            <w:r>
              <w:t>Works shall</w:t>
            </w:r>
            <w:r>
              <w:rPr>
                <w:spacing w:val="-4"/>
              </w:rPr>
              <w:t xml:space="preserve"> </w:t>
            </w:r>
            <w:r>
              <w:t>be</w:t>
            </w:r>
            <w:r>
              <w:rPr>
                <w:spacing w:val="-7"/>
              </w:rPr>
              <w:t xml:space="preserve"> </w:t>
            </w:r>
            <w:r>
              <w:rPr>
                <w:i/>
              </w:rPr>
              <w:t>[insert</w:t>
            </w:r>
            <w:r>
              <w:rPr>
                <w:i/>
                <w:spacing w:val="-2"/>
              </w:rPr>
              <w:t xml:space="preserve"> date]</w:t>
            </w:r>
          </w:p>
          <w:p w14:paraId="5EE6E76B" w14:textId="77777777" w:rsidR="00BB77C0" w:rsidRDefault="00370BAA">
            <w:pPr>
              <w:pStyle w:val="TableParagraph"/>
              <w:spacing w:before="198" w:line="244" w:lineRule="auto"/>
              <w:ind w:left="83" w:right="188"/>
              <w:rPr>
                <w:i/>
              </w:rPr>
            </w:pPr>
            <w:r>
              <w:rPr>
                <w:i/>
              </w:rPr>
              <w:t>[If</w:t>
            </w:r>
            <w:r>
              <w:rPr>
                <w:i/>
                <w:spacing w:val="-8"/>
              </w:rPr>
              <w:t xml:space="preserve"> </w:t>
            </w:r>
            <w:r>
              <w:rPr>
                <w:i/>
              </w:rPr>
              <w:t>different</w:t>
            </w:r>
            <w:r>
              <w:rPr>
                <w:i/>
                <w:spacing w:val="-3"/>
              </w:rPr>
              <w:t xml:space="preserve"> </w:t>
            </w:r>
            <w:r>
              <w:rPr>
                <w:i/>
              </w:rPr>
              <w:t>dates</w:t>
            </w:r>
            <w:r>
              <w:rPr>
                <w:i/>
                <w:spacing w:val="-9"/>
              </w:rPr>
              <w:t xml:space="preserve"> </w:t>
            </w:r>
            <w:r>
              <w:rPr>
                <w:i/>
              </w:rPr>
              <w:t>are</w:t>
            </w:r>
            <w:r>
              <w:rPr>
                <w:i/>
                <w:spacing w:val="-6"/>
              </w:rPr>
              <w:t xml:space="preserve"> </w:t>
            </w:r>
            <w:r>
              <w:rPr>
                <w:i/>
              </w:rPr>
              <w:t>specified</w:t>
            </w:r>
            <w:r>
              <w:rPr>
                <w:i/>
                <w:spacing w:val="-9"/>
              </w:rPr>
              <w:t xml:space="preserve"> </w:t>
            </w:r>
            <w:r>
              <w:rPr>
                <w:i/>
              </w:rPr>
              <w:t>for</w:t>
            </w:r>
            <w:r>
              <w:rPr>
                <w:i/>
                <w:spacing w:val="-4"/>
              </w:rPr>
              <w:t xml:space="preserve"> </w:t>
            </w:r>
            <w:r>
              <w:rPr>
                <w:i/>
              </w:rPr>
              <w:t>completion</w:t>
            </w:r>
            <w:r>
              <w:rPr>
                <w:i/>
                <w:spacing w:val="-4"/>
              </w:rPr>
              <w:t xml:space="preserve"> </w:t>
            </w:r>
            <w:r>
              <w:rPr>
                <w:i/>
              </w:rPr>
              <w:t>of</w:t>
            </w:r>
            <w:r>
              <w:rPr>
                <w:i/>
                <w:spacing w:val="-3"/>
              </w:rPr>
              <w:t xml:space="preserve"> </w:t>
            </w:r>
            <w:r>
              <w:rPr>
                <w:i/>
              </w:rPr>
              <w:t>the</w:t>
            </w:r>
            <w:r>
              <w:rPr>
                <w:i/>
                <w:spacing w:val="-7"/>
              </w:rPr>
              <w:t xml:space="preserve"> </w:t>
            </w:r>
            <w:r>
              <w:rPr>
                <w:i/>
              </w:rPr>
              <w:t>Works by</w:t>
            </w:r>
            <w:r>
              <w:rPr>
                <w:i/>
                <w:spacing w:val="-6"/>
              </w:rPr>
              <w:t xml:space="preserve"> </w:t>
            </w:r>
            <w:r>
              <w:rPr>
                <w:i/>
              </w:rPr>
              <w:t>section</w:t>
            </w:r>
            <w:r>
              <w:rPr>
                <w:i/>
                <w:spacing w:val="-9"/>
              </w:rPr>
              <w:t xml:space="preserve"> </w:t>
            </w:r>
            <w:r>
              <w:rPr>
                <w:i/>
              </w:rPr>
              <w:t>(“sectional</w:t>
            </w:r>
            <w:r>
              <w:rPr>
                <w:i/>
                <w:spacing w:val="-8"/>
              </w:rPr>
              <w:t xml:space="preserve"> </w:t>
            </w:r>
            <w:r>
              <w:rPr>
                <w:i/>
              </w:rPr>
              <w:t>completion” or milestones), these dates should be listed here]</w:t>
            </w:r>
          </w:p>
        </w:tc>
      </w:tr>
      <w:tr w:rsidR="00BB77C0" w14:paraId="0AE17ECB" w14:textId="77777777">
        <w:trPr>
          <w:trHeight w:val="450"/>
        </w:trPr>
        <w:tc>
          <w:tcPr>
            <w:tcW w:w="1609" w:type="dxa"/>
          </w:tcPr>
          <w:p w14:paraId="159DB30C" w14:textId="77777777" w:rsidR="00BB77C0" w:rsidRDefault="00370BAA">
            <w:pPr>
              <w:pStyle w:val="TableParagraph"/>
              <w:spacing w:line="249" w:lineRule="exact"/>
              <w:ind w:left="88"/>
              <w:rPr>
                <w:b/>
              </w:rPr>
            </w:pPr>
            <w:r>
              <w:rPr>
                <w:b/>
              </w:rPr>
              <w:t>GCC</w:t>
            </w:r>
            <w:r>
              <w:rPr>
                <w:b/>
                <w:spacing w:val="-2"/>
              </w:rPr>
              <w:t xml:space="preserve"> </w:t>
            </w:r>
            <w:r>
              <w:rPr>
                <w:b/>
              </w:rPr>
              <w:t xml:space="preserve">1.1 </w:t>
            </w:r>
            <w:r>
              <w:rPr>
                <w:b/>
                <w:spacing w:val="-5"/>
              </w:rPr>
              <w:t>(x)</w:t>
            </w:r>
          </w:p>
        </w:tc>
        <w:tc>
          <w:tcPr>
            <w:tcW w:w="8649" w:type="dxa"/>
          </w:tcPr>
          <w:p w14:paraId="5DEA91A0" w14:textId="77777777" w:rsidR="00BB77C0" w:rsidRDefault="00370BAA">
            <w:pPr>
              <w:pStyle w:val="TableParagraph"/>
              <w:spacing w:line="249" w:lineRule="exact"/>
              <w:ind w:left="83"/>
            </w:pPr>
            <w:r>
              <w:t>The</w:t>
            </w:r>
            <w:r>
              <w:rPr>
                <w:spacing w:val="-15"/>
              </w:rPr>
              <w:t xml:space="preserve"> </w:t>
            </w:r>
            <w:r>
              <w:t>Project</w:t>
            </w:r>
            <w:r>
              <w:rPr>
                <w:spacing w:val="-1"/>
              </w:rPr>
              <w:t xml:space="preserve"> </w:t>
            </w:r>
            <w:r>
              <w:t>Manager</w:t>
            </w:r>
            <w:r>
              <w:rPr>
                <w:spacing w:val="-4"/>
              </w:rPr>
              <w:t xml:space="preserve"> </w:t>
            </w:r>
            <w:r>
              <w:t>is</w:t>
            </w:r>
            <w:r>
              <w:rPr>
                <w:spacing w:val="-11"/>
              </w:rPr>
              <w:t xml:space="preserve"> </w:t>
            </w:r>
            <w:r>
              <w:rPr>
                <w:i/>
              </w:rPr>
              <w:t>[insert</w:t>
            </w:r>
            <w:r>
              <w:rPr>
                <w:i/>
                <w:spacing w:val="-5"/>
              </w:rPr>
              <w:t xml:space="preserve"> </w:t>
            </w:r>
            <w:r>
              <w:rPr>
                <w:i/>
              </w:rPr>
              <w:t>name,</w:t>
            </w:r>
            <w:r>
              <w:rPr>
                <w:i/>
                <w:spacing w:val="-5"/>
              </w:rPr>
              <w:t xml:space="preserve"> </w:t>
            </w:r>
            <w:r>
              <w:rPr>
                <w:i/>
              </w:rPr>
              <w:t>address,</w:t>
            </w:r>
            <w:r>
              <w:rPr>
                <w:i/>
                <w:spacing w:val="-4"/>
              </w:rPr>
              <w:t xml:space="preserve"> </w:t>
            </w:r>
            <w:r>
              <w:rPr>
                <w:i/>
              </w:rPr>
              <w:t>and</w:t>
            </w:r>
            <w:r>
              <w:rPr>
                <w:i/>
                <w:spacing w:val="-11"/>
              </w:rPr>
              <w:t xml:space="preserve"> </w:t>
            </w:r>
            <w:r>
              <w:rPr>
                <w:i/>
              </w:rPr>
              <w:t>name</w:t>
            </w:r>
            <w:r>
              <w:rPr>
                <w:i/>
                <w:spacing w:val="-10"/>
              </w:rPr>
              <w:t xml:space="preserve"> </w:t>
            </w:r>
            <w:r>
              <w:rPr>
                <w:i/>
              </w:rPr>
              <w:t>of</w:t>
            </w:r>
            <w:r>
              <w:rPr>
                <w:i/>
                <w:spacing w:val="-1"/>
              </w:rPr>
              <w:t xml:space="preserve"> </w:t>
            </w:r>
            <w:r>
              <w:rPr>
                <w:i/>
              </w:rPr>
              <w:t>authorized</w:t>
            </w:r>
            <w:r>
              <w:rPr>
                <w:i/>
                <w:spacing w:val="-10"/>
              </w:rPr>
              <w:t xml:space="preserve"> </w:t>
            </w:r>
            <w:r>
              <w:rPr>
                <w:i/>
                <w:spacing w:val="-2"/>
              </w:rPr>
              <w:t>representative]</w:t>
            </w:r>
            <w:r>
              <w:rPr>
                <w:spacing w:val="-2"/>
              </w:rPr>
              <w:t>.</w:t>
            </w:r>
          </w:p>
        </w:tc>
      </w:tr>
      <w:tr w:rsidR="00BB77C0" w14:paraId="3945A28B" w14:textId="77777777">
        <w:trPr>
          <w:trHeight w:val="450"/>
        </w:trPr>
        <w:tc>
          <w:tcPr>
            <w:tcW w:w="1609" w:type="dxa"/>
          </w:tcPr>
          <w:p w14:paraId="07C9F928" w14:textId="77777777" w:rsidR="00BB77C0" w:rsidRDefault="00370BAA">
            <w:pPr>
              <w:pStyle w:val="TableParagraph"/>
              <w:ind w:left="88"/>
              <w:rPr>
                <w:b/>
              </w:rPr>
            </w:pPr>
            <w:r>
              <w:rPr>
                <w:b/>
              </w:rPr>
              <w:t>GCC</w:t>
            </w:r>
            <w:r>
              <w:rPr>
                <w:b/>
                <w:spacing w:val="-2"/>
              </w:rPr>
              <w:t xml:space="preserve"> </w:t>
            </w:r>
            <w:r>
              <w:rPr>
                <w:b/>
              </w:rPr>
              <w:t xml:space="preserve">1.1 </w:t>
            </w:r>
            <w:r>
              <w:rPr>
                <w:b/>
                <w:spacing w:val="-5"/>
              </w:rPr>
              <w:t>(z)</w:t>
            </w:r>
          </w:p>
        </w:tc>
        <w:tc>
          <w:tcPr>
            <w:tcW w:w="8649" w:type="dxa"/>
          </w:tcPr>
          <w:p w14:paraId="6A682AFA" w14:textId="77777777" w:rsidR="00BB77C0" w:rsidRDefault="00370BAA">
            <w:pPr>
              <w:pStyle w:val="TableParagraph"/>
              <w:spacing w:line="249" w:lineRule="exact"/>
              <w:ind w:left="83"/>
              <w:rPr>
                <w:i/>
              </w:rPr>
            </w:pPr>
            <w:r>
              <w:t>The</w:t>
            </w:r>
            <w:r>
              <w:rPr>
                <w:spacing w:val="-14"/>
              </w:rPr>
              <w:t xml:space="preserve"> </w:t>
            </w:r>
            <w:r>
              <w:t>Site</w:t>
            </w:r>
            <w:r>
              <w:rPr>
                <w:spacing w:val="-6"/>
              </w:rPr>
              <w:t xml:space="preserve"> </w:t>
            </w:r>
            <w:r>
              <w:t>is located</w:t>
            </w:r>
            <w:r>
              <w:rPr>
                <w:spacing w:val="-10"/>
              </w:rPr>
              <w:t xml:space="preserve"> </w:t>
            </w:r>
            <w:r>
              <w:t>at</w:t>
            </w:r>
            <w:r>
              <w:rPr>
                <w:spacing w:val="-8"/>
              </w:rPr>
              <w:t xml:space="preserve"> </w:t>
            </w:r>
            <w:r>
              <w:rPr>
                <w:i/>
              </w:rPr>
              <w:t>[insert</w:t>
            </w:r>
            <w:r>
              <w:rPr>
                <w:i/>
                <w:spacing w:val="-4"/>
              </w:rPr>
              <w:t xml:space="preserve"> </w:t>
            </w:r>
            <w:r>
              <w:rPr>
                <w:i/>
              </w:rPr>
              <w:t>address</w:t>
            </w:r>
            <w:r>
              <w:rPr>
                <w:i/>
                <w:spacing w:val="-3"/>
              </w:rPr>
              <w:t xml:space="preserve"> </w:t>
            </w:r>
            <w:r>
              <w:rPr>
                <w:i/>
              </w:rPr>
              <w:t>of</w:t>
            </w:r>
            <w:r>
              <w:rPr>
                <w:i/>
                <w:spacing w:val="-5"/>
              </w:rPr>
              <w:t xml:space="preserve"> </w:t>
            </w:r>
            <w:r>
              <w:rPr>
                <w:i/>
              </w:rPr>
              <w:t>Site</w:t>
            </w:r>
            <w:r>
              <w:rPr>
                <w:i/>
                <w:spacing w:val="-6"/>
              </w:rPr>
              <w:t xml:space="preserve"> </w:t>
            </w:r>
            <w:r>
              <w:rPr>
                <w:i/>
              </w:rPr>
              <w:t>]</w:t>
            </w:r>
            <w:r>
              <w:rPr>
                <w:i/>
                <w:spacing w:val="-10"/>
              </w:rPr>
              <w:t xml:space="preserve"> </w:t>
            </w:r>
            <w:r>
              <w:t>and</w:t>
            </w:r>
            <w:r>
              <w:rPr>
                <w:spacing w:val="-4"/>
              </w:rPr>
              <w:t xml:space="preserve"> </w:t>
            </w:r>
            <w:r>
              <w:t>is defined</w:t>
            </w:r>
            <w:r>
              <w:rPr>
                <w:spacing w:val="-5"/>
              </w:rPr>
              <w:t xml:space="preserve"> </w:t>
            </w:r>
            <w:r>
              <w:t>in</w:t>
            </w:r>
            <w:r>
              <w:rPr>
                <w:spacing w:val="-9"/>
              </w:rPr>
              <w:t xml:space="preserve"> </w:t>
            </w:r>
            <w:r>
              <w:t>drawings No.</w:t>
            </w:r>
            <w:r>
              <w:rPr>
                <w:spacing w:val="52"/>
              </w:rPr>
              <w:t xml:space="preserve"> </w:t>
            </w:r>
            <w:r>
              <w:rPr>
                <w:i/>
              </w:rPr>
              <w:t>[insert</w:t>
            </w:r>
            <w:r>
              <w:rPr>
                <w:i/>
                <w:spacing w:val="-3"/>
              </w:rPr>
              <w:t xml:space="preserve"> </w:t>
            </w:r>
            <w:r>
              <w:rPr>
                <w:i/>
                <w:spacing w:val="-2"/>
              </w:rPr>
              <w:t>numbers]</w:t>
            </w:r>
          </w:p>
        </w:tc>
      </w:tr>
      <w:tr w:rsidR="00BB77C0" w14:paraId="579A8BE3" w14:textId="77777777">
        <w:trPr>
          <w:trHeight w:val="455"/>
        </w:trPr>
        <w:tc>
          <w:tcPr>
            <w:tcW w:w="1609" w:type="dxa"/>
          </w:tcPr>
          <w:p w14:paraId="3F7993A6" w14:textId="77777777" w:rsidR="00BB77C0" w:rsidRDefault="00370BAA">
            <w:pPr>
              <w:pStyle w:val="TableParagraph"/>
              <w:spacing w:before="1"/>
              <w:ind w:left="88"/>
              <w:rPr>
                <w:b/>
              </w:rPr>
            </w:pPr>
            <w:r>
              <w:rPr>
                <w:b/>
              </w:rPr>
              <w:t>GCC</w:t>
            </w:r>
            <w:r>
              <w:rPr>
                <w:b/>
                <w:spacing w:val="-2"/>
              </w:rPr>
              <w:t xml:space="preserve"> </w:t>
            </w:r>
            <w:r>
              <w:rPr>
                <w:b/>
              </w:rPr>
              <w:t xml:space="preserve">1.1 </w:t>
            </w:r>
            <w:r>
              <w:rPr>
                <w:b/>
                <w:spacing w:val="-4"/>
              </w:rPr>
              <w:t>(cc)</w:t>
            </w:r>
          </w:p>
        </w:tc>
        <w:tc>
          <w:tcPr>
            <w:tcW w:w="8649" w:type="dxa"/>
          </w:tcPr>
          <w:p w14:paraId="36222963" w14:textId="77777777" w:rsidR="00BB77C0" w:rsidRDefault="00370BAA">
            <w:pPr>
              <w:pStyle w:val="TableParagraph"/>
              <w:spacing w:line="249" w:lineRule="exact"/>
              <w:ind w:left="83"/>
            </w:pPr>
            <w:r>
              <w:t>The</w:t>
            </w:r>
            <w:r>
              <w:rPr>
                <w:spacing w:val="-5"/>
              </w:rPr>
              <w:t xml:space="preserve"> </w:t>
            </w:r>
            <w:r>
              <w:t>Start</w:t>
            </w:r>
            <w:r>
              <w:rPr>
                <w:spacing w:val="-2"/>
              </w:rPr>
              <w:t xml:space="preserve"> </w:t>
            </w:r>
            <w:r>
              <w:t>Date</w:t>
            </w:r>
            <w:r>
              <w:rPr>
                <w:spacing w:val="-9"/>
              </w:rPr>
              <w:t xml:space="preserve"> </w:t>
            </w:r>
            <w:r>
              <w:t>shall</w:t>
            </w:r>
            <w:r>
              <w:rPr>
                <w:spacing w:val="-7"/>
              </w:rPr>
              <w:t xml:space="preserve"> </w:t>
            </w:r>
            <w:r>
              <w:t>be</w:t>
            </w:r>
            <w:r>
              <w:rPr>
                <w:spacing w:val="-6"/>
              </w:rPr>
              <w:t xml:space="preserve"> </w:t>
            </w:r>
            <w:r>
              <w:rPr>
                <w:i/>
              </w:rPr>
              <w:t>[insert</w:t>
            </w:r>
            <w:r>
              <w:rPr>
                <w:i/>
                <w:spacing w:val="-1"/>
              </w:rPr>
              <w:t xml:space="preserve"> </w:t>
            </w:r>
            <w:r>
              <w:rPr>
                <w:i/>
                <w:spacing w:val="-2"/>
              </w:rPr>
              <w:t>date]</w:t>
            </w:r>
            <w:r>
              <w:rPr>
                <w:spacing w:val="-2"/>
              </w:rPr>
              <w:t>.</w:t>
            </w:r>
          </w:p>
        </w:tc>
      </w:tr>
      <w:tr w:rsidR="00BB77C0" w14:paraId="15C3CB7F" w14:textId="77777777">
        <w:trPr>
          <w:trHeight w:val="705"/>
        </w:trPr>
        <w:tc>
          <w:tcPr>
            <w:tcW w:w="1609" w:type="dxa"/>
          </w:tcPr>
          <w:p w14:paraId="5EF563E5" w14:textId="77777777" w:rsidR="00BB77C0" w:rsidRDefault="00370BAA">
            <w:pPr>
              <w:pStyle w:val="TableParagraph"/>
              <w:spacing w:line="249" w:lineRule="exact"/>
              <w:ind w:left="88"/>
              <w:rPr>
                <w:b/>
              </w:rPr>
            </w:pPr>
            <w:r>
              <w:rPr>
                <w:b/>
              </w:rPr>
              <w:t>GCC</w:t>
            </w:r>
            <w:r>
              <w:rPr>
                <w:b/>
                <w:spacing w:val="-2"/>
              </w:rPr>
              <w:t xml:space="preserve"> </w:t>
            </w:r>
            <w:r>
              <w:rPr>
                <w:b/>
              </w:rPr>
              <w:t xml:space="preserve">1.1 </w:t>
            </w:r>
            <w:r>
              <w:rPr>
                <w:b/>
                <w:spacing w:val="-4"/>
              </w:rPr>
              <w:t>(gg)</w:t>
            </w:r>
          </w:p>
        </w:tc>
        <w:tc>
          <w:tcPr>
            <w:tcW w:w="8649" w:type="dxa"/>
          </w:tcPr>
          <w:p w14:paraId="07063FA2" w14:textId="77777777" w:rsidR="00BB77C0" w:rsidRDefault="00370BAA">
            <w:pPr>
              <w:pStyle w:val="TableParagraph"/>
              <w:spacing w:line="242" w:lineRule="auto"/>
              <w:ind w:left="83" w:right="281"/>
            </w:pPr>
            <w:r>
              <w:t>The</w:t>
            </w:r>
            <w:r>
              <w:rPr>
                <w:spacing w:val="-11"/>
              </w:rPr>
              <w:t xml:space="preserve"> </w:t>
            </w:r>
            <w:r>
              <w:t>Works</w:t>
            </w:r>
            <w:r>
              <w:rPr>
                <w:spacing w:val="-4"/>
              </w:rPr>
              <w:t xml:space="preserve"> </w:t>
            </w:r>
            <w:r>
              <w:t>consist of</w:t>
            </w:r>
            <w:r>
              <w:rPr>
                <w:spacing w:val="-7"/>
              </w:rPr>
              <w:t xml:space="preserve"> </w:t>
            </w:r>
            <w:r>
              <w:rPr>
                <w:i/>
              </w:rPr>
              <w:t>[insert</w:t>
            </w:r>
            <w:r>
              <w:rPr>
                <w:i/>
                <w:spacing w:val="-4"/>
              </w:rPr>
              <w:t xml:space="preserve"> </w:t>
            </w:r>
            <w:r>
              <w:rPr>
                <w:i/>
              </w:rPr>
              <w:t>brief</w:t>
            </w:r>
            <w:r>
              <w:rPr>
                <w:i/>
                <w:spacing w:val="-4"/>
              </w:rPr>
              <w:t xml:space="preserve"> </w:t>
            </w:r>
            <w:r>
              <w:rPr>
                <w:i/>
              </w:rPr>
              <w:t>summary,</w:t>
            </w:r>
            <w:r>
              <w:rPr>
                <w:i/>
                <w:spacing w:val="-8"/>
              </w:rPr>
              <w:t xml:space="preserve"> </w:t>
            </w:r>
            <w:r>
              <w:rPr>
                <w:i/>
              </w:rPr>
              <w:t>including</w:t>
            </w:r>
            <w:r>
              <w:rPr>
                <w:i/>
                <w:spacing w:val="-13"/>
              </w:rPr>
              <w:t xml:space="preserve"> </w:t>
            </w:r>
            <w:r>
              <w:rPr>
                <w:i/>
              </w:rPr>
              <w:t>relationship</w:t>
            </w:r>
            <w:r>
              <w:rPr>
                <w:i/>
                <w:spacing w:val="-13"/>
              </w:rPr>
              <w:t xml:space="preserve"> </w:t>
            </w:r>
            <w:r>
              <w:rPr>
                <w:i/>
              </w:rPr>
              <w:t>to</w:t>
            </w:r>
            <w:r>
              <w:rPr>
                <w:i/>
                <w:spacing w:val="-6"/>
              </w:rPr>
              <w:t xml:space="preserve"> </w:t>
            </w:r>
            <w:r>
              <w:rPr>
                <w:i/>
              </w:rPr>
              <w:t>other</w:t>
            </w:r>
            <w:r>
              <w:rPr>
                <w:i/>
                <w:spacing w:val="-9"/>
              </w:rPr>
              <w:t xml:space="preserve"> </w:t>
            </w:r>
            <w:r>
              <w:rPr>
                <w:i/>
              </w:rPr>
              <w:t>contracts</w:t>
            </w:r>
            <w:r>
              <w:rPr>
                <w:i/>
                <w:spacing w:val="-9"/>
              </w:rPr>
              <w:t xml:space="preserve"> </w:t>
            </w:r>
            <w:r>
              <w:rPr>
                <w:i/>
              </w:rPr>
              <w:t>under the Project]</w:t>
            </w:r>
            <w:r>
              <w:t>.</w:t>
            </w:r>
          </w:p>
        </w:tc>
      </w:tr>
      <w:tr w:rsidR="00BB77C0" w14:paraId="13339DFC" w14:textId="77777777">
        <w:trPr>
          <w:trHeight w:val="450"/>
        </w:trPr>
        <w:tc>
          <w:tcPr>
            <w:tcW w:w="1609" w:type="dxa"/>
          </w:tcPr>
          <w:p w14:paraId="13628FF8" w14:textId="77777777" w:rsidR="00BB77C0" w:rsidRDefault="00370BAA">
            <w:pPr>
              <w:pStyle w:val="TableParagraph"/>
              <w:spacing w:line="249" w:lineRule="exact"/>
              <w:ind w:left="88"/>
              <w:rPr>
                <w:b/>
              </w:rPr>
            </w:pPr>
            <w:r>
              <w:rPr>
                <w:b/>
              </w:rPr>
              <w:t>GCC</w:t>
            </w:r>
            <w:r>
              <w:rPr>
                <w:b/>
                <w:spacing w:val="-1"/>
              </w:rPr>
              <w:t xml:space="preserve"> </w:t>
            </w:r>
            <w:r>
              <w:rPr>
                <w:b/>
                <w:spacing w:val="-5"/>
              </w:rPr>
              <w:t>2.2</w:t>
            </w:r>
          </w:p>
        </w:tc>
        <w:tc>
          <w:tcPr>
            <w:tcW w:w="8649" w:type="dxa"/>
          </w:tcPr>
          <w:p w14:paraId="4739E5D9" w14:textId="77777777" w:rsidR="00BB77C0" w:rsidRDefault="00370BAA">
            <w:pPr>
              <w:pStyle w:val="TableParagraph"/>
              <w:spacing w:line="249" w:lineRule="exact"/>
              <w:ind w:left="83"/>
              <w:rPr>
                <w:i/>
              </w:rPr>
            </w:pPr>
            <w:r>
              <w:t>Sectional</w:t>
            </w:r>
            <w:r>
              <w:rPr>
                <w:spacing w:val="-10"/>
              </w:rPr>
              <w:t xml:space="preserve"> </w:t>
            </w:r>
            <w:r>
              <w:t>Completions</w:t>
            </w:r>
            <w:r>
              <w:rPr>
                <w:spacing w:val="-4"/>
              </w:rPr>
              <w:t xml:space="preserve"> </w:t>
            </w:r>
            <w:r>
              <w:t>are:</w:t>
            </w:r>
            <w:r>
              <w:rPr>
                <w:spacing w:val="-9"/>
              </w:rPr>
              <w:t xml:space="preserve"> </w:t>
            </w:r>
            <w:r>
              <w:rPr>
                <w:i/>
              </w:rPr>
              <w:t>[insert</w:t>
            </w:r>
            <w:r>
              <w:rPr>
                <w:i/>
                <w:spacing w:val="-7"/>
              </w:rPr>
              <w:t xml:space="preserve"> </w:t>
            </w:r>
            <w:r>
              <w:rPr>
                <w:i/>
              </w:rPr>
              <w:t>nature</w:t>
            </w:r>
            <w:r>
              <w:rPr>
                <w:i/>
                <w:spacing w:val="-7"/>
              </w:rPr>
              <w:t xml:space="preserve"> </w:t>
            </w:r>
            <w:r>
              <w:rPr>
                <w:i/>
              </w:rPr>
              <w:t>and</w:t>
            </w:r>
            <w:r>
              <w:rPr>
                <w:i/>
                <w:spacing w:val="-9"/>
              </w:rPr>
              <w:t xml:space="preserve"> </w:t>
            </w:r>
            <w:r>
              <w:rPr>
                <w:i/>
              </w:rPr>
              <w:t>dates,</w:t>
            </w:r>
            <w:r>
              <w:rPr>
                <w:i/>
                <w:spacing w:val="-12"/>
              </w:rPr>
              <w:t xml:space="preserve"> </w:t>
            </w:r>
            <w:r>
              <w:rPr>
                <w:i/>
              </w:rPr>
              <w:t>if</w:t>
            </w:r>
            <w:r>
              <w:rPr>
                <w:i/>
                <w:spacing w:val="-8"/>
              </w:rPr>
              <w:t xml:space="preserve"> </w:t>
            </w:r>
            <w:r>
              <w:rPr>
                <w:i/>
                <w:spacing w:val="-2"/>
              </w:rPr>
              <w:t>appropriate]</w:t>
            </w:r>
          </w:p>
        </w:tc>
      </w:tr>
      <w:tr w:rsidR="00BB77C0" w14:paraId="6F2140AF" w14:textId="77777777">
        <w:trPr>
          <w:trHeight w:val="455"/>
        </w:trPr>
        <w:tc>
          <w:tcPr>
            <w:tcW w:w="1609" w:type="dxa"/>
          </w:tcPr>
          <w:p w14:paraId="3E409275" w14:textId="77777777" w:rsidR="00BB77C0" w:rsidRDefault="00370BAA">
            <w:pPr>
              <w:pStyle w:val="TableParagraph"/>
              <w:spacing w:line="249" w:lineRule="exact"/>
              <w:ind w:left="88"/>
              <w:rPr>
                <w:b/>
              </w:rPr>
            </w:pPr>
            <w:r>
              <w:rPr>
                <w:b/>
              </w:rPr>
              <w:t>GCC</w:t>
            </w:r>
            <w:r>
              <w:rPr>
                <w:b/>
                <w:spacing w:val="-1"/>
              </w:rPr>
              <w:t xml:space="preserve"> </w:t>
            </w:r>
            <w:r>
              <w:rPr>
                <w:b/>
                <w:spacing w:val="-5"/>
              </w:rPr>
              <w:t>5.1</w:t>
            </w:r>
          </w:p>
        </w:tc>
        <w:tc>
          <w:tcPr>
            <w:tcW w:w="8649" w:type="dxa"/>
          </w:tcPr>
          <w:p w14:paraId="4E3F5809" w14:textId="77777777" w:rsidR="00BB77C0" w:rsidRDefault="00370BAA">
            <w:pPr>
              <w:pStyle w:val="TableParagraph"/>
              <w:spacing w:line="249" w:lineRule="exact"/>
              <w:ind w:left="83"/>
            </w:pPr>
            <w:r>
              <w:t>The</w:t>
            </w:r>
            <w:r>
              <w:rPr>
                <w:spacing w:val="-15"/>
              </w:rPr>
              <w:t xml:space="preserve"> </w:t>
            </w:r>
            <w:r>
              <w:t>Project</w:t>
            </w:r>
            <w:r>
              <w:rPr>
                <w:spacing w:val="-1"/>
              </w:rPr>
              <w:t xml:space="preserve"> </w:t>
            </w:r>
            <w:r>
              <w:t>manager</w:t>
            </w:r>
            <w:r>
              <w:rPr>
                <w:spacing w:val="-2"/>
              </w:rPr>
              <w:t xml:space="preserve"> </w:t>
            </w:r>
            <w:r>
              <w:rPr>
                <w:i/>
              </w:rPr>
              <w:t>[may</w:t>
            </w:r>
            <w:r>
              <w:rPr>
                <w:i/>
                <w:spacing w:val="-9"/>
              </w:rPr>
              <w:t xml:space="preserve"> </w:t>
            </w:r>
            <w:r>
              <w:rPr>
                <w:i/>
              </w:rPr>
              <w:t>or</w:t>
            </w:r>
            <w:r>
              <w:rPr>
                <w:i/>
                <w:spacing w:val="-6"/>
              </w:rPr>
              <w:t xml:space="preserve"> </w:t>
            </w:r>
            <w:r>
              <w:rPr>
                <w:i/>
              </w:rPr>
              <w:t>may</w:t>
            </w:r>
            <w:r>
              <w:rPr>
                <w:i/>
                <w:spacing w:val="-3"/>
              </w:rPr>
              <w:t xml:space="preserve"> </w:t>
            </w:r>
            <w:r>
              <w:rPr>
                <w:i/>
              </w:rPr>
              <w:t>not]</w:t>
            </w:r>
            <w:r>
              <w:rPr>
                <w:i/>
                <w:spacing w:val="-2"/>
              </w:rPr>
              <w:t xml:space="preserve"> </w:t>
            </w:r>
            <w:r>
              <w:t>delegate</w:t>
            </w:r>
            <w:r>
              <w:rPr>
                <w:spacing w:val="-8"/>
              </w:rPr>
              <w:t xml:space="preserve"> </w:t>
            </w:r>
            <w:r>
              <w:t>any</w:t>
            </w:r>
            <w:r>
              <w:rPr>
                <w:spacing w:val="-6"/>
              </w:rPr>
              <w:t xml:space="preserve"> </w:t>
            </w:r>
            <w:r>
              <w:t>of</w:t>
            </w:r>
            <w:r>
              <w:rPr>
                <w:spacing w:val="-4"/>
              </w:rPr>
              <w:t xml:space="preserve"> </w:t>
            </w:r>
            <w:r>
              <w:t>his</w:t>
            </w:r>
            <w:r>
              <w:rPr>
                <w:spacing w:val="-6"/>
              </w:rPr>
              <w:t xml:space="preserve"> </w:t>
            </w:r>
            <w:r>
              <w:t>duties</w:t>
            </w:r>
            <w:r>
              <w:rPr>
                <w:spacing w:val="-5"/>
              </w:rPr>
              <w:t xml:space="preserve"> </w:t>
            </w:r>
            <w:r>
              <w:t>and</w:t>
            </w:r>
            <w:r>
              <w:rPr>
                <w:spacing w:val="-7"/>
              </w:rPr>
              <w:t xml:space="preserve"> </w:t>
            </w:r>
            <w:r>
              <w:rPr>
                <w:spacing w:val="-2"/>
              </w:rPr>
              <w:t>responsibilities.</w:t>
            </w:r>
          </w:p>
        </w:tc>
      </w:tr>
      <w:tr w:rsidR="00BB77C0" w14:paraId="7974ED48" w14:textId="77777777">
        <w:trPr>
          <w:trHeight w:val="450"/>
        </w:trPr>
        <w:tc>
          <w:tcPr>
            <w:tcW w:w="1609" w:type="dxa"/>
          </w:tcPr>
          <w:p w14:paraId="69BB7D98" w14:textId="77777777" w:rsidR="00BB77C0" w:rsidRDefault="00370BAA">
            <w:pPr>
              <w:pStyle w:val="TableParagraph"/>
              <w:spacing w:line="249" w:lineRule="exact"/>
              <w:ind w:left="88"/>
              <w:rPr>
                <w:b/>
              </w:rPr>
            </w:pPr>
            <w:r>
              <w:rPr>
                <w:b/>
              </w:rPr>
              <w:t>GCC</w:t>
            </w:r>
            <w:r>
              <w:rPr>
                <w:b/>
                <w:spacing w:val="-1"/>
              </w:rPr>
              <w:t xml:space="preserve"> </w:t>
            </w:r>
            <w:r>
              <w:rPr>
                <w:b/>
                <w:spacing w:val="-5"/>
              </w:rPr>
              <w:t>8.1</w:t>
            </w:r>
          </w:p>
        </w:tc>
        <w:tc>
          <w:tcPr>
            <w:tcW w:w="8649" w:type="dxa"/>
          </w:tcPr>
          <w:p w14:paraId="58CE3285" w14:textId="77777777" w:rsidR="00BB77C0" w:rsidRDefault="00370BAA">
            <w:pPr>
              <w:pStyle w:val="TableParagraph"/>
              <w:spacing w:line="249" w:lineRule="exact"/>
              <w:ind w:left="83"/>
              <w:rPr>
                <w:i/>
              </w:rPr>
            </w:pPr>
            <w:r>
              <w:t>Schedule</w:t>
            </w:r>
            <w:r>
              <w:rPr>
                <w:spacing w:val="-14"/>
              </w:rPr>
              <w:t xml:space="preserve"> </w:t>
            </w:r>
            <w:r>
              <w:t>of</w:t>
            </w:r>
            <w:r>
              <w:rPr>
                <w:spacing w:val="-4"/>
              </w:rPr>
              <w:t xml:space="preserve"> </w:t>
            </w:r>
            <w:r>
              <w:t>other</w:t>
            </w:r>
            <w:r>
              <w:rPr>
                <w:spacing w:val="-4"/>
              </w:rPr>
              <w:t xml:space="preserve"> </w:t>
            </w:r>
            <w:r>
              <w:t>contractors:</w:t>
            </w:r>
            <w:r>
              <w:rPr>
                <w:spacing w:val="-12"/>
              </w:rPr>
              <w:t xml:space="preserve"> </w:t>
            </w:r>
            <w:r>
              <w:rPr>
                <w:i/>
              </w:rPr>
              <w:t>[insert</w:t>
            </w:r>
            <w:r>
              <w:rPr>
                <w:i/>
                <w:spacing w:val="-6"/>
              </w:rPr>
              <w:t xml:space="preserve"> </w:t>
            </w:r>
            <w:r>
              <w:rPr>
                <w:i/>
              </w:rPr>
              <w:t>Schedule</w:t>
            </w:r>
            <w:r>
              <w:rPr>
                <w:i/>
                <w:spacing w:val="-8"/>
              </w:rPr>
              <w:t xml:space="preserve"> </w:t>
            </w:r>
            <w:r>
              <w:rPr>
                <w:i/>
              </w:rPr>
              <w:t>of</w:t>
            </w:r>
            <w:r>
              <w:rPr>
                <w:i/>
                <w:spacing w:val="-6"/>
              </w:rPr>
              <w:t xml:space="preserve"> </w:t>
            </w:r>
            <w:r>
              <w:rPr>
                <w:i/>
              </w:rPr>
              <w:t>Other</w:t>
            </w:r>
            <w:r>
              <w:rPr>
                <w:i/>
                <w:spacing w:val="-11"/>
              </w:rPr>
              <w:t xml:space="preserve"> </w:t>
            </w:r>
            <w:r>
              <w:rPr>
                <w:i/>
              </w:rPr>
              <w:t>Contractors,</w:t>
            </w:r>
            <w:r>
              <w:rPr>
                <w:i/>
                <w:spacing w:val="-8"/>
              </w:rPr>
              <w:t xml:space="preserve"> </w:t>
            </w:r>
            <w:r>
              <w:rPr>
                <w:i/>
              </w:rPr>
              <w:t>if</w:t>
            </w:r>
            <w:r>
              <w:rPr>
                <w:i/>
                <w:spacing w:val="-10"/>
              </w:rPr>
              <w:t xml:space="preserve"> </w:t>
            </w:r>
            <w:r>
              <w:rPr>
                <w:i/>
                <w:spacing w:val="-2"/>
              </w:rPr>
              <w:t>appropriate]</w:t>
            </w:r>
          </w:p>
        </w:tc>
      </w:tr>
      <w:tr w:rsidR="00BB77C0" w14:paraId="02233B7C" w14:textId="77777777">
        <w:trPr>
          <w:trHeight w:val="3638"/>
        </w:trPr>
        <w:tc>
          <w:tcPr>
            <w:tcW w:w="1609" w:type="dxa"/>
          </w:tcPr>
          <w:p w14:paraId="15BFE29D" w14:textId="77777777" w:rsidR="00BB77C0" w:rsidRDefault="00370BAA">
            <w:pPr>
              <w:pStyle w:val="TableParagraph"/>
              <w:spacing w:line="249" w:lineRule="exact"/>
              <w:ind w:left="88"/>
              <w:rPr>
                <w:b/>
              </w:rPr>
            </w:pPr>
            <w:r>
              <w:rPr>
                <w:b/>
              </w:rPr>
              <w:t>GCC</w:t>
            </w:r>
            <w:r>
              <w:rPr>
                <w:b/>
                <w:spacing w:val="-1"/>
              </w:rPr>
              <w:t xml:space="preserve"> </w:t>
            </w:r>
            <w:r>
              <w:rPr>
                <w:b/>
                <w:spacing w:val="-5"/>
              </w:rPr>
              <w:t>9.1</w:t>
            </w:r>
          </w:p>
        </w:tc>
        <w:tc>
          <w:tcPr>
            <w:tcW w:w="8649" w:type="dxa"/>
          </w:tcPr>
          <w:p w14:paraId="7D655375" w14:textId="77777777" w:rsidR="00BB77C0" w:rsidRDefault="00370BAA">
            <w:pPr>
              <w:pStyle w:val="TableParagraph"/>
              <w:spacing w:line="249" w:lineRule="exact"/>
              <w:ind w:left="83"/>
              <w:rPr>
                <w:b/>
              </w:rPr>
            </w:pPr>
            <w:r>
              <w:rPr>
                <w:b/>
              </w:rPr>
              <w:t xml:space="preserve">Key </w:t>
            </w:r>
            <w:r>
              <w:rPr>
                <w:b/>
                <w:spacing w:val="-2"/>
              </w:rPr>
              <w:t>Personnel</w:t>
            </w:r>
          </w:p>
          <w:p w14:paraId="333FB913" w14:textId="77777777" w:rsidR="00BB77C0" w:rsidRDefault="00370BAA">
            <w:pPr>
              <w:pStyle w:val="TableParagraph"/>
              <w:spacing w:before="1"/>
              <w:ind w:left="83"/>
            </w:pPr>
            <w:r>
              <w:t>GCC</w:t>
            </w:r>
            <w:r>
              <w:rPr>
                <w:spacing w:val="-5"/>
              </w:rPr>
              <w:t xml:space="preserve"> </w:t>
            </w:r>
            <w:r>
              <w:t>9.1</w:t>
            </w:r>
            <w:r>
              <w:rPr>
                <w:spacing w:val="-5"/>
              </w:rPr>
              <w:t xml:space="preserve"> </w:t>
            </w:r>
            <w:r>
              <w:t>is</w:t>
            </w:r>
            <w:r>
              <w:rPr>
                <w:spacing w:val="-6"/>
              </w:rPr>
              <w:t xml:space="preserve"> </w:t>
            </w:r>
            <w:r>
              <w:t>replaced</w:t>
            </w:r>
            <w:r>
              <w:rPr>
                <w:spacing w:val="-5"/>
              </w:rPr>
              <w:t xml:space="preserve"> </w:t>
            </w:r>
            <w:r>
              <w:t>with</w:t>
            </w:r>
            <w:r>
              <w:rPr>
                <w:spacing w:val="-5"/>
              </w:rPr>
              <w:t xml:space="preserve"> </w:t>
            </w:r>
            <w:r>
              <w:t>the</w:t>
            </w:r>
            <w:r>
              <w:rPr>
                <w:spacing w:val="-8"/>
              </w:rPr>
              <w:t xml:space="preserve"> </w:t>
            </w:r>
            <w:r>
              <w:rPr>
                <w:spacing w:val="-2"/>
              </w:rPr>
              <w:t>following:</w:t>
            </w:r>
          </w:p>
          <w:p w14:paraId="2EABD443" w14:textId="77777777" w:rsidR="00BB77C0" w:rsidRDefault="00370BAA">
            <w:pPr>
              <w:pStyle w:val="TableParagraph"/>
              <w:tabs>
                <w:tab w:val="left" w:pos="702"/>
              </w:tabs>
              <w:spacing w:before="247"/>
              <w:ind w:left="702" w:right="188" w:hanging="620"/>
            </w:pPr>
            <w:r>
              <w:rPr>
                <w:spacing w:val="-4"/>
              </w:rPr>
              <w:t>9.1</w:t>
            </w:r>
            <w:r>
              <w:tab/>
              <w:t>Key Personnel are the Contractor’s personnel named in this GCC 9.1</w:t>
            </w:r>
            <w:r>
              <w:rPr>
                <w:spacing w:val="40"/>
              </w:rPr>
              <w:t xml:space="preserve"> </w:t>
            </w:r>
            <w:r>
              <w:t>of the Special Conditions of Contract. The Contractor shall employ the Key Personnel and use the equipment</w:t>
            </w:r>
            <w:r>
              <w:rPr>
                <w:spacing w:val="-2"/>
              </w:rPr>
              <w:t xml:space="preserve"> </w:t>
            </w:r>
            <w:r>
              <w:t>identified</w:t>
            </w:r>
            <w:r>
              <w:rPr>
                <w:spacing w:val="-7"/>
              </w:rPr>
              <w:t xml:space="preserve"> </w:t>
            </w:r>
            <w:r>
              <w:t>in</w:t>
            </w:r>
            <w:r>
              <w:rPr>
                <w:spacing w:val="-8"/>
              </w:rPr>
              <w:t xml:space="preserve"> </w:t>
            </w:r>
            <w:r>
              <w:t>its</w:t>
            </w:r>
            <w:r>
              <w:rPr>
                <w:spacing w:val="-8"/>
              </w:rPr>
              <w:t xml:space="preserve"> </w:t>
            </w:r>
            <w:r>
              <w:t>Bid,</w:t>
            </w:r>
            <w:r>
              <w:rPr>
                <w:spacing w:val="-1"/>
              </w:rPr>
              <w:t xml:space="preserve"> </w:t>
            </w:r>
            <w:r>
              <w:t>to</w:t>
            </w:r>
            <w:r>
              <w:rPr>
                <w:spacing w:val="-12"/>
              </w:rPr>
              <w:t xml:space="preserve"> </w:t>
            </w:r>
            <w:r>
              <w:t>carry</w:t>
            </w:r>
            <w:r>
              <w:rPr>
                <w:spacing w:val="-8"/>
              </w:rPr>
              <w:t xml:space="preserve"> </w:t>
            </w:r>
            <w:r>
              <w:t>out</w:t>
            </w:r>
            <w:r>
              <w:rPr>
                <w:spacing w:val="-8"/>
              </w:rPr>
              <w:t xml:space="preserve"> </w:t>
            </w:r>
            <w:r>
              <w:t>the</w:t>
            </w:r>
            <w:r>
              <w:rPr>
                <w:spacing w:val="-14"/>
              </w:rPr>
              <w:t xml:space="preserve"> </w:t>
            </w:r>
            <w:r>
              <w:t>Works</w:t>
            </w:r>
            <w:r>
              <w:rPr>
                <w:spacing w:val="-2"/>
              </w:rPr>
              <w:t xml:space="preserve"> </w:t>
            </w:r>
            <w:r>
              <w:t>or</w:t>
            </w:r>
            <w:r>
              <w:rPr>
                <w:spacing w:val="-1"/>
              </w:rPr>
              <w:t xml:space="preserve"> </w:t>
            </w:r>
            <w:r>
              <w:t>other</w:t>
            </w:r>
            <w:r>
              <w:rPr>
                <w:spacing w:val="-5"/>
              </w:rPr>
              <w:t xml:space="preserve"> </w:t>
            </w:r>
            <w:r>
              <w:t>personnel</w:t>
            </w:r>
            <w:r>
              <w:rPr>
                <w:spacing w:val="-11"/>
              </w:rPr>
              <w:t xml:space="preserve"> </w:t>
            </w:r>
            <w:r>
              <w:t>and</w:t>
            </w:r>
            <w:r>
              <w:rPr>
                <w:spacing w:val="-4"/>
              </w:rPr>
              <w:t xml:space="preserve"> </w:t>
            </w:r>
            <w:r>
              <w:t>equipment approved by the Project Manager. The Project Manager shall approve any proposed replacement of Key Personnel and equipment only if their relevant qualifications or characteristics are substantially equal to or better than those proposed in the Bid.</w:t>
            </w:r>
          </w:p>
          <w:p w14:paraId="10FAD753" w14:textId="77777777" w:rsidR="00BB77C0" w:rsidRDefault="00370BAA">
            <w:pPr>
              <w:pStyle w:val="TableParagraph"/>
              <w:spacing w:before="201"/>
              <w:ind w:left="640" w:right="281"/>
            </w:pPr>
            <w:r>
              <w:t>[insert</w:t>
            </w:r>
            <w:r>
              <w:rPr>
                <w:spacing w:val="-5"/>
              </w:rPr>
              <w:t xml:space="preserve"> </w:t>
            </w:r>
            <w:r>
              <w:t>the</w:t>
            </w:r>
            <w:r>
              <w:rPr>
                <w:spacing w:val="-8"/>
              </w:rPr>
              <w:t xml:space="preserve"> </w:t>
            </w:r>
            <w:r>
              <w:t>name/s</w:t>
            </w:r>
            <w:r>
              <w:rPr>
                <w:spacing w:val="-5"/>
              </w:rPr>
              <w:t xml:space="preserve"> </w:t>
            </w:r>
            <w:r>
              <w:t>of</w:t>
            </w:r>
            <w:r>
              <w:rPr>
                <w:spacing w:val="-3"/>
              </w:rPr>
              <w:t xml:space="preserve"> </w:t>
            </w:r>
            <w:r>
              <w:t>each</w:t>
            </w:r>
            <w:r>
              <w:rPr>
                <w:spacing w:val="-10"/>
              </w:rPr>
              <w:t xml:space="preserve"> </w:t>
            </w:r>
            <w:r>
              <w:t>Key</w:t>
            </w:r>
            <w:r>
              <w:rPr>
                <w:spacing w:val="-10"/>
              </w:rPr>
              <w:t xml:space="preserve"> </w:t>
            </w:r>
            <w:r>
              <w:t>Personnel</w:t>
            </w:r>
            <w:r>
              <w:rPr>
                <w:spacing w:val="-5"/>
              </w:rPr>
              <w:t xml:space="preserve"> </w:t>
            </w:r>
            <w:r>
              <w:t>agreed</w:t>
            </w:r>
            <w:r>
              <w:rPr>
                <w:spacing w:val="-10"/>
              </w:rPr>
              <w:t xml:space="preserve"> </w:t>
            </w:r>
            <w:r>
              <w:t>by</w:t>
            </w:r>
            <w:r>
              <w:rPr>
                <w:spacing w:val="-10"/>
              </w:rPr>
              <w:t xml:space="preserve"> </w:t>
            </w:r>
            <w:r>
              <w:t>the</w:t>
            </w:r>
            <w:r>
              <w:rPr>
                <w:spacing w:val="-7"/>
              </w:rPr>
              <w:t xml:space="preserve"> </w:t>
            </w:r>
            <w:r>
              <w:t>Procuring</w:t>
            </w:r>
            <w:r>
              <w:rPr>
                <w:spacing w:val="-10"/>
              </w:rPr>
              <w:t xml:space="preserve"> </w:t>
            </w:r>
            <w:r>
              <w:t>Entity</w:t>
            </w:r>
            <w:r>
              <w:rPr>
                <w:spacing w:val="-9"/>
              </w:rPr>
              <w:t xml:space="preserve"> </w:t>
            </w:r>
            <w:r>
              <w:t>prior to Contract signature.]</w:t>
            </w:r>
          </w:p>
        </w:tc>
      </w:tr>
      <w:tr w:rsidR="00BB77C0" w14:paraId="610164BD" w14:textId="77777777">
        <w:trPr>
          <w:trHeight w:val="3182"/>
        </w:trPr>
        <w:tc>
          <w:tcPr>
            <w:tcW w:w="1609" w:type="dxa"/>
          </w:tcPr>
          <w:p w14:paraId="1CADBD98" w14:textId="77777777" w:rsidR="00BB77C0" w:rsidRDefault="00370BAA">
            <w:pPr>
              <w:pStyle w:val="TableParagraph"/>
              <w:spacing w:line="249" w:lineRule="exact"/>
              <w:ind w:left="88"/>
              <w:rPr>
                <w:b/>
              </w:rPr>
            </w:pPr>
            <w:r>
              <w:rPr>
                <w:b/>
              </w:rPr>
              <w:t>GCC</w:t>
            </w:r>
            <w:r>
              <w:rPr>
                <w:b/>
                <w:spacing w:val="-3"/>
              </w:rPr>
              <w:t xml:space="preserve"> </w:t>
            </w:r>
            <w:r>
              <w:rPr>
                <w:b/>
                <w:spacing w:val="-4"/>
              </w:rPr>
              <w:t>13.1</w:t>
            </w:r>
          </w:p>
        </w:tc>
        <w:tc>
          <w:tcPr>
            <w:tcW w:w="8649" w:type="dxa"/>
          </w:tcPr>
          <w:p w14:paraId="504F36E1" w14:textId="77777777" w:rsidR="00BB77C0" w:rsidRDefault="00370BAA">
            <w:pPr>
              <w:pStyle w:val="TableParagraph"/>
              <w:spacing w:line="244" w:lineRule="exact"/>
              <w:ind w:left="83"/>
            </w:pPr>
            <w:r>
              <w:t>The</w:t>
            </w:r>
            <w:r>
              <w:rPr>
                <w:spacing w:val="-12"/>
              </w:rPr>
              <w:t xml:space="preserve"> </w:t>
            </w:r>
            <w:r>
              <w:t>minimum</w:t>
            </w:r>
            <w:r>
              <w:rPr>
                <w:spacing w:val="-10"/>
              </w:rPr>
              <w:t xml:space="preserve"> </w:t>
            </w:r>
            <w:r>
              <w:t>insurance</w:t>
            </w:r>
            <w:r>
              <w:rPr>
                <w:spacing w:val="-12"/>
              </w:rPr>
              <w:t xml:space="preserve"> </w:t>
            </w:r>
            <w:r>
              <w:t>amounts</w:t>
            </w:r>
            <w:r>
              <w:rPr>
                <w:spacing w:val="-7"/>
              </w:rPr>
              <w:t xml:space="preserve"> </w:t>
            </w:r>
            <w:r>
              <w:t>and</w:t>
            </w:r>
            <w:r>
              <w:rPr>
                <w:spacing w:val="-8"/>
              </w:rPr>
              <w:t xml:space="preserve"> </w:t>
            </w:r>
            <w:r>
              <w:t>deductibles</w:t>
            </w:r>
            <w:r>
              <w:rPr>
                <w:spacing w:val="-6"/>
              </w:rPr>
              <w:t xml:space="preserve"> </w:t>
            </w:r>
            <w:r>
              <w:t>shall</w:t>
            </w:r>
            <w:r>
              <w:rPr>
                <w:spacing w:val="-6"/>
              </w:rPr>
              <w:t xml:space="preserve"> </w:t>
            </w:r>
            <w:r>
              <w:rPr>
                <w:spacing w:val="-5"/>
              </w:rPr>
              <w:t>be:</w:t>
            </w:r>
          </w:p>
          <w:p w14:paraId="09F92B3C" w14:textId="77777777" w:rsidR="00BB77C0" w:rsidRDefault="00370BAA">
            <w:pPr>
              <w:pStyle w:val="TableParagraph"/>
              <w:numPr>
                <w:ilvl w:val="0"/>
                <w:numId w:val="18"/>
              </w:numPr>
              <w:tabs>
                <w:tab w:val="left" w:pos="640"/>
              </w:tabs>
              <w:spacing w:before="203"/>
            </w:pPr>
            <w:r>
              <w:t>for</w:t>
            </w:r>
            <w:r>
              <w:rPr>
                <w:spacing w:val="-5"/>
              </w:rPr>
              <w:t xml:space="preserve"> </w:t>
            </w:r>
            <w:r>
              <w:t>loss</w:t>
            </w:r>
            <w:r>
              <w:rPr>
                <w:spacing w:val="-1"/>
              </w:rPr>
              <w:t xml:space="preserve"> </w:t>
            </w:r>
            <w:r>
              <w:t>or</w:t>
            </w:r>
            <w:r>
              <w:rPr>
                <w:spacing w:val="1"/>
              </w:rPr>
              <w:t xml:space="preserve"> </w:t>
            </w:r>
            <w:r>
              <w:t>damage</w:t>
            </w:r>
            <w:r>
              <w:rPr>
                <w:spacing w:val="-11"/>
              </w:rPr>
              <w:t xml:space="preserve"> </w:t>
            </w:r>
            <w:r>
              <w:t>to</w:t>
            </w:r>
            <w:r>
              <w:rPr>
                <w:spacing w:val="-10"/>
              </w:rPr>
              <w:t xml:space="preserve"> </w:t>
            </w:r>
            <w:r>
              <w:t>the</w:t>
            </w:r>
            <w:r>
              <w:rPr>
                <w:spacing w:val="-12"/>
              </w:rPr>
              <w:t xml:space="preserve"> </w:t>
            </w:r>
            <w:r>
              <w:t>Works,</w:t>
            </w:r>
            <w:r>
              <w:rPr>
                <w:spacing w:val="-3"/>
              </w:rPr>
              <w:t xml:space="preserve"> </w:t>
            </w:r>
            <w:r>
              <w:t>Plant</w:t>
            </w:r>
            <w:r>
              <w:rPr>
                <w:spacing w:val="-4"/>
              </w:rPr>
              <w:t xml:space="preserve"> </w:t>
            </w:r>
            <w:r>
              <w:t>and</w:t>
            </w:r>
            <w:r>
              <w:rPr>
                <w:spacing w:val="-10"/>
              </w:rPr>
              <w:t xml:space="preserve"> </w:t>
            </w:r>
            <w:r>
              <w:t>Materials:</w:t>
            </w:r>
            <w:r>
              <w:rPr>
                <w:spacing w:val="-5"/>
              </w:rPr>
              <w:t xml:space="preserve"> </w:t>
            </w:r>
            <w:r>
              <w:rPr>
                <w:i/>
              </w:rPr>
              <w:t>[insert</w:t>
            </w:r>
            <w:r>
              <w:rPr>
                <w:i/>
                <w:spacing w:val="-3"/>
              </w:rPr>
              <w:t xml:space="preserve"> </w:t>
            </w:r>
            <w:r>
              <w:rPr>
                <w:i/>
                <w:spacing w:val="-2"/>
              </w:rPr>
              <w:t>amounts]</w:t>
            </w:r>
            <w:r>
              <w:rPr>
                <w:spacing w:val="-2"/>
              </w:rPr>
              <w:t>.</w:t>
            </w:r>
          </w:p>
          <w:p w14:paraId="36FC59F0" w14:textId="77777777" w:rsidR="00BB77C0" w:rsidRDefault="00370BAA">
            <w:pPr>
              <w:pStyle w:val="TableParagraph"/>
              <w:numPr>
                <w:ilvl w:val="0"/>
                <w:numId w:val="18"/>
              </w:numPr>
              <w:tabs>
                <w:tab w:val="left" w:pos="640"/>
              </w:tabs>
              <w:spacing w:before="160"/>
            </w:pPr>
            <w:r>
              <w:t>For</w:t>
            </w:r>
            <w:r>
              <w:rPr>
                <w:spacing w:val="-4"/>
              </w:rPr>
              <w:t xml:space="preserve"> </w:t>
            </w:r>
            <w:r>
              <w:t>loss</w:t>
            </w:r>
            <w:r>
              <w:rPr>
                <w:spacing w:val="-1"/>
              </w:rPr>
              <w:t xml:space="preserve"> </w:t>
            </w:r>
            <w:r>
              <w:t>or damage</w:t>
            </w:r>
            <w:r>
              <w:rPr>
                <w:spacing w:val="-11"/>
              </w:rPr>
              <w:t xml:space="preserve"> </w:t>
            </w:r>
            <w:r>
              <w:t>to</w:t>
            </w:r>
            <w:r>
              <w:rPr>
                <w:spacing w:val="-11"/>
              </w:rPr>
              <w:t xml:space="preserve"> </w:t>
            </w:r>
            <w:r>
              <w:t>Equipment:</w:t>
            </w:r>
            <w:r>
              <w:rPr>
                <w:spacing w:val="-8"/>
              </w:rPr>
              <w:t xml:space="preserve"> </w:t>
            </w:r>
            <w:r>
              <w:rPr>
                <w:i/>
              </w:rPr>
              <w:t>[insert</w:t>
            </w:r>
            <w:r>
              <w:rPr>
                <w:i/>
                <w:spacing w:val="-4"/>
              </w:rPr>
              <w:t xml:space="preserve"> </w:t>
            </w:r>
            <w:r>
              <w:rPr>
                <w:i/>
                <w:spacing w:val="-2"/>
              </w:rPr>
              <w:t>amounts]</w:t>
            </w:r>
            <w:r>
              <w:rPr>
                <w:spacing w:val="-2"/>
              </w:rPr>
              <w:t>.</w:t>
            </w:r>
          </w:p>
          <w:p w14:paraId="0A132E6C" w14:textId="77777777" w:rsidR="00BB77C0" w:rsidRDefault="00370BAA">
            <w:pPr>
              <w:pStyle w:val="TableParagraph"/>
              <w:numPr>
                <w:ilvl w:val="0"/>
                <w:numId w:val="18"/>
              </w:numPr>
              <w:tabs>
                <w:tab w:val="left" w:pos="640"/>
                <w:tab w:val="left" w:pos="693"/>
              </w:tabs>
              <w:spacing w:before="155"/>
              <w:ind w:right="422"/>
            </w:pPr>
            <w:r>
              <w:t>for</w:t>
            </w:r>
            <w:r>
              <w:rPr>
                <w:spacing w:val="40"/>
              </w:rPr>
              <w:t xml:space="preserve"> </w:t>
            </w:r>
            <w:r>
              <w:t>loss</w:t>
            </w:r>
            <w:r>
              <w:rPr>
                <w:spacing w:val="-7"/>
              </w:rPr>
              <w:t xml:space="preserve"> </w:t>
            </w:r>
            <w:r>
              <w:t>or</w:t>
            </w:r>
            <w:r>
              <w:rPr>
                <w:spacing w:val="-4"/>
              </w:rPr>
              <w:t xml:space="preserve"> </w:t>
            </w:r>
            <w:r>
              <w:t>damage</w:t>
            </w:r>
            <w:r>
              <w:rPr>
                <w:spacing w:val="-13"/>
              </w:rPr>
              <w:t xml:space="preserve"> </w:t>
            </w:r>
            <w:r>
              <w:t>to</w:t>
            </w:r>
            <w:r>
              <w:rPr>
                <w:spacing w:val="-12"/>
              </w:rPr>
              <w:t xml:space="preserve"> </w:t>
            </w:r>
            <w:r>
              <w:t>property</w:t>
            </w:r>
            <w:r>
              <w:rPr>
                <w:spacing w:val="-11"/>
              </w:rPr>
              <w:t xml:space="preserve"> </w:t>
            </w:r>
            <w:r>
              <w:t>(except</w:t>
            </w:r>
            <w:r>
              <w:rPr>
                <w:spacing w:val="-2"/>
              </w:rPr>
              <w:t xml:space="preserve"> </w:t>
            </w:r>
            <w:r>
              <w:t>the</w:t>
            </w:r>
            <w:r>
              <w:rPr>
                <w:spacing w:val="-13"/>
              </w:rPr>
              <w:t xml:space="preserve"> </w:t>
            </w:r>
            <w:r>
              <w:t>Works,</w:t>
            </w:r>
            <w:r>
              <w:rPr>
                <w:spacing w:val="-4"/>
              </w:rPr>
              <w:t xml:space="preserve"> </w:t>
            </w:r>
            <w:r>
              <w:t>Plant,</w:t>
            </w:r>
            <w:r>
              <w:rPr>
                <w:spacing w:val="-4"/>
              </w:rPr>
              <w:t xml:space="preserve"> </w:t>
            </w:r>
            <w:r>
              <w:t>Materials,</w:t>
            </w:r>
            <w:r>
              <w:rPr>
                <w:spacing w:val="-4"/>
              </w:rPr>
              <w:t xml:space="preserve"> </w:t>
            </w:r>
            <w:r>
              <w:t>and</w:t>
            </w:r>
            <w:r>
              <w:rPr>
                <w:spacing w:val="-12"/>
              </w:rPr>
              <w:t xml:space="preserve"> </w:t>
            </w:r>
            <w:r>
              <w:t>Equipment)</w:t>
            </w:r>
            <w:r>
              <w:rPr>
                <w:spacing w:val="-8"/>
              </w:rPr>
              <w:t xml:space="preserve"> </w:t>
            </w:r>
            <w:r>
              <w:t xml:space="preserve">in connection with Contract </w:t>
            </w:r>
            <w:r>
              <w:rPr>
                <w:i/>
              </w:rPr>
              <w:t>[insert amounts]</w:t>
            </w:r>
            <w:r>
              <w:t>.</w:t>
            </w:r>
          </w:p>
          <w:p w14:paraId="1CE89DBC" w14:textId="77777777" w:rsidR="00BB77C0" w:rsidRDefault="00370BAA">
            <w:pPr>
              <w:pStyle w:val="TableParagraph"/>
              <w:numPr>
                <w:ilvl w:val="0"/>
                <w:numId w:val="18"/>
              </w:numPr>
              <w:tabs>
                <w:tab w:val="left" w:pos="640"/>
              </w:tabs>
              <w:spacing w:before="161"/>
            </w:pPr>
            <w:r>
              <w:t>for</w:t>
            </w:r>
            <w:r>
              <w:rPr>
                <w:spacing w:val="-2"/>
              </w:rPr>
              <w:t xml:space="preserve"> </w:t>
            </w:r>
            <w:r>
              <w:t>personal</w:t>
            </w:r>
            <w:r>
              <w:rPr>
                <w:spacing w:val="-7"/>
              </w:rPr>
              <w:t xml:space="preserve"> </w:t>
            </w:r>
            <w:r>
              <w:t>injury</w:t>
            </w:r>
            <w:r>
              <w:rPr>
                <w:spacing w:val="-7"/>
              </w:rPr>
              <w:t xml:space="preserve"> </w:t>
            </w:r>
            <w:r>
              <w:t>or</w:t>
            </w:r>
            <w:r>
              <w:rPr>
                <w:spacing w:val="-5"/>
              </w:rPr>
              <w:t xml:space="preserve"> </w:t>
            </w:r>
            <w:r>
              <w:rPr>
                <w:spacing w:val="-2"/>
              </w:rPr>
              <w:t>death:</w:t>
            </w:r>
          </w:p>
          <w:p w14:paraId="22F7E720" w14:textId="77777777" w:rsidR="00BB77C0" w:rsidRDefault="00370BAA">
            <w:pPr>
              <w:pStyle w:val="TableParagraph"/>
              <w:numPr>
                <w:ilvl w:val="1"/>
                <w:numId w:val="18"/>
              </w:numPr>
              <w:tabs>
                <w:tab w:val="left" w:pos="1177"/>
              </w:tabs>
              <w:spacing w:before="165"/>
              <w:ind w:left="1177" w:hanging="547"/>
            </w:pPr>
            <w:r>
              <w:t>of</w:t>
            </w:r>
            <w:r>
              <w:rPr>
                <w:spacing w:val="-9"/>
              </w:rPr>
              <w:t xml:space="preserve"> </w:t>
            </w:r>
            <w:r>
              <w:t>the</w:t>
            </w:r>
            <w:r>
              <w:rPr>
                <w:spacing w:val="-12"/>
              </w:rPr>
              <w:t xml:space="preserve"> </w:t>
            </w:r>
            <w:r>
              <w:t>Contractor’s</w:t>
            </w:r>
            <w:r>
              <w:rPr>
                <w:spacing w:val="-6"/>
              </w:rPr>
              <w:t xml:space="preserve"> </w:t>
            </w:r>
            <w:r>
              <w:t>employees:</w:t>
            </w:r>
            <w:r>
              <w:rPr>
                <w:spacing w:val="-13"/>
              </w:rPr>
              <w:t xml:space="preserve"> </w:t>
            </w:r>
            <w:r>
              <w:rPr>
                <w:i/>
                <w:spacing w:val="-2"/>
              </w:rPr>
              <w:t>[amount]</w:t>
            </w:r>
            <w:r>
              <w:rPr>
                <w:spacing w:val="-2"/>
              </w:rPr>
              <w:t>.</w:t>
            </w:r>
          </w:p>
          <w:p w14:paraId="1B6A8873" w14:textId="77777777" w:rsidR="00BB77C0" w:rsidRDefault="00370BAA">
            <w:pPr>
              <w:pStyle w:val="TableParagraph"/>
              <w:numPr>
                <w:ilvl w:val="1"/>
                <w:numId w:val="18"/>
              </w:numPr>
              <w:tabs>
                <w:tab w:val="left" w:pos="1177"/>
              </w:tabs>
              <w:spacing w:before="160"/>
              <w:ind w:left="1177" w:hanging="547"/>
            </w:pPr>
            <w:r>
              <w:t>of</w:t>
            </w:r>
            <w:r>
              <w:rPr>
                <w:spacing w:val="-4"/>
              </w:rPr>
              <w:t xml:space="preserve"> </w:t>
            </w:r>
            <w:r>
              <w:t>other</w:t>
            </w:r>
            <w:r>
              <w:rPr>
                <w:spacing w:val="-2"/>
              </w:rPr>
              <w:t xml:space="preserve"> </w:t>
            </w:r>
            <w:r>
              <w:t>people:</w:t>
            </w:r>
            <w:r>
              <w:rPr>
                <w:spacing w:val="44"/>
              </w:rPr>
              <w:t xml:space="preserve"> </w:t>
            </w:r>
            <w:r>
              <w:rPr>
                <w:i/>
                <w:spacing w:val="-2"/>
              </w:rPr>
              <w:t>[amount]</w:t>
            </w:r>
            <w:r>
              <w:rPr>
                <w:spacing w:val="-2"/>
              </w:rPr>
              <w:t>.</w:t>
            </w:r>
          </w:p>
        </w:tc>
      </w:tr>
      <w:tr w:rsidR="00BB77C0" w14:paraId="0F9A1C5F" w14:textId="77777777">
        <w:trPr>
          <w:trHeight w:val="450"/>
        </w:trPr>
        <w:tc>
          <w:tcPr>
            <w:tcW w:w="1609" w:type="dxa"/>
          </w:tcPr>
          <w:p w14:paraId="0D829303" w14:textId="77777777" w:rsidR="00BB77C0" w:rsidRDefault="00370BAA">
            <w:pPr>
              <w:pStyle w:val="TableParagraph"/>
              <w:spacing w:line="249" w:lineRule="exact"/>
              <w:ind w:left="88"/>
              <w:rPr>
                <w:b/>
              </w:rPr>
            </w:pPr>
            <w:r>
              <w:rPr>
                <w:b/>
              </w:rPr>
              <w:t>GCC</w:t>
            </w:r>
            <w:r>
              <w:rPr>
                <w:b/>
                <w:spacing w:val="-3"/>
              </w:rPr>
              <w:t xml:space="preserve"> </w:t>
            </w:r>
            <w:r>
              <w:rPr>
                <w:b/>
                <w:spacing w:val="-4"/>
              </w:rPr>
              <w:t>14.1</w:t>
            </w:r>
          </w:p>
        </w:tc>
        <w:tc>
          <w:tcPr>
            <w:tcW w:w="8649" w:type="dxa"/>
          </w:tcPr>
          <w:p w14:paraId="654E803A" w14:textId="77777777" w:rsidR="00BB77C0" w:rsidRDefault="00370BAA">
            <w:pPr>
              <w:pStyle w:val="TableParagraph"/>
              <w:spacing w:line="249" w:lineRule="exact"/>
              <w:ind w:left="83"/>
              <w:rPr>
                <w:i/>
              </w:rPr>
            </w:pPr>
            <w:r>
              <w:t>Site</w:t>
            </w:r>
            <w:r>
              <w:rPr>
                <w:spacing w:val="-8"/>
              </w:rPr>
              <w:t xml:space="preserve"> </w:t>
            </w:r>
            <w:r>
              <w:t>Data</w:t>
            </w:r>
            <w:r>
              <w:rPr>
                <w:spacing w:val="-6"/>
              </w:rPr>
              <w:t xml:space="preserve"> </w:t>
            </w:r>
            <w:r>
              <w:t>are:</w:t>
            </w:r>
            <w:r>
              <w:rPr>
                <w:spacing w:val="-7"/>
              </w:rPr>
              <w:t xml:space="preserve"> </w:t>
            </w:r>
            <w:r>
              <w:rPr>
                <w:i/>
              </w:rPr>
              <w:t>[list</w:t>
            </w:r>
            <w:r>
              <w:rPr>
                <w:i/>
                <w:spacing w:val="-3"/>
              </w:rPr>
              <w:t xml:space="preserve"> </w:t>
            </w:r>
            <w:r>
              <w:rPr>
                <w:i/>
              </w:rPr>
              <w:t xml:space="preserve">Site </w:t>
            </w:r>
            <w:r>
              <w:rPr>
                <w:i/>
                <w:spacing w:val="-4"/>
              </w:rPr>
              <w:t>Data]</w:t>
            </w:r>
          </w:p>
        </w:tc>
      </w:tr>
      <w:tr w:rsidR="00BB77C0" w14:paraId="67357965" w14:textId="77777777">
        <w:trPr>
          <w:trHeight w:val="455"/>
        </w:trPr>
        <w:tc>
          <w:tcPr>
            <w:tcW w:w="1609" w:type="dxa"/>
          </w:tcPr>
          <w:p w14:paraId="263F202F" w14:textId="77777777" w:rsidR="00BB77C0" w:rsidRDefault="00370BAA">
            <w:pPr>
              <w:pStyle w:val="TableParagraph"/>
              <w:ind w:left="88"/>
              <w:rPr>
                <w:b/>
              </w:rPr>
            </w:pPr>
            <w:r>
              <w:rPr>
                <w:b/>
              </w:rPr>
              <w:t>GCC</w:t>
            </w:r>
            <w:r>
              <w:rPr>
                <w:b/>
                <w:spacing w:val="-3"/>
              </w:rPr>
              <w:t xml:space="preserve"> </w:t>
            </w:r>
            <w:r>
              <w:rPr>
                <w:b/>
                <w:spacing w:val="-4"/>
              </w:rPr>
              <w:t>20.1</w:t>
            </w:r>
          </w:p>
        </w:tc>
        <w:tc>
          <w:tcPr>
            <w:tcW w:w="8649" w:type="dxa"/>
          </w:tcPr>
          <w:p w14:paraId="5EC28357" w14:textId="77777777" w:rsidR="00BB77C0" w:rsidRDefault="00370BAA">
            <w:pPr>
              <w:pStyle w:val="TableParagraph"/>
              <w:spacing w:line="249" w:lineRule="exact"/>
              <w:ind w:left="83"/>
              <w:rPr>
                <w:i/>
              </w:rPr>
            </w:pPr>
            <w:r>
              <w:t>The</w:t>
            </w:r>
            <w:r>
              <w:rPr>
                <w:spacing w:val="-14"/>
              </w:rPr>
              <w:t xml:space="preserve"> </w:t>
            </w:r>
            <w:r>
              <w:t>Site</w:t>
            </w:r>
            <w:r>
              <w:rPr>
                <w:spacing w:val="-11"/>
              </w:rPr>
              <w:t xml:space="preserve"> </w:t>
            </w:r>
            <w:r>
              <w:t>Possession</w:t>
            </w:r>
            <w:r>
              <w:rPr>
                <w:spacing w:val="-8"/>
              </w:rPr>
              <w:t xml:space="preserve"> </w:t>
            </w:r>
            <w:r>
              <w:t>Date(s)</w:t>
            </w:r>
            <w:r>
              <w:rPr>
                <w:spacing w:val="-6"/>
              </w:rPr>
              <w:t xml:space="preserve"> </w:t>
            </w:r>
            <w:r>
              <w:t>shall</w:t>
            </w:r>
            <w:r>
              <w:rPr>
                <w:spacing w:val="-8"/>
              </w:rPr>
              <w:t xml:space="preserve"> </w:t>
            </w:r>
            <w:r>
              <w:t>be:</w:t>
            </w:r>
            <w:r>
              <w:rPr>
                <w:spacing w:val="-9"/>
              </w:rPr>
              <w:t xml:space="preserve"> </w:t>
            </w:r>
            <w:r>
              <w:rPr>
                <w:i/>
              </w:rPr>
              <w:t>[insert</w:t>
            </w:r>
            <w:r>
              <w:rPr>
                <w:i/>
                <w:spacing w:val="-4"/>
              </w:rPr>
              <w:t xml:space="preserve"> </w:t>
            </w:r>
            <w:r>
              <w:rPr>
                <w:i/>
              </w:rPr>
              <w:t>location(s)</w:t>
            </w:r>
            <w:r>
              <w:rPr>
                <w:i/>
                <w:spacing w:val="-5"/>
              </w:rPr>
              <w:t xml:space="preserve"> </w:t>
            </w:r>
            <w:r>
              <w:rPr>
                <w:i/>
              </w:rPr>
              <w:t>and</w:t>
            </w:r>
            <w:r>
              <w:rPr>
                <w:i/>
                <w:spacing w:val="-9"/>
              </w:rPr>
              <w:t xml:space="preserve"> </w:t>
            </w:r>
            <w:r>
              <w:rPr>
                <w:i/>
                <w:spacing w:val="-2"/>
              </w:rPr>
              <w:t>date(s)]</w:t>
            </w:r>
          </w:p>
        </w:tc>
      </w:tr>
    </w:tbl>
    <w:p w14:paraId="097EFAE6" w14:textId="77777777" w:rsidR="00BB77C0" w:rsidRDefault="00BB77C0">
      <w:pPr>
        <w:pStyle w:val="TableParagraph"/>
        <w:spacing w:line="249" w:lineRule="exact"/>
        <w:rPr>
          <w:i/>
        </w:rPr>
        <w:sectPr w:rsidR="00BB77C0">
          <w:pgSz w:w="11920" w:h="16850"/>
          <w:pgMar w:top="740" w:right="0" w:bottom="492" w:left="360" w:header="720" w:footer="720" w:gutter="0"/>
          <w:cols w:space="720"/>
        </w:sectPr>
      </w:pPr>
    </w:p>
    <w:tbl>
      <w:tblPr>
        <w:tblW w:w="0" w:type="auto"/>
        <w:tblInd w:w="4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09"/>
        <w:gridCol w:w="8649"/>
      </w:tblGrid>
      <w:tr w:rsidR="00BB77C0" w14:paraId="65AE5FDA" w14:textId="77777777">
        <w:trPr>
          <w:trHeight w:val="503"/>
        </w:trPr>
        <w:tc>
          <w:tcPr>
            <w:tcW w:w="1609" w:type="dxa"/>
          </w:tcPr>
          <w:p w14:paraId="676C0FE9" w14:textId="77777777" w:rsidR="00BB77C0" w:rsidRDefault="00370BAA">
            <w:pPr>
              <w:pStyle w:val="TableParagraph"/>
              <w:spacing w:line="249" w:lineRule="exact"/>
              <w:ind w:left="88"/>
              <w:rPr>
                <w:b/>
              </w:rPr>
            </w:pPr>
            <w:r>
              <w:rPr>
                <w:b/>
                <w:spacing w:val="-2"/>
              </w:rPr>
              <w:lastRenderedPageBreak/>
              <w:t>Number</w:t>
            </w:r>
            <w:r>
              <w:rPr>
                <w:b/>
                <w:spacing w:val="-10"/>
              </w:rPr>
              <w:t xml:space="preserve"> </w:t>
            </w:r>
            <w:r>
              <w:rPr>
                <w:b/>
                <w:spacing w:val="-5"/>
              </w:rPr>
              <w:t>of</w:t>
            </w:r>
          </w:p>
          <w:p w14:paraId="37AB4CFD" w14:textId="77777777" w:rsidR="00BB77C0" w:rsidRDefault="00370BAA">
            <w:pPr>
              <w:pStyle w:val="TableParagraph"/>
              <w:spacing w:before="2" w:line="233" w:lineRule="exact"/>
              <w:ind w:left="88"/>
              <w:rPr>
                <w:b/>
              </w:rPr>
            </w:pPr>
            <w:r>
              <w:rPr>
                <w:b/>
              </w:rPr>
              <w:t>GC</w:t>
            </w:r>
            <w:r>
              <w:rPr>
                <w:b/>
                <w:spacing w:val="-5"/>
              </w:rPr>
              <w:t xml:space="preserve"> </w:t>
            </w:r>
            <w:r>
              <w:rPr>
                <w:b/>
                <w:spacing w:val="-2"/>
              </w:rPr>
              <w:t>Clause</w:t>
            </w:r>
          </w:p>
        </w:tc>
        <w:tc>
          <w:tcPr>
            <w:tcW w:w="8649" w:type="dxa"/>
          </w:tcPr>
          <w:p w14:paraId="41B55C9A" w14:textId="77777777" w:rsidR="00BB77C0" w:rsidRDefault="00370BAA">
            <w:pPr>
              <w:pStyle w:val="TableParagraph"/>
              <w:ind w:left="83"/>
              <w:rPr>
                <w:b/>
              </w:rPr>
            </w:pPr>
            <w:r>
              <w:rPr>
                <w:b/>
              </w:rPr>
              <w:t>Amendments</w:t>
            </w:r>
            <w:r>
              <w:rPr>
                <w:b/>
                <w:spacing w:val="-12"/>
              </w:rPr>
              <w:t xml:space="preserve"> </w:t>
            </w:r>
            <w:r>
              <w:rPr>
                <w:b/>
              </w:rPr>
              <w:t>of,</w:t>
            </w:r>
            <w:r>
              <w:rPr>
                <w:b/>
                <w:spacing w:val="-7"/>
              </w:rPr>
              <w:t xml:space="preserve"> </w:t>
            </w:r>
            <w:r>
              <w:rPr>
                <w:b/>
              </w:rPr>
              <w:t>and</w:t>
            </w:r>
            <w:r>
              <w:rPr>
                <w:b/>
                <w:spacing w:val="-11"/>
              </w:rPr>
              <w:t xml:space="preserve"> </w:t>
            </w:r>
            <w:r>
              <w:rPr>
                <w:b/>
              </w:rPr>
              <w:t>Supplements</w:t>
            </w:r>
            <w:r>
              <w:rPr>
                <w:b/>
                <w:spacing w:val="-7"/>
              </w:rPr>
              <w:t xml:space="preserve"> </w:t>
            </w:r>
            <w:r>
              <w:rPr>
                <w:b/>
              </w:rPr>
              <w:t>to,</w:t>
            </w:r>
            <w:r>
              <w:rPr>
                <w:b/>
                <w:spacing w:val="-6"/>
              </w:rPr>
              <w:t xml:space="preserve"> </w:t>
            </w:r>
            <w:r>
              <w:rPr>
                <w:b/>
              </w:rPr>
              <w:t>Clauses</w:t>
            </w:r>
            <w:r>
              <w:rPr>
                <w:b/>
                <w:spacing w:val="-9"/>
              </w:rPr>
              <w:t xml:space="preserve"> </w:t>
            </w:r>
            <w:r>
              <w:rPr>
                <w:b/>
              </w:rPr>
              <w:t>in</w:t>
            </w:r>
            <w:r>
              <w:rPr>
                <w:b/>
                <w:spacing w:val="-13"/>
              </w:rPr>
              <w:t xml:space="preserve"> </w:t>
            </w:r>
            <w:r>
              <w:rPr>
                <w:b/>
              </w:rPr>
              <w:t>the</w:t>
            </w:r>
            <w:r>
              <w:rPr>
                <w:b/>
                <w:spacing w:val="-10"/>
              </w:rPr>
              <w:t xml:space="preserve"> </w:t>
            </w:r>
            <w:r>
              <w:rPr>
                <w:b/>
              </w:rPr>
              <w:t>General</w:t>
            </w:r>
            <w:r>
              <w:rPr>
                <w:b/>
                <w:spacing w:val="-11"/>
              </w:rPr>
              <w:t xml:space="preserve"> </w:t>
            </w:r>
            <w:r>
              <w:rPr>
                <w:b/>
              </w:rPr>
              <w:t>Conditions</w:t>
            </w:r>
            <w:r>
              <w:rPr>
                <w:b/>
                <w:spacing w:val="-8"/>
              </w:rPr>
              <w:t xml:space="preserve"> </w:t>
            </w:r>
            <w:r>
              <w:rPr>
                <w:b/>
              </w:rPr>
              <w:t>of</w:t>
            </w:r>
            <w:r>
              <w:rPr>
                <w:b/>
                <w:spacing w:val="-13"/>
              </w:rPr>
              <w:t xml:space="preserve"> </w:t>
            </w:r>
            <w:r>
              <w:rPr>
                <w:b/>
                <w:spacing w:val="-2"/>
              </w:rPr>
              <w:t>Contract</w:t>
            </w:r>
          </w:p>
        </w:tc>
      </w:tr>
      <w:tr w:rsidR="00BB77C0" w14:paraId="58555F6D" w14:textId="77777777">
        <w:trPr>
          <w:trHeight w:val="450"/>
        </w:trPr>
        <w:tc>
          <w:tcPr>
            <w:tcW w:w="1609" w:type="dxa"/>
            <w:vMerge w:val="restart"/>
          </w:tcPr>
          <w:p w14:paraId="6DA01B37" w14:textId="77777777" w:rsidR="00BB77C0" w:rsidRDefault="00370BAA">
            <w:pPr>
              <w:pStyle w:val="TableParagraph"/>
              <w:spacing w:line="249" w:lineRule="exact"/>
              <w:ind w:left="88"/>
              <w:rPr>
                <w:b/>
              </w:rPr>
            </w:pPr>
            <w:r>
              <w:rPr>
                <w:b/>
              </w:rPr>
              <w:t>GCC</w:t>
            </w:r>
            <w:r>
              <w:rPr>
                <w:b/>
                <w:spacing w:val="-2"/>
              </w:rPr>
              <w:t xml:space="preserve"> </w:t>
            </w:r>
            <w:r>
              <w:rPr>
                <w:b/>
              </w:rPr>
              <w:t>23.1</w:t>
            </w:r>
            <w:r>
              <w:rPr>
                <w:b/>
                <w:spacing w:val="-4"/>
              </w:rPr>
              <w:t xml:space="preserve"> </w:t>
            </w:r>
            <w:r>
              <w:rPr>
                <w:b/>
                <w:spacing w:val="-10"/>
              </w:rPr>
              <w:t>&amp;</w:t>
            </w:r>
          </w:p>
          <w:p w14:paraId="3240F1D6" w14:textId="77777777" w:rsidR="00BB77C0" w:rsidRDefault="00370BAA">
            <w:pPr>
              <w:pStyle w:val="TableParagraph"/>
              <w:spacing w:before="1"/>
              <w:ind w:left="88"/>
              <w:rPr>
                <w:b/>
              </w:rPr>
            </w:pPr>
            <w:r>
              <w:rPr>
                <w:b/>
              </w:rPr>
              <w:t>GCC</w:t>
            </w:r>
            <w:r>
              <w:rPr>
                <w:b/>
                <w:spacing w:val="-3"/>
              </w:rPr>
              <w:t xml:space="preserve"> </w:t>
            </w:r>
            <w:r>
              <w:rPr>
                <w:b/>
                <w:spacing w:val="-4"/>
              </w:rPr>
              <w:t>23.2</w:t>
            </w:r>
          </w:p>
        </w:tc>
        <w:tc>
          <w:tcPr>
            <w:tcW w:w="8649" w:type="dxa"/>
          </w:tcPr>
          <w:p w14:paraId="008A651B" w14:textId="77777777" w:rsidR="00BB77C0" w:rsidRDefault="00370BAA">
            <w:pPr>
              <w:pStyle w:val="TableParagraph"/>
              <w:spacing w:line="249" w:lineRule="exact"/>
              <w:ind w:left="83"/>
            </w:pPr>
            <w:r>
              <w:t>Appointing</w:t>
            </w:r>
            <w:r>
              <w:rPr>
                <w:spacing w:val="-13"/>
              </w:rPr>
              <w:t xml:space="preserve"> </w:t>
            </w:r>
            <w:r>
              <w:t>Authority</w:t>
            </w:r>
            <w:r>
              <w:rPr>
                <w:spacing w:val="-11"/>
              </w:rPr>
              <w:t xml:space="preserve"> </w:t>
            </w:r>
            <w:r>
              <w:t>for</w:t>
            </w:r>
            <w:r>
              <w:rPr>
                <w:spacing w:val="-4"/>
              </w:rPr>
              <w:t xml:space="preserve"> </w:t>
            </w:r>
            <w:r>
              <w:t>the</w:t>
            </w:r>
            <w:r>
              <w:rPr>
                <w:spacing w:val="-8"/>
              </w:rPr>
              <w:t xml:space="preserve"> </w:t>
            </w:r>
            <w:r>
              <w:t>Adjudicator:</w:t>
            </w:r>
            <w:r>
              <w:rPr>
                <w:spacing w:val="-10"/>
              </w:rPr>
              <w:t xml:space="preserve"> </w:t>
            </w:r>
            <w:r>
              <w:t>[</w:t>
            </w:r>
            <w:r>
              <w:rPr>
                <w:i/>
              </w:rPr>
              <w:t>insert</w:t>
            </w:r>
            <w:r>
              <w:rPr>
                <w:i/>
                <w:spacing w:val="-6"/>
              </w:rPr>
              <w:t xml:space="preserve"> </w:t>
            </w:r>
            <w:r>
              <w:rPr>
                <w:i/>
              </w:rPr>
              <w:t>name</w:t>
            </w:r>
            <w:r>
              <w:rPr>
                <w:i/>
                <w:spacing w:val="-10"/>
              </w:rPr>
              <w:t xml:space="preserve"> </w:t>
            </w:r>
            <w:r>
              <w:rPr>
                <w:i/>
              </w:rPr>
              <w:t>of</w:t>
            </w:r>
            <w:r>
              <w:rPr>
                <w:i/>
                <w:spacing w:val="-6"/>
              </w:rPr>
              <w:t xml:space="preserve"> </w:t>
            </w:r>
            <w:r>
              <w:rPr>
                <w:i/>
                <w:spacing w:val="-2"/>
              </w:rPr>
              <w:t>Authority]</w:t>
            </w:r>
            <w:r>
              <w:rPr>
                <w:spacing w:val="-2"/>
              </w:rPr>
              <w:t>.</w:t>
            </w:r>
          </w:p>
        </w:tc>
      </w:tr>
      <w:tr w:rsidR="00BB77C0" w14:paraId="6361C39D" w14:textId="77777777">
        <w:trPr>
          <w:trHeight w:val="705"/>
        </w:trPr>
        <w:tc>
          <w:tcPr>
            <w:tcW w:w="1609" w:type="dxa"/>
            <w:vMerge/>
            <w:tcBorders>
              <w:top w:val="nil"/>
            </w:tcBorders>
          </w:tcPr>
          <w:p w14:paraId="5E3AAF4A" w14:textId="77777777" w:rsidR="00BB77C0" w:rsidRDefault="00BB77C0">
            <w:pPr>
              <w:rPr>
                <w:sz w:val="2"/>
                <w:szCs w:val="2"/>
              </w:rPr>
            </w:pPr>
          </w:p>
        </w:tc>
        <w:tc>
          <w:tcPr>
            <w:tcW w:w="8649" w:type="dxa"/>
          </w:tcPr>
          <w:p w14:paraId="0C639542" w14:textId="77777777" w:rsidR="00BB77C0" w:rsidRDefault="00370BAA">
            <w:pPr>
              <w:pStyle w:val="TableParagraph"/>
              <w:spacing w:line="242" w:lineRule="auto"/>
              <w:ind w:left="83"/>
            </w:pPr>
            <w:r>
              <w:t>Hourly</w:t>
            </w:r>
            <w:r>
              <w:rPr>
                <w:spacing w:val="-9"/>
              </w:rPr>
              <w:t xml:space="preserve"> </w:t>
            </w:r>
            <w:r>
              <w:t>rate</w:t>
            </w:r>
            <w:r>
              <w:rPr>
                <w:spacing w:val="-11"/>
              </w:rPr>
              <w:t xml:space="preserve"> </w:t>
            </w:r>
            <w:r>
              <w:t>and</w:t>
            </w:r>
            <w:r>
              <w:rPr>
                <w:spacing w:val="-4"/>
              </w:rPr>
              <w:t xml:space="preserve"> </w:t>
            </w:r>
            <w:r>
              <w:t>types</w:t>
            </w:r>
            <w:r>
              <w:rPr>
                <w:spacing w:val="-3"/>
              </w:rPr>
              <w:t xml:space="preserve"> </w:t>
            </w:r>
            <w:r>
              <w:t>of</w:t>
            </w:r>
            <w:r>
              <w:rPr>
                <w:spacing w:val="-6"/>
              </w:rPr>
              <w:t xml:space="preserve"> </w:t>
            </w:r>
            <w:r>
              <w:t>reimbursable</w:t>
            </w:r>
            <w:r>
              <w:rPr>
                <w:spacing w:val="-10"/>
              </w:rPr>
              <w:t xml:space="preserve"> </w:t>
            </w:r>
            <w:r>
              <w:t>expenses</w:t>
            </w:r>
            <w:r>
              <w:rPr>
                <w:spacing w:val="-3"/>
              </w:rPr>
              <w:t xml:space="preserve"> </w:t>
            </w:r>
            <w:r>
              <w:t>to</w:t>
            </w:r>
            <w:r>
              <w:rPr>
                <w:spacing w:val="-5"/>
              </w:rPr>
              <w:t xml:space="preserve"> </w:t>
            </w:r>
            <w:r>
              <w:t>be</w:t>
            </w:r>
            <w:r>
              <w:rPr>
                <w:spacing w:val="-7"/>
              </w:rPr>
              <w:t xml:space="preserve"> </w:t>
            </w:r>
            <w:r>
              <w:t>paid</w:t>
            </w:r>
            <w:r>
              <w:rPr>
                <w:spacing w:val="-9"/>
              </w:rPr>
              <w:t xml:space="preserve"> </w:t>
            </w:r>
            <w:r>
              <w:t>to</w:t>
            </w:r>
            <w:r>
              <w:rPr>
                <w:spacing w:val="-4"/>
              </w:rPr>
              <w:t xml:space="preserve"> </w:t>
            </w:r>
            <w:r>
              <w:t>the</w:t>
            </w:r>
            <w:r>
              <w:rPr>
                <w:spacing w:val="-7"/>
              </w:rPr>
              <w:t xml:space="preserve"> </w:t>
            </w:r>
            <w:r>
              <w:t>Adjudicator:</w:t>
            </w:r>
            <w:r>
              <w:rPr>
                <w:spacing w:val="-3"/>
              </w:rPr>
              <w:t xml:space="preserve"> </w:t>
            </w:r>
            <w:r>
              <w:rPr>
                <w:i/>
              </w:rPr>
              <w:t>[insert</w:t>
            </w:r>
            <w:r>
              <w:rPr>
                <w:i/>
                <w:spacing w:val="-3"/>
              </w:rPr>
              <w:t xml:space="preserve"> </w:t>
            </w:r>
            <w:r>
              <w:rPr>
                <w:i/>
              </w:rPr>
              <w:t>hourly</w:t>
            </w:r>
            <w:r>
              <w:rPr>
                <w:i/>
                <w:spacing w:val="-6"/>
              </w:rPr>
              <w:t xml:space="preserve"> </w:t>
            </w:r>
            <w:r>
              <w:rPr>
                <w:i/>
              </w:rPr>
              <w:t>fees and reimbursable expenses]</w:t>
            </w:r>
            <w:r>
              <w:t>.</w:t>
            </w:r>
          </w:p>
        </w:tc>
      </w:tr>
      <w:tr w:rsidR="00BB77C0" w14:paraId="1443A5AA" w14:textId="77777777">
        <w:trPr>
          <w:trHeight w:val="575"/>
        </w:trPr>
        <w:tc>
          <w:tcPr>
            <w:tcW w:w="10258" w:type="dxa"/>
            <w:gridSpan w:val="2"/>
          </w:tcPr>
          <w:p w14:paraId="389A588B" w14:textId="77777777" w:rsidR="00BB77C0" w:rsidRDefault="00370BAA">
            <w:pPr>
              <w:pStyle w:val="TableParagraph"/>
              <w:spacing w:before="120"/>
              <w:ind w:left="88"/>
              <w:rPr>
                <w:b/>
              </w:rPr>
            </w:pPr>
            <w:r>
              <w:rPr>
                <w:b/>
              </w:rPr>
              <w:t>B.</w:t>
            </w:r>
            <w:r>
              <w:rPr>
                <w:b/>
                <w:spacing w:val="-5"/>
              </w:rPr>
              <w:t xml:space="preserve"> </w:t>
            </w:r>
            <w:r>
              <w:rPr>
                <w:b/>
              </w:rPr>
              <w:t>Time</w:t>
            </w:r>
            <w:r>
              <w:rPr>
                <w:b/>
                <w:spacing w:val="-5"/>
              </w:rPr>
              <w:t xml:space="preserve"> </w:t>
            </w:r>
            <w:r>
              <w:rPr>
                <w:b/>
                <w:spacing w:val="-2"/>
              </w:rPr>
              <w:t>Control</w:t>
            </w:r>
          </w:p>
        </w:tc>
      </w:tr>
      <w:tr w:rsidR="00BB77C0" w14:paraId="18A5D976" w14:textId="77777777">
        <w:trPr>
          <w:trHeight w:val="705"/>
        </w:trPr>
        <w:tc>
          <w:tcPr>
            <w:tcW w:w="1609" w:type="dxa"/>
          </w:tcPr>
          <w:p w14:paraId="02372415" w14:textId="77777777" w:rsidR="00BB77C0" w:rsidRDefault="00370BAA">
            <w:pPr>
              <w:pStyle w:val="TableParagraph"/>
              <w:spacing w:line="249" w:lineRule="exact"/>
              <w:ind w:left="88"/>
              <w:rPr>
                <w:b/>
              </w:rPr>
            </w:pPr>
            <w:r>
              <w:rPr>
                <w:b/>
              </w:rPr>
              <w:t>GCC</w:t>
            </w:r>
            <w:r>
              <w:rPr>
                <w:b/>
                <w:spacing w:val="-3"/>
              </w:rPr>
              <w:t xml:space="preserve"> </w:t>
            </w:r>
            <w:r>
              <w:rPr>
                <w:b/>
                <w:spacing w:val="-4"/>
              </w:rPr>
              <w:t>26.1</w:t>
            </w:r>
          </w:p>
        </w:tc>
        <w:tc>
          <w:tcPr>
            <w:tcW w:w="8649" w:type="dxa"/>
          </w:tcPr>
          <w:p w14:paraId="186FEB62" w14:textId="77777777" w:rsidR="00BB77C0" w:rsidRDefault="00370BAA">
            <w:pPr>
              <w:pStyle w:val="TableParagraph"/>
              <w:spacing w:line="242" w:lineRule="auto"/>
              <w:ind w:left="83" w:right="188"/>
            </w:pPr>
            <w:r>
              <w:t>The</w:t>
            </w:r>
            <w:r>
              <w:rPr>
                <w:spacing w:val="-13"/>
              </w:rPr>
              <w:t xml:space="preserve"> </w:t>
            </w:r>
            <w:r>
              <w:t>Contractor shall</w:t>
            </w:r>
            <w:r>
              <w:rPr>
                <w:spacing w:val="-10"/>
              </w:rPr>
              <w:t xml:space="preserve"> </w:t>
            </w:r>
            <w:r>
              <w:t>submit</w:t>
            </w:r>
            <w:r>
              <w:rPr>
                <w:spacing w:val="-2"/>
              </w:rPr>
              <w:t xml:space="preserve"> </w:t>
            </w:r>
            <w:r>
              <w:t>for approval</w:t>
            </w:r>
            <w:r>
              <w:rPr>
                <w:spacing w:val="-5"/>
              </w:rPr>
              <w:t xml:space="preserve"> </w:t>
            </w:r>
            <w:r>
              <w:t>a</w:t>
            </w:r>
            <w:r>
              <w:rPr>
                <w:spacing w:val="-9"/>
              </w:rPr>
              <w:t xml:space="preserve"> </w:t>
            </w:r>
            <w:r>
              <w:t>Program</w:t>
            </w:r>
            <w:r>
              <w:rPr>
                <w:spacing w:val="-9"/>
              </w:rPr>
              <w:t xml:space="preserve"> </w:t>
            </w:r>
            <w:r>
              <w:t>for the</w:t>
            </w:r>
            <w:r>
              <w:rPr>
                <w:spacing w:val="-13"/>
              </w:rPr>
              <w:t xml:space="preserve"> </w:t>
            </w:r>
            <w:r>
              <w:t>Works</w:t>
            </w:r>
            <w:r>
              <w:rPr>
                <w:spacing w:val="-1"/>
              </w:rPr>
              <w:t xml:space="preserve"> </w:t>
            </w:r>
            <w:r>
              <w:t>within</w:t>
            </w:r>
            <w:r>
              <w:rPr>
                <w:spacing w:val="-11"/>
              </w:rPr>
              <w:t xml:space="preserve"> </w:t>
            </w:r>
            <w:r>
              <w:rPr>
                <w:i/>
              </w:rPr>
              <w:t>[number]</w:t>
            </w:r>
            <w:r>
              <w:rPr>
                <w:i/>
                <w:spacing w:val="-2"/>
              </w:rPr>
              <w:t xml:space="preserve"> </w:t>
            </w:r>
            <w:r>
              <w:t>days</w:t>
            </w:r>
            <w:r>
              <w:rPr>
                <w:spacing w:val="-5"/>
              </w:rPr>
              <w:t xml:space="preserve"> </w:t>
            </w:r>
            <w:r>
              <w:t>from the date of the Letter of Acceptance.</w:t>
            </w:r>
          </w:p>
        </w:tc>
      </w:tr>
      <w:tr w:rsidR="00BB77C0" w14:paraId="25C87667" w14:textId="77777777">
        <w:trPr>
          <w:trHeight w:val="907"/>
        </w:trPr>
        <w:tc>
          <w:tcPr>
            <w:tcW w:w="1609" w:type="dxa"/>
          </w:tcPr>
          <w:p w14:paraId="2D943998" w14:textId="77777777" w:rsidR="00BB77C0" w:rsidRDefault="00370BAA">
            <w:pPr>
              <w:pStyle w:val="TableParagraph"/>
              <w:spacing w:line="249" w:lineRule="exact"/>
              <w:ind w:left="88"/>
              <w:rPr>
                <w:b/>
              </w:rPr>
            </w:pPr>
            <w:r>
              <w:rPr>
                <w:b/>
              </w:rPr>
              <w:t>GCC</w:t>
            </w:r>
            <w:r>
              <w:rPr>
                <w:b/>
                <w:spacing w:val="-3"/>
              </w:rPr>
              <w:t xml:space="preserve"> </w:t>
            </w:r>
            <w:r>
              <w:rPr>
                <w:b/>
                <w:spacing w:val="-4"/>
              </w:rPr>
              <w:t>26.3</w:t>
            </w:r>
          </w:p>
        </w:tc>
        <w:tc>
          <w:tcPr>
            <w:tcW w:w="8649" w:type="dxa"/>
          </w:tcPr>
          <w:p w14:paraId="2A7238C3" w14:textId="77777777" w:rsidR="00BB77C0" w:rsidRDefault="00370BAA">
            <w:pPr>
              <w:pStyle w:val="TableParagraph"/>
              <w:spacing w:line="249" w:lineRule="exact"/>
              <w:ind w:left="83"/>
            </w:pPr>
            <w:r>
              <w:t>The</w:t>
            </w:r>
            <w:r>
              <w:rPr>
                <w:spacing w:val="-13"/>
              </w:rPr>
              <w:t xml:space="preserve"> </w:t>
            </w:r>
            <w:r>
              <w:t>period</w:t>
            </w:r>
            <w:r>
              <w:rPr>
                <w:spacing w:val="-11"/>
              </w:rPr>
              <w:t xml:space="preserve"> </w:t>
            </w:r>
            <w:r>
              <w:t>between</w:t>
            </w:r>
            <w:r>
              <w:rPr>
                <w:spacing w:val="-9"/>
              </w:rPr>
              <w:t xml:space="preserve"> </w:t>
            </w:r>
            <w:r>
              <w:t>Program</w:t>
            </w:r>
            <w:r>
              <w:rPr>
                <w:spacing w:val="-10"/>
              </w:rPr>
              <w:t xml:space="preserve"> </w:t>
            </w:r>
            <w:r>
              <w:t>updates</w:t>
            </w:r>
            <w:r>
              <w:rPr>
                <w:spacing w:val="-1"/>
              </w:rPr>
              <w:t xml:space="preserve"> </w:t>
            </w:r>
            <w:r>
              <w:t>is</w:t>
            </w:r>
            <w:r>
              <w:rPr>
                <w:spacing w:val="-6"/>
              </w:rPr>
              <w:t xml:space="preserve"> </w:t>
            </w:r>
            <w:r>
              <w:rPr>
                <w:i/>
              </w:rPr>
              <w:t>[insert</w:t>
            </w:r>
            <w:r>
              <w:rPr>
                <w:i/>
                <w:spacing w:val="-4"/>
              </w:rPr>
              <w:t xml:space="preserve"> </w:t>
            </w:r>
            <w:r>
              <w:rPr>
                <w:i/>
              </w:rPr>
              <w:t>number]</w:t>
            </w:r>
            <w:r>
              <w:rPr>
                <w:i/>
                <w:spacing w:val="-2"/>
              </w:rPr>
              <w:t xml:space="preserve"> </w:t>
            </w:r>
            <w:r>
              <w:rPr>
                <w:spacing w:val="-2"/>
              </w:rPr>
              <w:t>days.</w:t>
            </w:r>
          </w:p>
          <w:p w14:paraId="7AF861AF" w14:textId="77777777" w:rsidR="00BB77C0" w:rsidRDefault="00370BAA">
            <w:pPr>
              <w:pStyle w:val="TableParagraph"/>
              <w:spacing w:before="203"/>
              <w:ind w:left="83"/>
            </w:pPr>
            <w:r>
              <w:t>The</w:t>
            </w:r>
            <w:r>
              <w:rPr>
                <w:spacing w:val="-14"/>
              </w:rPr>
              <w:t xml:space="preserve"> </w:t>
            </w:r>
            <w:r>
              <w:t>amount</w:t>
            </w:r>
            <w:r>
              <w:rPr>
                <w:spacing w:val="2"/>
              </w:rPr>
              <w:t xml:space="preserve"> </w:t>
            </w:r>
            <w:r>
              <w:t>to</w:t>
            </w:r>
            <w:r>
              <w:rPr>
                <w:spacing w:val="-10"/>
              </w:rPr>
              <w:t xml:space="preserve"> </w:t>
            </w:r>
            <w:r>
              <w:t>be</w:t>
            </w:r>
            <w:r>
              <w:rPr>
                <w:spacing w:val="-7"/>
              </w:rPr>
              <w:t xml:space="preserve"> </w:t>
            </w:r>
            <w:r>
              <w:t>withheld</w:t>
            </w:r>
            <w:r>
              <w:rPr>
                <w:spacing w:val="-9"/>
              </w:rPr>
              <w:t xml:space="preserve"> </w:t>
            </w:r>
            <w:r>
              <w:t>for</w:t>
            </w:r>
            <w:r>
              <w:rPr>
                <w:spacing w:val="-2"/>
              </w:rPr>
              <w:t xml:space="preserve"> </w:t>
            </w:r>
            <w:r>
              <w:t>late</w:t>
            </w:r>
            <w:r>
              <w:rPr>
                <w:spacing w:val="-6"/>
              </w:rPr>
              <w:t xml:space="preserve"> </w:t>
            </w:r>
            <w:r>
              <w:t>submission</w:t>
            </w:r>
            <w:r>
              <w:rPr>
                <w:spacing w:val="-10"/>
              </w:rPr>
              <w:t xml:space="preserve"> </w:t>
            </w:r>
            <w:r>
              <w:t>of</w:t>
            </w:r>
            <w:r>
              <w:rPr>
                <w:spacing w:val="-1"/>
              </w:rPr>
              <w:t xml:space="preserve"> </w:t>
            </w:r>
            <w:r>
              <w:t>an</w:t>
            </w:r>
            <w:r>
              <w:rPr>
                <w:spacing w:val="-6"/>
              </w:rPr>
              <w:t xml:space="preserve"> </w:t>
            </w:r>
            <w:r>
              <w:t>updated</w:t>
            </w:r>
            <w:r>
              <w:rPr>
                <w:spacing w:val="-8"/>
              </w:rPr>
              <w:t xml:space="preserve"> </w:t>
            </w:r>
            <w:r>
              <w:t>Program</w:t>
            </w:r>
            <w:r>
              <w:rPr>
                <w:spacing w:val="-8"/>
              </w:rPr>
              <w:t xml:space="preserve"> </w:t>
            </w:r>
            <w:r>
              <w:t xml:space="preserve">is </w:t>
            </w:r>
            <w:r>
              <w:rPr>
                <w:i/>
              </w:rPr>
              <w:t>[insert</w:t>
            </w:r>
            <w:r>
              <w:rPr>
                <w:i/>
                <w:spacing w:val="-7"/>
              </w:rPr>
              <w:t xml:space="preserve"> </w:t>
            </w:r>
            <w:r>
              <w:rPr>
                <w:i/>
                <w:spacing w:val="-2"/>
              </w:rPr>
              <w:t>amount]</w:t>
            </w:r>
            <w:r>
              <w:rPr>
                <w:spacing w:val="-2"/>
              </w:rPr>
              <w:t>.</w:t>
            </w:r>
          </w:p>
        </w:tc>
      </w:tr>
      <w:tr w:rsidR="00BB77C0" w14:paraId="5A096868" w14:textId="77777777">
        <w:trPr>
          <w:trHeight w:val="570"/>
        </w:trPr>
        <w:tc>
          <w:tcPr>
            <w:tcW w:w="10258" w:type="dxa"/>
            <w:gridSpan w:val="2"/>
          </w:tcPr>
          <w:p w14:paraId="167322C4" w14:textId="77777777" w:rsidR="00BB77C0" w:rsidRDefault="00370BAA">
            <w:pPr>
              <w:pStyle w:val="TableParagraph"/>
              <w:spacing w:before="116"/>
              <w:ind w:left="88"/>
              <w:rPr>
                <w:b/>
              </w:rPr>
            </w:pPr>
            <w:r>
              <w:rPr>
                <w:b/>
              </w:rPr>
              <w:t>C.</w:t>
            </w:r>
            <w:r>
              <w:rPr>
                <w:b/>
                <w:spacing w:val="-8"/>
              </w:rPr>
              <w:t xml:space="preserve"> </w:t>
            </w:r>
            <w:r>
              <w:rPr>
                <w:b/>
              </w:rPr>
              <w:t>Quality</w:t>
            </w:r>
            <w:r>
              <w:rPr>
                <w:b/>
                <w:spacing w:val="-5"/>
              </w:rPr>
              <w:t xml:space="preserve"> </w:t>
            </w:r>
            <w:r>
              <w:rPr>
                <w:b/>
                <w:spacing w:val="-2"/>
              </w:rPr>
              <w:t>Control</w:t>
            </w:r>
          </w:p>
        </w:tc>
      </w:tr>
      <w:tr w:rsidR="00BB77C0" w14:paraId="2FB016B9" w14:textId="77777777">
        <w:trPr>
          <w:trHeight w:val="1156"/>
        </w:trPr>
        <w:tc>
          <w:tcPr>
            <w:tcW w:w="1609" w:type="dxa"/>
          </w:tcPr>
          <w:p w14:paraId="35F74841" w14:textId="77777777" w:rsidR="00BB77C0" w:rsidRDefault="00370BAA">
            <w:pPr>
              <w:pStyle w:val="TableParagraph"/>
              <w:spacing w:line="249" w:lineRule="exact"/>
              <w:ind w:left="88"/>
              <w:rPr>
                <w:b/>
              </w:rPr>
            </w:pPr>
            <w:r>
              <w:rPr>
                <w:b/>
              </w:rPr>
              <w:t>GCC</w:t>
            </w:r>
            <w:r>
              <w:rPr>
                <w:b/>
                <w:spacing w:val="-3"/>
              </w:rPr>
              <w:t xml:space="preserve"> </w:t>
            </w:r>
            <w:r>
              <w:rPr>
                <w:b/>
                <w:spacing w:val="-4"/>
              </w:rPr>
              <w:t>34.1</w:t>
            </w:r>
          </w:p>
        </w:tc>
        <w:tc>
          <w:tcPr>
            <w:tcW w:w="8649" w:type="dxa"/>
          </w:tcPr>
          <w:p w14:paraId="6A9BC3B9" w14:textId="77777777" w:rsidR="00BB77C0" w:rsidRDefault="00370BAA">
            <w:pPr>
              <w:pStyle w:val="TableParagraph"/>
              <w:spacing w:line="249" w:lineRule="exact"/>
              <w:ind w:left="83"/>
            </w:pPr>
            <w:r>
              <w:t>The</w:t>
            </w:r>
            <w:r>
              <w:rPr>
                <w:spacing w:val="-13"/>
              </w:rPr>
              <w:t xml:space="preserve"> </w:t>
            </w:r>
            <w:r>
              <w:t>Defects</w:t>
            </w:r>
            <w:r>
              <w:rPr>
                <w:spacing w:val="-5"/>
              </w:rPr>
              <w:t xml:space="preserve"> </w:t>
            </w:r>
            <w:r>
              <w:t>Liability</w:t>
            </w:r>
            <w:r>
              <w:rPr>
                <w:spacing w:val="-9"/>
              </w:rPr>
              <w:t xml:space="preserve"> </w:t>
            </w:r>
            <w:r>
              <w:t>Period</w:t>
            </w:r>
            <w:r>
              <w:rPr>
                <w:spacing w:val="-11"/>
              </w:rPr>
              <w:t xml:space="preserve"> </w:t>
            </w:r>
            <w:r>
              <w:t>is:</w:t>
            </w:r>
            <w:r>
              <w:rPr>
                <w:spacing w:val="-10"/>
              </w:rPr>
              <w:t xml:space="preserve"> </w:t>
            </w:r>
            <w:r>
              <w:rPr>
                <w:i/>
              </w:rPr>
              <w:t>[insert</w:t>
            </w:r>
            <w:r>
              <w:rPr>
                <w:i/>
                <w:spacing w:val="-5"/>
              </w:rPr>
              <w:t xml:space="preserve"> </w:t>
            </w:r>
            <w:r>
              <w:rPr>
                <w:i/>
              </w:rPr>
              <w:t>number]</w:t>
            </w:r>
            <w:r>
              <w:rPr>
                <w:i/>
                <w:spacing w:val="-5"/>
              </w:rPr>
              <w:t xml:space="preserve"> </w:t>
            </w:r>
            <w:r>
              <w:rPr>
                <w:spacing w:val="-4"/>
              </w:rPr>
              <w:t>days.</w:t>
            </w:r>
          </w:p>
          <w:p w14:paraId="74B06F70" w14:textId="77777777" w:rsidR="00BB77C0" w:rsidRDefault="00370BAA">
            <w:pPr>
              <w:pStyle w:val="TableParagraph"/>
              <w:spacing w:before="198" w:line="244" w:lineRule="auto"/>
              <w:ind w:left="83"/>
              <w:rPr>
                <w:i/>
              </w:rPr>
            </w:pPr>
            <w:r>
              <w:rPr>
                <w:i/>
              </w:rPr>
              <w:t>[The</w:t>
            </w:r>
            <w:r>
              <w:rPr>
                <w:i/>
                <w:spacing w:val="-3"/>
              </w:rPr>
              <w:t xml:space="preserve"> </w:t>
            </w:r>
            <w:r>
              <w:rPr>
                <w:i/>
              </w:rPr>
              <w:t>Defects</w:t>
            </w:r>
            <w:r>
              <w:rPr>
                <w:i/>
                <w:spacing w:val="-4"/>
              </w:rPr>
              <w:t xml:space="preserve"> </w:t>
            </w:r>
            <w:r>
              <w:rPr>
                <w:i/>
              </w:rPr>
              <w:t>Liability</w:t>
            </w:r>
            <w:r>
              <w:rPr>
                <w:i/>
                <w:spacing w:val="-5"/>
              </w:rPr>
              <w:t xml:space="preserve"> </w:t>
            </w:r>
            <w:r>
              <w:rPr>
                <w:i/>
              </w:rPr>
              <w:t>Period</w:t>
            </w:r>
            <w:r>
              <w:rPr>
                <w:i/>
                <w:spacing w:val="-1"/>
              </w:rPr>
              <w:t xml:space="preserve"> </w:t>
            </w:r>
            <w:r>
              <w:rPr>
                <w:i/>
              </w:rPr>
              <w:t>is</w:t>
            </w:r>
            <w:r>
              <w:rPr>
                <w:i/>
                <w:spacing w:val="-9"/>
              </w:rPr>
              <w:t xml:space="preserve"> </w:t>
            </w:r>
            <w:r>
              <w:rPr>
                <w:i/>
              </w:rPr>
              <w:t>usually</w:t>
            </w:r>
            <w:r>
              <w:rPr>
                <w:i/>
                <w:spacing w:val="-2"/>
              </w:rPr>
              <w:t xml:space="preserve"> </w:t>
            </w:r>
            <w:r>
              <w:rPr>
                <w:i/>
              </w:rPr>
              <w:t>limited</w:t>
            </w:r>
            <w:r>
              <w:rPr>
                <w:i/>
                <w:spacing w:val="-9"/>
              </w:rPr>
              <w:t xml:space="preserve"> </w:t>
            </w:r>
            <w:r>
              <w:rPr>
                <w:i/>
              </w:rPr>
              <w:t>to</w:t>
            </w:r>
            <w:r>
              <w:rPr>
                <w:i/>
                <w:spacing w:val="-5"/>
              </w:rPr>
              <w:t xml:space="preserve"> </w:t>
            </w:r>
            <w:r>
              <w:rPr>
                <w:i/>
              </w:rPr>
              <w:t>12</w:t>
            </w:r>
            <w:r>
              <w:rPr>
                <w:i/>
                <w:spacing w:val="-5"/>
              </w:rPr>
              <w:t xml:space="preserve"> </w:t>
            </w:r>
            <w:r>
              <w:rPr>
                <w:i/>
              </w:rPr>
              <w:t>months,</w:t>
            </w:r>
            <w:r>
              <w:rPr>
                <w:i/>
                <w:spacing w:val="-2"/>
              </w:rPr>
              <w:t xml:space="preserve"> </w:t>
            </w:r>
            <w:r>
              <w:rPr>
                <w:i/>
              </w:rPr>
              <w:t>but</w:t>
            </w:r>
            <w:r>
              <w:rPr>
                <w:i/>
                <w:spacing w:val="-4"/>
              </w:rPr>
              <w:t xml:space="preserve"> </w:t>
            </w:r>
            <w:r>
              <w:rPr>
                <w:i/>
              </w:rPr>
              <w:t>could</w:t>
            </w:r>
            <w:r>
              <w:rPr>
                <w:i/>
                <w:spacing w:val="-5"/>
              </w:rPr>
              <w:t xml:space="preserve"> </w:t>
            </w:r>
            <w:r>
              <w:rPr>
                <w:i/>
              </w:rPr>
              <w:t>be</w:t>
            </w:r>
            <w:r>
              <w:rPr>
                <w:i/>
                <w:spacing w:val="-11"/>
              </w:rPr>
              <w:t xml:space="preserve"> </w:t>
            </w:r>
            <w:r>
              <w:rPr>
                <w:i/>
              </w:rPr>
              <w:t>less</w:t>
            </w:r>
            <w:r>
              <w:rPr>
                <w:i/>
                <w:spacing w:val="-4"/>
              </w:rPr>
              <w:t xml:space="preserve"> </w:t>
            </w:r>
            <w:r>
              <w:rPr>
                <w:i/>
              </w:rPr>
              <w:t>in</w:t>
            </w:r>
            <w:r>
              <w:rPr>
                <w:i/>
                <w:spacing w:val="-5"/>
              </w:rPr>
              <w:t xml:space="preserve"> </w:t>
            </w:r>
            <w:r>
              <w:rPr>
                <w:i/>
              </w:rPr>
              <w:t>very</w:t>
            </w:r>
            <w:r>
              <w:rPr>
                <w:i/>
                <w:spacing w:val="-6"/>
              </w:rPr>
              <w:t xml:space="preserve"> </w:t>
            </w:r>
            <w:r>
              <w:rPr>
                <w:i/>
              </w:rPr>
              <w:t xml:space="preserve">simple </w:t>
            </w:r>
            <w:r>
              <w:rPr>
                <w:i/>
                <w:spacing w:val="-2"/>
              </w:rPr>
              <w:t>cases]</w:t>
            </w:r>
          </w:p>
        </w:tc>
      </w:tr>
      <w:tr w:rsidR="00BB77C0" w14:paraId="55D8FC2D" w14:textId="77777777">
        <w:trPr>
          <w:trHeight w:val="575"/>
        </w:trPr>
        <w:tc>
          <w:tcPr>
            <w:tcW w:w="10258" w:type="dxa"/>
            <w:gridSpan w:val="2"/>
          </w:tcPr>
          <w:p w14:paraId="11647494" w14:textId="77777777" w:rsidR="00BB77C0" w:rsidRDefault="00370BAA">
            <w:pPr>
              <w:pStyle w:val="TableParagraph"/>
              <w:spacing w:before="120"/>
              <w:ind w:left="88"/>
              <w:rPr>
                <w:b/>
              </w:rPr>
            </w:pPr>
            <w:r>
              <w:rPr>
                <w:b/>
              </w:rPr>
              <w:t>D.</w:t>
            </w:r>
            <w:r>
              <w:rPr>
                <w:b/>
                <w:spacing w:val="-5"/>
              </w:rPr>
              <w:t xml:space="preserve"> </w:t>
            </w:r>
            <w:r>
              <w:rPr>
                <w:b/>
              </w:rPr>
              <w:t>Cost</w:t>
            </w:r>
            <w:r>
              <w:rPr>
                <w:b/>
                <w:spacing w:val="-5"/>
              </w:rPr>
              <w:t xml:space="preserve"> </w:t>
            </w:r>
            <w:r>
              <w:rPr>
                <w:b/>
                <w:spacing w:val="-2"/>
              </w:rPr>
              <w:t>Control</w:t>
            </w:r>
          </w:p>
        </w:tc>
      </w:tr>
      <w:tr w:rsidR="00BB77C0" w14:paraId="3A8ADD47" w14:textId="77777777">
        <w:trPr>
          <w:trHeight w:val="959"/>
        </w:trPr>
        <w:tc>
          <w:tcPr>
            <w:tcW w:w="1609" w:type="dxa"/>
          </w:tcPr>
          <w:p w14:paraId="004F1CD9" w14:textId="77777777" w:rsidR="00BB77C0" w:rsidRDefault="00370BAA">
            <w:pPr>
              <w:pStyle w:val="TableParagraph"/>
              <w:spacing w:line="249" w:lineRule="exact"/>
              <w:ind w:left="88"/>
              <w:rPr>
                <w:b/>
              </w:rPr>
            </w:pPr>
            <w:r>
              <w:rPr>
                <w:b/>
              </w:rPr>
              <w:t>GCC</w:t>
            </w:r>
            <w:r>
              <w:rPr>
                <w:b/>
                <w:spacing w:val="-3"/>
              </w:rPr>
              <w:t xml:space="preserve"> </w:t>
            </w:r>
            <w:r>
              <w:rPr>
                <w:b/>
                <w:spacing w:val="-4"/>
              </w:rPr>
              <w:t>38.9</w:t>
            </w:r>
          </w:p>
        </w:tc>
        <w:tc>
          <w:tcPr>
            <w:tcW w:w="8649" w:type="dxa"/>
          </w:tcPr>
          <w:p w14:paraId="761263C8" w14:textId="77777777" w:rsidR="00BB77C0" w:rsidRDefault="00370BAA">
            <w:pPr>
              <w:pStyle w:val="TableParagraph"/>
              <w:spacing w:line="242" w:lineRule="auto"/>
              <w:ind w:left="83" w:right="222"/>
              <w:jc w:val="both"/>
            </w:pPr>
            <w:r>
              <w:t>If the</w:t>
            </w:r>
            <w:r>
              <w:rPr>
                <w:spacing w:val="-3"/>
              </w:rPr>
              <w:t xml:space="preserve"> </w:t>
            </w:r>
            <w:r>
              <w:t>value engineering</w:t>
            </w:r>
            <w:r>
              <w:rPr>
                <w:spacing w:val="-1"/>
              </w:rPr>
              <w:t xml:space="preserve"> </w:t>
            </w:r>
            <w:r>
              <w:t>proposal is approved</w:t>
            </w:r>
            <w:r>
              <w:rPr>
                <w:spacing w:val="-1"/>
              </w:rPr>
              <w:t xml:space="preserve"> </w:t>
            </w:r>
            <w:r>
              <w:t>by</w:t>
            </w:r>
            <w:r>
              <w:rPr>
                <w:spacing w:val="-1"/>
              </w:rPr>
              <w:t xml:space="preserve"> </w:t>
            </w:r>
            <w:r>
              <w:t>the</w:t>
            </w:r>
            <w:r>
              <w:rPr>
                <w:spacing w:val="-3"/>
              </w:rPr>
              <w:t xml:space="preserve"> </w:t>
            </w:r>
            <w:r>
              <w:t>Procuring</w:t>
            </w:r>
            <w:r>
              <w:rPr>
                <w:spacing w:val="-1"/>
              </w:rPr>
              <w:t xml:space="preserve"> </w:t>
            </w:r>
            <w:r>
              <w:t>Entity</w:t>
            </w:r>
            <w:r>
              <w:rPr>
                <w:spacing w:val="-1"/>
              </w:rPr>
              <w:t xml:space="preserve"> </w:t>
            </w:r>
            <w:r>
              <w:t>the</w:t>
            </w:r>
            <w:r>
              <w:rPr>
                <w:spacing w:val="-3"/>
              </w:rPr>
              <w:t xml:space="preserve"> </w:t>
            </w:r>
            <w:r>
              <w:t>amount to</w:t>
            </w:r>
            <w:r>
              <w:rPr>
                <w:spacing w:val="-1"/>
              </w:rPr>
              <w:t xml:space="preserve"> </w:t>
            </w:r>
            <w:r>
              <w:t>be</w:t>
            </w:r>
            <w:r>
              <w:rPr>
                <w:spacing w:val="-3"/>
              </w:rPr>
              <w:t xml:space="preserve"> </w:t>
            </w:r>
            <w:r>
              <w:t>paid</w:t>
            </w:r>
            <w:r>
              <w:rPr>
                <w:spacing w:val="-1"/>
              </w:rPr>
              <w:t xml:space="preserve"> </w:t>
            </w:r>
            <w:r>
              <w:t>to the</w:t>
            </w:r>
            <w:r>
              <w:rPr>
                <w:spacing w:val="-7"/>
              </w:rPr>
              <w:t xml:space="preserve"> </w:t>
            </w:r>
            <w:r>
              <w:t>Contractor shall</w:t>
            </w:r>
            <w:r>
              <w:rPr>
                <w:spacing w:val="-4"/>
              </w:rPr>
              <w:t xml:space="preserve"> </w:t>
            </w:r>
            <w:r>
              <w:t xml:space="preserve">be </w:t>
            </w:r>
            <w:r>
              <w:rPr>
                <w:spacing w:val="40"/>
                <w:u w:val="single"/>
              </w:rPr>
              <w:t xml:space="preserve">  </w:t>
            </w:r>
            <w:r>
              <w:t>%</w:t>
            </w:r>
            <w:r>
              <w:rPr>
                <w:spacing w:val="-1"/>
              </w:rPr>
              <w:t xml:space="preserve"> </w:t>
            </w:r>
            <w:r>
              <w:rPr>
                <w:i/>
              </w:rPr>
              <w:t>(insert</w:t>
            </w:r>
            <w:r>
              <w:rPr>
                <w:i/>
                <w:spacing w:val="-7"/>
              </w:rPr>
              <w:t xml:space="preserve"> </w:t>
            </w:r>
            <w:r>
              <w:rPr>
                <w:i/>
              </w:rPr>
              <w:t>appropriate</w:t>
            </w:r>
            <w:r>
              <w:rPr>
                <w:i/>
                <w:spacing w:val="-6"/>
              </w:rPr>
              <w:t xml:space="preserve"> </w:t>
            </w:r>
            <w:r>
              <w:rPr>
                <w:i/>
              </w:rPr>
              <w:t>percentage.</w:t>
            </w:r>
            <w:r>
              <w:rPr>
                <w:i/>
                <w:spacing w:val="-6"/>
              </w:rPr>
              <w:t xml:space="preserve"> </w:t>
            </w:r>
            <w:r>
              <w:rPr>
                <w:i/>
              </w:rPr>
              <w:t>The</w:t>
            </w:r>
            <w:r>
              <w:rPr>
                <w:i/>
                <w:spacing w:val="-6"/>
              </w:rPr>
              <w:t xml:space="preserve"> </w:t>
            </w:r>
            <w:r>
              <w:rPr>
                <w:i/>
              </w:rPr>
              <w:t>percentage</w:t>
            </w:r>
            <w:r>
              <w:rPr>
                <w:i/>
                <w:spacing w:val="-11"/>
              </w:rPr>
              <w:t xml:space="preserve"> </w:t>
            </w:r>
            <w:r>
              <w:rPr>
                <w:i/>
              </w:rPr>
              <w:t>is</w:t>
            </w:r>
            <w:r>
              <w:rPr>
                <w:i/>
                <w:spacing w:val="-4"/>
              </w:rPr>
              <w:t xml:space="preserve"> </w:t>
            </w:r>
            <w:r>
              <w:rPr>
                <w:i/>
              </w:rPr>
              <w:t>normally</w:t>
            </w:r>
            <w:r>
              <w:rPr>
                <w:i/>
                <w:spacing w:val="-6"/>
              </w:rPr>
              <w:t xml:space="preserve"> </w:t>
            </w:r>
            <w:r>
              <w:rPr>
                <w:i/>
              </w:rPr>
              <w:t>up</w:t>
            </w:r>
            <w:r>
              <w:rPr>
                <w:i/>
                <w:spacing w:val="-9"/>
              </w:rPr>
              <w:t xml:space="preserve"> </w:t>
            </w:r>
            <w:r>
              <w:rPr>
                <w:i/>
              </w:rPr>
              <w:t xml:space="preserve">to 50%) </w:t>
            </w:r>
            <w:r>
              <w:t>of the reduction in the Contract Price.</w:t>
            </w:r>
          </w:p>
        </w:tc>
      </w:tr>
      <w:tr w:rsidR="00BB77C0" w14:paraId="79C3EDA8" w14:textId="77777777">
        <w:trPr>
          <w:trHeight w:val="705"/>
        </w:trPr>
        <w:tc>
          <w:tcPr>
            <w:tcW w:w="1609" w:type="dxa"/>
          </w:tcPr>
          <w:p w14:paraId="7C57CB20" w14:textId="77777777" w:rsidR="00BB77C0" w:rsidRDefault="00370BAA">
            <w:pPr>
              <w:pStyle w:val="TableParagraph"/>
              <w:spacing w:line="249" w:lineRule="exact"/>
              <w:ind w:left="88"/>
              <w:rPr>
                <w:b/>
              </w:rPr>
            </w:pPr>
            <w:r>
              <w:rPr>
                <w:b/>
              </w:rPr>
              <w:t>GCC</w:t>
            </w:r>
            <w:r>
              <w:rPr>
                <w:b/>
                <w:spacing w:val="-3"/>
              </w:rPr>
              <w:t xml:space="preserve"> </w:t>
            </w:r>
            <w:r>
              <w:rPr>
                <w:b/>
                <w:spacing w:val="-4"/>
              </w:rPr>
              <w:t>44.1</w:t>
            </w:r>
          </w:p>
        </w:tc>
        <w:tc>
          <w:tcPr>
            <w:tcW w:w="8649" w:type="dxa"/>
          </w:tcPr>
          <w:p w14:paraId="4F187EC3" w14:textId="77777777" w:rsidR="00BB77C0" w:rsidRDefault="00370BAA">
            <w:pPr>
              <w:pStyle w:val="TableParagraph"/>
              <w:spacing w:line="242" w:lineRule="auto"/>
              <w:ind w:left="83"/>
            </w:pPr>
            <w:r>
              <w:t>The</w:t>
            </w:r>
            <w:r>
              <w:rPr>
                <w:spacing w:val="-11"/>
              </w:rPr>
              <w:t xml:space="preserve"> </w:t>
            </w:r>
            <w:r>
              <w:t>currency</w:t>
            </w:r>
            <w:r>
              <w:rPr>
                <w:spacing w:val="-5"/>
              </w:rPr>
              <w:t xml:space="preserve"> </w:t>
            </w:r>
            <w:r>
              <w:t>of</w:t>
            </w:r>
            <w:r>
              <w:rPr>
                <w:spacing w:val="-2"/>
              </w:rPr>
              <w:t xml:space="preserve"> </w:t>
            </w:r>
            <w:r>
              <w:t>the</w:t>
            </w:r>
            <w:r>
              <w:rPr>
                <w:spacing w:val="-11"/>
              </w:rPr>
              <w:t xml:space="preserve"> </w:t>
            </w:r>
            <w:r>
              <w:t>Procuring</w:t>
            </w:r>
            <w:r>
              <w:rPr>
                <w:spacing w:val="-9"/>
              </w:rPr>
              <w:t xml:space="preserve"> </w:t>
            </w:r>
            <w:r>
              <w:t>Entity’s</w:t>
            </w:r>
            <w:r>
              <w:rPr>
                <w:spacing w:val="-4"/>
              </w:rPr>
              <w:t xml:space="preserve"> </w:t>
            </w:r>
            <w:r>
              <w:t>Country</w:t>
            </w:r>
            <w:r>
              <w:rPr>
                <w:spacing w:val="-8"/>
              </w:rPr>
              <w:t xml:space="preserve"> </w:t>
            </w:r>
            <w:r>
              <w:t>is:</w:t>
            </w:r>
            <w:r>
              <w:rPr>
                <w:spacing w:val="-8"/>
              </w:rPr>
              <w:t xml:space="preserve"> </w:t>
            </w:r>
            <w:r>
              <w:rPr>
                <w:i/>
              </w:rPr>
              <w:t>[insert name</w:t>
            </w:r>
            <w:r>
              <w:rPr>
                <w:i/>
                <w:spacing w:val="-6"/>
              </w:rPr>
              <w:t xml:space="preserve"> </w:t>
            </w:r>
            <w:r>
              <w:rPr>
                <w:i/>
              </w:rPr>
              <w:t>of</w:t>
            </w:r>
            <w:r>
              <w:rPr>
                <w:i/>
                <w:spacing w:val="-5"/>
              </w:rPr>
              <w:t xml:space="preserve"> </w:t>
            </w:r>
            <w:r>
              <w:rPr>
                <w:i/>
              </w:rPr>
              <w:t>currency</w:t>
            </w:r>
            <w:r>
              <w:rPr>
                <w:i/>
                <w:spacing w:val="-6"/>
              </w:rPr>
              <w:t xml:space="preserve"> </w:t>
            </w:r>
            <w:r>
              <w:rPr>
                <w:i/>
              </w:rPr>
              <w:t>of</w:t>
            </w:r>
            <w:r>
              <w:rPr>
                <w:i/>
                <w:spacing w:val="-5"/>
              </w:rPr>
              <w:t xml:space="preserve"> </w:t>
            </w:r>
            <w:r>
              <w:rPr>
                <w:i/>
              </w:rPr>
              <w:t>the</w:t>
            </w:r>
            <w:r>
              <w:rPr>
                <w:i/>
                <w:spacing w:val="-11"/>
              </w:rPr>
              <w:t xml:space="preserve"> </w:t>
            </w:r>
            <w:r>
              <w:t>Procuring Entity’s Country</w:t>
            </w:r>
            <w:r>
              <w:rPr>
                <w:i/>
              </w:rPr>
              <w:t>]</w:t>
            </w:r>
            <w:r>
              <w:t>.</w:t>
            </w:r>
          </w:p>
        </w:tc>
      </w:tr>
      <w:tr w:rsidR="00BB77C0" w14:paraId="2C712555" w14:textId="77777777">
        <w:trPr>
          <w:trHeight w:val="3475"/>
        </w:trPr>
        <w:tc>
          <w:tcPr>
            <w:tcW w:w="1609" w:type="dxa"/>
          </w:tcPr>
          <w:p w14:paraId="6C8138AB" w14:textId="77777777" w:rsidR="00BB77C0" w:rsidRDefault="00370BAA">
            <w:pPr>
              <w:pStyle w:val="TableParagraph"/>
              <w:spacing w:line="249" w:lineRule="exact"/>
              <w:ind w:left="88"/>
              <w:rPr>
                <w:b/>
              </w:rPr>
            </w:pPr>
            <w:r>
              <w:rPr>
                <w:b/>
              </w:rPr>
              <w:t>GCC</w:t>
            </w:r>
            <w:r>
              <w:rPr>
                <w:b/>
                <w:spacing w:val="-3"/>
              </w:rPr>
              <w:t xml:space="preserve"> </w:t>
            </w:r>
            <w:r>
              <w:rPr>
                <w:b/>
                <w:spacing w:val="-4"/>
              </w:rPr>
              <w:t>45.1</w:t>
            </w:r>
          </w:p>
        </w:tc>
        <w:tc>
          <w:tcPr>
            <w:tcW w:w="8649" w:type="dxa"/>
          </w:tcPr>
          <w:p w14:paraId="3467F507" w14:textId="77777777" w:rsidR="00BB77C0" w:rsidRDefault="00370BAA">
            <w:pPr>
              <w:pStyle w:val="TableParagraph"/>
              <w:spacing w:line="242" w:lineRule="auto"/>
              <w:ind w:left="83" w:right="188"/>
            </w:pPr>
            <w:r>
              <w:t>The</w:t>
            </w:r>
            <w:r>
              <w:rPr>
                <w:spacing w:val="-6"/>
              </w:rPr>
              <w:t xml:space="preserve"> </w:t>
            </w:r>
            <w:r>
              <w:t>Contract</w:t>
            </w:r>
            <w:r>
              <w:rPr>
                <w:spacing w:val="-7"/>
              </w:rPr>
              <w:t xml:space="preserve"> </w:t>
            </w:r>
            <w:r>
              <w:rPr>
                <w:i/>
              </w:rPr>
              <w:t>[insert</w:t>
            </w:r>
            <w:r>
              <w:rPr>
                <w:i/>
                <w:spacing w:val="-7"/>
              </w:rPr>
              <w:t xml:space="preserve"> </w:t>
            </w:r>
            <w:r>
              <w:rPr>
                <w:i/>
              </w:rPr>
              <w:t>“is”</w:t>
            </w:r>
            <w:r>
              <w:rPr>
                <w:i/>
                <w:spacing w:val="-7"/>
              </w:rPr>
              <w:t xml:space="preserve"> </w:t>
            </w:r>
            <w:r>
              <w:rPr>
                <w:i/>
              </w:rPr>
              <w:t>or</w:t>
            </w:r>
            <w:r>
              <w:rPr>
                <w:i/>
                <w:spacing w:val="-9"/>
              </w:rPr>
              <w:t xml:space="preserve"> </w:t>
            </w:r>
            <w:r>
              <w:rPr>
                <w:i/>
              </w:rPr>
              <w:t>“is</w:t>
            </w:r>
            <w:r>
              <w:rPr>
                <w:i/>
                <w:spacing w:val="-9"/>
              </w:rPr>
              <w:t xml:space="preserve"> </w:t>
            </w:r>
            <w:r>
              <w:rPr>
                <w:i/>
              </w:rPr>
              <w:t>not”]</w:t>
            </w:r>
            <w:r>
              <w:rPr>
                <w:i/>
                <w:spacing w:val="-4"/>
              </w:rPr>
              <w:t xml:space="preserve"> </w:t>
            </w:r>
            <w:r>
              <w:t>subject</w:t>
            </w:r>
            <w:r>
              <w:rPr>
                <w:spacing w:val="-4"/>
              </w:rPr>
              <w:t xml:space="preserve"> </w:t>
            </w:r>
            <w:r>
              <w:t>to</w:t>
            </w:r>
            <w:r>
              <w:rPr>
                <w:spacing w:val="-4"/>
              </w:rPr>
              <w:t xml:space="preserve"> </w:t>
            </w:r>
            <w:r>
              <w:t>price</w:t>
            </w:r>
            <w:r>
              <w:rPr>
                <w:spacing w:val="-11"/>
              </w:rPr>
              <w:t xml:space="preserve"> </w:t>
            </w:r>
            <w:r>
              <w:t>adjustment in</w:t>
            </w:r>
            <w:r>
              <w:rPr>
                <w:spacing w:val="-9"/>
              </w:rPr>
              <w:t xml:space="preserve"> </w:t>
            </w:r>
            <w:r>
              <w:t>accordance</w:t>
            </w:r>
            <w:r>
              <w:rPr>
                <w:spacing w:val="-6"/>
              </w:rPr>
              <w:t xml:space="preserve"> </w:t>
            </w:r>
            <w:r>
              <w:t>with</w:t>
            </w:r>
            <w:r>
              <w:rPr>
                <w:spacing w:val="-4"/>
              </w:rPr>
              <w:t xml:space="preserve"> </w:t>
            </w:r>
            <w:r>
              <w:t>GCC Clause 45, and the</w:t>
            </w:r>
            <w:r>
              <w:rPr>
                <w:spacing w:val="-1"/>
              </w:rPr>
              <w:t xml:space="preserve"> </w:t>
            </w:r>
            <w:r>
              <w:t xml:space="preserve">following information regarding coefficients </w:t>
            </w:r>
            <w:r>
              <w:rPr>
                <w:i/>
              </w:rPr>
              <w:t xml:space="preserve">[specify “does” or “does not”] </w:t>
            </w:r>
            <w:r>
              <w:t>apply.</w:t>
            </w:r>
          </w:p>
          <w:p w14:paraId="132FDF98" w14:textId="77777777" w:rsidR="00BB77C0" w:rsidRDefault="00370BAA">
            <w:pPr>
              <w:pStyle w:val="TableParagraph"/>
              <w:spacing w:before="180" w:line="244" w:lineRule="auto"/>
              <w:ind w:left="83" w:right="281"/>
              <w:rPr>
                <w:i/>
              </w:rPr>
            </w:pPr>
            <w:r>
              <w:rPr>
                <w:i/>
              </w:rPr>
              <w:t>[Price</w:t>
            </w:r>
            <w:r>
              <w:rPr>
                <w:i/>
                <w:spacing w:val="-8"/>
              </w:rPr>
              <w:t xml:space="preserve"> </w:t>
            </w:r>
            <w:r>
              <w:rPr>
                <w:i/>
              </w:rPr>
              <w:t>adjustment</w:t>
            </w:r>
            <w:r>
              <w:rPr>
                <w:i/>
                <w:spacing w:val="-5"/>
              </w:rPr>
              <w:t xml:space="preserve"> </w:t>
            </w:r>
            <w:r>
              <w:rPr>
                <w:i/>
              </w:rPr>
              <w:t>is</w:t>
            </w:r>
            <w:r>
              <w:rPr>
                <w:i/>
                <w:spacing w:val="-10"/>
              </w:rPr>
              <w:t xml:space="preserve"> </w:t>
            </w:r>
            <w:r>
              <w:rPr>
                <w:i/>
              </w:rPr>
              <w:t>mandatory</w:t>
            </w:r>
            <w:r>
              <w:rPr>
                <w:i/>
                <w:spacing w:val="-8"/>
              </w:rPr>
              <w:t xml:space="preserve"> </w:t>
            </w:r>
            <w:r>
              <w:rPr>
                <w:i/>
              </w:rPr>
              <w:t>for</w:t>
            </w:r>
            <w:r>
              <w:rPr>
                <w:i/>
                <w:spacing w:val="-6"/>
              </w:rPr>
              <w:t xml:space="preserve"> </w:t>
            </w:r>
            <w:r>
              <w:rPr>
                <w:i/>
              </w:rPr>
              <w:t>contracts</w:t>
            </w:r>
            <w:r>
              <w:rPr>
                <w:i/>
                <w:spacing w:val="-6"/>
              </w:rPr>
              <w:t xml:space="preserve"> </w:t>
            </w:r>
            <w:r>
              <w:rPr>
                <w:i/>
              </w:rPr>
              <w:t>which</w:t>
            </w:r>
            <w:r>
              <w:rPr>
                <w:i/>
                <w:spacing w:val="-6"/>
              </w:rPr>
              <w:t xml:space="preserve"> </w:t>
            </w:r>
            <w:r>
              <w:rPr>
                <w:i/>
              </w:rPr>
              <w:t>provide</w:t>
            </w:r>
            <w:r>
              <w:rPr>
                <w:i/>
                <w:spacing w:val="-9"/>
              </w:rPr>
              <w:t xml:space="preserve"> </w:t>
            </w:r>
            <w:r>
              <w:rPr>
                <w:i/>
              </w:rPr>
              <w:t>for</w:t>
            </w:r>
            <w:r>
              <w:rPr>
                <w:i/>
                <w:spacing w:val="-5"/>
              </w:rPr>
              <w:t xml:space="preserve"> </w:t>
            </w:r>
            <w:r>
              <w:rPr>
                <w:i/>
              </w:rPr>
              <w:t>time</w:t>
            </w:r>
            <w:r>
              <w:rPr>
                <w:i/>
                <w:spacing w:val="-8"/>
              </w:rPr>
              <w:t xml:space="preserve"> </w:t>
            </w:r>
            <w:r>
              <w:rPr>
                <w:i/>
              </w:rPr>
              <w:t>of</w:t>
            </w:r>
            <w:r>
              <w:rPr>
                <w:i/>
                <w:spacing w:val="-6"/>
              </w:rPr>
              <w:t xml:space="preserve"> </w:t>
            </w:r>
            <w:r>
              <w:rPr>
                <w:i/>
              </w:rPr>
              <w:t>completion</w:t>
            </w:r>
            <w:r>
              <w:rPr>
                <w:i/>
                <w:spacing w:val="-6"/>
              </w:rPr>
              <w:t xml:space="preserve"> </w:t>
            </w:r>
            <w:r>
              <w:rPr>
                <w:i/>
              </w:rPr>
              <w:t>exceeding 18 months]</w:t>
            </w:r>
          </w:p>
          <w:p w14:paraId="2EA179BA" w14:textId="77777777" w:rsidR="00BB77C0" w:rsidRDefault="00370BAA">
            <w:pPr>
              <w:pStyle w:val="TableParagraph"/>
              <w:spacing w:before="194"/>
              <w:ind w:left="83"/>
            </w:pPr>
            <w:r>
              <w:t>The</w:t>
            </w:r>
            <w:r>
              <w:rPr>
                <w:spacing w:val="-14"/>
              </w:rPr>
              <w:t xml:space="preserve"> </w:t>
            </w:r>
            <w:r>
              <w:t>coefficients</w:t>
            </w:r>
            <w:r>
              <w:rPr>
                <w:spacing w:val="-9"/>
              </w:rPr>
              <w:t xml:space="preserve"> </w:t>
            </w:r>
            <w:r>
              <w:t>for</w:t>
            </w:r>
            <w:r>
              <w:rPr>
                <w:spacing w:val="-6"/>
              </w:rPr>
              <w:t xml:space="preserve"> </w:t>
            </w:r>
            <w:r>
              <w:t>adjustment</w:t>
            </w:r>
            <w:r>
              <w:rPr>
                <w:spacing w:val="-3"/>
              </w:rPr>
              <w:t xml:space="preserve"> </w:t>
            </w:r>
            <w:r>
              <w:t>of</w:t>
            </w:r>
            <w:r>
              <w:rPr>
                <w:spacing w:val="-10"/>
              </w:rPr>
              <w:t xml:space="preserve"> </w:t>
            </w:r>
            <w:r>
              <w:t>prices</w:t>
            </w:r>
            <w:r>
              <w:rPr>
                <w:spacing w:val="-4"/>
              </w:rPr>
              <w:t xml:space="preserve"> are:</w:t>
            </w:r>
          </w:p>
          <w:p w14:paraId="03C78E32" w14:textId="77777777" w:rsidR="00BB77C0" w:rsidRDefault="00370BAA">
            <w:pPr>
              <w:pStyle w:val="TableParagraph"/>
              <w:tabs>
                <w:tab w:val="left" w:pos="640"/>
              </w:tabs>
              <w:spacing w:before="194" w:line="432" w:lineRule="auto"/>
              <w:ind w:left="83" w:right="2183"/>
            </w:pPr>
            <w:r>
              <w:rPr>
                <w:spacing w:val="-4"/>
              </w:rPr>
              <w:t>(a)</w:t>
            </w:r>
            <w:r>
              <w:tab/>
            </w:r>
            <w:r>
              <w:rPr>
                <w:i/>
              </w:rPr>
              <w:t>[insert</w:t>
            </w:r>
            <w:r>
              <w:rPr>
                <w:i/>
                <w:spacing w:val="-14"/>
              </w:rPr>
              <w:t xml:space="preserve"> </w:t>
            </w:r>
            <w:r>
              <w:rPr>
                <w:i/>
              </w:rPr>
              <w:t>percentage]</w:t>
            </w:r>
            <w:r>
              <w:rPr>
                <w:i/>
                <w:spacing w:val="-14"/>
              </w:rPr>
              <w:t xml:space="preserve"> </w:t>
            </w:r>
            <w:r>
              <w:t>percent</w:t>
            </w:r>
            <w:r>
              <w:rPr>
                <w:spacing w:val="-13"/>
              </w:rPr>
              <w:t xml:space="preserve"> </w:t>
            </w:r>
            <w:r>
              <w:t>nonadjustable</w:t>
            </w:r>
            <w:r>
              <w:rPr>
                <w:spacing w:val="-14"/>
              </w:rPr>
              <w:t xml:space="preserve"> </w:t>
            </w:r>
            <w:r>
              <w:t>element</w:t>
            </w:r>
            <w:r>
              <w:rPr>
                <w:spacing w:val="-13"/>
              </w:rPr>
              <w:t xml:space="preserve"> </w:t>
            </w:r>
            <w:r>
              <w:t>(coefficient</w:t>
            </w:r>
            <w:r>
              <w:rPr>
                <w:spacing w:val="-9"/>
              </w:rPr>
              <w:t xml:space="preserve"> </w:t>
            </w:r>
            <w:r>
              <w:t xml:space="preserve">A). </w:t>
            </w:r>
            <w:r>
              <w:rPr>
                <w:spacing w:val="-4"/>
              </w:rPr>
              <w:t>(ib)</w:t>
            </w:r>
            <w:r>
              <w:tab/>
            </w:r>
            <w:r>
              <w:rPr>
                <w:i/>
              </w:rPr>
              <w:t xml:space="preserve">[insert percentage] </w:t>
            </w:r>
            <w:r>
              <w:t>percent adjustable element (coefficient B).</w:t>
            </w:r>
          </w:p>
          <w:p w14:paraId="19A6BB6E" w14:textId="77777777" w:rsidR="00BB77C0" w:rsidRDefault="00370BAA">
            <w:pPr>
              <w:pStyle w:val="TableParagraph"/>
              <w:tabs>
                <w:tab w:val="left" w:pos="625"/>
              </w:tabs>
              <w:spacing w:before="2"/>
              <w:ind w:left="83"/>
            </w:pPr>
            <w:r>
              <w:rPr>
                <w:spacing w:val="-5"/>
              </w:rPr>
              <w:t>(c)</w:t>
            </w:r>
            <w:r>
              <w:tab/>
              <w:t>The</w:t>
            </w:r>
            <w:r>
              <w:rPr>
                <w:spacing w:val="-12"/>
              </w:rPr>
              <w:t xml:space="preserve"> </w:t>
            </w:r>
            <w:r>
              <w:t>Index I</w:t>
            </w:r>
            <w:r>
              <w:rPr>
                <w:spacing w:val="-7"/>
              </w:rPr>
              <w:t xml:space="preserve"> </w:t>
            </w:r>
            <w:r>
              <w:t>for</w:t>
            </w:r>
            <w:r>
              <w:rPr>
                <w:spacing w:val="4"/>
              </w:rPr>
              <w:t xml:space="preserve"> </w:t>
            </w:r>
            <w:r>
              <w:t>shall</w:t>
            </w:r>
            <w:r>
              <w:rPr>
                <w:spacing w:val="-5"/>
              </w:rPr>
              <w:t xml:space="preserve"> </w:t>
            </w:r>
            <w:r>
              <w:t>be</w:t>
            </w:r>
            <w:r>
              <w:rPr>
                <w:spacing w:val="-7"/>
              </w:rPr>
              <w:t xml:space="preserve"> </w:t>
            </w:r>
            <w:r>
              <w:rPr>
                <w:i/>
              </w:rPr>
              <w:t>[insert</w:t>
            </w:r>
            <w:r>
              <w:rPr>
                <w:i/>
                <w:spacing w:val="-7"/>
              </w:rPr>
              <w:t xml:space="preserve"> </w:t>
            </w:r>
            <w:r>
              <w:rPr>
                <w:i/>
                <w:spacing w:val="-2"/>
              </w:rPr>
              <w:t>index]</w:t>
            </w:r>
            <w:r>
              <w:rPr>
                <w:spacing w:val="-2"/>
              </w:rPr>
              <w:t>.</w:t>
            </w:r>
          </w:p>
        </w:tc>
      </w:tr>
      <w:tr w:rsidR="00BB77C0" w14:paraId="53BA9E15" w14:textId="77777777">
        <w:trPr>
          <w:trHeight w:val="907"/>
        </w:trPr>
        <w:tc>
          <w:tcPr>
            <w:tcW w:w="1609" w:type="dxa"/>
          </w:tcPr>
          <w:p w14:paraId="0BB1F477" w14:textId="77777777" w:rsidR="00BB77C0" w:rsidRDefault="00370BAA">
            <w:pPr>
              <w:pStyle w:val="TableParagraph"/>
              <w:ind w:left="88"/>
              <w:rPr>
                <w:b/>
              </w:rPr>
            </w:pPr>
            <w:r>
              <w:rPr>
                <w:b/>
              </w:rPr>
              <w:t>GCC</w:t>
            </w:r>
            <w:r>
              <w:rPr>
                <w:b/>
                <w:spacing w:val="-3"/>
              </w:rPr>
              <w:t xml:space="preserve"> </w:t>
            </w:r>
            <w:r>
              <w:rPr>
                <w:b/>
                <w:spacing w:val="-4"/>
              </w:rPr>
              <w:t>46.1</w:t>
            </w:r>
          </w:p>
        </w:tc>
        <w:tc>
          <w:tcPr>
            <w:tcW w:w="8649" w:type="dxa"/>
          </w:tcPr>
          <w:p w14:paraId="44FC30C1" w14:textId="77777777" w:rsidR="00BB77C0" w:rsidRDefault="00370BAA">
            <w:pPr>
              <w:pStyle w:val="TableParagraph"/>
              <w:spacing w:line="249" w:lineRule="exact"/>
              <w:ind w:left="83"/>
              <w:rPr>
                <w:i/>
              </w:rPr>
            </w:pPr>
            <w:r>
              <w:t>The</w:t>
            </w:r>
            <w:r>
              <w:rPr>
                <w:spacing w:val="-12"/>
              </w:rPr>
              <w:t xml:space="preserve"> </w:t>
            </w:r>
            <w:r>
              <w:t>proportion</w:t>
            </w:r>
            <w:r>
              <w:rPr>
                <w:spacing w:val="-8"/>
              </w:rPr>
              <w:t xml:space="preserve"> </w:t>
            </w:r>
            <w:r>
              <w:t>of</w:t>
            </w:r>
            <w:r>
              <w:rPr>
                <w:spacing w:val="-6"/>
              </w:rPr>
              <w:t xml:space="preserve"> </w:t>
            </w:r>
            <w:r>
              <w:t>payments</w:t>
            </w:r>
            <w:r>
              <w:rPr>
                <w:spacing w:val="-4"/>
              </w:rPr>
              <w:t xml:space="preserve"> </w:t>
            </w:r>
            <w:r>
              <w:t>retained</w:t>
            </w:r>
            <w:r>
              <w:rPr>
                <w:spacing w:val="-8"/>
              </w:rPr>
              <w:t xml:space="preserve"> </w:t>
            </w:r>
            <w:r>
              <w:t>is:</w:t>
            </w:r>
            <w:r>
              <w:rPr>
                <w:spacing w:val="-3"/>
              </w:rPr>
              <w:t xml:space="preserve"> </w:t>
            </w:r>
            <w:r>
              <w:rPr>
                <w:i/>
              </w:rPr>
              <w:t>[insert</w:t>
            </w:r>
            <w:r>
              <w:rPr>
                <w:i/>
                <w:spacing w:val="-7"/>
              </w:rPr>
              <w:t xml:space="preserve"> </w:t>
            </w:r>
            <w:r>
              <w:rPr>
                <w:i/>
                <w:spacing w:val="-2"/>
              </w:rPr>
              <w:t>percentage]</w:t>
            </w:r>
          </w:p>
          <w:p w14:paraId="19E72672" w14:textId="77777777" w:rsidR="00BB77C0" w:rsidRDefault="00370BAA">
            <w:pPr>
              <w:pStyle w:val="TableParagraph"/>
              <w:spacing w:before="198"/>
              <w:ind w:left="83"/>
              <w:rPr>
                <w:i/>
              </w:rPr>
            </w:pPr>
            <w:r>
              <w:rPr>
                <w:i/>
              </w:rPr>
              <w:t>[The</w:t>
            </w:r>
            <w:r>
              <w:rPr>
                <w:i/>
                <w:spacing w:val="-7"/>
              </w:rPr>
              <w:t xml:space="preserve"> </w:t>
            </w:r>
            <w:r>
              <w:rPr>
                <w:i/>
              </w:rPr>
              <w:t>retention</w:t>
            </w:r>
            <w:r>
              <w:rPr>
                <w:i/>
                <w:spacing w:val="-4"/>
              </w:rPr>
              <w:t xml:space="preserve"> </w:t>
            </w:r>
            <w:r>
              <w:rPr>
                <w:i/>
              </w:rPr>
              <w:t>amount</w:t>
            </w:r>
            <w:r>
              <w:rPr>
                <w:i/>
                <w:spacing w:val="-4"/>
              </w:rPr>
              <w:t xml:space="preserve"> </w:t>
            </w:r>
            <w:r>
              <w:rPr>
                <w:i/>
              </w:rPr>
              <w:t>is</w:t>
            </w:r>
            <w:r>
              <w:rPr>
                <w:i/>
                <w:spacing w:val="-4"/>
              </w:rPr>
              <w:t xml:space="preserve"> </w:t>
            </w:r>
            <w:r>
              <w:rPr>
                <w:i/>
              </w:rPr>
              <w:t>usually</w:t>
            </w:r>
            <w:r>
              <w:rPr>
                <w:i/>
                <w:spacing w:val="-6"/>
              </w:rPr>
              <w:t xml:space="preserve"> </w:t>
            </w:r>
            <w:r>
              <w:rPr>
                <w:i/>
              </w:rPr>
              <w:t>close</w:t>
            </w:r>
            <w:r>
              <w:rPr>
                <w:i/>
                <w:spacing w:val="-6"/>
              </w:rPr>
              <w:t xml:space="preserve"> </w:t>
            </w:r>
            <w:r>
              <w:rPr>
                <w:i/>
              </w:rPr>
              <w:t>to</w:t>
            </w:r>
            <w:r>
              <w:rPr>
                <w:i/>
                <w:spacing w:val="-5"/>
              </w:rPr>
              <w:t xml:space="preserve"> </w:t>
            </w:r>
            <w:r>
              <w:rPr>
                <w:i/>
              </w:rPr>
              <w:t>5</w:t>
            </w:r>
            <w:r>
              <w:rPr>
                <w:i/>
                <w:spacing w:val="-8"/>
              </w:rPr>
              <w:t xml:space="preserve"> </w:t>
            </w:r>
            <w:r>
              <w:rPr>
                <w:i/>
              </w:rPr>
              <w:t>percent and</w:t>
            </w:r>
            <w:r>
              <w:rPr>
                <w:i/>
                <w:spacing w:val="-13"/>
              </w:rPr>
              <w:t xml:space="preserve"> </w:t>
            </w:r>
            <w:r>
              <w:rPr>
                <w:i/>
              </w:rPr>
              <w:t>in no</w:t>
            </w:r>
            <w:r>
              <w:rPr>
                <w:i/>
                <w:spacing w:val="-9"/>
              </w:rPr>
              <w:t xml:space="preserve"> </w:t>
            </w:r>
            <w:r>
              <w:rPr>
                <w:i/>
              </w:rPr>
              <w:t>case</w:t>
            </w:r>
            <w:r>
              <w:rPr>
                <w:i/>
                <w:spacing w:val="-6"/>
              </w:rPr>
              <w:t xml:space="preserve"> </w:t>
            </w:r>
            <w:r>
              <w:rPr>
                <w:i/>
              </w:rPr>
              <w:t>exceeds</w:t>
            </w:r>
            <w:r>
              <w:rPr>
                <w:i/>
                <w:spacing w:val="-4"/>
              </w:rPr>
              <w:t xml:space="preserve"> </w:t>
            </w:r>
            <w:r>
              <w:rPr>
                <w:i/>
              </w:rPr>
              <w:t xml:space="preserve">10 </w:t>
            </w:r>
            <w:r>
              <w:rPr>
                <w:i/>
                <w:spacing w:val="-2"/>
              </w:rPr>
              <w:t>percent.]</w:t>
            </w:r>
          </w:p>
        </w:tc>
      </w:tr>
      <w:tr w:rsidR="00BB77C0" w14:paraId="392FFE43" w14:textId="77777777">
        <w:trPr>
          <w:trHeight w:val="2169"/>
        </w:trPr>
        <w:tc>
          <w:tcPr>
            <w:tcW w:w="1609" w:type="dxa"/>
          </w:tcPr>
          <w:p w14:paraId="394F6E16" w14:textId="77777777" w:rsidR="00BB77C0" w:rsidRDefault="00370BAA">
            <w:pPr>
              <w:pStyle w:val="TableParagraph"/>
              <w:spacing w:line="249" w:lineRule="exact"/>
              <w:ind w:left="88"/>
              <w:rPr>
                <w:b/>
              </w:rPr>
            </w:pPr>
            <w:r>
              <w:rPr>
                <w:b/>
              </w:rPr>
              <w:t>GCC</w:t>
            </w:r>
            <w:r>
              <w:rPr>
                <w:b/>
                <w:spacing w:val="-3"/>
              </w:rPr>
              <w:t xml:space="preserve"> </w:t>
            </w:r>
            <w:r>
              <w:rPr>
                <w:b/>
                <w:spacing w:val="-4"/>
              </w:rPr>
              <w:t>47.1</w:t>
            </w:r>
          </w:p>
        </w:tc>
        <w:tc>
          <w:tcPr>
            <w:tcW w:w="8649" w:type="dxa"/>
          </w:tcPr>
          <w:p w14:paraId="373F0F65" w14:textId="77777777" w:rsidR="00BB77C0" w:rsidRDefault="00370BAA">
            <w:pPr>
              <w:pStyle w:val="TableParagraph"/>
              <w:spacing w:line="242" w:lineRule="auto"/>
              <w:ind w:left="83"/>
            </w:pPr>
            <w:r>
              <w:t>The</w:t>
            </w:r>
            <w:r>
              <w:rPr>
                <w:spacing w:val="-6"/>
              </w:rPr>
              <w:t xml:space="preserve"> </w:t>
            </w:r>
            <w:r>
              <w:t>liquidated</w:t>
            </w:r>
            <w:r>
              <w:rPr>
                <w:spacing w:val="-4"/>
              </w:rPr>
              <w:t xml:space="preserve"> </w:t>
            </w:r>
            <w:r>
              <w:t>damages</w:t>
            </w:r>
            <w:r>
              <w:rPr>
                <w:spacing w:val="-4"/>
              </w:rPr>
              <w:t xml:space="preserve"> </w:t>
            </w:r>
            <w:r>
              <w:t>for</w:t>
            </w:r>
            <w:r>
              <w:rPr>
                <w:spacing w:val="-2"/>
              </w:rPr>
              <w:t xml:space="preserve"> </w:t>
            </w:r>
            <w:r>
              <w:t>the</w:t>
            </w:r>
            <w:r>
              <w:rPr>
                <w:spacing w:val="-7"/>
              </w:rPr>
              <w:t xml:space="preserve"> </w:t>
            </w:r>
            <w:r>
              <w:t>whole</w:t>
            </w:r>
            <w:r>
              <w:rPr>
                <w:spacing w:val="-2"/>
              </w:rPr>
              <w:t xml:space="preserve"> </w:t>
            </w:r>
            <w:r>
              <w:t>of</w:t>
            </w:r>
            <w:r>
              <w:rPr>
                <w:spacing w:val="-2"/>
              </w:rPr>
              <w:t xml:space="preserve"> </w:t>
            </w:r>
            <w:r>
              <w:t>the</w:t>
            </w:r>
            <w:r>
              <w:rPr>
                <w:spacing w:val="-7"/>
              </w:rPr>
              <w:t xml:space="preserve"> </w:t>
            </w:r>
            <w:r>
              <w:t>Works are</w:t>
            </w:r>
            <w:r>
              <w:rPr>
                <w:spacing w:val="-11"/>
              </w:rPr>
              <w:t xml:space="preserve"> </w:t>
            </w:r>
            <w:r>
              <w:rPr>
                <w:i/>
              </w:rPr>
              <w:t>[insert</w:t>
            </w:r>
            <w:r>
              <w:rPr>
                <w:i/>
                <w:spacing w:val="-3"/>
              </w:rPr>
              <w:t xml:space="preserve"> </w:t>
            </w:r>
            <w:r>
              <w:rPr>
                <w:i/>
              </w:rPr>
              <w:t>percentage</w:t>
            </w:r>
            <w:r>
              <w:rPr>
                <w:i/>
                <w:spacing w:val="-6"/>
              </w:rPr>
              <w:t xml:space="preserve"> </w:t>
            </w:r>
            <w:r>
              <w:rPr>
                <w:i/>
              </w:rPr>
              <w:t>of</w:t>
            </w:r>
            <w:r>
              <w:rPr>
                <w:i/>
                <w:spacing w:val="-5"/>
              </w:rPr>
              <w:t xml:space="preserve"> </w:t>
            </w:r>
            <w:r>
              <w:rPr>
                <w:i/>
              </w:rPr>
              <w:t>the</w:t>
            </w:r>
            <w:r>
              <w:rPr>
                <w:i/>
                <w:spacing w:val="-11"/>
              </w:rPr>
              <w:t xml:space="preserve"> </w:t>
            </w:r>
            <w:r>
              <w:rPr>
                <w:i/>
              </w:rPr>
              <w:t>final</w:t>
            </w:r>
            <w:r>
              <w:rPr>
                <w:i/>
                <w:spacing w:val="-8"/>
              </w:rPr>
              <w:t xml:space="preserve"> </w:t>
            </w:r>
            <w:r>
              <w:rPr>
                <w:i/>
              </w:rPr>
              <w:t xml:space="preserve">Contract Price] </w:t>
            </w:r>
            <w:r>
              <w:t xml:space="preserve">per day. The maximum amount of liquidated damages for the whole of the Works is </w:t>
            </w:r>
            <w:r>
              <w:rPr>
                <w:i/>
              </w:rPr>
              <w:t xml:space="preserve">[insert percentage] </w:t>
            </w:r>
            <w:r>
              <w:t>of the final Contract Price.</w:t>
            </w:r>
          </w:p>
          <w:p w14:paraId="093E6186" w14:textId="77777777" w:rsidR="00BB77C0" w:rsidRDefault="00370BAA">
            <w:pPr>
              <w:pStyle w:val="TableParagraph"/>
              <w:spacing w:before="184"/>
              <w:ind w:left="83" w:right="188"/>
              <w:rPr>
                <w:i/>
              </w:rPr>
            </w:pPr>
            <w:r>
              <w:rPr>
                <w:i/>
              </w:rPr>
              <w:t>[Usually</w:t>
            </w:r>
            <w:r>
              <w:rPr>
                <w:i/>
                <w:spacing w:val="-7"/>
              </w:rPr>
              <w:t xml:space="preserve"> </w:t>
            </w:r>
            <w:r>
              <w:rPr>
                <w:i/>
              </w:rPr>
              <w:t>liquidated</w:t>
            </w:r>
            <w:r>
              <w:rPr>
                <w:i/>
                <w:spacing w:val="-8"/>
              </w:rPr>
              <w:t xml:space="preserve"> </w:t>
            </w:r>
            <w:r>
              <w:rPr>
                <w:i/>
              </w:rPr>
              <w:t>damages</w:t>
            </w:r>
            <w:r>
              <w:rPr>
                <w:i/>
                <w:spacing w:val="-5"/>
              </w:rPr>
              <w:t xml:space="preserve"> </w:t>
            </w:r>
            <w:r>
              <w:rPr>
                <w:i/>
              </w:rPr>
              <w:t>are</w:t>
            </w:r>
            <w:r>
              <w:rPr>
                <w:i/>
                <w:spacing w:val="-7"/>
              </w:rPr>
              <w:t xml:space="preserve"> </w:t>
            </w:r>
            <w:r>
              <w:rPr>
                <w:i/>
              </w:rPr>
              <w:t>set</w:t>
            </w:r>
            <w:r>
              <w:rPr>
                <w:i/>
                <w:spacing w:val="-5"/>
              </w:rPr>
              <w:t xml:space="preserve"> </w:t>
            </w:r>
            <w:r>
              <w:rPr>
                <w:i/>
              </w:rPr>
              <w:t>between</w:t>
            </w:r>
            <w:r>
              <w:rPr>
                <w:i/>
                <w:spacing w:val="-5"/>
              </w:rPr>
              <w:t xml:space="preserve"> </w:t>
            </w:r>
            <w:r>
              <w:rPr>
                <w:i/>
              </w:rPr>
              <w:t>0.05</w:t>
            </w:r>
            <w:r>
              <w:rPr>
                <w:i/>
                <w:spacing w:val="-5"/>
              </w:rPr>
              <w:t xml:space="preserve"> </w:t>
            </w:r>
            <w:r>
              <w:rPr>
                <w:i/>
              </w:rPr>
              <w:t>percent</w:t>
            </w:r>
            <w:r>
              <w:rPr>
                <w:i/>
                <w:spacing w:val="-5"/>
              </w:rPr>
              <w:t xml:space="preserve"> </w:t>
            </w:r>
            <w:r>
              <w:rPr>
                <w:i/>
              </w:rPr>
              <w:t>and</w:t>
            </w:r>
            <w:r>
              <w:rPr>
                <w:i/>
                <w:spacing w:val="-5"/>
              </w:rPr>
              <w:t xml:space="preserve"> </w:t>
            </w:r>
            <w:r>
              <w:rPr>
                <w:i/>
              </w:rPr>
              <w:t>0.10</w:t>
            </w:r>
            <w:r>
              <w:rPr>
                <w:i/>
                <w:spacing w:val="-5"/>
              </w:rPr>
              <w:t xml:space="preserve"> </w:t>
            </w:r>
            <w:r>
              <w:rPr>
                <w:i/>
              </w:rPr>
              <w:t>percent</w:t>
            </w:r>
            <w:r>
              <w:rPr>
                <w:i/>
                <w:spacing w:val="-4"/>
              </w:rPr>
              <w:t xml:space="preserve"> </w:t>
            </w:r>
            <w:r>
              <w:rPr>
                <w:i/>
              </w:rPr>
              <w:t>per</w:t>
            </w:r>
            <w:r>
              <w:rPr>
                <w:i/>
                <w:spacing w:val="-5"/>
              </w:rPr>
              <w:t xml:space="preserve"> </w:t>
            </w:r>
            <w:r>
              <w:rPr>
                <w:i/>
              </w:rPr>
              <w:t>day,</w:t>
            </w:r>
            <w:r>
              <w:rPr>
                <w:i/>
                <w:spacing w:val="-3"/>
              </w:rPr>
              <w:t xml:space="preserve"> </w:t>
            </w:r>
            <w:r>
              <w:rPr>
                <w:i/>
              </w:rPr>
              <w:t>and</w:t>
            </w:r>
            <w:r>
              <w:rPr>
                <w:i/>
                <w:spacing w:val="-9"/>
              </w:rPr>
              <w:t xml:space="preserve"> </w:t>
            </w:r>
            <w:r>
              <w:rPr>
                <w:i/>
              </w:rPr>
              <w:t>the total amount is not to exceed between 5 percent and 10 percent of the Contract Price. If Sectional Completion and Damages per Section have been agreed, the latter should be specified here]</w:t>
            </w:r>
          </w:p>
        </w:tc>
      </w:tr>
      <w:tr w:rsidR="00BB77C0" w14:paraId="39CE41E9" w14:textId="77777777">
        <w:trPr>
          <w:trHeight w:val="1214"/>
        </w:trPr>
        <w:tc>
          <w:tcPr>
            <w:tcW w:w="1609" w:type="dxa"/>
          </w:tcPr>
          <w:p w14:paraId="013A2D1B" w14:textId="77777777" w:rsidR="00BB77C0" w:rsidRDefault="00370BAA">
            <w:pPr>
              <w:pStyle w:val="TableParagraph"/>
              <w:spacing w:line="249" w:lineRule="exact"/>
              <w:ind w:left="88"/>
              <w:rPr>
                <w:b/>
              </w:rPr>
            </w:pPr>
            <w:r>
              <w:rPr>
                <w:b/>
              </w:rPr>
              <w:t>GCC</w:t>
            </w:r>
            <w:r>
              <w:rPr>
                <w:b/>
                <w:spacing w:val="-3"/>
              </w:rPr>
              <w:t xml:space="preserve"> </w:t>
            </w:r>
            <w:r>
              <w:rPr>
                <w:b/>
                <w:spacing w:val="-4"/>
              </w:rPr>
              <w:t>48.1</w:t>
            </w:r>
          </w:p>
        </w:tc>
        <w:tc>
          <w:tcPr>
            <w:tcW w:w="8649" w:type="dxa"/>
          </w:tcPr>
          <w:p w14:paraId="2FE11357" w14:textId="77777777" w:rsidR="00BB77C0" w:rsidRDefault="00370BAA">
            <w:pPr>
              <w:pStyle w:val="TableParagraph"/>
              <w:ind w:left="83" w:right="324"/>
              <w:jc w:val="both"/>
            </w:pPr>
            <w:r>
              <w:t>The</w:t>
            </w:r>
            <w:r>
              <w:rPr>
                <w:spacing w:val="-6"/>
              </w:rPr>
              <w:t xml:space="preserve"> </w:t>
            </w:r>
            <w:r>
              <w:t>Bonus for the</w:t>
            </w:r>
            <w:r>
              <w:rPr>
                <w:spacing w:val="-1"/>
              </w:rPr>
              <w:t xml:space="preserve"> </w:t>
            </w:r>
            <w:r>
              <w:t>whole</w:t>
            </w:r>
            <w:r>
              <w:rPr>
                <w:spacing w:val="-1"/>
              </w:rPr>
              <w:t xml:space="preserve"> </w:t>
            </w:r>
            <w:r>
              <w:t>of</w:t>
            </w:r>
            <w:r>
              <w:rPr>
                <w:spacing w:val="-1"/>
              </w:rPr>
              <w:t xml:space="preserve"> </w:t>
            </w:r>
            <w:r>
              <w:t>the</w:t>
            </w:r>
            <w:r>
              <w:rPr>
                <w:spacing w:val="-6"/>
              </w:rPr>
              <w:t xml:space="preserve"> </w:t>
            </w:r>
            <w:r>
              <w:t xml:space="preserve">Works is </w:t>
            </w:r>
            <w:r>
              <w:rPr>
                <w:i/>
              </w:rPr>
              <w:t>[insert</w:t>
            </w:r>
            <w:r>
              <w:rPr>
                <w:i/>
                <w:spacing w:val="-2"/>
              </w:rPr>
              <w:t xml:space="preserve"> </w:t>
            </w:r>
            <w:r>
              <w:rPr>
                <w:i/>
              </w:rPr>
              <w:t>percentage</w:t>
            </w:r>
            <w:r>
              <w:rPr>
                <w:i/>
                <w:spacing w:val="-1"/>
              </w:rPr>
              <w:t xml:space="preserve"> </w:t>
            </w:r>
            <w:r>
              <w:rPr>
                <w:i/>
              </w:rPr>
              <w:t>of</w:t>
            </w:r>
            <w:r>
              <w:rPr>
                <w:i/>
                <w:spacing w:val="-3"/>
              </w:rPr>
              <w:t xml:space="preserve"> </w:t>
            </w:r>
            <w:r>
              <w:rPr>
                <w:i/>
              </w:rPr>
              <w:t>final Contract</w:t>
            </w:r>
            <w:r>
              <w:rPr>
                <w:i/>
                <w:spacing w:val="-3"/>
              </w:rPr>
              <w:t xml:space="preserve"> </w:t>
            </w:r>
            <w:r>
              <w:rPr>
                <w:i/>
              </w:rPr>
              <w:t xml:space="preserve">Price] </w:t>
            </w:r>
            <w:r>
              <w:t>per day. The</w:t>
            </w:r>
            <w:r>
              <w:rPr>
                <w:spacing w:val="-8"/>
              </w:rPr>
              <w:t xml:space="preserve"> </w:t>
            </w:r>
            <w:r>
              <w:t>maximum</w:t>
            </w:r>
            <w:r>
              <w:rPr>
                <w:spacing w:val="-8"/>
              </w:rPr>
              <w:t xml:space="preserve"> </w:t>
            </w:r>
            <w:r>
              <w:t>amount of</w:t>
            </w:r>
            <w:r>
              <w:rPr>
                <w:spacing w:val="-3"/>
              </w:rPr>
              <w:t xml:space="preserve"> </w:t>
            </w:r>
            <w:r>
              <w:t>Bonus</w:t>
            </w:r>
            <w:r>
              <w:rPr>
                <w:spacing w:val="-6"/>
              </w:rPr>
              <w:t xml:space="preserve"> </w:t>
            </w:r>
            <w:r>
              <w:t>for</w:t>
            </w:r>
            <w:r>
              <w:rPr>
                <w:spacing w:val="-3"/>
              </w:rPr>
              <w:t xml:space="preserve"> </w:t>
            </w:r>
            <w:r>
              <w:t>the</w:t>
            </w:r>
            <w:r>
              <w:rPr>
                <w:spacing w:val="-8"/>
              </w:rPr>
              <w:t xml:space="preserve"> </w:t>
            </w:r>
            <w:r>
              <w:t>whole</w:t>
            </w:r>
            <w:r>
              <w:rPr>
                <w:spacing w:val="-8"/>
              </w:rPr>
              <w:t xml:space="preserve"> </w:t>
            </w:r>
            <w:r>
              <w:t>of</w:t>
            </w:r>
            <w:r>
              <w:rPr>
                <w:spacing w:val="-3"/>
              </w:rPr>
              <w:t xml:space="preserve"> </w:t>
            </w:r>
            <w:r>
              <w:t>the</w:t>
            </w:r>
            <w:r>
              <w:rPr>
                <w:spacing w:val="-12"/>
              </w:rPr>
              <w:t xml:space="preserve"> </w:t>
            </w:r>
            <w:r>
              <w:t>Works</w:t>
            </w:r>
            <w:r>
              <w:rPr>
                <w:spacing w:val="-6"/>
              </w:rPr>
              <w:t xml:space="preserve"> </w:t>
            </w:r>
            <w:r>
              <w:t>is</w:t>
            </w:r>
            <w:r>
              <w:rPr>
                <w:spacing w:val="-6"/>
              </w:rPr>
              <w:t xml:space="preserve"> </w:t>
            </w:r>
            <w:r>
              <w:rPr>
                <w:i/>
              </w:rPr>
              <w:t>[insert</w:t>
            </w:r>
            <w:r>
              <w:rPr>
                <w:i/>
                <w:spacing w:val="-5"/>
              </w:rPr>
              <w:t xml:space="preserve"> </w:t>
            </w:r>
            <w:r>
              <w:rPr>
                <w:i/>
              </w:rPr>
              <w:t>percentage]</w:t>
            </w:r>
            <w:r>
              <w:rPr>
                <w:i/>
                <w:spacing w:val="-1"/>
              </w:rPr>
              <w:t xml:space="preserve"> </w:t>
            </w:r>
            <w:r>
              <w:t>of</w:t>
            </w:r>
            <w:r>
              <w:rPr>
                <w:spacing w:val="-8"/>
              </w:rPr>
              <w:t xml:space="preserve"> </w:t>
            </w:r>
            <w:r>
              <w:t>the</w:t>
            </w:r>
            <w:r>
              <w:rPr>
                <w:spacing w:val="-12"/>
              </w:rPr>
              <w:t xml:space="preserve"> </w:t>
            </w:r>
            <w:r>
              <w:t>final Contract Price.</w:t>
            </w:r>
          </w:p>
          <w:p w14:paraId="68AFC2BA" w14:textId="77777777" w:rsidR="00BB77C0" w:rsidRDefault="00370BAA">
            <w:pPr>
              <w:pStyle w:val="TableParagraph"/>
              <w:spacing w:before="183" w:line="252" w:lineRule="exact"/>
              <w:ind w:left="83"/>
              <w:jc w:val="both"/>
              <w:rPr>
                <w:i/>
              </w:rPr>
            </w:pPr>
            <w:r>
              <w:rPr>
                <w:i/>
              </w:rPr>
              <w:t>[If</w:t>
            </w:r>
            <w:r>
              <w:rPr>
                <w:i/>
                <w:spacing w:val="-12"/>
              </w:rPr>
              <w:t xml:space="preserve"> </w:t>
            </w:r>
            <w:r>
              <w:rPr>
                <w:i/>
              </w:rPr>
              <w:t>early</w:t>
            </w:r>
            <w:r>
              <w:rPr>
                <w:i/>
                <w:spacing w:val="-7"/>
              </w:rPr>
              <w:t xml:space="preserve"> </w:t>
            </w:r>
            <w:r>
              <w:rPr>
                <w:i/>
              </w:rPr>
              <w:t>completion</w:t>
            </w:r>
            <w:r>
              <w:rPr>
                <w:i/>
                <w:spacing w:val="-6"/>
              </w:rPr>
              <w:t xml:space="preserve"> </w:t>
            </w:r>
            <w:r>
              <w:rPr>
                <w:i/>
              </w:rPr>
              <w:t>would</w:t>
            </w:r>
            <w:r>
              <w:rPr>
                <w:i/>
                <w:spacing w:val="-6"/>
              </w:rPr>
              <w:t xml:space="preserve"> </w:t>
            </w:r>
            <w:r>
              <w:rPr>
                <w:i/>
              </w:rPr>
              <w:t>provide</w:t>
            </w:r>
            <w:r>
              <w:rPr>
                <w:i/>
                <w:spacing w:val="-7"/>
              </w:rPr>
              <w:t xml:space="preserve"> </w:t>
            </w:r>
            <w:r>
              <w:rPr>
                <w:i/>
              </w:rPr>
              <w:t>benefits</w:t>
            </w:r>
            <w:r>
              <w:rPr>
                <w:i/>
                <w:spacing w:val="-6"/>
              </w:rPr>
              <w:t xml:space="preserve"> </w:t>
            </w:r>
            <w:r>
              <w:rPr>
                <w:i/>
              </w:rPr>
              <w:t>to</w:t>
            </w:r>
            <w:r>
              <w:rPr>
                <w:i/>
                <w:spacing w:val="-10"/>
              </w:rPr>
              <w:t xml:space="preserve"> </w:t>
            </w:r>
            <w:r>
              <w:rPr>
                <w:i/>
              </w:rPr>
              <w:t>the</w:t>
            </w:r>
            <w:r>
              <w:rPr>
                <w:i/>
                <w:spacing w:val="-8"/>
              </w:rPr>
              <w:t xml:space="preserve"> </w:t>
            </w:r>
            <w:r>
              <w:t>Procuring</w:t>
            </w:r>
            <w:r>
              <w:rPr>
                <w:spacing w:val="-10"/>
              </w:rPr>
              <w:t xml:space="preserve"> </w:t>
            </w:r>
            <w:r>
              <w:t>Entity</w:t>
            </w:r>
            <w:r>
              <w:rPr>
                <w:i/>
              </w:rPr>
              <w:t>,</w:t>
            </w:r>
            <w:r>
              <w:rPr>
                <w:i/>
                <w:spacing w:val="-4"/>
              </w:rPr>
              <w:t xml:space="preserve"> </w:t>
            </w:r>
            <w:r>
              <w:rPr>
                <w:i/>
              </w:rPr>
              <w:t>this</w:t>
            </w:r>
            <w:r>
              <w:rPr>
                <w:i/>
                <w:spacing w:val="-5"/>
              </w:rPr>
              <w:t xml:space="preserve"> </w:t>
            </w:r>
            <w:r>
              <w:rPr>
                <w:i/>
              </w:rPr>
              <w:t>clause</w:t>
            </w:r>
            <w:r>
              <w:rPr>
                <w:i/>
                <w:spacing w:val="-8"/>
              </w:rPr>
              <w:t xml:space="preserve"> </w:t>
            </w:r>
            <w:r>
              <w:rPr>
                <w:i/>
              </w:rPr>
              <w:t>should</w:t>
            </w:r>
            <w:r>
              <w:rPr>
                <w:i/>
                <w:spacing w:val="-6"/>
              </w:rPr>
              <w:t xml:space="preserve"> </w:t>
            </w:r>
            <w:r>
              <w:rPr>
                <w:i/>
                <w:spacing w:val="-2"/>
              </w:rPr>
              <w:t>remain;</w:t>
            </w:r>
          </w:p>
        </w:tc>
      </w:tr>
    </w:tbl>
    <w:p w14:paraId="38C34BD4" w14:textId="77777777" w:rsidR="00BB77C0" w:rsidRDefault="00BB77C0">
      <w:pPr>
        <w:pStyle w:val="TableParagraph"/>
        <w:spacing w:line="252" w:lineRule="exact"/>
        <w:jc w:val="both"/>
        <w:rPr>
          <w:i/>
        </w:rPr>
        <w:sectPr w:rsidR="00BB77C0">
          <w:type w:val="continuous"/>
          <w:pgSz w:w="11920" w:h="16850"/>
          <w:pgMar w:top="320" w:right="0" w:bottom="463" w:left="360" w:header="720" w:footer="720" w:gutter="0"/>
          <w:cols w:space="720"/>
        </w:sectPr>
      </w:pPr>
    </w:p>
    <w:tbl>
      <w:tblPr>
        <w:tblW w:w="0" w:type="auto"/>
        <w:tblInd w:w="3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09"/>
        <w:gridCol w:w="8653"/>
      </w:tblGrid>
      <w:tr w:rsidR="00BB77C0" w14:paraId="0634786D" w14:textId="77777777">
        <w:trPr>
          <w:trHeight w:val="503"/>
        </w:trPr>
        <w:tc>
          <w:tcPr>
            <w:tcW w:w="1609" w:type="dxa"/>
          </w:tcPr>
          <w:p w14:paraId="3740E918" w14:textId="77777777" w:rsidR="00BB77C0" w:rsidRDefault="00370BAA">
            <w:pPr>
              <w:pStyle w:val="TableParagraph"/>
              <w:spacing w:before="1" w:line="228" w:lineRule="auto"/>
              <w:ind w:left="117" w:right="450"/>
              <w:rPr>
                <w:b/>
              </w:rPr>
            </w:pPr>
            <w:r>
              <w:rPr>
                <w:b/>
              </w:rPr>
              <w:lastRenderedPageBreak/>
              <w:t>Number</w:t>
            </w:r>
            <w:r>
              <w:rPr>
                <w:b/>
                <w:spacing w:val="-14"/>
              </w:rPr>
              <w:t xml:space="preserve"> </w:t>
            </w:r>
            <w:r>
              <w:rPr>
                <w:b/>
              </w:rPr>
              <w:t>of GC</w:t>
            </w:r>
            <w:r>
              <w:rPr>
                <w:b/>
                <w:spacing w:val="-5"/>
              </w:rPr>
              <w:t xml:space="preserve"> </w:t>
            </w:r>
            <w:r>
              <w:rPr>
                <w:b/>
                <w:spacing w:val="-2"/>
              </w:rPr>
              <w:t>Clause</w:t>
            </w:r>
          </w:p>
        </w:tc>
        <w:tc>
          <w:tcPr>
            <w:tcW w:w="8653" w:type="dxa"/>
          </w:tcPr>
          <w:p w14:paraId="503B18D5" w14:textId="77777777" w:rsidR="00BB77C0" w:rsidRDefault="00370BAA">
            <w:pPr>
              <w:pStyle w:val="TableParagraph"/>
              <w:spacing w:line="244" w:lineRule="exact"/>
              <w:ind w:left="116"/>
              <w:rPr>
                <w:b/>
              </w:rPr>
            </w:pPr>
            <w:r>
              <w:rPr>
                <w:b/>
              </w:rPr>
              <w:t>Amendments</w:t>
            </w:r>
            <w:r>
              <w:rPr>
                <w:b/>
                <w:spacing w:val="-12"/>
              </w:rPr>
              <w:t xml:space="preserve"> </w:t>
            </w:r>
            <w:r>
              <w:rPr>
                <w:b/>
              </w:rPr>
              <w:t>of,</w:t>
            </w:r>
            <w:r>
              <w:rPr>
                <w:b/>
                <w:spacing w:val="-7"/>
              </w:rPr>
              <w:t xml:space="preserve"> </w:t>
            </w:r>
            <w:r>
              <w:rPr>
                <w:b/>
              </w:rPr>
              <w:t>and</w:t>
            </w:r>
            <w:r>
              <w:rPr>
                <w:b/>
                <w:spacing w:val="-11"/>
              </w:rPr>
              <w:t xml:space="preserve"> </w:t>
            </w:r>
            <w:r>
              <w:rPr>
                <w:b/>
              </w:rPr>
              <w:t>Supplements</w:t>
            </w:r>
            <w:r>
              <w:rPr>
                <w:b/>
                <w:spacing w:val="-7"/>
              </w:rPr>
              <w:t xml:space="preserve"> </w:t>
            </w:r>
            <w:r>
              <w:rPr>
                <w:b/>
              </w:rPr>
              <w:t>to,</w:t>
            </w:r>
            <w:r>
              <w:rPr>
                <w:b/>
                <w:spacing w:val="-6"/>
              </w:rPr>
              <w:t xml:space="preserve"> </w:t>
            </w:r>
            <w:r>
              <w:rPr>
                <w:b/>
              </w:rPr>
              <w:t>Clauses</w:t>
            </w:r>
            <w:r>
              <w:rPr>
                <w:b/>
                <w:spacing w:val="-9"/>
              </w:rPr>
              <w:t xml:space="preserve"> </w:t>
            </w:r>
            <w:r>
              <w:rPr>
                <w:b/>
              </w:rPr>
              <w:t>in</w:t>
            </w:r>
            <w:r>
              <w:rPr>
                <w:b/>
                <w:spacing w:val="-13"/>
              </w:rPr>
              <w:t xml:space="preserve"> </w:t>
            </w:r>
            <w:r>
              <w:rPr>
                <w:b/>
              </w:rPr>
              <w:t>the</w:t>
            </w:r>
            <w:r>
              <w:rPr>
                <w:b/>
                <w:spacing w:val="-10"/>
              </w:rPr>
              <w:t xml:space="preserve"> </w:t>
            </w:r>
            <w:r>
              <w:rPr>
                <w:b/>
              </w:rPr>
              <w:t>General</w:t>
            </w:r>
            <w:r>
              <w:rPr>
                <w:b/>
                <w:spacing w:val="-11"/>
              </w:rPr>
              <w:t xml:space="preserve"> </w:t>
            </w:r>
            <w:r>
              <w:rPr>
                <w:b/>
              </w:rPr>
              <w:t>Conditions</w:t>
            </w:r>
            <w:r>
              <w:rPr>
                <w:b/>
                <w:spacing w:val="-8"/>
              </w:rPr>
              <w:t xml:space="preserve"> </w:t>
            </w:r>
            <w:r>
              <w:rPr>
                <w:b/>
              </w:rPr>
              <w:t>of</w:t>
            </w:r>
            <w:r>
              <w:rPr>
                <w:b/>
                <w:spacing w:val="-13"/>
              </w:rPr>
              <w:t xml:space="preserve"> </w:t>
            </w:r>
            <w:r>
              <w:rPr>
                <w:b/>
                <w:spacing w:val="-2"/>
              </w:rPr>
              <w:t>Contract</w:t>
            </w:r>
          </w:p>
        </w:tc>
      </w:tr>
      <w:tr w:rsidR="00BB77C0" w14:paraId="791B60B7" w14:textId="77777777">
        <w:trPr>
          <w:trHeight w:val="450"/>
        </w:trPr>
        <w:tc>
          <w:tcPr>
            <w:tcW w:w="1609" w:type="dxa"/>
          </w:tcPr>
          <w:p w14:paraId="25FCA74B" w14:textId="77777777" w:rsidR="00BB77C0" w:rsidRDefault="00BB77C0">
            <w:pPr>
              <w:pStyle w:val="TableParagraph"/>
            </w:pPr>
          </w:p>
        </w:tc>
        <w:tc>
          <w:tcPr>
            <w:tcW w:w="8653" w:type="dxa"/>
          </w:tcPr>
          <w:p w14:paraId="68AABCD7" w14:textId="77777777" w:rsidR="00BB77C0" w:rsidRDefault="00370BAA">
            <w:pPr>
              <w:pStyle w:val="TableParagraph"/>
              <w:spacing w:line="244" w:lineRule="exact"/>
              <w:ind w:left="116"/>
              <w:rPr>
                <w:i/>
              </w:rPr>
            </w:pPr>
            <w:r>
              <w:rPr>
                <w:i/>
              </w:rPr>
              <w:t>otherwise</w:t>
            </w:r>
            <w:r>
              <w:rPr>
                <w:i/>
                <w:spacing w:val="-10"/>
              </w:rPr>
              <w:t xml:space="preserve"> </w:t>
            </w:r>
            <w:r>
              <w:rPr>
                <w:i/>
              </w:rPr>
              <w:t>delete.</w:t>
            </w:r>
            <w:r>
              <w:rPr>
                <w:i/>
                <w:spacing w:val="-3"/>
              </w:rPr>
              <w:t xml:space="preserve"> </w:t>
            </w:r>
            <w:r>
              <w:rPr>
                <w:i/>
              </w:rPr>
              <w:t>The</w:t>
            </w:r>
            <w:r>
              <w:rPr>
                <w:i/>
                <w:spacing w:val="-8"/>
              </w:rPr>
              <w:t xml:space="preserve"> </w:t>
            </w:r>
            <w:r>
              <w:rPr>
                <w:i/>
              </w:rPr>
              <w:t>Bonus</w:t>
            </w:r>
            <w:r>
              <w:rPr>
                <w:i/>
                <w:spacing w:val="-6"/>
              </w:rPr>
              <w:t xml:space="preserve"> </w:t>
            </w:r>
            <w:r>
              <w:rPr>
                <w:i/>
              </w:rPr>
              <w:t>is</w:t>
            </w:r>
            <w:r>
              <w:rPr>
                <w:i/>
                <w:spacing w:val="-10"/>
              </w:rPr>
              <w:t xml:space="preserve"> </w:t>
            </w:r>
            <w:r>
              <w:rPr>
                <w:i/>
              </w:rPr>
              <w:t>usually</w:t>
            </w:r>
            <w:r>
              <w:rPr>
                <w:i/>
                <w:spacing w:val="-7"/>
              </w:rPr>
              <w:t xml:space="preserve"> </w:t>
            </w:r>
            <w:r>
              <w:rPr>
                <w:i/>
              </w:rPr>
              <w:t>numerically</w:t>
            </w:r>
            <w:r>
              <w:rPr>
                <w:i/>
                <w:spacing w:val="-7"/>
              </w:rPr>
              <w:t xml:space="preserve"> </w:t>
            </w:r>
            <w:r>
              <w:rPr>
                <w:i/>
              </w:rPr>
              <w:t>equal</w:t>
            </w:r>
            <w:r>
              <w:rPr>
                <w:i/>
                <w:spacing w:val="-6"/>
              </w:rPr>
              <w:t xml:space="preserve"> </w:t>
            </w:r>
            <w:r>
              <w:rPr>
                <w:i/>
              </w:rPr>
              <w:t>to</w:t>
            </w:r>
            <w:r>
              <w:rPr>
                <w:i/>
                <w:spacing w:val="-6"/>
              </w:rPr>
              <w:t xml:space="preserve"> </w:t>
            </w:r>
            <w:r>
              <w:rPr>
                <w:i/>
              </w:rPr>
              <w:t>the</w:t>
            </w:r>
            <w:r>
              <w:rPr>
                <w:i/>
                <w:spacing w:val="-12"/>
              </w:rPr>
              <w:t xml:space="preserve"> </w:t>
            </w:r>
            <w:r>
              <w:rPr>
                <w:i/>
              </w:rPr>
              <w:t>liquidated</w:t>
            </w:r>
            <w:r>
              <w:rPr>
                <w:i/>
                <w:spacing w:val="-5"/>
              </w:rPr>
              <w:t xml:space="preserve"> </w:t>
            </w:r>
            <w:r>
              <w:rPr>
                <w:i/>
                <w:spacing w:val="-2"/>
              </w:rPr>
              <w:t>damages.]</w:t>
            </w:r>
          </w:p>
        </w:tc>
      </w:tr>
      <w:tr w:rsidR="00BB77C0" w14:paraId="559B98B3" w14:textId="77777777">
        <w:trPr>
          <w:trHeight w:val="705"/>
        </w:trPr>
        <w:tc>
          <w:tcPr>
            <w:tcW w:w="1609" w:type="dxa"/>
          </w:tcPr>
          <w:p w14:paraId="2A5A39CD" w14:textId="77777777" w:rsidR="00BB77C0" w:rsidRDefault="00370BAA">
            <w:pPr>
              <w:pStyle w:val="TableParagraph"/>
              <w:spacing w:line="244" w:lineRule="exact"/>
              <w:ind w:left="117"/>
              <w:rPr>
                <w:b/>
              </w:rPr>
            </w:pPr>
            <w:r>
              <w:rPr>
                <w:b/>
              </w:rPr>
              <w:t>GCC</w:t>
            </w:r>
            <w:r>
              <w:rPr>
                <w:b/>
                <w:spacing w:val="-3"/>
              </w:rPr>
              <w:t xml:space="preserve"> </w:t>
            </w:r>
            <w:r>
              <w:rPr>
                <w:b/>
                <w:spacing w:val="-4"/>
              </w:rPr>
              <w:t>49.1</w:t>
            </w:r>
          </w:p>
        </w:tc>
        <w:tc>
          <w:tcPr>
            <w:tcW w:w="8653" w:type="dxa"/>
          </w:tcPr>
          <w:p w14:paraId="626847E9" w14:textId="77777777" w:rsidR="00BB77C0" w:rsidRDefault="00370BAA">
            <w:pPr>
              <w:pStyle w:val="TableParagraph"/>
              <w:spacing w:line="237" w:lineRule="auto"/>
              <w:ind w:left="116"/>
            </w:pPr>
            <w:r>
              <w:t>The</w:t>
            </w:r>
            <w:r>
              <w:rPr>
                <w:spacing w:val="-6"/>
              </w:rPr>
              <w:t xml:space="preserve"> </w:t>
            </w:r>
            <w:r>
              <w:t>Advance</w:t>
            </w:r>
            <w:r>
              <w:rPr>
                <w:spacing w:val="-11"/>
              </w:rPr>
              <w:t xml:space="preserve"> </w:t>
            </w:r>
            <w:r>
              <w:t>Payments</w:t>
            </w:r>
            <w:r>
              <w:rPr>
                <w:spacing w:val="-3"/>
              </w:rPr>
              <w:t xml:space="preserve"> </w:t>
            </w:r>
            <w:r>
              <w:t>shall</w:t>
            </w:r>
            <w:r>
              <w:rPr>
                <w:spacing w:val="-3"/>
              </w:rPr>
              <w:t xml:space="preserve"> </w:t>
            </w:r>
            <w:r>
              <w:t>be:</w:t>
            </w:r>
            <w:r>
              <w:rPr>
                <w:spacing w:val="-8"/>
              </w:rPr>
              <w:t xml:space="preserve"> </w:t>
            </w:r>
            <w:r>
              <w:rPr>
                <w:i/>
              </w:rPr>
              <w:t>[insert</w:t>
            </w:r>
            <w:r>
              <w:rPr>
                <w:i/>
                <w:spacing w:val="-3"/>
              </w:rPr>
              <w:t xml:space="preserve"> </w:t>
            </w:r>
            <w:r>
              <w:rPr>
                <w:i/>
              </w:rPr>
              <w:t>amount(s)]</w:t>
            </w:r>
            <w:r>
              <w:rPr>
                <w:i/>
                <w:spacing w:val="-8"/>
              </w:rPr>
              <w:t xml:space="preserve"> </w:t>
            </w:r>
            <w:r>
              <w:t>and</w:t>
            </w:r>
            <w:r>
              <w:rPr>
                <w:spacing w:val="-4"/>
              </w:rPr>
              <w:t xml:space="preserve"> </w:t>
            </w:r>
            <w:r>
              <w:t>shall</w:t>
            </w:r>
            <w:r>
              <w:rPr>
                <w:spacing w:val="-3"/>
              </w:rPr>
              <w:t xml:space="preserve"> </w:t>
            </w:r>
            <w:r>
              <w:t>be</w:t>
            </w:r>
            <w:r>
              <w:rPr>
                <w:spacing w:val="-11"/>
              </w:rPr>
              <w:t xml:space="preserve"> </w:t>
            </w:r>
            <w:r>
              <w:t>paid</w:t>
            </w:r>
            <w:r>
              <w:rPr>
                <w:spacing w:val="-9"/>
              </w:rPr>
              <w:t xml:space="preserve"> </w:t>
            </w:r>
            <w:r>
              <w:t>to</w:t>
            </w:r>
            <w:r>
              <w:rPr>
                <w:spacing w:val="-9"/>
              </w:rPr>
              <w:t xml:space="preserve"> </w:t>
            </w:r>
            <w:r>
              <w:t>the</w:t>
            </w:r>
            <w:r>
              <w:rPr>
                <w:spacing w:val="-11"/>
              </w:rPr>
              <w:t xml:space="preserve"> </w:t>
            </w:r>
            <w:r>
              <w:t>Contractor no</w:t>
            </w:r>
            <w:r>
              <w:rPr>
                <w:spacing w:val="-9"/>
              </w:rPr>
              <w:t xml:space="preserve"> </w:t>
            </w:r>
            <w:r>
              <w:t xml:space="preserve">later than </w:t>
            </w:r>
            <w:r>
              <w:rPr>
                <w:i/>
              </w:rPr>
              <w:t>[insert date(s)]</w:t>
            </w:r>
            <w:r>
              <w:t>.</w:t>
            </w:r>
          </w:p>
        </w:tc>
      </w:tr>
      <w:tr w:rsidR="00BB77C0" w14:paraId="2729004C" w14:textId="77777777">
        <w:trPr>
          <w:trHeight w:val="2880"/>
        </w:trPr>
        <w:tc>
          <w:tcPr>
            <w:tcW w:w="1609" w:type="dxa"/>
          </w:tcPr>
          <w:p w14:paraId="4D3DE9D0" w14:textId="77777777" w:rsidR="00BB77C0" w:rsidRDefault="00370BAA">
            <w:pPr>
              <w:pStyle w:val="TableParagraph"/>
              <w:spacing w:line="244" w:lineRule="exact"/>
              <w:ind w:left="117"/>
              <w:rPr>
                <w:b/>
              </w:rPr>
            </w:pPr>
            <w:r>
              <w:rPr>
                <w:b/>
              </w:rPr>
              <w:t>GCC</w:t>
            </w:r>
            <w:r>
              <w:rPr>
                <w:b/>
                <w:spacing w:val="-3"/>
              </w:rPr>
              <w:t xml:space="preserve"> </w:t>
            </w:r>
            <w:r>
              <w:rPr>
                <w:b/>
                <w:spacing w:val="-4"/>
              </w:rPr>
              <w:t>50.1</w:t>
            </w:r>
          </w:p>
        </w:tc>
        <w:tc>
          <w:tcPr>
            <w:tcW w:w="8653" w:type="dxa"/>
          </w:tcPr>
          <w:p w14:paraId="5B3FA1C9" w14:textId="77777777" w:rsidR="00BB77C0" w:rsidRDefault="00370BAA">
            <w:pPr>
              <w:pStyle w:val="TableParagraph"/>
              <w:spacing w:line="242" w:lineRule="auto"/>
              <w:ind w:left="116" w:right="55"/>
              <w:rPr>
                <w:i/>
              </w:rPr>
            </w:pPr>
            <w:r>
              <w:t xml:space="preserve">The Performance Security amount is </w:t>
            </w:r>
            <w:r>
              <w:rPr>
                <w:i/>
              </w:rPr>
              <w:t>[insert amount(s) denominated in the types and proportions</w:t>
            </w:r>
            <w:r>
              <w:rPr>
                <w:i/>
                <w:spacing w:val="-4"/>
              </w:rPr>
              <w:t xml:space="preserve"> </w:t>
            </w:r>
            <w:r>
              <w:rPr>
                <w:i/>
              </w:rPr>
              <w:t>of</w:t>
            </w:r>
            <w:r>
              <w:rPr>
                <w:i/>
                <w:spacing w:val="-5"/>
              </w:rPr>
              <w:t xml:space="preserve"> </w:t>
            </w:r>
            <w:r>
              <w:rPr>
                <w:i/>
              </w:rPr>
              <w:t>the</w:t>
            </w:r>
            <w:r>
              <w:rPr>
                <w:i/>
                <w:spacing w:val="-8"/>
              </w:rPr>
              <w:t xml:space="preserve"> </w:t>
            </w:r>
            <w:r>
              <w:rPr>
                <w:i/>
              </w:rPr>
              <w:t>currencies</w:t>
            </w:r>
            <w:r>
              <w:rPr>
                <w:i/>
                <w:spacing w:val="-4"/>
              </w:rPr>
              <w:t xml:space="preserve"> </w:t>
            </w:r>
            <w:r>
              <w:rPr>
                <w:i/>
              </w:rPr>
              <w:t>in</w:t>
            </w:r>
            <w:r>
              <w:rPr>
                <w:i/>
                <w:spacing w:val="-6"/>
              </w:rPr>
              <w:t xml:space="preserve"> </w:t>
            </w:r>
            <w:r>
              <w:rPr>
                <w:i/>
              </w:rPr>
              <w:t>which</w:t>
            </w:r>
            <w:r>
              <w:rPr>
                <w:i/>
                <w:spacing w:val="-5"/>
              </w:rPr>
              <w:t xml:space="preserve"> </w:t>
            </w:r>
            <w:r>
              <w:rPr>
                <w:i/>
              </w:rPr>
              <w:t>the</w:t>
            </w:r>
            <w:r>
              <w:rPr>
                <w:i/>
                <w:spacing w:val="-8"/>
              </w:rPr>
              <w:t xml:space="preserve"> </w:t>
            </w:r>
            <w:r>
              <w:rPr>
                <w:i/>
              </w:rPr>
              <w:t>Contract Price</w:t>
            </w:r>
            <w:r>
              <w:rPr>
                <w:i/>
                <w:spacing w:val="-8"/>
              </w:rPr>
              <w:t xml:space="preserve"> </w:t>
            </w:r>
            <w:r>
              <w:rPr>
                <w:i/>
              </w:rPr>
              <w:t>is</w:t>
            </w:r>
            <w:r>
              <w:rPr>
                <w:i/>
                <w:spacing w:val="-5"/>
              </w:rPr>
              <w:t xml:space="preserve"> </w:t>
            </w:r>
            <w:r>
              <w:rPr>
                <w:i/>
              </w:rPr>
              <w:t>payable,</w:t>
            </w:r>
            <w:r>
              <w:rPr>
                <w:i/>
                <w:spacing w:val="-3"/>
              </w:rPr>
              <w:t xml:space="preserve"> </w:t>
            </w:r>
            <w:r>
              <w:rPr>
                <w:i/>
              </w:rPr>
              <w:t>or</w:t>
            </w:r>
            <w:r>
              <w:rPr>
                <w:i/>
                <w:spacing w:val="-10"/>
              </w:rPr>
              <w:t xml:space="preserve"> </w:t>
            </w:r>
            <w:r>
              <w:rPr>
                <w:i/>
              </w:rPr>
              <w:t>in</w:t>
            </w:r>
            <w:r>
              <w:rPr>
                <w:i/>
                <w:spacing w:val="-5"/>
              </w:rPr>
              <w:t xml:space="preserve"> </w:t>
            </w:r>
            <w:r>
              <w:rPr>
                <w:i/>
              </w:rPr>
              <w:t>a</w:t>
            </w:r>
            <w:r>
              <w:rPr>
                <w:i/>
                <w:spacing w:val="-10"/>
              </w:rPr>
              <w:t xml:space="preserve"> </w:t>
            </w:r>
            <w:r>
              <w:rPr>
                <w:i/>
              </w:rPr>
              <w:t>freely</w:t>
            </w:r>
            <w:r>
              <w:rPr>
                <w:i/>
                <w:spacing w:val="-7"/>
              </w:rPr>
              <w:t xml:space="preserve"> </w:t>
            </w:r>
            <w:r>
              <w:rPr>
                <w:i/>
              </w:rPr>
              <w:t xml:space="preserve">convertible currency acceptable to the </w:t>
            </w:r>
            <w:r>
              <w:t>Procuring Entity</w:t>
            </w:r>
            <w:r>
              <w:rPr>
                <w:i/>
              </w:rPr>
              <w:t>]</w:t>
            </w:r>
          </w:p>
          <w:p w14:paraId="332E71F7" w14:textId="77777777" w:rsidR="00BB77C0" w:rsidRDefault="00370BAA">
            <w:pPr>
              <w:pStyle w:val="TableParagraph"/>
              <w:numPr>
                <w:ilvl w:val="0"/>
                <w:numId w:val="17"/>
              </w:numPr>
              <w:tabs>
                <w:tab w:val="left" w:pos="659"/>
              </w:tabs>
              <w:spacing w:before="180" w:line="244" w:lineRule="auto"/>
              <w:ind w:right="232"/>
            </w:pPr>
            <w:r>
              <w:t>Performance Security – Bank Guarantee:</w:t>
            </w:r>
            <w:r>
              <w:rPr>
                <w:spacing w:val="40"/>
              </w:rPr>
              <w:t xml:space="preserve"> </w:t>
            </w:r>
            <w:r>
              <w:t xml:space="preserve">in the amount(s) of </w:t>
            </w:r>
            <w:r>
              <w:rPr>
                <w:i/>
              </w:rPr>
              <w:t xml:space="preserve">[insert related figure(s)] </w:t>
            </w:r>
            <w:r>
              <w:t>percent</w:t>
            </w:r>
            <w:r>
              <w:rPr>
                <w:spacing w:val="-5"/>
              </w:rPr>
              <w:t xml:space="preserve"> </w:t>
            </w:r>
            <w:r>
              <w:t>of</w:t>
            </w:r>
            <w:r>
              <w:rPr>
                <w:spacing w:val="-7"/>
              </w:rPr>
              <w:t xml:space="preserve"> </w:t>
            </w:r>
            <w:r>
              <w:t>the</w:t>
            </w:r>
            <w:r>
              <w:rPr>
                <w:spacing w:val="-7"/>
              </w:rPr>
              <w:t xml:space="preserve"> </w:t>
            </w:r>
            <w:r>
              <w:t>Accepted</w:t>
            </w:r>
            <w:r>
              <w:rPr>
                <w:spacing w:val="-5"/>
              </w:rPr>
              <w:t xml:space="preserve"> </w:t>
            </w:r>
            <w:r>
              <w:t>Contract</w:t>
            </w:r>
            <w:r>
              <w:rPr>
                <w:spacing w:val="-4"/>
              </w:rPr>
              <w:t xml:space="preserve"> </w:t>
            </w:r>
            <w:r>
              <w:t>Amount and</w:t>
            </w:r>
            <w:r>
              <w:rPr>
                <w:spacing w:val="-5"/>
              </w:rPr>
              <w:t xml:space="preserve"> </w:t>
            </w:r>
            <w:r>
              <w:t>in</w:t>
            </w:r>
            <w:r>
              <w:rPr>
                <w:spacing w:val="-10"/>
              </w:rPr>
              <w:t xml:space="preserve"> </w:t>
            </w:r>
            <w:r>
              <w:t>the</w:t>
            </w:r>
            <w:r>
              <w:rPr>
                <w:spacing w:val="-12"/>
              </w:rPr>
              <w:t xml:space="preserve"> </w:t>
            </w:r>
            <w:r>
              <w:t>same</w:t>
            </w:r>
            <w:r>
              <w:rPr>
                <w:spacing w:val="-7"/>
              </w:rPr>
              <w:t xml:space="preserve"> </w:t>
            </w:r>
            <w:r>
              <w:t>currency(ies)</w:t>
            </w:r>
            <w:r>
              <w:rPr>
                <w:spacing w:val="-2"/>
              </w:rPr>
              <w:t xml:space="preserve"> </w:t>
            </w:r>
            <w:r>
              <w:t>of</w:t>
            </w:r>
            <w:r>
              <w:rPr>
                <w:spacing w:val="-7"/>
              </w:rPr>
              <w:t xml:space="preserve"> </w:t>
            </w:r>
            <w:r>
              <w:t>the</w:t>
            </w:r>
            <w:r>
              <w:rPr>
                <w:spacing w:val="-4"/>
              </w:rPr>
              <w:t xml:space="preserve"> </w:t>
            </w:r>
            <w:r>
              <w:t>Accepted Contract Amount.</w:t>
            </w:r>
          </w:p>
          <w:p w14:paraId="17D6D152" w14:textId="77777777" w:rsidR="00BB77C0" w:rsidRDefault="00370BAA">
            <w:pPr>
              <w:pStyle w:val="TableParagraph"/>
              <w:numPr>
                <w:ilvl w:val="0"/>
                <w:numId w:val="17"/>
              </w:numPr>
              <w:tabs>
                <w:tab w:val="left" w:pos="653"/>
                <w:tab w:val="left" w:pos="659"/>
              </w:tabs>
              <w:spacing w:before="181"/>
              <w:ind w:right="165"/>
              <w:jc w:val="both"/>
            </w:pPr>
            <w:r>
              <w:t>Performance</w:t>
            </w:r>
            <w:r>
              <w:rPr>
                <w:spacing w:val="-8"/>
              </w:rPr>
              <w:t xml:space="preserve"> </w:t>
            </w:r>
            <w:r>
              <w:t>Security</w:t>
            </w:r>
            <w:r>
              <w:rPr>
                <w:spacing w:val="-4"/>
              </w:rPr>
              <w:t xml:space="preserve"> </w:t>
            </w:r>
            <w:r>
              <w:t>–</w:t>
            </w:r>
            <w:r>
              <w:rPr>
                <w:spacing w:val="-1"/>
              </w:rPr>
              <w:t xml:space="preserve"> </w:t>
            </w:r>
            <w:r>
              <w:t>Performance</w:t>
            </w:r>
            <w:r>
              <w:rPr>
                <w:spacing w:val="-1"/>
              </w:rPr>
              <w:t xml:space="preserve"> </w:t>
            </w:r>
            <w:r>
              <w:t>Bond: in</w:t>
            </w:r>
            <w:r>
              <w:rPr>
                <w:spacing w:val="-6"/>
              </w:rPr>
              <w:t xml:space="preserve"> </w:t>
            </w:r>
            <w:r>
              <w:t>the</w:t>
            </w:r>
            <w:r>
              <w:rPr>
                <w:spacing w:val="-8"/>
              </w:rPr>
              <w:t xml:space="preserve"> </w:t>
            </w:r>
            <w:r>
              <w:t xml:space="preserve">amount(s) of </w:t>
            </w:r>
            <w:r>
              <w:rPr>
                <w:i/>
              </w:rPr>
              <w:t>[insert</w:t>
            </w:r>
            <w:r>
              <w:rPr>
                <w:i/>
                <w:spacing w:val="-4"/>
              </w:rPr>
              <w:t xml:space="preserve"> </w:t>
            </w:r>
            <w:r>
              <w:rPr>
                <w:i/>
              </w:rPr>
              <w:t>related</w:t>
            </w:r>
            <w:r>
              <w:rPr>
                <w:i/>
                <w:spacing w:val="-1"/>
              </w:rPr>
              <w:t xml:space="preserve"> </w:t>
            </w:r>
            <w:r>
              <w:rPr>
                <w:i/>
              </w:rPr>
              <w:t xml:space="preserve">figure(s)] </w:t>
            </w:r>
            <w:r>
              <w:t>percent of the</w:t>
            </w:r>
            <w:r>
              <w:rPr>
                <w:spacing w:val="-4"/>
              </w:rPr>
              <w:t xml:space="preserve"> </w:t>
            </w:r>
            <w:r>
              <w:t>Accepted</w:t>
            </w:r>
            <w:r>
              <w:rPr>
                <w:spacing w:val="-2"/>
              </w:rPr>
              <w:t xml:space="preserve"> </w:t>
            </w:r>
            <w:r>
              <w:t>Contract Amount and</w:t>
            </w:r>
            <w:r>
              <w:rPr>
                <w:spacing w:val="-2"/>
              </w:rPr>
              <w:t xml:space="preserve"> </w:t>
            </w:r>
            <w:r>
              <w:t>in</w:t>
            </w:r>
            <w:r>
              <w:rPr>
                <w:spacing w:val="-2"/>
              </w:rPr>
              <w:t xml:space="preserve"> </w:t>
            </w:r>
            <w:r>
              <w:t>the</w:t>
            </w:r>
            <w:r>
              <w:rPr>
                <w:spacing w:val="-4"/>
              </w:rPr>
              <w:t xml:space="preserve"> </w:t>
            </w:r>
            <w:r>
              <w:t>same</w:t>
            </w:r>
            <w:r>
              <w:rPr>
                <w:spacing w:val="-4"/>
              </w:rPr>
              <w:t xml:space="preserve"> </w:t>
            </w:r>
            <w:r>
              <w:t>currency(ies) of the</w:t>
            </w:r>
            <w:r>
              <w:rPr>
                <w:spacing w:val="-4"/>
              </w:rPr>
              <w:t xml:space="preserve"> </w:t>
            </w:r>
            <w:r>
              <w:t>Accepted Contract Amount.</w:t>
            </w:r>
          </w:p>
        </w:tc>
      </w:tr>
      <w:tr w:rsidR="00BB77C0" w14:paraId="0B824C1F" w14:textId="77777777">
        <w:trPr>
          <w:trHeight w:val="570"/>
        </w:trPr>
        <w:tc>
          <w:tcPr>
            <w:tcW w:w="10262" w:type="dxa"/>
            <w:gridSpan w:val="2"/>
          </w:tcPr>
          <w:p w14:paraId="6AFD1E5A" w14:textId="77777777" w:rsidR="00BB77C0" w:rsidRDefault="00370BAA">
            <w:pPr>
              <w:pStyle w:val="TableParagraph"/>
              <w:spacing w:before="111"/>
              <w:ind w:left="117"/>
              <w:rPr>
                <w:b/>
              </w:rPr>
            </w:pPr>
            <w:r>
              <w:rPr>
                <w:b/>
              </w:rPr>
              <w:t>E.</w:t>
            </w:r>
            <w:r>
              <w:rPr>
                <w:b/>
                <w:spacing w:val="-7"/>
              </w:rPr>
              <w:t xml:space="preserve"> </w:t>
            </w:r>
            <w:r>
              <w:rPr>
                <w:b/>
              </w:rPr>
              <w:t>Finishing</w:t>
            </w:r>
            <w:r>
              <w:rPr>
                <w:b/>
                <w:spacing w:val="-7"/>
              </w:rPr>
              <w:t xml:space="preserve"> </w:t>
            </w:r>
            <w:r>
              <w:rPr>
                <w:b/>
              </w:rPr>
              <w:t>the</w:t>
            </w:r>
            <w:r>
              <w:rPr>
                <w:b/>
                <w:spacing w:val="-6"/>
              </w:rPr>
              <w:t xml:space="preserve"> </w:t>
            </w:r>
            <w:r>
              <w:rPr>
                <w:b/>
                <w:spacing w:val="-2"/>
              </w:rPr>
              <w:t>Contract</w:t>
            </w:r>
          </w:p>
        </w:tc>
      </w:tr>
      <w:tr w:rsidR="00BB77C0" w14:paraId="7F9E2692" w14:textId="77777777">
        <w:trPr>
          <w:trHeight w:val="907"/>
        </w:trPr>
        <w:tc>
          <w:tcPr>
            <w:tcW w:w="1609" w:type="dxa"/>
          </w:tcPr>
          <w:p w14:paraId="20AF0A9E" w14:textId="77777777" w:rsidR="00BB77C0" w:rsidRDefault="00370BAA">
            <w:pPr>
              <w:pStyle w:val="TableParagraph"/>
              <w:spacing w:line="244" w:lineRule="exact"/>
              <w:ind w:left="117"/>
              <w:rPr>
                <w:b/>
              </w:rPr>
            </w:pPr>
            <w:r>
              <w:rPr>
                <w:b/>
              </w:rPr>
              <w:t>GCC</w:t>
            </w:r>
            <w:r>
              <w:rPr>
                <w:b/>
                <w:spacing w:val="-3"/>
              </w:rPr>
              <w:t xml:space="preserve"> </w:t>
            </w:r>
            <w:r>
              <w:rPr>
                <w:b/>
                <w:spacing w:val="-4"/>
              </w:rPr>
              <w:t>56.1</w:t>
            </w:r>
          </w:p>
        </w:tc>
        <w:tc>
          <w:tcPr>
            <w:tcW w:w="8653" w:type="dxa"/>
          </w:tcPr>
          <w:p w14:paraId="76372291" w14:textId="77777777" w:rsidR="00BB77C0" w:rsidRDefault="00370BAA">
            <w:pPr>
              <w:pStyle w:val="TableParagraph"/>
              <w:spacing w:line="244" w:lineRule="exact"/>
              <w:ind w:left="116"/>
            </w:pPr>
            <w:r>
              <w:t>The</w:t>
            </w:r>
            <w:r>
              <w:rPr>
                <w:spacing w:val="-10"/>
              </w:rPr>
              <w:t xml:space="preserve"> </w:t>
            </w:r>
            <w:r>
              <w:t>date</w:t>
            </w:r>
            <w:r>
              <w:rPr>
                <w:spacing w:val="-7"/>
              </w:rPr>
              <w:t xml:space="preserve"> </w:t>
            </w:r>
            <w:r>
              <w:t>by</w:t>
            </w:r>
            <w:r>
              <w:rPr>
                <w:spacing w:val="-7"/>
              </w:rPr>
              <w:t xml:space="preserve"> </w:t>
            </w:r>
            <w:r>
              <w:t>which</w:t>
            </w:r>
            <w:r>
              <w:rPr>
                <w:spacing w:val="-10"/>
              </w:rPr>
              <w:t xml:space="preserve"> </w:t>
            </w:r>
            <w:r>
              <w:t>operating</w:t>
            </w:r>
            <w:r>
              <w:rPr>
                <w:spacing w:val="-4"/>
              </w:rPr>
              <w:t xml:space="preserve"> </w:t>
            </w:r>
            <w:r>
              <w:t>and</w:t>
            </w:r>
            <w:r>
              <w:rPr>
                <w:spacing w:val="-11"/>
              </w:rPr>
              <w:t xml:space="preserve"> </w:t>
            </w:r>
            <w:r>
              <w:t>maintenance</w:t>
            </w:r>
            <w:r>
              <w:rPr>
                <w:spacing w:val="-6"/>
              </w:rPr>
              <w:t xml:space="preserve"> </w:t>
            </w:r>
            <w:r>
              <w:t>manuals</w:t>
            </w:r>
            <w:r>
              <w:rPr>
                <w:spacing w:val="-5"/>
              </w:rPr>
              <w:t xml:space="preserve"> </w:t>
            </w:r>
            <w:r>
              <w:t>are</w:t>
            </w:r>
            <w:r>
              <w:rPr>
                <w:spacing w:val="-12"/>
              </w:rPr>
              <w:t xml:space="preserve"> </w:t>
            </w:r>
            <w:r>
              <w:t>required</w:t>
            </w:r>
            <w:r>
              <w:rPr>
                <w:spacing w:val="-4"/>
              </w:rPr>
              <w:t xml:space="preserve"> </w:t>
            </w:r>
            <w:r>
              <w:t>is</w:t>
            </w:r>
            <w:r>
              <w:rPr>
                <w:spacing w:val="-1"/>
              </w:rPr>
              <w:t xml:space="preserve"> </w:t>
            </w:r>
            <w:r>
              <w:rPr>
                <w:i/>
              </w:rPr>
              <w:t>[insert</w:t>
            </w:r>
            <w:r>
              <w:rPr>
                <w:i/>
                <w:spacing w:val="-8"/>
              </w:rPr>
              <w:t xml:space="preserve"> </w:t>
            </w:r>
            <w:r>
              <w:rPr>
                <w:i/>
                <w:spacing w:val="-2"/>
              </w:rPr>
              <w:t>date]</w:t>
            </w:r>
            <w:r>
              <w:rPr>
                <w:spacing w:val="-2"/>
              </w:rPr>
              <w:t>.</w:t>
            </w:r>
          </w:p>
          <w:p w14:paraId="3C360658" w14:textId="77777777" w:rsidR="00BB77C0" w:rsidRDefault="00370BAA">
            <w:pPr>
              <w:pStyle w:val="TableParagraph"/>
              <w:spacing w:before="199"/>
              <w:ind w:left="116"/>
            </w:pPr>
            <w:r>
              <w:t>The</w:t>
            </w:r>
            <w:r>
              <w:rPr>
                <w:spacing w:val="-9"/>
              </w:rPr>
              <w:t xml:space="preserve"> </w:t>
            </w:r>
            <w:r>
              <w:t>date</w:t>
            </w:r>
            <w:r>
              <w:rPr>
                <w:spacing w:val="-7"/>
              </w:rPr>
              <w:t xml:space="preserve"> </w:t>
            </w:r>
            <w:r>
              <w:t>by</w:t>
            </w:r>
            <w:r>
              <w:rPr>
                <w:spacing w:val="-6"/>
              </w:rPr>
              <w:t xml:space="preserve"> </w:t>
            </w:r>
            <w:r>
              <w:t>which</w:t>
            </w:r>
            <w:r>
              <w:rPr>
                <w:spacing w:val="-10"/>
              </w:rPr>
              <w:t xml:space="preserve"> </w:t>
            </w:r>
            <w:r>
              <w:t>“as</w:t>
            </w:r>
            <w:r>
              <w:rPr>
                <w:spacing w:val="-5"/>
              </w:rPr>
              <w:t xml:space="preserve"> </w:t>
            </w:r>
            <w:r>
              <w:t>built”</w:t>
            </w:r>
            <w:r>
              <w:rPr>
                <w:spacing w:val="-3"/>
              </w:rPr>
              <w:t xml:space="preserve"> </w:t>
            </w:r>
            <w:r>
              <w:t>drawings</w:t>
            </w:r>
            <w:r>
              <w:rPr>
                <w:spacing w:val="-4"/>
              </w:rPr>
              <w:t xml:space="preserve"> </w:t>
            </w:r>
            <w:r>
              <w:t>are</w:t>
            </w:r>
            <w:r>
              <w:rPr>
                <w:spacing w:val="-11"/>
              </w:rPr>
              <w:t xml:space="preserve"> </w:t>
            </w:r>
            <w:r>
              <w:t>required</w:t>
            </w:r>
            <w:r>
              <w:rPr>
                <w:spacing w:val="-9"/>
              </w:rPr>
              <w:t xml:space="preserve"> </w:t>
            </w:r>
            <w:r>
              <w:t xml:space="preserve">is </w:t>
            </w:r>
            <w:r>
              <w:rPr>
                <w:i/>
              </w:rPr>
              <w:t>[insert</w:t>
            </w:r>
            <w:r>
              <w:rPr>
                <w:i/>
                <w:spacing w:val="1"/>
              </w:rPr>
              <w:t xml:space="preserve"> </w:t>
            </w:r>
            <w:r>
              <w:rPr>
                <w:i/>
                <w:spacing w:val="-2"/>
              </w:rPr>
              <w:t>date]</w:t>
            </w:r>
            <w:r>
              <w:rPr>
                <w:spacing w:val="-2"/>
              </w:rPr>
              <w:t>.</w:t>
            </w:r>
          </w:p>
        </w:tc>
      </w:tr>
      <w:tr w:rsidR="00BB77C0" w14:paraId="2CEAFC15" w14:textId="77777777">
        <w:trPr>
          <w:trHeight w:val="705"/>
        </w:trPr>
        <w:tc>
          <w:tcPr>
            <w:tcW w:w="1609" w:type="dxa"/>
          </w:tcPr>
          <w:p w14:paraId="713AAF9D" w14:textId="77777777" w:rsidR="00BB77C0" w:rsidRDefault="00370BAA">
            <w:pPr>
              <w:pStyle w:val="TableParagraph"/>
              <w:spacing w:line="244" w:lineRule="exact"/>
              <w:ind w:left="117"/>
              <w:rPr>
                <w:b/>
              </w:rPr>
            </w:pPr>
            <w:r>
              <w:rPr>
                <w:b/>
              </w:rPr>
              <w:t>GCC</w:t>
            </w:r>
            <w:r>
              <w:rPr>
                <w:b/>
                <w:spacing w:val="-3"/>
              </w:rPr>
              <w:t xml:space="preserve"> </w:t>
            </w:r>
            <w:r>
              <w:rPr>
                <w:b/>
                <w:spacing w:val="-4"/>
              </w:rPr>
              <w:t>56.2</w:t>
            </w:r>
          </w:p>
        </w:tc>
        <w:tc>
          <w:tcPr>
            <w:tcW w:w="8653" w:type="dxa"/>
          </w:tcPr>
          <w:p w14:paraId="73700E8C" w14:textId="77777777" w:rsidR="00BB77C0" w:rsidRDefault="00370BAA">
            <w:pPr>
              <w:pStyle w:val="TableParagraph"/>
              <w:spacing w:line="242" w:lineRule="auto"/>
              <w:ind w:left="116"/>
            </w:pPr>
            <w:r>
              <w:t>The amount to be withheld for failing to produce “as built” drawings and/or operating and maintenance</w:t>
            </w:r>
            <w:r>
              <w:rPr>
                <w:spacing w:val="-6"/>
              </w:rPr>
              <w:t xml:space="preserve"> </w:t>
            </w:r>
            <w:r>
              <w:t>manuals</w:t>
            </w:r>
            <w:r>
              <w:rPr>
                <w:spacing w:val="-4"/>
              </w:rPr>
              <w:t xml:space="preserve"> </w:t>
            </w:r>
            <w:r>
              <w:t>by</w:t>
            </w:r>
            <w:r>
              <w:rPr>
                <w:spacing w:val="-6"/>
              </w:rPr>
              <w:t xml:space="preserve"> </w:t>
            </w:r>
            <w:r>
              <w:t>the</w:t>
            </w:r>
            <w:r>
              <w:rPr>
                <w:spacing w:val="-8"/>
              </w:rPr>
              <w:t xml:space="preserve"> </w:t>
            </w:r>
            <w:r>
              <w:t>date</w:t>
            </w:r>
            <w:r>
              <w:rPr>
                <w:spacing w:val="-7"/>
              </w:rPr>
              <w:t xml:space="preserve"> </w:t>
            </w:r>
            <w:r>
              <w:t>required</w:t>
            </w:r>
            <w:r>
              <w:rPr>
                <w:spacing w:val="-5"/>
              </w:rPr>
              <w:t xml:space="preserve"> </w:t>
            </w:r>
            <w:r>
              <w:t>in</w:t>
            </w:r>
            <w:r>
              <w:rPr>
                <w:spacing w:val="-6"/>
              </w:rPr>
              <w:t xml:space="preserve"> </w:t>
            </w:r>
            <w:r>
              <w:t>GCC</w:t>
            </w:r>
            <w:r>
              <w:rPr>
                <w:spacing w:val="-4"/>
              </w:rPr>
              <w:t xml:space="preserve"> </w:t>
            </w:r>
            <w:r>
              <w:t>58.1</w:t>
            </w:r>
            <w:r>
              <w:rPr>
                <w:spacing w:val="-10"/>
              </w:rPr>
              <w:t xml:space="preserve"> </w:t>
            </w:r>
            <w:r>
              <w:t>is</w:t>
            </w:r>
            <w:r>
              <w:rPr>
                <w:spacing w:val="-5"/>
              </w:rPr>
              <w:t xml:space="preserve"> </w:t>
            </w:r>
            <w:r>
              <w:rPr>
                <w:i/>
              </w:rPr>
              <w:t>[insert amount</w:t>
            </w:r>
            <w:r>
              <w:rPr>
                <w:i/>
                <w:spacing w:val="-5"/>
              </w:rPr>
              <w:t xml:space="preserve"> </w:t>
            </w:r>
            <w:r>
              <w:rPr>
                <w:i/>
              </w:rPr>
              <w:t>in</w:t>
            </w:r>
            <w:r>
              <w:rPr>
                <w:i/>
                <w:spacing w:val="-5"/>
              </w:rPr>
              <w:t xml:space="preserve"> </w:t>
            </w:r>
            <w:r>
              <w:rPr>
                <w:i/>
              </w:rPr>
              <w:t>local</w:t>
            </w:r>
            <w:r>
              <w:rPr>
                <w:i/>
                <w:spacing w:val="-9"/>
              </w:rPr>
              <w:t xml:space="preserve"> </w:t>
            </w:r>
            <w:r>
              <w:rPr>
                <w:i/>
              </w:rPr>
              <w:t>currency]</w:t>
            </w:r>
            <w:r>
              <w:t>.</w:t>
            </w:r>
          </w:p>
        </w:tc>
      </w:tr>
      <w:tr w:rsidR="00BB77C0" w14:paraId="7F17C206" w14:textId="77777777">
        <w:trPr>
          <w:trHeight w:val="710"/>
        </w:trPr>
        <w:tc>
          <w:tcPr>
            <w:tcW w:w="1609" w:type="dxa"/>
          </w:tcPr>
          <w:p w14:paraId="4DD588C5" w14:textId="77777777" w:rsidR="00BB77C0" w:rsidRDefault="00370BAA">
            <w:pPr>
              <w:pStyle w:val="TableParagraph"/>
              <w:spacing w:line="244" w:lineRule="exact"/>
              <w:ind w:left="117"/>
              <w:rPr>
                <w:b/>
              </w:rPr>
            </w:pPr>
            <w:r>
              <w:rPr>
                <w:b/>
              </w:rPr>
              <w:t>GCC</w:t>
            </w:r>
            <w:r>
              <w:rPr>
                <w:b/>
                <w:spacing w:val="-2"/>
              </w:rPr>
              <w:t xml:space="preserve"> </w:t>
            </w:r>
            <w:r>
              <w:rPr>
                <w:b/>
              </w:rPr>
              <w:t>57.2</w:t>
            </w:r>
            <w:r>
              <w:rPr>
                <w:b/>
                <w:spacing w:val="1"/>
              </w:rPr>
              <w:t xml:space="preserve"> </w:t>
            </w:r>
            <w:r>
              <w:rPr>
                <w:b/>
                <w:spacing w:val="-5"/>
              </w:rPr>
              <w:t>(g)</w:t>
            </w:r>
          </w:p>
        </w:tc>
        <w:tc>
          <w:tcPr>
            <w:tcW w:w="8653" w:type="dxa"/>
          </w:tcPr>
          <w:p w14:paraId="13ECD0ED" w14:textId="77777777" w:rsidR="00BB77C0" w:rsidRDefault="00370BAA">
            <w:pPr>
              <w:pStyle w:val="TableParagraph"/>
              <w:spacing w:line="247" w:lineRule="auto"/>
              <w:ind w:left="116"/>
              <w:rPr>
                <w:i/>
              </w:rPr>
            </w:pPr>
            <w:r>
              <w:t>The</w:t>
            </w:r>
            <w:r>
              <w:rPr>
                <w:spacing w:val="-9"/>
              </w:rPr>
              <w:t xml:space="preserve"> </w:t>
            </w:r>
            <w:r>
              <w:t>maximum</w:t>
            </w:r>
            <w:r>
              <w:rPr>
                <w:spacing w:val="-5"/>
              </w:rPr>
              <w:t xml:space="preserve"> </w:t>
            </w:r>
            <w:r>
              <w:t>number of</w:t>
            </w:r>
            <w:r>
              <w:rPr>
                <w:spacing w:val="-4"/>
              </w:rPr>
              <w:t xml:space="preserve"> </w:t>
            </w:r>
            <w:r>
              <w:t>days</w:t>
            </w:r>
            <w:r>
              <w:rPr>
                <w:spacing w:val="-3"/>
              </w:rPr>
              <w:t xml:space="preserve"> </w:t>
            </w:r>
            <w:r>
              <w:t>is:</w:t>
            </w:r>
            <w:r>
              <w:rPr>
                <w:spacing w:val="-11"/>
              </w:rPr>
              <w:t xml:space="preserve"> </w:t>
            </w:r>
            <w:r>
              <w:rPr>
                <w:i/>
              </w:rPr>
              <w:t>[insert</w:t>
            </w:r>
            <w:r>
              <w:rPr>
                <w:i/>
                <w:spacing w:val="-6"/>
              </w:rPr>
              <w:t xml:space="preserve"> </w:t>
            </w:r>
            <w:r>
              <w:rPr>
                <w:i/>
              </w:rPr>
              <w:t>number;</w:t>
            </w:r>
            <w:r>
              <w:rPr>
                <w:i/>
                <w:spacing w:val="-8"/>
              </w:rPr>
              <w:t xml:space="preserve"> </w:t>
            </w:r>
            <w:r>
              <w:rPr>
                <w:i/>
              </w:rPr>
              <w:t>consistent</w:t>
            </w:r>
            <w:r>
              <w:rPr>
                <w:i/>
                <w:spacing w:val="-2"/>
              </w:rPr>
              <w:t xml:space="preserve"> </w:t>
            </w:r>
            <w:r>
              <w:rPr>
                <w:i/>
              </w:rPr>
              <w:t>with</w:t>
            </w:r>
            <w:r>
              <w:rPr>
                <w:i/>
                <w:spacing w:val="-7"/>
              </w:rPr>
              <w:t xml:space="preserve"> </w:t>
            </w:r>
            <w:r>
              <w:rPr>
                <w:i/>
              </w:rPr>
              <w:t>Clause</w:t>
            </w:r>
            <w:r>
              <w:rPr>
                <w:i/>
                <w:spacing w:val="-9"/>
              </w:rPr>
              <w:t xml:space="preserve"> </w:t>
            </w:r>
            <w:r>
              <w:rPr>
                <w:i/>
              </w:rPr>
              <w:t>47.1</w:t>
            </w:r>
            <w:r>
              <w:rPr>
                <w:i/>
                <w:spacing w:val="-7"/>
              </w:rPr>
              <w:t xml:space="preserve"> </w:t>
            </w:r>
            <w:r>
              <w:rPr>
                <w:i/>
              </w:rPr>
              <w:t>on</w:t>
            </w:r>
            <w:r>
              <w:rPr>
                <w:i/>
                <w:spacing w:val="-12"/>
              </w:rPr>
              <w:t xml:space="preserve"> </w:t>
            </w:r>
            <w:r>
              <w:rPr>
                <w:i/>
              </w:rPr>
              <w:t xml:space="preserve">liquidated </w:t>
            </w:r>
            <w:r>
              <w:rPr>
                <w:i/>
                <w:spacing w:val="-2"/>
              </w:rPr>
              <w:t>damages].</w:t>
            </w:r>
          </w:p>
        </w:tc>
      </w:tr>
      <w:tr w:rsidR="00BB77C0" w14:paraId="53A8CA77" w14:textId="77777777">
        <w:trPr>
          <w:trHeight w:val="705"/>
        </w:trPr>
        <w:tc>
          <w:tcPr>
            <w:tcW w:w="1609" w:type="dxa"/>
          </w:tcPr>
          <w:p w14:paraId="4D7B6DA5" w14:textId="77777777" w:rsidR="00BB77C0" w:rsidRDefault="00370BAA">
            <w:pPr>
              <w:pStyle w:val="TableParagraph"/>
              <w:spacing w:line="244" w:lineRule="exact"/>
              <w:ind w:left="117"/>
              <w:rPr>
                <w:b/>
              </w:rPr>
            </w:pPr>
            <w:r>
              <w:rPr>
                <w:b/>
              </w:rPr>
              <w:t>GCC</w:t>
            </w:r>
            <w:r>
              <w:rPr>
                <w:b/>
                <w:spacing w:val="-3"/>
              </w:rPr>
              <w:t xml:space="preserve"> </w:t>
            </w:r>
            <w:r>
              <w:rPr>
                <w:b/>
                <w:spacing w:val="-4"/>
              </w:rPr>
              <w:t>58.1</w:t>
            </w:r>
          </w:p>
        </w:tc>
        <w:tc>
          <w:tcPr>
            <w:tcW w:w="8653" w:type="dxa"/>
          </w:tcPr>
          <w:p w14:paraId="132A2A63" w14:textId="77777777" w:rsidR="00BB77C0" w:rsidRDefault="00370BAA">
            <w:pPr>
              <w:pStyle w:val="TableParagraph"/>
              <w:spacing w:line="242" w:lineRule="auto"/>
              <w:ind w:left="116"/>
            </w:pPr>
            <w:r>
              <w:t>The</w:t>
            </w:r>
            <w:r>
              <w:rPr>
                <w:spacing w:val="-7"/>
              </w:rPr>
              <w:t xml:space="preserve"> </w:t>
            </w:r>
            <w:r>
              <w:t>percentage</w:t>
            </w:r>
            <w:r>
              <w:rPr>
                <w:spacing w:val="-7"/>
              </w:rPr>
              <w:t xml:space="preserve"> </w:t>
            </w:r>
            <w:r>
              <w:t>to</w:t>
            </w:r>
            <w:r>
              <w:rPr>
                <w:spacing w:val="-10"/>
              </w:rPr>
              <w:t xml:space="preserve"> </w:t>
            </w:r>
            <w:r>
              <w:t>apply</w:t>
            </w:r>
            <w:r>
              <w:rPr>
                <w:spacing w:val="-5"/>
              </w:rPr>
              <w:t xml:space="preserve"> </w:t>
            </w:r>
            <w:r>
              <w:t>to</w:t>
            </w:r>
            <w:r>
              <w:rPr>
                <w:spacing w:val="-10"/>
              </w:rPr>
              <w:t xml:space="preserve"> </w:t>
            </w:r>
            <w:r>
              <w:t>the</w:t>
            </w:r>
            <w:r>
              <w:rPr>
                <w:spacing w:val="-8"/>
              </w:rPr>
              <w:t xml:space="preserve"> </w:t>
            </w:r>
            <w:r>
              <w:t>value</w:t>
            </w:r>
            <w:r>
              <w:rPr>
                <w:spacing w:val="-7"/>
              </w:rPr>
              <w:t xml:space="preserve"> </w:t>
            </w:r>
            <w:r>
              <w:t>of</w:t>
            </w:r>
            <w:r>
              <w:rPr>
                <w:spacing w:val="-7"/>
              </w:rPr>
              <w:t xml:space="preserve"> </w:t>
            </w:r>
            <w:r>
              <w:t>the</w:t>
            </w:r>
            <w:r>
              <w:rPr>
                <w:spacing w:val="-3"/>
              </w:rPr>
              <w:t xml:space="preserve"> </w:t>
            </w:r>
            <w:r>
              <w:t>work</w:t>
            </w:r>
            <w:r>
              <w:rPr>
                <w:spacing w:val="-5"/>
              </w:rPr>
              <w:t xml:space="preserve"> </w:t>
            </w:r>
            <w:r>
              <w:t>not completed, representing</w:t>
            </w:r>
            <w:r>
              <w:rPr>
                <w:spacing w:val="-9"/>
              </w:rPr>
              <w:t xml:space="preserve"> </w:t>
            </w:r>
            <w:r>
              <w:t>the</w:t>
            </w:r>
            <w:r>
              <w:rPr>
                <w:spacing w:val="-12"/>
              </w:rPr>
              <w:t xml:space="preserve"> </w:t>
            </w:r>
            <w:r>
              <w:t xml:space="preserve">Procuring Entity’s additional cost for completing the Works, is </w:t>
            </w:r>
            <w:r>
              <w:rPr>
                <w:i/>
              </w:rPr>
              <w:t>[insert percentage]</w:t>
            </w:r>
            <w:r>
              <w:t>.</w:t>
            </w:r>
          </w:p>
        </w:tc>
      </w:tr>
    </w:tbl>
    <w:p w14:paraId="0D6C2168" w14:textId="77777777" w:rsidR="00BB77C0" w:rsidRDefault="00BB77C0">
      <w:pPr>
        <w:pStyle w:val="TableParagraph"/>
        <w:spacing w:line="242" w:lineRule="auto"/>
        <w:sectPr w:rsidR="00BB77C0">
          <w:type w:val="continuous"/>
          <w:pgSz w:w="11920" w:h="16850"/>
          <w:pgMar w:top="320" w:right="0" w:bottom="280" w:left="360" w:header="720" w:footer="720" w:gutter="0"/>
          <w:cols w:space="720"/>
        </w:sectPr>
      </w:pPr>
    </w:p>
    <w:p w14:paraId="084A5506" w14:textId="77777777" w:rsidR="00BB77C0" w:rsidRDefault="00370BAA">
      <w:pPr>
        <w:spacing w:before="72"/>
        <w:ind w:left="494"/>
        <w:rPr>
          <w:b/>
        </w:rPr>
      </w:pPr>
      <w:r>
        <w:rPr>
          <w:b/>
          <w:color w:val="211F1F"/>
          <w:u w:val="single" w:color="211F1F"/>
        </w:rPr>
        <w:lastRenderedPageBreak/>
        <w:t>FORM</w:t>
      </w:r>
      <w:r>
        <w:rPr>
          <w:b/>
          <w:color w:val="211F1F"/>
          <w:spacing w:val="-9"/>
          <w:u w:val="single" w:color="211F1F"/>
        </w:rPr>
        <w:t xml:space="preserve"> </w:t>
      </w:r>
      <w:r>
        <w:rPr>
          <w:b/>
          <w:color w:val="211F1F"/>
          <w:u w:val="single" w:color="211F1F"/>
        </w:rPr>
        <w:t>No</w:t>
      </w:r>
      <w:r>
        <w:rPr>
          <w:b/>
          <w:color w:val="211F1F"/>
          <w:spacing w:val="-6"/>
          <w:u w:val="single" w:color="211F1F"/>
        </w:rPr>
        <w:t xml:space="preserve"> </w:t>
      </w:r>
      <w:r>
        <w:rPr>
          <w:b/>
          <w:color w:val="211F1F"/>
          <w:u w:val="single" w:color="211F1F"/>
        </w:rPr>
        <w:t>1:</w:t>
      </w:r>
      <w:r>
        <w:rPr>
          <w:b/>
          <w:color w:val="211F1F"/>
          <w:spacing w:val="-4"/>
          <w:u w:val="single" w:color="211F1F"/>
        </w:rPr>
        <w:t xml:space="preserve"> </w:t>
      </w:r>
      <w:r>
        <w:rPr>
          <w:b/>
          <w:color w:val="211F1F"/>
          <w:u w:val="single" w:color="211F1F"/>
        </w:rPr>
        <w:t>NOTIFICATION</w:t>
      </w:r>
      <w:r>
        <w:rPr>
          <w:b/>
          <w:color w:val="211F1F"/>
          <w:spacing w:val="-10"/>
          <w:u w:val="single" w:color="211F1F"/>
        </w:rPr>
        <w:t xml:space="preserve"> </w:t>
      </w:r>
      <w:r>
        <w:rPr>
          <w:b/>
          <w:color w:val="211F1F"/>
          <w:u w:val="single" w:color="211F1F"/>
        </w:rPr>
        <w:t>OF</w:t>
      </w:r>
      <w:r>
        <w:rPr>
          <w:b/>
          <w:color w:val="211F1F"/>
          <w:spacing w:val="-11"/>
          <w:u w:val="single" w:color="211F1F"/>
        </w:rPr>
        <w:t xml:space="preserve"> </w:t>
      </w:r>
      <w:r>
        <w:rPr>
          <w:b/>
          <w:color w:val="211F1F"/>
          <w:u w:val="single" w:color="211F1F"/>
        </w:rPr>
        <w:t>INTENTION</w:t>
      </w:r>
      <w:r>
        <w:rPr>
          <w:b/>
          <w:color w:val="211F1F"/>
          <w:spacing w:val="-12"/>
          <w:u w:val="single" w:color="211F1F"/>
        </w:rPr>
        <w:t xml:space="preserve"> </w:t>
      </w:r>
      <w:r>
        <w:rPr>
          <w:b/>
          <w:color w:val="211F1F"/>
          <w:u w:val="single" w:color="211F1F"/>
        </w:rPr>
        <w:t>TO</w:t>
      </w:r>
      <w:r>
        <w:rPr>
          <w:b/>
          <w:color w:val="211F1F"/>
          <w:spacing w:val="-6"/>
          <w:u w:val="single" w:color="211F1F"/>
        </w:rPr>
        <w:t xml:space="preserve"> </w:t>
      </w:r>
      <w:r>
        <w:rPr>
          <w:b/>
          <w:color w:val="211F1F"/>
          <w:spacing w:val="-2"/>
          <w:u w:val="single" w:color="211F1F"/>
        </w:rPr>
        <w:t>AWARD</w:t>
      </w:r>
    </w:p>
    <w:p w14:paraId="26AC6A2C" w14:textId="77777777" w:rsidR="00BB77C0" w:rsidRDefault="00370BAA">
      <w:pPr>
        <w:pStyle w:val="BodyText"/>
        <w:spacing w:before="233" w:line="232" w:lineRule="auto"/>
        <w:ind w:left="499" w:right="901" w:hanging="5"/>
      </w:pPr>
      <w:r>
        <w:rPr>
          <w:color w:val="211F1F"/>
          <w:spacing w:val="-2"/>
        </w:rPr>
        <w:t>This</w:t>
      </w:r>
      <w:r>
        <w:rPr>
          <w:color w:val="211F1F"/>
          <w:spacing w:val="-12"/>
        </w:rPr>
        <w:t xml:space="preserve"> </w:t>
      </w:r>
      <w:r>
        <w:rPr>
          <w:color w:val="211F1F"/>
          <w:spacing w:val="-2"/>
        </w:rPr>
        <w:t>Notification</w:t>
      </w:r>
      <w:r>
        <w:rPr>
          <w:color w:val="211F1F"/>
          <w:spacing w:val="-12"/>
        </w:rPr>
        <w:t xml:space="preserve"> </w:t>
      </w:r>
      <w:r>
        <w:rPr>
          <w:color w:val="211F1F"/>
          <w:spacing w:val="-2"/>
        </w:rPr>
        <w:t>of</w:t>
      </w:r>
      <w:r>
        <w:rPr>
          <w:color w:val="211F1F"/>
          <w:spacing w:val="-10"/>
        </w:rPr>
        <w:t xml:space="preserve"> </w:t>
      </w:r>
      <w:r>
        <w:rPr>
          <w:color w:val="211F1F"/>
          <w:spacing w:val="-2"/>
        </w:rPr>
        <w:t>Intention</w:t>
      </w:r>
      <w:r>
        <w:rPr>
          <w:color w:val="211F1F"/>
          <w:spacing w:val="-11"/>
        </w:rPr>
        <w:t xml:space="preserve"> </w:t>
      </w:r>
      <w:r>
        <w:rPr>
          <w:color w:val="211F1F"/>
          <w:spacing w:val="-2"/>
        </w:rPr>
        <w:t>to</w:t>
      </w:r>
      <w:r>
        <w:rPr>
          <w:color w:val="211F1F"/>
          <w:spacing w:val="-27"/>
        </w:rPr>
        <w:t xml:space="preserve"> </w:t>
      </w:r>
      <w:r>
        <w:rPr>
          <w:color w:val="211F1F"/>
          <w:spacing w:val="-2"/>
        </w:rPr>
        <w:t>Award</w:t>
      </w:r>
      <w:r>
        <w:rPr>
          <w:color w:val="211F1F"/>
          <w:spacing w:val="-21"/>
        </w:rPr>
        <w:t xml:space="preserve"> </w:t>
      </w:r>
      <w:r>
        <w:rPr>
          <w:color w:val="211F1F"/>
          <w:spacing w:val="-2"/>
        </w:rPr>
        <w:t>shall</w:t>
      </w:r>
      <w:r>
        <w:rPr>
          <w:color w:val="211F1F"/>
          <w:spacing w:val="-12"/>
        </w:rPr>
        <w:t xml:space="preserve"> </w:t>
      </w:r>
      <w:r>
        <w:rPr>
          <w:color w:val="211F1F"/>
          <w:spacing w:val="-2"/>
        </w:rPr>
        <w:t>be</w:t>
      </w:r>
      <w:r>
        <w:rPr>
          <w:color w:val="211F1F"/>
          <w:spacing w:val="-14"/>
        </w:rPr>
        <w:t xml:space="preserve"> </w:t>
      </w:r>
      <w:r>
        <w:rPr>
          <w:color w:val="211F1F"/>
          <w:spacing w:val="-2"/>
        </w:rPr>
        <w:t>sent</w:t>
      </w:r>
      <w:r>
        <w:rPr>
          <w:color w:val="211F1F"/>
          <w:spacing w:val="-11"/>
        </w:rPr>
        <w:t xml:space="preserve"> </w:t>
      </w:r>
      <w:r>
        <w:rPr>
          <w:color w:val="211F1F"/>
          <w:spacing w:val="-2"/>
        </w:rPr>
        <w:t>to</w:t>
      </w:r>
      <w:r>
        <w:rPr>
          <w:color w:val="211F1F"/>
          <w:spacing w:val="-12"/>
        </w:rPr>
        <w:t xml:space="preserve"> </w:t>
      </w:r>
      <w:r>
        <w:rPr>
          <w:color w:val="211F1F"/>
          <w:spacing w:val="-2"/>
        </w:rPr>
        <w:t>each</w:t>
      </w:r>
      <w:r>
        <w:rPr>
          <w:color w:val="211F1F"/>
          <w:spacing w:val="-17"/>
        </w:rPr>
        <w:t xml:space="preserve"> </w:t>
      </w:r>
      <w:r>
        <w:rPr>
          <w:color w:val="211F1F"/>
          <w:spacing w:val="-2"/>
        </w:rPr>
        <w:t>Tenderer</w:t>
      </w:r>
      <w:r>
        <w:rPr>
          <w:color w:val="211F1F"/>
          <w:spacing w:val="-4"/>
        </w:rPr>
        <w:t xml:space="preserve"> </w:t>
      </w:r>
      <w:r>
        <w:rPr>
          <w:color w:val="211F1F"/>
          <w:spacing w:val="-2"/>
        </w:rPr>
        <w:t>that</w:t>
      </w:r>
      <w:r>
        <w:rPr>
          <w:color w:val="211F1F"/>
          <w:spacing w:val="-12"/>
        </w:rPr>
        <w:t xml:space="preserve"> </w:t>
      </w:r>
      <w:r>
        <w:rPr>
          <w:color w:val="211F1F"/>
          <w:spacing w:val="-2"/>
        </w:rPr>
        <w:t>submitted</w:t>
      </w:r>
      <w:r>
        <w:rPr>
          <w:color w:val="211F1F"/>
          <w:spacing w:val="-11"/>
        </w:rPr>
        <w:t xml:space="preserve"> </w:t>
      </w:r>
      <w:r>
        <w:rPr>
          <w:color w:val="211F1F"/>
          <w:spacing w:val="-2"/>
        </w:rPr>
        <w:t>a</w:t>
      </w:r>
      <w:r>
        <w:rPr>
          <w:color w:val="211F1F"/>
          <w:spacing w:val="-14"/>
        </w:rPr>
        <w:t xml:space="preserve"> </w:t>
      </w:r>
      <w:r>
        <w:rPr>
          <w:color w:val="211F1F"/>
          <w:spacing w:val="-2"/>
        </w:rPr>
        <w:t>Tender.</w:t>
      </w:r>
      <w:r>
        <w:rPr>
          <w:color w:val="211F1F"/>
          <w:spacing w:val="-19"/>
        </w:rPr>
        <w:t xml:space="preserve"> </w:t>
      </w:r>
      <w:r>
        <w:rPr>
          <w:color w:val="211F1F"/>
          <w:spacing w:val="-2"/>
        </w:rPr>
        <w:t>Send</w:t>
      </w:r>
      <w:r>
        <w:rPr>
          <w:color w:val="211F1F"/>
          <w:spacing w:val="-12"/>
        </w:rPr>
        <w:t xml:space="preserve"> </w:t>
      </w:r>
      <w:r>
        <w:rPr>
          <w:color w:val="211F1F"/>
          <w:spacing w:val="-2"/>
        </w:rPr>
        <w:t>this</w:t>
      </w:r>
      <w:r>
        <w:rPr>
          <w:color w:val="211F1F"/>
          <w:spacing w:val="-12"/>
        </w:rPr>
        <w:t xml:space="preserve"> </w:t>
      </w:r>
      <w:r>
        <w:rPr>
          <w:color w:val="211F1F"/>
          <w:spacing w:val="-2"/>
        </w:rPr>
        <w:t>Notification</w:t>
      </w:r>
      <w:r>
        <w:rPr>
          <w:color w:val="211F1F"/>
          <w:spacing w:val="-12"/>
        </w:rPr>
        <w:t xml:space="preserve"> </w:t>
      </w:r>
      <w:r>
        <w:rPr>
          <w:color w:val="211F1F"/>
          <w:spacing w:val="-2"/>
        </w:rPr>
        <w:t xml:space="preserve">to </w:t>
      </w:r>
      <w:r>
        <w:rPr>
          <w:color w:val="211F1F"/>
        </w:rPr>
        <w:t>the</w:t>
      </w:r>
      <w:r>
        <w:rPr>
          <w:color w:val="211F1F"/>
          <w:spacing w:val="-16"/>
        </w:rPr>
        <w:t xml:space="preserve"> </w:t>
      </w:r>
      <w:r>
        <w:rPr>
          <w:color w:val="211F1F"/>
        </w:rPr>
        <w:t>Tenderer's</w:t>
      </w:r>
      <w:r>
        <w:rPr>
          <w:color w:val="211F1F"/>
          <w:spacing w:val="-17"/>
        </w:rPr>
        <w:t xml:space="preserve"> </w:t>
      </w:r>
      <w:r>
        <w:rPr>
          <w:color w:val="211F1F"/>
        </w:rPr>
        <w:t>Authorized</w:t>
      </w:r>
      <w:r>
        <w:rPr>
          <w:color w:val="211F1F"/>
          <w:spacing w:val="-12"/>
        </w:rPr>
        <w:t xml:space="preserve"> </w:t>
      </w:r>
      <w:r>
        <w:rPr>
          <w:color w:val="211F1F"/>
        </w:rPr>
        <w:t>Representative</w:t>
      </w:r>
      <w:r>
        <w:rPr>
          <w:color w:val="211F1F"/>
          <w:spacing w:val="-7"/>
        </w:rPr>
        <w:t xml:space="preserve"> </w:t>
      </w:r>
      <w:r>
        <w:rPr>
          <w:color w:val="211F1F"/>
        </w:rPr>
        <w:t>named</w:t>
      </w:r>
      <w:r>
        <w:rPr>
          <w:color w:val="211F1F"/>
          <w:spacing w:val="-7"/>
        </w:rPr>
        <w:t xml:space="preserve"> </w:t>
      </w:r>
      <w:r>
        <w:rPr>
          <w:color w:val="211F1F"/>
        </w:rPr>
        <w:t>in</w:t>
      </w:r>
      <w:r>
        <w:rPr>
          <w:color w:val="211F1F"/>
          <w:spacing w:val="-13"/>
        </w:rPr>
        <w:t xml:space="preserve"> </w:t>
      </w:r>
      <w:r>
        <w:rPr>
          <w:color w:val="211F1F"/>
        </w:rPr>
        <w:t>the</w:t>
      </w:r>
      <w:r>
        <w:rPr>
          <w:color w:val="211F1F"/>
          <w:spacing w:val="-14"/>
        </w:rPr>
        <w:t xml:space="preserve"> </w:t>
      </w:r>
      <w:r>
        <w:rPr>
          <w:color w:val="211F1F"/>
        </w:rPr>
        <w:t>Tender</w:t>
      </w:r>
      <w:r>
        <w:rPr>
          <w:color w:val="211F1F"/>
          <w:spacing w:val="-3"/>
        </w:rPr>
        <w:t xml:space="preserve"> </w:t>
      </w:r>
      <w:r>
        <w:rPr>
          <w:color w:val="211F1F"/>
        </w:rPr>
        <w:t>Information</w:t>
      </w:r>
      <w:r>
        <w:rPr>
          <w:color w:val="211F1F"/>
          <w:spacing w:val="-5"/>
        </w:rPr>
        <w:t xml:space="preserve"> </w:t>
      </w:r>
      <w:r>
        <w:rPr>
          <w:color w:val="211F1F"/>
        </w:rPr>
        <w:t>Form</w:t>
      </w:r>
      <w:r>
        <w:rPr>
          <w:color w:val="211F1F"/>
          <w:spacing w:val="-10"/>
        </w:rPr>
        <w:t xml:space="preserve"> </w:t>
      </w:r>
      <w:r>
        <w:rPr>
          <w:color w:val="211F1F"/>
        </w:rPr>
        <w:t>on</w:t>
      </w:r>
      <w:r>
        <w:rPr>
          <w:color w:val="211F1F"/>
          <w:spacing w:val="-7"/>
        </w:rPr>
        <w:t xml:space="preserve"> </w:t>
      </w:r>
      <w:r>
        <w:rPr>
          <w:color w:val="211F1F"/>
        </w:rPr>
        <w:t>the</w:t>
      </w:r>
      <w:r>
        <w:rPr>
          <w:color w:val="211F1F"/>
          <w:spacing w:val="-9"/>
        </w:rPr>
        <w:t xml:space="preserve"> </w:t>
      </w:r>
      <w:r>
        <w:rPr>
          <w:color w:val="211F1F"/>
        </w:rPr>
        <w:t>format</w:t>
      </w:r>
      <w:r>
        <w:rPr>
          <w:color w:val="211F1F"/>
          <w:spacing w:val="-4"/>
        </w:rPr>
        <w:t xml:space="preserve"> </w:t>
      </w:r>
      <w:r>
        <w:rPr>
          <w:color w:val="211F1F"/>
        </w:rPr>
        <w:t>below.</w:t>
      </w:r>
    </w:p>
    <w:p w14:paraId="3F71ED28" w14:textId="77777777" w:rsidR="00BB77C0" w:rsidRDefault="00370BAA">
      <w:pPr>
        <w:pStyle w:val="BodyText"/>
        <w:spacing w:before="1"/>
        <w:rPr>
          <w:sz w:val="11"/>
        </w:rPr>
      </w:pPr>
      <w:r>
        <w:rPr>
          <w:noProof/>
          <w:sz w:val="11"/>
        </w:rPr>
        <mc:AlternateContent>
          <mc:Choice Requires="wps">
            <w:drawing>
              <wp:anchor distT="0" distB="0" distL="0" distR="0" simplePos="0" relativeHeight="487643136" behindDoc="1" locked="0" layoutInCell="1" allowOverlap="1" wp14:anchorId="7D868C66" wp14:editId="2DC52EC6">
                <wp:simplePos x="0" y="0"/>
                <wp:positionH relativeFrom="page">
                  <wp:posOffset>544194</wp:posOffset>
                </wp:positionH>
                <wp:positionV relativeFrom="paragraph">
                  <wp:posOffset>96674</wp:posOffset>
                </wp:positionV>
                <wp:extent cx="5209540" cy="1270"/>
                <wp:effectExtent l="0" t="0" r="0" b="0"/>
                <wp:wrapTopAndBottom/>
                <wp:docPr id="423" name="Graphic 4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9540" cy="1270"/>
                        </a:xfrm>
                        <a:custGeom>
                          <a:avLst/>
                          <a:gdLst/>
                          <a:ahLst/>
                          <a:cxnLst/>
                          <a:rect l="l" t="t" r="r" b="b"/>
                          <a:pathLst>
                            <a:path w="5209540">
                              <a:moveTo>
                                <a:pt x="0" y="0"/>
                              </a:moveTo>
                              <a:lnTo>
                                <a:pt x="5209413" y="0"/>
                              </a:lnTo>
                            </a:path>
                          </a:pathLst>
                        </a:custGeom>
                        <a:ln w="10346">
                          <a:solidFill>
                            <a:srgbClr val="201E1E"/>
                          </a:solidFill>
                          <a:prstDash val="sysDash"/>
                        </a:ln>
                      </wps:spPr>
                      <wps:bodyPr wrap="square" lIns="0" tIns="0" rIns="0" bIns="0" rtlCol="0">
                        <a:prstTxWarp prst="textNoShape">
                          <a:avLst/>
                        </a:prstTxWarp>
                        <a:noAutofit/>
                      </wps:bodyPr>
                    </wps:wsp>
                  </a:graphicData>
                </a:graphic>
              </wp:anchor>
            </w:drawing>
          </mc:Choice>
          <mc:Fallback>
            <w:pict>
              <v:shape w14:anchorId="45CC9E89" id="Graphic 423" o:spid="_x0000_s1026" style="position:absolute;margin-left:42.85pt;margin-top:7.6pt;width:410.2pt;height:.1pt;z-index:-15673344;visibility:visible;mso-wrap-style:square;mso-wrap-distance-left:0;mso-wrap-distance-top:0;mso-wrap-distance-right:0;mso-wrap-distance-bottom:0;mso-position-horizontal:absolute;mso-position-horizontal-relative:page;mso-position-vertical:absolute;mso-position-vertical-relative:text;v-text-anchor:top" coordsize="5209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" path="m,l5209413,e" filled="f" strokecolor="#201e1e" strokeweight=".28739mm">
                <v:stroke dashstyle="3 1"/>
                <v:path arrowok="t"/>
                <w10:wrap type="topAndBottom" anchorx="page"/>
              </v:shape>
            </w:pict>
          </mc:Fallback>
        </mc:AlternateContent>
      </w:r>
    </w:p>
    <w:p w14:paraId="10A3E2D6" w14:textId="77777777" w:rsidR="00BB77C0" w:rsidRDefault="00BB77C0">
      <w:pPr>
        <w:pStyle w:val="BodyText"/>
        <w:spacing w:before="65"/>
      </w:pPr>
    </w:p>
    <w:p w14:paraId="7A41F445" w14:textId="77777777" w:rsidR="00BB77C0" w:rsidRDefault="00370BAA">
      <w:pPr>
        <w:ind w:left="499"/>
        <w:rPr>
          <w:b/>
        </w:rPr>
      </w:pPr>
      <w:r>
        <w:rPr>
          <w:b/>
          <w:color w:val="211F1F"/>
          <w:spacing w:val="-2"/>
          <w:u w:val="single" w:color="211F1F"/>
        </w:rPr>
        <w:t>FORMAT</w:t>
      </w:r>
    </w:p>
    <w:p w14:paraId="4F44F4AD" w14:textId="77777777" w:rsidR="00BB77C0" w:rsidRDefault="00370BAA">
      <w:pPr>
        <w:pStyle w:val="ListParagraph"/>
        <w:numPr>
          <w:ilvl w:val="0"/>
          <w:numId w:val="16"/>
        </w:numPr>
        <w:tabs>
          <w:tab w:val="left" w:pos="527"/>
        </w:tabs>
        <w:spacing w:before="227"/>
        <w:ind w:left="527" w:right="5529" w:hanging="527"/>
        <w:jc w:val="right"/>
        <w:rPr>
          <w:color w:val="211F1F"/>
        </w:rPr>
      </w:pPr>
      <w:r>
        <w:rPr>
          <w:color w:val="211F1F"/>
          <w:u w:val="single" w:color="211F1F"/>
        </w:rPr>
        <w:t>For</w:t>
      </w:r>
      <w:r>
        <w:rPr>
          <w:color w:val="211F1F"/>
          <w:spacing w:val="-9"/>
          <w:u w:val="single" w:color="211F1F"/>
        </w:rPr>
        <w:t xml:space="preserve"> </w:t>
      </w:r>
      <w:r>
        <w:rPr>
          <w:color w:val="211F1F"/>
          <w:u w:val="single" w:color="211F1F"/>
        </w:rPr>
        <w:t>the</w:t>
      </w:r>
      <w:r>
        <w:rPr>
          <w:color w:val="211F1F"/>
          <w:spacing w:val="-14"/>
          <w:u w:val="single" w:color="211F1F"/>
        </w:rPr>
        <w:t xml:space="preserve"> </w:t>
      </w:r>
      <w:r>
        <w:rPr>
          <w:color w:val="211F1F"/>
          <w:u w:val="single" w:color="211F1F"/>
        </w:rPr>
        <w:t>attention</w:t>
      </w:r>
      <w:r>
        <w:rPr>
          <w:color w:val="211F1F"/>
          <w:spacing w:val="-12"/>
          <w:u w:val="single" w:color="211F1F"/>
        </w:rPr>
        <w:t xml:space="preserve"> </w:t>
      </w:r>
      <w:r>
        <w:rPr>
          <w:color w:val="211F1F"/>
          <w:u w:val="single" w:color="211F1F"/>
        </w:rPr>
        <w:t>of</w:t>
      </w:r>
      <w:r>
        <w:rPr>
          <w:color w:val="211F1F"/>
          <w:spacing w:val="-10"/>
          <w:u w:val="single" w:color="211F1F"/>
        </w:rPr>
        <w:t xml:space="preserve"> </w:t>
      </w:r>
      <w:r>
        <w:rPr>
          <w:color w:val="211F1F"/>
          <w:u w:val="single" w:color="211F1F"/>
        </w:rPr>
        <w:t>Tenderer's</w:t>
      </w:r>
      <w:r>
        <w:rPr>
          <w:color w:val="211F1F"/>
          <w:spacing w:val="-7"/>
          <w:u w:val="single" w:color="211F1F"/>
        </w:rPr>
        <w:t xml:space="preserve"> </w:t>
      </w:r>
      <w:r>
        <w:rPr>
          <w:color w:val="211F1F"/>
          <w:u w:val="single" w:color="211F1F"/>
        </w:rPr>
        <w:t>Authorized</w:t>
      </w:r>
      <w:r>
        <w:rPr>
          <w:color w:val="211F1F"/>
          <w:spacing w:val="-21"/>
          <w:u w:val="single" w:color="211F1F"/>
        </w:rPr>
        <w:t xml:space="preserve"> </w:t>
      </w:r>
      <w:r>
        <w:rPr>
          <w:color w:val="211F1F"/>
          <w:spacing w:val="-2"/>
          <w:u w:val="single" w:color="211F1F"/>
        </w:rPr>
        <w:t>Representative</w:t>
      </w:r>
    </w:p>
    <w:p w14:paraId="236B6332" w14:textId="77777777" w:rsidR="00BB77C0" w:rsidRDefault="00370BAA">
      <w:pPr>
        <w:pStyle w:val="ListParagraph"/>
        <w:numPr>
          <w:ilvl w:val="1"/>
          <w:numId w:val="16"/>
        </w:numPr>
        <w:tabs>
          <w:tab w:val="left" w:pos="552"/>
        </w:tabs>
        <w:spacing w:before="64"/>
        <w:ind w:left="552" w:right="5626" w:hanging="552"/>
        <w:jc w:val="right"/>
        <w:rPr>
          <w:i/>
          <w:color w:val="211F1F"/>
        </w:rPr>
      </w:pPr>
      <w:r>
        <w:rPr>
          <w:color w:val="211F1F"/>
        </w:rPr>
        <w:t>Name:</w:t>
      </w:r>
      <w:r>
        <w:rPr>
          <w:color w:val="211F1F"/>
          <w:spacing w:val="-13"/>
        </w:rPr>
        <w:t xml:space="preserve"> </w:t>
      </w:r>
      <w:r>
        <w:rPr>
          <w:i/>
          <w:color w:val="211F1F"/>
        </w:rPr>
        <w:t>[insert</w:t>
      </w:r>
      <w:r>
        <w:rPr>
          <w:i/>
          <w:color w:val="211F1F"/>
          <w:spacing w:val="-10"/>
        </w:rPr>
        <w:t xml:space="preserve"> </w:t>
      </w:r>
      <w:r>
        <w:rPr>
          <w:i/>
          <w:color w:val="211F1F"/>
        </w:rPr>
        <w:t>Authorized</w:t>
      </w:r>
      <w:r>
        <w:rPr>
          <w:i/>
          <w:color w:val="211F1F"/>
          <w:spacing w:val="-12"/>
        </w:rPr>
        <w:t xml:space="preserve"> </w:t>
      </w:r>
      <w:r>
        <w:rPr>
          <w:i/>
          <w:color w:val="211F1F"/>
        </w:rPr>
        <w:t>Representative's</w:t>
      </w:r>
      <w:r>
        <w:rPr>
          <w:i/>
          <w:color w:val="211F1F"/>
          <w:spacing w:val="-13"/>
        </w:rPr>
        <w:t xml:space="preserve"> </w:t>
      </w:r>
      <w:r>
        <w:rPr>
          <w:i/>
          <w:color w:val="211F1F"/>
          <w:spacing w:val="-4"/>
        </w:rPr>
        <w:t>name]</w:t>
      </w:r>
    </w:p>
    <w:p w14:paraId="69C9408A" w14:textId="77777777" w:rsidR="00BB77C0" w:rsidRDefault="00370BAA">
      <w:pPr>
        <w:pStyle w:val="ListParagraph"/>
        <w:numPr>
          <w:ilvl w:val="1"/>
          <w:numId w:val="16"/>
        </w:numPr>
        <w:tabs>
          <w:tab w:val="left" w:pos="1613"/>
        </w:tabs>
        <w:spacing w:before="64"/>
        <w:ind w:left="1613" w:hanging="552"/>
        <w:rPr>
          <w:i/>
          <w:color w:val="211F1F"/>
        </w:rPr>
      </w:pPr>
      <w:r>
        <w:rPr>
          <w:color w:val="211F1F"/>
          <w:spacing w:val="-2"/>
        </w:rPr>
        <w:t>Address:</w:t>
      </w:r>
      <w:r>
        <w:rPr>
          <w:color w:val="211F1F"/>
          <w:spacing w:val="8"/>
        </w:rPr>
        <w:t xml:space="preserve"> </w:t>
      </w:r>
      <w:r>
        <w:rPr>
          <w:i/>
          <w:color w:val="211F1F"/>
          <w:spacing w:val="-2"/>
        </w:rPr>
        <w:t>[insert</w:t>
      </w:r>
      <w:r>
        <w:rPr>
          <w:i/>
          <w:color w:val="211F1F"/>
          <w:spacing w:val="11"/>
        </w:rPr>
        <w:t xml:space="preserve"> </w:t>
      </w:r>
      <w:r>
        <w:rPr>
          <w:i/>
          <w:color w:val="211F1F"/>
          <w:spacing w:val="-2"/>
        </w:rPr>
        <w:t>Authorized</w:t>
      </w:r>
      <w:r>
        <w:rPr>
          <w:i/>
          <w:color w:val="211F1F"/>
          <w:spacing w:val="7"/>
        </w:rPr>
        <w:t xml:space="preserve"> </w:t>
      </w:r>
      <w:r>
        <w:rPr>
          <w:i/>
          <w:color w:val="211F1F"/>
          <w:spacing w:val="-2"/>
        </w:rPr>
        <w:t>Representative's Address]</w:t>
      </w:r>
    </w:p>
    <w:p w14:paraId="68BDE3FE" w14:textId="77777777" w:rsidR="00BB77C0" w:rsidRDefault="00370BAA">
      <w:pPr>
        <w:pStyle w:val="ListParagraph"/>
        <w:numPr>
          <w:ilvl w:val="1"/>
          <w:numId w:val="16"/>
        </w:numPr>
        <w:tabs>
          <w:tab w:val="left" w:pos="1613"/>
        </w:tabs>
        <w:spacing w:before="64"/>
        <w:ind w:left="1613" w:hanging="552"/>
        <w:rPr>
          <w:i/>
          <w:color w:val="211F1F"/>
        </w:rPr>
      </w:pPr>
      <w:r>
        <w:rPr>
          <w:color w:val="211F1F"/>
          <w:spacing w:val="-2"/>
        </w:rPr>
        <w:t>Telephone:</w:t>
      </w:r>
      <w:r>
        <w:rPr>
          <w:color w:val="211F1F"/>
          <w:spacing w:val="6"/>
        </w:rPr>
        <w:t xml:space="preserve"> </w:t>
      </w:r>
      <w:r>
        <w:rPr>
          <w:i/>
          <w:color w:val="211F1F"/>
          <w:spacing w:val="-2"/>
        </w:rPr>
        <w:t>[insert</w:t>
      </w:r>
      <w:r>
        <w:rPr>
          <w:i/>
          <w:color w:val="211F1F"/>
          <w:spacing w:val="12"/>
        </w:rPr>
        <w:t xml:space="preserve"> </w:t>
      </w:r>
      <w:r>
        <w:rPr>
          <w:i/>
          <w:color w:val="211F1F"/>
          <w:spacing w:val="-2"/>
        </w:rPr>
        <w:t>Authorized</w:t>
      </w:r>
      <w:r>
        <w:rPr>
          <w:i/>
          <w:color w:val="211F1F"/>
          <w:spacing w:val="10"/>
        </w:rPr>
        <w:t xml:space="preserve"> </w:t>
      </w:r>
      <w:r>
        <w:rPr>
          <w:i/>
          <w:color w:val="211F1F"/>
          <w:spacing w:val="-2"/>
        </w:rPr>
        <w:t>Representative's</w:t>
      </w:r>
      <w:r>
        <w:rPr>
          <w:i/>
          <w:color w:val="211F1F"/>
          <w:spacing w:val="6"/>
        </w:rPr>
        <w:t xml:space="preserve"> </w:t>
      </w:r>
      <w:r>
        <w:rPr>
          <w:i/>
          <w:color w:val="211F1F"/>
          <w:spacing w:val="-2"/>
        </w:rPr>
        <w:t>telephone/fax</w:t>
      </w:r>
      <w:r>
        <w:rPr>
          <w:i/>
          <w:color w:val="211F1F"/>
          <w:spacing w:val="3"/>
        </w:rPr>
        <w:t xml:space="preserve"> </w:t>
      </w:r>
      <w:r>
        <w:rPr>
          <w:i/>
          <w:color w:val="211F1F"/>
          <w:spacing w:val="-2"/>
        </w:rPr>
        <w:t>numbers]</w:t>
      </w:r>
    </w:p>
    <w:p w14:paraId="57E07CC3" w14:textId="77777777" w:rsidR="00BB77C0" w:rsidRDefault="00370BAA">
      <w:pPr>
        <w:pStyle w:val="ListParagraph"/>
        <w:numPr>
          <w:ilvl w:val="1"/>
          <w:numId w:val="16"/>
        </w:numPr>
        <w:tabs>
          <w:tab w:val="left" w:pos="1613"/>
        </w:tabs>
        <w:spacing w:before="64"/>
        <w:ind w:left="1613" w:hanging="552"/>
        <w:rPr>
          <w:i/>
          <w:color w:val="211F1F"/>
        </w:rPr>
      </w:pPr>
      <w:r>
        <w:rPr>
          <w:color w:val="211F1F"/>
        </w:rPr>
        <w:t>Email</w:t>
      </w:r>
      <w:r>
        <w:rPr>
          <w:color w:val="211F1F"/>
          <w:spacing w:val="-16"/>
        </w:rPr>
        <w:t xml:space="preserve"> </w:t>
      </w:r>
      <w:r>
        <w:rPr>
          <w:color w:val="211F1F"/>
        </w:rPr>
        <w:t>Address:</w:t>
      </w:r>
      <w:r>
        <w:rPr>
          <w:color w:val="211F1F"/>
          <w:spacing w:val="-14"/>
        </w:rPr>
        <w:t xml:space="preserve"> </w:t>
      </w:r>
      <w:r>
        <w:rPr>
          <w:i/>
          <w:color w:val="211F1F"/>
        </w:rPr>
        <w:t>[insert</w:t>
      </w:r>
      <w:r>
        <w:rPr>
          <w:i/>
          <w:color w:val="211F1F"/>
          <w:spacing w:val="-14"/>
        </w:rPr>
        <w:t xml:space="preserve"> </w:t>
      </w:r>
      <w:r>
        <w:rPr>
          <w:i/>
          <w:color w:val="211F1F"/>
        </w:rPr>
        <w:t>Authorized</w:t>
      </w:r>
      <w:r>
        <w:rPr>
          <w:i/>
          <w:color w:val="211F1F"/>
          <w:spacing w:val="-13"/>
        </w:rPr>
        <w:t xml:space="preserve"> </w:t>
      </w:r>
      <w:r>
        <w:rPr>
          <w:i/>
          <w:color w:val="211F1F"/>
        </w:rPr>
        <w:t>Representative's</w:t>
      </w:r>
      <w:r>
        <w:rPr>
          <w:i/>
          <w:color w:val="211F1F"/>
          <w:spacing w:val="-12"/>
        </w:rPr>
        <w:t xml:space="preserve"> </w:t>
      </w:r>
      <w:r>
        <w:rPr>
          <w:i/>
          <w:color w:val="211F1F"/>
        </w:rPr>
        <w:t>email</w:t>
      </w:r>
      <w:r>
        <w:rPr>
          <w:i/>
          <w:color w:val="211F1F"/>
          <w:spacing w:val="-15"/>
        </w:rPr>
        <w:t xml:space="preserve"> </w:t>
      </w:r>
      <w:r>
        <w:rPr>
          <w:i/>
          <w:color w:val="211F1F"/>
          <w:spacing w:val="-2"/>
        </w:rPr>
        <w:t>address]</w:t>
      </w:r>
    </w:p>
    <w:p w14:paraId="5A1F177C" w14:textId="77777777" w:rsidR="00BB77C0" w:rsidRDefault="00370BAA">
      <w:pPr>
        <w:spacing w:before="243" w:line="232" w:lineRule="auto"/>
        <w:ind w:left="1061" w:right="949" w:hanging="39"/>
        <w:rPr>
          <w:i/>
        </w:rPr>
      </w:pPr>
      <w:r>
        <w:rPr>
          <w:i/>
          <w:color w:val="211F1F"/>
        </w:rPr>
        <w:t>[IMPORTANT:</w:t>
      </w:r>
      <w:r>
        <w:rPr>
          <w:i/>
          <w:color w:val="211F1F"/>
          <w:spacing w:val="-10"/>
        </w:rPr>
        <w:t xml:space="preserve"> </w:t>
      </w:r>
      <w:r>
        <w:rPr>
          <w:i/>
          <w:color w:val="211F1F"/>
        </w:rPr>
        <w:t>insert</w:t>
      </w:r>
      <w:r>
        <w:rPr>
          <w:i/>
          <w:color w:val="211F1F"/>
          <w:spacing w:val="-8"/>
        </w:rPr>
        <w:t xml:space="preserve"> </w:t>
      </w:r>
      <w:r>
        <w:rPr>
          <w:i/>
          <w:color w:val="211F1F"/>
        </w:rPr>
        <w:t>the</w:t>
      </w:r>
      <w:r>
        <w:rPr>
          <w:i/>
          <w:color w:val="211F1F"/>
          <w:spacing w:val="-8"/>
        </w:rPr>
        <w:t xml:space="preserve"> </w:t>
      </w:r>
      <w:r>
        <w:rPr>
          <w:i/>
          <w:color w:val="211F1F"/>
        </w:rPr>
        <w:t>date</w:t>
      </w:r>
      <w:r>
        <w:rPr>
          <w:i/>
          <w:color w:val="211F1F"/>
          <w:spacing w:val="-11"/>
        </w:rPr>
        <w:t xml:space="preserve"> </w:t>
      </w:r>
      <w:r>
        <w:rPr>
          <w:i/>
          <w:color w:val="211F1F"/>
        </w:rPr>
        <w:t>that</w:t>
      </w:r>
      <w:r>
        <w:rPr>
          <w:i/>
          <w:color w:val="211F1F"/>
          <w:spacing w:val="-9"/>
        </w:rPr>
        <w:t xml:space="preserve"> </w:t>
      </w:r>
      <w:r>
        <w:rPr>
          <w:i/>
          <w:color w:val="211F1F"/>
        </w:rPr>
        <w:t>this</w:t>
      </w:r>
      <w:r>
        <w:rPr>
          <w:i/>
          <w:color w:val="211F1F"/>
          <w:spacing w:val="-9"/>
        </w:rPr>
        <w:t xml:space="preserve"> </w:t>
      </w:r>
      <w:r>
        <w:rPr>
          <w:i/>
          <w:color w:val="211F1F"/>
        </w:rPr>
        <w:t>Notification</w:t>
      </w:r>
      <w:r>
        <w:rPr>
          <w:i/>
          <w:color w:val="211F1F"/>
          <w:spacing w:val="-13"/>
        </w:rPr>
        <w:t xml:space="preserve"> </w:t>
      </w:r>
      <w:r>
        <w:rPr>
          <w:i/>
          <w:color w:val="211F1F"/>
        </w:rPr>
        <w:t>is</w:t>
      </w:r>
      <w:r>
        <w:rPr>
          <w:i/>
          <w:color w:val="211F1F"/>
          <w:spacing w:val="-14"/>
        </w:rPr>
        <w:t xml:space="preserve"> </w:t>
      </w:r>
      <w:r>
        <w:rPr>
          <w:i/>
          <w:color w:val="211F1F"/>
        </w:rPr>
        <w:t>transmitted</w:t>
      </w:r>
      <w:r>
        <w:rPr>
          <w:i/>
          <w:color w:val="211F1F"/>
          <w:spacing w:val="-9"/>
        </w:rPr>
        <w:t xml:space="preserve"> </w:t>
      </w:r>
      <w:r>
        <w:rPr>
          <w:i/>
          <w:color w:val="211F1F"/>
        </w:rPr>
        <w:t>to</w:t>
      </w:r>
      <w:r>
        <w:rPr>
          <w:i/>
          <w:color w:val="211F1F"/>
          <w:spacing w:val="-9"/>
        </w:rPr>
        <w:t xml:space="preserve"> </w:t>
      </w:r>
      <w:r>
        <w:rPr>
          <w:i/>
          <w:color w:val="211F1F"/>
        </w:rPr>
        <w:t>Tenderers.</w:t>
      </w:r>
      <w:r>
        <w:rPr>
          <w:i/>
          <w:color w:val="211F1F"/>
          <w:spacing w:val="-7"/>
        </w:rPr>
        <w:t xml:space="preserve"> </w:t>
      </w:r>
      <w:r>
        <w:rPr>
          <w:i/>
          <w:color w:val="211F1F"/>
        </w:rPr>
        <w:t>The</w:t>
      </w:r>
      <w:r>
        <w:rPr>
          <w:i/>
          <w:color w:val="211F1F"/>
          <w:spacing w:val="-11"/>
        </w:rPr>
        <w:t xml:space="preserve"> </w:t>
      </w:r>
      <w:r>
        <w:rPr>
          <w:i/>
          <w:color w:val="211F1F"/>
        </w:rPr>
        <w:t>Notification</w:t>
      </w:r>
      <w:r>
        <w:rPr>
          <w:i/>
          <w:color w:val="211F1F"/>
          <w:spacing w:val="-4"/>
        </w:rPr>
        <w:t xml:space="preserve"> </w:t>
      </w:r>
      <w:r>
        <w:rPr>
          <w:i/>
          <w:color w:val="211F1F"/>
        </w:rPr>
        <w:t>must</w:t>
      </w:r>
      <w:r>
        <w:rPr>
          <w:i/>
          <w:color w:val="211F1F"/>
          <w:spacing w:val="-4"/>
        </w:rPr>
        <w:t xml:space="preserve"> </w:t>
      </w:r>
      <w:r>
        <w:rPr>
          <w:i/>
          <w:color w:val="211F1F"/>
        </w:rPr>
        <w:t>be</w:t>
      </w:r>
      <w:r>
        <w:rPr>
          <w:i/>
          <w:color w:val="211F1F"/>
          <w:spacing w:val="-11"/>
        </w:rPr>
        <w:t xml:space="preserve"> </w:t>
      </w:r>
      <w:r>
        <w:rPr>
          <w:i/>
          <w:color w:val="211F1F"/>
        </w:rPr>
        <w:t>sent to all Tenderers simultaneously. This means on the same date and as close to the same time as possible.]</w:t>
      </w:r>
    </w:p>
    <w:p w14:paraId="75D4D74C" w14:textId="77777777" w:rsidR="00BB77C0" w:rsidRDefault="00370BAA">
      <w:pPr>
        <w:pStyle w:val="ListParagraph"/>
        <w:numPr>
          <w:ilvl w:val="0"/>
          <w:numId w:val="16"/>
        </w:numPr>
        <w:tabs>
          <w:tab w:val="left" w:pos="1022"/>
        </w:tabs>
        <w:spacing w:before="228"/>
        <w:rPr>
          <w:color w:val="211F1F"/>
        </w:rPr>
      </w:pPr>
      <w:r>
        <w:rPr>
          <w:color w:val="211F1F"/>
          <w:u w:val="single" w:color="211F1F"/>
        </w:rPr>
        <w:t>Date</w:t>
      </w:r>
      <w:r>
        <w:rPr>
          <w:color w:val="211F1F"/>
          <w:spacing w:val="-12"/>
          <w:u w:val="single" w:color="211F1F"/>
        </w:rPr>
        <w:t xml:space="preserve"> </w:t>
      </w:r>
      <w:r>
        <w:rPr>
          <w:color w:val="211F1F"/>
          <w:u w:val="single" w:color="211F1F"/>
        </w:rPr>
        <w:t>of</w:t>
      </w:r>
      <w:r>
        <w:rPr>
          <w:color w:val="211F1F"/>
          <w:spacing w:val="-7"/>
          <w:u w:val="single" w:color="211F1F"/>
        </w:rPr>
        <w:t xml:space="preserve"> </w:t>
      </w:r>
      <w:r>
        <w:rPr>
          <w:color w:val="211F1F"/>
          <w:u w:val="single" w:color="211F1F"/>
        </w:rPr>
        <w:t>transmission</w:t>
      </w:r>
      <w:r>
        <w:rPr>
          <w:color w:val="211F1F"/>
        </w:rPr>
        <w:t>:</w:t>
      </w:r>
      <w:r>
        <w:rPr>
          <w:color w:val="211F1F"/>
          <w:spacing w:val="-8"/>
        </w:rPr>
        <w:t xml:space="preserve"> </w:t>
      </w:r>
      <w:r>
        <w:rPr>
          <w:color w:val="211F1F"/>
        </w:rPr>
        <w:t>[</w:t>
      </w:r>
      <w:r>
        <w:rPr>
          <w:i/>
          <w:color w:val="211F1F"/>
        </w:rPr>
        <w:t>email</w:t>
      </w:r>
      <w:r>
        <w:rPr>
          <w:color w:val="211F1F"/>
        </w:rPr>
        <w:t>]</w:t>
      </w:r>
      <w:r>
        <w:rPr>
          <w:color w:val="211F1F"/>
          <w:spacing w:val="-7"/>
        </w:rPr>
        <w:t xml:space="preserve"> </w:t>
      </w:r>
      <w:r>
        <w:rPr>
          <w:color w:val="211F1F"/>
        </w:rPr>
        <w:t>on</w:t>
      </w:r>
      <w:r>
        <w:rPr>
          <w:color w:val="211F1F"/>
          <w:spacing w:val="-9"/>
        </w:rPr>
        <w:t xml:space="preserve"> </w:t>
      </w:r>
      <w:r>
        <w:rPr>
          <w:color w:val="211F1F"/>
        </w:rPr>
        <w:t>[</w:t>
      </w:r>
      <w:r>
        <w:rPr>
          <w:i/>
          <w:color w:val="211F1F"/>
        </w:rPr>
        <w:t>date</w:t>
      </w:r>
      <w:r>
        <w:rPr>
          <w:color w:val="211F1F"/>
        </w:rPr>
        <w:t>]</w:t>
      </w:r>
      <w:r>
        <w:rPr>
          <w:color w:val="211F1F"/>
          <w:spacing w:val="-7"/>
        </w:rPr>
        <w:t xml:space="preserve"> </w:t>
      </w:r>
      <w:r>
        <w:rPr>
          <w:color w:val="211F1F"/>
        </w:rPr>
        <w:t>(local</w:t>
      </w:r>
      <w:r>
        <w:rPr>
          <w:color w:val="211F1F"/>
          <w:spacing w:val="-7"/>
        </w:rPr>
        <w:t xml:space="preserve"> </w:t>
      </w:r>
      <w:r>
        <w:rPr>
          <w:color w:val="211F1F"/>
          <w:spacing w:val="-4"/>
        </w:rPr>
        <w:t>time)</w:t>
      </w:r>
    </w:p>
    <w:p w14:paraId="015463FE" w14:textId="77777777" w:rsidR="00BB77C0" w:rsidRDefault="00370BAA">
      <w:pPr>
        <w:tabs>
          <w:tab w:val="left" w:pos="9524"/>
        </w:tabs>
        <w:spacing w:before="237"/>
        <w:ind w:left="1022"/>
      </w:pPr>
      <w:r>
        <w:rPr>
          <w:color w:val="211F1F"/>
        </w:rPr>
        <w:t>This Notification</w:t>
      </w:r>
      <w:r>
        <w:rPr>
          <w:color w:val="211F1F"/>
          <w:spacing w:val="-9"/>
        </w:rPr>
        <w:t xml:space="preserve"> </w:t>
      </w:r>
      <w:r>
        <w:rPr>
          <w:color w:val="211F1F"/>
        </w:rPr>
        <w:t>is sent</w:t>
      </w:r>
      <w:r>
        <w:rPr>
          <w:color w:val="211F1F"/>
          <w:spacing w:val="-5"/>
        </w:rPr>
        <w:t xml:space="preserve"> </w:t>
      </w:r>
      <w:r>
        <w:rPr>
          <w:color w:val="211F1F"/>
        </w:rPr>
        <w:t>by</w:t>
      </w:r>
      <w:r>
        <w:rPr>
          <w:color w:val="211F1F"/>
          <w:spacing w:val="-10"/>
        </w:rPr>
        <w:t xml:space="preserve"> </w:t>
      </w:r>
      <w:r>
        <w:rPr>
          <w:color w:val="211F1F"/>
        </w:rPr>
        <w:t>(</w:t>
      </w:r>
      <w:r>
        <w:rPr>
          <w:i/>
          <w:color w:val="211F1F"/>
        </w:rPr>
        <w:t>Name</w:t>
      </w:r>
      <w:r>
        <w:rPr>
          <w:i/>
          <w:color w:val="211F1F"/>
          <w:spacing w:val="-2"/>
        </w:rPr>
        <w:t xml:space="preserve"> </w:t>
      </w:r>
      <w:r>
        <w:rPr>
          <w:i/>
          <w:color w:val="211F1F"/>
        </w:rPr>
        <w:t>and</w:t>
      </w:r>
      <w:r>
        <w:rPr>
          <w:i/>
          <w:color w:val="211F1F"/>
          <w:spacing w:val="-6"/>
        </w:rPr>
        <w:t xml:space="preserve"> </w:t>
      </w:r>
      <w:r>
        <w:rPr>
          <w:i/>
          <w:color w:val="211F1F"/>
        </w:rPr>
        <w:t>designation</w:t>
      </w:r>
      <w:r>
        <w:rPr>
          <w:color w:val="211F1F"/>
        </w:rPr>
        <w:t>)</w:t>
      </w:r>
      <w:r>
        <w:rPr>
          <w:color w:val="211F1F"/>
          <w:spacing w:val="-7"/>
        </w:rPr>
        <w:t xml:space="preserve"> </w:t>
      </w:r>
      <w:r>
        <w:rPr>
          <w:color w:val="211F1F"/>
          <w:u w:val="single" w:color="201E1F"/>
        </w:rPr>
        <w:tab/>
      </w:r>
    </w:p>
    <w:p w14:paraId="1D8CB19C" w14:textId="77777777" w:rsidR="00BB77C0" w:rsidRDefault="00BB77C0">
      <w:pPr>
        <w:pStyle w:val="BodyText"/>
        <w:spacing w:before="228"/>
      </w:pPr>
    </w:p>
    <w:p w14:paraId="39867934" w14:textId="77777777" w:rsidR="00BB77C0" w:rsidRDefault="00370BAA">
      <w:pPr>
        <w:pStyle w:val="ListParagraph"/>
        <w:numPr>
          <w:ilvl w:val="0"/>
          <w:numId w:val="16"/>
        </w:numPr>
        <w:tabs>
          <w:tab w:val="left" w:pos="1022"/>
        </w:tabs>
        <w:rPr>
          <w:color w:val="211F1F"/>
        </w:rPr>
      </w:pPr>
      <w:r>
        <w:rPr>
          <w:color w:val="211F1F"/>
          <w:spacing w:val="-2"/>
          <w:u w:val="single" w:color="211F1F"/>
        </w:rPr>
        <w:t>Notification</w:t>
      </w:r>
      <w:r>
        <w:rPr>
          <w:color w:val="211F1F"/>
          <w:spacing w:val="-5"/>
          <w:u w:val="single" w:color="211F1F"/>
        </w:rPr>
        <w:t xml:space="preserve"> </w:t>
      </w:r>
      <w:r>
        <w:rPr>
          <w:color w:val="211F1F"/>
          <w:spacing w:val="-2"/>
          <w:u w:val="single" w:color="211F1F"/>
        </w:rPr>
        <w:t>of</w:t>
      </w:r>
      <w:r>
        <w:rPr>
          <w:color w:val="211F1F"/>
          <w:spacing w:val="5"/>
          <w:u w:val="single" w:color="211F1F"/>
        </w:rPr>
        <w:t xml:space="preserve"> </w:t>
      </w:r>
      <w:r>
        <w:rPr>
          <w:color w:val="211F1F"/>
          <w:spacing w:val="-2"/>
          <w:u w:val="single" w:color="211F1F"/>
        </w:rPr>
        <w:t>Intention</w:t>
      </w:r>
      <w:r>
        <w:rPr>
          <w:color w:val="211F1F"/>
          <w:spacing w:val="-5"/>
          <w:u w:val="single" w:color="211F1F"/>
        </w:rPr>
        <w:t xml:space="preserve"> </w:t>
      </w:r>
      <w:r>
        <w:rPr>
          <w:color w:val="211F1F"/>
          <w:spacing w:val="-2"/>
          <w:u w:val="single" w:color="211F1F"/>
        </w:rPr>
        <w:t>to</w:t>
      </w:r>
      <w:r>
        <w:rPr>
          <w:color w:val="211F1F"/>
          <w:spacing w:val="-10"/>
          <w:u w:val="single" w:color="211F1F"/>
        </w:rPr>
        <w:t xml:space="preserve"> </w:t>
      </w:r>
      <w:r>
        <w:rPr>
          <w:color w:val="211F1F"/>
          <w:spacing w:val="-4"/>
          <w:u w:val="single" w:color="211F1F"/>
        </w:rPr>
        <w:t>Award</w:t>
      </w:r>
    </w:p>
    <w:p w14:paraId="76E48276" w14:textId="77777777" w:rsidR="00BB77C0" w:rsidRDefault="00370BAA">
      <w:pPr>
        <w:pStyle w:val="ListParagraph"/>
        <w:numPr>
          <w:ilvl w:val="1"/>
          <w:numId w:val="16"/>
        </w:numPr>
        <w:tabs>
          <w:tab w:val="left" w:pos="1613"/>
        </w:tabs>
        <w:spacing w:before="232"/>
        <w:ind w:left="1613" w:hanging="552"/>
        <w:rPr>
          <w:i/>
          <w:color w:val="211F1F"/>
        </w:rPr>
      </w:pPr>
      <w:r>
        <w:rPr>
          <w:color w:val="211F1F"/>
        </w:rPr>
        <w:t>Procuring</w:t>
      </w:r>
      <w:r>
        <w:rPr>
          <w:color w:val="211F1F"/>
          <w:spacing w:val="-10"/>
        </w:rPr>
        <w:t xml:space="preserve"> </w:t>
      </w:r>
      <w:r>
        <w:rPr>
          <w:color w:val="211F1F"/>
        </w:rPr>
        <w:t>Entity:</w:t>
      </w:r>
      <w:r>
        <w:rPr>
          <w:color w:val="211F1F"/>
          <w:spacing w:val="-4"/>
        </w:rPr>
        <w:t xml:space="preserve"> </w:t>
      </w:r>
      <w:r>
        <w:rPr>
          <w:i/>
          <w:color w:val="211F1F"/>
        </w:rPr>
        <w:t>[insert</w:t>
      </w:r>
      <w:r>
        <w:rPr>
          <w:i/>
          <w:color w:val="211F1F"/>
          <w:spacing w:val="-4"/>
        </w:rPr>
        <w:t xml:space="preserve"> </w:t>
      </w:r>
      <w:r>
        <w:rPr>
          <w:i/>
          <w:color w:val="211F1F"/>
        </w:rPr>
        <w:t>the</w:t>
      </w:r>
      <w:r>
        <w:rPr>
          <w:i/>
          <w:color w:val="211F1F"/>
          <w:spacing w:val="-8"/>
        </w:rPr>
        <w:t xml:space="preserve"> </w:t>
      </w:r>
      <w:r>
        <w:rPr>
          <w:i/>
          <w:color w:val="211F1F"/>
        </w:rPr>
        <w:t>name</w:t>
      </w:r>
      <w:r>
        <w:rPr>
          <w:i/>
          <w:color w:val="211F1F"/>
          <w:spacing w:val="-8"/>
        </w:rPr>
        <w:t xml:space="preserve"> </w:t>
      </w:r>
      <w:r>
        <w:rPr>
          <w:i/>
          <w:color w:val="211F1F"/>
        </w:rPr>
        <w:t>of</w:t>
      </w:r>
      <w:r>
        <w:rPr>
          <w:i/>
          <w:color w:val="211F1F"/>
          <w:spacing w:val="-5"/>
        </w:rPr>
        <w:t xml:space="preserve"> </w:t>
      </w:r>
      <w:r>
        <w:rPr>
          <w:i/>
          <w:color w:val="211F1F"/>
        </w:rPr>
        <w:t>the</w:t>
      </w:r>
      <w:r>
        <w:rPr>
          <w:i/>
          <w:color w:val="211F1F"/>
          <w:spacing w:val="-7"/>
        </w:rPr>
        <w:t xml:space="preserve"> </w:t>
      </w:r>
      <w:r>
        <w:rPr>
          <w:i/>
          <w:color w:val="211F1F"/>
        </w:rPr>
        <w:t>Procuring</w:t>
      </w:r>
      <w:r>
        <w:rPr>
          <w:i/>
          <w:color w:val="211F1F"/>
          <w:spacing w:val="-9"/>
        </w:rPr>
        <w:t xml:space="preserve"> </w:t>
      </w:r>
      <w:r>
        <w:rPr>
          <w:i/>
          <w:color w:val="211F1F"/>
          <w:spacing w:val="-2"/>
        </w:rPr>
        <w:t>Entity]</w:t>
      </w:r>
    </w:p>
    <w:p w14:paraId="376DE4CD" w14:textId="77777777" w:rsidR="00BB77C0" w:rsidRDefault="00370BAA">
      <w:pPr>
        <w:pStyle w:val="ListParagraph"/>
        <w:numPr>
          <w:ilvl w:val="1"/>
          <w:numId w:val="16"/>
        </w:numPr>
        <w:tabs>
          <w:tab w:val="left" w:pos="1613"/>
        </w:tabs>
        <w:spacing w:before="64"/>
        <w:ind w:left="1613" w:hanging="552"/>
        <w:rPr>
          <w:i/>
          <w:color w:val="211F1F"/>
        </w:rPr>
      </w:pPr>
      <w:r>
        <w:rPr>
          <w:color w:val="211F1F"/>
        </w:rPr>
        <w:t>Project:</w:t>
      </w:r>
      <w:r>
        <w:rPr>
          <w:color w:val="211F1F"/>
          <w:spacing w:val="-8"/>
        </w:rPr>
        <w:t xml:space="preserve"> </w:t>
      </w:r>
      <w:r>
        <w:rPr>
          <w:i/>
          <w:color w:val="211F1F"/>
        </w:rPr>
        <w:t>[insert</w:t>
      </w:r>
      <w:r>
        <w:rPr>
          <w:i/>
          <w:color w:val="211F1F"/>
          <w:spacing w:val="-7"/>
        </w:rPr>
        <w:t xml:space="preserve"> </w:t>
      </w:r>
      <w:r>
        <w:rPr>
          <w:i/>
          <w:color w:val="211F1F"/>
        </w:rPr>
        <w:t>name</w:t>
      </w:r>
      <w:r>
        <w:rPr>
          <w:i/>
          <w:color w:val="211F1F"/>
          <w:spacing w:val="-7"/>
        </w:rPr>
        <w:t xml:space="preserve"> </w:t>
      </w:r>
      <w:r>
        <w:rPr>
          <w:i/>
          <w:color w:val="211F1F"/>
        </w:rPr>
        <w:t>of</w:t>
      </w:r>
      <w:r>
        <w:rPr>
          <w:i/>
          <w:color w:val="211F1F"/>
          <w:spacing w:val="-8"/>
        </w:rPr>
        <w:t xml:space="preserve"> </w:t>
      </w:r>
      <w:r>
        <w:rPr>
          <w:i/>
          <w:color w:val="211F1F"/>
          <w:spacing w:val="-2"/>
        </w:rPr>
        <w:t>project]</w:t>
      </w:r>
    </w:p>
    <w:p w14:paraId="0DEF50BC" w14:textId="77777777" w:rsidR="00BB77C0" w:rsidRDefault="00370BAA">
      <w:pPr>
        <w:pStyle w:val="ListParagraph"/>
        <w:numPr>
          <w:ilvl w:val="1"/>
          <w:numId w:val="16"/>
        </w:numPr>
        <w:tabs>
          <w:tab w:val="left" w:pos="1613"/>
        </w:tabs>
        <w:spacing w:before="64"/>
        <w:ind w:left="1613" w:hanging="552"/>
        <w:rPr>
          <w:i/>
          <w:color w:val="211F1F"/>
        </w:rPr>
      </w:pPr>
      <w:r>
        <w:rPr>
          <w:color w:val="211F1F"/>
        </w:rPr>
        <w:t>Contract</w:t>
      </w:r>
      <w:r>
        <w:rPr>
          <w:color w:val="211F1F"/>
          <w:spacing w:val="-5"/>
        </w:rPr>
        <w:t xml:space="preserve"> </w:t>
      </w:r>
      <w:r>
        <w:rPr>
          <w:color w:val="211F1F"/>
        </w:rPr>
        <w:t>title:</w:t>
      </w:r>
      <w:r>
        <w:rPr>
          <w:color w:val="211F1F"/>
          <w:spacing w:val="-7"/>
        </w:rPr>
        <w:t xml:space="preserve"> </w:t>
      </w:r>
      <w:r>
        <w:rPr>
          <w:i/>
          <w:color w:val="211F1F"/>
        </w:rPr>
        <w:t>[insert</w:t>
      </w:r>
      <w:r>
        <w:rPr>
          <w:i/>
          <w:color w:val="211F1F"/>
          <w:spacing w:val="-5"/>
        </w:rPr>
        <w:t xml:space="preserve"> </w:t>
      </w:r>
      <w:r>
        <w:rPr>
          <w:i/>
          <w:color w:val="211F1F"/>
        </w:rPr>
        <w:t>the</w:t>
      </w:r>
      <w:r>
        <w:rPr>
          <w:i/>
          <w:color w:val="211F1F"/>
          <w:spacing w:val="-6"/>
        </w:rPr>
        <w:t xml:space="preserve"> </w:t>
      </w:r>
      <w:r>
        <w:rPr>
          <w:i/>
          <w:color w:val="211F1F"/>
        </w:rPr>
        <w:t>name</w:t>
      </w:r>
      <w:r>
        <w:rPr>
          <w:i/>
          <w:color w:val="211F1F"/>
          <w:spacing w:val="-4"/>
        </w:rPr>
        <w:t xml:space="preserve"> </w:t>
      </w:r>
      <w:r>
        <w:rPr>
          <w:i/>
          <w:color w:val="211F1F"/>
        </w:rPr>
        <w:t>of</w:t>
      </w:r>
      <w:r>
        <w:rPr>
          <w:i/>
          <w:color w:val="211F1F"/>
          <w:spacing w:val="-5"/>
        </w:rPr>
        <w:t xml:space="preserve"> </w:t>
      </w:r>
      <w:r>
        <w:rPr>
          <w:i/>
          <w:color w:val="211F1F"/>
        </w:rPr>
        <w:t>the</w:t>
      </w:r>
      <w:r>
        <w:rPr>
          <w:i/>
          <w:color w:val="211F1F"/>
          <w:spacing w:val="-7"/>
        </w:rPr>
        <w:t xml:space="preserve"> </w:t>
      </w:r>
      <w:r>
        <w:rPr>
          <w:i/>
          <w:color w:val="211F1F"/>
          <w:spacing w:val="-2"/>
        </w:rPr>
        <w:t>contract]</w:t>
      </w:r>
    </w:p>
    <w:p w14:paraId="30F901FB" w14:textId="77777777" w:rsidR="00BB77C0" w:rsidRDefault="00370BAA">
      <w:pPr>
        <w:pStyle w:val="ListParagraph"/>
        <w:numPr>
          <w:ilvl w:val="1"/>
          <w:numId w:val="16"/>
        </w:numPr>
        <w:tabs>
          <w:tab w:val="left" w:pos="1613"/>
        </w:tabs>
        <w:spacing w:before="64"/>
        <w:ind w:left="1613" w:hanging="552"/>
        <w:rPr>
          <w:i/>
          <w:color w:val="211F1F"/>
        </w:rPr>
      </w:pPr>
      <w:r>
        <w:rPr>
          <w:color w:val="211F1F"/>
        </w:rPr>
        <w:t>Country:</w:t>
      </w:r>
      <w:r>
        <w:rPr>
          <w:color w:val="211F1F"/>
          <w:spacing w:val="-11"/>
        </w:rPr>
        <w:t xml:space="preserve"> </w:t>
      </w:r>
      <w:r>
        <w:rPr>
          <w:i/>
          <w:color w:val="211F1F"/>
        </w:rPr>
        <w:t>[insert</w:t>
      </w:r>
      <w:r>
        <w:rPr>
          <w:i/>
          <w:color w:val="211F1F"/>
          <w:spacing w:val="-4"/>
        </w:rPr>
        <w:t xml:space="preserve"> </w:t>
      </w:r>
      <w:r>
        <w:rPr>
          <w:i/>
          <w:color w:val="211F1F"/>
        </w:rPr>
        <w:t>country</w:t>
      </w:r>
      <w:r>
        <w:rPr>
          <w:i/>
          <w:color w:val="211F1F"/>
          <w:spacing w:val="-6"/>
        </w:rPr>
        <w:t xml:space="preserve"> </w:t>
      </w:r>
      <w:r>
        <w:rPr>
          <w:i/>
          <w:color w:val="211F1F"/>
        </w:rPr>
        <w:t>where</w:t>
      </w:r>
      <w:r>
        <w:rPr>
          <w:i/>
          <w:color w:val="211F1F"/>
          <w:spacing w:val="-8"/>
        </w:rPr>
        <w:t xml:space="preserve"> </w:t>
      </w:r>
      <w:r>
        <w:rPr>
          <w:i/>
          <w:color w:val="211F1F"/>
        </w:rPr>
        <w:t>ITT</w:t>
      </w:r>
      <w:r>
        <w:rPr>
          <w:i/>
          <w:color w:val="211F1F"/>
          <w:spacing w:val="-4"/>
        </w:rPr>
        <w:t xml:space="preserve"> </w:t>
      </w:r>
      <w:r>
        <w:rPr>
          <w:i/>
          <w:color w:val="211F1F"/>
        </w:rPr>
        <w:t>is</w:t>
      </w:r>
      <w:r>
        <w:rPr>
          <w:i/>
          <w:color w:val="211F1F"/>
          <w:spacing w:val="-13"/>
        </w:rPr>
        <w:t xml:space="preserve"> </w:t>
      </w:r>
      <w:r>
        <w:rPr>
          <w:i/>
          <w:color w:val="211F1F"/>
          <w:spacing w:val="-2"/>
        </w:rPr>
        <w:t>issued]</w:t>
      </w:r>
    </w:p>
    <w:p w14:paraId="5BCDD12D" w14:textId="77777777" w:rsidR="00BB77C0" w:rsidRDefault="00370BAA">
      <w:pPr>
        <w:pStyle w:val="ListParagraph"/>
        <w:numPr>
          <w:ilvl w:val="1"/>
          <w:numId w:val="16"/>
        </w:numPr>
        <w:tabs>
          <w:tab w:val="left" w:pos="1613"/>
        </w:tabs>
        <w:spacing w:before="64"/>
        <w:ind w:left="1613" w:hanging="552"/>
        <w:rPr>
          <w:i/>
          <w:color w:val="211F1F"/>
        </w:rPr>
      </w:pPr>
      <w:r>
        <w:rPr>
          <w:color w:val="211F1F"/>
        </w:rPr>
        <w:t>ITT</w:t>
      </w:r>
      <w:r>
        <w:rPr>
          <w:color w:val="211F1F"/>
          <w:spacing w:val="-12"/>
        </w:rPr>
        <w:t xml:space="preserve"> </w:t>
      </w:r>
      <w:r>
        <w:rPr>
          <w:color w:val="211F1F"/>
        </w:rPr>
        <w:t>No:</w:t>
      </w:r>
      <w:r>
        <w:rPr>
          <w:color w:val="211F1F"/>
          <w:spacing w:val="-10"/>
        </w:rPr>
        <w:t xml:space="preserve"> </w:t>
      </w:r>
      <w:r>
        <w:rPr>
          <w:i/>
          <w:color w:val="211F1F"/>
        </w:rPr>
        <w:t>[insert</w:t>
      </w:r>
      <w:r>
        <w:rPr>
          <w:i/>
          <w:color w:val="211F1F"/>
          <w:spacing w:val="-9"/>
        </w:rPr>
        <w:t xml:space="preserve"> </w:t>
      </w:r>
      <w:r>
        <w:rPr>
          <w:i/>
          <w:color w:val="211F1F"/>
        </w:rPr>
        <w:t>ITT</w:t>
      </w:r>
      <w:r>
        <w:rPr>
          <w:i/>
          <w:color w:val="211F1F"/>
          <w:spacing w:val="-10"/>
        </w:rPr>
        <w:t xml:space="preserve"> </w:t>
      </w:r>
      <w:r>
        <w:rPr>
          <w:i/>
          <w:color w:val="211F1F"/>
        </w:rPr>
        <w:t>reference</w:t>
      </w:r>
      <w:r>
        <w:rPr>
          <w:i/>
          <w:color w:val="211F1F"/>
          <w:spacing w:val="-8"/>
        </w:rPr>
        <w:t xml:space="preserve"> </w:t>
      </w:r>
      <w:r>
        <w:rPr>
          <w:i/>
          <w:color w:val="211F1F"/>
        </w:rPr>
        <w:t>number</w:t>
      </w:r>
      <w:r>
        <w:rPr>
          <w:i/>
          <w:color w:val="211F1F"/>
          <w:spacing w:val="-11"/>
        </w:rPr>
        <w:t xml:space="preserve"> </w:t>
      </w:r>
      <w:r>
        <w:rPr>
          <w:i/>
          <w:color w:val="211F1F"/>
        </w:rPr>
        <w:t>from</w:t>
      </w:r>
      <w:r>
        <w:rPr>
          <w:i/>
          <w:color w:val="211F1F"/>
          <w:spacing w:val="-14"/>
        </w:rPr>
        <w:t xml:space="preserve"> </w:t>
      </w:r>
      <w:r>
        <w:rPr>
          <w:i/>
          <w:color w:val="211F1F"/>
        </w:rPr>
        <w:t>Procurement</w:t>
      </w:r>
      <w:r>
        <w:rPr>
          <w:i/>
          <w:color w:val="211F1F"/>
          <w:spacing w:val="-13"/>
        </w:rPr>
        <w:t xml:space="preserve"> </w:t>
      </w:r>
      <w:r>
        <w:rPr>
          <w:i/>
          <w:color w:val="211F1F"/>
          <w:spacing w:val="-2"/>
        </w:rPr>
        <w:t>Plan]</w:t>
      </w:r>
    </w:p>
    <w:p w14:paraId="01DE80C5" w14:textId="77777777" w:rsidR="00BB77C0" w:rsidRDefault="00370BAA">
      <w:pPr>
        <w:pStyle w:val="BodyText"/>
        <w:spacing w:before="238" w:line="232" w:lineRule="auto"/>
        <w:ind w:left="1051" w:right="587"/>
      </w:pPr>
      <w:r>
        <w:rPr>
          <w:color w:val="211F1F"/>
        </w:rPr>
        <w:t>This</w:t>
      </w:r>
      <w:r>
        <w:rPr>
          <w:color w:val="211F1F"/>
          <w:spacing w:val="-1"/>
        </w:rPr>
        <w:t xml:space="preserve"> </w:t>
      </w:r>
      <w:r>
        <w:rPr>
          <w:color w:val="211F1F"/>
        </w:rPr>
        <w:t>Notification</w:t>
      </w:r>
      <w:r>
        <w:rPr>
          <w:color w:val="211F1F"/>
          <w:spacing w:val="-1"/>
        </w:rPr>
        <w:t xml:space="preserve"> </w:t>
      </w:r>
      <w:r>
        <w:rPr>
          <w:color w:val="211F1F"/>
        </w:rPr>
        <w:t>of</w:t>
      </w:r>
      <w:r>
        <w:rPr>
          <w:color w:val="211F1F"/>
          <w:spacing w:val="-3"/>
        </w:rPr>
        <w:t xml:space="preserve"> </w:t>
      </w:r>
      <w:r>
        <w:rPr>
          <w:color w:val="211F1F"/>
        </w:rPr>
        <w:t>Intention</w:t>
      </w:r>
      <w:r>
        <w:rPr>
          <w:color w:val="211F1F"/>
          <w:spacing w:val="-6"/>
        </w:rPr>
        <w:t xml:space="preserve"> </w:t>
      </w:r>
      <w:r>
        <w:rPr>
          <w:color w:val="211F1F"/>
        </w:rPr>
        <w:t>to</w:t>
      </w:r>
      <w:r>
        <w:rPr>
          <w:color w:val="211F1F"/>
          <w:spacing w:val="-1"/>
        </w:rPr>
        <w:t xml:space="preserve"> </w:t>
      </w:r>
      <w:r>
        <w:rPr>
          <w:color w:val="211F1F"/>
        </w:rPr>
        <w:t>Award</w:t>
      </w:r>
      <w:r>
        <w:rPr>
          <w:color w:val="211F1F"/>
          <w:spacing w:val="-14"/>
        </w:rPr>
        <w:t xml:space="preserve"> </w:t>
      </w:r>
      <w:r>
        <w:rPr>
          <w:color w:val="211F1F"/>
        </w:rPr>
        <w:t>(Notification) notifies</w:t>
      </w:r>
      <w:r>
        <w:rPr>
          <w:color w:val="211F1F"/>
          <w:spacing w:val="-1"/>
        </w:rPr>
        <w:t xml:space="preserve"> </w:t>
      </w:r>
      <w:r>
        <w:rPr>
          <w:color w:val="211F1F"/>
        </w:rPr>
        <w:t>you</w:t>
      </w:r>
      <w:r>
        <w:rPr>
          <w:color w:val="211F1F"/>
          <w:spacing w:val="-1"/>
        </w:rPr>
        <w:t xml:space="preserve"> </w:t>
      </w:r>
      <w:r>
        <w:rPr>
          <w:color w:val="211F1F"/>
        </w:rPr>
        <w:t>of our decision</w:t>
      </w:r>
      <w:r>
        <w:rPr>
          <w:color w:val="211F1F"/>
          <w:spacing w:val="-6"/>
        </w:rPr>
        <w:t xml:space="preserve"> </w:t>
      </w:r>
      <w:r>
        <w:rPr>
          <w:color w:val="211F1F"/>
        </w:rPr>
        <w:t>to</w:t>
      </w:r>
      <w:r>
        <w:rPr>
          <w:color w:val="211F1F"/>
          <w:spacing w:val="-6"/>
        </w:rPr>
        <w:t xml:space="preserve"> </w:t>
      </w:r>
      <w:r>
        <w:rPr>
          <w:color w:val="211F1F"/>
        </w:rPr>
        <w:t>award</w:t>
      </w:r>
      <w:r>
        <w:rPr>
          <w:color w:val="211F1F"/>
          <w:spacing w:val="-9"/>
        </w:rPr>
        <w:t xml:space="preserve"> </w:t>
      </w:r>
      <w:r>
        <w:rPr>
          <w:color w:val="211F1F"/>
        </w:rPr>
        <w:t>the</w:t>
      </w:r>
      <w:r>
        <w:rPr>
          <w:color w:val="211F1F"/>
          <w:spacing w:val="-8"/>
        </w:rPr>
        <w:t xml:space="preserve"> </w:t>
      </w:r>
      <w:r>
        <w:rPr>
          <w:color w:val="211F1F"/>
        </w:rPr>
        <w:t>above</w:t>
      </w:r>
      <w:r>
        <w:rPr>
          <w:color w:val="211F1F"/>
          <w:spacing w:val="-8"/>
        </w:rPr>
        <w:t xml:space="preserve"> </w:t>
      </w:r>
      <w:r>
        <w:rPr>
          <w:color w:val="211F1F"/>
        </w:rPr>
        <w:t>contract. The transmission of this Notification begins the Standstill Period. During the Standstill Period, you may:</w:t>
      </w:r>
    </w:p>
    <w:p w14:paraId="4FFEBBBD" w14:textId="77777777" w:rsidR="00BB77C0" w:rsidRDefault="00370BAA">
      <w:pPr>
        <w:pStyle w:val="ListParagraph"/>
        <w:numPr>
          <w:ilvl w:val="0"/>
          <w:numId w:val="16"/>
        </w:numPr>
        <w:tabs>
          <w:tab w:val="left" w:pos="1041"/>
        </w:tabs>
        <w:spacing w:before="238"/>
        <w:ind w:left="1041" w:hanging="547"/>
        <w:rPr>
          <w:color w:val="211F1F"/>
        </w:rPr>
      </w:pPr>
      <w:r>
        <w:rPr>
          <w:color w:val="211F1F"/>
          <w:u w:val="single" w:color="211F1F"/>
        </w:rPr>
        <w:t>Request</w:t>
      </w:r>
      <w:r>
        <w:rPr>
          <w:color w:val="211F1F"/>
          <w:spacing w:val="1"/>
          <w:u w:val="single" w:color="211F1F"/>
        </w:rPr>
        <w:t xml:space="preserve"> </w:t>
      </w:r>
      <w:r>
        <w:rPr>
          <w:color w:val="211F1F"/>
          <w:u w:val="single" w:color="211F1F"/>
        </w:rPr>
        <w:t>a</w:t>
      </w:r>
      <w:r>
        <w:rPr>
          <w:color w:val="211F1F"/>
          <w:spacing w:val="-4"/>
          <w:u w:val="single" w:color="211F1F"/>
        </w:rPr>
        <w:t xml:space="preserve"> </w:t>
      </w:r>
      <w:r>
        <w:rPr>
          <w:color w:val="211F1F"/>
          <w:u w:val="single" w:color="211F1F"/>
        </w:rPr>
        <w:t>debriefing</w:t>
      </w:r>
      <w:r>
        <w:rPr>
          <w:color w:val="211F1F"/>
          <w:spacing w:val="-9"/>
          <w:u w:val="single" w:color="211F1F"/>
        </w:rPr>
        <w:t xml:space="preserve"> </w:t>
      </w:r>
      <w:r>
        <w:rPr>
          <w:color w:val="211F1F"/>
          <w:u w:val="single" w:color="211F1F"/>
        </w:rPr>
        <w:t>in</w:t>
      </w:r>
      <w:r>
        <w:rPr>
          <w:color w:val="211F1F"/>
          <w:spacing w:val="-10"/>
          <w:u w:val="single" w:color="211F1F"/>
        </w:rPr>
        <w:t xml:space="preserve"> </w:t>
      </w:r>
      <w:r>
        <w:rPr>
          <w:color w:val="211F1F"/>
          <w:u w:val="single" w:color="211F1F"/>
        </w:rPr>
        <w:t>relation</w:t>
      </w:r>
      <w:r>
        <w:rPr>
          <w:color w:val="211F1F"/>
          <w:spacing w:val="-9"/>
          <w:u w:val="single" w:color="211F1F"/>
        </w:rPr>
        <w:t xml:space="preserve"> </w:t>
      </w:r>
      <w:r>
        <w:rPr>
          <w:color w:val="211F1F"/>
          <w:u w:val="single" w:color="211F1F"/>
        </w:rPr>
        <w:t>to</w:t>
      </w:r>
      <w:r>
        <w:rPr>
          <w:color w:val="211F1F"/>
          <w:spacing w:val="-10"/>
          <w:u w:val="single" w:color="211F1F"/>
        </w:rPr>
        <w:t xml:space="preserve"> </w:t>
      </w:r>
      <w:r>
        <w:rPr>
          <w:color w:val="211F1F"/>
          <w:u w:val="single" w:color="211F1F"/>
        </w:rPr>
        <w:t>the</w:t>
      </w:r>
      <w:r>
        <w:rPr>
          <w:color w:val="211F1F"/>
          <w:spacing w:val="-8"/>
          <w:u w:val="single" w:color="211F1F"/>
        </w:rPr>
        <w:t xml:space="preserve"> </w:t>
      </w:r>
      <w:r>
        <w:rPr>
          <w:color w:val="211F1F"/>
          <w:u w:val="single" w:color="211F1F"/>
        </w:rPr>
        <w:t>evaluation</w:t>
      </w:r>
      <w:r>
        <w:rPr>
          <w:color w:val="211F1F"/>
          <w:spacing w:val="-9"/>
          <w:u w:val="single" w:color="211F1F"/>
        </w:rPr>
        <w:t xml:space="preserve"> </w:t>
      </w:r>
      <w:r>
        <w:rPr>
          <w:color w:val="211F1F"/>
          <w:u w:val="single" w:color="211F1F"/>
        </w:rPr>
        <w:t>of</w:t>
      </w:r>
      <w:r>
        <w:rPr>
          <w:color w:val="211F1F"/>
          <w:spacing w:val="-3"/>
          <w:u w:val="single" w:color="211F1F"/>
        </w:rPr>
        <w:t xml:space="preserve"> </w:t>
      </w:r>
      <w:r>
        <w:rPr>
          <w:color w:val="211F1F"/>
          <w:u w:val="single" w:color="211F1F"/>
        </w:rPr>
        <w:t>your</w:t>
      </w:r>
      <w:r>
        <w:rPr>
          <w:color w:val="211F1F"/>
          <w:spacing w:val="-2"/>
          <w:u w:val="single" w:color="211F1F"/>
        </w:rPr>
        <w:t xml:space="preserve"> tender</w:t>
      </w:r>
    </w:p>
    <w:p w14:paraId="7A752803" w14:textId="77777777" w:rsidR="00BB77C0" w:rsidRDefault="00370BAA">
      <w:pPr>
        <w:pStyle w:val="BodyText"/>
        <w:spacing w:before="231"/>
        <w:ind w:left="1051"/>
      </w:pPr>
      <w:r>
        <w:rPr>
          <w:color w:val="211F1F"/>
        </w:rPr>
        <w:t>Submit</w:t>
      </w:r>
      <w:r>
        <w:rPr>
          <w:color w:val="211F1F"/>
          <w:spacing w:val="-2"/>
        </w:rPr>
        <w:t xml:space="preserve"> </w:t>
      </w:r>
      <w:r>
        <w:rPr>
          <w:color w:val="211F1F"/>
        </w:rPr>
        <w:t>a</w:t>
      </w:r>
      <w:r>
        <w:rPr>
          <w:color w:val="211F1F"/>
          <w:spacing w:val="-8"/>
        </w:rPr>
        <w:t xml:space="preserve"> </w:t>
      </w:r>
      <w:r>
        <w:rPr>
          <w:color w:val="211F1F"/>
        </w:rPr>
        <w:t>Procurement-related</w:t>
      </w:r>
      <w:r>
        <w:rPr>
          <w:color w:val="211F1F"/>
          <w:spacing w:val="-9"/>
        </w:rPr>
        <w:t xml:space="preserve"> </w:t>
      </w:r>
      <w:r>
        <w:rPr>
          <w:color w:val="211F1F"/>
        </w:rPr>
        <w:t>Complaint</w:t>
      </w:r>
      <w:r>
        <w:rPr>
          <w:color w:val="211F1F"/>
          <w:spacing w:val="-3"/>
        </w:rPr>
        <w:t xml:space="preserve"> </w:t>
      </w:r>
      <w:r>
        <w:rPr>
          <w:color w:val="211F1F"/>
        </w:rPr>
        <w:t>in</w:t>
      </w:r>
      <w:r>
        <w:rPr>
          <w:color w:val="211F1F"/>
          <w:spacing w:val="-10"/>
        </w:rPr>
        <w:t xml:space="preserve"> </w:t>
      </w:r>
      <w:r>
        <w:rPr>
          <w:color w:val="211F1F"/>
        </w:rPr>
        <w:t>relation</w:t>
      </w:r>
      <w:r>
        <w:rPr>
          <w:color w:val="211F1F"/>
          <w:spacing w:val="-9"/>
        </w:rPr>
        <w:t xml:space="preserve"> </w:t>
      </w:r>
      <w:r>
        <w:rPr>
          <w:color w:val="211F1F"/>
        </w:rPr>
        <w:t>to</w:t>
      </w:r>
      <w:r>
        <w:rPr>
          <w:color w:val="211F1F"/>
          <w:spacing w:val="-10"/>
        </w:rPr>
        <w:t xml:space="preserve"> </w:t>
      </w:r>
      <w:r>
        <w:rPr>
          <w:color w:val="211F1F"/>
        </w:rPr>
        <w:t>the</w:t>
      </w:r>
      <w:r>
        <w:rPr>
          <w:color w:val="211F1F"/>
          <w:spacing w:val="-8"/>
        </w:rPr>
        <w:t xml:space="preserve"> </w:t>
      </w:r>
      <w:r>
        <w:rPr>
          <w:color w:val="211F1F"/>
        </w:rPr>
        <w:t>decision</w:t>
      </w:r>
      <w:r>
        <w:rPr>
          <w:color w:val="211F1F"/>
          <w:spacing w:val="-9"/>
        </w:rPr>
        <w:t xml:space="preserve"> </w:t>
      </w:r>
      <w:r>
        <w:rPr>
          <w:color w:val="211F1F"/>
        </w:rPr>
        <w:t>to</w:t>
      </w:r>
      <w:r>
        <w:rPr>
          <w:color w:val="211F1F"/>
          <w:spacing w:val="-10"/>
        </w:rPr>
        <w:t xml:space="preserve"> </w:t>
      </w:r>
      <w:r>
        <w:rPr>
          <w:color w:val="211F1F"/>
        </w:rPr>
        <w:t>award</w:t>
      </w:r>
      <w:r>
        <w:rPr>
          <w:color w:val="211F1F"/>
          <w:spacing w:val="-10"/>
        </w:rPr>
        <w:t xml:space="preserve"> </w:t>
      </w:r>
      <w:r>
        <w:rPr>
          <w:color w:val="211F1F"/>
        </w:rPr>
        <w:t>the</w:t>
      </w:r>
      <w:r>
        <w:rPr>
          <w:color w:val="211F1F"/>
          <w:spacing w:val="-7"/>
        </w:rPr>
        <w:t xml:space="preserve"> </w:t>
      </w:r>
      <w:r>
        <w:rPr>
          <w:color w:val="211F1F"/>
          <w:spacing w:val="-2"/>
        </w:rPr>
        <w:t>contract.</w:t>
      </w:r>
    </w:p>
    <w:p w14:paraId="7B8CF093" w14:textId="77777777" w:rsidR="00BB77C0" w:rsidRDefault="00370BAA">
      <w:pPr>
        <w:pStyle w:val="ListParagraph"/>
        <w:numPr>
          <w:ilvl w:val="0"/>
          <w:numId w:val="15"/>
        </w:numPr>
        <w:tabs>
          <w:tab w:val="left" w:pos="1613"/>
        </w:tabs>
        <w:spacing w:before="69"/>
        <w:ind w:hanging="562"/>
      </w:pPr>
      <w:r>
        <w:rPr>
          <w:color w:val="211F1F"/>
        </w:rPr>
        <w:t>The</w:t>
      </w:r>
      <w:r>
        <w:rPr>
          <w:color w:val="211F1F"/>
          <w:spacing w:val="-13"/>
        </w:rPr>
        <w:t xml:space="preserve"> </w:t>
      </w:r>
      <w:r>
        <w:rPr>
          <w:color w:val="211F1F"/>
        </w:rPr>
        <w:t>successful</w:t>
      </w:r>
      <w:r>
        <w:rPr>
          <w:color w:val="211F1F"/>
          <w:spacing w:val="-9"/>
        </w:rPr>
        <w:t xml:space="preserve"> </w:t>
      </w:r>
      <w:r>
        <w:rPr>
          <w:color w:val="211F1F"/>
          <w:spacing w:val="-2"/>
        </w:rPr>
        <w:t>tenderer</w:t>
      </w:r>
    </w:p>
    <w:p w14:paraId="68F63069" w14:textId="77777777" w:rsidR="00BB77C0" w:rsidRDefault="00370BAA">
      <w:pPr>
        <w:pStyle w:val="ListParagraph"/>
        <w:numPr>
          <w:ilvl w:val="1"/>
          <w:numId w:val="15"/>
        </w:numPr>
        <w:tabs>
          <w:tab w:val="left" w:pos="2189"/>
          <w:tab w:val="left" w:pos="10878"/>
        </w:tabs>
        <w:spacing w:before="64"/>
        <w:ind w:hanging="576"/>
      </w:pPr>
      <w:r>
        <w:rPr>
          <w:color w:val="211F1F"/>
        </w:rPr>
        <w:t>Name</w:t>
      </w:r>
      <w:r>
        <w:rPr>
          <w:color w:val="211F1F"/>
          <w:spacing w:val="-9"/>
        </w:rPr>
        <w:t xml:space="preserve"> </w:t>
      </w:r>
      <w:r>
        <w:rPr>
          <w:color w:val="211F1F"/>
        </w:rPr>
        <w:t>of</w:t>
      </w:r>
      <w:r>
        <w:rPr>
          <w:color w:val="211F1F"/>
          <w:spacing w:val="-8"/>
        </w:rPr>
        <w:t xml:space="preserve"> </w:t>
      </w:r>
      <w:r>
        <w:rPr>
          <w:color w:val="211F1F"/>
        </w:rPr>
        <w:t>successful</w:t>
      </w:r>
      <w:r>
        <w:rPr>
          <w:color w:val="211F1F"/>
          <w:spacing w:val="-10"/>
        </w:rPr>
        <w:t xml:space="preserve"> </w:t>
      </w:r>
      <w:r>
        <w:rPr>
          <w:color w:val="211F1F"/>
          <w:spacing w:val="-2"/>
        </w:rPr>
        <w:t>Tender</w:t>
      </w:r>
      <w:r>
        <w:rPr>
          <w:color w:val="211F1F"/>
          <w:u w:val="single" w:color="201E1F"/>
        </w:rPr>
        <w:tab/>
      </w:r>
    </w:p>
    <w:p w14:paraId="47AC1378" w14:textId="77777777" w:rsidR="00BB77C0" w:rsidRDefault="00BB77C0">
      <w:pPr>
        <w:pStyle w:val="BodyText"/>
        <w:spacing w:before="128"/>
      </w:pPr>
    </w:p>
    <w:p w14:paraId="2F73CEF1" w14:textId="77777777" w:rsidR="00BB77C0" w:rsidRDefault="00370BAA">
      <w:pPr>
        <w:pStyle w:val="ListParagraph"/>
        <w:numPr>
          <w:ilvl w:val="1"/>
          <w:numId w:val="15"/>
        </w:numPr>
        <w:tabs>
          <w:tab w:val="left" w:pos="2189"/>
          <w:tab w:val="left" w:pos="10902"/>
        </w:tabs>
        <w:ind w:hanging="576"/>
      </w:pPr>
      <w:r>
        <w:rPr>
          <w:color w:val="211F1F"/>
        </w:rPr>
        <w:t>Address of</w:t>
      </w:r>
      <w:r>
        <w:rPr>
          <w:color w:val="211F1F"/>
          <w:spacing w:val="-5"/>
        </w:rPr>
        <w:t xml:space="preserve"> </w:t>
      </w:r>
      <w:r>
        <w:rPr>
          <w:color w:val="211F1F"/>
        </w:rPr>
        <w:t>the</w:t>
      </w:r>
      <w:r>
        <w:rPr>
          <w:color w:val="211F1F"/>
          <w:spacing w:val="-10"/>
        </w:rPr>
        <w:t xml:space="preserve"> </w:t>
      </w:r>
      <w:r>
        <w:rPr>
          <w:color w:val="211F1F"/>
        </w:rPr>
        <w:t>successful</w:t>
      </w:r>
      <w:r>
        <w:rPr>
          <w:color w:val="211F1F"/>
          <w:spacing w:val="-6"/>
        </w:rPr>
        <w:t xml:space="preserve"> </w:t>
      </w:r>
      <w:r>
        <w:rPr>
          <w:color w:val="211F1F"/>
        </w:rPr>
        <w:t>Tender</w:t>
      </w:r>
      <w:r>
        <w:rPr>
          <w:color w:val="211F1F"/>
          <w:spacing w:val="-4"/>
        </w:rPr>
        <w:t xml:space="preserve"> </w:t>
      </w:r>
      <w:r>
        <w:rPr>
          <w:color w:val="211F1F"/>
          <w:u w:val="single" w:color="201E1F"/>
        </w:rPr>
        <w:tab/>
      </w:r>
    </w:p>
    <w:p w14:paraId="08D6C00E" w14:textId="77777777" w:rsidR="00BB77C0" w:rsidRDefault="00BB77C0">
      <w:pPr>
        <w:pStyle w:val="BodyText"/>
        <w:spacing w:before="128"/>
      </w:pPr>
    </w:p>
    <w:p w14:paraId="31929E05" w14:textId="77777777" w:rsidR="00BB77C0" w:rsidRDefault="00370BAA">
      <w:pPr>
        <w:pStyle w:val="ListParagraph"/>
        <w:numPr>
          <w:ilvl w:val="1"/>
          <w:numId w:val="15"/>
        </w:numPr>
        <w:tabs>
          <w:tab w:val="left" w:pos="2194"/>
          <w:tab w:val="left" w:pos="2199"/>
          <w:tab w:val="left" w:pos="10573"/>
          <w:tab w:val="left" w:pos="10921"/>
        </w:tabs>
        <w:spacing w:line="300" w:lineRule="auto"/>
        <w:ind w:left="2199" w:right="387" w:hanging="581"/>
      </w:pPr>
      <w:r>
        <w:rPr>
          <w:color w:val="211F1F"/>
        </w:rPr>
        <w:t xml:space="preserve">Contract price of the successful Tender Kenya Shillings </w:t>
      </w:r>
      <w:r>
        <w:rPr>
          <w:color w:val="211F1F"/>
          <w:u w:val="single" w:color="201E1F"/>
        </w:rPr>
        <w:tab/>
      </w:r>
      <w:r>
        <w:rPr>
          <w:color w:val="211F1F"/>
          <w:u w:val="single" w:color="201E1F"/>
        </w:rPr>
        <w:tab/>
      </w:r>
      <w:r>
        <w:rPr>
          <w:color w:val="211F1F"/>
          <w:spacing w:val="-4"/>
        </w:rPr>
        <w:t xml:space="preserve">(in </w:t>
      </w:r>
      <w:r>
        <w:rPr>
          <w:color w:val="211F1F"/>
          <w:spacing w:val="-2"/>
        </w:rPr>
        <w:t>words</w:t>
      </w:r>
      <w:r>
        <w:rPr>
          <w:color w:val="211F1F"/>
          <w:u w:val="single" w:color="201E1F"/>
        </w:rPr>
        <w:tab/>
      </w:r>
      <w:r>
        <w:rPr>
          <w:color w:val="211F1F"/>
          <w:spacing w:val="-10"/>
        </w:rPr>
        <w:t>)</w:t>
      </w:r>
    </w:p>
    <w:p w14:paraId="60C503DA" w14:textId="77777777" w:rsidR="00BB77C0" w:rsidRDefault="00370BAA">
      <w:pPr>
        <w:pStyle w:val="ListParagraph"/>
        <w:numPr>
          <w:ilvl w:val="0"/>
          <w:numId w:val="15"/>
        </w:numPr>
        <w:tabs>
          <w:tab w:val="left" w:pos="1613"/>
        </w:tabs>
        <w:spacing w:before="169"/>
        <w:ind w:hanging="562"/>
      </w:pPr>
      <w:r>
        <w:rPr>
          <w:color w:val="211F1F"/>
          <w:spacing w:val="-2"/>
        </w:rPr>
        <w:t>Other</w:t>
      </w:r>
      <w:r>
        <w:rPr>
          <w:color w:val="211F1F"/>
          <w:spacing w:val="-8"/>
        </w:rPr>
        <w:t xml:space="preserve"> </w:t>
      </w:r>
      <w:r>
        <w:rPr>
          <w:color w:val="211F1F"/>
          <w:spacing w:val="-2"/>
        </w:rPr>
        <w:t>Tenderers</w:t>
      </w:r>
    </w:p>
    <w:p w14:paraId="01319A77" w14:textId="77777777" w:rsidR="00BB77C0" w:rsidRDefault="00370BAA">
      <w:pPr>
        <w:pStyle w:val="BodyText"/>
        <w:spacing w:before="240" w:line="230" w:lineRule="auto"/>
        <w:ind w:left="1046" w:right="704" w:firstLine="4"/>
        <w:jc w:val="both"/>
      </w:pPr>
      <w:r>
        <w:rPr>
          <w:color w:val="211F1F"/>
        </w:rPr>
        <w:t>Names</w:t>
      </w:r>
      <w:r>
        <w:rPr>
          <w:color w:val="211F1F"/>
          <w:spacing w:val="-14"/>
        </w:rPr>
        <w:t xml:space="preserve"> </w:t>
      </w:r>
      <w:r>
        <w:rPr>
          <w:color w:val="211F1F"/>
        </w:rPr>
        <w:t>of</w:t>
      </w:r>
      <w:r>
        <w:rPr>
          <w:color w:val="211F1F"/>
          <w:spacing w:val="-14"/>
        </w:rPr>
        <w:t xml:space="preserve"> </w:t>
      </w:r>
      <w:r>
        <w:rPr>
          <w:color w:val="211F1F"/>
        </w:rPr>
        <w:t>all</w:t>
      </w:r>
      <w:r>
        <w:rPr>
          <w:color w:val="211F1F"/>
          <w:spacing w:val="-14"/>
        </w:rPr>
        <w:t xml:space="preserve"> </w:t>
      </w:r>
      <w:r>
        <w:rPr>
          <w:color w:val="211F1F"/>
        </w:rPr>
        <w:t>Tenderers</w:t>
      </w:r>
      <w:r>
        <w:rPr>
          <w:color w:val="211F1F"/>
          <w:spacing w:val="-13"/>
        </w:rPr>
        <w:t xml:space="preserve"> </w:t>
      </w:r>
      <w:r>
        <w:rPr>
          <w:color w:val="211F1F"/>
        </w:rPr>
        <w:t>that</w:t>
      </w:r>
      <w:r>
        <w:rPr>
          <w:color w:val="211F1F"/>
          <w:spacing w:val="-14"/>
        </w:rPr>
        <w:t xml:space="preserve"> </w:t>
      </w:r>
      <w:r>
        <w:rPr>
          <w:color w:val="211F1F"/>
        </w:rPr>
        <w:t>submitted</w:t>
      </w:r>
      <w:r>
        <w:rPr>
          <w:color w:val="211F1F"/>
          <w:spacing w:val="-14"/>
        </w:rPr>
        <w:t xml:space="preserve"> </w:t>
      </w:r>
      <w:r>
        <w:rPr>
          <w:color w:val="211F1F"/>
        </w:rPr>
        <w:t>a</w:t>
      </w:r>
      <w:r>
        <w:rPr>
          <w:color w:val="211F1F"/>
          <w:spacing w:val="-14"/>
        </w:rPr>
        <w:t xml:space="preserve"> </w:t>
      </w:r>
      <w:r>
        <w:rPr>
          <w:color w:val="211F1F"/>
        </w:rPr>
        <w:t>Tender.</w:t>
      </w:r>
      <w:r>
        <w:rPr>
          <w:color w:val="211F1F"/>
          <w:spacing w:val="-13"/>
        </w:rPr>
        <w:t xml:space="preserve"> </w:t>
      </w:r>
      <w:r>
        <w:rPr>
          <w:color w:val="211F1F"/>
        </w:rPr>
        <w:t>If</w:t>
      </w:r>
      <w:r>
        <w:rPr>
          <w:color w:val="211F1F"/>
          <w:spacing w:val="-14"/>
        </w:rPr>
        <w:t xml:space="preserve"> </w:t>
      </w:r>
      <w:r>
        <w:rPr>
          <w:color w:val="211F1F"/>
        </w:rPr>
        <w:t>the</w:t>
      </w:r>
      <w:r>
        <w:rPr>
          <w:color w:val="211F1F"/>
          <w:spacing w:val="-14"/>
        </w:rPr>
        <w:t xml:space="preserve"> </w:t>
      </w:r>
      <w:r>
        <w:rPr>
          <w:color w:val="211F1F"/>
        </w:rPr>
        <w:t>Tender's</w:t>
      </w:r>
      <w:r>
        <w:rPr>
          <w:color w:val="211F1F"/>
          <w:spacing w:val="-14"/>
        </w:rPr>
        <w:t xml:space="preserve"> </w:t>
      </w:r>
      <w:r>
        <w:rPr>
          <w:color w:val="211F1F"/>
        </w:rPr>
        <w:t>price</w:t>
      </w:r>
      <w:r>
        <w:rPr>
          <w:color w:val="211F1F"/>
          <w:spacing w:val="-13"/>
        </w:rPr>
        <w:t xml:space="preserve"> </w:t>
      </w:r>
      <w:r>
        <w:rPr>
          <w:color w:val="211F1F"/>
        </w:rPr>
        <w:t>was</w:t>
      </w:r>
      <w:r>
        <w:rPr>
          <w:color w:val="211F1F"/>
          <w:spacing w:val="-14"/>
        </w:rPr>
        <w:t xml:space="preserve"> </w:t>
      </w:r>
      <w:r>
        <w:rPr>
          <w:color w:val="211F1F"/>
        </w:rPr>
        <w:t>evaluated</w:t>
      </w:r>
      <w:r>
        <w:rPr>
          <w:color w:val="211F1F"/>
          <w:spacing w:val="-14"/>
        </w:rPr>
        <w:t xml:space="preserve"> </w:t>
      </w:r>
      <w:r>
        <w:rPr>
          <w:color w:val="211F1F"/>
        </w:rPr>
        <w:t>include</w:t>
      </w:r>
      <w:r>
        <w:rPr>
          <w:color w:val="211F1F"/>
          <w:spacing w:val="-14"/>
        </w:rPr>
        <w:t xml:space="preserve"> </w:t>
      </w:r>
      <w:r>
        <w:rPr>
          <w:color w:val="211F1F"/>
        </w:rPr>
        <w:t>the</w:t>
      </w:r>
      <w:r>
        <w:rPr>
          <w:color w:val="211F1F"/>
          <w:spacing w:val="-13"/>
        </w:rPr>
        <w:t xml:space="preserve"> </w:t>
      </w:r>
      <w:r>
        <w:rPr>
          <w:color w:val="211F1F"/>
        </w:rPr>
        <w:t>evaluated</w:t>
      </w:r>
      <w:r>
        <w:rPr>
          <w:color w:val="211F1F"/>
          <w:spacing w:val="-14"/>
        </w:rPr>
        <w:t xml:space="preserve"> </w:t>
      </w:r>
      <w:r>
        <w:rPr>
          <w:color w:val="211F1F"/>
        </w:rPr>
        <w:t>price</w:t>
      </w:r>
      <w:r>
        <w:rPr>
          <w:color w:val="211F1F"/>
          <w:spacing w:val="-14"/>
        </w:rPr>
        <w:t xml:space="preserve"> </w:t>
      </w:r>
      <w:r>
        <w:rPr>
          <w:color w:val="211F1F"/>
        </w:rPr>
        <w:t xml:space="preserve">as well as the Tender price as read out. For Tenders not evaluated, give one main reason the Tender was </w:t>
      </w:r>
      <w:r>
        <w:rPr>
          <w:color w:val="211F1F"/>
          <w:spacing w:val="-2"/>
        </w:rPr>
        <w:t>unsuccessful.</w:t>
      </w:r>
    </w:p>
    <w:p w14:paraId="66FF79A8" w14:textId="77777777" w:rsidR="00BB77C0" w:rsidRDefault="00BB77C0">
      <w:pPr>
        <w:pStyle w:val="BodyText"/>
        <w:spacing w:line="230" w:lineRule="auto"/>
        <w:jc w:val="both"/>
        <w:sectPr w:rsidR="00BB77C0">
          <w:pgSz w:w="11920" w:h="16850"/>
          <w:pgMar w:top="1020" w:right="0" w:bottom="280" w:left="360" w:header="720" w:footer="720" w:gutter="0"/>
          <w:cols w:space="720"/>
        </w:sectPr>
      </w:pPr>
    </w:p>
    <w:tbl>
      <w:tblPr>
        <w:tblW w:w="0" w:type="auto"/>
        <w:tblInd w:w="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3"/>
        <w:gridCol w:w="1762"/>
        <w:gridCol w:w="1555"/>
        <w:gridCol w:w="2227"/>
        <w:gridCol w:w="3120"/>
      </w:tblGrid>
      <w:tr w:rsidR="00BB77C0" w14:paraId="05804938" w14:textId="77777777">
        <w:trPr>
          <w:trHeight w:val="508"/>
        </w:trPr>
        <w:tc>
          <w:tcPr>
            <w:tcW w:w="643" w:type="dxa"/>
          </w:tcPr>
          <w:p w14:paraId="71EB053C" w14:textId="77777777" w:rsidR="00BB77C0" w:rsidRDefault="00370BAA">
            <w:pPr>
              <w:pStyle w:val="TableParagraph"/>
              <w:spacing w:before="1"/>
              <w:ind w:left="110"/>
              <w:rPr>
                <w:b/>
              </w:rPr>
            </w:pPr>
            <w:r>
              <w:rPr>
                <w:b/>
                <w:spacing w:val="-5"/>
              </w:rPr>
              <w:lastRenderedPageBreak/>
              <w:t>SNo</w:t>
            </w:r>
          </w:p>
        </w:tc>
        <w:tc>
          <w:tcPr>
            <w:tcW w:w="1762" w:type="dxa"/>
          </w:tcPr>
          <w:p w14:paraId="6034C6FB" w14:textId="77777777" w:rsidR="00BB77C0" w:rsidRDefault="00370BAA">
            <w:pPr>
              <w:pStyle w:val="TableParagraph"/>
              <w:spacing w:before="1"/>
              <w:ind w:left="110"/>
              <w:rPr>
                <w:b/>
              </w:rPr>
            </w:pPr>
            <w:r>
              <w:rPr>
                <w:b/>
              </w:rPr>
              <w:t>Name</w:t>
            </w:r>
            <w:r>
              <w:rPr>
                <w:b/>
                <w:spacing w:val="-7"/>
              </w:rPr>
              <w:t xml:space="preserve"> </w:t>
            </w:r>
            <w:r>
              <w:rPr>
                <w:b/>
              </w:rPr>
              <w:t>of</w:t>
            </w:r>
            <w:r>
              <w:rPr>
                <w:b/>
                <w:spacing w:val="-6"/>
              </w:rPr>
              <w:t xml:space="preserve"> </w:t>
            </w:r>
            <w:r>
              <w:rPr>
                <w:b/>
                <w:spacing w:val="-2"/>
              </w:rPr>
              <w:t>Tender</w:t>
            </w:r>
          </w:p>
        </w:tc>
        <w:tc>
          <w:tcPr>
            <w:tcW w:w="1555" w:type="dxa"/>
          </w:tcPr>
          <w:p w14:paraId="63C27282" w14:textId="77777777" w:rsidR="00BB77C0" w:rsidRDefault="00370BAA">
            <w:pPr>
              <w:pStyle w:val="TableParagraph"/>
              <w:spacing w:line="254" w:lineRule="exact"/>
              <w:ind w:left="110" w:right="220"/>
              <w:rPr>
                <w:b/>
              </w:rPr>
            </w:pPr>
            <w:r>
              <w:rPr>
                <w:b/>
                <w:spacing w:val="-2"/>
              </w:rPr>
              <w:t>Tender</w:t>
            </w:r>
            <w:r>
              <w:rPr>
                <w:b/>
                <w:spacing w:val="-16"/>
              </w:rPr>
              <w:t xml:space="preserve"> </w:t>
            </w:r>
            <w:r>
              <w:rPr>
                <w:b/>
                <w:spacing w:val="-2"/>
              </w:rPr>
              <w:t xml:space="preserve">Price </w:t>
            </w:r>
            <w:r>
              <w:rPr>
                <w:b/>
              </w:rPr>
              <w:t>as read out</w:t>
            </w:r>
          </w:p>
        </w:tc>
        <w:tc>
          <w:tcPr>
            <w:tcW w:w="2227" w:type="dxa"/>
          </w:tcPr>
          <w:p w14:paraId="35AFD193" w14:textId="77777777" w:rsidR="00BB77C0" w:rsidRDefault="00370BAA">
            <w:pPr>
              <w:pStyle w:val="TableParagraph"/>
              <w:spacing w:line="254" w:lineRule="exact"/>
              <w:ind w:left="111" w:right="314"/>
              <w:rPr>
                <w:b/>
              </w:rPr>
            </w:pPr>
            <w:r>
              <w:rPr>
                <w:b/>
                <w:spacing w:val="-2"/>
              </w:rPr>
              <w:t>Tender’s</w:t>
            </w:r>
            <w:r>
              <w:rPr>
                <w:b/>
                <w:spacing w:val="-12"/>
              </w:rPr>
              <w:t xml:space="preserve"> </w:t>
            </w:r>
            <w:r>
              <w:rPr>
                <w:b/>
                <w:spacing w:val="-2"/>
              </w:rPr>
              <w:t xml:space="preserve">evaluated </w:t>
            </w:r>
            <w:r>
              <w:rPr>
                <w:b/>
              </w:rPr>
              <w:t>price (Note a)</w:t>
            </w:r>
          </w:p>
        </w:tc>
        <w:tc>
          <w:tcPr>
            <w:tcW w:w="3120" w:type="dxa"/>
          </w:tcPr>
          <w:p w14:paraId="3507C0E8" w14:textId="77777777" w:rsidR="00BB77C0" w:rsidRDefault="00370BAA">
            <w:pPr>
              <w:pStyle w:val="TableParagraph"/>
              <w:spacing w:line="254" w:lineRule="exact"/>
              <w:ind w:left="112" w:right="1034"/>
              <w:rPr>
                <w:b/>
              </w:rPr>
            </w:pPr>
            <w:r>
              <w:rPr>
                <w:b/>
              </w:rPr>
              <w:t>One</w:t>
            </w:r>
            <w:r>
              <w:rPr>
                <w:b/>
                <w:spacing w:val="-14"/>
              </w:rPr>
              <w:t xml:space="preserve"> </w:t>
            </w:r>
            <w:r>
              <w:rPr>
                <w:b/>
              </w:rPr>
              <w:t>Reason</w:t>
            </w:r>
            <w:r>
              <w:rPr>
                <w:b/>
                <w:spacing w:val="-19"/>
              </w:rPr>
              <w:t xml:space="preserve"> </w:t>
            </w:r>
            <w:r>
              <w:rPr>
                <w:b/>
              </w:rPr>
              <w:t>Why</w:t>
            </w:r>
            <w:r>
              <w:rPr>
                <w:b/>
                <w:spacing w:val="-14"/>
              </w:rPr>
              <w:t xml:space="preserve"> </w:t>
            </w:r>
            <w:r>
              <w:rPr>
                <w:b/>
              </w:rPr>
              <w:t xml:space="preserve">not </w:t>
            </w:r>
            <w:r>
              <w:rPr>
                <w:b/>
                <w:spacing w:val="-2"/>
              </w:rPr>
              <w:t>Evaluated</w:t>
            </w:r>
          </w:p>
        </w:tc>
      </w:tr>
      <w:tr w:rsidR="00BB77C0" w14:paraId="7852FE2D" w14:textId="77777777">
        <w:trPr>
          <w:trHeight w:val="249"/>
        </w:trPr>
        <w:tc>
          <w:tcPr>
            <w:tcW w:w="643" w:type="dxa"/>
          </w:tcPr>
          <w:p w14:paraId="2585A104" w14:textId="77777777" w:rsidR="00BB77C0" w:rsidRDefault="00370BAA">
            <w:pPr>
              <w:pStyle w:val="TableParagraph"/>
              <w:spacing w:line="229" w:lineRule="exact"/>
              <w:ind w:left="110"/>
            </w:pPr>
            <w:r>
              <w:rPr>
                <w:spacing w:val="-10"/>
              </w:rPr>
              <w:t>1</w:t>
            </w:r>
          </w:p>
        </w:tc>
        <w:tc>
          <w:tcPr>
            <w:tcW w:w="1762" w:type="dxa"/>
          </w:tcPr>
          <w:p w14:paraId="127EEEB9" w14:textId="77777777" w:rsidR="00BB77C0" w:rsidRDefault="00BB77C0">
            <w:pPr>
              <w:pStyle w:val="TableParagraph"/>
              <w:rPr>
                <w:sz w:val="18"/>
              </w:rPr>
            </w:pPr>
          </w:p>
        </w:tc>
        <w:tc>
          <w:tcPr>
            <w:tcW w:w="1555" w:type="dxa"/>
          </w:tcPr>
          <w:p w14:paraId="2A98E1A3" w14:textId="77777777" w:rsidR="00BB77C0" w:rsidRDefault="00BB77C0">
            <w:pPr>
              <w:pStyle w:val="TableParagraph"/>
              <w:rPr>
                <w:sz w:val="18"/>
              </w:rPr>
            </w:pPr>
          </w:p>
        </w:tc>
        <w:tc>
          <w:tcPr>
            <w:tcW w:w="2227" w:type="dxa"/>
          </w:tcPr>
          <w:p w14:paraId="4614E70E" w14:textId="77777777" w:rsidR="00BB77C0" w:rsidRDefault="00BB77C0">
            <w:pPr>
              <w:pStyle w:val="TableParagraph"/>
              <w:rPr>
                <w:sz w:val="18"/>
              </w:rPr>
            </w:pPr>
          </w:p>
        </w:tc>
        <w:tc>
          <w:tcPr>
            <w:tcW w:w="3120" w:type="dxa"/>
          </w:tcPr>
          <w:p w14:paraId="2AF0F0CF" w14:textId="77777777" w:rsidR="00BB77C0" w:rsidRDefault="00BB77C0">
            <w:pPr>
              <w:pStyle w:val="TableParagraph"/>
              <w:rPr>
                <w:sz w:val="18"/>
              </w:rPr>
            </w:pPr>
          </w:p>
        </w:tc>
      </w:tr>
      <w:tr w:rsidR="00BB77C0" w14:paraId="09BD94D8" w14:textId="77777777">
        <w:trPr>
          <w:trHeight w:val="254"/>
        </w:trPr>
        <w:tc>
          <w:tcPr>
            <w:tcW w:w="643" w:type="dxa"/>
          </w:tcPr>
          <w:p w14:paraId="22EE0168" w14:textId="77777777" w:rsidR="00BB77C0" w:rsidRDefault="00370BAA">
            <w:pPr>
              <w:pStyle w:val="TableParagraph"/>
              <w:spacing w:line="234" w:lineRule="exact"/>
              <w:ind w:left="110"/>
            </w:pPr>
            <w:r>
              <w:rPr>
                <w:spacing w:val="-10"/>
              </w:rPr>
              <w:t>2</w:t>
            </w:r>
          </w:p>
        </w:tc>
        <w:tc>
          <w:tcPr>
            <w:tcW w:w="1762" w:type="dxa"/>
          </w:tcPr>
          <w:p w14:paraId="1FB8AC67" w14:textId="77777777" w:rsidR="00BB77C0" w:rsidRDefault="00BB77C0">
            <w:pPr>
              <w:pStyle w:val="TableParagraph"/>
              <w:rPr>
                <w:sz w:val="18"/>
              </w:rPr>
            </w:pPr>
          </w:p>
        </w:tc>
        <w:tc>
          <w:tcPr>
            <w:tcW w:w="1555" w:type="dxa"/>
          </w:tcPr>
          <w:p w14:paraId="0ABAB90C" w14:textId="77777777" w:rsidR="00BB77C0" w:rsidRDefault="00BB77C0">
            <w:pPr>
              <w:pStyle w:val="TableParagraph"/>
              <w:rPr>
                <w:sz w:val="18"/>
              </w:rPr>
            </w:pPr>
          </w:p>
        </w:tc>
        <w:tc>
          <w:tcPr>
            <w:tcW w:w="2227" w:type="dxa"/>
          </w:tcPr>
          <w:p w14:paraId="3859BBBB" w14:textId="77777777" w:rsidR="00BB77C0" w:rsidRDefault="00BB77C0">
            <w:pPr>
              <w:pStyle w:val="TableParagraph"/>
              <w:rPr>
                <w:sz w:val="18"/>
              </w:rPr>
            </w:pPr>
          </w:p>
        </w:tc>
        <w:tc>
          <w:tcPr>
            <w:tcW w:w="3120" w:type="dxa"/>
          </w:tcPr>
          <w:p w14:paraId="6583BB84" w14:textId="77777777" w:rsidR="00BB77C0" w:rsidRDefault="00BB77C0">
            <w:pPr>
              <w:pStyle w:val="TableParagraph"/>
              <w:rPr>
                <w:sz w:val="18"/>
              </w:rPr>
            </w:pPr>
          </w:p>
        </w:tc>
      </w:tr>
      <w:tr w:rsidR="00BB77C0" w14:paraId="18D2A46A" w14:textId="77777777">
        <w:trPr>
          <w:trHeight w:val="253"/>
        </w:trPr>
        <w:tc>
          <w:tcPr>
            <w:tcW w:w="643" w:type="dxa"/>
          </w:tcPr>
          <w:p w14:paraId="4903C66F" w14:textId="77777777" w:rsidR="00BB77C0" w:rsidRDefault="00370BAA">
            <w:pPr>
              <w:pStyle w:val="TableParagraph"/>
              <w:spacing w:line="234" w:lineRule="exact"/>
              <w:ind w:left="110"/>
            </w:pPr>
            <w:r>
              <w:rPr>
                <w:spacing w:val="-10"/>
              </w:rPr>
              <w:t>3</w:t>
            </w:r>
          </w:p>
        </w:tc>
        <w:tc>
          <w:tcPr>
            <w:tcW w:w="1762" w:type="dxa"/>
          </w:tcPr>
          <w:p w14:paraId="30E0715C" w14:textId="77777777" w:rsidR="00BB77C0" w:rsidRDefault="00BB77C0">
            <w:pPr>
              <w:pStyle w:val="TableParagraph"/>
              <w:rPr>
                <w:sz w:val="18"/>
              </w:rPr>
            </w:pPr>
          </w:p>
        </w:tc>
        <w:tc>
          <w:tcPr>
            <w:tcW w:w="1555" w:type="dxa"/>
          </w:tcPr>
          <w:p w14:paraId="2D699284" w14:textId="77777777" w:rsidR="00BB77C0" w:rsidRDefault="00BB77C0">
            <w:pPr>
              <w:pStyle w:val="TableParagraph"/>
              <w:rPr>
                <w:sz w:val="18"/>
              </w:rPr>
            </w:pPr>
          </w:p>
        </w:tc>
        <w:tc>
          <w:tcPr>
            <w:tcW w:w="2227" w:type="dxa"/>
          </w:tcPr>
          <w:p w14:paraId="46269F5B" w14:textId="77777777" w:rsidR="00BB77C0" w:rsidRDefault="00BB77C0">
            <w:pPr>
              <w:pStyle w:val="TableParagraph"/>
              <w:rPr>
                <w:sz w:val="18"/>
              </w:rPr>
            </w:pPr>
          </w:p>
        </w:tc>
        <w:tc>
          <w:tcPr>
            <w:tcW w:w="3120" w:type="dxa"/>
          </w:tcPr>
          <w:p w14:paraId="52BC31E3" w14:textId="77777777" w:rsidR="00BB77C0" w:rsidRDefault="00BB77C0">
            <w:pPr>
              <w:pStyle w:val="TableParagraph"/>
              <w:rPr>
                <w:sz w:val="18"/>
              </w:rPr>
            </w:pPr>
          </w:p>
        </w:tc>
      </w:tr>
      <w:tr w:rsidR="00BB77C0" w14:paraId="2FA614A7" w14:textId="77777777">
        <w:trPr>
          <w:trHeight w:val="254"/>
        </w:trPr>
        <w:tc>
          <w:tcPr>
            <w:tcW w:w="643" w:type="dxa"/>
          </w:tcPr>
          <w:p w14:paraId="63FA2CE7" w14:textId="77777777" w:rsidR="00BB77C0" w:rsidRDefault="00370BAA">
            <w:pPr>
              <w:pStyle w:val="TableParagraph"/>
              <w:spacing w:line="235" w:lineRule="exact"/>
              <w:ind w:left="110"/>
            </w:pPr>
            <w:r>
              <w:rPr>
                <w:spacing w:val="-10"/>
              </w:rPr>
              <w:t>4</w:t>
            </w:r>
          </w:p>
        </w:tc>
        <w:tc>
          <w:tcPr>
            <w:tcW w:w="1762" w:type="dxa"/>
          </w:tcPr>
          <w:p w14:paraId="0F99952E" w14:textId="77777777" w:rsidR="00BB77C0" w:rsidRDefault="00BB77C0">
            <w:pPr>
              <w:pStyle w:val="TableParagraph"/>
              <w:rPr>
                <w:sz w:val="18"/>
              </w:rPr>
            </w:pPr>
          </w:p>
        </w:tc>
        <w:tc>
          <w:tcPr>
            <w:tcW w:w="1555" w:type="dxa"/>
          </w:tcPr>
          <w:p w14:paraId="11FCB179" w14:textId="77777777" w:rsidR="00BB77C0" w:rsidRDefault="00BB77C0">
            <w:pPr>
              <w:pStyle w:val="TableParagraph"/>
              <w:rPr>
                <w:sz w:val="18"/>
              </w:rPr>
            </w:pPr>
          </w:p>
        </w:tc>
        <w:tc>
          <w:tcPr>
            <w:tcW w:w="2227" w:type="dxa"/>
          </w:tcPr>
          <w:p w14:paraId="2631256F" w14:textId="77777777" w:rsidR="00BB77C0" w:rsidRDefault="00BB77C0">
            <w:pPr>
              <w:pStyle w:val="TableParagraph"/>
              <w:rPr>
                <w:sz w:val="18"/>
              </w:rPr>
            </w:pPr>
          </w:p>
        </w:tc>
        <w:tc>
          <w:tcPr>
            <w:tcW w:w="3120" w:type="dxa"/>
          </w:tcPr>
          <w:p w14:paraId="4675C8D3" w14:textId="77777777" w:rsidR="00BB77C0" w:rsidRDefault="00BB77C0">
            <w:pPr>
              <w:pStyle w:val="TableParagraph"/>
              <w:rPr>
                <w:sz w:val="18"/>
              </w:rPr>
            </w:pPr>
          </w:p>
        </w:tc>
      </w:tr>
      <w:tr w:rsidR="00BB77C0" w14:paraId="2019FC26" w14:textId="77777777">
        <w:trPr>
          <w:trHeight w:val="253"/>
        </w:trPr>
        <w:tc>
          <w:tcPr>
            <w:tcW w:w="643" w:type="dxa"/>
          </w:tcPr>
          <w:p w14:paraId="117327E2" w14:textId="77777777" w:rsidR="00BB77C0" w:rsidRDefault="00370BAA">
            <w:pPr>
              <w:pStyle w:val="TableParagraph"/>
              <w:spacing w:line="234" w:lineRule="exact"/>
              <w:ind w:left="110"/>
            </w:pPr>
            <w:r>
              <w:rPr>
                <w:spacing w:val="-10"/>
              </w:rPr>
              <w:t>5</w:t>
            </w:r>
          </w:p>
        </w:tc>
        <w:tc>
          <w:tcPr>
            <w:tcW w:w="1762" w:type="dxa"/>
          </w:tcPr>
          <w:p w14:paraId="09CDBB15" w14:textId="77777777" w:rsidR="00BB77C0" w:rsidRDefault="00BB77C0">
            <w:pPr>
              <w:pStyle w:val="TableParagraph"/>
              <w:rPr>
                <w:sz w:val="18"/>
              </w:rPr>
            </w:pPr>
          </w:p>
        </w:tc>
        <w:tc>
          <w:tcPr>
            <w:tcW w:w="1555" w:type="dxa"/>
          </w:tcPr>
          <w:p w14:paraId="348ECE06" w14:textId="77777777" w:rsidR="00BB77C0" w:rsidRDefault="00BB77C0">
            <w:pPr>
              <w:pStyle w:val="TableParagraph"/>
              <w:rPr>
                <w:sz w:val="18"/>
              </w:rPr>
            </w:pPr>
          </w:p>
        </w:tc>
        <w:tc>
          <w:tcPr>
            <w:tcW w:w="2227" w:type="dxa"/>
          </w:tcPr>
          <w:p w14:paraId="65829B43" w14:textId="77777777" w:rsidR="00BB77C0" w:rsidRDefault="00BB77C0">
            <w:pPr>
              <w:pStyle w:val="TableParagraph"/>
              <w:rPr>
                <w:sz w:val="18"/>
              </w:rPr>
            </w:pPr>
          </w:p>
        </w:tc>
        <w:tc>
          <w:tcPr>
            <w:tcW w:w="3120" w:type="dxa"/>
          </w:tcPr>
          <w:p w14:paraId="5E8B466F" w14:textId="77777777" w:rsidR="00BB77C0" w:rsidRDefault="00BB77C0">
            <w:pPr>
              <w:pStyle w:val="TableParagraph"/>
              <w:rPr>
                <w:sz w:val="18"/>
              </w:rPr>
            </w:pPr>
          </w:p>
        </w:tc>
      </w:tr>
      <w:tr w:rsidR="00BB77C0" w14:paraId="5FE32B6A" w14:textId="77777777">
        <w:trPr>
          <w:trHeight w:val="249"/>
        </w:trPr>
        <w:tc>
          <w:tcPr>
            <w:tcW w:w="643" w:type="dxa"/>
            <w:shd w:val="clear" w:color="auto" w:fill="E7E6E6"/>
          </w:tcPr>
          <w:p w14:paraId="1FEAFFE5" w14:textId="77777777" w:rsidR="00BB77C0" w:rsidRDefault="00BB77C0">
            <w:pPr>
              <w:pStyle w:val="TableParagraph"/>
              <w:rPr>
                <w:sz w:val="18"/>
              </w:rPr>
            </w:pPr>
          </w:p>
        </w:tc>
        <w:tc>
          <w:tcPr>
            <w:tcW w:w="1762" w:type="dxa"/>
            <w:shd w:val="clear" w:color="auto" w:fill="E7E6E6"/>
          </w:tcPr>
          <w:p w14:paraId="1567AF9D" w14:textId="77777777" w:rsidR="00BB77C0" w:rsidRDefault="00BB77C0">
            <w:pPr>
              <w:pStyle w:val="TableParagraph"/>
              <w:rPr>
                <w:sz w:val="18"/>
              </w:rPr>
            </w:pPr>
          </w:p>
        </w:tc>
        <w:tc>
          <w:tcPr>
            <w:tcW w:w="1555" w:type="dxa"/>
            <w:shd w:val="clear" w:color="auto" w:fill="E7E6E6"/>
          </w:tcPr>
          <w:p w14:paraId="45C8CF16" w14:textId="77777777" w:rsidR="00BB77C0" w:rsidRDefault="00BB77C0">
            <w:pPr>
              <w:pStyle w:val="TableParagraph"/>
              <w:rPr>
                <w:sz w:val="18"/>
              </w:rPr>
            </w:pPr>
          </w:p>
        </w:tc>
        <w:tc>
          <w:tcPr>
            <w:tcW w:w="2227" w:type="dxa"/>
            <w:shd w:val="clear" w:color="auto" w:fill="E7E6E6"/>
          </w:tcPr>
          <w:p w14:paraId="43BD498C" w14:textId="77777777" w:rsidR="00BB77C0" w:rsidRDefault="00BB77C0">
            <w:pPr>
              <w:pStyle w:val="TableParagraph"/>
              <w:rPr>
                <w:sz w:val="18"/>
              </w:rPr>
            </w:pPr>
          </w:p>
        </w:tc>
        <w:tc>
          <w:tcPr>
            <w:tcW w:w="3120" w:type="dxa"/>
            <w:shd w:val="clear" w:color="auto" w:fill="E7E6E6"/>
          </w:tcPr>
          <w:p w14:paraId="4FBB4F6F" w14:textId="77777777" w:rsidR="00BB77C0" w:rsidRDefault="00BB77C0">
            <w:pPr>
              <w:pStyle w:val="TableParagraph"/>
              <w:rPr>
                <w:sz w:val="18"/>
              </w:rPr>
            </w:pPr>
          </w:p>
        </w:tc>
      </w:tr>
    </w:tbl>
    <w:p w14:paraId="29057666" w14:textId="77777777" w:rsidR="00BB77C0" w:rsidRDefault="00BB77C0">
      <w:pPr>
        <w:pStyle w:val="BodyText"/>
        <w:rPr>
          <w:sz w:val="20"/>
        </w:rPr>
      </w:pPr>
    </w:p>
    <w:p w14:paraId="519BE851" w14:textId="77777777" w:rsidR="00BB77C0" w:rsidRDefault="00BB77C0">
      <w:pPr>
        <w:pStyle w:val="BodyText"/>
        <w:spacing w:before="89"/>
        <w:rPr>
          <w:sz w:val="20"/>
        </w:rPr>
      </w:pPr>
    </w:p>
    <w:p w14:paraId="652C4D48" w14:textId="77777777" w:rsidR="00BB77C0" w:rsidRDefault="00370BAA">
      <w:pPr>
        <w:ind w:left="758"/>
        <w:rPr>
          <w:i/>
          <w:sz w:val="20"/>
        </w:rPr>
      </w:pPr>
      <w:r>
        <w:rPr>
          <w:i/>
          <w:color w:val="211F1F"/>
          <w:sz w:val="20"/>
        </w:rPr>
        <w:t>(Note</w:t>
      </w:r>
      <w:r>
        <w:rPr>
          <w:i/>
          <w:color w:val="211F1F"/>
          <w:spacing w:val="-4"/>
          <w:sz w:val="20"/>
        </w:rPr>
        <w:t xml:space="preserve"> </w:t>
      </w:r>
      <w:r>
        <w:rPr>
          <w:i/>
          <w:color w:val="211F1F"/>
          <w:sz w:val="20"/>
        </w:rPr>
        <w:t>a)</w:t>
      </w:r>
      <w:r>
        <w:rPr>
          <w:i/>
          <w:color w:val="211F1F"/>
          <w:spacing w:val="-5"/>
          <w:sz w:val="20"/>
        </w:rPr>
        <w:t xml:space="preserve"> </w:t>
      </w:r>
      <w:r>
        <w:rPr>
          <w:i/>
          <w:color w:val="211F1F"/>
          <w:sz w:val="20"/>
        </w:rPr>
        <w:t>State</w:t>
      </w:r>
      <w:r>
        <w:rPr>
          <w:i/>
          <w:color w:val="211F1F"/>
          <w:spacing w:val="-3"/>
          <w:sz w:val="20"/>
        </w:rPr>
        <w:t xml:space="preserve"> </w:t>
      </w:r>
      <w:r>
        <w:rPr>
          <w:i/>
          <w:color w:val="211F1F"/>
          <w:sz w:val="20"/>
        </w:rPr>
        <w:t>NE</w:t>
      </w:r>
      <w:r>
        <w:rPr>
          <w:i/>
          <w:color w:val="211F1F"/>
          <w:spacing w:val="-3"/>
          <w:sz w:val="20"/>
        </w:rPr>
        <w:t xml:space="preserve"> </w:t>
      </w:r>
      <w:r>
        <w:rPr>
          <w:i/>
          <w:color w:val="211F1F"/>
          <w:sz w:val="20"/>
        </w:rPr>
        <w:t>if</w:t>
      </w:r>
      <w:r>
        <w:rPr>
          <w:i/>
          <w:color w:val="211F1F"/>
          <w:spacing w:val="-9"/>
          <w:sz w:val="20"/>
        </w:rPr>
        <w:t xml:space="preserve"> </w:t>
      </w:r>
      <w:r>
        <w:rPr>
          <w:i/>
          <w:color w:val="211F1F"/>
          <w:sz w:val="20"/>
        </w:rPr>
        <w:t>not</w:t>
      </w:r>
      <w:r>
        <w:rPr>
          <w:i/>
          <w:color w:val="211F1F"/>
          <w:spacing w:val="-7"/>
          <w:sz w:val="20"/>
        </w:rPr>
        <w:t xml:space="preserve"> </w:t>
      </w:r>
      <w:r>
        <w:rPr>
          <w:i/>
          <w:color w:val="211F1F"/>
          <w:spacing w:val="-2"/>
          <w:sz w:val="20"/>
        </w:rPr>
        <w:t>evaluated</w:t>
      </w:r>
    </w:p>
    <w:p w14:paraId="6F9DA589" w14:textId="77777777" w:rsidR="00BB77C0" w:rsidRDefault="00BB77C0">
      <w:pPr>
        <w:pStyle w:val="BodyText"/>
        <w:rPr>
          <w:i/>
          <w:sz w:val="20"/>
        </w:rPr>
      </w:pPr>
    </w:p>
    <w:p w14:paraId="0DE46592" w14:textId="77777777" w:rsidR="00BB77C0" w:rsidRDefault="00BB77C0">
      <w:pPr>
        <w:pStyle w:val="BodyText"/>
        <w:spacing w:before="79"/>
        <w:rPr>
          <w:i/>
          <w:sz w:val="20"/>
        </w:rPr>
      </w:pPr>
    </w:p>
    <w:p w14:paraId="0E193BA1" w14:textId="77777777" w:rsidR="00BB77C0" w:rsidRDefault="00370BAA">
      <w:pPr>
        <w:pStyle w:val="ListParagraph"/>
        <w:numPr>
          <w:ilvl w:val="0"/>
          <w:numId w:val="16"/>
        </w:numPr>
        <w:tabs>
          <w:tab w:val="left" w:pos="1051"/>
        </w:tabs>
        <w:ind w:left="1051" w:hanging="561"/>
        <w:jc w:val="both"/>
        <w:rPr>
          <w:color w:val="211F1F"/>
        </w:rPr>
      </w:pPr>
      <w:r>
        <w:rPr>
          <w:color w:val="211F1F"/>
          <w:spacing w:val="-2"/>
          <w:u w:val="single" w:color="211F1F"/>
        </w:rPr>
        <w:t>How</w:t>
      </w:r>
      <w:r>
        <w:rPr>
          <w:color w:val="211F1F"/>
          <w:spacing w:val="-22"/>
          <w:u w:val="single" w:color="211F1F"/>
        </w:rPr>
        <w:t xml:space="preserve"> </w:t>
      </w:r>
      <w:r>
        <w:rPr>
          <w:color w:val="211F1F"/>
          <w:spacing w:val="-2"/>
          <w:u w:val="single" w:color="211F1F"/>
        </w:rPr>
        <w:t>to</w:t>
      </w:r>
      <w:r>
        <w:rPr>
          <w:color w:val="211F1F"/>
          <w:spacing w:val="-21"/>
          <w:u w:val="single" w:color="211F1F"/>
        </w:rPr>
        <w:t xml:space="preserve"> </w:t>
      </w:r>
      <w:r>
        <w:rPr>
          <w:color w:val="211F1F"/>
          <w:spacing w:val="-2"/>
          <w:u w:val="single" w:color="211F1F"/>
        </w:rPr>
        <w:t>request</w:t>
      </w:r>
      <w:r>
        <w:rPr>
          <w:color w:val="211F1F"/>
          <w:spacing w:val="-19"/>
          <w:u w:val="single" w:color="211F1F"/>
        </w:rPr>
        <w:t xml:space="preserve"> </w:t>
      </w:r>
      <w:r>
        <w:rPr>
          <w:color w:val="211F1F"/>
          <w:spacing w:val="-2"/>
          <w:u w:val="single" w:color="211F1F"/>
        </w:rPr>
        <w:t>a</w:t>
      </w:r>
      <w:r>
        <w:rPr>
          <w:color w:val="211F1F"/>
          <w:spacing w:val="-17"/>
          <w:u w:val="single" w:color="211F1F"/>
        </w:rPr>
        <w:t xml:space="preserve"> </w:t>
      </w:r>
      <w:r>
        <w:rPr>
          <w:color w:val="211F1F"/>
          <w:spacing w:val="-2"/>
          <w:u w:val="single" w:color="211F1F"/>
        </w:rPr>
        <w:t>debriefing</w:t>
      </w:r>
    </w:p>
    <w:p w14:paraId="79113BB1" w14:textId="77777777" w:rsidR="00BB77C0" w:rsidRDefault="00370BAA">
      <w:pPr>
        <w:pStyle w:val="ListParagraph"/>
        <w:numPr>
          <w:ilvl w:val="0"/>
          <w:numId w:val="14"/>
        </w:numPr>
        <w:tabs>
          <w:tab w:val="left" w:pos="1458"/>
        </w:tabs>
        <w:spacing w:before="88"/>
        <w:ind w:left="1458" w:hanging="407"/>
        <w:jc w:val="both"/>
      </w:pPr>
      <w:r>
        <w:rPr>
          <w:color w:val="211F1F"/>
          <w:spacing w:val="-4"/>
        </w:rPr>
        <w:t>DEADLINE:</w:t>
      </w:r>
      <w:r>
        <w:rPr>
          <w:color w:val="211F1F"/>
          <w:spacing w:val="-19"/>
        </w:rPr>
        <w:t xml:space="preserve"> </w:t>
      </w:r>
      <w:r>
        <w:rPr>
          <w:color w:val="211F1F"/>
          <w:spacing w:val="-4"/>
        </w:rPr>
        <w:t>The</w:t>
      </w:r>
      <w:r>
        <w:rPr>
          <w:color w:val="211F1F"/>
          <w:spacing w:val="-14"/>
        </w:rPr>
        <w:t xml:space="preserve"> </w:t>
      </w:r>
      <w:r>
        <w:rPr>
          <w:color w:val="211F1F"/>
          <w:spacing w:val="-4"/>
        </w:rPr>
        <w:t>deadline</w:t>
      </w:r>
      <w:r>
        <w:rPr>
          <w:color w:val="211F1F"/>
          <w:spacing w:val="-9"/>
        </w:rPr>
        <w:t xml:space="preserve"> </w:t>
      </w:r>
      <w:r>
        <w:rPr>
          <w:color w:val="211F1F"/>
          <w:spacing w:val="-4"/>
        </w:rPr>
        <w:t>to</w:t>
      </w:r>
      <w:r>
        <w:rPr>
          <w:color w:val="211F1F"/>
          <w:spacing w:val="-19"/>
        </w:rPr>
        <w:t xml:space="preserve"> </w:t>
      </w:r>
      <w:r>
        <w:rPr>
          <w:color w:val="211F1F"/>
          <w:spacing w:val="-4"/>
        </w:rPr>
        <w:t>request a</w:t>
      </w:r>
      <w:r>
        <w:rPr>
          <w:color w:val="211F1F"/>
          <w:spacing w:val="-3"/>
        </w:rPr>
        <w:t xml:space="preserve"> </w:t>
      </w:r>
      <w:r>
        <w:rPr>
          <w:color w:val="211F1F"/>
          <w:spacing w:val="-4"/>
        </w:rPr>
        <w:t>debriefing</w:t>
      </w:r>
      <w:r>
        <w:rPr>
          <w:color w:val="211F1F"/>
          <w:spacing w:val="-12"/>
        </w:rPr>
        <w:t xml:space="preserve"> </w:t>
      </w:r>
      <w:r>
        <w:rPr>
          <w:color w:val="211F1F"/>
          <w:spacing w:val="-4"/>
        </w:rPr>
        <w:t>expires</w:t>
      </w:r>
      <w:r>
        <w:rPr>
          <w:color w:val="211F1F"/>
          <w:spacing w:val="-5"/>
        </w:rPr>
        <w:t xml:space="preserve"> </w:t>
      </w:r>
      <w:r>
        <w:rPr>
          <w:color w:val="211F1F"/>
          <w:spacing w:val="-4"/>
        </w:rPr>
        <w:t>at</w:t>
      </w:r>
      <w:r>
        <w:rPr>
          <w:color w:val="211F1F"/>
          <w:spacing w:val="-6"/>
        </w:rPr>
        <w:t xml:space="preserve"> </w:t>
      </w:r>
      <w:r>
        <w:rPr>
          <w:color w:val="211F1F"/>
          <w:spacing w:val="-4"/>
        </w:rPr>
        <w:t>midnight</w:t>
      </w:r>
      <w:r>
        <w:rPr>
          <w:color w:val="211F1F"/>
          <w:spacing w:val="-5"/>
        </w:rPr>
        <w:t xml:space="preserve"> </w:t>
      </w:r>
      <w:r>
        <w:rPr>
          <w:color w:val="211F1F"/>
          <w:spacing w:val="-4"/>
        </w:rPr>
        <w:t>on</w:t>
      </w:r>
      <w:r>
        <w:rPr>
          <w:color w:val="211F1F"/>
          <w:spacing w:val="-12"/>
        </w:rPr>
        <w:t xml:space="preserve"> </w:t>
      </w:r>
      <w:r>
        <w:rPr>
          <w:color w:val="211F1F"/>
          <w:spacing w:val="-4"/>
        </w:rPr>
        <w:t>[</w:t>
      </w:r>
      <w:r>
        <w:rPr>
          <w:i/>
          <w:color w:val="211F1F"/>
          <w:spacing w:val="-4"/>
        </w:rPr>
        <w:t>insert</w:t>
      </w:r>
      <w:r>
        <w:rPr>
          <w:i/>
          <w:color w:val="211F1F"/>
          <w:spacing w:val="-12"/>
        </w:rPr>
        <w:t xml:space="preserve"> </w:t>
      </w:r>
      <w:r>
        <w:rPr>
          <w:i/>
          <w:color w:val="211F1F"/>
          <w:spacing w:val="-4"/>
        </w:rPr>
        <w:t>date</w:t>
      </w:r>
      <w:r>
        <w:rPr>
          <w:color w:val="211F1F"/>
          <w:spacing w:val="-4"/>
        </w:rPr>
        <w:t>]</w:t>
      </w:r>
      <w:r>
        <w:rPr>
          <w:color w:val="211F1F"/>
          <w:spacing w:val="-15"/>
        </w:rPr>
        <w:t xml:space="preserve"> </w:t>
      </w:r>
      <w:r>
        <w:rPr>
          <w:color w:val="211F1F"/>
          <w:spacing w:val="-4"/>
        </w:rPr>
        <w:t>(</w:t>
      </w:r>
      <w:r>
        <w:rPr>
          <w:i/>
          <w:color w:val="211F1F"/>
          <w:spacing w:val="-4"/>
        </w:rPr>
        <w:t>local</w:t>
      </w:r>
      <w:r>
        <w:rPr>
          <w:i/>
          <w:color w:val="211F1F"/>
          <w:spacing w:val="-11"/>
        </w:rPr>
        <w:t xml:space="preserve"> </w:t>
      </w:r>
      <w:r>
        <w:rPr>
          <w:i/>
          <w:color w:val="211F1F"/>
          <w:spacing w:val="-4"/>
        </w:rPr>
        <w:t>time</w:t>
      </w:r>
      <w:r>
        <w:rPr>
          <w:color w:val="211F1F"/>
          <w:spacing w:val="-4"/>
        </w:rPr>
        <w:t>).</w:t>
      </w:r>
    </w:p>
    <w:p w14:paraId="252BFBF3" w14:textId="77777777" w:rsidR="00BB77C0" w:rsidRDefault="00370BAA">
      <w:pPr>
        <w:pStyle w:val="ListParagraph"/>
        <w:numPr>
          <w:ilvl w:val="0"/>
          <w:numId w:val="14"/>
        </w:numPr>
        <w:tabs>
          <w:tab w:val="left" w:pos="1458"/>
          <w:tab w:val="left" w:pos="1460"/>
        </w:tabs>
        <w:spacing w:before="96" w:line="230" w:lineRule="auto"/>
        <w:ind w:right="714"/>
        <w:jc w:val="both"/>
      </w:pPr>
      <w:r>
        <w:rPr>
          <w:color w:val="211F1F"/>
        </w:rPr>
        <w:t>You may request a debriefing in relation to the results of the evaluation of your Tender. If you decide to request a debriefing your written request must be made within three (5) Business Days of receipt of this Notification of Intention to</w:t>
      </w:r>
      <w:r>
        <w:rPr>
          <w:color w:val="211F1F"/>
          <w:spacing w:val="-13"/>
        </w:rPr>
        <w:t xml:space="preserve"> </w:t>
      </w:r>
      <w:r>
        <w:rPr>
          <w:color w:val="211F1F"/>
        </w:rPr>
        <w:t>Award.</w:t>
      </w:r>
    </w:p>
    <w:p w14:paraId="236D5C7D" w14:textId="77777777" w:rsidR="00BB77C0" w:rsidRDefault="00370BAA">
      <w:pPr>
        <w:pStyle w:val="ListParagraph"/>
        <w:numPr>
          <w:ilvl w:val="0"/>
          <w:numId w:val="14"/>
        </w:numPr>
        <w:tabs>
          <w:tab w:val="left" w:pos="1458"/>
          <w:tab w:val="left" w:pos="1460"/>
        </w:tabs>
        <w:spacing w:before="96" w:line="232" w:lineRule="auto"/>
        <w:ind w:right="715"/>
        <w:jc w:val="both"/>
      </w:pPr>
      <w:r>
        <w:rPr>
          <w:color w:val="211F1F"/>
        </w:rPr>
        <w:t>Provide</w:t>
      </w:r>
      <w:r>
        <w:rPr>
          <w:color w:val="211F1F"/>
          <w:spacing w:val="-14"/>
        </w:rPr>
        <w:t xml:space="preserve"> </w:t>
      </w:r>
      <w:r>
        <w:rPr>
          <w:color w:val="211F1F"/>
        </w:rPr>
        <w:t>the</w:t>
      </w:r>
      <w:r>
        <w:rPr>
          <w:color w:val="211F1F"/>
          <w:spacing w:val="-14"/>
        </w:rPr>
        <w:t xml:space="preserve"> </w:t>
      </w:r>
      <w:r>
        <w:rPr>
          <w:color w:val="211F1F"/>
        </w:rPr>
        <w:t>contract</w:t>
      </w:r>
      <w:r>
        <w:rPr>
          <w:color w:val="211F1F"/>
          <w:spacing w:val="-7"/>
        </w:rPr>
        <w:t xml:space="preserve"> </w:t>
      </w:r>
      <w:r>
        <w:rPr>
          <w:color w:val="211F1F"/>
        </w:rPr>
        <w:t>name,</w:t>
      </w:r>
      <w:r>
        <w:rPr>
          <w:color w:val="211F1F"/>
          <w:spacing w:val="-9"/>
        </w:rPr>
        <w:t xml:space="preserve"> </w:t>
      </w:r>
      <w:r>
        <w:rPr>
          <w:color w:val="211F1F"/>
        </w:rPr>
        <w:t>reference</w:t>
      </w:r>
      <w:r>
        <w:rPr>
          <w:color w:val="211F1F"/>
          <w:spacing w:val="-13"/>
        </w:rPr>
        <w:t xml:space="preserve"> </w:t>
      </w:r>
      <w:r>
        <w:rPr>
          <w:color w:val="211F1F"/>
        </w:rPr>
        <w:t>number,</w:t>
      </w:r>
      <w:r>
        <w:rPr>
          <w:color w:val="211F1F"/>
          <w:spacing w:val="-9"/>
        </w:rPr>
        <w:t xml:space="preserve"> </w:t>
      </w:r>
      <w:r>
        <w:rPr>
          <w:color w:val="211F1F"/>
        </w:rPr>
        <w:t>name</w:t>
      </w:r>
      <w:r>
        <w:rPr>
          <w:color w:val="211F1F"/>
          <w:spacing w:val="-9"/>
        </w:rPr>
        <w:t xml:space="preserve"> </w:t>
      </w:r>
      <w:r>
        <w:rPr>
          <w:color w:val="211F1F"/>
        </w:rPr>
        <w:t>of</w:t>
      </w:r>
      <w:r>
        <w:rPr>
          <w:color w:val="211F1F"/>
          <w:spacing w:val="-13"/>
        </w:rPr>
        <w:t xml:space="preserve"> </w:t>
      </w:r>
      <w:r>
        <w:rPr>
          <w:color w:val="211F1F"/>
        </w:rPr>
        <w:t>the</w:t>
      </w:r>
      <w:r>
        <w:rPr>
          <w:color w:val="211F1F"/>
          <w:spacing w:val="-14"/>
        </w:rPr>
        <w:t xml:space="preserve"> </w:t>
      </w:r>
      <w:r>
        <w:rPr>
          <w:color w:val="211F1F"/>
        </w:rPr>
        <w:t>Tenderer,</w:t>
      </w:r>
      <w:r>
        <w:rPr>
          <w:color w:val="211F1F"/>
          <w:spacing w:val="-8"/>
        </w:rPr>
        <w:t xml:space="preserve"> </w:t>
      </w:r>
      <w:r>
        <w:rPr>
          <w:color w:val="211F1F"/>
        </w:rPr>
        <w:t>contact</w:t>
      </w:r>
      <w:r>
        <w:rPr>
          <w:color w:val="211F1F"/>
          <w:spacing w:val="-6"/>
        </w:rPr>
        <w:t xml:space="preserve"> </w:t>
      </w:r>
      <w:r>
        <w:rPr>
          <w:color w:val="211F1F"/>
        </w:rPr>
        <w:t>details;</w:t>
      </w:r>
      <w:r>
        <w:rPr>
          <w:color w:val="211F1F"/>
          <w:spacing w:val="-5"/>
        </w:rPr>
        <w:t xml:space="preserve"> </w:t>
      </w:r>
      <w:r>
        <w:rPr>
          <w:color w:val="211F1F"/>
        </w:rPr>
        <w:t>and</w:t>
      </w:r>
      <w:r>
        <w:rPr>
          <w:color w:val="211F1F"/>
          <w:spacing w:val="-11"/>
        </w:rPr>
        <w:t xml:space="preserve"> </w:t>
      </w:r>
      <w:r>
        <w:rPr>
          <w:color w:val="211F1F"/>
        </w:rPr>
        <w:t>address</w:t>
      </w:r>
      <w:r>
        <w:rPr>
          <w:color w:val="211F1F"/>
          <w:spacing w:val="-6"/>
        </w:rPr>
        <w:t xml:space="preserve"> </w:t>
      </w:r>
      <w:r>
        <w:rPr>
          <w:color w:val="211F1F"/>
        </w:rPr>
        <w:t>the</w:t>
      </w:r>
      <w:r>
        <w:rPr>
          <w:color w:val="211F1F"/>
          <w:spacing w:val="-13"/>
        </w:rPr>
        <w:t xml:space="preserve"> </w:t>
      </w:r>
      <w:r>
        <w:rPr>
          <w:color w:val="211F1F"/>
        </w:rPr>
        <w:t>request for debriefing as follows:</w:t>
      </w:r>
    </w:p>
    <w:p w14:paraId="3581FEA1" w14:textId="77777777" w:rsidR="00BB77C0" w:rsidRDefault="00370BAA">
      <w:pPr>
        <w:pStyle w:val="ListParagraph"/>
        <w:numPr>
          <w:ilvl w:val="1"/>
          <w:numId w:val="14"/>
        </w:numPr>
        <w:tabs>
          <w:tab w:val="left" w:pos="1896"/>
        </w:tabs>
        <w:spacing w:before="88"/>
        <w:ind w:left="1896" w:hanging="436"/>
      </w:pPr>
      <w:r>
        <w:rPr>
          <w:color w:val="211F1F"/>
          <w:spacing w:val="-4"/>
        </w:rPr>
        <w:t>Attention:</w:t>
      </w:r>
      <w:r>
        <w:rPr>
          <w:color w:val="211F1F"/>
          <w:spacing w:val="-6"/>
        </w:rPr>
        <w:t xml:space="preserve"> </w:t>
      </w:r>
      <w:r>
        <w:rPr>
          <w:color w:val="211F1F"/>
          <w:spacing w:val="-4"/>
        </w:rPr>
        <w:t>[</w:t>
      </w:r>
      <w:r>
        <w:rPr>
          <w:i/>
          <w:color w:val="211F1F"/>
          <w:spacing w:val="-4"/>
        </w:rPr>
        <w:t>insert</w:t>
      </w:r>
      <w:r>
        <w:rPr>
          <w:i/>
          <w:color w:val="211F1F"/>
          <w:spacing w:val="-11"/>
        </w:rPr>
        <w:t xml:space="preserve"> </w:t>
      </w:r>
      <w:r>
        <w:rPr>
          <w:i/>
          <w:color w:val="211F1F"/>
          <w:spacing w:val="-4"/>
        </w:rPr>
        <w:t>full</w:t>
      </w:r>
      <w:r>
        <w:rPr>
          <w:i/>
          <w:color w:val="211F1F"/>
          <w:spacing w:val="-6"/>
        </w:rPr>
        <w:t xml:space="preserve"> </w:t>
      </w:r>
      <w:r>
        <w:rPr>
          <w:i/>
          <w:color w:val="211F1F"/>
          <w:spacing w:val="-4"/>
        </w:rPr>
        <w:t>name</w:t>
      </w:r>
      <w:r>
        <w:rPr>
          <w:i/>
          <w:color w:val="211F1F"/>
          <w:spacing w:val="-9"/>
        </w:rPr>
        <w:t xml:space="preserve"> </w:t>
      </w:r>
      <w:r>
        <w:rPr>
          <w:i/>
          <w:color w:val="211F1F"/>
          <w:spacing w:val="-4"/>
        </w:rPr>
        <w:t>of</w:t>
      </w:r>
      <w:r>
        <w:rPr>
          <w:i/>
          <w:color w:val="211F1F"/>
          <w:spacing w:val="-6"/>
        </w:rPr>
        <w:t xml:space="preserve"> </w:t>
      </w:r>
      <w:r>
        <w:rPr>
          <w:i/>
          <w:color w:val="211F1F"/>
          <w:spacing w:val="-4"/>
        </w:rPr>
        <w:t>person,</w:t>
      </w:r>
      <w:r>
        <w:rPr>
          <w:i/>
          <w:color w:val="211F1F"/>
          <w:spacing w:val="-10"/>
        </w:rPr>
        <w:t xml:space="preserve"> </w:t>
      </w:r>
      <w:r>
        <w:rPr>
          <w:i/>
          <w:color w:val="211F1F"/>
          <w:spacing w:val="-4"/>
        </w:rPr>
        <w:t>if</w:t>
      </w:r>
      <w:r>
        <w:rPr>
          <w:i/>
          <w:color w:val="211F1F"/>
          <w:spacing w:val="-6"/>
        </w:rPr>
        <w:t xml:space="preserve"> </w:t>
      </w:r>
      <w:r>
        <w:rPr>
          <w:i/>
          <w:color w:val="211F1F"/>
          <w:spacing w:val="-4"/>
        </w:rPr>
        <w:t>applicable</w:t>
      </w:r>
      <w:r>
        <w:rPr>
          <w:color w:val="211F1F"/>
          <w:spacing w:val="-4"/>
        </w:rPr>
        <w:t>]</w:t>
      </w:r>
    </w:p>
    <w:p w14:paraId="57122A72" w14:textId="77777777" w:rsidR="00BB77C0" w:rsidRDefault="00370BAA">
      <w:pPr>
        <w:pStyle w:val="ListParagraph"/>
        <w:numPr>
          <w:ilvl w:val="1"/>
          <w:numId w:val="14"/>
        </w:numPr>
        <w:tabs>
          <w:tab w:val="left" w:pos="1896"/>
        </w:tabs>
        <w:spacing w:before="88"/>
        <w:ind w:left="1896" w:hanging="436"/>
      </w:pPr>
      <w:r>
        <w:rPr>
          <w:color w:val="211F1F"/>
          <w:spacing w:val="-4"/>
        </w:rPr>
        <w:t>Title/position:</w:t>
      </w:r>
      <w:r>
        <w:rPr>
          <w:color w:val="211F1F"/>
          <w:spacing w:val="10"/>
        </w:rPr>
        <w:t xml:space="preserve"> </w:t>
      </w:r>
      <w:r>
        <w:rPr>
          <w:color w:val="211F1F"/>
          <w:spacing w:val="-4"/>
        </w:rPr>
        <w:t>[</w:t>
      </w:r>
      <w:r>
        <w:rPr>
          <w:i/>
          <w:color w:val="211F1F"/>
          <w:spacing w:val="-4"/>
        </w:rPr>
        <w:t>insert</w:t>
      </w:r>
      <w:r>
        <w:rPr>
          <w:i/>
          <w:color w:val="211F1F"/>
          <w:spacing w:val="4"/>
        </w:rPr>
        <w:t xml:space="preserve"> </w:t>
      </w:r>
      <w:r>
        <w:rPr>
          <w:i/>
          <w:color w:val="211F1F"/>
          <w:spacing w:val="-4"/>
        </w:rPr>
        <w:t>title/position</w:t>
      </w:r>
      <w:r>
        <w:rPr>
          <w:color w:val="211F1F"/>
          <w:spacing w:val="-4"/>
        </w:rPr>
        <w:t>]</w:t>
      </w:r>
    </w:p>
    <w:p w14:paraId="6EF34DF3" w14:textId="77777777" w:rsidR="00BB77C0" w:rsidRDefault="00370BAA">
      <w:pPr>
        <w:pStyle w:val="ListParagraph"/>
        <w:numPr>
          <w:ilvl w:val="0"/>
          <w:numId w:val="13"/>
        </w:numPr>
        <w:tabs>
          <w:tab w:val="left" w:pos="1896"/>
        </w:tabs>
        <w:spacing w:before="88"/>
        <w:ind w:left="1896" w:hanging="436"/>
      </w:pPr>
      <w:r>
        <w:rPr>
          <w:color w:val="211F1F"/>
          <w:spacing w:val="-4"/>
        </w:rPr>
        <w:t>Agency:</w:t>
      </w:r>
      <w:r>
        <w:rPr>
          <w:color w:val="211F1F"/>
          <w:spacing w:val="-10"/>
        </w:rPr>
        <w:t xml:space="preserve"> </w:t>
      </w:r>
      <w:r>
        <w:rPr>
          <w:color w:val="211F1F"/>
          <w:spacing w:val="-4"/>
        </w:rPr>
        <w:t>[</w:t>
      </w:r>
      <w:r>
        <w:rPr>
          <w:i/>
          <w:color w:val="211F1F"/>
          <w:spacing w:val="-4"/>
        </w:rPr>
        <w:t>insert</w:t>
      </w:r>
      <w:r>
        <w:rPr>
          <w:i/>
          <w:color w:val="211F1F"/>
          <w:spacing w:val="-10"/>
        </w:rPr>
        <w:t xml:space="preserve"> </w:t>
      </w:r>
      <w:r>
        <w:rPr>
          <w:i/>
          <w:color w:val="211F1F"/>
          <w:spacing w:val="-4"/>
        </w:rPr>
        <w:t>name</w:t>
      </w:r>
      <w:r>
        <w:rPr>
          <w:i/>
          <w:color w:val="211F1F"/>
          <w:spacing w:val="-8"/>
        </w:rPr>
        <w:t xml:space="preserve"> </w:t>
      </w:r>
      <w:r>
        <w:rPr>
          <w:i/>
          <w:color w:val="211F1F"/>
          <w:spacing w:val="-4"/>
        </w:rPr>
        <w:t>of</w:t>
      </w:r>
      <w:r>
        <w:rPr>
          <w:i/>
          <w:color w:val="211F1F"/>
          <w:spacing w:val="2"/>
        </w:rPr>
        <w:t xml:space="preserve"> </w:t>
      </w:r>
      <w:r>
        <w:rPr>
          <w:i/>
          <w:color w:val="211F1F"/>
          <w:spacing w:val="-4"/>
        </w:rPr>
        <w:t>Procuring</w:t>
      </w:r>
      <w:r>
        <w:rPr>
          <w:i/>
          <w:color w:val="211F1F"/>
          <w:spacing w:val="-12"/>
        </w:rPr>
        <w:t xml:space="preserve"> </w:t>
      </w:r>
      <w:r>
        <w:rPr>
          <w:i/>
          <w:color w:val="211F1F"/>
          <w:spacing w:val="-4"/>
        </w:rPr>
        <w:t>Entity</w:t>
      </w:r>
      <w:r>
        <w:rPr>
          <w:color w:val="211F1F"/>
          <w:spacing w:val="-4"/>
        </w:rPr>
        <w:t>]</w:t>
      </w:r>
    </w:p>
    <w:p w14:paraId="07024AC2" w14:textId="77777777" w:rsidR="00BB77C0" w:rsidRDefault="00370BAA">
      <w:pPr>
        <w:pStyle w:val="ListParagraph"/>
        <w:numPr>
          <w:ilvl w:val="0"/>
          <w:numId w:val="13"/>
        </w:numPr>
        <w:tabs>
          <w:tab w:val="left" w:pos="1895"/>
        </w:tabs>
        <w:spacing w:before="88"/>
        <w:ind w:left="1895" w:hanging="435"/>
      </w:pPr>
      <w:r>
        <w:rPr>
          <w:color w:val="211F1F"/>
          <w:spacing w:val="-4"/>
        </w:rPr>
        <w:t>Email</w:t>
      </w:r>
      <w:r>
        <w:rPr>
          <w:color w:val="211F1F"/>
          <w:spacing w:val="-7"/>
        </w:rPr>
        <w:t xml:space="preserve"> </w:t>
      </w:r>
      <w:r>
        <w:rPr>
          <w:color w:val="211F1F"/>
          <w:spacing w:val="-4"/>
        </w:rPr>
        <w:t>address: [</w:t>
      </w:r>
      <w:r>
        <w:rPr>
          <w:i/>
          <w:color w:val="211F1F"/>
          <w:spacing w:val="-4"/>
        </w:rPr>
        <w:t>insert</w:t>
      </w:r>
      <w:r>
        <w:rPr>
          <w:i/>
          <w:color w:val="211F1F"/>
          <w:spacing w:val="-6"/>
        </w:rPr>
        <w:t xml:space="preserve"> </w:t>
      </w:r>
      <w:r>
        <w:rPr>
          <w:i/>
          <w:color w:val="211F1F"/>
          <w:spacing w:val="-4"/>
        </w:rPr>
        <w:t>email</w:t>
      </w:r>
      <w:r>
        <w:rPr>
          <w:i/>
          <w:color w:val="211F1F"/>
          <w:spacing w:val="-11"/>
        </w:rPr>
        <w:t xml:space="preserve"> </w:t>
      </w:r>
      <w:r>
        <w:rPr>
          <w:i/>
          <w:color w:val="211F1F"/>
          <w:spacing w:val="-4"/>
        </w:rPr>
        <w:t>address</w:t>
      </w:r>
      <w:r>
        <w:rPr>
          <w:color w:val="211F1F"/>
          <w:spacing w:val="-4"/>
        </w:rPr>
        <w:t>]</w:t>
      </w:r>
    </w:p>
    <w:p w14:paraId="7DFAA21B" w14:textId="77777777" w:rsidR="00BB77C0" w:rsidRDefault="00370BAA">
      <w:pPr>
        <w:pStyle w:val="ListParagraph"/>
        <w:numPr>
          <w:ilvl w:val="0"/>
          <w:numId w:val="14"/>
        </w:numPr>
        <w:tabs>
          <w:tab w:val="left" w:pos="1453"/>
          <w:tab w:val="left" w:pos="1460"/>
        </w:tabs>
        <w:spacing w:before="91" w:line="230" w:lineRule="auto"/>
        <w:ind w:right="702"/>
        <w:jc w:val="both"/>
      </w:pPr>
      <w:r>
        <w:rPr>
          <w:color w:val="211F1F"/>
        </w:rPr>
        <w:t>If</w:t>
      </w:r>
      <w:r>
        <w:rPr>
          <w:color w:val="211F1F"/>
          <w:spacing w:val="-9"/>
        </w:rPr>
        <w:t xml:space="preserve"> </w:t>
      </w:r>
      <w:r>
        <w:rPr>
          <w:color w:val="211F1F"/>
        </w:rPr>
        <w:t>your</w:t>
      </w:r>
      <w:r>
        <w:rPr>
          <w:color w:val="211F1F"/>
          <w:spacing w:val="-8"/>
        </w:rPr>
        <w:t xml:space="preserve"> </w:t>
      </w:r>
      <w:r>
        <w:rPr>
          <w:color w:val="211F1F"/>
        </w:rPr>
        <w:t>request</w:t>
      </w:r>
      <w:r>
        <w:rPr>
          <w:color w:val="211F1F"/>
          <w:spacing w:val="-4"/>
        </w:rPr>
        <w:t xml:space="preserve"> </w:t>
      </w:r>
      <w:r>
        <w:rPr>
          <w:color w:val="211F1F"/>
        </w:rPr>
        <w:t>for</w:t>
      </w:r>
      <w:r>
        <w:rPr>
          <w:color w:val="211F1F"/>
          <w:spacing w:val="-8"/>
        </w:rPr>
        <w:t xml:space="preserve"> </w:t>
      </w:r>
      <w:r>
        <w:rPr>
          <w:color w:val="211F1F"/>
        </w:rPr>
        <w:t>a</w:t>
      </w:r>
      <w:r>
        <w:rPr>
          <w:color w:val="211F1F"/>
          <w:spacing w:val="-9"/>
        </w:rPr>
        <w:t xml:space="preserve"> </w:t>
      </w:r>
      <w:r>
        <w:rPr>
          <w:color w:val="211F1F"/>
        </w:rPr>
        <w:t>debriefing</w:t>
      </w:r>
      <w:r>
        <w:rPr>
          <w:color w:val="211F1F"/>
          <w:spacing w:val="-9"/>
        </w:rPr>
        <w:t xml:space="preserve"> </w:t>
      </w:r>
      <w:r>
        <w:rPr>
          <w:color w:val="211F1F"/>
        </w:rPr>
        <w:t>is</w:t>
      </w:r>
      <w:r>
        <w:rPr>
          <w:color w:val="211F1F"/>
          <w:spacing w:val="-6"/>
        </w:rPr>
        <w:t xml:space="preserve"> </w:t>
      </w:r>
      <w:r>
        <w:rPr>
          <w:color w:val="211F1F"/>
        </w:rPr>
        <w:t>received</w:t>
      </w:r>
      <w:r>
        <w:rPr>
          <w:color w:val="211F1F"/>
          <w:spacing w:val="-10"/>
        </w:rPr>
        <w:t xml:space="preserve"> </w:t>
      </w:r>
      <w:r>
        <w:rPr>
          <w:color w:val="211F1F"/>
        </w:rPr>
        <w:t>within</w:t>
      </w:r>
      <w:r>
        <w:rPr>
          <w:color w:val="211F1F"/>
          <w:spacing w:val="-14"/>
        </w:rPr>
        <w:t xml:space="preserve"> </w:t>
      </w:r>
      <w:r>
        <w:rPr>
          <w:color w:val="211F1F"/>
        </w:rPr>
        <w:t>the</w:t>
      </w:r>
      <w:r>
        <w:rPr>
          <w:color w:val="211F1F"/>
          <w:spacing w:val="-12"/>
        </w:rPr>
        <w:t xml:space="preserve"> </w:t>
      </w:r>
      <w:r>
        <w:rPr>
          <w:color w:val="211F1F"/>
        </w:rPr>
        <w:t>3</w:t>
      </w:r>
      <w:r>
        <w:rPr>
          <w:color w:val="211F1F"/>
          <w:spacing w:val="-14"/>
        </w:rPr>
        <w:t xml:space="preserve"> </w:t>
      </w:r>
      <w:r>
        <w:rPr>
          <w:color w:val="211F1F"/>
        </w:rPr>
        <w:t>Days</w:t>
      </w:r>
      <w:r>
        <w:rPr>
          <w:color w:val="211F1F"/>
          <w:spacing w:val="-5"/>
        </w:rPr>
        <w:t xml:space="preserve"> </w:t>
      </w:r>
      <w:r>
        <w:rPr>
          <w:color w:val="211F1F"/>
        </w:rPr>
        <w:t>deadline,</w:t>
      </w:r>
      <w:r>
        <w:rPr>
          <w:color w:val="211F1F"/>
          <w:spacing w:val="-3"/>
        </w:rPr>
        <w:t xml:space="preserve"> </w:t>
      </w:r>
      <w:r>
        <w:rPr>
          <w:color w:val="211F1F"/>
        </w:rPr>
        <w:t>we</w:t>
      </w:r>
      <w:r>
        <w:rPr>
          <w:color w:val="211F1F"/>
          <w:spacing w:val="-13"/>
        </w:rPr>
        <w:t xml:space="preserve"> </w:t>
      </w:r>
      <w:r>
        <w:rPr>
          <w:color w:val="211F1F"/>
        </w:rPr>
        <w:t>will</w:t>
      </w:r>
      <w:r>
        <w:rPr>
          <w:color w:val="211F1F"/>
          <w:spacing w:val="-9"/>
        </w:rPr>
        <w:t xml:space="preserve"> </w:t>
      </w:r>
      <w:r>
        <w:rPr>
          <w:color w:val="211F1F"/>
        </w:rPr>
        <w:t>provide</w:t>
      </w:r>
      <w:r>
        <w:rPr>
          <w:color w:val="211F1F"/>
          <w:spacing w:val="-12"/>
        </w:rPr>
        <w:t xml:space="preserve"> </w:t>
      </w:r>
      <w:r>
        <w:rPr>
          <w:color w:val="211F1F"/>
        </w:rPr>
        <w:t>the</w:t>
      </w:r>
      <w:r>
        <w:rPr>
          <w:color w:val="211F1F"/>
          <w:spacing w:val="-12"/>
        </w:rPr>
        <w:t xml:space="preserve"> </w:t>
      </w:r>
      <w:r>
        <w:rPr>
          <w:color w:val="211F1F"/>
        </w:rPr>
        <w:t>debriefing</w:t>
      </w:r>
      <w:r>
        <w:rPr>
          <w:color w:val="211F1F"/>
          <w:spacing w:val="-9"/>
        </w:rPr>
        <w:t xml:space="preserve"> </w:t>
      </w:r>
      <w:r>
        <w:rPr>
          <w:color w:val="211F1F"/>
        </w:rPr>
        <w:t xml:space="preserve">within five (3) Business Days of receipt of your request. If we are unable to provide the debriefing within this </w:t>
      </w:r>
      <w:r>
        <w:rPr>
          <w:color w:val="211F1F"/>
          <w:spacing w:val="-2"/>
        </w:rPr>
        <w:t>period,</w:t>
      </w:r>
      <w:r>
        <w:rPr>
          <w:color w:val="211F1F"/>
          <w:spacing w:val="-12"/>
        </w:rPr>
        <w:t xml:space="preserve"> </w:t>
      </w:r>
      <w:r>
        <w:rPr>
          <w:color w:val="211F1F"/>
          <w:spacing w:val="-2"/>
        </w:rPr>
        <w:t>the</w:t>
      </w:r>
      <w:r>
        <w:rPr>
          <w:color w:val="211F1F"/>
          <w:spacing w:val="-12"/>
        </w:rPr>
        <w:t xml:space="preserve"> </w:t>
      </w:r>
      <w:r>
        <w:rPr>
          <w:color w:val="211F1F"/>
          <w:spacing w:val="-2"/>
        </w:rPr>
        <w:t>Standstill</w:t>
      </w:r>
      <w:r>
        <w:rPr>
          <w:color w:val="211F1F"/>
          <w:spacing w:val="-10"/>
        </w:rPr>
        <w:t xml:space="preserve"> </w:t>
      </w:r>
      <w:r>
        <w:rPr>
          <w:color w:val="211F1F"/>
          <w:spacing w:val="-2"/>
        </w:rPr>
        <w:t>Period</w:t>
      </w:r>
      <w:r>
        <w:rPr>
          <w:color w:val="211F1F"/>
          <w:spacing w:val="-11"/>
        </w:rPr>
        <w:t xml:space="preserve"> </w:t>
      </w:r>
      <w:r>
        <w:rPr>
          <w:color w:val="211F1F"/>
          <w:spacing w:val="-2"/>
        </w:rPr>
        <w:t>shall</w:t>
      </w:r>
      <w:r>
        <w:rPr>
          <w:color w:val="211F1F"/>
          <w:spacing w:val="-6"/>
        </w:rPr>
        <w:t xml:space="preserve"> </w:t>
      </w:r>
      <w:r>
        <w:rPr>
          <w:color w:val="211F1F"/>
          <w:spacing w:val="-2"/>
        </w:rPr>
        <w:t>be</w:t>
      </w:r>
      <w:r>
        <w:rPr>
          <w:color w:val="211F1F"/>
          <w:spacing w:val="-12"/>
        </w:rPr>
        <w:t xml:space="preserve"> </w:t>
      </w:r>
      <w:r>
        <w:rPr>
          <w:color w:val="211F1F"/>
          <w:spacing w:val="-2"/>
        </w:rPr>
        <w:t>extended</w:t>
      </w:r>
      <w:r>
        <w:rPr>
          <w:color w:val="211F1F"/>
          <w:spacing w:val="-7"/>
        </w:rPr>
        <w:t xml:space="preserve"> </w:t>
      </w:r>
      <w:r>
        <w:rPr>
          <w:color w:val="211F1F"/>
          <w:spacing w:val="-2"/>
        </w:rPr>
        <w:t>by</w:t>
      </w:r>
      <w:r>
        <w:rPr>
          <w:color w:val="211F1F"/>
          <w:spacing w:val="-12"/>
        </w:rPr>
        <w:t xml:space="preserve"> </w:t>
      </w:r>
      <w:r>
        <w:rPr>
          <w:color w:val="211F1F"/>
          <w:spacing w:val="-2"/>
        </w:rPr>
        <w:t>five</w:t>
      </w:r>
      <w:r>
        <w:rPr>
          <w:color w:val="211F1F"/>
          <w:spacing w:val="-9"/>
        </w:rPr>
        <w:t xml:space="preserve"> </w:t>
      </w:r>
      <w:r>
        <w:rPr>
          <w:color w:val="211F1F"/>
          <w:spacing w:val="-2"/>
        </w:rPr>
        <w:t>(3)</w:t>
      </w:r>
      <w:r>
        <w:rPr>
          <w:color w:val="211F1F"/>
          <w:spacing w:val="-12"/>
        </w:rPr>
        <w:t xml:space="preserve"> </w:t>
      </w:r>
      <w:r>
        <w:rPr>
          <w:color w:val="211F1F"/>
          <w:spacing w:val="-2"/>
        </w:rPr>
        <w:t>Days</w:t>
      </w:r>
      <w:r>
        <w:rPr>
          <w:color w:val="211F1F"/>
          <w:spacing w:val="-12"/>
        </w:rPr>
        <w:t xml:space="preserve"> </w:t>
      </w:r>
      <w:r>
        <w:rPr>
          <w:color w:val="211F1F"/>
          <w:spacing w:val="-2"/>
        </w:rPr>
        <w:t>after</w:t>
      </w:r>
      <w:r>
        <w:rPr>
          <w:color w:val="211F1F"/>
          <w:spacing w:val="-4"/>
        </w:rPr>
        <w:t xml:space="preserve"> </w:t>
      </w:r>
      <w:r>
        <w:rPr>
          <w:color w:val="211F1F"/>
          <w:spacing w:val="-2"/>
        </w:rPr>
        <w:t>the</w:t>
      </w:r>
      <w:r>
        <w:rPr>
          <w:color w:val="211F1F"/>
          <w:spacing w:val="-9"/>
        </w:rPr>
        <w:t xml:space="preserve"> </w:t>
      </w:r>
      <w:r>
        <w:rPr>
          <w:color w:val="211F1F"/>
          <w:spacing w:val="-2"/>
        </w:rPr>
        <w:t>date</w:t>
      </w:r>
      <w:r>
        <w:rPr>
          <w:color w:val="211F1F"/>
          <w:spacing w:val="-12"/>
        </w:rPr>
        <w:t xml:space="preserve"> </w:t>
      </w:r>
      <w:r>
        <w:rPr>
          <w:color w:val="211F1F"/>
          <w:spacing w:val="-2"/>
        </w:rPr>
        <w:t>that</w:t>
      </w:r>
      <w:r>
        <w:rPr>
          <w:color w:val="211F1F"/>
          <w:spacing w:val="-6"/>
        </w:rPr>
        <w:t xml:space="preserve"> </w:t>
      </w:r>
      <w:r>
        <w:rPr>
          <w:color w:val="211F1F"/>
          <w:spacing w:val="-2"/>
        </w:rPr>
        <w:t>the</w:t>
      </w:r>
      <w:r>
        <w:rPr>
          <w:color w:val="211F1F"/>
          <w:spacing w:val="-9"/>
        </w:rPr>
        <w:t xml:space="preserve"> </w:t>
      </w:r>
      <w:r>
        <w:rPr>
          <w:color w:val="211F1F"/>
          <w:spacing w:val="-2"/>
        </w:rPr>
        <w:t>debriefing</w:t>
      </w:r>
      <w:r>
        <w:rPr>
          <w:color w:val="211F1F"/>
          <w:spacing w:val="-7"/>
        </w:rPr>
        <w:t xml:space="preserve"> </w:t>
      </w:r>
      <w:r>
        <w:rPr>
          <w:color w:val="211F1F"/>
          <w:spacing w:val="-2"/>
        </w:rPr>
        <w:t>is provided.</w:t>
      </w:r>
      <w:r>
        <w:rPr>
          <w:color w:val="211F1F"/>
          <w:spacing w:val="15"/>
        </w:rPr>
        <w:t xml:space="preserve"> </w:t>
      </w:r>
      <w:r>
        <w:rPr>
          <w:color w:val="211F1F"/>
          <w:spacing w:val="-2"/>
        </w:rPr>
        <w:t xml:space="preserve">If </w:t>
      </w:r>
      <w:r>
        <w:rPr>
          <w:color w:val="211F1F"/>
        </w:rPr>
        <w:t>this</w:t>
      </w:r>
      <w:r>
        <w:rPr>
          <w:color w:val="211F1F"/>
          <w:spacing w:val="-4"/>
        </w:rPr>
        <w:t xml:space="preserve"> </w:t>
      </w:r>
      <w:r>
        <w:rPr>
          <w:color w:val="211F1F"/>
        </w:rPr>
        <w:t>happens,</w:t>
      </w:r>
      <w:r>
        <w:rPr>
          <w:color w:val="211F1F"/>
          <w:spacing w:val="-1"/>
        </w:rPr>
        <w:t xml:space="preserve"> </w:t>
      </w:r>
      <w:r>
        <w:rPr>
          <w:color w:val="211F1F"/>
        </w:rPr>
        <w:t>we</w:t>
      </w:r>
      <w:r>
        <w:rPr>
          <w:color w:val="211F1F"/>
          <w:spacing w:val="-13"/>
        </w:rPr>
        <w:t xml:space="preserve"> </w:t>
      </w:r>
      <w:r>
        <w:rPr>
          <w:color w:val="211F1F"/>
        </w:rPr>
        <w:t>will</w:t>
      </w:r>
      <w:r>
        <w:rPr>
          <w:color w:val="211F1F"/>
          <w:spacing w:val="-9"/>
        </w:rPr>
        <w:t xml:space="preserve"> </w:t>
      </w:r>
      <w:r>
        <w:rPr>
          <w:color w:val="211F1F"/>
        </w:rPr>
        <w:t>notify</w:t>
      </w:r>
      <w:r>
        <w:rPr>
          <w:color w:val="211F1F"/>
          <w:spacing w:val="-15"/>
        </w:rPr>
        <w:t xml:space="preserve"> </w:t>
      </w:r>
      <w:r>
        <w:rPr>
          <w:color w:val="211F1F"/>
        </w:rPr>
        <w:t>you</w:t>
      </w:r>
      <w:r>
        <w:rPr>
          <w:color w:val="211F1F"/>
          <w:spacing w:val="-4"/>
        </w:rPr>
        <w:t xml:space="preserve"> </w:t>
      </w:r>
      <w:r>
        <w:rPr>
          <w:color w:val="211F1F"/>
        </w:rPr>
        <w:t>and</w:t>
      </w:r>
      <w:r>
        <w:rPr>
          <w:color w:val="211F1F"/>
          <w:spacing w:val="-10"/>
        </w:rPr>
        <w:t xml:space="preserve"> </w:t>
      </w:r>
      <w:r>
        <w:rPr>
          <w:color w:val="211F1F"/>
        </w:rPr>
        <w:t>confirm</w:t>
      </w:r>
      <w:r>
        <w:rPr>
          <w:color w:val="211F1F"/>
          <w:spacing w:val="-14"/>
        </w:rPr>
        <w:t xml:space="preserve"> </w:t>
      </w:r>
      <w:r>
        <w:rPr>
          <w:color w:val="211F1F"/>
        </w:rPr>
        <w:t>the</w:t>
      </w:r>
      <w:r>
        <w:rPr>
          <w:color w:val="211F1F"/>
          <w:spacing w:val="-13"/>
        </w:rPr>
        <w:t xml:space="preserve"> </w:t>
      </w:r>
      <w:r>
        <w:rPr>
          <w:color w:val="211F1F"/>
        </w:rPr>
        <w:t>date</w:t>
      </w:r>
      <w:r>
        <w:rPr>
          <w:color w:val="211F1F"/>
          <w:spacing w:val="-13"/>
        </w:rPr>
        <w:t xml:space="preserve"> </w:t>
      </w:r>
      <w:r>
        <w:rPr>
          <w:color w:val="211F1F"/>
        </w:rPr>
        <w:t>that</w:t>
      </w:r>
      <w:r>
        <w:rPr>
          <w:color w:val="211F1F"/>
          <w:spacing w:val="-2"/>
        </w:rPr>
        <w:t xml:space="preserve"> </w:t>
      </w:r>
      <w:r>
        <w:rPr>
          <w:color w:val="211F1F"/>
        </w:rPr>
        <w:t>the</w:t>
      </w:r>
      <w:r>
        <w:rPr>
          <w:color w:val="211F1F"/>
          <w:spacing w:val="-7"/>
        </w:rPr>
        <w:t xml:space="preserve"> </w:t>
      </w:r>
      <w:r>
        <w:rPr>
          <w:color w:val="211F1F"/>
        </w:rPr>
        <w:t>extended</w:t>
      </w:r>
      <w:r>
        <w:rPr>
          <w:color w:val="211F1F"/>
          <w:spacing w:val="-9"/>
        </w:rPr>
        <w:t xml:space="preserve"> </w:t>
      </w:r>
      <w:r>
        <w:rPr>
          <w:color w:val="211F1F"/>
        </w:rPr>
        <w:t>Standstill</w:t>
      </w:r>
      <w:r>
        <w:rPr>
          <w:color w:val="211F1F"/>
          <w:spacing w:val="-8"/>
        </w:rPr>
        <w:t xml:space="preserve"> </w:t>
      </w:r>
      <w:r>
        <w:rPr>
          <w:color w:val="211F1F"/>
        </w:rPr>
        <w:t>Period</w:t>
      </w:r>
      <w:r>
        <w:rPr>
          <w:color w:val="211F1F"/>
          <w:spacing w:val="-9"/>
        </w:rPr>
        <w:t xml:space="preserve"> </w:t>
      </w:r>
      <w:r>
        <w:rPr>
          <w:color w:val="211F1F"/>
        </w:rPr>
        <w:t>will</w:t>
      </w:r>
      <w:r>
        <w:rPr>
          <w:color w:val="211F1F"/>
          <w:spacing w:val="-3"/>
        </w:rPr>
        <w:t xml:space="preserve"> </w:t>
      </w:r>
      <w:r>
        <w:rPr>
          <w:color w:val="211F1F"/>
        </w:rPr>
        <w:t>end.</w:t>
      </w:r>
    </w:p>
    <w:p w14:paraId="1329D767" w14:textId="77777777" w:rsidR="00BB77C0" w:rsidRDefault="00370BAA">
      <w:pPr>
        <w:pStyle w:val="ListParagraph"/>
        <w:numPr>
          <w:ilvl w:val="0"/>
          <w:numId w:val="14"/>
        </w:numPr>
        <w:tabs>
          <w:tab w:val="left" w:pos="1453"/>
          <w:tab w:val="left" w:pos="1460"/>
        </w:tabs>
        <w:spacing w:before="101" w:line="228" w:lineRule="auto"/>
        <w:ind w:right="714"/>
        <w:jc w:val="both"/>
      </w:pPr>
      <w:r>
        <w:rPr>
          <w:color w:val="211F1F"/>
        </w:rPr>
        <w:t>The debriefing may be in writing, by phone, video conference call or in person. We</w:t>
      </w:r>
      <w:r>
        <w:rPr>
          <w:color w:val="211F1F"/>
          <w:spacing w:val="-6"/>
        </w:rPr>
        <w:t xml:space="preserve"> </w:t>
      </w:r>
      <w:r>
        <w:rPr>
          <w:color w:val="211F1F"/>
        </w:rPr>
        <w:t>shall promptly advise you</w:t>
      </w:r>
      <w:r>
        <w:rPr>
          <w:color w:val="211F1F"/>
          <w:spacing w:val="-1"/>
        </w:rPr>
        <w:t xml:space="preserve"> </w:t>
      </w:r>
      <w:r>
        <w:rPr>
          <w:color w:val="211F1F"/>
        </w:rPr>
        <w:t>in</w:t>
      </w:r>
      <w:r>
        <w:rPr>
          <w:color w:val="211F1F"/>
          <w:spacing w:val="-1"/>
        </w:rPr>
        <w:t xml:space="preserve"> </w:t>
      </w:r>
      <w:r>
        <w:rPr>
          <w:color w:val="211F1F"/>
        </w:rPr>
        <w:t>writing</w:t>
      </w:r>
      <w:r>
        <w:rPr>
          <w:color w:val="211F1F"/>
          <w:spacing w:val="-6"/>
        </w:rPr>
        <w:t xml:space="preserve"> </w:t>
      </w:r>
      <w:r>
        <w:rPr>
          <w:color w:val="211F1F"/>
        </w:rPr>
        <w:t>how</w:t>
      </w:r>
      <w:r>
        <w:rPr>
          <w:color w:val="211F1F"/>
          <w:spacing w:val="-15"/>
        </w:rPr>
        <w:t xml:space="preserve"> </w:t>
      </w:r>
      <w:r>
        <w:rPr>
          <w:color w:val="211F1F"/>
        </w:rPr>
        <w:t>the</w:t>
      </w:r>
      <w:r>
        <w:rPr>
          <w:color w:val="211F1F"/>
          <w:spacing w:val="-3"/>
        </w:rPr>
        <w:t xml:space="preserve"> </w:t>
      </w:r>
      <w:r>
        <w:rPr>
          <w:color w:val="211F1F"/>
        </w:rPr>
        <w:t>debriefing will</w:t>
      </w:r>
      <w:r>
        <w:rPr>
          <w:color w:val="211F1F"/>
          <w:spacing w:val="-6"/>
        </w:rPr>
        <w:t xml:space="preserve"> </w:t>
      </w:r>
      <w:r>
        <w:rPr>
          <w:color w:val="211F1F"/>
        </w:rPr>
        <w:t>take</w:t>
      </w:r>
      <w:r>
        <w:rPr>
          <w:color w:val="211F1F"/>
          <w:spacing w:val="-8"/>
        </w:rPr>
        <w:t xml:space="preserve"> </w:t>
      </w:r>
      <w:r>
        <w:rPr>
          <w:color w:val="211F1F"/>
        </w:rPr>
        <w:t>place</w:t>
      </w:r>
      <w:r>
        <w:rPr>
          <w:color w:val="211F1F"/>
          <w:spacing w:val="-10"/>
        </w:rPr>
        <w:t xml:space="preserve"> </w:t>
      </w:r>
      <w:r>
        <w:rPr>
          <w:color w:val="211F1F"/>
        </w:rPr>
        <w:t>and</w:t>
      </w:r>
      <w:r>
        <w:rPr>
          <w:color w:val="211F1F"/>
          <w:spacing w:val="-7"/>
        </w:rPr>
        <w:t xml:space="preserve"> </w:t>
      </w:r>
      <w:r>
        <w:rPr>
          <w:color w:val="211F1F"/>
        </w:rPr>
        <w:t>confirm</w:t>
      </w:r>
      <w:r>
        <w:rPr>
          <w:color w:val="211F1F"/>
          <w:spacing w:val="-11"/>
        </w:rPr>
        <w:t xml:space="preserve"> </w:t>
      </w:r>
      <w:r>
        <w:rPr>
          <w:color w:val="211F1F"/>
        </w:rPr>
        <w:t>the</w:t>
      </w:r>
      <w:r>
        <w:rPr>
          <w:color w:val="211F1F"/>
          <w:spacing w:val="-3"/>
        </w:rPr>
        <w:t xml:space="preserve"> </w:t>
      </w:r>
      <w:r>
        <w:rPr>
          <w:color w:val="211F1F"/>
        </w:rPr>
        <w:t>date</w:t>
      </w:r>
      <w:r>
        <w:rPr>
          <w:color w:val="211F1F"/>
          <w:spacing w:val="-8"/>
        </w:rPr>
        <w:t xml:space="preserve"> </w:t>
      </w:r>
      <w:r>
        <w:rPr>
          <w:color w:val="211F1F"/>
        </w:rPr>
        <w:t>and</w:t>
      </w:r>
      <w:r>
        <w:rPr>
          <w:color w:val="211F1F"/>
          <w:spacing w:val="-7"/>
        </w:rPr>
        <w:t xml:space="preserve"> </w:t>
      </w:r>
      <w:r>
        <w:rPr>
          <w:color w:val="211F1F"/>
        </w:rPr>
        <w:t>time.</w:t>
      </w:r>
    </w:p>
    <w:p w14:paraId="47394BFB" w14:textId="77777777" w:rsidR="00BB77C0" w:rsidRDefault="00370BAA">
      <w:pPr>
        <w:pStyle w:val="ListParagraph"/>
        <w:numPr>
          <w:ilvl w:val="0"/>
          <w:numId w:val="14"/>
        </w:numPr>
        <w:tabs>
          <w:tab w:val="left" w:pos="1458"/>
          <w:tab w:val="left" w:pos="1460"/>
        </w:tabs>
        <w:spacing w:before="99" w:line="230" w:lineRule="auto"/>
        <w:ind w:right="712"/>
        <w:jc w:val="both"/>
      </w:pPr>
      <w:r>
        <w:rPr>
          <w:color w:val="211F1F"/>
        </w:rPr>
        <w:t>If the deadline to request a debriefing has expired, you may still request a debriefing. In this case, wewill provide</w:t>
      </w:r>
      <w:r>
        <w:rPr>
          <w:color w:val="211F1F"/>
          <w:spacing w:val="-3"/>
        </w:rPr>
        <w:t xml:space="preserve"> </w:t>
      </w:r>
      <w:r>
        <w:rPr>
          <w:color w:val="211F1F"/>
        </w:rPr>
        <w:t>the</w:t>
      </w:r>
      <w:r>
        <w:rPr>
          <w:color w:val="211F1F"/>
          <w:spacing w:val="-4"/>
        </w:rPr>
        <w:t xml:space="preserve"> </w:t>
      </w:r>
      <w:r>
        <w:rPr>
          <w:color w:val="211F1F"/>
        </w:rPr>
        <w:t>debriefing</w:t>
      </w:r>
      <w:r>
        <w:rPr>
          <w:color w:val="211F1F"/>
          <w:spacing w:val="-1"/>
        </w:rPr>
        <w:t xml:space="preserve"> </w:t>
      </w:r>
      <w:r>
        <w:rPr>
          <w:color w:val="211F1F"/>
        </w:rPr>
        <w:t>as</w:t>
      </w:r>
      <w:r>
        <w:rPr>
          <w:color w:val="211F1F"/>
          <w:spacing w:val="-1"/>
        </w:rPr>
        <w:t xml:space="preserve"> </w:t>
      </w:r>
      <w:r>
        <w:rPr>
          <w:color w:val="211F1F"/>
        </w:rPr>
        <w:t>soon</w:t>
      </w:r>
      <w:r>
        <w:rPr>
          <w:color w:val="211F1F"/>
          <w:spacing w:val="-1"/>
        </w:rPr>
        <w:t xml:space="preserve"> </w:t>
      </w:r>
      <w:r>
        <w:rPr>
          <w:color w:val="211F1F"/>
        </w:rPr>
        <w:t>as</w:t>
      </w:r>
      <w:r>
        <w:rPr>
          <w:color w:val="211F1F"/>
          <w:spacing w:val="-6"/>
        </w:rPr>
        <w:t xml:space="preserve"> </w:t>
      </w:r>
      <w:r>
        <w:rPr>
          <w:color w:val="211F1F"/>
        </w:rPr>
        <w:t>practicable,</w:t>
      </w:r>
      <w:r>
        <w:rPr>
          <w:color w:val="211F1F"/>
          <w:spacing w:val="-3"/>
        </w:rPr>
        <w:t xml:space="preserve"> </w:t>
      </w:r>
      <w:r>
        <w:rPr>
          <w:color w:val="211F1F"/>
        </w:rPr>
        <w:t>and</w:t>
      </w:r>
      <w:r>
        <w:rPr>
          <w:color w:val="211F1F"/>
          <w:spacing w:val="-2"/>
        </w:rPr>
        <w:t xml:space="preserve"> </w:t>
      </w:r>
      <w:r>
        <w:rPr>
          <w:color w:val="211F1F"/>
        </w:rPr>
        <w:t>normally</w:t>
      </w:r>
      <w:r>
        <w:rPr>
          <w:color w:val="211F1F"/>
          <w:spacing w:val="-1"/>
        </w:rPr>
        <w:t xml:space="preserve"> </w:t>
      </w:r>
      <w:r>
        <w:rPr>
          <w:color w:val="211F1F"/>
        </w:rPr>
        <w:t>no</w:t>
      </w:r>
      <w:r>
        <w:rPr>
          <w:color w:val="211F1F"/>
          <w:spacing w:val="-2"/>
        </w:rPr>
        <w:t xml:space="preserve"> </w:t>
      </w:r>
      <w:r>
        <w:rPr>
          <w:color w:val="211F1F"/>
        </w:rPr>
        <w:t>later than</w:t>
      </w:r>
      <w:r>
        <w:rPr>
          <w:color w:val="211F1F"/>
          <w:spacing w:val="-2"/>
        </w:rPr>
        <w:t xml:space="preserve"> </w:t>
      </w:r>
      <w:r>
        <w:rPr>
          <w:color w:val="211F1F"/>
        </w:rPr>
        <w:t>fifteen</w:t>
      </w:r>
      <w:r>
        <w:rPr>
          <w:color w:val="211F1F"/>
          <w:spacing w:val="-2"/>
        </w:rPr>
        <w:t xml:space="preserve"> </w:t>
      </w:r>
      <w:r>
        <w:rPr>
          <w:color w:val="211F1F"/>
        </w:rPr>
        <w:t>(15) Days from</w:t>
      </w:r>
      <w:r>
        <w:rPr>
          <w:color w:val="211F1F"/>
          <w:spacing w:val="-5"/>
        </w:rPr>
        <w:t xml:space="preserve"> </w:t>
      </w:r>
      <w:r>
        <w:rPr>
          <w:color w:val="211F1F"/>
        </w:rPr>
        <w:t>the</w:t>
      </w:r>
      <w:r>
        <w:rPr>
          <w:color w:val="211F1F"/>
          <w:spacing w:val="-4"/>
        </w:rPr>
        <w:t xml:space="preserve"> </w:t>
      </w:r>
      <w:r>
        <w:rPr>
          <w:color w:val="211F1F"/>
        </w:rPr>
        <w:t>date</w:t>
      </w:r>
      <w:r>
        <w:rPr>
          <w:color w:val="211F1F"/>
          <w:spacing w:val="-4"/>
        </w:rPr>
        <w:t xml:space="preserve"> </w:t>
      </w:r>
      <w:r>
        <w:rPr>
          <w:color w:val="211F1F"/>
        </w:rPr>
        <w:t>of publication of the Contract</w:t>
      </w:r>
      <w:r>
        <w:rPr>
          <w:color w:val="211F1F"/>
          <w:spacing w:val="-5"/>
        </w:rPr>
        <w:t xml:space="preserve"> </w:t>
      </w:r>
      <w:r>
        <w:rPr>
          <w:color w:val="211F1F"/>
        </w:rPr>
        <w:t>Award Notice.</w:t>
      </w:r>
    </w:p>
    <w:p w14:paraId="7C24B38C" w14:textId="77777777" w:rsidR="00BB77C0" w:rsidRDefault="00370BAA">
      <w:pPr>
        <w:pStyle w:val="ListParagraph"/>
        <w:numPr>
          <w:ilvl w:val="0"/>
          <w:numId w:val="16"/>
        </w:numPr>
        <w:tabs>
          <w:tab w:val="left" w:pos="1051"/>
        </w:tabs>
        <w:spacing w:before="242"/>
        <w:ind w:left="1051" w:hanging="561"/>
        <w:rPr>
          <w:b/>
          <w:color w:val="211F1F"/>
        </w:rPr>
      </w:pPr>
      <w:r>
        <w:rPr>
          <w:b/>
          <w:color w:val="211F1F"/>
          <w:spacing w:val="-4"/>
          <w:u w:val="single" w:color="211F1F"/>
        </w:rPr>
        <w:t>How</w:t>
      </w:r>
      <w:r>
        <w:rPr>
          <w:b/>
          <w:color w:val="211F1F"/>
          <w:spacing w:val="-17"/>
          <w:u w:val="single" w:color="211F1F"/>
        </w:rPr>
        <w:t xml:space="preserve"> </w:t>
      </w:r>
      <w:r>
        <w:rPr>
          <w:b/>
          <w:color w:val="211F1F"/>
          <w:spacing w:val="-4"/>
          <w:u w:val="single" w:color="211F1F"/>
        </w:rPr>
        <w:t>to</w:t>
      </w:r>
      <w:r>
        <w:rPr>
          <w:b/>
          <w:color w:val="211F1F"/>
          <w:spacing w:val="-15"/>
          <w:u w:val="single" w:color="211F1F"/>
        </w:rPr>
        <w:t xml:space="preserve"> </w:t>
      </w:r>
      <w:r>
        <w:rPr>
          <w:b/>
          <w:color w:val="211F1F"/>
          <w:spacing w:val="-4"/>
          <w:u w:val="single" w:color="211F1F"/>
        </w:rPr>
        <w:t>make</w:t>
      </w:r>
      <w:r>
        <w:rPr>
          <w:b/>
          <w:color w:val="211F1F"/>
          <w:spacing w:val="-17"/>
          <w:u w:val="single" w:color="211F1F"/>
        </w:rPr>
        <w:t xml:space="preserve"> </w:t>
      </w:r>
      <w:r>
        <w:rPr>
          <w:b/>
          <w:color w:val="211F1F"/>
          <w:spacing w:val="-4"/>
          <w:u w:val="single" w:color="211F1F"/>
        </w:rPr>
        <w:t>a</w:t>
      </w:r>
      <w:r>
        <w:rPr>
          <w:b/>
          <w:color w:val="211F1F"/>
          <w:spacing w:val="-20"/>
          <w:u w:val="single" w:color="211F1F"/>
        </w:rPr>
        <w:t xml:space="preserve"> </w:t>
      </w:r>
      <w:r>
        <w:rPr>
          <w:b/>
          <w:color w:val="211F1F"/>
          <w:spacing w:val="-4"/>
          <w:u w:val="single" w:color="211F1F"/>
        </w:rPr>
        <w:t>complaint</w:t>
      </w:r>
    </w:p>
    <w:p w14:paraId="2708FA1F" w14:textId="77777777" w:rsidR="00BB77C0" w:rsidRDefault="00370BAA">
      <w:pPr>
        <w:pStyle w:val="ListParagraph"/>
        <w:numPr>
          <w:ilvl w:val="0"/>
          <w:numId w:val="12"/>
        </w:numPr>
        <w:tabs>
          <w:tab w:val="left" w:pos="1460"/>
          <w:tab w:val="left" w:pos="1464"/>
        </w:tabs>
        <w:spacing w:before="42" w:line="232" w:lineRule="auto"/>
        <w:ind w:right="754" w:hanging="414"/>
      </w:pPr>
      <w:r>
        <w:rPr>
          <w:color w:val="211F1F"/>
        </w:rPr>
        <w:t>Period:</w:t>
      </w:r>
      <w:r>
        <w:rPr>
          <w:color w:val="211F1F"/>
          <w:spacing w:val="71"/>
        </w:rPr>
        <w:t xml:space="preserve"> </w:t>
      </w:r>
      <w:r>
        <w:rPr>
          <w:color w:val="211F1F"/>
        </w:rPr>
        <w:t>Procurement-related</w:t>
      </w:r>
      <w:r>
        <w:rPr>
          <w:color w:val="211F1F"/>
          <w:spacing w:val="-8"/>
        </w:rPr>
        <w:t xml:space="preserve"> </w:t>
      </w:r>
      <w:r>
        <w:rPr>
          <w:color w:val="211F1F"/>
        </w:rPr>
        <w:t>Complaint</w:t>
      </w:r>
      <w:r>
        <w:rPr>
          <w:color w:val="211F1F"/>
          <w:spacing w:val="-3"/>
        </w:rPr>
        <w:t xml:space="preserve"> </w:t>
      </w:r>
      <w:r>
        <w:rPr>
          <w:color w:val="211F1F"/>
        </w:rPr>
        <w:t>challenging</w:t>
      </w:r>
      <w:r>
        <w:rPr>
          <w:color w:val="211F1F"/>
          <w:spacing w:val="-9"/>
        </w:rPr>
        <w:t xml:space="preserve"> </w:t>
      </w:r>
      <w:r>
        <w:rPr>
          <w:color w:val="211F1F"/>
        </w:rPr>
        <w:t>the</w:t>
      </w:r>
      <w:r>
        <w:rPr>
          <w:color w:val="211F1F"/>
          <w:spacing w:val="-6"/>
        </w:rPr>
        <w:t xml:space="preserve"> </w:t>
      </w:r>
      <w:r>
        <w:rPr>
          <w:color w:val="211F1F"/>
        </w:rPr>
        <w:t>decision</w:t>
      </w:r>
      <w:r>
        <w:rPr>
          <w:color w:val="211F1F"/>
          <w:spacing w:val="-9"/>
        </w:rPr>
        <w:t xml:space="preserve"> </w:t>
      </w:r>
      <w:r>
        <w:rPr>
          <w:color w:val="211F1F"/>
        </w:rPr>
        <w:t>to</w:t>
      </w:r>
      <w:r>
        <w:rPr>
          <w:color w:val="211F1F"/>
          <w:spacing w:val="-9"/>
        </w:rPr>
        <w:t xml:space="preserve"> </w:t>
      </w:r>
      <w:r>
        <w:rPr>
          <w:color w:val="211F1F"/>
        </w:rPr>
        <w:t>award</w:t>
      </w:r>
      <w:r>
        <w:rPr>
          <w:color w:val="211F1F"/>
          <w:spacing w:val="-9"/>
        </w:rPr>
        <w:t xml:space="preserve"> </w:t>
      </w:r>
      <w:r>
        <w:rPr>
          <w:color w:val="211F1F"/>
        </w:rPr>
        <w:t>shall</w:t>
      </w:r>
      <w:r>
        <w:rPr>
          <w:color w:val="211F1F"/>
          <w:spacing w:val="-8"/>
        </w:rPr>
        <w:t xml:space="preserve"> </w:t>
      </w:r>
      <w:r>
        <w:rPr>
          <w:color w:val="211F1F"/>
        </w:rPr>
        <w:t>be</w:t>
      </w:r>
      <w:r>
        <w:rPr>
          <w:color w:val="211F1F"/>
          <w:spacing w:val="-11"/>
        </w:rPr>
        <w:t xml:space="preserve"> </w:t>
      </w:r>
      <w:r>
        <w:rPr>
          <w:color w:val="211F1F"/>
        </w:rPr>
        <w:t>submitted</w:t>
      </w:r>
      <w:r>
        <w:rPr>
          <w:color w:val="211F1F"/>
          <w:spacing w:val="-9"/>
        </w:rPr>
        <w:t xml:space="preserve"> </w:t>
      </w:r>
      <w:r>
        <w:rPr>
          <w:color w:val="211F1F"/>
        </w:rPr>
        <w:t>by</w:t>
      </w:r>
      <w:r>
        <w:rPr>
          <w:color w:val="211F1F"/>
          <w:spacing w:val="-4"/>
        </w:rPr>
        <w:t xml:space="preserve"> </w:t>
      </w:r>
      <w:r>
        <w:rPr>
          <w:color w:val="211F1F"/>
        </w:rPr>
        <w:t>midnight, [</w:t>
      </w:r>
      <w:r>
        <w:rPr>
          <w:i/>
          <w:color w:val="211F1F"/>
        </w:rPr>
        <w:t>insert date</w:t>
      </w:r>
      <w:r>
        <w:rPr>
          <w:color w:val="211F1F"/>
        </w:rPr>
        <w:t>] (local time).</w:t>
      </w:r>
    </w:p>
    <w:p w14:paraId="1E703F45" w14:textId="77777777" w:rsidR="00BB77C0" w:rsidRDefault="00370BAA">
      <w:pPr>
        <w:pStyle w:val="ListParagraph"/>
        <w:numPr>
          <w:ilvl w:val="0"/>
          <w:numId w:val="12"/>
        </w:numPr>
        <w:tabs>
          <w:tab w:val="left" w:pos="1460"/>
          <w:tab w:val="left" w:pos="1464"/>
        </w:tabs>
        <w:spacing w:before="47" w:line="232" w:lineRule="auto"/>
        <w:ind w:right="788" w:hanging="414"/>
      </w:pPr>
      <w:r>
        <w:rPr>
          <w:color w:val="211F1F"/>
        </w:rPr>
        <w:t>Provide</w:t>
      </w:r>
      <w:r>
        <w:rPr>
          <w:color w:val="211F1F"/>
          <w:spacing w:val="25"/>
        </w:rPr>
        <w:t xml:space="preserve"> </w:t>
      </w:r>
      <w:r>
        <w:rPr>
          <w:color w:val="211F1F"/>
        </w:rPr>
        <w:t>the</w:t>
      </w:r>
      <w:r>
        <w:rPr>
          <w:color w:val="211F1F"/>
          <w:spacing w:val="29"/>
        </w:rPr>
        <w:t xml:space="preserve"> </w:t>
      </w:r>
      <w:r>
        <w:rPr>
          <w:color w:val="211F1F"/>
        </w:rPr>
        <w:t>contract</w:t>
      </w:r>
      <w:r>
        <w:rPr>
          <w:color w:val="211F1F"/>
          <w:spacing w:val="36"/>
        </w:rPr>
        <w:t xml:space="preserve"> </w:t>
      </w:r>
      <w:r>
        <w:rPr>
          <w:color w:val="211F1F"/>
        </w:rPr>
        <w:t>name,</w:t>
      </w:r>
      <w:r>
        <w:rPr>
          <w:color w:val="211F1F"/>
          <w:spacing w:val="38"/>
        </w:rPr>
        <w:t xml:space="preserve"> </w:t>
      </w:r>
      <w:r>
        <w:rPr>
          <w:color w:val="211F1F"/>
        </w:rPr>
        <w:t>reference</w:t>
      </w:r>
      <w:r>
        <w:rPr>
          <w:color w:val="211F1F"/>
          <w:spacing w:val="34"/>
        </w:rPr>
        <w:t xml:space="preserve"> </w:t>
      </w:r>
      <w:r>
        <w:rPr>
          <w:color w:val="211F1F"/>
        </w:rPr>
        <w:t>number,</w:t>
      </w:r>
      <w:r>
        <w:rPr>
          <w:color w:val="211F1F"/>
          <w:spacing w:val="38"/>
        </w:rPr>
        <w:t xml:space="preserve"> </w:t>
      </w:r>
      <w:r>
        <w:rPr>
          <w:color w:val="211F1F"/>
        </w:rPr>
        <w:t>name</w:t>
      </w:r>
      <w:r>
        <w:rPr>
          <w:color w:val="211F1F"/>
          <w:spacing w:val="29"/>
        </w:rPr>
        <w:t xml:space="preserve"> </w:t>
      </w:r>
      <w:r>
        <w:rPr>
          <w:color w:val="211F1F"/>
        </w:rPr>
        <w:t>of</w:t>
      </w:r>
      <w:r>
        <w:rPr>
          <w:color w:val="211F1F"/>
          <w:spacing w:val="34"/>
        </w:rPr>
        <w:t xml:space="preserve"> </w:t>
      </w:r>
      <w:r>
        <w:rPr>
          <w:color w:val="211F1F"/>
        </w:rPr>
        <w:t>the</w:t>
      </w:r>
      <w:r>
        <w:rPr>
          <w:color w:val="211F1F"/>
          <w:spacing w:val="29"/>
        </w:rPr>
        <w:t xml:space="preserve"> </w:t>
      </w:r>
      <w:r>
        <w:rPr>
          <w:color w:val="211F1F"/>
        </w:rPr>
        <w:t>Tenderer,</w:t>
      </w:r>
      <w:r>
        <w:rPr>
          <w:color w:val="211F1F"/>
          <w:spacing w:val="30"/>
        </w:rPr>
        <w:t xml:space="preserve"> </w:t>
      </w:r>
      <w:r>
        <w:rPr>
          <w:color w:val="211F1F"/>
        </w:rPr>
        <w:t>contact</w:t>
      </w:r>
      <w:r>
        <w:rPr>
          <w:color w:val="211F1F"/>
          <w:spacing w:val="36"/>
        </w:rPr>
        <w:t xml:space="preserve"> </w:t>
      </w:r>
      <w:r>
        <w:rPr>
          <w:color w:val="211F1F"/>
        </w:rPr>
        <w:t>details;</w:t>
      </w:r>
      <w:r>
        <w:rPr>
          <w:color w:val="211F1F"/>
          <w:spacing w:val="37"/>
        </w:rPr>
        <w:t xml:space="preserve"> </w:t>
      </w:r>
      <w:r>
        <w:rPr>
          <w:color w:val="211F1F"/>
        </w:rPr>
        <w:t>and</w:t>
      </w:r>
      <w:r>
        <w:rPr>
          <w:color w:val="211F1F"/>
          <w:spacing w:val="31"/>
        </w:rPr>
        <w:t xml:space="preserve"> </w:t>
      </w:r>
      <w:r>
        <w:rPr>
          <w:color w:val="211F1F"/>
        </w:rPr>
        <w:t>address</w:t>
      </w:r>
      <w:r>
        <w:rPr>
          <w:color w:val="211F1F"/>
          <w:spacing w:val="36"/>
        </w:rPr>
        <w:t xml:space="preserve"> </w:t>
      </w:r>
      <w:r>
        <w:rPr>
          <w:color w:val="211F1F"/>
        </w:rPr>
        <w:t>the Procurement-related Complaint as follows:</w:t>
      </w:r>
    </w:p>
    <w:p w14:paraId="533802E5" w14:textId="77777777" w:rsidR="00BB77C0" w:rsidRDefault="00370BAA">
      <w:pPr>
        <w:pStyle w:val="ListParagraph"/>
        <w:numPr>
          <w:ilvl w:val="1"/>
          <w:numId w:val="12"/>
        </w:numPr>
        <w:tabs>
          <w:tab w:val="left" w:pos="1916"/>
        </w:tabs>
        <w:spacing w:before="36"/>
        <w:ind w:hanging="456"/>
      </w:pPr>
      <w:r>
        <w:rPr>
          <w:color w:val="211F1F"/>
          <w:spacing w:val="-4"/>
        </w:rPr>
        <w:t>Attention:</w:t>
      </w:r>
      <w:r>
        <w:rPr>
          <w:color w:val="211F1F"/>
          <w:spacing w:val="-6"/>
        </w:rPr>
        <w:t xml:space="preserve"> </w:t>
      </w:r>
      <w:r>
        <w:rPr>
          <w:color w:val="211F1F"/>
          <w:spacing w:val="-4"/>
        </w:rPr>
        <w:t>[</w:t>
      </w:r>
      <w:r>
        <w:rPr>
          <w:i/>
          <w:color w:val="211F1F"/>
          <w:spacing w:val="-4"/>
        </w:rPr>
        <w:t>insert</w:t>
      </w:r>
      <w:r>
        <w:rPr>
          <w:i/>
          <w:color w:val="211F1F"/>
          <w:spacing w:val="-11"/>
        </w:rPr>
        <w:t xml:space="preserve"> </w:t>
      </w:r>
      <w:r>
        <w:rPr>
          <w:i/>
          <w:color w:val="211F1F"/>
          <w:spacing w:val="-4"/>
        </w:rPr>
        <w:t>full</w:t>
      </w:r>
      <w:r>
        <w:rPr>
          <w:i/>
          <w:color w:val="211F1F"/>
          <w:spacing w:val="-6"/>
        </w:rPr>
        <w:t xml:space="preserve"> </w:t>
      </w:r>
      <w:r>
        <w:rPr>
          <w:i/>
          <w:color w:val="211F1F"/>
          <w:spacing w:val="-4"/>
        </w:rPr>
        <w:t>name</w:t>
      </w:r>
      <w:r>
        <w:rPr>
          <w:i/>
          <w:color w:val="211F1F"/>
          <w:spacing w:val="-9"/>
        </w:rPr>
        <w:t xml:space="preserve"> </w:t>
      </w:r>
      <w:r>
        <w:rPr>
          <w:i/>
          <w:color w:val="211F1F"/>
          <w:spacing w:val="-4"/>
        </w:rPr>
        <w:t>of</w:t>
      </w:r>
      <w:r>
        <w:rPr>
          <w:i/>
          <w:color w:val="211F1F"/>
          <w:spacing w:val="-6"/>
        </w:rPr>
        <w:t xml:space="preserve"> </w:t>
      </w:r>
      <w:r>
        <w:rPr>
          <w:i/>
          <w:color w:val="211F1F"/>
          <w:spacing w:val="-4"/>
        </w:rPr>
        <w:t>person,</w:t>
      </w:r>
      <w:r>
        <w:rPr>
          <w:i/>
          <w:color w:val="211F1F"/>
          <w:spacing w:val="-10"/>
        </w:rPr>
        <w:t xml:space="preserve"> </w:t>
      </w:r>
      <w:r>
        <w:rPr>
          <w:i/>
          <w:color w:val="211F1F"/>
          <w:spacing w:val="-4"/>
        </w:rPr>
        <w:t>if</w:t>
      </w:r>
      <w:r>
        <w:rPr>
          <w:i/>
          <w:color w:val="211F1F"/>
          <w:spacing w:val="-6"/>
        </w:rPr>
        <w:t xml:space="preserve"> </w:t>
      </w:r>
      <w:r>
        <w:rPr>
          <w:i/>
          <w:color w:val="211F1F"/>
          <w:spacing w:val="-4"/>
        </w:rPr>
        <w:t>applicable</w:t>
      </w:r>
      <w:r>
        <w:rPr>
          <w:color w:val="211F1F"/>
          <w:spacing w:val="-4"/>
        </w:rPr>
        <w:t>]</w:t>
      </w:r>
    </w:p>
    <w:p w14:paraId="26D3FA50" w14:textId="77777777" w:rsidR="00BB77C0" w:rsidRDefault="00370BAA">
      <w:pPr>
        <w:pStyle w:val="ListParagraph"/>
        <w:numPr>
          <w:ilvl w:val="1"/>
          <w:numId w:val="12"/>
        </w:numPr>
        <w:tabs>
          <w:tab w:val="left" w:pos="1916"/>
        </w:tabs>
        <w:spacing w:before="44"/>
        <w:ind w:hanging="456"/>
      </w:pPr>
      <w:r>
        <w:rPr>
          <w:color w:val="211F1F"/>
          <w:spacing w:val="-4"/>
        </w:rPr>
        <w:t>Title/position:</w:t>
      </w:r>
      <w:r>
        <w:rPr>
          <w:color w:val="211F1F"/>
          <w:spacing w:val="10"/>
        </w:rPr>
        <w:t xml:space="preserve"> </w:t>
      </w:r>
      <w:r>
        <w:rPr>
          <w:color w:val="211F1F"/>
          <w:spacing w:val="-4"/>
        </w:rPr>
        <w:t>[</w:t>
      </w:r>
      <w:r>
        <w:rPr>
          <w:i/>
          <w:color w:val="211F1F"/>
          <w:spacing w:val="-4"/>
        </w:rPr>
        <w:t>insert</w:t>
      </w:r>
      <w:r>
        <w:rPr>
          <w:i/>
          <w:color w:val="211F1F"/>
          <w:spacing w:val="4"/>
        </w:rPr>
        <w:t xml:space="preserve"> </w:t>
      </w:r>
      <w:r>
        <w:rPr>
          <w:i/>
          <w:color w:val="211F1F"/>
          <w:spacing w:val="-4"/>
        </w:rPr>
        <w:t>title/position</w:t>
      </w:r>
      <w:r>
        <w:rPr>
          <w:color w:val="211F1F"/>
          <w:spacing w:val="-4"/>
        </w:rPr>
        <w:t>]</w:t>
      </w:r>
    </w:p>
    <w:p w14:paraId="2D3690DA" w14:textId="77777777" w:rsidR="00BB77C0" w:rsidRDefault="00370BAA">
      <w:pPr>
        <w:pStyle w:val="ListParagraph"/>
        <w:numPr>
          <w:ilvl w:val="1"/>
          <w:numId w:val="12"/>
        </w:numPr>
        <w:tabs>
          <w:tab w:val="left" w:pos="1916"/>
        </w:tabs>
        <w:spacing w:before="41"/>
        <w:ind w:hanging="456"/>
      </w:pPr>
      <w:r>
        <w:rPr>
          <w:color w:val="211F1F"/>
          <w:spacing w:val="-4"/>
        </w:rPr>
        <w:t>Agency:</w:t>
      </w:r>
      <w:r>
        <w:rPr>
          <w:color w:val="211F1F"/>
          <w:spacing w:val="-10"/>
        </w:rPr>
        <w:t xml:space="preserve"> </w:t>
      </w:r>
      <w:r>
        <w:rPr>
          <w:color w:val="211F1F"/>
          <w:spacing w:val="-4"/>
        </w:rPr>
        <w:t>[</w:t>
      </w:r>
      <w:r>
        <w:rPr>
          <w:i/>
          <w:color w:val="211F1F"/>
          <w:spacing w:val="-4"/>
        </w:rPr>
        <w:t>insert</w:t>
      </w:r>
      <w:r>
        <w:rPr>
          <w:i/>
          <w:color w:val="211F1F"/>
          <w:spacing w:val="-10"/>
        </w:rPr>
        <w:t xml:space="preserve"> </w:t>
      </w:r>
      <w:r>
        <w:rPr>
          <w:i/>
          <w:color w:val="211F1F"/>
          <w:spacing w:val="-4"/>
        </w:rPr>
        <w:t>name</w:t>
      </w:r>
      <w:r>
        <w:rPr>
          <w:i/>
          <w:color w:val="211F1F"/>
          <w:spacing w:val="-8"/>
        </w:rPr>
        <w:t xml:space="preserve"> </w:t>
      </w:r>
      <w:r>
        <w:rPr>
          <w:i/>
          <w:color w:val="211F1F"/>
          <w:spacing w:val="-4"/>
        </w:rPr>
        <w:t>of</w:t>
      </w:r>
      <w:r>
        <w:rPr>
          <w:i/>
          <w:color w:val="211F1F"/>
          <w:spacing w:val="2"/>
        </w:rPr>
        <w:t xml:space="preserve"> </w:t>
      </w:r>
      <w:r>
        <w:rPr>
          <w:i/>
          <w:color w:val="211F1F"/>
          <w:spacing w:val="-4"/>
        </w:rPr>
        <w:t>Procuring</w:t>
      </w:r>
      <w:r>
        <w:rPr>
          <w:i/>
          <w:color w:val="211F1F"/>
          <w:spacing w:val="-12"/>
        </w:rPr>
        <w:t xml:space="preserve"> </w:t>
      </w:r>
      <w:r>
        <w:rPr>
          <w:i/>
          <w:color w:val="211F1F"/>
          <w:spacing w:val="-4"/>
        </w:rPr>
        <w:t>Entity</w:t>
      </w:r>
      <w:r>
        <w:rPr>
          <w:color w:val="211F1F"/>
          <w:spacing w:val="-4"/>
        </w:rPr>
        <w:t>]</w:t>
      </w:r>
    </w:p>
    <w:p w14:paraId="215FC11B" w14:textId="77777777" w:rsidR="00BB77C0" w:rsidRDefault="00370BAA">
      <w:pPr>
        <w:pStyle w:val="ListParagraph"/>
        <w:numPr>
          <w:ilvl w:val="1"/>
          <w:numId w:val="12"/>
        </w:numPr>
        <w:tabs>
          <w:tab w:val="left" w:pos="1916"/>
        </w:tabs>
        <w:spacing w:before="35"/>
        <w:ind w:hanging="456"/>
      </w:pPr>
      <w:r>
        <w:rPr>
          <w:color w:val="211F1F"/>
          <w:spacing w:val="-4"/>
        </w:rPr>
        <w:t>Email</w:t>
      </w:r>
      <w:r>
        <w:rPr>
          <w:color w:val="211F1F"/>
          <w:spacing w:val="-7"/>
        </w:rPr>
        <w:t xml:space="preserve"> </w:t>
      </w:r>
      <w:r>
        <w:rPr>
          <w:color w:val="211F1F"/>
          <w:spacing w:val="-4"/>
        </w:rPr>
        <w:t>address: [</w:t>
      </w:r>
      <w:r>
        <w:rPr>
          <w:i/>
          <w:color w:val="211F1F"/>
          <w:spacing w:val="-4"/>
        </w:rPr>
        <w:t>insert</w:t>
      </w:r>
      <w:r>
        <w:rPr>
          <w:i/>
          <w:color w:val="211F1F"/>
          <w:spacing w:val="-5"/>
        </w:rPr>
        <w:t xml:space="preserve"> </w:t>
      </w:r>
      <w:r>
        <w:rPr>
          <w:i/>
          <w:color w:val="211F1F"/>
          <w:spacing w:val="-4"/>
        </w:rPr>
        <w:t>email</w:t>
      </w:r>
      <w:r>
        <w:rPr>
          <w:i/>
          <w:color w:val="211F1F"/>
          <w:spacing w:val="-12"/>
        </w:rPr>
        <w:t xml:space="preserve"> </w:t>
      </w:r>
      <w:r>
        <w:rPr>
          <w:i/>
          <w:color w:val="211F1F"/>
          <w:spacing w:val="-4"/>
        </w:rPr>
        <w:t>address</w:t>
      </w:r>
      <w:r>
        <w:rPr>
          <w:color w:val="211F1F"/>
          <w:spacing w:val="-4"/>
        </w:rPr>
        <w:t>]</w:t>
      </w:r>
    </w:p>
    <w:p w14:paraId="717FEE57" w14:textId="77777777" w:rsidR="00BB77C0" w:rsidRDefault="00BB77C0">
      <w:pPr>
        <w:pStyle w:val="BodyText"/>
        <w:spacing w:before="63"/>
      </w:pPr>
    </w:p>
    <w:p w14:paraId="53E76F06" w14:textId="77777777" w:rsidR="00BB77C0" w:rsidRDefault="00370BAA">
      <w:pPr>
        <w:pStyle w:val="ListParagraph"/>
        <w:numPr>
          <w:ilvl w:val="0"/>
          <w:numId w:val="12"/>
        </w:numPr>
        <w:tabs>
          <w:tab w:val="left" w:pos="1461"/>
          <w:tab w:val="left" w:pos="1464"/>
        </w:tabs>
        <w:spacing w:line="230" w:lineRule="auto"/>
        <w:ind w:right="707" w:hanging="414"/>
        <w:jc w:val="both"/>
      </w:pPr>
      <w:r>
        <w:rPr>
          <w:color w:val="211F1F"/>
        </w:rPr>
        <w:t>At</w:t>
      </w:r>
      <w:r>
        <w:rPr>
          <w:color w:val="211F1F"/>
          <w:spacing w:val="-7"/>
        </w:rPr>
        <w:t xml:space="preserve"> </w:t>
      </w:r>
      <w:r>
        <w:rPr>
          <w:color w:val="211F1F"/>
        </w:rPr>
        <w:t>this</w:t>
      </w:r>
      <w:r>
        <w:rPr>
          <w:color w:val="211F1F"/>
          <w:spacing w:val="-7"/>
        </w:rPr>
        <w:t xml:space="preserve"> </w:t>
      </w:r>
      <w:r>
        <w:rPr>
          <w:color w:val="211F1F"/>
        </w:rPr>
        <w:t>point</w:t>
      </w:r>
      <w:r>
        <w:rPr>
          <w:color w:val="211F1F"/>
          <w:spacing w:val="-7"/>
        </w:rPr>
        <w:t xml:space="preserve"> </w:t>
      </w:r>
      <w:r>
        <w:rPr>
          <w:color w:val="211F1F"/>
        </w:rPr>
        <w:t>in</w:t>
      </w:r>
      <w:r>
        <w:rPr>
          <w:color w:val="211F1F"/>
          <w:spacing w:val="-11"/>
        </w:rPr>
        <w:t xml:space="preserve"> </w:t>
      </w:r>
      <w:r>
        <w:rPr>
          <w:color w:val="211F1F"/>
        </w:rPr>
        <w:t>the</w:t>
      </w:r>
      <w:r>
        <w:rPr>
          <w:color w:val="211F1F"/>
          <w:spacing w:val="-13"/>
        </w:rPr>
        <w:t xml:space="preserve"> </w:t>
      </w:r>
      <w:r>
        <w:rPr>
          <w:color w:val="211F1F"/>
        </w:rPr>
        <w:t>procurement</w:t>
      </w:r>
      <w:r>
        <w:rPr>
          <w:color w:val="211F1F"/>
          <w:spacing w:val="-1"/>
        </w:rPr>
        <w:t xml:space="preserve"> </w:t>
      </w:r>
      <w:r>
        <w:rPr>
          <w:color w:val="211F1F"/>
        </w:rPr>
        <w:t>process,</w:t>
      </w:r>
      <w:r>
        <w:rPr>
          <w:color w:val="211F1F"/>
          <w:spacing w:val="-4"/>
        </w:rPr>
        <w:t xml:space="preserve"> </w:t>
      </w:r>
      <w:r>
        <w:rPr>
          <w:color w:val="211F1F"/>
        </w:rPr>
        <w:t>you</w:t>
      </w:r>
      <w:r>
        <w:rPr>
          <w:color w:val="211F1F"/>
          <w:spacing w:val="-3"/>
        </w:rPr>
        <w:t xml:space="preserve"> </w:t>
      </w:r>
      <w:r>
        <w:rPr>
          <w:color w:val="211F1F"/>
        </w:rPr>
        <w:t>may</w:t>
      </w:r>
      <w:r>
        <w:rPr>
          <w:color w:val="211F1F"/>
          <w:spacing w:val="-11"/>
        </w:rPr>
        <w:t xml:space="preserve"> </w:t>
      </w:r>
      <w:r>
        <w:rPr>
          <w:color w:val="211F1F"/>
        </w:rPr>
        <w:t>submit</w:t>
      </w:r>
      <w:r>
        <w:rPr>
          <w:color w:val="211F1F"/>
          <w:spacing w:val="-6"/>
        </w:rPr>
        <w:t xml:space="preserve"> </w:t>
      </w:r>
      <w:r>
        <w:rPr>
          <w:color w:val="211F1F"/>
        </w:rPr>
        <w:t>a</w:t>
      </w:r>
      <w:r>
        <w:rPr>
          <w:color w:val="211F1F"/>
          <w:spacing w:val="-9"/>
        </w:rPr>
        <w:t xml:space="preserve"> </w:t>
      </w:r>
      <w:r>
        <w:rPr>
          <w:color w:val="211F1F"/>
        </w:rPr>
        <w:t>Procurement-related</w:t>
      </w:r>
      <w:r>
        <w:rPr>
          <w:color w:val="211F1F"/>
          <w:spacing w:val="-11"/>
        </w:rPr>
        <w:t xml:space="preserve"> </w:t>
      </w:r>
      <w:r>
        <w:rPr>
          <w:color w:val="211F1F"/>
        </w:rPr>
        <w:t>Complaint</w:t>
      </w:r>
      <w:r>
        <w:rPr>
          <w:color w:val="211F1F"/>
          <w:spacing w:val="-6"/>
        </w:rPr>
        <w:t xml:space="preserve"> </w:t>
      </w:r>
      <w:r>
        <w:rPr>
          <w:color w:val="211F1F"/>
        </w:rPr>
        <w:t>challenging</w:t>
      </w:r>
      <w:r>
        <w:rPr>
          <w:color w:val="211F1F"/>
          <w:spacing w:val="-10"/>
        </w:rPr>
        <w:t xml:space="preserve"> </w:t>
      </w:r>
      <w:r>
        <w:rPr>
          <w:color w:val="211F1F"/>
        </w:rPr>
        <w:t>the decision</w:t>
      </w:r>
      <w:r>
        <w:rPr>
          <w:color w:val="211F1F"/>
          <w:spacing w:val="-6"/>
        </w:rPr>
        <w:t xml:space="preserve"> </w:t>
      </w:r>
      <w:r>
        <w:rPr>
          <w:color w:val="211F1F"/>
        </w:rPr>
        <w:t>to</w:t>
      </w:r>
      <w:r>
        <w:rPr>
          <w:color w:val="211F1F"/>
          <w:spacing w:val="-7"/>
        </w:rPr>
        <w:t xml:space="preserve"> </w:t>
      </w:r>
      <w:r>
        <w:rPr>
          <w:color w:val="211F1F"/>
        </w:rPr>
        <w:t>award</w:t>
      </w:r>
      <w:r>
        <w:rPr>
          <w:color w:val="211F1F"/>
          <w:spacing w:val="-6"/>
        </w:rPr>
        <w:t xml:space="preserve"> </w:t>
      </w:r>
      <w:r>
        <w:rPr>
          <w:color w:val="211F1F"/>
        </w:rPr>
        <w:t>the</w:t>
      </w:r>
      <w:r>
        <w:rPr>
          <w:color w:val="211F1F"/>
          <w:spacing w:val="-4"/>
        </w:rPr>
        <w:t xml:space="preserve"> </w:t>
      </w:r>
      <w:r>
        <w:rPr>
          <w:color w:val="211F1F"/>
        </w:rPr>
        <w:t>contract.</w:t>
      </w:r>
      <w:r>
        <w:rPr>
          <w:color w:val="211F1F"/>
          <w:spacing w:val="-13"/>
        </w:rPr>
        <w:t xml:space="preserve"> </w:t>
      </w:r>
      <w:r>
        <w:rPr>
          <w:color w:val="211F1F"/>
        </w:rPr>
        <w:t>You</w:t>
      </w:r>
      <w:r>
        <w:rPr>
          <w:color w:val="211F1F"/>
          <w:spacing w:val="-7"/>
        </w:rPr>
        <w:t xml:space="preserve"> </w:t>
      </w:r>
      <w:r>
        <w:rPr>
          <w:color w:val="211F1F"/>
        </w:rPr>
        <w:t>do</w:t>
      </w:r>
      <w:r>
        <w:rPr>
          <w:color w:val="211F1F"/>
          <w:spacing w:val="-2"/>
        </w:rPr>
        <w:t xml:space="preserve"> </w:t>
      </w:r>
      <w:r>
        <w:rPr>
          <w:color w:val="211F1F"/>
        </w:rPr>
        <w:t>not need</w:t>
      </w:r>
      <w:r>
        <w:rPr>
          <w:color w:val="211F1F"/>
          <w:spacing w:val="-7"/>
        </w:rPr>
        <w:t xml:space="preserve"> </w:t>
      </w:r>
      <w:r>
        <w:rPr>
          <w:color w:val="211F1F"/>
        </w:rPr>
        <w:t>to</w:t>
      </w:r>
      <w:r>
        <w:rPr>
          <w:color w:val="211F1F"/>
          <w:spacing w:val="-2"/>
        </w:rPr>
        <w:t xml:space="preserve"> </w:t>
      </w:r>
      <w:r>
        <w:rPr>
          <w:color w:val="211F1F"/>
        </w:rPr>
        <w:t>have</w:t>
      </w:r>
      <w:r>
        <w:rPr>
          <w:color w:val="211F1F"/>
          <w:spacing w:val="-3"/>
        </w:rPr>
        <w:t xml:space="preserve"> </w:t>
      </w:r>
      <w:r>
        <w:rPr>
          <w:color w:val="211F1F"/>
        </w:rPr>
        <w:t>requested, or</w:t>
      </w:r>
      <w:r>
        <w:rPr>
          <w:color w:val="211F1F"/>
          <w:spacing w:val="-3"/>
        </w:rPr>
        <w:t xml:space="preserve"> </w:t>
      </w:r>
      <w:r>
        <w:rPr>
          <w:color w:val="211F1F"/>
        </w:rPr>
        <w:t>received, a debriefing</w:t>
      </w:r>
      <w:r>
        <w:rPr>
          <w:color w:val="211F1F"/>
          <w:spacing w:val="-1"/>
        </w:rPr>
        <w:t xml:space="preserve"> </w:t>
      </w:r>
      <w:r>
        <w:rPr>
          <w:color w:val="211F1F"/>
        </w:rPr>
        <w:t>before</w:t>
      </w:r>
      <w:r>
        <w:rPr>
          <w:color w:val="211F1F"/>
          <w:spacing w:val="-3"/>
        </w:rPr>
        <w:t xml:space="preserve"> </w:t>
      </w:r>
      <w:r>
        <w:rPr>
          <w:color w:val="211F1F"/>
        </w:rPr>
        <w:t>making this</w:t>
      </w:r>
      <w:r>
        <w:rPr>
          <w:color w:val="211F1F"/>
          <w:spacing w:val="-13"/>
        </w:rPr>
        <w:t xml:space="preserve"> </w:t>
      </w:r>
      <w:r>
        <w:rPr>
          <w:color w:val="211F1F"/>
        </w:rPr>
        <w:t>complaint.</w:t>
      </w:r>
      <w:r>
        <w:rPr>
          <w:color w:val="211F1F"/>
          <w:spacing w:val="-8"/>
        </w:rPr>
        <w:t xml:space="preserve"> </w:t>
      </w:r>
      <w:r>
        <w:rPr>
          <w:color w:val="211F1F"/>
        </w:rPr>
        <w:t>Your</w:t>
      </w:r>
      <w:r>
        <w:rPr>
          <w:color w:val="211F1F"/>
          <w:spacing w:val="-8"/>
        </w:rPr>
        <w:t xml:space="preserve"> </w:t>
      </w:r>
      <w:r>
        <w:rPr>
          <w:color w:val="211F1F"/>
        </w:rPr>
        <w:t>complaint</w:t>
      </w:r>
      <w:r>
        <w:rPr>
          <w:color w:val="211F1F"/>
          <w:spacing w:val="-4"/>
        </w:rPr>
        <w:t xml:space="preserve"> </w:t>
      </w:r>
      <w:r>
        <w:rPr>
          <w:color w:val="211F1F"/>
        </w:rPr>
        <w:t>must</w:t>
      </w:r>
      <w:r>
        <w:rPr>
          <w:color w:val="211F1F"/>
          <w:spacing w:val="-10"/>
        </w:rPr>
        <w:t xml:space="preserve"> </w:t>
      </w:r>
      <w:r>
        <w:rPr>
          <w:color w:val="211F1F"/>
        </w:rPr>
        <w:t>be</w:t>
      </w:r>
      <w:r>
        <w:rPr>
          <w:color w:val="211F1F"/>
          <w:spacing w:val="-13"/>
        </w:rPr>
        <w:t xml:space="preserve"> </w:t>
      </w:r>
      <w:r>
        <w:rPr>
          <w:color w:val="211F1F"/>
        </w:rPr>
        <w:t>submitted</w:t>
      </w:r>
      <w:r>
        <w:rPr>
          <w:color w:val="211F1F"/>
          <w:spacing w:val="-10"/>
        </w:rPr>
        <w:t xml:space="preserve"> </w:t>
      </w:r>
      <w:r>
        <w:rPr>
          <w:color w:val="211F1F"/>
        </w:rPr>
        <w:t>within</w:t>
      </w:r>
      <w:r>
        <w:rPr>
          <w:color w:val="211F1F"/>
          <w:spacing w:val="-11"/>
        </w:rPr>
        <w:t xml:space="preserve"> </w:t>
      </w:r>
      <w:r>
        <w:rPr>
          <w:color w:val="211F1F"/>
        </w:rPr>
        <w:t>the</w:t>
      </w:r>
      <w:r>
        <w:rPr>
          <w:color w:val="211F1F"/>
          <w:spacing w:val="-13"/>
        </w:rPr>
        <w:t xml:space="preserve"> </w:t>
      </w:r>
      <w:r>
        <w:rPr>
          <w:color w:val="211F1F"/>
        </w:rPr>
        <w:t>Standstill</w:t>
      </w:r>
      <w:r>
        <w:rPr>
          <w:color w:val="211F1F"/>
          <w:spacing w:val="-9"/>
        </w:rPr>
        <w:t xml:space="preserve"> </w:t>
      </w:r>
      <w:r>
        <w:rPr>
          <w:color w:val="211F1F"/>
        </w:rPr>
        <w:t>Period</w:t>
      </w:r>
      <w:r>
        <w:rPr>
          <w:color w:val="211F1F"/>
          <w:spacing w:val="-14"/>
        </w:rPr>
        <w:t xml:space="preserve"> </w:t>
      </w:r>
      <w:r>
        <w:rPr>
          <w:color w:val="211F1F"/>
        </w:rPr>
        <w:t>and</w:t>
      </w:r>
      <w:r>
        <w:rPr>
          <w:color w:val="211F1F"/>
          <w:spacing w:val="-14"/>
        </w:rPr>
        <w:t xml:space="preserve"> </w:t>
      </w:r>
      <w:r>
        <w:rPr>
          <w:color w:val="211F1F"/>
        </w:rPr>
        <w:t>received</w:t>
      </w:r>
      <w:r>
        <w:rPr>
          <w:color w:val="211F1F"/>
          <w:spacing w:val="-10"/>
        </w:rPr>
        <w:t xml:space="preserve"> </w:t>
      </w:r>
      <w:r>
        <w:rPr>
          <w:color w:val="211F1F"/>
        </w:rPr>
        <w:t>by</w:t>
      </w:r>
      <w:r>
        <w:rPr>
          <w:color w:val="211F1F"/>
          <w:spacing w:val="-11"/>
        </w:rPr>
        <w:t xml:space="preserve"> </w:t>
      </w:r>
      <w:r>
        <w:rPr>
          <w:color w:val="211F1F"/>
        </w:rPr>
        <w:t>us</w:t>
      </w:r>
      <w:r>
        <w:rPr>
          <w:color w:val="211F1F"/>
          <w:spacing w:val="-10"/>
        </w:rPr>
        <w:t xml:space="preserve"> </w:t>
      </w:r>
      <w:r>
        <w:rPr>
          <w:color w:val="211F1F"/>
        </w:rPr>
        <w:t>before</w:t>
      </w:r>
      <w:r>
        <w:rPr>
          <w:color w:val="211F1F"/>
          <w:spacing w:val="-13"/>
        </w:rPr>
        <w:t xml:space="preserve"> </w:t>
      </w:r>
      <w:r>
        <w:rPr>
          <w:color w:val="211F1F"/>
        </w:rPr>
        <w:t>the Standstill Period ends.</w:t>
      </w:r>
    </w:p>
    <w:p w14:paraId="709B16EA" w14:textId="77777777" w:rsidR="00BB77C0" w:rsidRDefault="00370BAA">
      <w:pPr>
        <w:pStyle w:val="ListParagraph"/>
        <w:numPr>
          <w:ilvl w:val="0"/>
          <w:numId w:val="12"/>
        </w:numPr>
        <w:tabs>
          <w:tab w:val="left" w:pos="1462"/>
          <w:tab w:val="left" w:pos="1464"/>
        </w:tabs>
        <w:spacing w:before="70" w:line="237" w:lineRule="auto"/>
        <w:ind w:right="805" w:hanging="414"/>
        <w:jc w:val="both"/>
      </w:pPr>
      <w:r>
        <w:rPr>
          <w:color w:val="211F1F"/>
        </w:rPr>
        <w:t>Further</w:t>
      </w:r>
      <w:r>
        <w:rPr>
          <w:color w:val="211F1F"/>
          <w:spacing w:val="-8"/>
        </w:rPr>
        <w:t xml:space="preserve"> </w:t>
      </w:r>
      <w:r>
        <w:rPr>
          <w:color w:val="211F1F"/>
        </w:rPr>
        <w:t>information:</w:t>
      </w:r>
      <w:r>
        <w:rPr>
          <w:color w:val="211F1F"/>
          <w:spacing w:val="-5"/>
        </w:rPr>
        <w:t xml:space="preserve"> </w:t>
      </w:r>
      <w:r>
        <w:rPr>
          <w:color w:val="211F1F"/>
        </w:rPr>
        <w:t>For</w:t>
      </w:r>
      <w:r>
        <w:rPr>
          <w:color w:val="211F1F"/>
          <w:spacing w:val="-4"/>
        </w:rPr>
        <w:t xml:space="preserve"> </w:t>
      </w:r>
      <w:r>
        <w:rPr>
          <w:color w:val="211F1F"/>
        </w:rPr>
        <w:t>more</w:t>
      </w:r>
      <w:r>
        <w:rPr>
          <w:color w:val="211F1F"/>
          <w:spacing w:val="-13"/>
        </w:rPr>
        <w:t xml:space="preserve"> </w:t>
      </w:r>
      <w:r>
        <w:rPr>
          <w:color w:val="211F1F"/>
        </w:rPr>
        <w:t>information</w:t>
      </w:r>
      <w:r>
        <w:rPr>
          <w:color w:val="211F1F"/>
          <w:spacing w:val="-10"/>
        </w:rPr>
        <w:t xml:space="preserve"> </w:t>
      </w:r>
      <w:r>
        <w:rPr>
          <w:color w:val="211F1F"/>
        </w:rPr>
        <w:t>refer</w:t>
      </w:r>
      <w:r>
        <w:rPr>
          <w:color w:val="211F1F"/>
          <w:spacing w:val="-4"/>
        </w:rPr>
        <w:t xml:space="preserve"> </w:t>
      </w:r>
      <w:r>
        <w:rPr>
          <w:color w:val="211F1F"/>
        </w:rPr>
        <w:t>to</w:t>
      </w:r>
      <w:r>
        <w:rPr>
          <w:color w:val="211F1F"/>
          <w:spacing w:val="-11"/>
        </w:rPr>
        <w:t xml:space="preserve"> </w:t>
      </w:r>
      <w:r>
        <w:rPr>
          <w:color w:val="211F1F"/>
        </w:rPr>
        <w:t>the</w:t>
      </w:r>
      <w:r>
        <w:rPr>
          <w:color w:val="211F1F"/>
          <w:spacing w:val="-8"/>
        </w:rPr>
        <w:t xml:space="preserve"> </w:t>
      </w:r>
      <w:r>
        <w:rPr>
          <w:color w:val="211F1F"/>
        </w:rPr>
        <w:t>Public</w:t>
      </w:r>
      <w:r>
        <w:rPr>
          <w:color w:val="211F1F"/>
          <w:spacing w:val="-8"/>
        </w:rPr>
        <w:t xml:space="preserve"> </w:t>
      </w:r>
      <w:r>
        <w:rPr>
          <w:color w:val="211F1F"/>
        </w:rPr>
        <w:t>Procurement</w:t>
      </w:r>
      <w:r>
        <w:rPr>
          <w:color w:val="211F1F"/>
          <w:spacing w:val="-5"/>
        </w:rPr>
        <w:t xml:space="preserve"> </w:t>
      </w:r>
      <w:r>
        <w:rPr>
          <w:color w:val="211F1F"/>
        </w:rPr>
        <w:t>and</w:t>
      </w:r>
      <w:r>
        <w:rPr>
          <w:color w:val="211F1F"/>
          <w:spacing w:val="-11"/>
        </w:rPr>
        <w:t xml:space="preserve"> </w:t>
      </w:r>
      <w:r>
        <w:rPr>
          <w:color w:val="211F1F"/>
        </w:rPr>
        <w:t>Disposals</w:t>
      </w:r>
      <w:r>
        <w:rPr>
          <w:color w:val="211F1F"/>
          <w:spacing w:val="-10"/>
        </w:rPr>
        <w:t xml:space="preserve"> </w:t>
      </w:r>
      <w:r>
        <w:rPr>
          <w:color w:val="211F1F"/>
        </w:rPr>
        <w:t>Act</w:t>
      </w:r>
      <w:r>
        <w:rPr>
          <w:color w:val="211F1F"/>
          <w:spacing w:val="-6"/>
        </w:rPr>
        <w:t xml:space="preserve"> </w:t>
      </w:r>
      <w:r>
        <w:rPr>
          <w:color w:val="211F1F"/>
        </w:rPr>
        <w:t>2015</w:t>
      </w:r>
      <w:r>
        <w:rPr>
          <w:color w:val="211F1F"/>
          <w:spacing w:val="-6"/>
        </w:rPr>
        <w:t xml:space="preserve"> </w:t>
      </w:r>
      <w:r>
        <w:rPr>
          <w:color w:val="211F1F"/>
        </w:rPr>
        <w:t>and</w:t>
      </w:r>
      <w:r>
        <w:rPr>
          <w:color w:val="211F1F"/>
          <w:spacing w:val="-11"/>
        </w:rPr>
        <w:t xml:space="preserve"> </w:t>
      </w:r>
      <w:r>
        <w:rPr>
          <w:color w:val="211F1F"/>
        </w:rPr>
        <w:t>its Regulations available from</w:t>
      </w:r>
      <w:r>
        <w:rPr>
          <w:color w:val="211F1F"/>
          <w:spacing w:val="-7"/>
        </w:rPr>
        <w:t xml:space="preserve"> </w:t>
      </w:r>
      <w:r>
        <w:rPr>
          <w:color w:val="211F1F"/>
        </w:rPr>
        <w:t>the</w:t>
      </w:r>
      <w:r>
        <w:rPr>
          <w:color w:val="211F1F"/>
          <w:spacing w:val="-11"/>
        </w:rPr>
        <w:t xml:space="preserve"> </w:t>
      </w:r>
      <w:r>
        <w:rPr>
          <w:color w:val="211F1F"/>
        </w:rPr>
        <w:t>Website</w:t>
      </w:r>
      <w:r>
        <w:rPr>
          <w:color w:val="211F1F"/>
          <w:spacing w:val="-6"/>
        </w:rPr>
        <w:t xml:space="preserve"> </w:t>
      </w:r>
      <w:hyperlink r:id="rId22">
        <w:r>
          <w:rPr>
            <w:color w:val="0000C4"/>
            <w:u w:val="single" w:color="0000C4"/>
          </w:rPr>
          <w:t>info@ppra.go.ke</w:t>
        </w:r>
      </w:hyperlink>
      <w:r>
        <w:rPr>
          <w:color w:val="0000C4"/>
          <w:spacing w:val="-5"/>
        </w:rPr>
        <w:t xml:space="preserve"> </w:t>
      </w:r>
      <w:r>
        <w:rPr>
          <w:color w:val="211F1F"/>
        </w:rPr>
        <w:t xml:space="preserve">or </w:t>
      </w:r>
      <w:hyperlink r:id="rId23">
        <w:r>
          <w:rPr>
            <w:color w:val="0000C4"/>
            <w:u w:val="single" w:color="0000C4"/>
          </w:rPr>
          <w:t>complaints@ppra.go.ke</w:t>
        </w:r>
        <w:r>
          <w:rPr>
            <w:color w:val="211F1F"/>
          </w:rPr>
          <w:t>.</w:t>
        </w:r>
      </w:hyperlink>
    </w:p>
    <w:p w14:paraId="08CAF1C4" w14:textId="77777777" w:rsidR="00BB77C0" w:rsidRDefault="00370BAA">
      <w:pPr>
        <w:pStyle w:val="BodyText"/>
        <w:spacing w:before="63"/>
        <w:ind w:left="1464"/>
        <w:jc w:val="both"/>
      </w:pPr>
      <w:r>
        <w:rPr>
          <w:color w:val="211F1F"/>
        </w:rPr>
        <w:t>You</w:t>
      </w:r>
      <w:r>
        <w:rPr>
          <w:color w:val="211F1F"/>
          <w:spacing w:val="-9"/>
        </w:rPr>
        <w:t xml:space="preserve"> </w:t>
      </w:r>
      <w:r>
        <w:rPr>
          <w:color w:val="211F1F"/>
        </w:rPr>
        <w:t>should</w:t>
      </w:r>
      <w:r>
        <w:rPr>
          <w:color w:val="211F1F"/>
          <w:spacing w:val="-11"/>
        </w:rPr>
        <w:t xml:space="preserve"> </w:t>
      </w:r>
      <w:r>
        <w:rPr>
          <w:color w:val="211F1F"/>
        </w:rPr>
        <w:t>read</w:t>
      </w:r>
      <w:r>
        <w:rPr>
          <w:color w:val="211F1F"/>
          <w:spacing w:val="-10"/>
        </w:rPr>
        <w:t xml:space="preserve"> </w:t>
      </w:r>
      <w:r>
        <w:rPr>
          <w:color w:val="211F1F"/>
        </w:rPr>
        <w:t>these</w:t>
      </w:r>
      <w:r>
        <w:rPr>
          <w:color w:val="211F1F"/>
          <w:spacing w:val="-8"/>
        </w:rPr>
        <w:t xml:space="preserve"> </w:t>
      </w:r>
      <w:r>
        <w:rPr>
          <w:color w:val="211F1F"/>
        </w:rPr>
        <w:t>documents</w:t>
      </w:r>
      <w:r>
        <w:rPr>
          <w:color w:val="211F1F"/>
          <w:spacing w:val="-5"/>
        </w:rPr>
        <w:t xml:space="preserve"> </w:t>
      </w:r>
      <w:r>
        <w:rPr>
          <w:color w:val="211F1F"/>
        </w:rPr>
        <w:t>before</w:t>
      </w:r>
      <w:r>
        <w:rPr>
          <w:color w:val="211F1F"/>
          <w:spacing w:val="-12"/>
        </w:rPr>
        <w:t xml:space="preserve"> </w:t>
      </w:r>
      <w:r>
        <w:rPr>
          <w:color w:val="211F1F"/>
        </w:rPr>
        <w:t>preparing</w:t>
      </w:r>
      <w:r>
        <w:rPr>
          <w:color w:val="211F1F"/>
          <w:spacing w:val="-11"/>
        </w:rPr>
        <w:t xml:space="preserve"> </w:t>
      </w:r>
      <w:r>
        <w:rPr>
          <w:color w:val="211F1F"/>
        </w:rPr>
        <w:t>and</w:t>
      </w:r>
      <w:r>
        <w:rPr>
          <w:color w:val="211F1F"/>
          <w:spacing w:val="-10"/>
        </w:rPr>
        <w:t xml:space="preserve"> </w:t>
      </w:r>
      <w:r>
        <w:rPr>
          <w:color w:val="211F1F"/>
        </w:rPr>
        <w:t>submitting</w:t>
      </w:r>
      <w:r>
        <w:rPr>
          <w:color w:val="211F1F"/>
          <w:spacing w:val="-6"/>
        </w:rPr>
        <w:t xml:space="preserve"> </w:t>
      </w:r>
      <w:r>
        <w:rPr>
          <w:color w:val="211F1F"/>
        </w:rPr>
        <w:t>your</w:t>
      </w:r>
      <w:r>
        <w:rPr>
          <w:color w:val="211F1F"/>
          <w:spacing w:val="2"/>
        </w:rPr>
        <w:t xml:space="preserve"> </w:t>
      </w:r>
      <w:r>
        <w:rPr>
          <w:color w:val="211F1F"/>
          <w:spacing w:val="-2"/>
        </w:rPr>
        <w:t>complaint.</w:t>
      </w:r>
    </w:p>
    <w:p w14:paraId="6CA9AF43" w14:textId="77777777" w:rsidR="00BB77C0" w:rsidRDefault="00370BAA">
      <w:pPr>
        <w:pStyle w:val="ListParagraph"/>
        <w:numPr>
          <w:ilvl w:val="0"/>
          <w:numId w:val="12"/>
        </w:numPr>
        <w:tabs>
          <w:tab w:val="left" w:pos="1462"/>
        </w:tabs>
        <w:spacing w:before="59"/>
        <w:ind w:left="1462" w:hanging="411"/>
        <w:jc w:val="both"/>
      </w:pPr>
      <w:r>
        <w:rPr>
          <w:color w:val="211F1F"/>
          <w:spacing w:val="-2"/>
        </w:rPr>
        <w:t>There</w:t>
      </w:r>
      <w:r>
        <w:rPr>
          <w:color w:val="211F1F"/>
          <w:spacing w:val="-23"/>
        </w:rPr>
        <w:t xml:space="preserve"> </w:t>
      </w:r>
      <w:r>
        <w:rPr>
          <w:color w:val="211F1F"/>
          <w:spacing w:val="-2"/>
        </w:rPr>
        <w:t>are</w:t>
      </w:r>
      <w:r>
        <w:rPr>
          <w:color w:val="211F1F"/>
          <w:spacing w:val="-23"/>
        </w:rPr>
        <w:t xml:space="preserve"> </w:t>
      </w:r>
      <w:r>
        <w:rPr>
          <w:color w:val="211F1F"/>
          <w:spacing w:val="-2"/>
        </w:rPr>
        <w:t>four</w:t>
      </w:r>
      <w:r>
        <w:rPr>
          <w:color w:val="211F1F"/>
          <w:spacing w:val="-11"/>
        </w:rPr>
        <w:t xml:space="preserve"> </w:t>
      </w:r>
      <w:r>
        <w:rPr>
          <w:color w:val="211F1F"/>
          <w:spacing w:val="-2"/>
        </w:rPr>
        <w:t>essential</w:t>
      </w:r>
      <w:r>
        <w:rPr>
          <w:color w:val="211F1F"/>
          <w:spacing w:val="-19"/>
        </w:rPr>
        <w:t xml:space="preserve"> </w:t>
      </w:r>
      <w:r>
        <w:rPr>
          <w:color w:val="211F1F"/>
          <w:spacing w:val="-2"/>
        </w:rPr>
        <w:t>requirements:</w:t>
      </w:r>
    </w:p>
    <w:p w14:paraId="44B58CFC" w14:textId="77777777" w:rsidR="00BB77C0" w:rsidRDefault="00370BAA">
      <w:pPr>
        <w:pStyle w:val="ListParagraph"/>
        <w:numPr>
          <w:ilvl w:val="1"/>
          <w:numId w:val="12"/>
        </w:numPr>
        <w:tabs>
          <w:tab w:val="left" w:pos="1918"/>
          <w:tab w:val="left" w:pos="1930"/>
        </w:tabs>
        <w:spacing w:before="70" w:line="228" w:lineRule="auto"/>
        <w:ind w:left="1930" w:right="858" w:hanging="466"/>
        <w:jc w:val="both"/>
      </w:pPr>
      <w:r>
        <w:rPr>
          <w:color w:val="211F1F"/>
        </w:rPr>
        <w:t>You</w:t>
      </w:r>
      <w:r>
        <w:rPr>
          <w:color w:val="211F1F"/>
          <w:spacing w:val="-9"/>
        </w:rPr>
        <w:t xml:space="preserve"> </w:t>
      </w:r>
      <w:r>
        <w:rPr>
          <w:color w:val="211F1F"/>
        </w:rPr>
        <w:t>must</w:t>
      </w:r>
      <w:r>
        <w:rPr>
          <w:color w:val="211F1F"/>
          <w:spacing w:val="-6"/>
        </w:rPr>
        <w:t xml:space="preserve"> </w:t>
      </w:r>
      <w:r>
        <w:rPr>
          <w:color w:val="211F1F"/>
        </w:rPr>
        <w:t>be</w:t>
      </w:r>
      <w:r>
        <w:rPr>
          <w:color w:val="211F1F"/>
          <w:spacing w:val="-10"/>
        </w:rPr>
        <w:t xml:space="preserve"> </w:t>
      </w:r>
      <w:r>
        <w:rPr>
          <w:color w:val="211F1F"/>
        </w:rPr>
        <w:t>an</w:t>
      </w:r>
      <w:r>
        <w:rPr>
          <w:color w:val="211F1F"/>
          <w:spacing w:val="-8"/>
        </w:rPr>
        <w:t xml:space="preserve"> </w:t>
      </w:r>
      <w:r>
        <w:rPr>
          <w:color w:val="211F1F"/>
        </w:rPr>
        <w:t>'interested</w:t>
      </w:r>
      <w:r>
        <w:rPr>
          <w:color w:val="211F1F"/>
          <w:spacing w:val="-6"/>
        </w:rPr>
        <w:t xml:space="preserve"> </w:t>
      </w:r>
      <w:r>
        <w:rPr>
          <w:color w:val="211F1F"/>
        </w:rPr>
        <w:t>party'. In</w:t>
      </w:r>
      <w:r>
        <w:rPr>
          <w:color w:val="211F1F"/>
          <w:spacing w:val="-7"/>
        </w:rPr>
        <w:t xml:space="preserve"> </w:t>
      </w:r>
      <w:r>
        <w:rPr>
          <w:color w:val="211F1F"/>
        </w:rPr>
        <w:t>this</w:t>
      </w:r>
      <w:r>
        <w:rPr>
          <w:color w:val="211F1F"/>
          <w:spacing w:val="-2"/>
        </w:rPr>
        <w:t xml:space="preserve"> </w:t>
      </w:r>
      <w:r>
        <w:rPr>
          <w:color w:val="211F1F"/>
        </w:rPr>
        <w:t>case, that</w:t>
      </w:r>
      <w:r>
        <w:rPr>
          <w:color w:val="211F1F"/>
          <w:spacing w:val="-6"/>
        </w:rPr>
        <w:t xml:space="preserve"> </w:t>
      </w:r>
      <w:r>
        <w:rPr>
          <w:color w:val="211F1F"/>
        </w:rPr>
        <w:t>means</w:t>
      </w:r>
      <w:r>
        <w:rPr>
          <w:color w:val="211F1F"/>
          <w:spacing w:val="-2"/>
        </w:rPr>
        <w:t xml:space="preserve"> </w:t>
      </w:r>
      <w:r>
        <w:rPr>
          <w:color w:val="211F1F"/>
        </w:rPr>
        <w:t>a</w:t>
      </w:r>
      <w:r>
        <w:rPr>
          <w:color w:val="211F1F"/>
          <w:spacing w:val="-5"/>
        </w:rPr>
        <w:t xml:space="preserve"> </w:t>
      </w:r>
      <w:r>
        <w:rPr>
          <w:color w:val="211F1F"/>
        </w:rPr>
        <w:t>Tenderer who</w:t>
      </w:r>
      <w:r>
        <w:rPr>
          <w:color w:val="211F1F"/>
          <w:spacing w:val="-8"/>
        </w:rPr>
        <w:t xml:space="preserve"> </w:t>
      </w:r>
      <w:r>
        <w:rPr>
          <w:color w:val="211F1F"/>
        </w:rPr>
        <w:t>submitted</w:t>
      </w:r>
      <w:r>
        <w:rPr>
          <w:color w:val="211F1F"/>
          <w:spacing w:val="-7"/>
        </w:rPr>
        <w:t xml:space="preserve"> </w:t>
      </w:r>
      <w:r>
        <w:rPr>
          <w:color w:val="211F1F"/>
        </w:rPr>
        <w:t>a</w:t>
      </w:r>
      <w:r>
        <w:rPr>
          <w:color w:val="211F1F"/>
          <w:spacing w:val="-5"/>
        </w:rPr>
        <w:t xml:space="preserve"> </w:t>
      </w:r>
      <w:r>
        <w:rPr>
          <w:color w:val="211F1F"/>
        </w:rPr>
        <w:t>Tender in</w:t>
      </w:r>
      <w:r>
        <w:rPr>
          <w:color w:val="211F1F"/>
          <w:spacing w:val="-14"/>
        </w:rPr>
        <w:t xml:space="preserve"> </w:t>
      </w:r>
      <w:r>
        <w:rPr>
          <w:color w:val="211F1F"/>
        </w:rPr>
        <w:t>this tendering</w:t>
      </w:r>
      <w:r>
        <w:rPr>
          <w:color w:val="211F1F"/>
          <w:spacing w:val="-7"/>
        </w:rPr>
        <w:t xml:space="preserve"> </w:t>
      </w:r>
      <w:r>
        <w:rPr>
          <w:color w:val="211F1F"/>
        </w:rPr>
        <w:t>process, and</w:t>
      </w:r>
      <w:r>
        <w:rPr>
          <w:color w:val="211F1F"/>
          <w:spacing w:val="-7"/>
        </w:rPr>
        <w:t xml:space="preserve"> </w:t>
      </w:r>
      <w:r>
        <w:rPr>
          <w:color w:val="211F1F"/>
        </w:rPr>
        <w:t>is</w:t>
      </w:r>
      <w:r>
        <w:rPr>
          <w:color w:val="211F1F"/>
          <w:spacing w:val="-2"/>
        </w:rPr>
        <w:t xml:space="preserve"> </w:t>
      </w:r>
      <w:r>
        <w:rPr>
          <w:color w:val="211F1F"/>
        </w:rPr>
        <w:t>the</w:t>
      </w:r>
      <w:r>
        <w:rPr>
          <w:color w:val="211F1F"/>
          <w:spacing w:val="-11"/>
        </w:rPr>
        <w:t xml:space="preserve"> </w:t>
      </w:r>
      <w:r>
        <w:rPr>
          <w:color w:val="211F1F"/>
        </w:rPr>
        <w:t>recipient of a Notification</w:t>
      </w:r>
      <w:r>
        <w:rPr>
          <w:color w:val="211F1F"/>
          <w:spacing w:val="-1"/>
        </w:rPr>
        <w:t xml:space="preserve"> </w:t>
      </w:r>
      <w:r>
        <w:rPr>
          <w:color w:val="211F1F"/>
        </w:rPr>
        <w:t>of</w:t>
      </w:r>
      <w:r>
        <w:rPr>
          <w:color w:val="211F1F"/>
          <w:spacing w:val="-11"/>
        </w:rPr>
        <w:t xml:space="preserve"> </w:t>
      </w:r>
      <w:r>
        <w:rPr>
          <w:color w:val="211F1F"/>
        </w:rPr>
        <w:t>Intention</w:t>
      </w:r>
      <w:r>
        <w:rPr>
          <w:color w:val="211F1F"/>
          <w:spacing w:val="-7"/>
        </w:rPr>
        <w:t xml:space="preserve"> </w:t>
      </w:r>
      <w:r>
        <w:rPr>
          <w:color w:val="211F1F"/>
        </w:rPr>
        <w:t>to</w:t>
      </w:r>
      <w:r>
        <w:rPr>
          <w:color w:val="211F1F"/>
          <w:spacing w:val="-26"/>
        </w:rPr>
        <w:t xml:space="preserve"> </w:t>
      </w:r>
      <w:r>
        <w:rPr>
          <w:color w:val="211F1F"/>
        </w:rPr>
        <w:t>Award.</w:t>
      </w:r>
    </w:p>
    <w:p w14:paraId="03EE6BE7" w14:textId="77777777" w:rsidR="00BB77C0" w:rsidRDefault="00BB77C0">
      <w:pPr>
        <w:pStyle w:val="ListParagraph"/>
        <w:spacing w:line="228" w:lineRule="auto"/>
        <w:jc w:val="both"/>
        <w:sectPr w:rsidR="00BB77C0">
          <w:pgSz w:w="11920" w:h="16850"/>
          <w:pgMar w:top="1040" w:right="0" w:bottom="280" w:left="360" w:header="720" w:footer="720" w:gutter="0"/>
          <w:cols w:space="720"/>
        </w:sectPr>
      </w:pPr>
    </w:p>
    <w:p w14:paraId="6CAE33EA" w14:textId="77777777" w:rsidR="00BB77C0" w:rsidRDefault="00370BAA">
      <w:pPr>
        <w:pStyle w:val="ListParagraph"/>
        <w:numPr>
          <w:ilvl w:val="1"/>
          <w:numId w:val="12"/>
        </w:numPr>
        <w:tabs>
          <w:tab w:val="left" w:pos="1920"/>
        </w:tabs>
        <w:spacing w:before="64"/>
        <w:ind w:left="1920" w:hanging="456"/>
      </w:pPr>
      <w:r>
        <w:rPr>
          <w:color w:val="211F1F"/>
          <w:spacing w:val="-2"/>
        </w:rPr>
        <w:lastRenderedPageBreak/>
        <w:t>The</w:t>
      </w:r>
      <w:r>
        <w:rPr>
          <w:color w:val="211F1F"/>
          <w:spacing w:val="-21"/>
        </w:rPr>
        <w:t xml:space="preserve"> </w:t>
      </w:r>
      <w:r>
        <w:rPr>
          <w:color w:val="211F1F"/>
          <w:spacing w:val="-2"/>
        </w:rPr>
        <w:t>complaint</w:t>
      </w:r>
      <w:r>
        <w:rPr>
          <w:color w:val="211F1F"/>
          <w:spacing w:val="-11"/>
        </w:rPr>
        <w:t xml:space="preserve"> </w:t>
      </w:r>
      <w:r>
        <w:rPr>
          <w:color w:val="211F1F"/>
          <w:spacing w:val="-2"/>
        </w:rPr>
        <w:t>can</w:t>
      </w:r>
      <w:r>
        <w:rPr>
          <w:color w:val="211F1F"/>
          <w:spacing w:val="-22"/>
        </w:rPr>
        <w:t xml:space="preserve"> </w:t>
      </w:r>
      <w:r>
        <w:rPr>
          <w:color w:val="211F1F"/>
          <w:spacing w:val="-2"/>
        </w:rPr>
        <w:t>only</w:t>
      </w:r>
      <w:r>
        <w:rPr>
          <w:color w:val="211F1F"/>
          <w:spacing w:val="-16"/>
        </w:rPr>
        <w:t xml:space="preserve"> </w:t>
      </w:r>
      <w:r>
        <w:rPr>
          <w:color w:val="211F1F"/>
          <w:spacing w:val="-2"/>
        </w:rPr>
        <w:t>challenge</w:t>
      </w:r>
      <w:r>
        <w:rPr>
          <w:color w:val="211F1F"/>
          <w:spacing w:val="-24"/>
        </w:rPr>
        <w:t xml:space="preserve"> </w:t>
      </w:r>
      <w:r>
        <w:rPr>
          <w:color w:val="211F1F"/>
          <w:spacing w:val="-2"/>
        </w:rPr>
        <w:t>the</w:t>
      </w:r>
      <w:r>
        <w:rPr>
          <w:color w:val="211F1F"/>
          <w:spacing w:val="-18"/>
        </w:rPr>
        <w:t xml:space="preserve"> </w:t>
      </w:r>
      <w:r>
        <w:rPr>
          <w:color w:val="211F1F"/>
          <w:spacing w:val="-2"/>
        </w:rPr>
        <w:t>decision</w:t>
      </w:r>
      <w:r>
        <w:rPr>
          <w:color w:val="211F1F"/>
          <w:spacing w:val="-22"/>
        </w:rPr>
        <w:t xml:space="preserve"> </w:t>
      </w:r>
      <w:r>
        <w:rPr>
          <w:color w:val="211F1F"/>
          <w:spacing w:val="-2"/>
        </w:rPr>
        <w:t>to</w:t>
      </w:r>
      <w:r>
        <w:rPr>
          <w:color w:val="211F1F"/>
          <w:spacing w:val="-22"/>
        </w:rPr>
        <w:t xml:space="preserve"> </w:t>
      </w:r>
      <w:r>
        <w:rPr>
          <w:color w:val="211F1F"/>
          <w:spacing w:val="-2"/>
        </w:rPr>
        <w:t>award</w:t>
      </w:r>
      <w:r>
        <w:rPr>
          <w:color w:val="211F1F"/>
          <w:spacing w:val="-26"/>
        </w:rPr>
        <w:t xml:space="preserve"> </w:t>
      </w:r>
      <w:r>
        <w:rPr>
          <w:color w:val="211F1F"/>
          <w:spacing w:val="-2"/>
        </w:rPr>
        <w:t>the</w:t>
      </w:r>
      <w:r>
        <w:rPr>
          <w:color w:val="211F1F"/>
          <w:spacing w:val="-18"/>
        </w:rPr>
        <w:t xml:space="preserve"> </w:t>
      </w:r>
      <w:r>
        <w:rPr>
          <w:color w:val="211F1F"/>
          <w:spacing w:val="-2"/>
        </w:rPr>
        <w:t>contract.</w:t>
      </w:r>
    </w:p>
    <w:p w14:paraId="720A7E48" w14:textId="77777777" w:rsidR="00BB77C0" w:rsidRDefault="00370BAA">
      <w:pPr>
        <w:pStyle w:val="ListParagraph"/>
        <w:numPr>
          <w:ilvl w:val="1"/>
          <w:numId w:val="12"/>
        </w:numPr>
        <w:tabs>
          <w:tab w:val="left" w:pos="1920"/>
        </w:tabs>
        <w:spacing w:before="59"/>
        <w:ind w:left="1920" w:hanging="456"/>
      </w:pPr>
      <w:r>
        <w:rPr>
          <w:color w:val="211F1F"/>
          <w:spacing w:val="-4"/>
        </w:rPr>
        <w:t>You</w:t>
      </w:r>
      <w:r>
        <w:rPr>
          <w:color w:val="211F1F"/>
          <w:spacing w:val="-15"/>
        </w:rPr>
        <w:t xml:space="preserve"> </w:t>
      </w:r>
      <w:r>
        <w:rPr>
          <w:color w:val="211F1F"/>
          <w:spacing w:val="-4"/>
        </w:rPr>
        <w:t>must</w:t>
      </w:r>
      <w:r>
        <w:rPr>
          <w:color w:val="211F1F"/>
          <w:spacing w:val="-11"/>
        </w:rPr>
        <w:t xml:space="preserve"> </w:t>
      </w:r>
      <w:r>
        <w:rPr>
          <w:color w:val="211F1F"/>
          <w:spacing w:val="-4"/>
        </w:rPr>
        <w:t>submit</w:t>
      </w:r>
      <w:r>
        <w:rPr>
          <w:color w:val="211F1F"/>
          <w:spacing w:val="-7"/>
        </w:rPr>
        <w:t xml:space="preserve"> </w:t>
      </w:r>
      <w:r>
        <w:rPr>
          <w:color w:val="211F1F"/>
          <w:spacing w:val="-4"/>
        </w:rPr>
        <w:t>the</w:t>
      </w:r>
      <w:r>
        <w:rPr>
          <w:color w:val="211F1F"/>
          <w:spacing w:val="-17"/>
        </w:rPr>
        <w:t xml:space="preserve"> </w:t>
      </w:r>
      <w:r>
        <w:rPr>
          <w:color w:val="211F1F"/>
          <w:spacing w:val="-4"/>
        </w:rPr>
        <w:t>complaint</w:t>
      </w:r>
      <w:r>
        <w:rPr>
          <w:color w:val="211F1F"/>
          <w:spacing w:val="-5"/>
        </w:rPr>
        <w:t xml:space="preserve"> </w:t>
      </w:r>
      <w:r>
        <w:rPr>
          <w:color w:val="211F1F"/>
          <w:spacing w:val="-4"/>
        </w:rPr>
        <w:t>within</w:t>
      </w:r>
      <w:r>
        <w:rPr>
          <w:color w:val="211F1F"/>
          <w:spacing w:val="-13"/>
        </w:rPr>
        <w:t xml:space="preserve"> </w:t>
      </w:r>
      <w:r>
        <w:rPr>
          <w:color w:val="211F1F"/>
          <w:spacing w:val="-4"/>
        </w:rPr>
        <w:t>the</w:t>
      </w:r>
      <w:r>
        <w:rPr>
          <w:color w:val="211F1F"/>
          <w:spacing w:val="-16"/>
        </w:rPr>
        <w:t xml:space="preserve"> </w:t>
      </w:r>
      <w:r>
        <w:rPr>
          <w:color w:val="211F1F"/>
          <w:spacing w:val="-4"/>
        </w:rPr>
        <w:t>period</w:t>
      </w:r>
      <w:r>
        <w:rPr>
          <w:color w:val="211F1F"/>
          <w:spacing w:val="-15"/>
        </w:rPr>
        <w:t xml:space="preserve"> </w:t>
      </w:r>
      <w:r>
        <w:rPr>
          <w:color w:val="211F1F"/>
          <w:spacing w:val="-4"/>
        </w:rPr>
        <w:t>stated</w:t>
      </w:r>
      <w:r>
        <w:rPr>
          <w:color w:val="211F1F"/>
          <w:spacing w:val="-12"/>
        </w:rPr>
        <w:t xml:space="preserve"> </w:t>
      </w:r>
      <w:r>
        <w:rPr>
          <w:color w:val="211F1F"/>
          <w:spacing w:val="-4"/>
        </w:rPr>
        <w:t>above.</w:t>
      </w:r>
    </w:p>
    <w:p w14:paraId="179B8E1D" w14:textId="77777777" w:rsidR="00BB77C0" w:rsidRDefault="00370BAA">
      <w:pPr>
        <w:pStyle w:val="ListParagraph"/>
        <w:numPr>
          <w:ilvl w:val="1"/>
          <w:numId w:val="12"/>
        </w:numPr>
        <w:tabs>
          <w:tab w:val="left" w:pos="1920"/>
        </w:tabs>
        <w:spacing w:before="242"/>
        <w:ind w:left="1920" w:hanging="456"/>
      </w:pPr>
      <w:r>
        <w:rPr>
          <w:color w:val="211F1F"/>
        </w:rPr>
        <w:t>You must</w:t>
      </w:r>
      <w:r>
        <w:rPr>
          <w:color w:val="211F1F"/>
          <w:spacing w:val="23"/>
        </w:rPr>
        <w:t xml:space="preserve"> </w:t>
      </w:r>
      <w:r>
        <w:rPr>
          <w:color w:val="211F1F"/>
        </w:rPr>
        <w:t>include,</w:t>
      </w:r>
      <w:r>
        <w:rPr>
          <w:color w:val="211F1F"/>
          <w:spacing w:val="23"/>
        </w:rPr>
        <w:t xml:space="preserve"> </w:t>
      </w:r>
      <w:r>
        <w:rPr>
          <w:color w:val="211F1F"/>
        </w:rPr>
        <w:t>in</w:t>
      </w:r>
      <w:r>
        <w:rPr>
          <w:color w:val="211F1F"/>
          <w:spacing w:val="8"/>
        </w:rPr>
        <w:t xml:space="preserve"> </w:t>
      </w:r>
      <w:r>
        <w:rPr>
          <w:color w:val="211F1F"/>
        </w:rPr>
        <w:t>your</w:t>
      </w:r>
      <w:r>
        <w:rPr>
          <w:color w:val="211F1F"/>
          <w:spacing w:val="23"/>
        </w:rPr>
        <w:t xml:space="preserve"> </w:t>
      </w:r>
      <w:r>
        <w:rPr>
          <w:color w:val="211F1F"/>
        </w:rPr>
        <w:t>complaint,</w:t>
      </w:r>
      <w:r>
        <w:rPr>
          <w:color w:val="211F1F"/>
          <w:spacing w:val="25"/>
        </w:rPr>
        <w:t xml:space="preserve"> </w:t>
      </w:r>
      <w:r>
        <w:rPr>
          <w:color w:val="211F1F"/>
        </w:rPr>
        <w:t>all</w:t>
      </w:r>
      <w:r>
        <w:rPr>
          <w:color w:val="211F1F"/>
          <w:spacing w:val="13"/>
        </w:rPr>
        <w:t xml:space="preserve"> </w:t>
      </w:r>
      <w:r>
        <w:rPr>
          <w:color w:val="211F1F"/>
        </w:rPr>
        <w:t>of</w:t>
      </w:r>
      <w:r>
        <w:rPr>
          <w:color w:val="211F1F"/>
          <w:spacing w:val="15"/>
        </w:rPr>
        <w:t xml:space="preserve"> </w:t>
      </w:r>
      <w:r>
        <w:rPr>
          <w:color w:val="211F1F"/>
        </w:rPr>
        <w:t>the</w:t>
      </w:r>
      <w:r>
        <w:rPr>
          <w:color w:val="211F1F"/>
          <w:spacing w:val="10"/>
        </w:rPr>
        <w:t xml:space="preserve"> </w:t>
      </w:r>
      <w:r>
        <w:rPr>
          <w:color w:val="211F1F"/>
        </w:rPr>
        <w:t>information</w:t>
      </w:r>
      <w:r>
        <w:rPr>
          <w:color w:val="211F1F"/>
          <w:spacing w:val="18"/>
        </w:rPr>
        <w:t xml:space="preserve"> </w:t>
      </w:r>
      <w:r>
        <w:rPr>
          <w:color w:val="211F1F"/>
        </w:rPr>
        <w:t>required</w:t>
      </w:r>
      <w:r>
        <w:rPr>
          <w:color w:val="211F1F"/>
          <w:spacing w:val="17"/>
        </w:rPr>
        <w:t xml:space="preserve"> </w:t>
      </w:r>
      <w:r>
        <w:rPr>
          <w:color w:val="211F1F"/>
        </w:rPr>
        <w:t>to</w:t>
      </w:r>
      <w:r>
        <w:rPr>
          <w:color w:val="211F1F"/>
          <w:spacing w:val="13"/>
        </w:rPr>
        <w:t xml:space="preserve"> </w:t>
      </w:r>
      <w:r>
        <w:rPr>
          <w:color w:val="211F1F"/>
        </w:rPr>
        <w:t>support</w:t>
      </w:r>
      <w:r>
        <w:rPr>
          <w:color w:val="211F1F"/>
          <w:spacing w:val="22"/>
        </w:rPr>
        <w:t xml:space="preserve"> </w:t>
      </w:r>
      <w:r>
        <w:rPr>
          <w:color w:val="211F1F"/>
        </w:rPr>
        <w:t>your</w:t>
      </w:r>
      <w:r>
        <w:rPr>
          <w:color w:val="211F1F"/>
          <w:spacing w:val="24"/>
        </w:rPr>
        <w:t xml:space="preserve"> </w:t>
      </w:r>
      <w:r>
        <w:rPr>
          <w:color w:val="211F1F"/>
          <w:spacing w:val="-2"/>
        </w:rPr>
        <w:t>complaint.</w:t>
      </w:r>
    </w:p>
    <w:p w14:paraId="45A7AF0C" w14:textId="77777777" w:rsidR="00BB77C0" w:rsidRDefault="00370BAA">
      <w:pPr>
        <w:pStyle w:val="ListParagraph"/>
        <w:numPr>
          <w:ilvl w:val="0"/>
          <w:numId w:val="16"/>
        </w:numPr>
        <w:tabs>
          <w:tab w:val="left" w:pos="1051"/>
        </w:tabs>
        <w:spacing w:before="232"/>
        <w:ind w:left="1051" w:hanging="566"/>
        <w:rPr>
          <w:color w:val="211F1F"/>
        </w:rPr>
      </w:pPr>
      <w:r>
        <w:rPr>
          <w:color w:val="211F1F"/>
          <w:spacing w:val="-4"/>
          <w:u w:val="single" w:color="211F1F"/>
        </w:rPr>
        <w:t>Standstill</w:t>
      </w:r>
      <w:r>
        <w:rPr>
          <w:color w:val="211F1F"/>
          <w:spacing w:val="8"/>
          <w:u w:val="single" w:color="211F1F"/>
        </w:rPr>
        <w:t xml:space="preserve"> </w:t>
      </w:r>
      <w:r>
        <w:rPr>
          <w:color w:val="211F1F"/>
          <w:spacing w:val="-2"/>
          <w:u w:val="single" w:color="211F1F"/>
        </w:rPr>
        <w:t>Period</w:t>
      </w:r>
    </w:p>
    <w:p w14:paraId="4CF34842" w14:textId="77777777" w:rsidR="00BB77C0" w:rsidRDefault="00370BAA">
      <w:pPr>
        <w:pStyle w:val="ListParagraph"/>
        <w:numPr>
          <w:ilvl w:val="1"/>
          <w:numId w:val="16"/>
        </w:numPr>
        <w:tabs>
          <w:tab w:val="left" w:pos="1623"/>
        </w:tabs>
        <w:spacing w:before="135"/>
        <w:rPr>
          <w:color w:val="211F1F"/>
        </w:rPr>
      </w:pPr>
      <w:r>
        <w:rPr>
          <w:color w:val="211F1F"/>
          <w:spacing w:val="-2"/>
        </w:rPr>
        <w:t>DEADLINE:</w:t>
      </w:r>
      <w:r>
        <w:rPr>
          <w:color w:val="211F1F"/>
          <w:spacing w:val="-28"/>
        </w:rPr>
        <w:t xml:space="preserve"> </w:t>
      </w:r>
      <w:r>
        <w:rPr>
          <w:color w:val="211F1F"/>
          <w:spacing w:val="-2"/>
        </w:rPr>
        <w:t>The</w:t>
      </w:r>
      <w:r>
        <w:rPr>
          <w:color w:val="211F1F"/>
          <w:spacing w:val="-22"/>
        </w:rPr>
        <w:t xml:space="preserve"> </w:t>
      </w:r>
      <w:r>
        <w:rPr>
          <w:color w:val="211F1F"/>
          <w:spacing w:val="-2"/>
        </w:rPr>
        <w:t>Standstill</w:t>
      </w:r>
      <w:r>
        <w:rPr>
          <w:color w:val="211F1F"/>
          <w:spacing w:val="-19"/>
        </w:rPr>
        <w:t xml:space="preserve"> </w:t>
      </w:r>
      <w:r>
        <w:rPr>
          <w:color w:val="211F1F"/>
          <w:spacing w:val="-2"/>
        </w:rPr>
        <w:t>Period</w:t>
      </w:r>
      <w:r>
        <w:rPr>
          <w:color w:val="211F1F"/>
          <w:spacing w:val="-17"/>
        </w:rPr>
        <w:t xml:space="preserve"> </w:t>
      </w:r>
      <w:r>
        <w:rPr>
          <w:color w:val="211F1F"/>
          <w:spacing w:val="-2"/>
        </w:rPr>
        <w:t>is</w:t>
      </w:r>
      <w:r>
        <w:rPr>
          <w:color w:val="211F1F"/>
          <w:spacing w:val="-11"/>
        </w:rPr>
        <w:t xml:space="preserve"> </w:t>
      </w:r>
      <w:r>
        <w:rPr>
          <w:color w:val="211F1F"/>
          <w:spacing w:val="-2"/>
        </w:rPr>
        <w:t>dueto</w:t>
      </w:r>
      <w:r>
        <w:rPr>
          <w:color w:val="211F1F"/>
          <w:spacing w:val="-16"/>
        </w:rPr>
        <w:t xml:space="preserve"> </w:t>
      </w:r>
      <w:r>
        <w:rPr>
          <w:color w:val="211F1F"/>
          <w:spacing w:val="-2"/>
        </w:rPr>
        <w:t>end</w:t>
      </w:r>
      <w:r>
        <w:rPr>
          <w:color w:val="211F1F"/>
          <w:spacing w:val="-21"/>
        </w:rPr>
        <w:t xml:space="preserve"> </w:t>
      </w:r>
      <w:r>
        <w:rPr>
          <w:color w:val="211F1F"/>
          <w:spacing w:val="-2"/>
        </w:rPr>
        <w:t>at</w:t>
      </w:r>
      <w:r>
        <w:rPr>
          <w:color w:val="211F1F"/>
          <w:spacing w:val="-16"/>
        </w:rPr>
        <w:t xml:space="preserve"> </w:t>
      </w:r>
      <w:r>
        <w:rPr>
          <w:color w:val="211F1F"/>
          <w:spacing w:val="-2"/>
        </w:rPr>
        <w:t>midnight</w:t>
      </w:r>
      <w:r>
        <w:rPr>
          <w:color w:val="211F1F"/>
          <w:spacing w:val="-9"/>
        </w:rPr>
        <w:t xml:space="preserve"> </w:t>
      </w:r>
      <w:r>
        <w:rPr>
          <w:color w:val="211F1F"/>
          <w:spacing w:val="-2"/>
        </w:rPr>
        <w:t>on</w:t>
      </w:r>
      <w:r>
        <w:rPr>
          <w:color w:val="211F1F"/>
          <w:spacing w:val="-16"/>
        </w:rPr>
        <w:t xml:space="preserve"> </w:t>
      </w:r>
      <w:r>
        <w:rPr>
          <w:color w:val="211F1F"/>
          <w:spacing w:val="-2"/>
        </w:rPr>
        <w:t>[</w:t>
      </w:r>
      <w:r>
        <w:rPr>
          <w:i/>
          <w:color w:val="211F1F"/>
          <w:spacing w:val="-2"/>
        </w:rPr>
        <w:t>insert</w:t>
      </w:r>
      <w:r>
        <w:rPr>
          <w:i/>
          <w:color w:val="211F1F"/>
          <w:spacing w:val="-14"/>
        </w:rPr>
        <w:t xml:space="preserve"> </w:t>
      </w:r>
      <w:r>
        <w:rPr>
          <w:i/>
          <w:color w:val="211F1F"/>
          <w:spacing w:val="-2"/>
        </w:rPr>
        <w:t>date</w:t>
      </w:r>
      <w:r>
        <w:rPr>
          <w:color w:val="211F1F"/>
          <w:spacing w:val="-2"/>
        </w:rPr>
        <w:t>]</w:t>
      </w:r>
      <w:r>
        <w:rPr>
          <w:color w:val="211F1F"/>
          <w:spacing w:val="-18"/>
        </w:rPr>
        <w:t xml:space="preserve"> </w:t>
      </w:r>
      <w:r>
        <w:rPr>
          <w:color w:val="211F1F"/>
          <w:spacing w:val="-2"/>
        </w:rPr>
        <w:t>(local</w:t>
      </w:r>
      <w:r>
        <w:rPr>
          <w:color w:val="211F1F"/>
          <w:spacing w:val="-20"/>
        </w:rPr>
        <w:t xml:space="preserve"> </w:t>
      </w:r>
      <w:r>
        <w:rPr>
          <w:color w:val="211F1F"/>
          <w:spacing w:val="-2"/>
        </w:rPr>
        <w:t>time).</w:t>
      </w:r>
    </w:p>
    <w:p w14:paraId="2C27F135" w14:textId="77777777" w:rsidR="00BB77C0" w:rsidRDefault="00370BAA">
      <w:pPr>
        <w:pStyle w:val="ListParagraph"/>
        <w:numPr>
          <w:ilvl w:val="1"/>
          <w:numId w:val="16"/>
        </w:numPr>
        <w:tabs>
          <w:tab w:val="left" w:pos="1618"/>
          <w:tab w:val="left" w:pos="1637"/>
        </w:tabs>
        <w:spacing w:before="75" w:line="228" w:lineRule="auto"/>
        <w:ind w:left="1637" w:right="905" w:hanging="587"/>
        <w:rPr>
          <w:color w:val="211F1F"/>
        </w:rPr>
      </w:pPr>
      <w:r>
        <w:rPr>
          <w:color w:val="211F1F"/>
        </w:rPr>
        <w:t>The</w:t>
      </w:r>
      <w:r>
        <w:rPr>
          <w:color w:val="211F1F"/>
          <w:spacing w:val="-14"/>
        </w:rPr>
        <w:t xml:space="preserve"> </w:t>
      </w:r>
      <w:r>
        <w:rPr>
          <w:color w:val="211F1F"/>
        </w:rPr>
        <w:t>Standstill</w:t>
      </w:r>
      <w:r>
        <w:rPr>
          <w:color w:val="211F1F"/>
          <w:spacing w:val="-14"/>
        </w:rPr>
        <w:t xml:space="preserve"> </w:t>
      </w:r>
      <w:r>
        <w:rPr>
          <w:color w:val="211F1F"/>
        </w:rPr>
        <w:t>Period</w:t>
      </w:r>
      <w:r>
        <w:rPr>
          <w:color w:val="211F1F"/>
          <w:spacing w:val="-14"/>
        </w:rPr>
        <w:t xml:space="preserve"> </w:t>
      </w:r>
      <w:r>
        <w:rPr>
          <w:color w:val="211F1F"/>
        </w:rPr>
        <w:t>lasts</w:t>
      </w:r>
      <w:r>
        <w:rPr>
          <w:color w:val="211F1F"/>
          <w:spacing w:val="-14"/>
        </w:rPr>
        <w:t xml:space="preserve"> </w:t>
      </w:r>
      <w:r>
        <w:rPr>
          <w:color w:val="211F1F"/>
        </w:rPr>
        <w:t>ten</w:t>
      </w:r>
      <w:r>
        <w:rPr>
          <w:color w:val="211F1F"/>
          <w:spacing w:val="-13"/>
        </w:rPr>
        <w:t xml:space="preserve"> </w:t>
      </w:r>
      <w:r>
        <w:rPr>
          <w:color w:val="211F1F"/>
        </w:rPr>
        <w:t>(14)</w:t>
      </w:r>
      <w:r>
        <w:rPr>
          <w:color w:val="211F1F"/>
          <w:spacing w:val="-14"/>
        </w:rPr>
        <w:t xml:space="preserve"> </w:t>
      </w:r>
      <w:r>
        <w:rPr>
          <w:color w:val="211F1F"/>
        </w:rPr>
        <w:t>Days</w:t>
      </w:r>
      <w:r>
        <w:rPr>
          <w:color w:val="211F1F"/>
          <w:spacing w:val="-13"/>
        </w:rPr>
        <w:t xml:space="preserve"> </w:t>
      </w:r>
      <w:r>
        <w:rPr>
          <w:color w:val="211F1F"/>
        </w:rPr>
        <w:t>after</w:t>
      </w:r>
      <w:r>
        <w:rPr>
          <w:color w:val="211F1F"/>
          <w:spacing w:val="-7"/>
        </w:rPr>
        <w:t xml:space="preserve"> </w:t>
      </w:r>
      <w:r>
        <w:rPr>
          <w:color w:val="211F1F"/>
        </w:rPr>
        <w:t>the</w:t>
      </w:r>
      <w:r>
        <w:rPr>
          <w:color w:val="211F1F"/>
          <w:spacing w:val="-14"/>
        </w:rPr>
        <w:t xml:space="preserve"> </w:t>
      </w:r>
      <w:r>
        <w:rPr>
          <w:color w:val="211F1F"/>
        </w:rPr>
        <w:t>date</w:t>
      </w:r>
      <w:r>
        <w:rPr>
          <w:color w:val="211F1F"/>
          <w:spacing w:val="-14"/>
        </w:rPr>
        <w:t xml:space="preserve"> </w:t>
      </w:r>
      <w:r>
        <w:rPr>
          <w:color w:val="211F1F"/>
        </w:rPr>
        <w:t>of</w:t>
      </w:r>
      <w:r>
        <w:rPr>
          <w:color w:val="211F1F"/>
          <w:spacing w:val="-7"/>
        </w:rPr>
        <w:t xml:space="preserve"> </w:t>
      </w:r>
      <w:r>
        <w:rPr>
          <w:color w:val="211F1F"/>
        </w:rPr>
        <w:t>transmission</w:t>
      </w:r>
      <w:r>
        <w:rPr>
          <w:color w:val="211F1F"/>
          <w:spacing w:val="-14"/>
        </w:rPr>
        <w:t xml:space="preserve"> </w:t>
      </w:r>
      <w:r>
        <w:rPr>
          <w:color w:val="211F1F"/>
        </w:rPr>
        <w:t>of</w:t>
      </w:r>
      <w:r>
        <w:rPr>
          <w:color w:val="211F1F"/>
          <w:spacing w:val="-12"/>
        </w:rPr>
        <w:t xml:space="preserve"> </w:t>
      </w:r>
      <w:r>
        <w:rPr>
          <w:color w:val="211F1F"/>
        </w:rPr>
        <w:t>this</w:t>
      </w:r>
      <w:r>
        <w:rPr>
          <w:color w:val="211F1F"/>
          <w:spacing w:val="-10"/>
        </w:rPr>
        <w:t xml:space="preserve"> </w:t>
      </w:r>
      <w:r>
        <w:rPr>
          <w:color w:val="211F1F"/>
        </w:rPr>
        <w:t>Notification</w:t>
      </w:r>
      <w:r>
        <w:rPr>
          <w:color w:val="211F1F"/>
          <w:spacing w:val="-14"/>
        </w:rPr>
        <w:t xml:space="preserve"> </w:t>
      </w:r>
      <w:r>
        <w:rPr>
          <w:color w:val="211F1F"/>
        </w:rPr>
        <w:t>of</w:t>
      </w:r>
      <w:r>
        <w:rPr>
          <w:color w:val="211F1F"/>
          <w:spacing w:val="-12"/>
        </w:rPr>
        <w:t xml:space="preserve"> </w:t>
      </w:r>
      <w:r>
        <w:rPr>
          <w:color w:val="211F1F"/>
        </w:rPr>
        <w:t>Intention</w:t>
      </w:r>
      <w:r>
        <w:rPr>
          <w:color w:val="211F1F"/>
          <w:spacing w:val="-14"/>
        </w:rPr>
        <w:t xml:space="preserve"> </w:t>
      </w:r>
      <w:r>
        <w:rPr>
          <w:color w:val="211F1F"/>
        </w:rPr>
        <w:t xml:space="preserve">to </w:t>
      </w:r>
      <w:r>
        <w:rPr>
          <w:color w:val="211F1F"/>
          <w:spacing w:val="-2"/>
        </w:rPr>
        <w:t>Award.</w:t>
      </w:r>
    </w:p>
    <w:p w14:paraId="135D40F1" w14:textId="77777777" w:rsidR="00BB77C0" w:rsidRDefault="00370BAA">
      <w:pPr>
        <w:pStyle w:val="ListParagraph"/>
        <w:numPr>
          <w:ilvl w:val="1"/>
          <w:numId w:val="16"/>
        </w:numPr>
        <w:tabs>
          <w:tab w:val="left" w:pos="1618"/>
        </w:tabs>
        <w:spacing w:before="66"/>
        <w:ind w:left="1618" w:hanging="567"/>
        <w:rPr>
          <w:color w:val="211F1F"/>
        </w:rPr>
      </w:pPr>
      <w:r>
        <w:rPr>
          <w:color w:val="211F1F"/>
          <w:spacing w:val="-2"/>
        </w:rPr>
        <w:t>The</w:t>
      </w:r>
      <w:r>
        <w:rPr>
          <w:color w:val="211F1F"/>
          <w:spacing w:val="-23"/>
        </w:rPr>
        <w:t xml:space="preserve"> </w:t>
      </w:r>
      <w:r>
        <w:rPr>
          <w:color w:val="211F1F"/>
          <w:spacing w:val="-2"/>
        </w:rPr>
        <w:t>Standstill</w:t>
      </w:r>
      <w:r>
        <w:rPr>
          <w:color w:val="211F1F"/>
          <w:spacing w:val="-20"/>
        </w:rPr>
        <w:t xml:space="preserve"> </w:t>
      </w:r>
      <w:r>
        <w:rPr>
          <w:color w:val="211F1F"/>
          <w:spacing w:val="-2"/>
        </w:rPr>
        <w:t>Period</w:t>
      </w:r>
      <w:r>
        <w:rPr>
          <w:color w:val="211F1F"/>
          <w:spacing w:val="-16"/>
        </w:rPr>
        <w:t xml:space="preserve"> </w:t>
      </w:r>
      <w:r>
        <w:rPr>
          <w:color w:val="211F1F"/>
          <w:spacing w:val="-2"/>
        </w:rPr>
        <w:t>may</w:t>
      </w:r>
      <w:r>
        <w:rPr>
          <w:color w:val="211F1F"/>
          <w:spacing w:val="-21"/>
        </w:rPr>
        <w:t xml:space="preserve"> </w:t>
      </w:r>
      <w:r>
        <w:rPr>
          <w:color w:val="211F1F"/>
          <w:spacing w:val="-2"/>
        </w:rPr>
        <w:t>be</w:t>
      </w:r>
      <w:r>
        <w:rPr>
          <w:color w:val="211F1F"/>
          <w:spacing w:val="-24"/>
        </w:rPr>
        <w:t xml:space="preserve"> </w:t>
      </w:r>
      <w:r>
        <w:rPr>
          <w:color w:val="211F1F"/>
          <w:spacing w:val="-2"/>
        </w:rPr>
        <w:t>extended</w:t>
      </w:r>
      <w:r>
        <w:rPr>
          <w:color w:val="211F1F"/>
          <w:spacing w:val="-21"/>
        </w:rPr>
        <w:t xml:space="preserve"> </w:t>
      </w:r>
      <w:r>
        <w:rPr>
          <w:color w:val="211F1F"/>
          <w:spacing w:val="-2"/>
        </w:rPr>
        <w:t>as</w:t>
      </w:r>
      <w:r>
        <w:rPr>
          <w:color w:val="211F1F"/>
          <w:spacing w:val="-16"/>
        </w:rPr>
        <w:t xml:space="preserve"> </w:t>
      </w:r>
      <w:r>
        <w:rPr>
          <w:color w:val="211F1F"/>
          <w:spacing w:val="-2"/>
        </w:rPr>
        <w:t>stated</w:t>
      </w:r>
      <w:r>
        <w:rPr>
          <w:color w:val="211F1F"/>
          <w:spacing w:val="-21"/>
        </w:rPr>
        <w:t xml:space="preserve"> </w:t>
      </w:r>
      <w:r>
        <w:rPr>
          <w:color w:val="211F1F"/>
          <w:spacing w:val="-2"/>
        </w:rPr>
        <w:t>in</w:t>
      </w:r>
      <w:r>
        <w:rPr>
          <w:color w:val="211F1F"/>
          <w:spacing w:val="-22"/>
        </w:rPr>
        <w:t xml:space="preserve"> </w:t>
      </w:r>
      <w:r>
        <w:rPr>
          <w:color w:val="211F1F"/>
          <w:spacing w:val="-2"/>
        </w:rPr>
        <w:t>paragraph</w:t>
      </w:r>
      <w:r>
        <w:rPr>
          <w:color w:val="211F1F"/>
          <w:spacing w:val="-21"/>
        </w:rPr>
        <w:t xml:space="preserve"> </w:t>
      </w:r>
      <w:r>
        <w:rPr>
          <w:color w:val="211F1F"/>
          <w:spacing w:val="-2"/>
        </w:rPr>
        <w:t>Section</w:t>
      </w:r>
      <w:r>
        <w:rPr>
          <w:color w:val="211F1F"/>
          <w:spacing w:val="-15"/>
        </w:rPr>
        <w:t xml:space="preserve"> </w:t>
      </w:r>
      <w:r>
        <w:rPr>
          <w:color w:val="211F1F"/>
          <w:spacing w:val="-2"/>
        </w:rPr>
        <w:t>5</w:t>
      </w:r>
      <w:r>
        <w:rPr>
          <w:color w:val="211F1F"/>
          <w:spacing w:val="-17"/>
        </w:rPr>
        <w:t xml:space="preserve"> </w:t>
      </w:r>
      <w:r>
        <w:rPr>
          <w:color w:val="211F1F"/>
          <w:spacing w:val="-2"/>
        </w:rPr>
        <w:t>(d)</w:t>
      </w:r>
      <w:r>
        <w:rPr>
          <w:color w:val="211F1F"/>
          <w:spacing w:val="-22"/>
        </w:rPr>
        <w:t xml:space="preserve"> </w:t>
      </w:r>
      <w:r>
        <w:rPr>
          <w:color w:val="211F1F"/>
          <w:spacing w:val="-2"/>
        </w:rPr>
        <w:t>above.</w:t>
      </w:r>
    </w:p>
    <w:p w14:paraId="7B912A59" w14:textId="77777777" w:rsidR="00BB77C0" w:rsidRDefault="00370BAA">
      <w:pPr>
        <w:pStyle w:val="BodyText"/>
        <w:spacing w:before="238" w:line="232" w:lineRule="auto"/>
        <w:ind w:left="1046" w:right="901" w:firstLine="4"/>
      </w:pPr>
      <w:r>
        <w:rPr>
          <w:color w:val="211F1F"/>
        </w:rPr>
        <w:t>If</w:t>
      </w:r>
      <w:r>
        <w:rPr>
          <w:color w:val="211F1F"/>
          <w:spacing w:val="-23"/>
        </w:rPr>
        <w:t xml:space="preserve"> </w:t>
      </w:r>
      <w:r>
        <w:rPr>
          <w:color w:val="211F1F"/>
        </w:rPr>
        <w:t>you</w:t>
      </w:r>
      <w:r>
        <w:rPr>
          <w:color w:val="211F1F"/>
          <w:spacing w:val="-17"/>
        </w:rPr>
        <w:t xml:space="preserve"> </w:t>
      </w:r>
      <w:r>
        <w:rPr>
          <w:color w:val="211F1F"/>
        </w:rPr>
        <w:t>haveany</w:t>
      </w:r>
      <w:r>
        <w:rPr>
          <w:color w:val="211F1F"/>
          <w:spacing w:val="-27"/>
        </w:rPr>
        <w:t xml:space="preserve"> </w:t>
      </w:r>
      <w:r>
        <w:rPr>
          <w:color w:val="211F1F"/>
        </w:rPr>
        <w:t>questions</w:t>
      </w:r>
      <w:r>
        <w:rPr>
          <w:color w:val="211F1F"/>
          <w:spacing w:val="-20"/>
        </w:rPr>
        <w:t xml:space="preserve"> </w:t>
      </w:r>
      <w:r>
        <w:rPr>
          <w:color w:val="211F1F"/>
        </w:rPr>
        <w:t>regarding</w:t>
      </w:r>
      <w:r>
        <w:rPr>
          <w:color w:val="211F1F"/>
          <w:spacing w:val="-25"/>
        </w:rPr>
        <w:t xml:space="preserve"> </w:t>
      </w:r>
      <w:r>
        <w:rPr>
          <w:color w:val="211F1F"/>
        </w:rPr>
        <w:t>this</w:t>
      </w:r>
      <w:r>
        <w:rPr>
          <w:color w:val="211F1F"/>
          <w:spacing w:val="-21"/>
        </w:rPr>
        <w:t xml:space="preserve"> </w:t>
      </w:r>
      <w:r>
        <w:rPr>
          <w:color w:val="211F1F"/>
        </w:rPr>
        <w:t>Notification</w:t>
      </w:r>
      <w:r>
        <w:rPr>
          <w:color w:val="211F1F"/>
          <w:spacing w:val="-25"/>
        </w:rPr>
        <w:t xml:space="preserve"> </w:t>
      </w:r>
      <w:r>
        <w:rPr>
          <w:color w:val="211F1F"/>
        </w:rPr>
        <w:t>please</w:t>
      </w:r>
      <w:r>
        <w:rPr>
          <w:color w:val="211F1F"/>
          <w:spacing w:val="-23"/>
        </w:rPr>
        <w:t xml:space="preserve"> </w:t>
      </w:r>
      <w:r>
        <w:rPr>
          <w:color w:val="211F1F"/>
        </w:rPr>
        <w:t>do</w:t>
      </w:r>
      <w:r>
        <w:rPr>
          <w:color w:val="211F1F"/>
          <w:spacing w:val="-21"/>
        </w:rPr>
        <w:t xml:space="preserve"> </w:t>
      </w:r>
      <w:r>
        <w:rPr>
          <w:color w:val="211F1F"/>
        </w:rPr>
        <w:t>not</w:t>
      </w:r>
      <w:r>
        <w:rPr>
          <w:color w:val="211F1F"/>
          <w:spacing w:val="-21"/>
        </w:rPr>
        <w:t xml:space="preserve"> </w:t>
      </w:r>
      <w:r>
        <w:rPr>
          <w:color w:val="211F1F"/>
        </w:rPr>
        <w:t>hesitate</w:t>
      </w:r>
      <w:r>
        <w:rPr>
          <w:color w:val="211F1F"/>
          <w:spacing w:val="-27"/>
        </w:rPr>
        <w:t xml:space="preserve"> </w:t>
      </w:r>
      <w:r>
        <w:rPr>
          <w:color w:val="211F1F"/>
        </w:rPr>
        <w:t>to</w:t>
      </w:r>
      <w:r>
        <w:rPr>
          <w:color w:val="211F1F"/>
          <w:spacing w:val="-27"/>
        </w:rPr>
        <w:t xml:space="preserve"> </w:t>
      </w:r>
      <w:r>
        <w:rPr>
          <w:color w:val="211F1F"/>
        </w:rPr>
        <w:t>contact</w:t>
      </w:r>
      <w:r>
        <w:rPr>
          <w:color w:val="211F1F"/>
          <w:spacing w:val="-20"/>
        </w:rPr>
        <w:t xml:space="preserve"> </w:t>
      </w:r>
      <w:r>
        <w:rPr>
          <w:color w:val="211F1F"/>
        </w:rPr>
        <w:t>us.</w:t>
      </w:r>
      <w:r>
        <w:rPr>
          <w:color w:val="211F1F"/>
          <w:spacing w:val="-14"/>
        </w:rPr>
        <w:t xml:space="preserve"> </w:t>
      </w:r>
      <w:r>
        <w:rPr>
          <w:color w:val="211F1F"/>
        </w:rPr>
        <w:t>On</w:t>
      </w:r>
      <w:r>
        <w:rPr>
          <w:color w:val="211F1F"/>
          <w:spacing w:val="-26"/>
        </w:rPr>
        <w:t xml:space="preserve"> </w:t>
      </w:r>
      <w:r>
        <w:rPr>
          <w:color w:val="211F1F"/>
        </w:rPr>
        <w:t>behalf</w:t>
      </w:r>
      <w:r>
        <w:rPr>
          <w:color w:val="211F1F"/>
          <w:spacing w:val="-23"/>
        </w:rPr>
        <w:t xml:space="preserve"> </w:t>
      </w:r>
      <w:r>
        <w:rPr>
          <w:color w:val="211F1F"/>
        </w:rPr>
        <w:t>of</w:t>
      </w:r>
      <w:r>
        <w:rPr>
          <w:color w:val="211F1F"/>
          <w:spacing w:val="-23"/>
        </w:rPr>
        <w:t xml:space="preserve"> </w:t>
      </w:r>
      <w:r>
        <w:rPr>
          <w:color w:val="211F1F"/>
        </w:rPr>
        <w:t>the Procuring</w:t>
      </w:r>
      <w:r>
        <w:rPr>
          <w:color w:val="211F1F"/>
          <w:spacing w:val="-26"/>
        </w:rPr>
        <w:t xml:space="preserve"> </w:t>
      </w:r>
      <w:r>
        <w:rPr>
          <w:color w:val="211F1F"/>
        </w:rPr>
        <w:t>Entity:</w:t>
      </w:r>
    </w:p>
    <w:p w14:paraId="0B129F82" w14:textId="77777777" w:rsidR="00BB77C0" w:rsidRDefault="00370BAA">
      <w:pPr>
        <w:tabs>
          <w:tab w:val="left" w:pos="6869"/>
          <w:tab w:val="left" w:pos="9773"/>
        </w:tabs>
        <w:spacing w:before="243"/>
        <w:ind w:left="1046"/>
        <w:rPr>
          <w:b/>
        </w:rPr>
      </w:pPr>
      <w:bookmarkStart w:id="250" w:name="Signature:__Name:___Title/position:___Te"/>
      <w:bookmarkEnd w:id="250"/>
      <w:r>
        <w:rPr>
          <w:b/>
          <w:color w:val="211F1F"/>
          <w:spacing w:val="-2"/>
        </w:rPr>
        <w:t>Signature:</w:t>
      </w:r>
      <w:r>
        <w:rPr>
          <w:b/>
          <w:color w:val="211F1F"/>
          <w:u w:val="single" w:color="201E1F"/>
        </w:rPr>
        <w:tab/>
      </w:r>
      <w:r>
        <w:rPr>
          <w:b/>
          <w:color w:val="211F1F"/>
          <w:spacing w:val="-2"/>
        </w:rPr>
        <w:t>Name:</w:t>
      </w:r>
      <w:r>
        <w:rPr>
          <w:b/>
          <w:color w:val="211F1F"/>
          <w:u w:val="single" w:color="201E1F"/>
        </w:rPr>
        <w:tab/>
      </w:r>
    </w:p>
    <w:p w14:paraId="647DE56A" w14:textId="77777777" w:rsidR="00BB77C0" w:rsidRDefault="00370BAA">
      <w:pPr>
        <w:tabs>
          <w:tab w:val="left" w:pos="6902"/>
          <w:tab w:val="left" w:pos="8333"/>
          <w:tab w:val="left" w:pos="10503"/>
        </w:tabs>
        <w:spacing w:before="236"/>
        <w:ind w:left="1051"/>
        <w:rPr>
          <w:b/>
        </w:rPr>
      </w:pPr>
      <w:r>
        <w:rPr>
          <w:b/>
          <w:color w:val="211F1F"/>
          <w:spacing w:val="-2"/>
        </w:rPr>
        <w:t>Title/position:</w:t>
      </w:r>
      <w:r>
        <w:rPr>
          <w:b/>
          <w:color w:val="211F1F"/>
          <w:u w:val="single" w:color="201E1F"/>
        </w:rPr>
        <w:tab/>
      </w:r>
      <w:r>
        <w:rPr>
          <w:b/>
          <w:color w:val="211F1F"/>
          <w:spacing w:val="-2"/>
        </w:rPr>
        <w:t>Telephone:</w:t>
      </w:r>
      <w:r>
        <w:rPr>
          <w:b/>
          <w:color w:val="211F1F"/>
          <w:u w:val="single" w:color="201E1F"/>
        </w:rPr>
        <w:tab/>
      </w:r>
      <w:r>
        <w:rPr>
          <w:b/>
          <w:color w:val="211F1F"/>
        </w:rPr>
        <w:t xml:space="preserve">Email: </w:t>
      </w:r>
      <w:r>
        <w:rPr>
          <w:b/>
          <w:color w:val="211F1F"/>
          <w:u w:val="single" w:color="201E1F"/>
        </w:rPr>
        <w:tab/>
      </w:r>
    </w:p>
    <w:p w14:paraId="4CD6ED45" w14:textId="77777777" w:rsidR="00BB77C0" w:rsidRDefault="00BB77C0">
      <w:pPr>
        <w:rPr>
          <w:b/>
        </w:rPr>
        <w:sectPr w:rsidR="00BB77C0">
          <w:pgSz w:w="11920" w:h="16850"/>
          <w:pgMar w:top="260" w:right="0" w:bottom="280" w:left="360" w:header="720" w:footer="720" w:gutter="0"/>
          <w:cols w:space="720"/>
        </w:sectPr>
      </w:pPr>
    </w:p>
    <w:p w14:paraId="6C596121" w14:textId="77777777" w:rsidR="00BB77C0" w:rsidRDefault="00370BAA">
      <w:pPr>
        <w:spacing w:before="70"/>
        <w:ind w:left="936"/>
        <w:rPr>
          <w:b/>
        </w:rPr>
      </w:pPr>
      <w:r>
        <w:rPr>
          <w:b/>
          <w:color w:val="211F1F"/>
        </w:rPr>
        <w:lastRenderedPageBreak/>
        <w:t>FORM</w:t>
      </w:r>
      <w:r>
        <w:rPr>
          <w:b/>
          <w:color w:val="211F1F"/>
          <w:spacing w:val="-9"/>
        </w:rPr>
        <w:t xml:space="preserve"> </w:t>
      </w:r>
      <w:r>
        <w:rPr>
          <w:b/>
          <w:color w:val="211F1F"/>
        </w:rPr>
        <w:t>NO.</w:t>
      </w:r>
      <w:r>
        <w:rPr>
          <w:b/>
          <w:color w:val="211F1F"/>
          <w:spacing w:val="-4"/>
        </w:rPr>
        <w:t xml:space="preserve"> </w:t>
      </w:r>
      <w:r>
        <w:rPr>
          <w:b/>
          <w:color w:val="211F1F"/>
        </w:rPr>
        <w:t>2</w:t>
      </w:r>
      <w:r>
        <w:rPr>
          <w:b/>
          <w:color w:val="211F1F"/>
          <w:spacing w:val="-8"/>
        </w:rPr>
        <w:t xml:space="preserve"> </w:t>
      </w:r>
      <w:r>
        <w:rPr>
          <w:b/>
          <w:color w:val="211F1F"/>
        </w:rPr>
        <w:t>-</w:t>
      </w:r>
      <w:r>
        <w:rPr>
          <w:b/>
          <w:color w:val="211F1F"/>
          <w:spacing w:val="-3"/>
        </w:rPr>
        <w:t xml:space="preserve"> </w:t>
      </w:r>
      <w:r>
        <w:rPr>
          <w:b/>
        </w:rPr>
        <w:t>REQUEST</w:t>
      </w:r>
      <w:r>
        <w:rPr>
          <w:b/>
          <w:spacing w:val="-5"/>
        </w:rPr>
        <w:t xml:space="preserve"> </w:t>
      </w:r>
      <w:r>
        <w:rPr>
          <w:b/>
        </w:rPr>
        <w:t>FOR</w:t>
      </w:r>
      <w:r>
        <w:rPr>
          <w:b/>
          <w:spacing w:val="-7"/>
        </w:rPr>
        <w:t xml:space="preserve"> </w:t>
      </w:r>
      <w:r>
        <w:rPr>
          <w:b/>
          <w:spacing w:val="-2"/>
        </w:rPr>
        <w:t>REVIEW</w:t>
      </w:r>
    </w:p>
    <w:p w14:paraId="3BF032DD" w14:textId="77777777" w:rsidR="00BB77C0" w:rsidRDefault="00BB77C0">
      <w:pPr>
        <w:pStyle w:val="BodyText"/>
        <w:spacing w:before="160"/>
        <w:rPr>
          <w:b/>
        </w:rPr>
      </w:pPr>
    </w:p>
    <w:p w14:paraId="08DC1624" w14:textId="77777777" w:rsidR="00BB77C0" w:rsidRDefault="00370BAA">
      <w:pPr>
        <w:spacing w:before="1"/>
        <w:ind w:left="4773"/>
        <w:rPr>
          <w:b/>
          <w:sz w:val="20"/>
        </w:rPr>
      </w:pPr>
      <w:r>
        <w:rPr>
          <w:b/>
          <w:sz w:val="20"/>
        </w:rPr>
        <w:t>FORM</w:t>
      </w:r>
      <w:r>
        <w:rPr>
          <w:b/>
          <w:spacing w:val="-9"/>
          <w:sz w:val="20"/>
        </w:rPr>
        <w:t xml:space="preserve"> </w:t>
      </w:r>
      <w:r>
        <w:rPr>
          <w:b/>
          <w:sz w:val="20"/>
        </w:rPr>
        <w:t>FOR</w:t>
      </w:r>
      <w:r>
        <w:rPr>
          <w:b/>
          <w:spacing w:val="-8"/>
          <w:sz w:val="20"/>
        </w:rPr>
        <w:t xml:space="preserve"> </w:t>
      </w:r>
      <w:r>
        <w:rPr>
          <w:b/>
          <w:spacing w:val="-2"/>
          <w:sz w:val="20"/>
        </w:rPr>
        <w:t>REVIEW(r.203(1))</w:t>
      </w:r>
    </w:p>
    <w:p w14:paraId="7E4A0BFC" w14:textId="77777777" w:rsidR="00BB77C0" w:rsidRDefault="00BB77C0">
      <w:pPr>
        <w:pStyle w:val="BodyText"/>
        <w:rPr>
          <w:b/>
          <w:sz w:val="20"/>
        </w:rPr>
      </w:pPr>
    </w:p>
    <w:p w14:paraId="79BAC97D" w14:textId="77777777" w:rsidR="00BB77C0" w:rsidRDefault="00BB77C0">
      <w:pPr>
        <w:pStyle w:val="BodyText"/>
        <w:spacing w:before="125"/>
        <w:rPr>
          <w:b/>
          <w:sz w:val="20"/>
        </w:rPr>
      </w:pPr>
    </w:p>
    <w:p w14:paraId="0DD0C5DC" w14:textId="77777777" w:rsidR="00BB77C0" w:rsidRDefault="00370BAA">
      <w:pPr>
        <w:spacing w:before="1"/>
        <w:ind w:left="366"/>
        <w:jc w:val="center"/>
        <w:rPr>
          <w:b/>
          <w:sz w:val="20"/>
        </w:rPr>
      </w:pPr>
      <w:r>
        <w:rPr>
          <w:b/>
          <w:spacing w:val="-2"/>
          <w:sz w:val="20"/>
        </w:rPr>
        <w:t>PUBLIC</w:t>
      </w:r>
      <w:r>
        <w:rPr>
          <w:b/>
          <w:spacing w:val="-7"/>
          <w:sz w:val="20"/>
        </w:rPr>
        <w:t xml:space="preserve"> </w:t>
      </w:r>
      <w:r>
        <w:rPr>
          <w:b/>
          <w:spacing w:val="-2"/>
          <w:sz w:val="20"/>
        </w:rPr>
        <w:t>PROCUREMENT</w:t>
      </w:r>
      <w:r>
        <w:rPr>
          <w:b/>
          <w:spacing w:val="-3"/>
          <w:sz w:val="20"/>
        </w:rPr>
        <w:t xml:space="preserve"> </w:t>
      </w:r>
      <w:r>
        <w:rPr>
          <w:b/>
          <w:spacing w:val="-2"/>
          <w:sz w:val="20"/>
        </w:rPr>
        <w:t>ADMINISTRATIVE</w:t>
      </w:r>
      <w:r>
        <w:rPr>
          <w:b/>
          <w:spacing w:val="-3"/>
          <w:sz w:val="20"/>
        </w:rPr>
        <w:t xml:space="preserve"> </w:t>
      </w:r>
      <w:r>
        <w:rPr>
          <w:b/>
          <w:spacing w:val="-2"/>
          <w:sz w:val="20"/>
        </w:rPr>
        <w:t>REVIEW</w:t>
      </w:r>
      <w:r>
        <w:rPr>
          <w:b/>
          <w:spacing w:val="-9"/>
          <w:sz w:val="20"/>
        </w:rPr>
        <w:t xml:space="preserve"> </w:t>
      </w:r>
      <w:r>
        <w:rPr>
          <w:b/>
          <w:spacing w:val="-2"/>
          <w:sz w:val="20"/>
        </w:rPr>
        <w:t>BOARD</w:t>
      </w:r>
    </w:p>
    <w:p w14:paraId="1D434FBB" w14:textId="77777777" w:rsidR="00BB77C0" w:rsidRDefault="00370BAA">
      <w:pPr>
        <w:spacing w:before="178"/>
        <w:ind w:left="360"/>
        <w:jc w:val="center"/>
        <w:rPr>
          <w:b/>
          <w:sz w:val="20"/>
        </w:rPr>
      </w:pPr>
      <w:r>
        <w:rPr>
          <w:b/>
          <w:spacing w:val="-2"/>
          <w:sz w:val="20"/>
        </w:rPr>
        <w:t>APPLICATION</w:t>
      </w:r>
      <w:r>
        <w:rPr>
          <w:b/>
          <w:spacing w:val="-8"/>
          <w:sz w:val="20"/>
        </w:rPr>
        <w:t xml:space="preserve"> </w:t>
      </w:r>
      <w:r>
        <w:rPr>
          <w:b/>
          <w:spacing w:val="-2"/>
          <w:sz w:val="20"/>
        </w:rPr>
        <w:t>NO…………….OF……….….20……...</w:t>
      </w:r>
    </w:p>
    <w:p w14:paraId="3A56855C" w14:textId="77777777" w:rsidR="00BB77C0" w:rsidRDefault="00370BAA">
      <w:pPr>
        <w:spacing w:before="178"/>
        <w:ind w:left="366"/>
        <w:jc w:val="center"/>
        <w:rPr>
          <w:b/>
          <w:sz w:val="20"/>
        </w:rPr>
      </w:pPr>
      <w:r>
        <w:rPr>
          <w:b/>
          <w:spacing w:val="-2"/>
          <w:sz w:val="20"/>
        </w:rPr>
        <w:t>BETWEEN</w:t>
      </w:r>
    </w:p>
    <w:p w14:paraId="2446FEC1" w14:textId="77777777" w:rsidR="00BB77C0" w:rsidRDefault="00370BAA">
      <w:pPr>
        <w:tabs>
          <w:tab w:val="left" w:leader="dot" w:pos="4969"/>
        </w:tabs>
        <w:spacing w:before="178"/>
        <w:ind w:left="369"/>
        <w:jc w:val="center"/>
        <w:rPr>
          <w:b/>
          <w:sz w:val="20"/>
        </w:rPr>
      </w:pPr>
      <w:r>
        <w:rPr>
          <w:b/>
          <w:spacing w:val="-10"/>
          <w:sz w:val="20"/>
        </w:rPr>
        <w:t>…</w:t>
      </w:r>
      <w:r>
        <w:rPr>
          <w:sz w:val="20"/>
        </w:rPr>
        <w:tab/>
      </w:r>
      <w:r>
        <w:rPr>
          <w:b/>
          <w:spacing w:val="-2"/>
          <w:sz w:val="20"/>
        </w:rPr>
        <w:t>APPLICANT</w:t>
      </w:r>
    </w:p>
    <w:p w14:paraId="52A7EDE8" w14:textId="77777777" w:rsidR="00BB77C0" w:rsidRDefault="00370BAA">
      <w:pPr>
        <w:spacing w:before="178"/>
        <w:ind w:left="355"/>
        <w:jc w:val="center"/>
        <w:rPr>
          <w:b/>
          <w:sz w:val="20"/>
        </w:rPr>
      </w:pPr>
      <w:r>
        <w:rPr>
          <w:b/>
          <w:spacing w:val="-5"/>
          <w:sz w:val="20"/>
        </w:rPr>
        <w:t>AND</w:t>
      </w:r>
    </w:p>
    <w:p w14:paraId="0F5EB52D" w14:textId="77777777" w:rsidR="00BB77C0" w:rsidRDefault="00370BAA">
      <w:pPr>
        <w:tabs>
          <w:tab w:val="left" w:leader="dot" w:pos="2962"/>
        </w:tabs>
        <w:spacing w:before="179"/>
        <w:ind w:left="360"/>
        <w:jc w:val="center"/>
        <w:rPr>
          <w:b/>
          <w:sz w:val="20"/>
        </w:rPr>
      </w:pPr>
      <w:r>
        <w:rPr>
          <w:b/>
          <w:spacing w:val="-10"/>
          <w:sz w:val="20"/>
        </w:rPr>
        <w:t>…</w:t>
      </w:r>
      <w:r>
        <w:rPr>
          <w:sz w:val="20"/>
        </w:rPr>
        <w:tab/>
      </w:r>
      <w:r>
        <w:rPr>
          <w:b/>
          <w:spacing w:val="-2"/>
          <w:sz w:val="20"/>
        </w:rPr>
        <w:t>RESPONDENT</w:t>
      </w:r>
      <w:r>
        <w:rPr>
          <w:b/>
          <w:spacing w:val="-5"/>
          <w:sz w:val="20"/>
        </w:rPr>
        <w:t xml:space="preserve"> </w:t>
      </w:r>
      <w:r>
        <w:rPr>
          <w:b/>
          <w:spacing w:val="-2"/>
          <w:sz w:val="20"/>
        </w:rPr>
        <w:t>(Procuring</w:t>
      </w:r>
      <w:r>
        <w:rPr>
          <w:b/>
          <w:spacing w:val="1"/>
          <w:sz w:val="20"/>
        </w:rPr>
        <w:t xml:space="preserve"> </w:t>
      </w:r>
      <w:r>
        <w:rPr>
          <w:b/>
          <w:spacing w:val="-2"/>
          <w:sz w:val="20"/>
        </w:rPr>
        <w:t>Entity)</w:t>
      </w:r>
    </w:p>
    <w:p w14:paraId="3F59354C" w14:textId="77777777" w:rsidR="00BB77C0" w:rsidRDefault="00BB77C0">
      <w:pPr>
        <w:pStyle w:val="BodyText"/>
        <w:rPr>
          <w:b/>
          <w:sz w:val="20"/>
        </w:rPr>
      </w:pPr>
    </w:p>
    <w:p w14:paraId="5C5E760E" w14:textId="77777777" w:rsidR="00BB77C0" w:rsidRDefault="00BB77C0">
      <w:pPr>
        <w:pStyle w:val="BodyText"/>
        <w:spacing w:before="121"/>
        <w:rPr>
          <w:b/>
          <w:sz w:val="20"/>
        </w:rPr>
      </w:pPr>
    </w:p>
    <w:p w14:paraId="2EE3E1EF" w14:textId="77777777" w:rsidR="00BB77C0" w:rsidRDefault="00370BAA">
      <w:pPr>
        <w:tabs>
          <w:tab w:val="left" w:pos="8484"/>
        </w:tabs>
        <w:ind w:left="360"/>
        <w:rPr>
          <w:sz w:val="20"/>
        </w:rPr>
      </w:pPr>
      <w:r>
        <w:rPr>
          <w:sz w:val="20"/>
        </w:rPr>
        <w:t>Request</w:t>
      </w:r>
      <w:r>
        <w:rPr>
          <w:spacing w:val="57"/>
          <w:w w:val="150"/>
          <w:sz w:val="20"/>
        </w:rPr>
        <w:t xml:space="preserve"> </w:t>
      </w:r>
      <w:r>
        <w:rPr>
          <w:sz w:val="20"/>
        </w:rPr>
        <w:t>for</w:t>
      </w:r>
      <w:r>
        <w:rPr>
          <w:spacing w:val="63"/>
          <w:w w:val="150"/>
          <w:sz w:val="20"/>
        </w:rPr>
        <w:t xml:space="preserve"> </w:t>
      </w:r>
      <w:r>
        <w:rPr>
          <w:sz w:val="20"/>
        </w:rPr>
        <w:t>review</w:t>
      </w:r>
      <w:r>
        <w:rPr>
          <w:spacing w:val="78"/>
          <w:sz w:val="20"/>
        </w:rPr>
        <w:t xml:space="preserve"> </w:t>
      </w:r>
      <w:r>
        <w:rPr>
          <w:sz w:val="20"/>
        </w:rPr>
        <w:t>of</w:t>
      </w:r>
      <w:r>
        <w:rPr>
          <w:spacing w:val="78"/>
          <w:sz w:val="20"/>
        </w:rPr>
        <w:t xml:space="preserve"> </w:t>
      </w:r>
      <w:r>
        <w:rPr>
          <w:sz w:val="20"/>
        </w:rPr>
        <w:t>the</w:t>
      </w:r>
      <w:r>
        <w:rPr>
          <w:spacing w:val="77"/>
          <w:sz w:val="20"/>
        </w:rPr>
        <w:t xml:space="preserve"> </w:t>
      </w:r>
      <w:r>
        <w:rPr>
          <w:sz w:val="20"/>
        </w:rPr>
        <w:t>decision</w:t>
      </w:r>
      <w:r>
        <w:rPr>
          <w:spacing w:val="63"/>
          <w:w w:val="150"/>
          <w:sz w:val="20"/>
        </w:rPr>
        <w:t xml:space="preserve"> </w:t>
      </w:r>
      <w:r>
        <w:rPr>
          <w:sz w:val="20"/>
        </w:rPr>
        <w:t>of</w:t>
      </w:r>
      <w:r>
        <w:rPr>
          <w:spacing w:val="55"/>
          <w:w w:val="150"/>
          <w:sz w:val="20"/>
        </w:rPr>
        <w:t xml:space="preserve"> </w:t>
      </w:r>
      <w:r>
        <w:rPr>
          <w:sz w:val="20"/>
        </w:rPr>
        <w:t>the……………</w:t>
      </w:r>
      <w:r>
        <w:rPr>
          <w:spacing w:val="78"/>
          <w:sz w:val="20"/>
        </w:rPr>
        <w:t xml:space="preserve"> </w:t>
      </w:r>
      <w:r>
        <w:rPr>
          <w:sz w:val="20"/>
        </w:rPr>
        <w:t>(Name</w:t>
      </w:r>
      <w:r>
        <w:rPr>
          <w:spacing w:val="56"/>
          <w:w w:val="150"/>
          <w:sz w:val="20"/>
        </w:rPr>
        <w:t xml:space="preserve"> </w:t>
      </w:r>
      <w:r>
        <w:rPr>
          <w:sz w:val="20"/>
        </w:rPr>
        <w:t>of</w:t>
      </w:r>
      <w:r>
        <w:rPr>
          <w:spacing w:val="78"/>
          <w:sz w:val="20"/>
        </w:rPr>
        <w:t xml:space="preserve"> </w:t>
      </w:r>
      <w:r>
        <w:rPr>
          <w:sz w:val="20"/>
        </w:rPr>
        <w:t>the</w:t>
      </w:r>
      <w:r>
        <w:rPr>
          <w:spacing w:val="56"/>
          <w:w w:val="150"/>
          <w:sz w:val="20"/>
        </w:rPr>
        <w:t xml:space="preserve"> </w:t>
      </w:r>
      <w:r>
        <w:rPr>
          <w:sz w:val="20"/>
        </w:rPr>
        <w:t>Procuring</w:t>
      </w:r>
      <w:r>
        <w:rPr>
          <w:spacing w:val="80"/>
          <w:sz w:val="20"/>
        </w:rPr>
        <w:t xml:space="preserve"> </w:t>
      </w:r>
      <w:r>
        <w:rPr>
          <w:spacing w:val="-2"/>
          <w:sz w:val="20"/>
        </w:rPr>
        <w:t>Entity</w:t>
      </w:r>
      <w:r>
        <w:rPr>
          <w:sz w:val="20"/>
        </w:rPr>
        <w:tab/>
        <w:t>of</w:t>
      </w:r>
      <w:r>
        <w:rPr>
          <w:spacing w:val="73"/>
          <w:sz w:val="20"/>
        </w:rPr>
        <w:t xml:space="preserve"> </w:t>
      </w:r>
      <w:r>
        <w:rPr>
          <w:sz w:val="20"/>
        </w:rPr>
        <w:t>……………dated</w:t>
      </w:r>
      <w:r>
        <w:rPr>
          <w:spacing w:val="56"/>
          <w:w w:val="150"/>
          <w:sz w:val="20"/>
        </w:rPr>
        <w:t xml:space="preserve"> </w:t>
      </w:r>
      <w:r>
        <w:rPr>
          <w:sz w:val="20"/>
        </w:rPr>
        <w:t>the…day</w:t>
      </w:r>
      <w:r>
        <w:rPr>
          <w:spacing w:val="76"/>
          <w:sz w:val="20"/>
        </w:rPr>
        <w:t xml:space="preserve"> </w:t>
      </w:r>
      <w:r>
        <w:rPr>
          <w:spacing w:val="-5"/>
          <w:sz w:val="20"/>
        </w:rPr>
        <w:t>of</w:t>
      </w:r>
    </w:p>
    <w:p w14:paraId="775F6869" w14:textId="77777777" w:rsidR="00BB77C0" w:rsidRDefault="00370BAA">
      <w:pPr>
        <w:tabs>
          <w:tab w:val="left" w:leader="dot" w:pos="7505"/>
        </w:tabs>
        <w:spacing w:before="20"/>
        <w:ind w:left="360"/>
        <w:rPr>
          <w:sz w:val="20"/>
        </w:rPr>
      </w:pPr>
      <w:r>
        <w:rPr>
          <w:spacing w:val="-2"/>
          <w:sz w:val="20"/>
        </w:rPr>
        <w:t>………….20……….in</w:t>
      </w:r>
      <w:r>
        <w:rPr>
          <w:spacing w:val="-3"/>
          <w:sz w:val="20"/>
        </w:rPr>
        <w:t xml:space="preserve"> </w:t>
      </w:r>
      <w:r>
        <w:rPr>
          <w:spacing w:val="-2"/>
          <w:sz w:val="20"/>
        </w:rPr>
        <w:t>the</w:t>
      </w:r>
      <w:r>
        <w:rPr>
          <w:spacing w:val="-5"/>
          <w:sz w:val="20"/>
        </w:rPr>
        <w:t xml:space="preserve"> </w:t>
      </w:r>
      <w:r>
        <w:rPr>
          <w:spacing w:val="-2"/>
          <w:sz w:val="20"/>
        </w:rPr>
        <w:t>matter</w:t>
      </w:r>
      <w:r>
        <w:rPr>
          <w:spacing w:val="4"/>
          <w:sz w:val="20"/>
        </w:rPr>
        <w:t xml:space="preserve"> </w:t>
      </w:r>
      <w:r>
        <w:rPr>
          <w:spacing w:val="-2"/>
          <w:sz w:val="20"/>
        </w:rPr>
        <w:t>of</w:t>
      </w:r>
      <w:r>
        <w:rPr>
          <w:spacing w:val="-1"/>
          <w:sz w:val="20"/>
        </w:rPr>
        <w:t xml:space="preserve"> </w:t>
      </w:r>
      <w:r>
        <w:rPr>
          <w:spacing w:val="-2"/>
          <w:sz w:val="20"/>
        </w:rPr>
        <w:t>Tender</w:t>
      </w:r>
      <w:r>
        <w:rPr>
          <w:spacing w:val="5"/>
          <w:sz w:val="20"/>
        </w:rPr>
        <w:t xml:space="preserve"> </w:t>
      </w:r>
      <w:r>
        <w:rPr>
          <w:spacing w:val="-2"/>
          <w:sz w:val="20"/>
        </w:rPr>
        <w:t>No………..…of</w:t>
      </w:r>
      <w:r>
        <w:rPr>
          <w:spacing w:val="-6"/>
          <w:sz w:val="20"/>
        </w:rPr>
        <w:t xml:space="preserve"> </w:t>
      </w:r>
      <w:r>
        <w:rPr>
          <w:spacing w:val="-2"/>
          <w:sz w:val="20"/>
        </w:rPr>
        <w:t>…………..20…..</w:t>
      </w:r>
      <w:r>
        <w:rPr>
          <w:spacing w:val="2"/>
          <w:sz w:val="20"/>
        </w:rPr>
        <w:t xml:space="preserve"> </w:t>
      </w:r>
      <w:r>
        <w:rPr>
          <w:spacing w:val="-5"/>
          <w:sz w:val="20"/>
        </w:rPr>
        <w:t>for</w:t>
      </w:r>
      <w:r>
        <w:rPr>
          <w:sz w:val="20"/>
        </w:rPr>
        <w:tab/>
      </w:r>
      <w:r>
        <w:rPr>
          <w:spacing w:val="-2"/>
          <w:sz w:val="20"/>
        </w:rPr>
        <w:t>(Tender description).</w:t>
      </w:r>
    </w:p>
    <w:p w14:paraId="22357523" w14:textId="77777777" w:rsidR="00BB77C0" w:rsidRDefault="00370BAA">
      <w:pPr>
        <w:spacing w:before="183"/>
        <w:ind w:left="4730"/>
        <w:rPr>
          <w:b/>
          <w:sz w:val="20"/>
        </w:rPr>
      </w:pPr>
      <w:r>
        <w:rPr>
          <w:b/>
          <w:sz w:val="20"/>
        </w:rPr>
        <w:t>REQUEST</w:t>
      </w:r>
      <w:r>
        <w:rPr>
          <w:b/>
          <w:spacing w:val="-12"/>
          <w:sz w:val="20"/>
        </w:rPr>
        <w:t xml:space="preserve"> </w:t>
      </w:r>
      <w:r>
        <w:rPr>
          <w:b/>
          <w:sz w:val="20"/>
        </w:rPr>
        <w:t>FOR</w:t>
      </w:r>
      <w:r>
        <w:rPr>
          <w:b/>
          <w:spacing w:val="-12"/>
          <w:sz w:val="20"/>
        </w:rPr>
        <w:t xml:space="preserve"> </w:t>
      </w:r>
      <w:r>
        <w:rPr>
          <w:b/>
          <w:spacing w:val="-2"/>
          <w:sz w:val="20"/>
        </w:rPr>
        <w:t>REVIEW</w:t>
      </w:r>
    </w:p>
    <w:p w14:paraId="77DB9641" w14:textId="77777777" w:rsidR="00BB77C0" w:rsidRDefault="00370BAA">
      <w:pPr>
        <w:tabs>
          <w:tab w:val="left" w:leader="dot" w:pos="10900"/>
        </w:tabs>
        <w:spacing w:before="173"/>
        <w:ind w:left="408"/>
        <w:rPr>
          <w:sz w:val="20"/>
        </w:rPr>
      </w:pPr>
      <w:r>
        <w:rPr>
          <w:spacing w:val="-2"/>
          <w:sz w:val="20"/>
        </w:rPr>
        <w:t>I/We……………………………,the</w:t>
      </w:r>
      <w:r>
        <w:rPr>
          <w:spacing w:val="-11"/>
          <w:sz w:val="20"/>
        </w:rPr>
        <w:t xml:space="preserve"> </w:t>
      </w:r>
      <w:r>
        <w:rPr>
          <w:spacing w:val="-2"/>
          <w:sz w:val="20"/>
        </w:rPr>
        <w:t>above</w:t>
      </w:r>
      <w:r>
        <w:rPr>
          <w:spacing w:val="-4"/>
          <w:sz w:val="20"/>
        </w:rPr>
        <w:t xml:space="preserve"> </w:t>
      </w:r>
      <w:r>
        <w:rPr>
          <w:spacing w:val="-2"/>
          <w:sz w:val="20"/>
        </w:rPr>
        <w:t>named</w:t>
      </w:r>
      <w:r>
        <w:rPr>
          <w:spacing w:val="-3"/>
          <w:sz w:val="20"/>
        </w:rPr>
        <w:t xml:space="preserve"> </w:t>
      </w:r>
      <w:r>
        <w:rPr>
          <w:spacing w:val="-2"/>
          <w:sz w:val="20"/>
        </w:rPr>
        <w:t>Applicant(s),</w:t>
      </w:r>
      <w:r>
        <w:rPr>
          <w:spacing w:val="6"/>
          <w:sz w:val="20"/>
        </w:rPr>
        <w:t xml:space="preserve"> </w:t>
      </w:r>
      <w:r>
        <w:rPr>
          <w:spacing w:val="-2"/>
          <w:sz w:val="20"/>
        </w:rPr>
        <w:t>of address:</w:t>
      </w:r>
      <w:r>
        <w:rPr>
          <w:sz w:val="20"/>
        </w:rPr>
        <w:t xml:space="preserve"> </w:t>
      </w:r>
      <w:r>
        <w:rPr>
          <w:spacing w:val="-2"/>
          <w:sz w:val="20"/>
        </w:rPr>
        <w:t>Physical</w:t>
      </w:r>
      <w:r>
        <w:rPr>
          <w:spacing w:val="-1"/>
          <w:sz w:val="20"/>
        </w:rPr>
        <w:t xml:space="preserve"> </w:t>
      </w:r>
      <w:r>
        <w:rPr>
          <w:spacing w:val="-2"/>
          <w:sz w:val="20"/>
        </w:rPr>
        <w:t>address…………….P.</w:t>
      </w:r>
      <w:r>
        <w:rPr>
          <w:spacing w:val="2"/>
          <w:sz w:val="20"/>
        </w:rPr>
        <w:t xml:space="preserve"> </w:t>
      </w:r>
      <w:r>
        <w:rPr>
          <w:spacing w:val="-2"/>
          <w:sz w:val="20"/>
        </w:rPr>
        <w:t>O.</w:t>
      </w:r>
      <w:r>
        <w:rPr>
          <w:sz w:val="20"/>
        </w:rPr>
        <w:t xml:space="preserve"> </w:t>
      </w:r>
      <w:r>
        <w:rPr>
          <w:spacing w:val="-2"/>
          <w:sz w:val="20"/>
        </w:rPr>
        <w:t>Box</w:t>
      </w:r>
      <w:r>
        <w:rPr>
          <w:spacing w:val="51"/>
          <w:sz w:val="20"/>
        </w:rPr>
        <w:t xml:space="preserve"> </w:t>
      </w:r>
      <w:r>
        <w:rPr>
          <w:spacing w:val="-5"/>
          <w:sz w:val="20"/>
        </w:rPr>
        <w:t>No</w:t>
      </w:r>
      <w:r>
        <w:rPr>
          <w:sz w:val="20"/>
        </w:rPr>
        <w:tab/>
      </w:r>
      <w:r>
        <w:rPr>
          <w:spacing w:val="-4"/>
          <w:sz w:val="20"/>
        </w:rPr>
        <w:t>Tel.</w:t>
      </w:r>
    </w:p>
    <w:p w14:paraId="3E2033F3" w14:textId="77777777" w:rsidR="00BB77C0" w:rsidRDefault="00370BAA">
      <w:pPr>
        <w:tabs>
          <w:tab w:val="left" w:leader="dot" w:pos="2631"/>
        </w:tabs>
        <w:spacing w:before="1"/>
        <w:ind w:left="360"/>
        <w:rPr>
          <w:sz w:val="20"/>
        </w:rPr>
      </w:pPr>
      <w:r>
        <w:rPr>
          <w:spacing w:val="-2"/>
          <w:sz w:val="20"/>
        </w:rPr>
        <w:t>No……..Email</w:t>
      </w:r>
      <w:r>
        <w:rPr>
          <w:sz w:val="20"/>
        </w:rPr>
        <w:tab/>
        <w:t>,</w:t>
      </w:r>
      <w:r>
        <w:rPr>
          <w:spacing w:val="-13"/>
          <w:sz w:val="20"/>
        </w:rPr>
        <w:t xml:space="preserve"> </w:t>
      </w:r>
      <w:r>
        <w:rPr>
          <w:sz w:val="20"/>
        </w:rPr>
        <w:t>hereby</w:t>
      </w:r>
      <w:r>
        <w:rPr>
          <w:spacing w:val="-12"/>
          <w:sz w:val="20"/>
        </w:rPr>
        <w:t xml:space="preserve"> </w:t>
      </w:r>
      <w:r>
        <w:rPr>
          <w:sz w:val="20"/>
        </w:rPr>
        <w:t>request</w:t>
      </w:r>
      <w:r>
        <w:rPr>
          <w:spacing w:val="-13"/>
          <w:sz w:val="20"/>
        </w:rPr>
        <w:t xml:space="preserve"> </w:t>
      </w:r>
      <w:r>
        <w:rPr>
          <w:sz w:val="20"/>
        </w:rPr>
        <w:t>the</w:t>
      </w:r>
      <w:r>
        <w:rPr>
          <w:spacing w:val="-12"/>
          <w:sz w:val="20"/>
        </w:rPr>
        <w:t xml:space="preserve"> </w:t>
      </w:r>
      <w:r>
        <w:rPr>
          <w:sz w:val="20"/>
        </w:rPr>
        <w:t>Public</w:t>
      </w:r>
      <w:r>
        <w:rPr>
          <w:spacing w:val="-13"/>
          <w:sz w:val="20"/>
        </w:rPr>
        <w:t xml:space="preserve"> </w:t>
      </w:r>
      <w:r>
        <w:rPr>
          <w:sz w:val="20"/>
        </w:rPr>
        <w:t>Procurement</w:t>
      </w:r>
      <w:r>
        <w:rPr>
          <w:spacing w:val="-12"/>
          <w:sz w:val="20"/>
        </w:rPr>
        <w:t xml:space="preserve"> </w:t>
      </w:r>
      <w:r>
        <w:rPr>
          <w:sz w:val="20"/>
        </w:rPr>
        <w:t>Administrative</w:t>
      </w:r>
      <w:r>
        <w:rPr>
          <w:spacing w:val="-13"/>
          <w:sz w:val="20"/>
        </w:rPr>
        <w:t xml:space="preserve"> </w:t>
      </w:r>
      <w:r>
        <w:rPr>
          <w:sz w:val="20"/>
        </w:rPr>
        <w:t>Review</w:t>
      </w:r>
      <w:r>
        <w:rPr>
          <w:spacing w:val="-12"/>
          <w:sz w:val="20"/>
        </w:rPr>
        <w:t xml:space="preserve"> </w:t>
      </w:r>
      <w:r>
        <w:rPr>
          <w:sz w:val="20"/>
        </w:rPr>
        <w:t>Board</w:t>
      </w:r>
      <w:r>
        <w:rPr>
          <w:spacing w:val="-10"/>
          <w:sz w:val="20"/>
        </w:rPr>
        <w:t xml:space="preserve"> </w:t>
      </w:r>
      <w:r>
        <w:rPr>
          <w:sz w:val="20"/>
        </w:rPr>
        <w:t>to</w:t>
      </w:r>
      <w:r>
        <w:rPr>
          <w:spacing w:val="-13"/>
          <w:sz w:val="20"/>
        </w:rPr>
        <w:t xml:space="preserve"> </w:t>
      </w:r>
      <w:r>
        <w:rPr>
          <w:sz w:val="20"/>
        </w:rPr>
        <w:t>review</w:t>
      </w:r>
      <w:r>
        <w:rPr>
          <w:spacing w:val="-12"/>
          <w:sz w:val="20"/>
        </w:rPr>
        <w:t xml:space="preserve"> </w:t>
      </w:r>
      <w:r>
        <w:rPr>
          <w:sz w:val="20"/>
        </w:rPr>
        <w:t>the</w:t>
      </w:r>
      <w:r>
        <w:rPr>
          <w:spacing w:val="-13"/>
          <w:sz w:val="20"/>
        </w:rPr>
        <w:t xml:space="preserve"> </w:t>
      </w:r>
      <w:r>
        <w:rPr>
          <w:sz w:val="20"/>
        </w:rPr>
        <w:t>whole/part</w:t>
      </w:r>
      <w:r>
        <w:rPr>
          <w:spacing w:val="-6"/>
          <w:sz w:val="20"/>
        </w:rPr>
        <w:t xml:space="preserve"> </w:t>
      </w:r>
      <w:r>
        <w:rPr>
          <w:sz w:val="20"/>
        </w:rPr>
        <w:t>of</w:t>
      </w:r>
      <w:r>
        <w:rPr>
          <w:spacing w:val="-12"/>
          <w:sz w:val="20"/>
        </w:rPr>
        <w:t xml:space="preserve"> </w:t>
      </w:r>
      <w:r>
        <w:rPr>
          <w:sz w:val="20"/>
        </w:rPr>
        <w:t>the</w:t>
      </w:r>
      <w:r>
        <w:rPr>
          <w:spacing w:val="-12"/>
          <w:sz w:val="20"/>
        </w:rPr>
        <w:t xml:space="preserve"> </w:t>
      </w:r>
      <w:r>
        <w:rPr>
          <w:spacing w:val="-2"/>
          <w:sz w:val="20"/>
        </w:rPr>
        <w:t>above</w:t>
      </w:r>
    </w:p>
    <w:p w14:paraId="7475C053" w14:textId="77777777" w:rsidR="00BB77C0" w:rsidRDefault="00370BAA">
      <w:pPr>
        <w:ind w:left="360"/>
        <w:rPr>
          <w:sz w:val="20"/>
        </w:rPr>
      </w:pPr>
      <w:r>
        <w:rPr>
          <w:sz w:val="20"/>
        </w:rPr>
        <w:t>mentioned</w:t>
      </w:r>
      <w:r>
        <w:rPr>
          <w:spacing w:val="-13"/>
          <w:sz w:val="20"/>
        </w:rPr>
        <w:t xml:space="preserve"> </w:t>
      </w:r>
      <w:r>
        <w:rPr>
          <w:sz w:val="20"/>
        </w:rPr>
        <w:t>decision</w:t>
      </w:r>
      <w:r>
        <w:rPr>
          <w:spacing w:val="-11"/>
          <w:sz w:val="20"/>
        </w:rPr>
        <w:t xml:space="preserve"> </w:t>
      </w:r>
      <w:r>
        <w:rPr>
          <w:sz w:val="20"/>
        </w:rPr>
        <w:t>on</w:t>
      </w:r>
      <w:r>
        <w:rPr>
          <w:spacing w:val="-9"/>
          <w:sz w:val="20"/>
        </w:rPr>
        <w:t xml:space="preserve"> </w:t>
      </w:r>
      <w:r>
        <w:rPr>
          <w:sz w:val="20"/>
        </w:rPr>
        <w:t>the</w:t>
      </w:r>
      <w:r>
        <w:rPr>
          <w:spacing w:val="-11"/>
          <w:sz w:val="20"/>
        </w:rPr>
        <w:t xml:space="preserve"> </w:t>
      </w:r>
      <w:r>
        <w:rPr>
          <w:sz w:val="20"/>
        </w:rPr>
        <w:t>following</w:t>
      </w:r>
      <w:r>
        <w:rPr>
          <w:spacing w:val="-9"/>
          <w:sz w:val="20"/>
        </w:rPr>
        <w:t xml:space="preserve"> </w:t>
      </w:r>
      <w:r>
        <w:rPr>
          <w:sz w:val="20"/>
        </w:rPr>
        <w:t>grounds</w:t>
      </w:r>
      <w:r>
        <w:rPr>
          <w:spacing w:val="-12"/>
          <w:sz w:val="20"/>
        </w:rPr>
        <w:t xml:space="preserve"> </w:t>
      </w:r>
      <w:r>
        <w:rPr>
          <w:sz w:val="20"/>
        </w:rPr>
        <w:t>,</w:t>
      </w:r>
      <w:r>
        <w:rPr>
          <w:spacing w:val="-11"/>
          <w:sz w:val="20"/>
        </w:rPr>
        <w:t xml:space="preserve"> </w:t>
      </w:r>
      <w:r>
        <w:rPr>
          <w:spacing w:val="-2"/>
          <w:sz w:val="20"/>
        </w:rPr>
        <w:t>namely:</w:t>
      </w:r>
    </w:p>
    <w:p w14:paraId="64602231" w14:textId="77777777" w:rsidR="00BB77C0" w:rsidRDefault="00370BAA">
      <w:pPr>
        <w:spacing w:before="116"/>
        <w:ind w:left="360"/>
        <w:rPr>
          <w:sz w:val="20"/>
        </w:rPr>
      </w:pPr>
      <w:r>
        <w:rPr>
          <w:spacing w:val="-5"/>
          <w:sz w:val="20"/>
        </w:rPr>
        <w:t>1.</w:t>
      </w:r>
    </w:p>
    <w:p w14:paraId="570C9D52" w14:textId="77777777" w:rsidR="00BB77C0" w:rsidRDefault="00370BAA">
      <w:pPr>
        <w:spacing w:before="120"/>
        <w:ind w:left="360"/>
        <w:rPr>
          <w:sz w:val="20"/>
        </w:rPr>
      </w:pPr>
      <w:r>
        <w:rPr>
          <w:spacing w:val="-5"/>
          <w:sz w:val="20"/>
        </w:rPr>
        <w:t>2.</w:t>
      </w:r>
    </w:p>
    <w:p w14:paraId="19FC45BB" w14:textId="77777777" w:rsidR="00BB77C0" w:rsidRDefault="00370BAA">
      <w:pPr>
        <w:spacing w:before="121"/>
        <w:ind w:left="360"/>
        <w:rPr>
          <w:sz w:val="20"/>
        </w:rPr>
      </w:pPr>
      <w:r>
        <w:rPr>
          <w:sz w:val="20"/>
        </w:rPr>
        <w:t>By</w:t>
      </w:r>
      <w:r>
        <w:rPr>
          <w:spacing w:val="-13"/>
          <w:sz w:val="20"/>
        </w:rPr>
        <w:t xml:space="preserve"> </w:t>
      </w:r>
      <w:r>
        <w:rPr>
          <w:sz w:val="20"/>
        </w:rPr>
        <w:t>this</w:t>
      </w:r>
      <w:r>
        <w:rPr>
          <w:spacing w:val="-12"/>
          <w:sz w:val="20"/>
        </w:rPr>
        <w:t xml:space="preserve"> </w:t>
      </w:r>
      <w:r>
        <w:rPr>
          <w:sz w:val="20"/>
        </w:rPr>
        <w:t>memorandum,</w:t>
      </w:r>
      <w:r>
        <w:rPr>
          <w:spacing w:val="-13"/>
          <w:sz w:val="20"/>
        </w:rPr>
        <w:t xml:space="preserve"> </w:t>
      </w:r>
      <w:r>
        <w:rPr>
          <w:sz w:val="20"/>
        </w:rPr>
        <w:t>the</w:t>
      </w:r>
      <w:r>
        <w:rPr>
          <w:spacing w:val="-12"/>
          <w:sz w:val="20"/>
        </w:rPr>
        <w:t xml:space="preserve"> </w:t>
      </w:r>
      <w:r>
        <w:rPr>
          <w:sz w:val="20"/>
        </w:rPr>
        <w:t>Applicant</w:t>
      </w:r>
      <w:r>
        <w:rPr>
          <w:spacing w:val="-13"/>
          <w:sz w:val="20"/>
        </w:rPr>
        <w:t xml:space="preserve"> </w:t>
      </w:r>
      <w:r>
        <w:rPr>
          <w:sz w:val="20"/>
        </w:rPr>
        <w:t>requests</w:t>
      </w:r>
      <w:r>
        <w:rPr>
          <w:spacing w:val="-12"/>
          <w:sz w:val="20"/>
        </w:rPr>
        <w:t xml:space="preserve"> </w:t>
      </w:r>
      <w:r>
        <w:rPr>
          <w:sz w:val="20"/>
        </w:rPr>
        <w:t>the</w:t>
      </w:r>
      <w:r>
        <w:rPr>
          <w:spacing w:val="-13"/>
          <w:sz w:val="20"/>
        </w:rPr>
        <w:t xml:space="preserve"> </w:t>
      </w:r>
      <w:r>
        <w:rPr>
          <w:sz w:val="20"/>
        </w:rPr>
        <w:t>Board</w:t>
      </w:r>
      <w:r>
        <w:rPr>
          <w:spacing w:val="-12"/>
          <w:sz w:val="20"/>
        </w:rPr>
        <w:t xml:space="preserve"> </w:t>
      </w:r>
      <w:r>
        <w:rPr>
          <w:sz w:val="20"/>
        </w:rPr>
        <w:t>for</w:t>
      </w:r>
      <w:r>
        <w:rPr>
          <w:spacing w:val="-13"/>
          <w:sz w:val="20"/>
        </w:rPr>
        <w:t xml:space="preserve"> </w:t>
      </w:r>
      <w:r>
        <w:rPr>
          <w:sz w:val="20"/>
        </w:rPr>
        <w:t>an</w:t>
      </w:r>
      <w:r>
        <w:rPr>
          <w:spacing w:val="-9"/>
          <w:sz w:val="20"/>
        </w:rPr>
        <w:t xml:space="preserve"> </w:t>
      </w:r>
      <w:r>
        <w:rPr>
          <w:sz w:val="20"/>
        </w:rPr>
        <w:t>order/orders</w:t>
      </w:r>
      <w:r>
        <w:rPr>
          <w:spacing w:val="-12"/>
          <w:sz w:val="20"/>
        </w:rPr>
        <w:t xml:space="preserve"> </w:t>
      </w:r>
      <w:r>
        <w:rPr>
          <w:spacing w:val="-2"/>
          <w:sz w:val="20"/>
        </w:rPr>
        <w:t>that:</w:t>
      </w:r>
    </w:p>
    <w:p w14:paraId="7E0BE2D5" w14:textId="77777777" w:rsidR="00BB77C0" w:rsidRDefault="00370BAA">
      <w:pPr>
        <w:spacing w:before="120"/>
        <w:ind w:left="360"/>
        <w:rPr>
          <w:sz w:val="20"/>
        </w:rPr>
      </w:pPr>
      <w:r>
        <w:rPr>
          <w:spacing w:val="-5"/>
          <w:sz w:val="20"/>
        </w:rPr>
        <w:t>1.</w:t>
      </w:r>
    </w:p>
    <w:p w14:paraId="290A05A8" w14:textId="77777777" w:rsidR="00BB77C0" w:rsidRDefault="00370BAA">
      <w:pPr>
        <w:spacing w:before="121"/>
        <w:ind w:left="360"/>
        <w:rPr>
          <w:sz w:val="20"/>
        </w:rPr>
      </w:pPr>
      <w:r>
        <w:rPr>
          <w:spacing w:val="-5"/>
          <w:sz w:val="20"/>
        </w:rPr>
        <w:t>2.</w:t>
      </w:r>
    </w:p>
    <w:p w14:paraId="0087D6AD" w14:textId="77777777" w:rsidR="00BB77C0" w:rsidRDefault="00370BAA">
      <w:pPr>
        <w:spacing w:before="120"/>
        <w:ind w:left="360"/>
        <w:rPr>
          <w:sz w:val="20"/>
        </w:rPr>
      </w:pPr>
      <w:r>
        <w:rPr>
          <w:spacing w:val="-2"/>
          <w:sz w:val="20"/>
        </w:rPr>
        <w:t>SIGNED</w:t>
      </w:r>
      <w:r>
        <w:rPr>
          <w:spacing w:val="-4"/>
          <w:sz w:val="20"/>
        </w:rPr>
        <w:t xml:space="preserve"> </w:t>
      </w:r>
      <w:r>
        <w:rPr>
          <w:spacing w:val="-2"/>
          <w:sz w:val="20"/>
        </w:rPr>
        <w:t>……………….(Applicant)</w:t>
      </w:r>
      <w:r>
        <w:rPr>
          <w:spacing w:val="-4"/>
          <w:sz w:val="20"/>
        </w:rPr>
        <w:t xml:space="preserve"> </w:t>
      </w:r>
      <w:r>
        <w:rPr>
          <w:spacing w:val="-2"/>
          <w:sz w:val="20"/>
        </w:rPr>
        <w:t>Dated</w:t>
      </w:r>
      <w:r>
        <w:rPr>
          <w:spacing w:val="2"/>
          <w:sz w:val="20"/>
        </w:rPr>
        <w:t xml:space="preserve"> </w:t>
      </w:r>
      <w:r>
        <w:rPr>
          <w:spacing w:val="-2"/>
          <w:sz w:val="20"/>
        </w:rPr>
        <w:t>on…………….day</w:t>
      </w:r>
      <w:r>
        <w:rPr>
          <w:spacing w:val="-3"/>
          <w:sz w:val="20"/>
        </w:rPr>
        <w:t xml:space="preserve"> </w:t>
      </w:r>
      <w:r>
        <w:rPr>
          <w:spacing w:val="-2"/>
          <w:sz w:val="20"/>
        </w:rPr>
        <w:t>of</w:t>
      </w:r>
      <w:r>
        <w:rPr>
          <w:spacing w:val="-5"/>
          <w:sz w:val="20"/>
        </w:rPr>
        <w:t xml:space="preserve"> </w:t>
      </w:r>
      <w:r>
        <w:rPr>
          <w:spacing w:val="-2"/>
          <w:sz w:val="20"/>
        </w:rPr>
        <w:t>……………/…20……</w:t>
      </w:r>
    </w:p>
    <w:p w14:paraId="764359C0" w14:textId="77777777" w:rsidR="00BB77C0" w:rsidRDefault="00370BAA">
      <w:pPr>
        <w:pStyle w:val="BodyText"/>
        <w:spacing w:before="76"/>
        <w:rPr>
          <w:sz w:val="20"/>
        </w:rPr>
      </w:pPr>
      <w:r>
        <w:rPr>
          <w:noProof/>
          <w:sz w:val="20"/>
        </w:rPr>
        <mc:AlternateContent>
          <mc:Choice Requires="wpg">
            <w:drawing>
              <wp:anchor distT="0" distB="0" distL="0" distR="0" simplePos="0" relativeHeight="487643648" behindDoc="1" locked="0" layoutInCell="1" allowOverlap="1" wp14:anchorId="00A03661" wp14:editId="1D52CF8D">
                <wp:simplePos x="0" y="0"/>
                <wp:positionH relativeFrom="page">
                  <wp:posOffset>456565</wp:posOffset>
                </wp:positionH>
                <wp:positionV relativeFrom="paragraph">
                  <wp:posOffset>209863</wp:posOffset>
                </wp:positionV>
                <wp:extent cx="4764405" cy="13970"/>
                <wp:effectExtent l="0" t="0" r="0" b="0"/>
                <wp:wrapTopAndBottom/>
                <wp:docPr id="424" name="Group 4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4405" cy="13970"/>
                          <a:chOff x="0" y="0"/>
                          <a:chExt cx="4764405" cy="13970"/>
                        </a:xfrm>
                      </wpg:grpSpPr>
                      <wps:wsp>
                        <wps:cNvPr id="425" name="Graphic 425"/>
                        <wps:cNvSpPr/>
                        <wps:spPr>
                          <a:xfrm>
                            <a:off x="0" y="9397"/>
                            <a:ext cx="4764405" cy="1270"/>
                          </a:xfrm>
                          <a:custGeom>
                            <a:avLst/>
                            <a:gdLst/>
                            <a:ahLst/>
                            <a:cxnLst/>
                            <a:rect l="l" t="t" r="r" b="b"/>
                            <a:pathLst>
                              <a:path w="4764405">
                                <a:moveTo>
                                  <a:pt x="0" y="0"/>
                                </a:moveTo>
                                <a:lnTo>
                                  <a:pt x="4763897" y="0"/>
                                </a:lnTo>
                              </a:path>
                            </a:pathLst>
                          </a:custGeom>
                          <a:ln w="7967">
                            <a:solidFill>
                              <a:srgbClr val="000000"/>
                            </a:solidFill>
                            <a:prstDash val="solid"/>
                          </a:ln>
                        </wps:spPr>
                        <wps:bodyPr wrap="square" lIns="0" tIns="0" rIns="0" bIns="0" rtlCol="0">
                          <a:prstTxWarp prst="textNoShape">
                            <a:avLst/>
                          </a:prstTxWarp>
                          <a:noAutofit/>
                        </wps:bodyPr>
                      </wps:wsp>
                      <wps:wsp>
                        <wps:cNvPr id="426" name="Graphic 426"/>
                        <wps:cNvSpPr/>
                        <wps:spPr>
                          <a:xfrm>
                            <a:off x="152" y="0"/>
                            <a:ext cx="4762500" cy="12700"/>
                          </a:xfrm>
                          <a:custGeom>
                            <a:avLst/>
                            <a:gdLst/>
                            <a:ahLst/>
                            <a:cxnLst/>
                            <a:rect l="l" t="t" r="r" b="b"/>
                            <a:pathLst>
                              <a:path w="4762500" h="12700">
                                <a:moveTo>
                                  <a:pt x="4762500" y="0"/>
                                </a:moveTo>
                                <a:lnTo>
                                  <a:pt x="0" y="0"/>
                                </a:lnTo>
                                <a:lnTo>
                                  <a:pt x="0" y="12191"/>
                                </a:lnTo>
                                <a:lnTo>
                                  <a:pt x="4762500" y="12191"/>
                                </a:lnTo>
                                <a:lnTo>
                                  <a:pt x="47625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145FC85" id="Group 424" o:spid="_x0000_s1026" style="position:absolute;margin-left:35.95pt;margin-top:16.5pt;width:375.15pt;height:1.1pt;z-index:-15672832;mso-wrap-distance-left:0;mso-wrap-distance-right:0;mso-position-horizontal-relative:page" coordsize="47644,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">
                <v:shape id="Graphic 425" o:spid="_x0000_s1027" style="position:absolute;top:93;width:47644;height:13;visibility:visible;mso-wrap-style:square;v-text-anchor:top" coordsize="47644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" path="m,l4763897,e" filled="f" strokeweight=".22131mm">
                  <v:path arrowok="t"/>
                </v:shape>
                <v:shape id="Graphic 426" o:spid="_x0000_s1028" style="position:absolute;left:1;width:47625;height:127;visibility:visible;mso-wrap-style:square;v-text-anchor:top" coordsize="47625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" path="m4762500,l,,,12191r4762500,l4762500,xe" fillcolor="black" stroked="f">
                  <v:path arrowok="t"/>
                </v:shape>
                <w10:wrap type="topAndBottom" anchorx="page"/>
              </v:group>
            </w:pict>
          </mc:Fallback>
        </mc:AlternateContent>
      </w:r>
    </w:p>
    <w:p w14:paraId="10D70FB8" w14:textId="77777777" w:rsidR="00BB77C0" w:rsidRDefault="00370BAA">
      <w:pPr>
        <w:tabs>
          <w:tab w:val="left" w:leader="dot" w:pos="10036"/>
        </w:tabs>
        <w:spacing w:before="120"/>
        <w:ind w:left="360"/>
        <w:rPr>
          <w:sz w:val="20"/>
        </w:rPr>
      </w:pPr>
      <w:r>
        <w:rPr>
          <w:spacing w:val="-2"/>
          <w:sz w:val="20"/>
        </w:rPr>
        <w:t>FOR</w:t>
      </w:r>
      <w:r>
        <w:rPr>
          <w:spacing w:val="-9"/>
          <w:sz w:val="20"/>
        </w:rPr>
        <w:t xml:space="preserve"> </w:t>
      </w:r>
      <w:r>
        <w:rPr>
          <w:spacing w:val="-2"/>
          <w:sz w:val="20"/>
        </w:rPr>
        <w:t>OFFICIAL</w:t>
      </w:r>
      <w:r>
        <w:rPr>
          <w:spacing w:val="4"/>
          <w:sz w:val="20"/>
        </w:rPr>
        <w:t xml:space="preserve"> </w:t>
      </w:r>
      <w:r>
        <w:rPr>
          <w:spacing w:val="-2"/>
          <w:sz w:val="20"/>
        </w:rPr>
        <w:t>USE</w:t>
      </w:r>
      <w:r>
        <w:rPr>
          <w:spacing w:val="3"/>
          <w:sz w:val="20"/>
        </w:rPr>
        <w:t xml:space="preserve"> </w:t>
      </w:r>
      <w:r>
        <w:rPr>
          <w:spacing w:val="-2"/>
          <w:sz w:val="20"/>
        </w:rPr>
        <w:t>ONLY</w:t>
      </w:r>
      <w:r>
        <w:rPr>
          <w:spacing w:val="1"/>
          <w:sz w:val="20"/>
        </w:rPr>
        <w:t xml:space="preserve"> </w:t>
      </w:r>
      <w:r>
        <w:rPr>
          <w:spacing w:val="-2"/>
          <w:sz w:val="20"/>
        </w:rPr>
        <w:t>Lodged</w:t>
      </w:r>
      <w:r>
        <w:rPr>
          <w:spacing w:val="2"/>
          <w:sz w:val="20"/>
        </w:rPr>
        <w:t xml:space="preserve"> </w:t>
      </w:r>
      <w:r>
        <w:rPr>
          <w:spacing w:val="-2"/>
          <w:sz w:val="20"/>
        </w:rPr>
        <w:t>with</w:t>
      </w:r>
      <w:r>
        <w:rPr>
          <w:spacing w:val="2"/>
          <w:sz w:val="20"/>
        </w:rPr>
        <w:t xml:space="preserve"> </w:t>
      </w:r>
      <w:r>
        <w:rPr>
          <w:spacing w:val="-2"/>
          <w:sz w:val="20"/>
        </w:rPr>
        <w:t>the</w:t>
      </w:r>
      <w:r>
        <w:rPr>
          <w:spacing w:val="-6"/>
          <w:sz w:val="20"/>
        </w:rPr>
        <w:t xml:space="preserve"> </w:t>
      </w:r>
      <w:r>
        <w:rPr>
          <w:spacing w:val="-2"/>
          <w:sz w:val="20"/>
        </w:rPr>
        <w:t>Secretary</w:t>
      </w:r>
      <w:r>
        <w:rPr>
          <w:spacing w:val="-8"/>
          <w:sz w:val="20"/>
        </w:rPr>
        <w:t xml:space="preserve"> </w:t>
      </w:r>
      <w:r>
        <w:rPr>
          <w:spacing w:val="-2"/>
          <w:sz w:val="20"/>
        </w:rPr>
        <w:t>Public</w:t>
      </w:r>
      <w:r>
        <w:rPr>
          <w:spacing w:val="-1"/>
          <w:sz w:val="20"/>
        </w:rPr>
        <w:t xml:space="preserve"> </w:t>
      </w:r>
      <w:r>
        <w:rPr>
          <w:spacing w:val="-2"/>
          <w:sz w:val="20"/>
        </w:rPr>
        <w:t>Procurement</w:t>
      </w:r>
      <w:r>
        <w:rPr>
          <w:spacing w:val="-1"/>
          <w:sz w:val="20"/>
        </w:rPr>
        <w:t xml:space="preserve"> </w:t>
      </w:r>
      <w:r>
        <w:rPr>
          <w:spacing w:val="-2"/>
          <w:sz w:val="20"/>
        </w:rPr>
        <w:t>Administrative</w:t>
      </w:r>
      <w:r>
        <w:rPr>
          <w:sz w:val="20"/>
        </w:rPr>
        <w:t xml:space="preserve"> </w:t>
      </w:r>
      <w:r>
        <w:rPr>
          <w:spacing w:val="-2"/>
          <w:sz w:val="20"/>
        </w:rPr>
        <w:t>Review</w:t>
      </w:r>
      <w:r>
        <w:rPr>
          <w:spacing w:val="-4"/>
          <w:sz w:val="20"/>
        </w:rPr>
        <w:t xml:space="preserve"> </w:t>
      </w:r>
      <w:r>
        <w:rPr>
          <w:spacing w:val="-2"/>
          <w:sz w:val="20"/>
        </w:rPr>
        <w:t>Board</w:t>
      </w:r>
      <w:r>
        <w:rPr>
          <w:spacing w:val="-1"/>
          <w:sz w:val="20"/>
        </w:rPr>
        <w:t xml:space="preserve"> </w:t>
      </w:r>
      <w:r>
        <w:rPr>
          <w:spacing w:val="-5"/>
          <w:sz w:val="20"/>
        </w:rPr>
        <w:t>on</w:t>
      </w:r>
      <w:r>
        <w:rPr>
          <w:sz w:val="20"/>
        </w:rPr>
        <w:tab/>
        <w:t>day</w:t>
      </w:r>
      <w:r>
        <w:rPr>
          <w:spacing w:val="-8"/>
          <w:sz w:val="20"/>
        </w:rPr>
        <w:t xml:space="preserve"> </w:t>
      </w:r>
      <w:r>
        <w:rPr>
          <w:spacing w:val="-5"/>
          <w:sz w:val="20"/>
        </w:rPr>
        <w:t>of</w:t>
      </w:r>
    </w:p>
    <w:p w14:paraId="2582B354" w14:textId="77777777" w:rsidR="00BB77C0" w:rsidRDefault="00370BAA">
      <w:pPr>
        <w:ind w:left="360"/>
        <w:rPr>
          <w:sz w:val="20"/>
        </w:rPr>
      </w:pPr>
      <w:r>
        <w:rPr>
          <w:spacing w:val="-2"/>
          <w:sz w:val="20"/>
        </w:rPr>
        <w:t>………....20….………</w:t>
      </w:r>
    </w:p>
    <w:p w14:paraId="22265ACF" w14:textId="77777777" w:rsidR="00BB77C0" w:rsidRDefault="00370BAA">
      <w:pPr>
        <w:spacing w:before="126"/>
        <w:ind w:left="360"/>
        <w:rPr>
          <w:b/>
          <w:sz w:val="20"/>
        </w:rPr>
      </w:pPr>
      <w:r>
        <w:rPr>
          <w:b/>
          <w:spacing w:val="-2"/>
          <w:sz w:val="20"/>
        </w:rPr>
        <w:t>SIGNED</w:t>
      </w:r>
    </w:p>
    <w:p w14:paraId="34768101" w14:textId="77777777" w:rsidR="00BB77C0" w:rsidRDefault="00370BAA">
      <w:pPr>
        <w:spacing w:before="120"/>
        <w:ind w:left="360"/>
        <w:rPr>
          <w:b/>
          <w:sz w:val="20"/>
        </w:rPr>
      </w:pPr>
      <w:r>
        <w:rPr>
          <w:b/>
          <w:sz w:val="20"/>
        </w:rPr>
        <w:t>Board</w:t>
      </w:r>
      <w:r>
        <w:rPr>
          <w:b/>
          <w:spacing w:val="-10"/>
          <w:sz w:val="20"/>
        </w:rPr>
        <w:t xml:space="preserve"> </w:t>
      </w:r>
      <w:r>
        <w:rPr>
          <w:b/>
          <w:spacing w:val="-2"/>
          <w:sz w:val="20"/>
        </w:rPr>
        <w:t>Secretary</w:t>
      </w:r>
    </w:p>
    <w:p w14:paraId="413FD9FB" w14:textId="77777777" w:rsidR="00BB77C0" w:rsidRDefault="00BB77C0">
      <w:pPr>
        <w:rPr>
          <w:b/>
          <w:sz w:val="20"/>
        </w:rPr>
        <w:sectPr w:rsidR="00BB77C0">
          <w:pgSz w:w="11920" w:h="16850"/>
          <w:pgMar w:top="720" w:right="0" w:bottom="280" w:left="360" w:header="720" w:footer="720" w:gutter="0"/>
          <w:cols w:space="720"/>
        </w:sectPr>
      </w:pPr>
    </w:p>
    <w:p w14:paraId="499A4B20" w14:textId="77777777" w:rsidR="00BB77C0" w:rsidRDefault="00370BAA">
      <w:pPr>
        <w:pStyle w:val="Heading5"/>
        <w:spacing w:before="78"/>
        <w:ind w:left="485"/>
      </w:pPr>
      <w:bookmarkStart w:id="251" w:name="FORM_NO_3:_LETTER_OF_AWARD"/>
      <w:bookmarkEnd w:id="251"/>
      <w:r>
        <w:rPr>
          <w:color w:val="211F1F"/>
          <w:u w:val="single" w:color="211F1F"/>
        </w:rPr>
        <w:lastRenderedPageBreak/>
        <w:t>FORM</w:t>
      </w:r>
      <w:r>
        <w:rPr>
          <w:color w:val="211F1F"/>
          <w:spacing w:val="2"/>
          <w:u w:val="single" w:color="211F1F"/>
        </w:rPr>
        <w:t xml:space="preserve"> </w:t>
      </w:r>
      <w:r>
        <w:rPr>
          <w:color w:val="211F1F"/>
          <w:u w:val="single" w:color="211F1F"/>
        </w:rPr>
        <w:t>NO</w:t>
      </w:r>
      <w:r>
        <w:rPr>
          <w:color w:val="211F1F"/>
          <w:spacing w:val="-4"/>
          <w:u w:val="single" w:color="211F1F"/>
        </w:rPr>
        <w:t xml:space="preserve"> </w:t>
      </w:r>
      <w:r>
        <w:rPr>
          <w:color w:val="211F1F"/>
          <w:u w:val="single" w:color="211F1F"/>
        </w:rPr>
        <w:t>3:</w:t>
      </w:r>
      <w:r>
        <w:rPr>
          <w:color w:val="211F1F"/>
          <w:spacing w:val="-4"/>
          <w:u w:val="single" w:color="211F1F"/>
        </w:rPr>
        <w:t xml:space="preserve"> </w:t>
      </w:r>
      <w:r>
        <w:rPr>
          <w:color w:val="211F1F"/>
          <w:u w:val="single" w:color="211F1F"/>
        </w:rPr>
        <w:t>LETTER</w:t>
      </w:r>
      <w:r>
        <w:rPr>
          <w:color w:val="211F1F"/>
          <w:spacing w:val="-1"/>
          <w:u w:val="single" w:color="211F1F"/>
        </w:rPr>
        <w:t xml:space="preserve"> </w:t>
      </w:r>
      <w:r>
        <w:rPr>
          <w:color w:val="211F1F"/>
          <w:u w:val="single" w:color="211F1F"/>
        </w:rPr>
        <w:t>OF</w:t>
      </w:r>
      <w:r>
        <w:rPr>
          <w:color w:val="211F1F"/>
          <w:spacing w:val="-3"/>
          <w:u w:val="single" w:color="211F1F"/>
        </w:rPr>
        <w:t xml:space="preserve"> </w:t>
      </w:r>
      <w:r>
        <w:rPr>
          <w:color w:val="211F1F"/>
          <w:spacing w:val="-4"/>
          <w:u w:val="single" w:color="211F1F"/>
        </w:rPr>
        <w:t>AWARD</w:t>
      </w:r>
      <w:r>
        <w:rPr>
          <w:color w:val="211F1F"/>
          <w:spacing w:val="80"/>
          <w:u w:val="single" w:color="211F1F"/>
        </w:rPr>
        <w:t xml:space="preserve"> </w:t>
      </w:r>
    </w:p>
    <w:p w14:paraId="3F40D567" w14:textId="77777777" w:rsidR="00BB77C0" w:rsidRDefault="00BB77C0">
      <w:pPr>
        <w:pStyle w:val="BodyText"/>
        <w:spacing w:before="51"/>
        <w:rPr>
          <w:b/>
        </w:rPr>
      </w:pPr>
    </w:p>
    <w:p w14:paraId="3547B4E6" w14:textId="77777777" w:rsidR="00BB77C0" w:rsidRDefault="00370BAA">
      <w:pPr>
        <w:ind w:left="485"/>
        <w:rPr>
          <w:i/>
        </w:rPr>
      </w:pPr>
      <w:r>
        <w:rPr>
          <w:i/>
          <w:color w:val="211F1F"/>
          <w:spacing w:val="-2"/>
        </w:rPr>
        <w:t>[letterheadpaper</w:t>
      </w:r>
      <w:r>
        <w:rPr>
          <w:i/>
          <w:color w:val="211F1F"/>
          <w:spacing w:val="-11"/>
        </w:rPr>
        <w:t xml:space="preserve"> </w:t>
      </w:r>
      <w:r>
        <w:rPr>
          <w:i/>
          <w:color w:val="211F1F"/>
          <w:spacing w:val="-2"/>
        </w:rPr>
        <w:t>of</w:t>
      </w:r>
      <w:r>
        <w:rPr>
          <w:i/>
          <w:color w:val="211F1F"/>
          <w:spacing w:val="-18"/>
        </w:rPr>
        <w:t xml:space="preserve"> </w:t>
      </w:r>
      <w:r>
        <w:rPr>
          <w:i/>
          <w:color w:val="211F1F"/>
          <w:spacing w:val="-2"/>
        </w:rPr>
        <w:t>the</w:t>
      </w:r>
      <w:r>
        <w:rPr>
          <w:i/>
          <w:color w:val="211F1F"/>
          <w:spacing w:val="-16"/>
        </w:rPr>
        <w:t xml:space="preserve"> </w:t>
      </w:r>
      <w:r>
        <w:rPr>
          <w:i/>
          <w:color w:val="211F1F"/>
          <w:spacing w:val="-2"/>
        </w:rPr>
        <w:t>Procuring</w:t>
      </w:r>
      <w:r>
        <w:rPr>
          <w:i/>
          <w:color w:val="211F1F"/>
          <w:spacing w:val="-18"/>
        </w:rPr>
        <w:t xml:space="preserve"> </w:t>
      </w:r>
      <w:r>
        <w:rPr>
          <w:i/>
          <w:color w:val="211F1F"/>
          <w:spacing w:val="-2"/>
        </w:rPr>
        <w:t>Entity]</w:t>
      </w:r>
      <w:r>
        <w:rPr>
          <w:i/>
          <w:color w:val="211F1F"/>
          <w:spacing w:val="19"/>
        </w:rPr>
        <w:t xml:space="preserve"> </w:t>
      </w:r>
      <w:r>
        <w:rPr>
          <w:i/>
          <w:color w:val="211F1F"/>
          <w:spacing w:val="-2"/>
        </w:rPr>
        <w:t>[date]</w:t>
      </w:r>
    </w:p>
    <w:p w14:paraId="1AF3A549" w14:textId="77777777" w:rsidR="00BB77C0" w:rsidRDefault="00370BAA">
      <w:pPr>
        <w:spacing w:before="237"/>
        <w:ind w:left="485"/>
        <w:rPr>
          <w:i/>
        </w:rPr>
      </w:pPr>
      <w:r>
        <w:rPr>
          <w:color w:val="211F1F"/>
        </w:rPr>
        <w:t>To:</w:t>
      </w:r>
      <w:r>
        <w:rPr>
          <w:color w:val="211F1F"/>
          <w:spacing w:val="-7"/>
        </w:rPr>
        <w:t xml:space="preserve"> </w:t>
      </w:r>
      <w:r>
        <w:rPr>
          <w:i/>
          <w:color w:val="211F1F"/>
        </w:rPr>
        <w:t>[name</w:t>
      </w:r>
      <w:r>
        <w:rPr>
          <w:i/>
          <w:color w:val="211F1F"/>
          <w:spacing w:val="-4"/>
        </w:rPr>
        <w:t xml:space="preserve"> </w:t>
      </w:r>
      <w:r>
        <w:rPr>
          <w:i/>
          <w:color w:val="211F1F"/>
        </w:rPr>
        <w:t>and</w:t>
      </w:r>
      <w:r>
        <w:rPr>
          <w:i/>
          <w:color w:val="211F1F"/>
          <w:spacing w:val="-3"/>
        </w:rPr>
        <w:t xml:space="preserve"> </w:t>
      </w:r>
      <w:r>
        <w:rPr>
          <w:i/>
          <w:color w:val="211F1F"/>
        </w:rPr>
        <w:t>address</w:t>
      </w:r>
      <w:r>
        <w:rPr>
          <w:i/>
          <w:color w:val="211F1F"/>
          <w:spacing w:val="-7"/>
        </w:rPr>
        <w:t xml:space="preserve"> </w:t>
      </w:r>
      <w:r>
        <w:rPr>
          <w:i/>
          <w:color w:val="211F1F"/>
        </w:rPr>
        <w:t>of</w:t>
      </w:r>
      <w:r>
        <w:rPr>
          <w:i/>
          <w:color w:val="211F1F"/>
          <w:spacing w:val="-1"/>
        </w:rPr>
        <w:t xml:space="preserve"> </w:t>
      </w:r>
      <w:r>
        <w:rPr>
          <w:i/>
          <w:color w:val="211F1F"/>
        </w:rPr>
        <w:t>the</w:t>
      </w:r>
      <w:r>
        <w:rPr>
          <w:i/>
          <w:color w:val="211F1F"/>
          <w:spacing w:val="-9"/>
        </w:rPr>
        <w:t xml:space="preserve"> </w:t>
      </w:r>
      <w:r>
        <w:rPr>
          <w:i/>
          <w:color w:val="211F1F"/>
          <w:spacing w:val="-2"/>
        </w:rPr>
        <w:t>Contractor]</w:t>
      </w:r>
    </w:p>
    <w:p w14:paraId="1018B12C" w14:textId="77777777" w:rsidR="00BB77C0" w:rsidRDefault="00370BAA">
      <w:pPr>
        <w:tabs>
          <w:tab w:val="left" w:leader="dot" w:pos="10045"/>
        </w:tabs>
        <w:spacing w:before="240" w:line="230" w:lineRule="auto"/>
        <w:ind w:left="485" w:right="704"/>
        <w:jc w:val="both"/>
        <w:rPr>
          <w:i/>
        </w:rPr>
      </w:pPr>
      <w:r>
        <w:rPr>
          <w:color w:val="211F1F"/>
        </w:rPr>
        <w:t>This</w:t>
      </w:r>
      <w:r>
        <w:rPr>
          <w:color w:val="211F1F"/>
          <w:spacing w:val="-16"/>
        </w:rPr>
        <w:t xml:space="preserve"> </w:t>
      </w:r>
      <w:r>
        <w:rPr>
          <w:color w:val="211F1F"/>
        </w:rPr>
        <w:t>is</w:t>
      </w:r>
      <w:r>
        <w:rPr>
          <w:color w:val="211F1F"/>
          <w:spacing w:val="-14"/>
        </w:rPr>
        <w:t xml:space="preserve"> </w:t>
      </w:r>
      <w:r>
        <w:rPr>
          <w:color w:val="211F1F"/>
        </w:rPr>
        <w:t>to</w:t>
      </w:r>
      <w:r>
        <w:rPr>
          <w:color w:val="211F1F"/>
          <w:spacing w:val="-14"/>
        </w:rPr>
        <w:t xml:space="preserve"> </w:t>
      </w:r>
      <w:r>
        <w:rPr>
          <w:color w:val="211F1F"/>
        </w:rPr>
        <w:t>notify</w:t>
      </w:r>
      <w:r>
        <w:rPr>
          <w:color w:val="211F1F"/>
          <w:spacing w:val="-13"/>
        </w:rPr>
        <w:t xml:space="preserve"> </w:t>
      </w:r>
      <w:r>
        <w:rPr>
          <w:color w:val="211F1F"/>
        </w:rPr>
        <w:t>you</w:t>
      </w:r>
      <w:r>
        <w:rPr>
          <w:color w:val="211F1F"/>
          <w:spacing w:val="-14"/>
        </w:rPr>
        <w:t xml:space="preserve"> </w:t>
      </w:r>
      <w:r>
        <w:rPr>
          <w:color w:val="211F1F"/>
        </w:rPr>
        <w:t>that</w:t>
      </w:r>
      <w:r>
        <w:rPr>
          <w:color w:val="211F1F"/>
          <w:spacing w:val="-14"/>
        </w:rPr>
        <w:t xml:space="preserve"> </w:t>
      </w:r>
      <w:r>
        <w:rPr>
          <w:color w:val="211F1F"/>
        </w:rPr>
        <w:t>your</w:t>
      </w:r>
      <w:r>
        <w:rPr>
          <w:color w:val="211F1F"/>
          <w:spacing w:val="-14"/>
        </w:rPr>
        <w:t xml:space="preserve"> </w:t>
      </w:r>
      <w:r>
        <w:rPr>
          <w:color w:val="211F1F"/>
        </w:rPr>
        <w:t>Tender</w:t>
      </w:r>
      <w:r>
        <w:rPr>
          <w:color w:val="211F1F"/>
          <w:spacing w:val="-13"/>
        </w:rPr>
        <w:t xml:space="preserve"> </w:t>
      </w:r>
      <w:r>
        <w:rPr>
          <w:color w:val="211F1F"/>
        </w:rPr>
        <w:t>dated</w:t>
      </w:r>
      <w:r>
        <w:rPr>
          <w:color w:val="211F1F"/>
          <w:spacing w:val="-14"/>
        </w:rPr>
        <w:t xml:space="preserve"> </w:t>
      </w:r>
      <w:r>
        <w:rPr>
          <w:i/>
          <w:color w:val="211F1F"/>
        </w:rPr>
        <w:t>[date]</w:t>
      </w:r>
      <w:r>
        <w:rPr>
          <w:i/>
          <w:color w:val="211F1F"/>
          <w:spacing w:val="-14"/>
        </w:rPr>
        <w:t xml:space="preserve"> </w:t>
      </w:r>
      <w:r>
        <w:rPr>
          <w:color w:val="211F1F"/>
        </w:rPr>
        <w:t>for</w:t>
      </w:r>
      <w:r>
        <w:rPr>
          <w:color w:val="211F1F"/>
          <w:spacing w:val="-14"/>
        </w:rPr>
        <w:t xml:space="preserve"> </w:t>
      </w:r>
      <w:r>
        <w:rPr>
          <w:color w:val="211F1F"/>
        </w:rPr>
        <w:t>execution</w:t>
      </w:r>
      <w:r>
        <w:rPr>
          <w:color w:val="211F1F"/>
          <w:spacing w:val="-13"/>
        </w:rPr>
        <w:t xml:space="preserve"> </w:t>
      </w:r>
      <w:r>
        <w:rPr>
          <w:color w:val="211F1F"/>
        </w:rPr>
        <w:t>of</w:t>
      </w:r>
      <w:r>
        <w:rPr>
          <w:color w:val="211F1F"/>
          <w:spacing w:val="-14"/>
        </w:rPr>
        <w:t xml:space="preserve"> </w:t>
      </w:r>
      <w:r>
        <w:rPr>
          <w:color w:val="211F1F"/>
        </w:rPr>
        <w:t>the</w:t>
      </w:r>
      <w:r>
        <w:rPr>
          <w:color w:val="211F1F"/>
          <w:spacing w:val="-14"/>
        </w:rPr>
        <w:t xml:space="preserve"> </w:t>
      </w:r>
      <w:r>
        <w:rPr>
          <w:i/>
          <w:color w:val="211F1F"/>
        </w:rPr>
        <w:t>[name</w:t>
      </w:r>
      <w:r>
        <w:rPr>
          <w:i/>
          <w:color w:val="211F1F"/>
          <w:spacing w:val="-14"/>
        </w:rPr>
        <w:t xml:space="preserve"> </w:t>
      </w:r>
      <w:r>
        <w:rPr>
          <w:i/>
          <w:color w:val="211F1F"/>
        </w:rPr>
        <w:t>of</w:t>
      </w:r>
      <w:r>
        <w:rPr>
          <w:i/>
          <w:color w:val="211F1F"/>
          <w:spacing w:val="-13"/>
        </w:rPr>
        <w:t xml:space="preserve"> </w:t>
      </w:r>
      <w:r>
        <w:rPr>
          <w:i/>
          <w:color w:val="211F1F"/>
        </w:rPr>
        <w:t>the</w:t>
      </w:r>
      <w:r>
        <w:rPr>
          <w:i/>
          <w:color w:val="211F1F"/>
          <w:spacing w:val="-14"/>
        </w:rPr>
        <w:t xml:space="preserve"> </w:t>
      </w:r>
      <w:r>
        <w:rPr>
          <w:i/>
          <w:color w:val="211F1F"/>
        </w:rPr>
        <w:t>Contract</w:t>
      </w:r>
      <w:r>
        <w:rPr>
          <w:i/>
          <w:color w:val="211F1F"/>
          <w:spacing w:val="-14"/>
        </w:rPr>
        <w:t xml:space="preserve"> </w:t>
      </w:r>
      <w:r>
        <w:rPr>
          <w:i/>
          <w:color w:val="211F1F"/>
        </w:rPr>
        <w:t>and</w:t>
      </w:r>
      <w:r>
        <w:rPr>
          <w:i/>
          <w:color w:val="211F1F"/>
          <w:spacing w:val="-14"/>
        </w:rPr>
        <w:t xml:space="preserve"> </w:t>
      </w:r>
      <w:r>
        <w:rPr>
          <w:i/>
          <w:color w:val="211F1F"/>
        </w:rPr>
        <w:t>identification</w:t>
      </w:r>
      <w:r>
        <w:rPr>
          <w:i/>
          <w:color w:val="211F1F"/>
          <w:spacing w:val="-13"/>
        </w:rPr>
        <w:t xml:space="preserve"> </w:t>
      </w:r>
      <w:r>
        <w:rPr>
          <w:i/>
          <w:color w:val="211F1F"/>
        </w:rPr>
        <w:t xml:space="preserve">number, </w:t>
      </w:r>
      <w:r>
        <w:rPr>
          <w:i/>
          <w:color w:val="211F1F"/>
          <w:spacing w:val="-2"/>
        </w:rPr>
        <w:t>as</w:t>
      </w:r>
      <w:r>
        <w:rPr>
          <w:i/>
          <w:color w:val="211F1F"/>
          <w:spacing w:val="-12"/>
        </w:rPr>
        <w:t xml:space="preserve"> </w:t>
      </w:r>
      <w:r>
        <w:rPr>
          <w:i/>
          <w:color w:val="211F1F"/>
          <w:spacing w:val="-2"/>
        </w:rPr>
        <w:t>given</w:t>
      </w:r>
      <w:r>
        <w:rPr>
          <w:i/>
          <w:color w:val="211F1F"/>
          <w:spacing w:val="-12"/>
        </w:rPr>
        <w:t xml:space="preserve"> </w:t>
      </w:r>
      <w:r>
        <w:rPr>
          <w:i/>
          <w:color w:val="211F1F"/>
          <w:spacing w:val="-2"/>
        </w:rPr>
        <w:t>in</w:t>
      </w:r>
      <w:r>
        <w:rPr>
          <w:i/>
          <w:color w:val="211F1F"/>
          <w:spacing w:val="-12"/>
        </w:rPr>
        <w:t xml:space="preserve"> </w:t>
      </w:r>
      <w:r>
        <w:rPr>
          <w:i/>
          <w:color w:val="211F1F"/>
          <w:spacing w:val="-2"/>
        </w:rPr>
        <w:t>the</w:t>
      </w:r>
      <w:r>
        <w:rPr>
          <w:i/>
          <w:color w:val="211F1F"/>
          <w:spacing w:val="-11"/>
        </w:rPr>
        <w:t xml:space="preserve"> </w:t>
      </w:r>
      <w:r>
        <w:rPr>
          <w:i/>
          <w:color w:val="211F1F"/>
          <w:spacing w:val="-2"/>
        </w:rPr>
        <w:t>Contract</w:t>
      </w:r>
      <w:r>
        <w:rPr>
          <w:i/>
          <w:color w:val="211F1F"/>
          <w:spacing w:val="-12"/>
        </w:rPr>
        <w:t xml:space="preserve"> </w:t>
      </w:r>
      <w:r>
        <w:rPr>
          <w:i/>
          <w:color w:val="211F1F"/>
          <w:spacing w:val="-2"/>
        </w:rPr>
        <w:t>Data]</w:t>
      </w:r>
      <w:r>
        <w:rPr>
          <w:i/>
          <w:color w:val="211F1F"/>
          <w:spacing w:val="-12"/>
        </w:rPr>
        <w:t xml:space="preserve"> </w:t>
      </w:r>
      <w:r>
        <w:rPr>
          <w:color w:val="211F1F"/>
          <w:spacing w:val="-2"/>
        </w:rPr>
        <w:t>for</w:t>
      </w:r>
      <w:r>
        <w:rPr>
          <w:color w:val="211F1F"/>
          <w:spacing w:val="-12"/>
        </w:rPr>
        <w:t xml:space="preserve"> </w:t>
      </w:r>
      <w:r>
        <w:rPr>
          <w:color w:val="211F1F"/>
          <w:spacing w:val="-2"/>
        </w:rPr>
        <w:t>the</w:t>
      </w:r>
      <w:r>
        <w:rPr>
          <w:color w:val="211F1F"/>
          <w:spacing w:val="-11"/>
        </w:rPr>
        <w:t xml:space="preserve"> </w:t>
      </w:r>
      <w:r>
        <w:rPr>
          <w:color w:val="211F1F"/>
          <w:spacing w:val="-2"/>
        </w:rPr>
        <w:t>Accepted</w:t>
      </w:r>
      <w:r>
        <w:rPr>
          <w:color w:val="211F1F"/>
          <w:spacing w:val="-12"/>
        </w:rPr>
        <w:t xml:space="preserve"> </w:t>
      </w:r>
      <w:r>
        <w:rPr>
          <w:color w:val="211F1F"/>
          <w:spacing w:val="-2"/>
        </w:rPr>
        <w:t>Contract</w:t>
      </w:r>
      <w:r>
        <w:rPr>
          <w:color w:val="211F1F"/>
          <w:spacing w:val="-12"/>
        </w:rPr>
        <w:t xml:space="preserve"> </w:t>
      </w:r>
      <w:r>
        <w:rPr>
          <w:color w:val="211F1F"/>
          <w:spacing w:val="-2"/>
        </w:rPr>
        <w:t>Amount</w:t>
      </w:r>
      <w:r>
        <w:rPr>
          <w:color w:val="211F1F"/>
          <w:spacing w:val="-12"/>
        </w:rPr>
        <w:t xml:space="preserve"> </w:t>
      </w:r>
      <w:r>
        <w:rPr>
          <w:i/>
          <w:color w:val="211F1F"/>
          <w:spacing w:val="-2"/>
        </w:rPr>
        <w:t>[amount</w:t>
      </w:r>
      <w:r>
        <w:rPr>
          <w:i/>
          <w:color w:val="211F1F"/>
          <w:spacing w:val="-11"/>
        </w:rPr>
        <w:t xml:space="preserve"> </w:t>
      </w:r>
      <w:r>
        <w:rPr>
          <w:i/>
          <w:color w:val="211F1F"/>
          <w:spacing w:val="-2"/>
        </w:rPr>
        <w:t>in</w:t>
      </w:r>
      <w:r>
        <w:rPr>
          <w:i/>
          <w:color w:val="211F1F"/>
          <w:spacing w:val="-12"/>
        </w:rPr>
        <w:t xml:space="preserve"> </w:t>
      </w:r>
      <w:r>
        <w:rPr>
          <w:i/>
          <w:color w:val="211F1F"/>
          <w:spacing w:val="-2"/>
        </w:rPr>
        <w:t>numbers</w:t>
      </w:r>
      <w:r>
        <w:rPr>
          <w:i/>
          <w:color w:val="211F1F"/>
          <w:spacing w:val="-12"/>
        </w:rPr>
        <w:t xml:space="preserve"> </w:t>
      </w:r>
      <w:r>
        <w:rPr>
          <w:i/>
          <w:color w:val="211F1F"/>
          <w:spacing w:val="-2"/>
        </w:rPr>
        <w:t>and</w:t>
      </w:r>
      <w:r>
        <w:rPr>
          <w:i/>
          <w:color w:val="211F1F"/>
          <w:spacing w:val="-12"/>
        </w:rPr>
        <w:t xml:space="preserve"> </w:t>
      </w:r>
      <w:r>
        <w:rPr>
          <w:i/>
          <w:color w:val="211F1F"/>
          <w:spacing w:val="-2"/>
        </w:rPr>
        <w:t>words]</w:t>
      </w:r>
      <w:r>
        <w:rPr>
          <w:i/>
          <w:color w:val="211F1F"/>
          <w:spacing w:val="-11"/>
        </w:rPr>
        <w:t xml:space="preserve"> </w:t>
      </w:r>
      <w:r>
        <w:rPr>
          <w:i/>
          <w:color w:val="211F1F"/>
          <w:spacing w:val="-2"/>
        </w:rPr>
        <w:t>[name</w:t>
      </w:r>
      <w:r>
        <w:rPr>
          <w:i/>
          <w:color w:val="211F1F"/>
          <w:spacing w:val="-12"/>
        </w:rPr>
        <w:t xml:space="preserve"> </w:t>
      </w:r>
      <w:r>
        <w:rPr>
          <w:i/>
          <w:color w:val="211F1F"/>
          <w:spacing w:val="-2"/>
        </w:rPr>
        <w:t>of</w:t>
      </w:r>
      <w:r>
        <w:rPr>
          <w:i/>
          <w:color w:val="211F1F"/>
          <w:spacing w:val="-12"/>
        </w:rPr>
        <w:t xml:space="preserve"> </w:t>
      </w:r>
      <w:r>
        <w:rPr>
          <w:i/>
          <w:color w:val="211F1F"/>
          <w:spacing w:val="-2"/>
        </w:rPr>
        <w:t>currency]</w:t>
      </w:r>
      <w:r>
        <w:rPr>
          <w:color w:val="211F1F"/>
          <w:spacing w:val="-2"/>
        </w:rPr>
        <w:t>,</w:t>
      </w:r>
      <w:r>
        <w:rPr>
          <w:color w:val="211F1F"/>
          <w:spacing w:val="-12"/>
        </w:rPr>
        <w:t xml:space="preserve"> </w:t>
      </w:r>
      <w:r>
        <w:rPr>
          <w:color w:val="211F1F"/>
          <w:spacing w:val="-2"/>
        </w:rPr>
        <w:t xml:space="preserve">as </w:t>
      </w:r>
      <w:r>
        <w:rPr>
          <w:color w:val="211F1F"/>
        </w:rPr>
        <w:t>corrected and modified in accordance with the Instructions to Tenderers, is hereby accepted by</w:t>
      </w:r>
      <w:r>
        <w:rPr>
          <w:color w:val="211F1F"/>
        </w:rPr>
        <w:tab/>
        <w:t>(</w:t>
      </w:r>
      <w:r>
        <w:rPr>
          <w:i/>
          <w:color w:val="211F1F"/>
        </w:rPr>
        <w:t>name</w:t>
      </w:r>
      <w:r>
        <w:rPr>
          <w:i/>
          <w:color w:val="211F1F"/>
          <w:spacing w:val="-6"/>
        </w:rPr>
        <w:t xml:space="preserve"> </w:t>
      </w:r>
      <w:r>
        <w:rPr>
          <w:i/>
          <w:color w:val="211F1F"/>
        </w:rPr>
        <w:t>of</w:t>
      </w:r>
    </w:p>
    <w:p w14:paraId="1E519BAF" w14:textId="77777777" w:rsidR="00BB77C0" w:rsidRDefault="00370BAA">
      <w:pPr>
        <w:spacing w:line="251" w:lineRule="exact"/>
        <w:ind w:left="485"/>
        <w:jc w:val="both"/>
      </w:pPr>
      <w:r>
        <w:rPr>
          <w:i/>
          <w:color w:val="211F1F"/>
          <w:spacing w:val="-2"/>
        </w:rPr>
        <w:t>Procuring</w:t>
      </w:r>
      <w:r>
        <w:rPr>
          <w:i/>
          <w:color w:val="211F1F"/>
          <w:spacing w:val="-11"/>
        </w:rPr>
        <w:t xml:space="preserve"> </w:t>
      </w:r>
      <w:r>
        <w:rPr>
          <w:i/>
          <w:color w:val="211F1F"/>
          <w:spacing w:val="-2"/>
        </w:rPr>
        <w:t>Entity)</w:t>
      </w:r>
      <w:r>
        <w:rPr>
          <w:color w:val="211F1F"/>
          <w:spacing w:val="-2"/>
        </w:rPr>
        <w:t>.</w:t>
      </w:r>
    </w:p>
    <w:p w14:paraId="3BCE52FB" w14:textId="77777777" w:rsidR="00BB77C0" w:rsidRDefault="00370BAA">
      <w:pPr>
        <w:pStyle w:val="BodyText"/>
        <w:spacing w:before="235" w:line="230" w:lineRule="auto"/>
        <w:ind w:left="485" w:right="704"/>
        <w:jc w:val="both"/>
      </w:pPr>
      <w:r>
        <w:rPr>
          <w:color w:val="211F1F"/>
        </w:rPr>
        <w:t>You</w:t>
      </w:r>
      <w:r>
        <w:rPr>
          <w:color w:val="211F1F"/>
          <w:spacing w:val="-1"/>
        </w:rPr>
        <w:t xml:space="preserve"> </w:t>
      </w:r>
      <w:r>
        <w:rPr>
          <w:color w:val="211F1F"/>
        </w:rPr>
        <w:t>are</w:t>
      </w:r>
      <w:r>
        <w:rPr>
          <w:color w:val="211F1F"/>
          <w:spacing w:val="-3"/>
        </w:rPr>
        <w:t xml:space="preserve"> </w:t>
      </w:r>
      <w:r>
        <w:rPr>
          <w:color w:val="211F1F"/>
        </w:rPr>
        <w:t>requested to</w:t>
      </w:r>
      <w:r>
        <w:rPr>
          <w:color w:val="211F1F"/>
          <w:spacing w:val="-1"/>
        </w:rPr>
        <w:t xml:space="preserve"> </w:t>
      </w:r>
      <w:r>
        <w:rPr>
          <w:color w:val="211F1F"/>
        </w:rPr>
        <w:t>furnish the</w:t>
      </w:r>
      <w:r>
        <w:rPr>
          <w:color w:val="211F1F"/>
          <w:spacing w:val="-3"/>
        </w:rPr>
        <w:t xml:space="preserve"> </w:t>
      </w:r>
      <w:r>
        <w:rPr>
          <w:color w:val="211F1F"/>
        </w:rPr>
        <w:t>Performance</w:t>
      </w:r>
      <w:r>
        <w:rPr>
          <w:color w:val="211F1F"/>
          <w:spacing w:val="-3"/>
        </w:rPr>
        <w:t xml:space="preserve"> </w:t>
      </w:r>
      <w:r>
        <w:rPr>
          <w:color w:val="211F1F"/>
        </w:rPr>
        <w:t>Security within</w:t>
      </w:r>
      <w:r>
        <w:rPr>
          <w:color w:val="211F1F"/>
          <w:spacing w:val="-1"/>
        </w:rPr>
        <w:t xml:space="preserve"> </w:t>
      </w:r>
      <w:r>
        <w:rPr>
          <w:color w:val="211F1F"/>
        </w:rPr>
        <w:t>30 days in</w:t>
      </w:r>
      <w:r>
        <w:rPr>
          <w:color w:val="211F1F"/>
          <w:spacing w:val="-1"/>
        </w:rPr>
        <w:t xml:space="preserve"> </w:t>
      </w:r>
      <w:r>
        <w:rPr>
          <w:color w:val="211F1F"/>
        </w:rPr>
        <w:t>accordance with the</w:t>
      </w:r>
      <w:r>
        <w:rPr>
          <w:color w:val="211F1F"/>
          <w:spacing w:val="-3"/>
        </w:rPr>
        <w:t xml:space="preserve"> </w:t>
      </w:r>
      <w:r>
        <w:rPr>
          <w:color w:val="211F1F"/>
        </w:rPr>
        <w:t>Conditions of Contract, using,</w:t>
      </w:r>
      <w:r>
        <w:rPr>
          <w:color w:val="211F1F"/>
          <w:spacing w:val="-14"/>
        </w:rPr>
        <w:t xml:space="preserve"> </w:t>
      </w:r>
      <w:r>
        <w:rPr>
          <w:color w:val="211F1F"/>
        </w:rPr>
        <w:t>for</w:t>
      </w:r>
      <w:r>
        <w:rPr>
          <w:color w:val="211F1F"/>
          <w:spacing w:val="-9"/>
        </w:rPr>
        <w:t xml:space="preserve"> </w:t>
      </w:r>
      <w:r>
        <w:rPr>
          <w:color w:val="211F1F"/>
        </w:rPr>
        <w:t>that</w:t>
      </w:r>
      <w:r>
        <w:rPr>
          <w:color w:val="211F1F"/>
          <w:spacing w:val="-10"/>
        </w:rPr>
        <w:t xml:space="preserve"> </w:t>
      </w:r>
      <w:r>
        <w:rPr>
          <w:color w:val="211F1F"/>
        </w:rPr>
        <w:t>purpose,</w:t>
      </w:r>
      <w:r>
        <w:rPr>
          <w:color w:val="211F1F"/>
          <w:spacing w:val="-5"/>
        </w:rPr>
        <w:t xml:space="preserve"> </w:t>
      </w:r>
      <w:r>
        <w:rPr>
          <w:color w:val="211F1F"/>
        </w:rPr>
        <w:t>one</w:t>
      </w:r>
      <w:r>
        <w:rPr>
          <w:color w:val="211F1F"/>
          <w:spacing w:val="-13"/>
        </w:rPr>
        <w:t xml:space="preserve"> </w:t>
      </w:r>
      <w:r>
        <w:rPr>
          <w:color w:val="211F1F"/>
        </w:rPr>
        <w:t>of</w:t>
      </w:r>
      <w:r>
        <w:rPr>
          <w:color w:val="211F1F"/>
          <w:spacing w:val="-8"/>
        </w:rPr>
        <w:t xml:space="preserve"> </w:t>
      </w:r>
      <w:r>
        <w:rPr>
          <w:color w:val="211F1F"/>
        </w:rPr>
        <w:t>the</w:t>
      </w:r>
      <w:r>
        <w:rPr>
          <w:color w:val="211F1F"/>
          <w:spacing w:val="-13"/>
        </w:rPr>
        <w:t xml:space="preserve"> </w:t>
      </w:r>
      <w:r>
        <w:rPr>
          <w:color w:val="211F1F"/>
        </w:rPr>
        <w:t>Performance</w:t>
      </w:r>
      <w:r>
        <w:rPr>
          <w:color w:val="211F1F"/>
          <w:spacing w:val="-12"/>
        </w:rPr>
        <w:t xml:space="preserve"> </w:t>
      </w:r>
      <w:r>
        <w:rPr>
          <w:color w:val="211F1F"/>
        </w:rPr>
        <w:t>Security</w:t>
      </w:r>
      <w:r>
        <w:rPr>
          <w:color w:val="211F1F"/>
          <w:spacing w:val="-14"/>
        </w:rPr>
        <w:t xml:space="preserve"> </w:t>
      </w:r>
      <w:r>
        <w:rPr>
          <w:color w:val="211F1F"/>
        </w:rPr>
        <w:t>Forms</w:t>
      </w:r>
      <w:r>
        <w:rPr>
          <w:color w:val="211F1F"/>
          <w:spacing w:val="-6"/>
        </w:rPr>
        <w:t xml:space="preserve"> </w:t>
      </w:r>
      <w:r>
        <w:rPr>
          <w:color w:val="211F1F"/>
        </w:rPr>
        <w:t>included</w:t>
      </w:r>
      <w:r>
        <w:rPr>
          <w:color w:val="211F1F"/>
          <w:spacing w:val="-11"/>
        </w:rPr>
        <w:t xml:space="preserve"> </w:t>
      </w:r>
      <w:r>
        <w:rPr>
          <w:color w:val="211F1F"/>
        </w:rPr>
        <w:t>in</w:t>
      </w:r>
      <w:r>
        <w:rPr>
          <w:color w:val="211F1F"/>
          <w:spacing w:val="-14"/>
        </w:rPr>
        <w:t xml:space="preserve"> </w:t>
      </w:r>
      <w:r>
        <w:rPr>
          <w:color w:val="211F1F"/>
        </w:rPr>
        <w:t>Section</w:t>
      </w:r>
      <w:r>
        <w:rPr>
          <w:color w:val="211F1F"/>
          <w:spacing w:val="-14"/>
        </w:rPr>
        <w:t xml:space="preserve"> </w:t>
      </w:r>
      <w:r>
        <w:rPr>
          <w:color w:val="211F1F"/>
        </w:rPr>
        <w:t>VIII,</w:t>
      </w:r>
      <w:r>
        <w:rPr>
          <w:color w:val="211F1F"/>
          <w:spacing w:val="-9"/>
        </w:rPr>
        <w:t xml:space="preserve"> </w:t>
      </w:r>
      <w:r>
        <w:rPr>
          <w:color w:val="211F1F"/>
        </w:rPr>
        <w:t>Contract</w:t>
      </w:r>
      <w:r>
        <w:rPr>
          <w:color w:val="211F1F"/>
          <w:spacing w:val="-9"/>
        </w:rPr>
        <w:t xml:space="preserve"> </w:t>
      </w:r>
      <w:r>
        <w:rPr>
          <w:color w:val="211F1F"/>
        </w:rPr>
        <w:t>Forms,</w:t>
      </w:r>
      <w:r>
        <w:rPr>
          <w:color w:val="211F1F"/>
          <w:spacing w:val="-8"/>
        </w:rPr>
        <w:t xml:space="preserve"> </w:t>
      </w:r>
      <w:r>
        <w:rPr>
          <w:color w:val="211F1F"/>
        </w:rPr>
        <w:t>of</w:t>
      </w:r>
      <w:r>
        <w:rPr>
          <w:color w:val="211F1F"/>
          <w:spacing w:val="-12"/>
        </w:rPr>
        <w:t xml:space="preserve"> </w:t>
      </w:r>
      <w:r>
        <w:rPr>
          <w:color w:val="211F1F"/>
        </w:rPr>
        <w:t>the</w:t>
      </w:r>
      <w:r>
        <w:rPr>
          <w:color w:val="211F1F"/>
          <w:spacing w:val="-14"/>
        </w:rPr>
        <w:t xml:space="preserve"> </w:t>
      </w:r>
      <w:r>
        <w:rPr>
          <w:color w:val="211F1F"/>
        </w:rPr>
        <w:t xml:space="preserve">Tender </w:t>
      </w:r>
      <w:r>
        <w:rPr>
          <w:color w:val="211F1F"/>
          <w:spacing w:val="-2"/>
        </w:rPr>
        <w:t>Document.</w:t>
      </w:r>
    </w:p>
    <w:p w14:paraId="755228D1" w14:textId="77777777" w:rsidR="00BB77C0" w:rsidRDefault="00370BAA">
      <w:pPr>
        <w:pStyle w:val="BodyText"/>
        <w:spacing w:before="238"/>
        <w:ind w:left="485"/>
      </w:pPr>
      <w:r>
        <w:rPr>
          <w:color w:val="211F1F"/>
        </w:rPr>
        <w:t>Authorized</w:t>
      </w:r>
      <w:r>
        <w:rPr>
          <w:color w:val="211F1F"/>
          <w:spacing w:val="25"/>
        </w:rPr>
        <w:t xml:space="preserve"> </w:t>
      </w:r>
      <w:r>
        <w:rPr>
          <w:color w:val="211F1F"/>
          <w:spacing w:val="-2"/>
        </w:rPr>
        <w:t>Signature:.................................................................................................................</w:t>
      </w:r>
    </w:p>
    <w:p w14:paraId="6BF4DE9F" w14:textId="77777777" w:rsidR="00BB77C0" w:rsidRDefault="00370BAA">
      <w:pPr>
        <w:pStyle w:val="BodyText"/>
        <w:spacing w:before="232"/>
        <w:ind w:left="485"/>
      </w:pPr>
      <w:r>
        <w:rPr>
          <w:color w:val="211F1F"/>
        </w:rPr>
        <w:t>Name</w:t>
      </w:r>
      <w:r>
        <w:rPr>
          <w:color w:val="211F1F"/>
          <w:spacing w:val="-5"/>
        </w:rPr>
        <w:t xml:space="preserve"> </w:t>
      </w:r>
      <w:r>
        <w:rPr>
          <w:color w:val="211F1F"/>
        </w:rPr>
        <w:t>and</w:t>
      </w:r>
      <w:r>
        <w:rPr>
          <w:color w:val="211F1F"/>
          <w:spacing w:val="2"/>
        </w:rPr>
        <w:t xml:space="preserve"> </w:t>
      </w:r>
      <w:r>
        <w:rPr>
          <w:color w:val="211F1F"/>
        </w:rPr>
        <w:t>Title of</w:t>
      </w:r>
      <w:r>
        <w:rPr>
          <w:color w:val="211F1F"/>
          <w:spacing w:val="5"/>
        </w:rPr>
        <w:t xml:space="preserve"> </w:t>
      </w:r>
      <w:r>
        <w:rPr>
          <w:color w:val="211F1F"/>
          <w:spacing w:val="-2"/>
        </w:rPr>
        <w:t>Signatory:........................................................................................................</w:t>
      </w:r>
    </w:p>
    <w:p w14:paraId="2C0D6DFA" w14:textId="77777777" w:rsidR="00BB77C0" w:rsidRDefault="00370BAA">
      <w:pPr>
        <w:pStyle w:val="BodyText"/>
        <w:spacing w:before="237"/>
        <w:ind w:left="485"/>
      </w:pPr>
      <w:r>
        <w:rPr>
          <w:color w:val="211F1F"/>
        </w:rPr>
        <w:t>Name</w:t>
      </w:r>
      <w:r>
        <w:rPr>
          <w:color w:val="211F1F"/>
          <w:spacing w:val="1"/>
        </w:rPr>
        <w:t xml:space="preserve"> </w:t>
      </w:r>
      <w:r>
        <w:rPr>
          <w:color w:val="211F1F"/>
        </w:rPr>
        <w:t>of</w:t>
      </w:r>
      <w:r>
        <w:rPr>
          <w:color w:val="211F1F"/>
          <w:spacing w:val="2"/>
        </w:rPr>
        <w:t xml:space="preserve"> </w:t>
      </w:r>
      <w:r>
        <w:rPr>
          <w:color w:val="211F1F"/>
        </w:rPr>
        <w:t>Procuring</w:t>
      </w:r>
      <w:r>
        <w:rPr>
          <w:color w:val="211F1F"/>
          <w:spacing w:val="1"/>
        </w:rPr>
        <w:t xml:space="preserve"> </w:t>
      </w:r>
      <w:r>
        <w:rPr>
          <w:color w:val="211F1F"/>
          <w:spacing w:val="-2"/>
        </w:rPr>
        <w:t>Entity.............................................................................................................</w:t>
      </w:r>
    </w:p>
    <w:p w14:paraId="1A40DF2C" w14:textId="77777777" w:rsidR="00BB77C0" w:rsidRDefault="00370BAA">
      <w:pPr>
        <w:pStyle w:val="BodyText"/>
        <w:spacing w:before="237"/>
        <w:ind w:left="485"/>
      </w:pPr>
      <w:r>
        <w:rPr>
          <w:color w:val="211F1F"/>
        </w:rPr>
        <w:t>Attachment:</w:t>
      </w:r>
      <w:r>
        <w:rPr>
          <w:color w:val="211F1F"/>
          <w:spacing w:val="-5"/>
        </w:rPr>
        <w:t xml:space="preserve"> </w:t>
      </w:r>
      <w:r>
        <w:rPr>
          <w:i/>
          <w:color w:val="211F1F"/>
        </w:rPr>
        <w:t>Contract</w:t>
      </w:r>
      <w:r>
        <w:rPr>
          <w:i/>
          <w:color w:val="211F1F"/>
          <w:spacing w:val="-4"/>
        </w:rPr>
        <w:t xml:space="preserve"> </w:t>
      </w:r>
      <w:r>
        <w:rPr>
          <w:i/>
          <w:color w:val="211F1F"/>
          <w:spacing w:val="-2"/>
        </w:rPr>
        <w:t>Agreement</w:t>
      </w:r>
      <w:r>
        <w:rPr>
          <w:color w:val="211F1F"/>
          <w:spacing w:val="-2"/>
        </w:rPr>
        <w:t>................................................................................................</w:t>
      </w:r>
    </w:p>
    <w:p w14:paraId="45BE5C2C" w14:textId="77777777" w:rsidR="00BB77C0" w:rsidRDefault="00BB77C0">
      <w:pPr>
        <w:pStyle w:val="BodyText"/>
        <w:sectPr w:rsidR="00BB77C0">
          <w:pgSz w:w="11920" w:h="16850"/>
          <w:pgMar w:top="780" w:right="0" w:bottom="280" w:left="360" w:header="720" w:footer="720" w:gutter="0"/>
          <w:cols w:space="720"/>
        </w:sectPr>
      </w:pPr>
    </w:p>
    <w:p w14:paraId="32E2DEE0" w14:textId="77777777" w:rsidR="00BB77C0" w:rsidRDefault="00370BAA">
      <w:pPr>
        <w:pStyle w:val="Heading5"/>
        <w:spacing w:before="70"/>
        <w:ind w:left="485"/>
      </w:pPr>
      <w:bookmarkStart w:id="252" w:name="FORM_NO_4:_CONTRACT_AGREEMENT"/>
      <w:bookmarkEnd w:id="252"/>
      <w:r>
        <w:rPr>
          <w:color w:val="211F1F"/>
        </w:rPr>
        <w:lastRenderedPageBreak/>
        <w:t>FORM</w:t>
      </w:r>
      <w:r>
        <w:rPr>
          <w:color w:val="211F1F"/>
          <w:spacing w:val="-2"/>
        </w:rPr>
        <w:t xml:space="preserve"> </w:t>
      </w:r>
      <w:r>
        <w:rPr>
          <w:color w:val="211F1F"/>
        </w:rPr>
        <w:t>NO</w:t>
      </w:r>
      <w:r>
        <w:rPr>
          <w:color w:val="211F1F"/>
          <w:spacing w:val="1"/>
        </w:rPr>
        <w:t xml:space="preserve"> </w:t>
      </w:r>
      <w:r>
        <w:rPr>
          <w:color w:val="211F1F"/>
        </w:rPr>
        <w:t>4:</w:t>
      </w:r>
      <w:r>
        <w:rPr>
          <w:color w:val="211F1F"/>
          <w:spacing w:val="-7"/>
        </w:rPr>
        <w:t xml:space="preserve"> </w:t>
      </w:r>
      <w:r>
        <w:rPr>
          <w:color w:val="211F1F"/>
        </w:rPr>
        <w:t>CONTRACT</w:t>
      </w:r>
      <w:r>
        <w:rPr>
          <w:color w:val="211F1F"/>
          <w:spacing w:val="-2"/>
        </w:rPr>
        <w:t xml:space="preserve"> AGREEMENT</w:t>
      </w:r>
    </w:p>
    <w:p w14:paraId="448CF783" w14:textId="77777777" w:rsidR="00BB77C0" w:rsidRDefault="00BB77C0">
      <w:pPr>
        <w:pStyle w:val="BodyText"/>
        <w:spacing w:before="52"/>
        <w:rPr>
          <w:b/>
          <w:sz w:val="24"/>
        </w:rPr>
      </w:pPr>
    </w:p>
    <w:p w14:paraId="6F004902" w14:textId="77777777" w:rsidR="00BB77C0" w:rsidRDefault="00370BAA">
      <w:pPr>
        <w:pStyle w:val="BodyText"/>
        <w:tabs>
          <w:tab w:val="left" w:pos="5709"/>
          <w:tab w:val="left" w:pos="9022"/>
          <w:tab w:val="left" w:pos="9820"/>
        </w:tabs>
        <w:spacing w:line="251" w:lineRule="exact"/>
        <w:ind w:left="485"/>
      </w:pPr>
      <w:r>
        <w:rPr>
          <w:color w:val="211F1F"/>
        </w:rPr>
        <w:t>THIS</w:t>
      </w:r>
      <w:r>
        <w:rPr>
          <w:color w:val="211F1F"/>
          <w:spacing w:val="37"/>
        </w:rPr>
        <w:t xml:space="preserve"> </w:t>
      </w:r>
      <w:r>
        <w:rPr>
          <w:color w:val="211F1F"/>
        </w:rPr>
        <w:t>AGREEMENT</w:t>
      </w:r>
      <w:r>
        <w:rPr>
          <w:color w:val="211F1F"/>
          <w:spacing w:val="-12"/>
        </w:rPr>
        <w:t xml:space="preserve"> </w:t>
      </w:r>
      <w:r>
        <w:rPr>
          <w:color w:val="211F1F"/>
        </w:rPr>
        <w:t>made</w:t>
      </w:r>
      <w:r>
        <w:rPr>
          <w:color w:val="211F1F"/>
          <w:spacing w:val="13"/>
        </w:rPr>
        <w:t xml:space="preserve"> </w:t>
      </w:r>
      <w:r>
        <w:rPr>
          <w:color w:val="211F1F"/>
          <w:spacing w:val="-5"/>
        </w:rPr>
        <w:t>the</w:t>
      </w:r>
      <w:r>
        <w:rPr>
          <w:color w:val="211F1F"/>
          <w:u w:val="single" w:color="201E1F"/>
        </w:rPr>
        <w:tab/>
      </w:r>
      <w:r>
        <w:rPr>
          <w:color w:val="211F1F"/>
        </w:rPr>
        <w:t>day</w:t>
      </w:r>
      <w:r>
        <w:rPr>
          <w:color w:val="211F1F"/>
          <w:spacing w:val="23"/>
        </w:rPr>
        <w:t xml:space="preserve"> </w:t>
      </w:r>
      <w:r>
        <w:rPr>
          <w:color w:val="211F1F"/>
          <w:spacing w:val="-5"/>
        </w:rPr>
        <w:t>of</w:t>
      </w:r>
      <w:r>
        <w:rPr>
          <w:color w:val="211F1F"/>
          <w:u w:val="single" w:color="201E1F"/>
        </w:rPr>
        <w:tab/>
      </w:r>
      <w:r>
        <w:rPr>
          <w:color w:val="211F1F"/>
        </w:rPr>
        <w:t>,</w:t>
      </w:r>
      <w:r>
        <w:rPr>
          <w:color w:val="211F1F"/>
          <w:spacing w:val="27"/>
        </w:rPr>
        <w:t xml:space="preserve"> </w:t>
      </w:r>
      <w:r>
        <w:rPr>
          <w:color w:val="211F1F"/>
          <w:spacing w:val="-5"/>
        </w:rPr>
        <w:t>20</w:t>
      </w:r>
      <w:r>
        <w:rPr>
          <w:color w:val="211F1F"/>
          <w:u w:val="single" w:color="201E1F"/>
        </w:rPr>
        <w:tab/>
      </w:r>
      <w:r>
        <w:rPr>
          <w:color w:val="211F1F"/>
        </w:rPr>
        <w:t>,</w:t>
      </w:r>
      <w:r>
        <w:rPr>
          <w:color w:val="211F1F"/>
          <w:spacing w:val="27"/>
        </w:rPr>
        <w:t xml:space="preserve"> </w:t>
      </w:r>
      <w:r>
        <w:rPr>
          <w:color w:val="211F1F"/>
          <w:spacing w:val="-2"/>
        </w:rPr>
        <w:t>between</w:t>
      </w:r>
    </w:p>
    <w:p w14:paraId="78FDCB8F" w14:textId="77777777" w:rsidR="00BB77C0" w:rsidRDefault="00370BAA">
      <w:pPr>
        <w:pStyle w:val="BodyText"/>
        <w:tabs>
          <w:tab w:val="left" w:pos="4667"/>
          <w:tab w:val="left" w:pos="7092"/>
          <w:tab w:val="left" w:pos="7819"/>
          <w:tab w:val="left" w:pos="9666"/>
        </w:tabs>
        <w:spacing w:line="244" w:lineRule="auto"/>
        <w:ind w:left="485" w:right="886"/>
      </w:pPr>
      <w:r>
        <w:rPr>
          <w:color w:val="211F1F"/>
          <w:u w:val="single" w:color="201E1E"/>
        </w:rPr>
        <w:tab/>
      </w:r>
      <w:r>
        <w:rPr>
          <w:color w:val="211F1F"/>
        </w:rPr>
        <w:t xml:space="preserve">of </w:t>
      </w:r>
      <w:r>
        <w:rPr>
          <w:color w:val="211F1F"/>
          <w:u w:val="single" w:color="201E1E"/>
        </w:rPr>
        <w:tab/>
      </w:r>
      <w:r>
        <w:rPr>
          <w:color w:val="211F1F"/>
          <w:u w:val="single" w:color="201E1E"/>
        </w:rPr>
        <w:tab/>
      </w:r>
      <w:r>
        <w:rPr>
          <w:color w:val="211F1F"/>
        </w:rPr>
        <w:t>(hereinafter “the Procuring Entity”), of the one part, and</w:t>
      </w:r>
      <w:r>
        <w:rPr>
          <w:color w:val="211F1F"/>
          <w:u w:val="single" w:color="201E1F"/>
        </w:rPr>
        <w:tab/>
      </w:r>
      <w:r>
        <w:rPr>
          <w:color w:val="211F1F"/>
          <w:u w:val="single" w:color="201E1F"/>
        </w:rPr>
        <w:tab/>
      </w:r>
      <w:r>
        <w:rPr>
          <w:color w:val="211F1F"/>
          <w:spacing w:val="-6"/>
        </w:rPr>
        <w:t>of</w:t>
      </w:r>
      <w:r>
        <w:rPr>
          <w:color w:val="211F1F"/>
          <w:u w:val="single" w:color="201E1F"/>
        </w:rPr>
        <w:tab/>
      </w:r>
      <w:r>
        <w:rPr>
          <w:color w:val="211F1F"/>
          <w:u w:val="single" w:color="201E1F"/>
        </w:rPr>
        <w:tab/>
      </w:r>
      <w:r>
        <w:rPr>
          <w:color w:val="211F1F"/>
          <w:spacing w:val="-4"/>
        </w:rPr>
        <w:t xml:space="preserve">(hereinafter </w:t>
      </w:r>
      <w:r>
        <w:rPr>
          <w:color w:val="211F1F"/>
        </w:rPr>
        <w:t>“the Contractor”), of the other part:</w:t>
      </w:r>
    </w:p>
    <w:p w14:paraId="3B771447" w14:textId="77777777" w:rsidR="00BB77C0" w:rsidRDefault="00370BAA">
      <w:pPr>
        <w:pStyle w:val="BodyText"/>
        <w:tabs>
          <w:tab w:val="left" w:pos="9839"/>
        </w:tabs>
        <w:spacing w:before="222" w:line="230" w:lineRule="auto"/>
        <w:ind w:left="485" w:right="702"/>
        <w:jc w:val="both"/>
      </w:pPr>
      <w:r>
        <w:rPr>
          <w:color w:val="211F1F"/>
        </w:rPr>
        <w:t>WHEREAS the Procuring Entity desires that the Works known as</w:t>
      </w:r>
      <w:r>
        <w:rPr>
          <w:color w:val="211F1F"/>
          <w:u w:val="single" w:color="201E1F"/>
        </w:rPr>
        <w:tab/>
      </w:r>
      <w:r>
        <w:rPr>
          <w:color w:val="211F1F"/>
        </w:rPr>
        <w:t>should be executed by the Contractor, and has accepted a Tender by the Contractor for the execution and completion of these Works and the remedying of any defects therein,</w:t>
      </w:r>
    </w:p>
    <w:p w14:paraId="6251ADD9" w14:textId="77777777" w:rsidR="00BB77C0" w:rsidRDefault="00370BAA">
      <w:pPr>
        <w:pStyle w:val="BodyText"/>
        <w:spacing w:before="237"/>
        <w:ind w:left="485"/>
        <w:jc w:val="both"/>
      </w:pPr>
      <w:r>
        <w:rPr>
          <w:color w:val="211F1F"/>
        </w:rPr>
        <w:t>The</w:t>
      </w:r>
      <w:r>
        <w:rPr>
          <w:color w:val="211F1F"/>
          <w:spacing w:val="-10"/>
        </w:rPr>
        <w:t xml:space="preserve"> </w:t>
      </w:r>
      <w:r>
        <w:rPr>
          <w:color w:val="211F1F"/>
        </w:rPr>
        <w:t>Procuring</w:t>
      </w:r>
      <w:r>
        <w:rPr>
          <w:color w:val="211F1F"/>
          <w:spacing w:val="-7"/>
        </w:rPr>
        <w:t xml:space="preserve"> </w:t>
      </w:r>
      <w:r>
        <w:rPr>
          <w:color w:val="211F1F"/>
        </w:rPr>
        <w:t>Entity</w:t>
      </w:r>
      <w:r>
        <w:rPr>
          <w:color w:val="211F1F"/>
          <w:spacing w:val="-8"/>
        </w:rPr>
        <w:t xml:space="preserve"> </w:t>
      </w:r>
      <w:r>
        <w:rPr>
          <w:color w:val="211F1F"/>
        </w:rPr>
        <w:t>and</w:t>
      </w:r>
      <w:r>
        <w:rPr>
          <w:color w:val="211F1F"/>
          <w:spacing w:val="-7"/>
        </w:rPr>
        <w:t xml:space="preserve"> </w:t>
      </w:r>
      <w:r>
        <w:rPr>
          <w:color w:val="211F1F"/>
        </w:rPr>
        <w:t>the</w:t>
      </w:r>
      <w:r>
        <w:rPr>
          <w:color w:val="211F1F"/>
          <w:spacing w:val="-10"/>
        </w:rPr>
        <w:t xml:space="preserve"> </w:t>
      </w:r>
      <w:r>
        <w:rPr>
          <w:color w:val="211F1F"/>
        </w:rPr>
        <w:t>Contractor</w:t>
      </w:r>
      <w:r>
        <w:rPr>
          <w:color w:val="211F1F"/>
          <w:spacing w:val="1"/>
        </w:rPr>
        <w:t xml:space="preserve"> </w:t>
      </w:r>
      <w:r>
        <w:rPr>
          <w:color w:val="211F1F"/>
        </w:rPr>
        <w:t>agree</w:t>
      </w:r>
      <w:r>
        <w:rPr>
          <w:color w:val="211F1F"/>
          <w:spacing w:val="-10"/>
        </w:rPr>
        <w:t xml:space="preserve"> </w:t>
      </w:r>
      <w:r>
        <w:rPr>
          <w:color w:val="211F1F"/>
        </w:rPr>
        <w:t>as</w:t>
      </w:r>
      <w:r>
        <w:rPr>
          <w:color w:val="211F1F"/>
          <w:spacing w:val="-2"/>
        </w:rPr>
        <w:t xml:space="preserve"> follows:</w:t>
      </w:r>
    </w:p>
    <w:p w14:paraId="728757AA" w14:textId="77777777" w:rsidR="00BB77C0" w:rsidRDefault="00370BAA">
      <w:pPr>
        <w:pStyle w:val="ListParagraph"/>
        <w:numPr>
          <w:ilvl w:val="0"/>
          <w:numId w:val="11"/>
        </w:numPr>
        <w:tabs>
          <w:tab w:val="left" w:pos="1037"/>
          <w:tab w:val="left" w:pos="1051"/>
        </w:tabs>
        <w:spacing w:before="239" w:line="232" w:lineRule="auto"/>
        <w:ind w:right="704" w:hanging="567"/>
      </w:pPr>
      <w:r>
        <w:rPr>
          <w:color w:val="211F1F"/>
        </w:rPr>
        <w:t>In this</w:t>
      </w:r>
      <w:r>
        <w:rPr>
          <w:color w:val="211F1F"/>
          <w:spacing w:val="-3"/>
        </w:rPr>
        <w:t xml:space="preserve"> </w:t>
      </w:r>
      <w:r>
        <w:rPr>
          <w:color w:val="211F1F"/>
        </w:rPr>
        <w:t>Agreement words and expressions shall have</w:t>
      </w:r>
      <w:r>
        <w:rPr>
          <w:color w:val="211F1F"/>
          <w:spacing w:val="-2"/>
        </w:rPr>
        <w:t xml:space="preserve"> </w:t>
      </w:r>
      <w:r>
        <w:rPr>
          <w:color w:val="211F1F"/>
        </w:rPr>
        <w:t>the</w:t>
      </w:r>
      <w:r>
        <w:rPr>
          <w:color w:val="211F1F"/>
          <w:spacing w:val="-2"/>
        </w:rPr>
        <w:t xml:space="preserve"> </w:t>
      </w:r>
      <w:r>
        <w:rPr>
          <w:color w:val="211F1F"/>
        </w:rPr>
        <w:t>same meanings as are</w:t>
      </w:r>
      <w:r>
        <w:rPr>
          <w:color w:val="211F1F"/>
          <w:spacing w:val="-2"/>
        </w:rPr>
        <w:t xml:space="preserve"> </w:t>
      </w:r>
      <w:r>
        <w:rPr>
          <w:color w:val="211F1F"/>
        </w:rPr>
        <w:t>respectively assigned to them in the Contract documents referred to.</w:t>
      </w:r>
    </w:p>
    <w:p w14:paraId="4D3AFBEF" w14:textId="77777777" w:rsidR="00BB77C0" w:rsidRDefault="00370BAA">
      <w:pPr>
        <w:pStyle w:val="ListParagraph"/>
        <w:numPr>
          <w:ilvl w:val="0"/>
          <w:numId w:val="11"/>
        </w:numPr>
        <w:tabs>
          <w:tab w:val="left" w:pos="1037"/>
          <w:tab w:val="left" w:pos="1051"/>
        </w:tabs>
        <w:spacing w:before="239" w:line="237" w:lineRule="auto"/>
        <w:ind w:right="800" w:hanging="567"/>
      </w:pPr>
      <w:r>
        <w:rPr>
          <w:color w:val="211F1F"/>
        </w:rPr>
        <w:t>The following documents shall be deemed to form and be read and construed as part of this Agreement. This Agreement</w:t>
      </w:r>
      <w:r>
        <w:rPr>
          <w:color w:val="211F1F"/>
          <w:spacing w:val="-6"/>
        </w:rPr>
        <w:t xml:space="preserve"> </w:t>
      </w:r>
      <w:r>
        <w:rPr>
          <w:color w:val="211F1F"/>
        </w:rPr>
        <w:t>shall</w:t>
      </w:r>
      <w:r>
        <w:rPr>
          <w:color w:val="211F1F"/>
          <w:spacing w:val="-17"/>
        </w:rPr>
        <w:t xml:space="preserve"> </w:t>
      </w:r>
      <w:r>
        <w:rPr>
          <w:color w:val="211F1F"/>
        </w:rPr>
        <w:t>prevail</w:t>
      </w:r>
      <w:r>
        <w:rPr>
          <w:color w:val="211F1F"/>
          <w:spacing w:val="-10"/>
        </w:rPr>
        <w:t xml:space="preserve"> </w:t>
      </w:r>
      <w:r>
        <w:rPr>
          <w:color w:val="211F1F"/>
        </w:rPr>
        <w:t>over</w:t>
      </w:r>
      <w:r>
        <w:rPr>
          <w:color w:val="211F1F"/>
          <w:spacing w:val="-9"/>
        </w:rPr>
        <w:t xml:space="preserve"> </w:t>
      </w:r>
      <w:r>
        <w:rPr>
          <w:color w:val="211F1F"/>
        </w:rPr>
        <w:t>all</w:t>
      </w:r>
      <w:r>
        <w:rPr>
          <w:color w:val="211F1F"/>
          <w:spacing w:val="-10"/>
        </w:rPr>
        <w:t xml:space="preserve"> </w:t>
      </w:r>
      <w:r>
        <w:rPr>
          <w:color w:val="211F1F"/>
        </w:rPr>
        <w:t>other</w:t>
      </w:r>
      <w:r>
        <w:rPr>
          <w:color w:val="211F1F"/>
          <w:spacing w:val="-9"/>
        </w:rPr>
        <w:t xml:space="preserve"> </w:t>
      </w:r>
      <w:r>
        <w:rPr>
          <w:color w:val="211F1F"/>
        </w:rPr>
        <w:t>Contract</w:t>
      </w:r>
      <w:r>
        <w:rPr>
          <w:color w:val="211F1F"/>
          <w:spacing w:val="-5"/>
        </w:rPr>
        <w:t xml:space="preserve"> </w:t>
      </w:r>
      <w:r>
        <w:rPr>
          <w:color w:val="211F1F"/>
        </w:rPr>
        <w:t>documents.</w:t>
      </w:r>
    </w:p>
    <w:p w14:paraId="6ADFDE4E" w14:textId="77777777" w:rsidR="00BB77C0" w:rsidRDefault="00370BAA">
      <w:pPr>
        <w:pStyle w:val="ListParagraph"/>
        <w:numPr>
          <w:ilvl w:val="1"/>
          <w:numId w:val="11"/>
        </w:numPr>
        <w:tabs>
          <w:tab w:val="left" w:pos="1474"/>
        </w:tabs>
        <w:spacing w:before="59"/>
        <w:ind w:hanging="437"/>
      </w:pPr>
      <w:r>
        <w:rPr>
          <w:color w:val="211F1F"/>
          <w:spacing w:val="-4"/>
        </w:rPr>
        <w:t>the</w:t>
      </w:r>
      <w:r>
        <w:rPr>
          <w:color w:val="211F1F"/>
          <w:spacing w:val="-21"/>
        </w:rPr>
        <w:t xml:space="preserve"> </w:t>
      </w:r>
      <w:r>
        <w:rPr>
          <w:color w:val="211F1F"/>
          <w:spacing w:val="-4"/>
        </w:rPr>
        <w:t>Letter</w:t>
      </w:r>
      <w:r>
        <w:rPr>
          <w:color w:val="211F1F"/>
        </w:rPr>
        <w:t xml:space="preserve"> </w:t>
      </w:r>
      <w:r>
        <w:rPr>
          <w:color w:val="211F1F"/>
          <w:spacing w:val="-4"/>
        </w:rPr>
        <w:t>of</w:t>
      </w:r>
      <w:r>
        <w:rPr>
          <w:color w:val="211F1F"/>
          <w:spacing w:val="-28"/>
        </w:rPr>
        <w:t xml:space="preserve"> </w:t>
      </w:r>
      <w:r>
        <w:rPr>
          <w:color w:val="211F1F"/>
          <w:spacing w:val="-4"/>
        </w:rPr>
        <w:t>Acceptance</w:t>
      </w:r>
    </w:p>
    <w:p w14:paraId="2960586A" w14:textId="77777777" w:rsidR="00BB77C0" w:rsidRDefault="00370BAA">
      <w:pPr>
        <w:pStyle w:val="ListParagraph"/>
        <w:numPr>
          <w:ilvl w:val="1"/>
          <w:numId w:val="11"/>
        </w:numPr>
        <w:tabs>
          <w:tab w:val="left" w:pos="1474"/>
        </w:tabs>
        <w:spacing w:before="64"/>
        <w:ind w:hanging="437"/>
      </w:pPr>
      <w:r>
        <w:rPr>
          <w:color w:val="211F1F"/>
          <w:spacing w:val="-4"/>
        </w:rPr>
        <w:t>the</w:t>
      </w:r>
      <w:r>
        <w:rPr>
          <w:color w:val="211F1F"/>
          <w:spacing w:val="-21"/>
        </w:rPr>
        <w:t xml:space="preserve"> </w:t>
      </w:r>
      <w:r>
        <w:rPr>
          <w:color w:val="211F1F"/>
          <w:spacing w:val="-4"/>
        </w:rPr>
        <w:t>Letter</w:t>
      </w:r>
      <w:r>
        <w:rPr>
          <w:color w:val="211F1F"/>
          <w:spacing w:val="-5"/>
        </w:rPr>
        <w:t xml:space="preserve"> </w:t>
      </w:r>
      <w:r>
        <w:rPr>
          <w:color w:val="211F1F"/>
          <w:spacing w:val="-4"/>
        </w:rPr>
        <w:t>of</w:t>
      </w:r>
      <w:r>
        <w:rPr>
          <w:color w:val="211F1F"/>
          <w:spacing w:val="-17"/>
        </w:rPr>
        <w:t xml:space="preserve"> </w:t>
      </w:r>
      <w:r>
        <w:rPr>
          <w:color w:val="211F1F"/>
          <w:spacing w:val="-4"/>
        </w:rPr>
        <w:t>Tender</w:t>
      </w:r>
    </w:p>
    <w:p w14:paraId="702C9A92" w14:textId="77777777" w:rsidR="00BB77C0" w:rsidRDefault="00370BAA">
      <w:pPr>
        <w:pStyle w:val="ListParagraph"/>
        <w:numPr>
          <w:ilvl w:val="1"/>
          <w:numId w:val="11"/>
        </w:numPr>
        <w:tabs>
          <w:tab w:val="left" w:pos="1474"/>
          <w:tab w:val="left" w:pos="3813"/>
        </w:tabs>
        <w:spacing w:before="64"/>
        <w:ind w:hanging="437"/>
      </w:pPr>
      <w:r>
        <w:rPr>
          <w:color w:val="211F1F"/>
          <w:spacing w:val="-4"/>
        </w:rPr>
        <w:t>the</w:t>
      </w:r>
      <w:r>
        <w:rPr>
          <w:color w:val="211F1F"/>
          <w:spacing w:val="-13"/>
        </w:rPr>
        <w:t xml:space="preserve"> </w:t>
      </w:r>
      <w:r>
        <w:rPr>
          <w:color w:val="211F1F"/>
          <w:spacing w:val="-4"/>
        </w:rPr>
        <w:t>addenda</w:t>
      </w:r>
      <w:r>
        <w:rPr>
          <w:color w:val="211F1F"/>
        </w:rPr>
        <w:t xml:space="preserve"> </w:t>
      </w:r>
      <w:r>
        <w:rPr>
          <w:color w:val="211F1F"/>
          <w:spacing w:val="-5"/>
        </w:rPr>
        <w:t>Nos</w:t>
      </w:r>
      <w:r>
        <w:rPr>
          <w:color w:val="211F1F"/>
          <w:u w:val="single" w:color="201E1F"/>
        </w:rPr>
        <w:tab/>
      </w:r>
      <w:r>
        <w:rPr>
          <w:color w:val="211F1F"/>
          <w:spacing w:val="-2"/>
        </w:rPr>
        <w:t>(if</w:t>
      </w:r>
      <w:r>
        <w:rPr>
          <w:color w:val="211F1F"/>
          <w:spacing w:val="-23"/>
        </w:rPr>
        <w:t xml:space="preserve"> </w:t>
      </w:r>
      <w:r>
        <w:rPr>
          <w:color w:val="211F1F"/>
          <w:spacing w:val="-4"/>
        </w:rPr>
        <w:t>any)</w:t>
      </w:r>
    </w:p>
    <w:p w14:paraId="7A32B87D" w14:textId="77777777" w:rsidR="00BB77C0" w:rsidRDefault="00370BAA">
      <w:pPr>
        <w:pStyle w:val="ListParagraph"/>
        <w:numPr>
          <w:ilvl w:val="1"/>
          <w:numId w:val="11"/>
        </w:numPr>
        <w:tabs>
          <w:tab w:val="left" w:pos="1474"/>
        </w:tabs>
        <w:spacing w:before="59"/>
        <w:ind w:hanging="437"/>
      </w:pPr>
      <w:r>
        <w:rPr>
          <w:color w:val="211F1F"/>
          <w:spacing w:val="-4"/>
        </w:rPr>
        <w:t>the</w:t>
      </w:r>
      <w:r>
        <w:rPr>
          <w:color w:val="211F1F"/>
          <w:spacing w:val="-12"/>
        </w:rPr>
        <w:t xml:space="preserve"> </w:t>
      </w:r>
      <w:r>
        <w:rPr>
          <w:color w:val="211F1F"/>
          <w:spacing w:val="-4"/>
        </w:rPr>
        <w:t>Special</w:t>
      </w:r>
      <w:r>
        <w:rPr>
          <w:color w:val="211F1F"/>
          <w:spacing w:val="-8"/>
        </w:rPr>
        <w:t xml:space="preserve"> </w:t>
      </w:r>
      <w:r>
        <w:rPr>
          <w:color w:val="211F1F"/>
          <w:spacing w:val="-4"/>
        </w:rPr>
        <w:t>Conditions</w:t>
      </w:r>
      <w:r>
        <w:rPr>
          <w:color w:val="211F1F"/>
          <w:spacing w:val="-3"/>
        </w:rPr>
        <w:t xml:space="preserve"> </w:t>
      </w:r>
      <w:r>
        <w:rPr>
          <w:color w:val="211F1F"/>
          <w:spacing w:val="-4"/>
        </w:rPr>
        <w:t>of</w:t>
      </w:r>
      <w:r>
        <w:rPr>
          <w:color w:val="211F1F"/>
          <w:spacing w:val="-5"/>
        </w:rPr>
        <w:t xml:space="preserve"> </w:t>
      </w:r>
      <w:r>
        <w:rPr>
          <w:color w:val="211F1F"/>
          <w:spacing w:val="-4"/>
        </w:rPr>
        <w:t>Contract</w:t>
      </w:r>
    </w:p>
    <w:p w14:paraId="06DC9185" w14:textId="77777777" w:rsidR="00BB77C0" w:rsidRDefault="00370BAA">
      <w:pPr>
        <w:pStyle w:val="ListParagraph"/>
        <w:numPr>
          <w:ilvl w:val="1"/>
          <w:numId w:val="11"/>
        </w:numPr>
        <w:tabs>
          <w:tab w:val="left" w:pos="1474"/>
        </w:tabs>
        <w:spacing w:before="64"/>
        <w:ind w:hanging="437"/>
      </w:pPr>
      <w:r>
        <w:rPr>
          <w:color w:val="211F1F"/>
          <w:spacing w:val="-4"/>
        </w:rPr>
        <w:t>the</w:t>
      </w:r>
      <w:r>
        <w:rPr>
          <w:color w:val="211F1F"/>
          <w:spacing w:val="-11"/>
        </w:rPr>
        <w:t xml:space="preserve"> </w:t>
      </w:r>
      <w:r>
        <w:rPr>
          <w:color w:val="211F1F"/>
          <w:spacing w:val="-4"/>
        </w:rPr>
        <w:t>General</w:t>
      </w:r>
      <w:r>
        <w:rPr>
          <w:color w:val="211F1F"/>
          <w:spacing w:val="-13"/>
        </w:rPr>
        <w:t xml:space="preserve"> </w:t>
      </w:r>
      <w:r>
        <w:rPr>
          <w:color w:val="211F1F"/>
          <w:spacing w:val="-4"/>
        </w:rPr>
        <w:t>Conditions</w:t>
      </w:r>
      <w:r>
        <w:rPr>
          <w:color w:val="211F1F"/>
          <w:spacing w:val="-1"/>
        </w:rPr>
        <w:t xml:space="preserve"> </w:t>
      </w:r>
      <w:r>
        <w:rPr>
          <w:color w:val="211F1F"/>
          <w:spacing w:val="-4"/>
        </w:rPr>
        <w:t>of Contract;</w:t>
      </w:r>
    </w:p>
    <w:p w14:paraId="56C74367" w14:textId="77777777" w:rsidR="00BB77C0" w:rsidRDefault="00370BAA">
      <w:pPr>
        <w:pStyle w:val="ListParagraph"/>
        <w:numPr>
          <w:ilvl w:val="1"/>
          <w:numId w:val="11"/>
        </w:numPr>
        <w:tabs>
          <w:tab w:val="left" w:pos="1474"/>
        </w:tabs>
        <w:spacing w:before="69"/>
        <w:ind w:hanging="437"/>
      </w:pPr>
      <w:r>
        <w:rPr>
          <w:color w:val="211F1F"/>
        </w:rPr>
        <w:t>the</w:t>
      </w:r>
      <w:r>
        <w:rPr>
          <w:color w:val="211F1F"/>
          <w:spacing w:val="-28"/>
        </w:rPr>
        <w:t xml:space="preserve"> </w:t>
      </w:r>
      <w:r>
        <w:rPr>
          <w:color w:val="211F1F"/>
          <w:spacing w:val="-2"/>
        </w:rPr>
        <w:t>Specifications</w:t>
      </w:r>
    </w:p>
    <w:p w14:paraId="3571A714" w14:textId="77777777" w:rsidR="00BB77C0" w:rsidRDefault="00370BAA">
      <w:pPr>
        <w:pStyle w:val="ListParagraph"/>
        <w:numPr>
          <w:ilvl w:val="1"/>
          <w:numId w:val="11"/>
        </w:numPr>
        <w:tabs>
          <w:tab w:val="left" w:pos="1474"/>
        </w:tabs>
        <w:spacing w:before="63"/>
        <w:ind w:hanging="437"/>
      </w:pPr>
      <w:r>
        <w:rPr>
          <w:color w:val="211F1F"/>
          <w:spacing w:val="-4"/>
        </w:rPr>
        <w:t>the</w:t>
      </w:r>
      <w:r>
        <w:rPr>
          <w:color w:val="211F1F"/>
          <w:spacing w:val="-15"/>
        </w:rPr>
        <w:t xml:space="preserve"> </w:t>
      </w:r>
      <w:r>
        <w:rPr>
          <w:color w:val="211F1F"/>
          <w:spacing w:val="-4"/>
        </w:rPr>
        <w:t>Drawings</w:t>
      </w:r>
      <w:r>
        <w:rPr>
          <w:i/>
          <w:color w:val="211F1F"/>
          <w:spacing w:val="-4"/>
        </w:rPr>
        <w:t>;</w:t>
      </w:r>
      <w:r>
        <w:rPr>
          <w:i/>
          <w:color w:val="211F1F"/>
          <w:spacing w:val="-1"/>
        </w:rPr>
        <w:t xml:space="preserve"> </w:t>
      </w:r>
      <w:r>
        <w:rPr>
          <w:color w:val="211F1F"/>
          <w:spacing w:val="-5"/>
        </w:rPr>
        <w:t>and</w:t>
      </w:r>
    </w:p>
    <w:p w14:paraId="642369E1" w14:textId="77777777" w:rsidR="00BB77C0" w:rsidRDefault="00370BAA">
      <w:pPr>
        <w:pStyle w:val="ListParagraph"/>
        <w:numPr>
          <w:ilvl w:val="1"/>
          <w:numId w:val="11"/>
        </w:numPr>
        <w:tabs>
          <w:tab w:val="left" w:pos="1474"/>
        </w:tabs>
        <w:spacing w:before="65"/>
        <w:ind w:hanging="437"/>
      </w:pPr>
      <w:r>
        <w:rPr>
          <w:color w:val="211F1F"/>
          <w:spacing w:val="-4"/>
        </w:rPr>
        <w:t>the</w:t>
      </w:r>
      <w:r>
        <w:rPr>
          <w:color w:val="211F1F"/>
          <w:spacing w:val="-12"/>
        </w:rPr>
        <w:t xml:space="preserve"> </w:t>
      </w:r>
      <w:r>
        <w:rPr>
          <w:color w:val="211F1F"/>
          <w:spacing w:val="-4"/>
        </w:rPr>
        <w:t>completed</w:t>
      </w:r>
      <w:r>
        <w:rPr>
          <w:color w:val="211F1F"/>
          <w:spacing w:val="-15"/>
        </w:rPr>
        <w:t xml:space="preserve"> </w:t>
      </w:r>
      <w:r>
        <w:rPr>
          <w:color w:val="211F1F"/>
          <w:spacing w:val="-4"/>
        </w:rPr>
        <w:t>Schedules</w:t>
      </w:r>
      <w:r>
        <w:rPr>
          <w:color w:val="211F1F"/>
          <w:spacing w:val="-2"/>
        </w:rPr>
        <w:t xml:space="preserve"> </w:t>
      </w:r>
      <w:r>
        <w:rPr>
          <w:color w:val="211F1F"/>
          <w:spacing w:val="-4"/>
        </w:rPr>
        <w:t>and</w:t>
      </w:r>
      <w:r>
        <w:rPr>
          <w:color w:val="211F1F"/>
          <w:spacing w:val="-15"/>
        </w:rPr>
        <w:t xml:space="preserve"> </w:t>
      </w:r>
      <w:r>
        <w:rPr>
          <w:color w:val="211F1F"/>
          <w:spacing w:val="-4"/>
        </w:rPr>
        <w:t>any</w:t>
      </w:r>
      <w:r>
        <w:rPr>
          <w:color w:val="211F1F"/>
          <w:spacing w:val="-9"/>
        </w:rPr>
        <w:t xml:space="preserve"> </w:t>
      </w:r>
      <w:r>
        <w:rPr>
          <w:color w:val="211F1F"/>
          <w:spacing w:val="-4"/>
        </w:rPr>
        <w:t>other</w:t>
      </w:r>
      <w:r>
        <w:rPr>
          <w:color w:val="211F1F"/>
          <w:spacing w:val="-5"/>
        </w:rPr>
        <w:t xml:space="preserve"> </w:t>
      </w:r>
      <w:r>
        <w:rPr>
          <w:color w:val="211F1F"/>
          <w:spacing w:val="-4"/>
        </w:rPr>
        <w:t>documents</w:t>
      </w:r>
      <w:r>
        <w:rPr>
          <w:color w:val="211F1F"/>
          <w:spacing w:val="-3"/>
        </w:rPr>
        <w:t xml:space="preserve"> </w:t>
      </w:r>
      <w:r>
        <w:rPr>
          <w:color w:val="211F1F"/>
          <w:spacing w:val="-4"/>
        </w:rPr>
        <w:t>forming</w:t>
      </w:r>
      <w:r>
        <w:rPr>
          <w:color w:val="211F1F"/>
          <w:spacing w:val="-9"/>
        </w:rPr>
        <w:t xml:space="preserve"> </w:t>
      </w:r>
      <w:r>
        <w:rPr>
          <w:color w:val="211F1F"/>
          <w:spacing w:val="-4"/>
        </w:rPr>
        <w:t>part</w:t>
      </w:r>
      <w:r>
        <w:rPr>
          <w:color w:val="211F1F"/>
          <w:spacing w:val="-3"/>
        </w:rPr>
        <w:t xml:space="preserve"> </w:t>
      </w:r>
      <w:r>
        <w:rPr>
          <w:color w:val="211F1F"/>
          <w:spacing w:val="-4"/>
        </w:rPr>
        <w:t>of</w:t>
      </w:r>
      <w:r>
        <w:rPr>
          <w:color w:val="211F1F"/>
          <w:spacing w:val="-12"/>
        </w:rPr>
        <w:t xml:space="preserve"> </w:t>
      </w:r>
      <w:r>
        <w:rPr>
          <w:color w:val="211F1F"/>
          <w:spacing w:val="-4"/>
        </w:rPr>
        <w:t>the</w:t>
      </w:r>
      <w:r>
        <w:rPr>
          <w:color w:val="211F1F"/>
          <w:spacing w:val="-10"/>
        </w:rPr>
        <w:t xml:space="preserve"> </w:t>
      </w:r>
      <w:r>
        <w:rPr>
          <w:color w:val="211F1F"/>
          <w:spacing w:val="-4"/>
        </w:rPr>
        <w:t>contract.</w:t>
      </w:r>
    </w:p>
    <w:p w14:paraId="3DA1BEBF" w14:textId="77777777" w:rsidR="00BB77C0" w:rsidRDefault="00BB77C0">
      <w:pPr>
        <w:pStyle w:val="BodyText"/>
        <w:spacing w:before="35"/>
      </w:pPr>
    </w:p>
    <w:p w14:paraId="011F6F58" w14:textId="77777777" w:rsidR="00BB77C0" w:rsidRDefault="00370BAA">
      <w:pPr>
        <w:pStyle w:val="ListParagraph"/>
        <w:numPr>
          <w:ilvl w:val="0"/>
          <w:numId w:val="11"/>
        </w:numPr>
        <w:tabs>
          <w:tab w:val="left" w:pos="1035"/>
          <w:tab w:val="left" w:pos="1046"/>
        </w:tabs>
        <w:spacing w:line="230" w:lineRule="auto"/>
        <w:ind w:left="1046" w:right="718" w:hanging="562"/>
        <w:jc w:val="both"/>
      </w:pPr>
      <w:r>
        <w:rPr>
          <w:color w:val="211F1F"/>
        </w:rPr>
        <w:t>In consideration of the payments to be made by the Procuring Entity to the Contractor as specified in this Agreement, the Contractor hereby covenants with the Procuring Entity to execute the Works and to remedy defects therein</w:t>
      </w:r>
      <w:r>
        <w:rPr>
          <w:color w:val="211F1F"/>
          <w:spacing w:val="-5"/>
        </w:rPr>
        <w:t xml:space="preserve"> </w:t>
      </w:r>
      <w:r>
        <w:rPr>
          <w:color w:val="211F1F"/>
        </w:rPr>
        <w:t>in</w:t>
      </w:r>
      <w:r>
        <w:rPr>
          <w:color w:val="211F1F"/>
          <w:spacing w:val="-5"/>
        </w:rPr>
        <w:t xml:space="preserve"> </w:t>
      </w:r>
      <w:r>
        <w:rPr>
          <w:color w:val="211F1F"/>
        </w:rPr>
        <w:t>conformity</w:t>
      </w:r>
      <w:r>
        <w:rPr>
          <w:color w:val="211F1F"/>
          <w:spacing w:val="-4"/>
        </w:rPr>
        <w:t xml:space="preserve"> </w:t>
      </w:r>
      <w:r>
        <w:rPr>
          <w:color w:val="211F1F"/>
        </w:rPr>
        <w:t>in</w:t>
      </w:r>
      <w:r>
        <w:rPr>
          <w:color w:val="211F1F"/>
          <w:spacing w:val="-4"/>
        </w:rPr>
        <w:t xml:space="preserve"> </w:t>
      </w:r>
      <w:r>
        <w:rPr>
          <w:color w:val="211F1F"/>
        </w:rPr>
        <w:t>all respects with</w:t>
      </w:r>
      <w:r>
        <w:rPr>
          <w:color w:val="211F1F"/>
          <w:spacing w:val="-4"/>
        </w:rPr>
        <w:t xml:space="preserve"> </w:t>
      </w:r>
      <w:r>
        <w:rPr>
          <w:color w:val="211F1F"/>
        </w:rPr>
        <w:t>the</w:t>
      </w:r>
      <w:r>
        <w:rPr>
          <w:color w:val="211F1F"/>
          <w:spacing w:val="-8"/>
        </w:rPr>
        <w:t xml:space="preserve"> </w:t>
      </w:r>
      <w:r>
        <w:rPr>
          <w:color w:val="211F1F"/>
        </w:rPr>
        <w:t>provisions of the</w:t>
      </w:r>
      <w:r>
        <w:rPr>
          <w:color w:val="211F1F"/>
          <w:spacing w:val="-8"/>
        </w:rPr>
        <w:t xml:space="preserve"> </w:t>
      </w:r>
      <w:r>
        <w:rPr>
          <w:color w:val="211F1F"/>
        </w:rPr>
        <w:t>Contract.</w:t>
      </w:r>
    </w:p>
    <w:p w14:paraId="2DFF4129" w14:textId="77777777" w:rsidR="00BB77C0" w:rsidRDefault="00370BAA">
      <w:pPr>
        <w:pStyle w:val="ListParagraph"/>
        <w:numPr>
          <w:ilvl w:val="0"/>
          <w:numId w:val="11"/>
        </w:numPr>
        <w:tabs>
          <w:tab w:val="left" w:pos="1035"/>
          <w:tab w:val="left" w:pos="1051"/>
        </w:tabs>
        <w:spacing w:before="241" w:line="230" w:lineRule="auto"/>
        <w:ind w:right="702" w:hanging="567"/>
        <w:jc w:val="both"/>
      </w:pPr>
      <w:r>
        <w:rPr>
          <w:color w:val="211F1F"/>
        </w:rPr>
        <w:t>The</w:t>
      </w:r>
      <w:r>
        <w:rPr>
          <w:color w:val="211F1F"/>
          <w:spacing w:val="-14"/>
        </w:rPr>
        <w:t xml:space="preserve"> </w:t>
      </w:r>
      <w:r>
        <w:rPr>
          <w:color w:val="211F1F"/>
        </w:rPr>
        <w:t>Procuring</w:t>
      </w:r>
      <w:r>
        <w:rPr>
          <w:color w:val="211F1F"/>
          <w:spacing w:val="-14"/>
        </w:rPr>
        <w:t xml:space="preserve"> </w:t>
      </w:r>
      <w:r>
        <w:rPr>
          <w:color w:val="211F1F"/>
        </w:rPr>
        <w:t>Entity</w:t>
      </w:r>
      <w:r>
        <w:rPr>
          <w:color w:val="211F1F"/>
          <w:spacing w:val="-9"/>
        </w:rPr>
        <w:t xml:space="preserve"> </w:t>
      </w:r>
      <w:r>
        <w:rPr>
          <w:color w:val="211F1F"/>
        </w:rPr>
        <w:t>hereby</w:t>
      </w:r>
      <w:r>
        <w:rPr>
          <w:color w:val="211F1F"/>
          <w:spacing w:val="-9"/>
        </w:rPr>
        <w:t xml:space="preserve"> </w:t>
      </w:r>
      <w:r>
        <w:rPr>
          <w:color w:val="211F1F"/>
        </w:rPr>
        <w:t>covenants</w:t>
      </w:r>
      <w:r>
        <w:rPr>
          <w:color w:val="211F1F"/>
          <w:spacing w:val="-8"/>
        </w:rPr>
        <w:t xml:space="preserve"> </w:t>
      </w:r>
      <w:r>
        <w:rPr>
          <w:color w:val="211F1F"/>
        </w:rPr>
        <w:t>to</w:t>
      </w:r>
      <w:r>
        <w:rPr>
          <w:color w:val="211F1F"/>
          <w:spacing w:val="-14"/>
        </w:rPr>
        <w:t xml:space="preserve"> </w:t>
      </w:r>
      <w:r>
        <w:rPr>
          <w:color w:val="211F1F"/>
        </w:rPr>
        <w:t>pay</w:t>
      </w:r>
      <w:r>
        <w:rPr>
          <w:color w:val="211F1F"/>
          <w:spacing w:val="-14"/>
        </w:rPr>
        <w:t xml:space="preserve"> </w:t>
      </w:r>
      <w:r>
        <w:rPr>
          <w:color w:val="211F1F"/>
        </w:rPr>
        <w:t>the</w:t>
      </w:r>
      <w:r>
        <w:rPr>
          <w:color w:val="211F1F"/>
          <w:spacing w:val="-11"/>
        </w:rPr>
        <w:t xml:space="preserve"> </w:t>
      </w:r>
      <w:r>
        <w:rPr>
          <w:color w:val="211F1F"/>
        </w:rPr>
        <w:t>Contractor</w:t>
      </w:r>
      <w:r>
        <w:rPr>
          <w:color w:val="211F1F"/>
          <w:spacing w:val="-6"/>
        </w:rPr>
        <w:t xml:space="preserve"> </w:t>
      </w:r>
      <w:r>
        <w:rPr>
          <w:color w:val="211F1F"/>
        </w:rPr>
        <w:t>in</w:t>
      </w:r>
      <w:r>
        <w:rPr>
          <w:color w:val="211F1F"/>
          <w:spacing w:val="-14"/>
        </w:rPr>
        <w:t xml:space="preserve"> </w:t>
      </w:r>
      <w:r>
        <w:rPr>
          <w:color w:val="211F1F"/>
        </w:rPr>
        <w:t>consideration</w:t>
      </w:r>
      <w:r>
        <w:rPr>
          <w:color w:val="211F1F"/>
          <w:spacing w:val="-8"/>
        </w:rPr>
        <w:t xml:space="preserve"> </w:t>
      </w:r>
      <w:r>
        <w:rPr>
          <w:color w:val="211F1F"/>
        </w:rPr>
        <w:t>of</w:t>
      </w:r>
      <w:r>
        <w:rPr>
          <w:color w:val="211F1F"/>
          <w:spacing w:val="-11"/>
        </w:rPr>
        <w:t xml:space="preserve"> </w:t>
      </w:r>
      <w:r>
        <w:rPr>
          <w:color w:val="211F1F"/>
        </w:rPr>
        <w:t>the</w:t>
      </w:r>
      <w:r>
        <w:rPr>
          <w:color w:val="211F1F"/>
          <w:spacing w:val="-7"/>
        </w:rPr>
        <w:t xml:space="preserve"> </w:t>
      </w:r>
      <w:r>
        <w:rPr>
          <w:color w:val="211F1F"/>
        </w:rPr>
        <w:t>execution</w:t>
      </w:r>
      <w:r>
        <w:rPr>
          <w:color w:val="211F1F"/>
          <w:spacing w:val="-13"/>
        </w:rPr>
        <w:t xml:space="preserve"> </w:t>
      </w:r>
      <w:r>
        <w:rPr>
          <w:color w:val="211F1F"/>
        </w:rPr>
        <w:t>and</w:t>
      </w:r>
      <w:r>
        <w:rPr>
          <w:color w:val="211F1F"/>
          <w:spacing w:val="-14"/>
        </w:rPr>
        <w:t xml:space="preserve"> </w:t>
      </w:r>
      <w:r>
        <w:rPr>
          <w:color w:val="211F1F"/>
        </w:rPr>
        <w:t>completion</w:t>
      </w:r>
      <w:r>
        <w:rPr>
          <w:color w:val="211F1F"/>
          <w:spacing w:val="-13"/>
        </w:rPr>
        <w:t xml:space="preserve"> </w:t>
      </w:r>
      <w:r>
        <w:rPr>
          <w:color w:val="211F1F"/>
        </w:rPr>
        <w:t>of the Works and the remedying of defects therein, the Contract Price or such other sum as may become payable under the</w:t>
      </w:r>
      <w:r>
        <w:rPr>
          <w:color w:val="211F1F"/>
          <w:spacing w:val="-11"/>
        </w:rPr>
        <w:t xml:space="preserve"> </w:t>
      </w:r>
      <w:r>
        <w:rPr>
          <w:color w:val="211F1F"/>
        </w:rPr>
        <w:t>provisions of</w:t>
      </w:r>
      <w:r>
        <w:rPr>
          <w:color w:val="211F1F"/>
          <w:spacing w:val="-11"/>
        </w:rPr>
        <w:t xml:space="preserve"> </w:t>
      </w:r>
      <w:r>
        <w:rPr>
          <w:color w:val="211F1F"/>
        </w:rPr>
        <w:t>the</w:t>
      </w:r>
      <w:r>
        <w:rPr>
          <w:color w:val="211F1F"/>
          <w:spacing w:val="-11"/>
        </w:rPr>
        <w:t xml:space="preserve"> </w:t>
      </w:r>
      <w:r>
        <w:rPr>
          <w:color w:val="211F1F"/>
        </w:rPr>
        <w:t>Contract</w:t>
      </w:r>
      <w:r>
        <w:rPr>
          <w:color w:val="211F1F"/>
          <w:spacing w:val="-6"/>
        </w:rPr>
        <w:t xml:space="preserve"> </w:t>
      </w:r>
      <w:r>
        <w:rPr>
          <w:color w:val="211F1F"/>
        </w:rPr>
        <w:t>at</w:t>
      </w:r>
      <w:r>
        <w:rPr>
          <w:color w:val="211F1F"/>
          <w:spacing w:val="-8"/>
        </w:rPr>
        <w:t xml:space="preserve"> </w:t>
      </w:r>
      <w:r>
        <w:rPr>
          <w:color w:val="211F1F"/>
        </w:rPr>
        <w:t>the</w:t>
      </w:r>
      <w:r>
        <w:rPr>
          <w:color w:val="211F1F"/>
          <w:spacing w:val="-11"/>
        </w:rPr>
        <w:t xml:space="preserve"> </w:t>
      </w:r>
      <w:r>
        <w:rPr>
          <w:color w:val="211F1F"/>
        </w:rPr>
        <w:t>times</w:t>
      </w:r>
      <w:r>
        <w:rPr>
          <w:color w:val="211F1F"/>
          <w:spacing w:val="-2"/>
        </w:rPr>
        <w:t xml:space="preserve"> </w:t>
      </w:r>
      <w:r>
        <w:rPr>
          <w:color w:val="211F1F"/>
        </w:rPr>
        <w:t>and</w:t>
      </w:r>
      <w:r>
        <w:rPr>
          <w:color w:val="211F1F"/>
          <w:spacing w:val="-9"/>
        </w:rPr>
        <w:t xml:space="preserve"> </w:t>
      </w:r>
      <w:r>
        <w:rPr>
          <w:color w:val="211F1F"/>
        </w:rPr>
        <w:t>in</w:t>
      </w:r>
      <w:r>
        <w:rPr>
          <w:color w:val="211F1F"/>
          <w:spacing w:val="-15"/>
        </w:rPr>
        <w:t xml:space="preserve"> </w:t>
      </w:r>
      <w:r>
        <w:rPr>
          <w:color w:val="211F1F"/>
        </w:rPr>
        <w:t>the</w:t>
      </w:r>
      <w:r>
        <w:rPr>
          <w:color w:val="211F1F"/>
          <w:spacing w:val="-5"/>
        </w:rPr>
        <w:t xml:space="preserve"> </w:t>
      </w:r>
      <w:r>
        <w:rPr>
          <w:color w:val="211F1F"/>
        </w:rPr>
        <w:t>manner prescribed</w:t>
      </w:r>
      <w:r>
        <w:rPr>
          <w:color w:val="211F1F"/>
          <w:spacing w:val="-8"/>
        </w:rPr>
        <w:t xml:space="preserve"> </w:t>
      </w:r>
      <w:r>
        <w:rPr>
          <w:color w:val="211F1F"/>
        </w:rPr>
        <w:t>by</w:t>
      </w:r>
      <w:r>
        <w:rPr>
          <w:color w:val="211F1F"/>
          <w:spacing w:val="-9"/>
        </w:rPr>
        <w:t xml:space="preserve"> </w:t>
      </w:r>
      <w:r>
        <w:rPr>
          <w:color w:val="211F1F"/>
        </w:rPr>
        <w:t>the</w:t>
      </w:r>
      <w:r>
        <w:rPr>
          <w:color w:val="211F1F"/>
          <w:spacing w:val="-11"/>
        </w:rPr>
        <w:t xml:space="preserve"> </w:t>
      </w:r>
      <w:r>
        <w:rPr>
          <w:color w:val="211F1F"/>
        </w:rPr>
        <w:t>Contract.</w:t>
      </w:r>
    </w:p>
    <w:p w14:paraId="34739298" w14:textId="77777777" w:rsidR="00BB77C0" w:rsidRDefault="00370BAA">
      <w:pPr>
        <w:pStyle w:val="BodyText"/>
        <w:spacing w:before="240" w:line="237" w:lineRule="auto"/>
        <w:ind w:left="485" w:right="587"/>
      </w:pPr>
      <w:r>
        <w:rPr>
          <w:color w:val="211F1F"/>
        </w:rPr>
        <w:t>IN</w:t>
      </w:r>
      <w:r>
        <w:rPr>
          <w:color w:val="211F1F"/>
          <w:spacing w:val="-7"/>
        </w:rPr>
        <w:t xml:space="preserve"> </w:t>
      </w:r>
      <w:r>
        <w:rPr>
          <w:color w:val="211F1F"/>
        </w:rPr>
        <w:t>WITNESS</w:t>
      </w:r>
      <w:r>
        <w:rPr>
          <w:color w:val="211F1F"/>
          <w:spacing w:val="-7"/>
        </w:rPr>
        <w:t xml:space="preserve"> </w:t>
      </w:r>
      <w:r>
        <w:rPr>
          <w:color w:val="211F1F"/>
        </w:rPr>
        <w:t>whereof</w:t>
      </w:r>
      <w:r>
        <w:rPr>
          <w:color w:val="211F1F"/>
          <w:spacing w:val="-7"/>
        </w:rPr>
        <w:t xml:space="preserve"> </w:t>
      </w:r>
      <w:r>
        <w:rPr>
          <w:color w:val="211F1F"/>
        </w:rPr>
        <w:t>the</w:t>
      </w:r>
      <w:r>
        <w:rPr>
          <w:color w:val="211F1F"/>
          <w:spacing w:val="-12"/>
        </w:rPr>
        <w:t xml:space="preserve"> </w:t>
      </w:r>
      <w:r>
        <w:rPr>
          <w:color w:val="211F1F"/>
        </w:rPr>
        <w:t>parties</w:t>
      </w:r>
      <w:r>
        <w:rPr>
          <w:color w:val="211F1F"/>
          <w:spacing w:val="-5"/>
        </w:rPr>
        <w:t xml:space="preserve"> </w:t>
      </w:r>
      <w:r>
        <w:rPr>
          <w:color w:val="211F1F"/>
        </w:rPr>
        <w:t>hereto</w:t>
      </w:r>
      <w:r>
        <w:rPr>
          <w:color w:val="211F1F"/>
          <w:spacing w:val="-5"/>
        </w:rPr>
        <w:t xml:space="preserve"> </w:t>
      </w:r>
      <w:r>
        <w:rPr>
          <w:color w:val="211F1F"/>
        </w:rPr>
        <w:t>have</w:t>
      </w:r>
      <w:r>
        <w:rPr>
          <w:color w:val="211F1F"/>
          <w:spacing w:val="-7"/>
        </w:rPr>
        <w:t xml:space="preserve"> </w:t>
      </w:r>
      <w:r>
        <w:rPr>
          <w:color w:val="211F1F"/>
        </w:rPr>
        <w:t>caused</w:t>
      </w:r>
      <w:r>
        <w:rPr>
          <w:color w:val="211F1F"/>
          <w:spacing w:val="-10"/>
        </w:rPr>
        <w:t xml:space="preserve"> </w:t>
      </w:r>
      <w:r>
        <w:rPr>
          <w:color w:val="211F1F"/>
        </w:rPr>
        <w:t>this</w:t>
      </w:r>
      <w:r>
        <w:rPr>
          <w:color w:val="211F1F"/>
          <w:spacing w:val="-1"/>
        </w:rPr>
        <w:t xml:space="preserve"> </w:t>
      </w:r>
      <w:r>
        <w:rPr>
          <w:color w:val="211F1F"/>
        </w:rPr>
        <w:t>Agreement to</w:t>
      </w:r>
      <w:r>
        <w:rPr>
          <w:color w:val="211F1F"/>
          <w:spacing w:val="-10"/>
        </w:rPr>
        <w:t xml:space="preserve"> </w:t>
      </w:r>
      <w:r>
        <w:rPr>
          <w:color w:val="211F1F"/>
        </w:rPr>
        <w:t>be</w:t>
      </w:r>
      <w:r>
        <w:rPr>
          <w:color w:val="211F1F"/>
          <w:spacing w:val="-8"/>
        </w:rPr>
        <w:t xml:space="preserve"> </w:t>
      </w:r>
      <w:r>
        <w:rPr>
          <w:color w:val="211F1F"/>
        </w:rPr>
        <w:t>executed</w:t>
      </w:r>
      <w:r>
        <w:rPr>
          <w:color w:val="211F1F"/>
          <w:spacing w:val="-5"/>
        </w:rPr>
        <w:t xml:space="preserve"> </w:t>
      </w:r>
      <w:r>
        <w:rPr>
          <w:color w:val="211F1F"/>
        </w:rPr>
        <w:t>in</w:t>
      </w:r>
      <w:r>
        <w:rPr>
          <w:color w:val="211F1F"/>
          <w:spacing w:val="-10"/>
        </w:rPr>
        <w:t xml:space="preserve"> </w:t>
      </w:r>
      <w:r>
        <w:rPr>
          <w:color w:val="211F1F"/>
        </w:rPr>
        <w:t>accordance</w:t>
      </w:r>
      <w:r>
        <w:rPr>
          <w:color w:val="211F1F"/>
          <w:spacing w:val="-7"/>
        </w:rPr>
        <w:t xml:space="preserve"> </w:t>
      </w:r>
      <w:r>
        <w:rPr>
          <w:color w:val="211F1F"/>
        </w:rPr>
        <w:t>with</w:t>
      </w:r>
      <w:r>
        <w:rPr>
          <w:color w:val="211F1F"/>
          <w:spacing w:val="-10"/>
        </w:rPr>
        <w:t xml:space="preserve"> </w:t>
      </w:r>
      <w:r>
        <w:rPr>
          <w:color w:val="211F1F"/>
        </w:rPr>
        <w:t>the</w:t>
      </w:r>
      <w:r>
        <w:rPr>
          <w:color w:val="211F1F"/>
          <w:spacing w:val="-7"/>
        </w:rPr>
        <w:t xml:space="preserve"> </w:t>
      </w:r>
      <w:r>
        <w:rPr>
          <w:color w:val="211F1F"/>
        </w:rPr>
        <w:t>Laws</w:t>
      </w:r>
      <w:r>
        <w:rPr>
          <w:color w:val="211F1F"/>
          <w:spacing w:val="-1"/>
        </w:rPr>
        <w:t xml:space="preserve"> </w:t>
      </w:r>
      <w:r>
        <w:rPr>
          <w:color w:val="211F1F"/>
        </w:rPr>
        <w:t>of Kenya on the day, month and year specified above.</w:t>
      </w:r>
    </w:p>
    <w:p w14:paraId="50CBA83F" w14:textId="77777777" w:rsidR="00BB77C0" w:rsidRDefault="00BB77C0">
      <w:pPr>
        <w:pStyle w:val="BodyText"/>
      </w:pPr>
    </w:p>
    <w:p w14:paraId="300264F9" w14:textId="77777777" w:rsidR="00BB77C0" w:rsidRDefault="00BB77C0">
      <w:pPr>
        <w:pStyle w:val="BodyText"/>
        <w:spacing w:before="211"/>
      </w:pPr>
    </w:p>
    <w:p w14:paraId="66E86BC9" w14:textId="77777777" w:rsidR="00BB77C0" w:rsidRDefault="00370BAA">
      <w:pPr>
        <w:pStyle w:val="BodyText"/>
        <w:tabs>
          <w:tab w:val="left" w:pos="7630"/>
        </w:tabs>
        <w:ind w:left="485"/>
        <w:jc w:val="both"/>
      </w:pPr>
      <w:r>
        <w:rPr>
          <w:color w:val="211F1F"/>
          <w:spacing w:val="-4"/>
        </w:rPr>
        <w:t>Signed</w:t>
      </w:r>
      <w:r>
        <w:rPr>
          <w:color w:val="211F1F"/>
          <w:spacing w:val="-15"/>
        </w:rPr>
        <w:t xml:space="preserve"> </w:t>
      </w:r>
      <w:r>
        <w:rPr>
          <w:color w:val="211F1F"/>
          <w:spacing w:val="-4"/>
        </w:rPr>
        <w:t>and</w:t>
      </w:r>
      <w:r>
        <w:rPr>
          <w:color w:val="211F1F"/>
          <w:spacing w:val="-6"/>
        </w:rPr>
        <w:t xml:space="preserve"> </w:t>
      </w:r>
      <w:r>
        <w:rPr>
          <w:color w:val="211F1F"/>
          <w:spacing w:val="-4"/>
        </w:rPr>
        <w:t>sealed</w:t>
      </w:r>
      <w:r>
        <w:rPr>
          <w:color w:val="211F1F"/>
          <w:spacing w:val="-8"/>
        </w:rPr>
        <w:t xml:space="preserve"> </w:t>
      </w:r>
      <w:r>
        <w:rPr>
          <w:color w:val="211F1F"/>
          <w:spacing w:val="-5"/>
        </w:rPr>
        <w:t>by</w:t>
      </w:r>
      <w:r>
        <w:rPr>
          <w:color w:val="211F1F"/>
          <w:u w:val="single" w:color="201E1F"/>
        </w:rPr>
        <w:tab/>
      </w:r>
      <w:r>
        <w:rPr>
          <w:color w:val="211F1F"/>
          <w:spacing w:val="-4"/>
        </w:rPr>
        <w:t>(for</w:t>
      </w:r>
      <w:r>
        <w:rPr>
          <w:color w:val="211F1F"/>
          <w:spacing w:val="-11"/>
        </w:rPr>
        <w:t xml:space="preserve"> </w:t>
      </w:r>
      <w:r>
        <w:rPr>
          <w:color w:val="211F1F"/>
          <w:spacing w:val="-4"/>
        </w:rPr>
        <w:t>the</w:t>
      </w:r>
      <w:r>
        <w:rPr>
          <w:color w:val="211F1F"/>
          <w:spacing w:val="-10"/>
        </w:rPr>
        <w:t xml:space="preserve"> </w:t>
      </w:r>
      <w:r>
        <w:rPr>
          <w:color w:val="211F1F"/>
          <w:spacing w:val="-4"/>
        </w:rPr>
        <w:t>Procuring</w:t>
      </w:r>
      <w:r>
        <w:rPr>
          <w:color w:val="211F1F"/>
          <w:spacing w:val="-6"/>
        </w:rPr>
        <w:t xml:space="preserve"> </w:t>
      </w:r>
      <w:r>
        <w:rPr>
          <w:color w:val="211F1F"/>
          <w:spacing w:val="-4"/>
        </w:rPr>
        <w:t>Entity)</w:t>
      </w:r>
    </w:p>
    <w:p w14:paraId="7D7BFB39" w14:textId="77777777" w:rsidR="00BB77C0" w:rsidRDefault="00BB77C0">
      <w:pPr>
        <w:pStyle w:val="BodyText"/>
      </w:pPr>
    </w:p>
    <w:p w14:paraId="1861A78E" w14:textId="77777777" w:rsidR="00BB77C0" w:rsidRDefault="00BB77C0">
      <w:pPr>
        <w:pStyle w:val="BodyText"/>
        <w:spacing w:before="215"/>
      </w:pPr>
    </w:p>
    <w:p w14:paraId="7565B126" w14:textId="77777777" w:rsidR="00BB77C0" w:rsidRDefault="00370BAA">
      <w:pPr>
        <w:pStyle w:val="BodyText"/>
        <w:tabs>
          <w:tab w:val="left" w:pos="7851"/>
        </w:tabs>
        <w:ind w:left="485"/>
      </w:pPr>
      <w:r>
        <w:rPr>
          <w:color w:val="211F1F"/>
          <w:spacing w:val="-4"/>
        </w:rPr>
        <w:t>Signed</w:t>
      </w:r>
      <w:r>
        <w:rPr>
          <w:color w:val="211F1F"/>
          <w:spacing w:val="-15"/>
        </w:rPr>
        <w:t xml:space="preserve"> </w:t>
      </w:r>
      <w:r>
        <w:rPr>
          <w:color w:val="211F1F"/>
          <w:spacing w:val="-4"/>
        </w:rPr>
        <w:t>and</w:t>
      </w:r>
      <w:r>
        <w:rPr>
          <w:color w:val="211F1F"/>
          <w:spacing w:val="-6"/>
        </w:rPr>
        <w:t xml:space="preserve"> </w:t>
      </w:r>
      <w:r>
        <w:rPr>
          <w:color w:val="211F1F"/>
          <w:spacing w:val="-4"/>
        </w:rPr>
        <w:t>sealed</w:t>
      </w:r>
      <w:r>
        <w:rPr>
          <w:color w:val="211F1F"/>
          <w:spacing w:val="-8"/>
        </w:rPr>
        <w:t xml:space="preserve"> </w:t>
      </w:r>
      <w:r>
        <w:rPr>
          <w:color w:val="211F1F"/>
          <w:spacing w:val="-5"/>
        </w:rPr>
        <w:t>by</w:t>
      </w:r>
      <w:r>
        <w:rPr>
          <w:color w:val="211F1F"/>
          <w:u w:val="single" w:color="201E1F"/>
        </w:rPr>
        <w:tab/>
      </w:r>
      <w:r>
        <w:rPr>
          <w:color w:val="211F1F"/>
          <w:spacing w:val="-2"/>
        </w:rPr>
        <w:t>(for</w:t>
      </w:r>
      <w:r>
        <w:rPr>
          <w:color w:val="211F1F"/>
          <w:spacing w:val="-19"/>
        </w:rPr>
        <w:t xml:space="preserve"> </w:t>
      </w:r>
      <w:r>
        <w:rPr>
          <w:color w:val="211F1F"/>
          <w:spacing w:val="-2"/>
        </w:rPr>
        <w:t>the</w:t>
      </w:r>
      <w:r>
        <w:rPr>
          <w:color w:val="211F1F"/>
          <w:spacing w:val="-24"/>
        </w:rPr>
        <w:t xml:space="preserve"> </w:t>
      </w:r>
      <w:r>
        <w:rPr>
          <w:color w:val="211F1F"/>
          <w:spacing w:val="-2"/>
        </w:rPr>
        <w:t>Contractor).</w:t>
      </w:r>
    </w:p>
    <w:p w14:paraId="5949F258" w14:textId="77777777" w:rsidR="00BB77C0" w:rsidRDefault="00BB77C0">
      <w:pPr>
        <w:pStyle w:val="BodyText"/>
        <w:sectPr w:rsidR="00BB77C0">
          <w:pgSz w:w="11920" w:h="16850"/>
          <w:pgMar w:top="740" w:right="0" w:bottom="280" w:left="360" w:header="720" w:footer="720" w:gutter="0"/>
          <w:cols w:space="720"/>
        </w:sectPr>
      </w:pPr>
    </w:p>
    <w:p w14:paraId="04E2F769" w14:textId="77777777" w:rsidR="00BB77C0" w:rsidRDefault="00370BAA">
      <w:pPr>
        <w:pStyle w:val="Heading5"/>
        <w:spacing w:before="65"/>
        <w:ind w:left="485"/>
      </w:pPr>
      <w:bookmarkStart w:id="253" w:name="FORM_NO._5_-_PERFORMANCE_SECURITY"/>
      <w:bookmarkEnd w:id="253"/>
      <w:r>
        <w:rPr>
          <w:color w:val="211F1F"/>
          <w:u w:val="single" w:color="211F1F"/>
        </w:rPr>
        <w:lastRenderedPageBreak/>
        <w:t>FORM</w:t>
      </w:r>
      <w:r>
        <w:rPr>
          <w:color w:val="211F1F"/>
          <w:spacing w:val="-2"/>
          <w:u w:val="single" w:color="211F1F"/>
        </w:rPr>
        <w:t xml:space="preserve"> </w:t>
      </w:r>
      <w:r>
        <w:rPr>
          <w:color w:val="211F1F"/>
          <w:u w:val="single" w:color="211F1F"/>
        </w:rPr>
        <w:t>NO.</w:t>
      </w:r>
      <w:r>
        <w:rPr>
          <w:color w:val="211F1F"/>
          <w:spacing w:val="-2"/>
          <w:u w:val="single" w:color="211F1F"/>
        </w:rPr>
        <w:t xml:space="preserve"> </w:t>
      </w:r>
      <w:r>
        <w:rPr>
          <w:color w:val="211F1F"/>
          <w:u w:val="single" w:color="211F1F"/>
        </w:rPr>
        <w:t>5</w:t>
      </w:r>
      <w:r>
        <w:rPr>
          <w:color w:val="211F1F"/>
          <w:spacing w:val="-4"/>
          <w:u w:val="single" w:color="211F1F"/>
        </w:rPr>
        <w:t xml:space="preserve"> </w:t>
      </w:r>
      <w:r>
        <w:rPr>
          <w:color w:val="211F1F"/>
          <w:u w:val="single" w:color="211F1F"/>
        </w:rPr>
        <w:t>-</w:t>
      </w:r>
      <w:r>
        <w:rPr>
          <w:color w:val="211F1F"/>
          <w:spacing w:val="-3"/>
          <w:u w:val="single" w:color="211F1F"/>
        </w:rPr>
        <w:t xml:space="preserve"> </w:t>
      </w:r>
      <w:r>
        <w:rPr>
          <w:color w:val="211F1F"/>
          <w:u w:val="single" w:color="211F1F"/>
        </w:rPr>
        <w:t>PERFORMANCE</w:t>
      </w:r>
      <w:r>
        <w:rPr>
          <w:color w:val="211F1F"/>
          <w:spacing w:val="-1"/>
          <w:u w:val="single" w:color="211F1F"/>
        </w:rPr>
        <w:t xml:space="preserve"> </w:t>
      </w:r>
      <w:r>
        <w:rPr>
          <w:color w:val="211F1F"/>
          <w:spacing w:val="-2"/>
          <w:u w:val="single" w:color="211F1F"/>
        </w:rPr>
        <w:t>SECURITY</w:t>
      </w:r>
    </w:p>
    <w:p w14:paraId="123A17AB" w14:textId="77777777" w:rsidR="00BB77C0" w:rsidRDefault="00370BAA">
      <w:pPr>
        <w:pStyle w:val="Heading7"/>
        <w:spacing w:before="242"/>
        <w:ind w:left="485"/>
      </w:pPr>
      <w:bookmarkStart w:id="254" w:name="[Option_1_-_Unconditional_Demand_Bank_Gu"/>
      <w:bookmarkEnd w:id="254"/>
      <w:r>
        <w:rPr>
          <w:color w:val="211F1F"/>
        </w:rPr>
        <w:t>[Option</w:t>
      </w:r>
      <w:r>
        <w:rPr>
          <w:color w:val="211F1F"/>
          <w:spacing w:val="-14"/>
        </w:rPr>
        <w:t xml:space="preserve"> </w:t>
      </w:r>
      <w:r>
        <w:rPr>
          <w:color w:val="211F1F"/>
        </w:rPr>
        <w:t>1</w:t>
      </w:r>
      <w:r>
        <w:rPr>
          <w:color w:val="211F1F"/>
          <w:spacing w:val="-8"/>
        </w:rPr>
        <w:t xml:space="preserve"> </w:t>
      </w:r>
      <w:r>
        <w:rPr>
          <w:color w:val="211F1F"/>
        </w:rPr>
        <w:t>-</w:t>
      </w:r>
      <w:r>
        <w:rPr>
          <w:color w:val="211F1F"/>
          <w:spacing w:val="-4"/>
        </w:rPr>
        <w:t xml:space="preserve"> </w:t>
      </w:r>
      <w:r>
        <w:rPr>
          <w:color w:val="211F1F"/>
        </w:rPr>
        <w:t>Unconditional</w:t>
      </w:r>
      <w:r>
        <w:rPr>
          <w:color w:val="211F1F"/>
          <w:spacing w:val="-10"/>
        </w:rPr>
        <w:t xml:space="preserve"> </w:t>
      </w:r>
      <w:r>
        <w:rPr>
          <w:color w:val="211F1F"/>
        </w:rPr>
        <w:t>Demand</w:t>
      </w:r>
      <w:r>
        <w:rPr>
          <w:color w:val="211F1F"/>
          <w:spacing w:val="-10"/>
        </w:rPr>
        <w:t xml:space="preserve"> </w:t>
      </w:r>
      <w:r>
        <w:rPr>
          <w:color w:val="211F1F"/>
        </w:rPr>
        <w:t>Bank</w:t>
      </w:r>
      <w:r>
        <w:rPr>
          <w:color w:val="211F1F"/>
          <w:spacing w:val="-9"/>
        </w:rPr>
        <w:t xml:space="preserve"> </w:t>
      </w:r>
      <w:r>
        <w:rPr>
          <w:color w:val="211F1F"/>
          <w:spacing w:val="-2"/>
        </w:rPr>
        <w:t>Guarantee]</w:t>
      </w:r>
    </w:p>
    <w:p w14:paraId="59AAA827" w14:textId="77777777" w:rsidR="00BB77C0" w:rsidRDefault="00BB77C0">
      <w:pPr>
        <w:pStyle w:val="BodyText"/>
        <w:spacing w:before="142"/>
        <w:rPr>
          <w:b/>
        </w:rPr>
      </w:pPr>
    </w:p>
    <w:p w14:paraId="0301C061" w14:textId="77777777" w:rsidR="00BB77C0" w:rsidRDefault="00370BAA">
      <w:pPr>
        <w:ind w:left="485"/>
        <w:rPr>
          <w:i/>
        </w:rPr>
      </w:pPr>
      <w:r>
        <w:rPr>
          <w:i/>
          <w:color w:val="211F1F"/>
        </w:rPr>
        <w:t>[Guarantor</w:t>
      </w:r>
      <w:r>
        <w:rPr>
          <w:i/>
          <w:color w:val="211F1F"/>
          <w:spacing w:val="-13"/>
        </w:rPr>
        <w:t xml:space="preserve"> </w:t>
      </w:r>
      <w:r>
        <w:rPr>
          <w:i/>
          <w:color w:val="211F1F"/>
          <w:spacing w:val="-2"/>
        </w:rPr>
        <w:t>letterhead]</w:t>
      </w:r>
    </w:p>
    <w:p w14:paraId="753E0567" w14:textId="77777777" w:rsidR="00BB77C0" w:rsidRDefault="00BB77C0">
      <w:pPr>
        <w:pStyle w:val="BodyText"/>
        <w:spacing w:before="152"/>
        <w:rPr>
          <w:i/>
        </w:rPr>
      </w:pPr>
    </w:p>
    <w:p w14:paraId="67623B27" w14:textId="77777777" w:rsidR="00BB77C0" w:rsidRDefault="00370BAA">
      <w:pPr>
        <w:tabs>
          <w:tab w:val="left" w:pos="5176"/>
          <w:tab w:val="left" w:pos="10494"/>
        </w:tabs>
        <w:ind w:left="485"/>
        <w:rPr>
          <w:b/>
        </w:rPr>
      </w:pPr>
      <w:r>
        <w:rPr>
          <w:b/>
          <w:color w:val="211F1F"/>
          <w:spacing w:val="-2"/>
        </w:rPr>
        <w:t>Beneficiary:</w:t>
      </w:r>
      <w:r>
        <w:rPr>
          <w:b/>
          <w:color w:val="211F1F"/>
          <w:u w:val="single" w:color="201E1F"/>
        </w:rPr>
        <w:tab/>
      </w:r>
      <w:r>
        <w:rPr>
          <w:i/>
          <w:color w:val="211F1F"/>
          <w:spacing w:val="-2"/>
        </w:rPr>
        <w:t>[insert</w:t>
      </w:r>
      <w:r>
        <w:rPr>
          <w:i/>
          <w:color w:val="211F1F"/>
          <w:spacing w:val="-18"/>
        </w:rPr>
        <w:t xml:space="preserve"> </w:t>
      </w:r>
      <w:r>
        <w:rPr>
          <w:i/>
          <w:color w:val="211F1F"/>
          <w:spacing w:val="-2"/>
        </w:rPr>
        <w:t>name</w:t>
      </w:r>
      <w:r>
        <w:rPr>
          <w:i/>
          <w:color w:val="211F1F"/>
          <w:spacing w:val="-23"/>
        </w:rPr>
        <w:t xml:space="preserve"> </w:t>
      </w:r>
      <w:r>
        <w:rPr>
          <w:i/>
          <w:color w:val="211F1F"/>
          <w:spacing w:val="-2"/>
        </w:rPr>
        <w:t>and</w:t>
      </w:r>
      <w:r>
        <w:rPr>
          <w:i/>
          <w:color w:val="211F1F"/>
          <w:spacing w:val="-27"/>
        </w:rPr>
        <w:t xml:space="preserve"> </w:t>
      </w:r>
      <w:r>
        <w:rPr>
          <w:i/>
          <w:color w:val="211F1F"/>
          <w:spacing w:val="-2"/>
        </w:rPr>
        <w:t>Address</w:t>
      </w:r>
      <w:r>
        <w:rPr>
          <w:i/>
          <w:color w:val="211F1F"/>
          <w:spacing w:val="-21"/>
        </w:rPr>
        <w:t xml:space="preserve"> </w:t>
      </w:r>
      <w:r>
        <w:rPr>
          <w:i/>
          <w:color w:val="211F1F"/>
          <w:spacing w:val="-2"/>
        </w:rPr>
        <w:t>of</w:t>
      </w:r>
      <w:r>
        <w:rPr>
          <w:i/>
          <w:color w:val="211F1F"/>
          <w:spacing w:val="-20"/>
        </w:rPr>
        <w:t xml:space="preserve"> </w:t>
      </w:r>
      <w:r>
        <w:rPr>
          <w:color w:val="211F1F"/>
          <w:spacing w:val="-2"/>
        </w:rPr>
        <w:t>Procuring</w:t>
      </w:r>
      <w:r>
        <w:rPr>
          <w:color w:val="211F1F"/>
          <w:spacing w:val="-26"/>
        </w:rPr>
        <w:t xml:space="preserve"> </w:t>
      </w:r>
      <w:r>
        <w:rPr>
          <w:color w:val="211F1F"/>
          <w:spacing w:val="-2"/>
        </w:rPr>
        <w:t>Entity</w:t>
      </w:r>
      <w:r>
        <w:rPr>
          <w:i/>
          <w:color w:val="211F1F"/>
          <w:spacing w:val="-2"/>
        </w:rPr>
        <w:t>]</w:t>
      </w:r>
      <w:r>
        <w:rPr>
          <w:i/>
          <w:color w:val="211F1F"/>
          <w:spacing w:val="12"/>
        </w:rPr>
        <w:t xml:space="preserve"> </w:t>
      </w:r>
      <w:r>
        <w:rPr>
          <w:b/>
          <w:color w:val="211F1F"/>
          <w:spacing w:val="-2"/>
        </w:rPr>
        <w:t>Date:</w:t>
      </w:r>
      <w:r>
        <w:rPr>
          <w:b/>
          <w:color w:val="211F1F"/>
          <w:u w:val="single" w:color="201E1F"/>
        </w:rPr>
        <w:tab/>
      </w:r>
    </w:p>
    <w:p w14:paraId="3E8425F4" w14:textId="77777777" w:rsidR="00BB77C0" w:rsidRDefault="00BB77C0">
      <w:pPr>
        <w:pStyle w:val="BodyText"/>
        <w:spacing w:before="147"/>
        <w:rPr>
          <w:b/>
        </w:rPr>
      </w:pPr>
    </w:p>
    <w:p w14:paraId="6EB0D2DC" w14:textId="77777777" w:rsidR="00BB77C0" w:rsidRDefault="00370BAA">
      <w:pPr>
        <w:tabs>
          <w:tab w:val="left" w:pos="5176"/>
        </w:tabs>
        <w:ind w:left="485"/>
        <w:rPr>
          <w:i/>
        </w:rPr>
      </w:pPr>
      <w:r>
        <w:rPr>
          <w:i/>
          <w:color w:val="211F1F"/>
          <w:u w:val="thick" w:color="201E1F"/>
        </w:rPr>
        <w:tab/>
      </w:r>
      <w:r>
        <w:rPr>
          <w:i/>
          <w:color w:val="211F1F"/>
          <w:spacing w:val="-2"/>
        </w:rPr>
        <w:t>[Insert</w:t>
      </w:r>
      <w:r>
        <w:rPr>
          <w:i/>
          <w:color w:val="211F1F"/>
          <w:spacing w:val="-23"/>
        </w:rPr>
        <w:t xml:space="preserve"> </w:t>
      </w:r>
      <w:r>
        <w:rPr>
          <w:i/>
          <w:color w:val="211F1F"/>
          <w:spacing w:val="-2"/>
        </w:rPr>
        <w:t>date</w:t>
      </w:r>
      <w:r>
        <w:rPr>
          <w:i/>
          <w:color w:val="211F1F"/>
          <w:spacing w:val="-17"/>
        </w:rPr>
        <w:t xml:space="preserve"> </w:t>
      </w:r>
      <w:r>
        <w:rPr>
          <w:i/>
          <w:color w:val="211F1F"/>
          <w:spacing w:val="-2"/>
        </w:rPr>
        <w:t>of</w:t>
      </w:r>
      <w:r>
        <w:rPr>
          <w:i/>
          <w:color w:val="211F1F"/>
          <w:spacing w:val="-15"/>
        </w:rPr>
        <w:t xml:space="preserve"> </w:t>
      </w:r>
      <w:r>
        <w:rPr>
          <w:i/>
          <w:color w:val="211F1F"/>
          <w:spacing w:val="-2"/>
        </w:rPr>
        <w:t>issue]</w:t>
      </w:r>
    </w:p>
    <w:p w14:paraId="10963E3B" w14:textId="77777777" w:rsidR="00BB77C0" w:rsidRDefault="00BB77C0">
      <w:pPr>
        <w:pStyle w:val="BodyText"/>
        <w:spacing w:before="142"/>
        <w:rPr>
          <w:i/>
        </w:rPr>
      </w:pPr>
    </w:p>
    <w:p w14:paraId="6EDE1E18" w14:textId="77777777" w:rsidR="00BB77C0" w:rsidRDefault="00370BAA">
      <w:pPr>
        <w:ind w:left="485"/>
        <w:rPr>
          <w:i/>
        </w:rPr>
      </w:pPr>
      <w:r>
        <w:rPr>
          <w:b/>
          <w:color w:val="211F1F"/>
        </w:rPr>
        <w:t>Guarantor:</w:t>
      </w:r>
      <w:r>
        <w:rPr>
          <w:b/>
          <w:color w:val="211F1F"/>
          <w:spacing w:val="-8"/>
        </w:rPr>
        <w:t xml:space="preserve"> </w:t>
      </w:r>
      <w:r>
        <w:rPr>
          <w:b/>
          <w:color w:val="211F1F"/>
        </w:rPr>
        <w:t>[</w:t>
      </w:r>
      <w:r>
        <w:rPr>
          <w:i/>
          <w:color w:val="211F1F"/>
        </w:rPr>
        <w:t>Insert</w:t>
      </w:r>
      <w:r>
        <w:rPr>
          <w:i/>
          <w:color w:val="211F1F"/>
          <w:spacing w:val="-4"/>
        </w:rPr>
        <w:t xml:space="preserve"> </w:t>
      </w:r>
      <w:r>
        <w:rPr>
          <w:i/>
          <w:color w:val="211F1F"/>
        </w:rPr>
        <w:t>name</w:t>
      </w:r>
      <w:r>
        <w:rPr>
          <w:i/>
          <w:color w:val="211F1F"/>
          <w:spacing w:val="-7"/>
        </w:rPr>
        <w:t xml:space="preserve"> </w:t>
      </w:r>
      <w:r>
        <w:rPr>
          <w:i/>
          <w:color w:val="211F1F"/>
        </w:rPr>
        <w:t>and</w:t>
      </w:r>
      <w:r>
        <w:rPr>
          <w:i/>
          <w:color w:val="211F1F"/>
          <w:spacing w:val="-6"/>
        </w:rPr>
        <w:t xml:space="preserve"> </w:t>
      </w:r>
      <w:r>
        <w:rPr>
          <w:i/>
          <w:color w:val="211F1F"/>
        </w:rPr>
        <w:t>address</w:t>
      </w:r>
      <w:r>
        <w:rPr>
          <w:i/>
          <w:color w:val="211F1F"/>
          <w:spacing w:val="-4"/>
        </w:rPr>
        <w:t xml:space="preserve"> </w:t>
      </w:r>
      <w:r>
        <w:rPr>
          <w:i/>
          <w:color w:val="211F1F"/>
        </w:rPr>
        <w:t>of</w:t>
      </w:r>
      <w:r>
        <w:rPr>
          <w:i/>
          <w:color w:val="211F1F"/>
          <w:spacing w:val="-5"/>
        </w:rPr>
        <w:t xml:space="preserve"> </w:t>
      </w:r>
      <w:r>
        <w:rPr>
          <w:i/>
          <w:color w:val="211F1F"/>
        </w:rPr>
        <w:t>place</w:t>
      </w:r>
      <w:r>
        <w:rPr>
          <w:i/>
          <w:color w:val="211F1F"/>
          <w:spacing w:val="-8"/>
        </w:rPr>
        <w:t xml:space="preserve"> </w:t>
      </w:r>
      <w:r>
        <w:rPr>
          <w:i/>
          <w:color w:val="211F1F"/>
        </w:rPr>
        <w:t>of</w:t>
      </w:r>
      <w:r>
        <w:rPr>
          <w:i/>
          <w:color w:val="211F1F"/>
          <w:spacing w:val="-9"/>
        </w:rPr>
        <w:t xml:space="preserve"> </w:t>
      </w:r>
      <w:r>
        <w:rPr>
          <w:i/>
          <w:color w:val="211F1F"/>
        </w:rPr>
        <w:t>issue,</w:t>
      </w:r>
      <w:r>
        <w:rPr>
          <w:i/>
          <w:color w:val="211F1F"/>
          <w:spacing w:val="-6"/>
        </w:rPr>
        <w:t xml:space="preserve"> </w:t>
      </w:r>
      <w:r>
        <w:rPr>
          <w:i/>
          <w:color w:val="211F1F"/>
        </w:rPr>
        <w:t>unless</w:t>
      </w:r>
      <w:r>
        <w:rPr>
          <w:i/>
          <w:color w:val="211F1F"/>
          <w:spacing w:val="-5"/>
        </w:rPr>
        <w:t xml:space="preserve"> </w:t>
      </w:r>
      <w:r>
        <w:rPr>
          <w:i/>
          <w:color w:val="211F1F"/>
        </w:rPr>
        <w:t>indicated</w:t>
      </w:r>
      <w:r>
        <w:rPr>
          <w:i/>
          <w:color w:val="211F1F"/>
          <w:spacing w:val="-10"/>
        </w:rPr>
        <w:t xml:space="preserve"> </w:t>
      </w:r>
      <w:r>
        <w:rPr>
          <w:i/>
          <w:color w:val="211F1F"/>
        </w:rPr>
        <w:t>in</w:t>
      </w:r>
      <w:r>
        <w:rPr>
          <w:i/>
          <w:color w:val="211F1F"/>
          <w:spacing w:val="-6"/>
        </w:rPr>
        <w:t xml:space="preserve"> </w:t>
      </w:r>
      <w:r>
        <w:rPr>
          <w:i/>
          <w:color w:val="211F1F"/>
        </w:rPr>
        <w:t>the</w:t>
      </w:r>
      <w:r>
        <w:rPr>
          <w:i/>
          <w:color w:val="211F1F"/>
          <w:spacing w:val="-11"/>
        </w:rPr>
        <w:t xml:space="preserve"> </w:t>
      </w:r>
      <w:r>
        <w:rPr>
          <w:i/>
          <w:color w:val="211F1F"/>
          <w:spacing w:val="-2"/>
        </w:rPr>
        <w:t>letterhead]</w:t>
      </w:r>
    </w:p>
    <w:p w14:paraId="5A35758E" w14:textId="77777777" w:rsidR="00BB77C0" w:rsidRDefault="00BB77C0">
      <w:pPr>
        <w:pStyle w:val="BodyText"/>
        <w:spacing w:before="160"/>
        <w:rPr>
          <w:i/>
        </w:rPr>
      </w:pPr>
    </w:p>
    <w:p w14:paraId="4FEBA5B9" w14:textId="77777777" w:rsidR="00BB77C0" w:rsidRDefault="00370BAA">
      <w:pPr>
        <w:pStyle w:val="ListParagraph"/>
        <w:numPr>
          <w:ilvl w:val="0"/>
          <w:numId w:val="10"/>
        </w:numPr>
        <w:tabs>
          <w:tab w:val="left" w:pos="1029"/>
          <w:tab w:val="left" w:pos="1046"/>
          <w:tab w:val="left" w:pos="5411"/>
          <w:tab w:val="left" w:pos="6300"/>
          <w:tab w:val="left" w:pos="8648"/>
          <w:tab w:val="left" w:pos="9704"/>
        </w:tabs>
        <w:spacing w:line="230" w:lineRule="auto"/>
        <w:ind w:right="709" w:hanging="562"/>
        <w:jc w:val="both"/>
      </w:pPr>
      <w:r>
        <w:rPr>
          <w:color w:val="211F1F"/>
        </w:rPr>
        <w:t>We</w:t>
      </w:r>
      <w:r>
        <w:rPr>
          <w:color w:val="211F1F"/>
          <w:spacing w:val="40"/>
        </w:rPr>
        <w:t xml:space="preserve"> </w:t>
      </w:r>
      <w:r>
        <w:rPr>
          <w:color w:val="211F1F"/>
        </w:rPr>
        <w:t>have been informed that</w:t>
      </w:r>
      <w:r>
        <w:rPr>
          <w:color w:val="211F1F"/>
          <w:u w:val="single" w:color="201E1F"/>
        </w:rPr>
        <w:tab/>
      </w:r>
      <w:r>
        <w:rPr>
          <w:color w:val="211F1F"/>
          <w:u w:val="single" w:color="201E1F"/>
        </w:rPr>
        <w:tab/>
      </w:r>
      <w:r>
        <w:rPr>
          <w:color w:val="211F1F"/>
          <w:u w:val="single" w:color="201E1F"/>
        </w:rPr>
        <w:tab/>
      </w:r>
      <w:r>
        <w:rPr>
          <w:color w:val="211F1F"/>
        </w:rPr>
        <w:t>(hereinafter called "the Contractor") has entered into Contract No.</w:t>
      </w:r>
      <w:r>
        <w:rPr>
          <w:color w:val="211F1F"/>
          <w:u w:val="single" w:color="201E1F"/>
        </w:rPr>
        <w:tab/>
      </w:r>
      <w:r>
        <w:rPr>
          <w:color w:val="211F1F"/>
          <w:u w:val="single" w:color="201E1F"/>
        </w:rPr>
        <w:tab/>
      </w:r>
      <w:r>
        <w:rPr>
          <w:color w:val="211F1F"/>
          <w:spacing w:val="-2"/>
        </w:rPr>
        <w:t>dated</w:t>
      </w:r>
      <w:r>
        <w:rPr>
          <w:color w:val="211F1F"/>
          <w:u w:val="single" w:color="201E1F"/>
        </w:rPr>
        <w:tab/>
      </w:r>
      <w:r>
        <w:rPr>
          <w:color w:val="211F1F"/>
          <w:u w:val="single" w:color="201E1F"/>
        </w:rPr>
        <w:tab/>
      </w:r>
      <w:r>
        <w:rPr>
          <w:color w:val="211F1F"/>
        </w:rPr>
        <w:t>with (</w:t>
      </w:r>
      <w:r>
        <w:rPr>
          <w:i/>
          <w:color w:val="211F1F"/>
        </w:rPr>
        <w:t>name of Procuring Entity</w:t>
      </w:r>
      <w:r>
        <w:rPr>
          <w:color w:val="211F1F"/>
        </w:rPr>
        <w:t>)</w:t>
      </w:r>
      <w:r>
        <w:rPr>
          <w:color w:val="211F1F"/>
          <w:u w:val="single" w:color="201E1F"/>
        </w:rPr>
        <w:tab/>
      </w:r>
      <w:r>
        <w:rPr>
          <w:color w:val="211F1F"/>
        </w:rPr>
        <w:t>(the</w:t>
      </w:r>
      <w:r>
        <w:rPr>
          <w:color w:val="211F1F"/>
          <w:spacing w:val="-5"/>
        </w:rPr>
        <w:t xml:space="preserve"> </w:t>
      </w:r>
      <w:r>
        <w:rPr>
          <w:color w:val="211F1F"/>
        </w:rPr>
        <w:t>Procuring</w:t>
      </w:r>
      <w:r>
        <w:rPr>
          <w:color w:val="211F1F"/>
          <w:spacing w:val="-2"/>
        </w:rPr>
        <w:t xml:space="preserve"> </w:t>
      </w:r>
      <w:r>
        <w:rPr>
          <w:color w:val="211F1F"/>
        </w:rPr>
        <w:t>Entity</w:t>
      </w:r>
      <w:r>
        <w:rPr>
          <w:color w:val="211F1F"/>
          <w:spacing w:val="-2"/>
        </w:rPr>
        <w:t xml:space="preserve"> </w:t>
      </w:r>
      <w:r>
        <w:rPr>
          <w:color w:val="211F1F"/>
        </w:rPr>
        <w:t>as</w:t>
      </w:r>
      <w:r>
        <w:rPr>
          <w:color w:val="211F1F"/>
          <w:spacing w:val="-2"/>
        </w:rPr>
        <w:t xml:space="preserve"> </w:t>
      </w:r>
      <w:r>
        <w:rPr>
          <w:color w:val="211F1F"/>
        </w:rPr>
        <w:t>the</w:t>
      </w:r>
      <w:r>
        <w:rPr>
          <w:color w:val="211F1F"/>
          <w:spacing w:val="-9"/>
        </w:rPr>
        <w:t xml:space="preserve"> </w:t>
      </w:r>
      <w:r>
        <w:rPr>
          <w:color w:val="211F1F"/>
        </w:rPr>
        <w:t>Beneficiary), for the execution</w:t>
      </w:r>
      <w:r>
        <w:rPr>
          <w:color w:val="211F1F"/>
          <w:spacing w:val="-2"/>
        </w:rPr>
        <w:t xml:space="preserve"> </w:t>
      </w:r>
      <w:r>
        <w:rPr>
          <w:color w:val="211F1F"/>
        </w:rPr>
        <w:t>of</w:t>
      </w:r>
    </w:p>
    <w:p w14:paraId="1E417B95" w14:textId="77777777" w:rsidR="00BB77C0" w:rsidRDefault="00370BAA">
      <w:pPr>
        <w:pStyle w:val="BodyText"/>
        <w:tabs>
          <w:tab w:val="left" w:pos="3390"/>
        </w:tabs>
        <w:spacing w:line="251" w:lineRule="exact"/>
        <w:ind w:left="1046"/>
        <w:jc w:val="both"/>
      </w:pPr>
      <w:r>
        <w:rPr>
          <w:color w:val="211F1F"/>
          <w:u w:val="single" w:color="201E1F"/>
        </w:rPr>
        <w:tab/>
      </w:r>
      <w:r>
        <w:rPr>
          <w:color w:val="211F1F"/>
          <w:spacing w:val="-4"/>
        </w:rPr>
        <w:t>(hereinafter</w:t>
      </w:r>
      <w:r>
        <w:rPr>
          <w:color w:val="211F1F"/>
          <w:spacing w:val="4"/>
        </w:rPr>
        <w:t xml:space="preserve"> </w:t>
      </w:r>
      <w:r>
        <w:rPr>
          <w:color w:val="211F1F"/>
          <w:spacing w:val="-4"/>
        </w:rPr>
        <w:t>called</w:t>
      </w:r>
      <w:r>
        <w:rPr>
          <w:color w:val="211F1F"/>
          <w:spacing w:val="-14"/>
        </w:rPr>
        <w:t xml:space="preserve"> </w:t>
      </w:r>
      <w:r>
        <w:rPr>
          <w:color w:val="211F1F"/>
          <w:spacing w:val="-4"/>
        </w:rPr>
        <w:t>"the Contract").</w:t>
      </w:r>
    </w:p>
    <w:p w14:paraId="512EC0A5" w14:textId="77777777" w:rsidR="00BB77C0" w:rsidRDefault="00BB77C0">
      <w:pPr>
        <w:pStyle w:val="BodyText"/>
        <w:spacing w:before="149"/>
      </w:pPr>
    </w:p>
    <w:p w14:paraId="09A158A8" w14:textId="77777777" w:rsidR="00BB77C0" w:rsidRDefault="00370BAA">
      <w:pPr>
        <w:pStyle w:val="ListParagraph"/>
        <w:numPr>
          <w:ilvl w:val="0"/>
          <w:numId w:val="10"/>
        </w:numPr>
        <w:tabs>
          <w:tab w:val="left" w:pos="1037"/>
          <w:tab w:val="left" w:pos="1046"/>
        </w:tabs>
        <w:spacing w:line="232" w:lineRule="auto"/>
        <w:ind w:right="762" w:hanging="562"/>
      </w:pPr>
      <w:r>
        <w:rPr>
          <w:color w:val="211F1F"/>
        </w:rPr>
        <w:t>Furthermore,</w:t>
      </w:r>
      <w:r>
        <w:rPr>
          <w:color w:val="211F1F"/>
          <w:spacing w:val="40"/>
        </w:rPr>
        <w:t xml:space="preserve"> </w:t>
      </w:r>
      <w:r>
        <w:rPr>
          <w:color w:val="211F1F"/>
        </w:rPr>
        <w:t>we</w:t>
      </w:r>
      <w:r>
        <w:rPr>
          <w:color w:val="211F1F"/>
          <w:spacing w:val="31"/>
        </w:rPr>
        <w:t xml:space="preserve"> </w:t>
      </w:r>
      <w:r>
        <w:rPr>
          <w:color w:val="211F1F"/>
        </w:rPr>
        <w:t>understand</w:t>
      </w:r>
      <w:r>
        <w:rPr>
          <w:color w:val="211F1F"/>
          <w:spacing w:val="33"/>
        </w:rPr>
        <w:t xml:space="preserve"> </w:t>
      </w:r>
      <w:r>
        <w:rPr>
          <w:color w:val="211F1F"/>
        </w:rPr>
        <w:t>that,</w:t>
      </w:r>
      <w:r>
        <w:rPr>
          <w:color w:val="211F1F"/>
          <w:spacing w:val="35"/>
        </w:rPr>
        <w:t xml:space="preserve"> </w:t>
      </w:r>
      <w:r>
        <w:rPr>
          <w:color w:val="211F1F"/>
        </w:rPr>
        <w:t>according</w:t>
      </w:r>
      <w:r>
        <w:rPr>
          <w:color w:val="211F1F"/>
          <w:spacing w:val="33"/>
        </w:rPr>
        <w:t xml:space="preserve"> </w:t>
      </w:r>
      <w:r>
        <w:rPr>
          <w:color w:val="211F1F"/>
        </w:rPr>
        <w:t>to</w:t>
      </w:r>
      <w:r>
        <w:rPr>
          <w:color w:val="211F1F"/>
          <w:spacing w:val="33"/>
        </w:rPr>
        <w:t xml:space="preserve"> </w:t>
      </w:r>
      <w:r>
        <w:rPr>
          <w:color w:val="211F1F"/>
        </w:rPr>
        <w:t>the</w:t>
      </w:r>
      <w:r>
        <w:rPr>
          <w:color w:val="211F1F"/>
          <w:spacing w:val="31"/>
        </w:rPr>
        <w:t xml:space="preserve"> </w:t>
      </w:r>
      <w:r>
        <w:rPr>
          <w:color w:val="211F1F"/>
        </w:rPr>
        <w:t>conditions</w:t>
      </w:r>
      <w:r>
        <w:rPr>
          <w:color w:val="211F1F"/>
          <w:spacing w:val="38"/>
        </w:rPr>
        <w:t xml:space="preserve"> </w:t>
      </w:r>
      <w:r>
        <w:rPr>
          <w:color w:val="211F1F"/>
        </w:rPr>
        <w:t>of</w:t>
      </w:r>
      <w:r>
        <w:rPr>
          <w:color w:val="211F1F"/>
          <w:spacing w:val="35"/>
        </w:rPr>
        <w:t xml:space="preserve"> </w:t>
      </w:r>
      <w:r>
        <w:rPr>
          <w:color w:val="211F1F"/>
        </w:rPr>
        <w:t>the</w:t>
      </w:r>
      <w:r>
        <w:rPr>
          <w:color w:val="211F1F"/>
          <w:spacing w:val="31"/>
        </w:rPr>
        <w:t xml:space="preserve"> </w:t>
      </w:r>
      <w:r>
        <w:rPr>
          <w:color w:val="211F1F"/>
        </w:rPr>
        <w:t>Contract,</w:t>
      </w:r>
      <w:r>
        <w:rPr>
          <w:color w:val="211F1F"/>
          <w:spacing w:val="35"/>
        </w:rPr>
        <w:t xml:space="preserve"> </w:t>
      </w:r>
      <w:r>
        <w:rPr>
          <w:color w:val="211F1F"/>
        </w:rPr>
        <w:t>a</w:t>
      </w:r>
      <w:r>
        <w:rPr>
          <w:color w:val="211F1F"/>
          <w:spacing w:val="39"/>
        </w:rPr>
        <w:t xml:space="preserve"> </w:t>
      </w:r>
      <w:r>
        <w:rPr>
          <w:color w:val="211F1F"/>
        </w:rPr>
        <w:t>performance</w:t>
      </w:r>
      <w:r>
        <w:rPr>
          <w:color w:val="211F1F"/>
          <w:spacing w:val="36"/>
        </w:rPr>
        <w:t xml:space="preserve"> </w:t>
      </w:r>
      <w:r>
        <w:rPr>
          <w:color w:val="211F1F"/>
        </w:rPr>
        <w:t>guarantee</w:t>
      </w:r>
      <w:r>
        <w:rPr>
          <w:color w:val="211F1F"/>
          <w:spacing w:val="32"/>
        </w:rPr>
        <w:t xml:space="preserve"> </w:t>
      </w:r>
      <w:r>
        <w:rPr>
          <w:color w:val="211F1F"/>
        </w:rPr>
        <w:t xml:space="preserve">is </w:t>
      </w:r>
      <w:r>
        <w:rPr>
          <w:color w:val="211F1F"/>
          <w:spacing w:val="-2"/>
        </w:rPr>
        <w:t>required.</w:t>
      </w:r>
    </w:p>
    <w:p w14:paraId="0DD2C8ED" w14:textId="77777777" w:rsidR="00BB77C0" w:rsidRDefault="00BB77C0">
      <w:pPr>
        <w:pStyle w:val="BodyText"/>
        <w:spacing w:before="156"/>
      </w:pPr>
    </w:p>
    <w:p w14:paraId="6A72DFCC" w14:textId="77777777" w:rsidR="00BB77C0" w:rsidRDefault="00370BAA">
      <w:pPr>
        <w:pStyle w:val="ListParagraph"/>
        <w:numPr>
          <w:ilvl w:val="0"/>
          <w:numId w:val="10"/>
        </w:numPr>
        <w:tabs>
          <w:tab w:val="left" w:pos="1037"/>
          <w:tab w:val="left" w:pos="1046"/>
          <w:tab w:val="left" w:pos="10449"/>
        </w:tabs>
        <w:spacing w:line="230" w:lineRule="auto"/>
        <w:ind w:right="721" w:hanging="562"/>
      </w:pPr>
      <w:r>
        <w:rPr>
          <w:color w:val="211F1F"/>
        </w:rPr>
        <w:t>At</w:t>
      </w:r>
      <w:r>
        <w:rPr>
          <w:color w:val="211F1F"/>
          <w:spacing w:val="-14"/>
        </w:rPr>
        <w:t xml:space="preserve"> </w:t>
      </w:r>
      <w:r>
        <w:rPr>
          <w:color w:val="211F1F"/>
        </w:rPr>
        <w:t>the</w:t>
      </w:r>
      <w:r>
        <w:rPr>
          <w:color w:val="211F1F"/>
          <w:spacing w:val="-23"/>
        </w:rPr>
        <w:t xml:space="preserve"> </w:t>
      </w:r>
      <w:r>
        <w:rPr>
          <w:color w:val="211F1F"/>
        </w:rPr>
        <w:t>request</w:t>
      </w:r>
      <w:r>
        <w:rPr>
          <w:color w:val="211F1F"/>
          <w:spacing w:val="-12"/>
        </w:rPr>
        <w:t xml:space="preserve"> </w:t>
      </w:r>
      <w:r>
        <w:rPr>
          <w:color w:val="211F1F"/>
        </w:rPr>
        <w:t>of</w:t>
      </w:r>
      <w:r>
        <w:rPr>
          <w:color w:val="211F1F"/>
          <w:spacing w:val="-14"/>
        </w:rPr>
        <w:t xml:space="preserve"> </w:t>
      </w:r>
      <w:r>
        <w:rPr>
          <w:color w:val="211F1F"/>
        </w:rPr>
        <w:t>the</w:t>
      </w:r>
      <w:r>
        <w:rPr>
          <w:color w:val="211F1F"/>
          <w:spacing w:val="-19"/>
        </w:rPr>
        <w:t xml:space="preserve"> </w:t>
      </w:r>
      <w:r>
        <w:rPr>
          <w:color w:val="211F1F"/>
        </w:rPr>
        <w:t>Contractor,</w:t>
      </w:r>
      <w:r>
        <w:rPr>
          <w:color w:val="211F1F"/>
          <w:spacing w:val="-13"/>
        </w:rPr>
        <w:t xml:space="preserve"> </w:t>
      </w:r>
      <w:r>
        <w:rPr>
          <w:color w:val="211F1F"/>
        </w:rPr>
        <w:t>we</w:t>
      </w:r>
      <w:r>
        <w:rPr>
          <w:color w:val="211F1F"/>
          <w:spacing w:val="-19"/>
        </w:rPr>
        <w:t xml:space="preserve"> </w:t>
      </w:r>
      <w:r>
        <w:rPr>
          <w:color w:val="211F1F"/>
        </w:rPr>
        <w:t>as</w:t>
      </w:r>
      <w:r>
        <w:rPr>
          <w:color w:val="211F1F"/>
          <w:spacing w:val="-13"/>
        </w:rPr>
        <w:t xml:space="preserve"> </w:t>
      </w:r>
      <w:r>
        <w:rPr>
          <w:color w:val="211F1F"/>
        </w:rPr>
        <w:t>Guarantor,</w:t>
      </w:r>
      <w:r>
        <w:rPr>
          <w:color w:val="211F1F"/>
          <w:spacing w:val="-13"/>
        </w:rPr>
        <w:t xml:space="preserve"> </w:t>
      </w:r>
      <w:r>
        <w:rPr>
          <w:color w:val="211F1F"/>
        </w:rPr>
        <w:t>hereby</w:t>
      </w:r>
      <w:r>
        <w:rPr>
          <w:color w:val="211F1F"/>
          <w:spacing w:val="-17"/>
        </w:rPr>
        <w:t xml:space="preserve"> </w:t>
      </w:r>
      <w:r>
        <w:rPr>
          <w:color w:val="211F1F"/>
        </w:rPr>
        <w:t>irrevocably</w:t>
      </w:r>
      <w:r>
        <w:rPr>
          <w:color w:val="211F1F"/>
          <w:spacing w:val="-16"/>
        </w:rPr>
        <w:t xml:space="preserve"> </w:t>
      </w:r>
      <w:r>
        <w:rPr>
          <w:color w:val="211F1F"/>
        </w:rPr>
        <w:t>undertake</w:t>
      </w:r>
      <w:r>
        <w:rPr>
          <w:color w:val="211F1F"/>
          <w:spacing w:val="-18"/>
        </w:rPr>
        <w:t xml:space="preserve"> </w:t>
      </w:r>
      <w:r>
        <w:rPr>
          <w:color w:val="211F1F"/>
        </w:rPr>
        <w:t>to</w:t>
      </w:r>
      <w:r>
        <w:rPr>
          <w:color w:val="211F1F"/>
          <w:spacing w:val="-22"/>
        </w:rPr>
        <w:t xml:space="preserve"> </w:t>
      </w:r>
      <w:r>
        <w:rPr>
          <w:color w:val="211F1F"/>
        </w:rPr>
        <w:t>pay</w:t>
      </w:r>
      <w:r>
        <w:rPr>
          <w:color w:val="211F1F"/>
          <w:spacing w:val="-17"/>
        </w:rPr>
        <w:t xml:space="preserve"> </w:t>
      </w:r>
      <w:r>
        <w:rPr>
          <w:color w:val="211F1F"/>
        </w:rPr>
        <w:t>the</w:t>
      </w:r>
      <w:r>
        <w:rPr>
          <w:color w:val="211F1F"/>
          <w:spacing w:val="-14"/>
        </w:rPr>
        <w:t xml:space="preserve"> </w:t>
      </w:r>
      <w:r>
        <w:rPr>
          <w:color w:val="211F1F"/>
        </w:rPr>
        <w:t>Beneficiary</w:t>
      </w:r>
      <w:r>
        <w:rPr>
          <w:color w:val="211F1F"/>
          <w:spacing w:val="-20"/>
        </w:rPr>
        <w:t xml:space="preserve"> </w:t>
      </w:r>
      <w:r>
        <w:rPr>
          <w:color w:val="211F1F"/>
        </w:rPr>
        <w:t>any</w:t>
      </w:r>
      <w:r>
        <w:rPr>
          <w:color w:val="211F1F"/>
          <w:spacing w:val="-17"/>
        </w:rPr>
        <w:t xml:space="preserve"> </w:t>
      </w:r>
      <w:r>
        <w:rPr>
          <w:color w:val="211F1F"/>
        </w:rPr>
        <w:t>sum</w:t>
      </w:r>
      <w:r>
        <w:rPr>
          <w:color w:val="211F1F"/>
          <w:spacing w:val="-25"/>
        </w:rPr>
        <w:t xml:space="preserve"> </w:t>
      </w:r>
      <w:r>
        <w:rPr>
          <w:color w:val="211F1F"/>
        </w:rPr>
        <w:t>or sums not exceeding in total an amount of</w:t>
      </w:r>
      <w:r>
        <w:rPr>
          <w:color w:val="211F1F"/>
          <w:u w:val="single" w:color="201E1F"/>
        </w:rPr>
        <w:tab/>
      </w:r>
      <w:r>
        <w:rPr>
          <w:color w:val="211F1F"/>
          <w:spacing w:val="-4"/>
        </w:rPr>
        <w:t>(</w:t>
      </w:r>
      <w:r>
        <w:rPr>
          <w:i/>
          <w:color w:val="211F1F"/>
          <w:spacing w:val="-4"/>
        </w:rPr>
        <w:t xml:space="preserve">in </w:t>
      </w:r>
      <w:r>
        <w:rPr>
          <w:i/>
          <w:color w:val="211F1F"/>
        </w:rPr>
        <w:t>words</w:t>
      </w:r>
      <w:r>
        <w:rPr>
          <w:i/>
          <w:color w:val="211F1F"/>
          <w:spacing w:val="33"/>
        </w:rPr>
        <w:t xml:space="preserve"> </w:t>
      </w:r>
      <w:r>
        <w:rPr>
          <w:color w:val="211F1F"/>
        </w:rPr>
        <w:t>),</w:t>
      </w:r>
      <w:r>
        <w:rPr>
          <w:color w:val="211F1F"/>
          <w:position w:val="11"/>
          <w:sz w:val="11"/>
        </w:rPr>
        <w:t>1</w:t>
      </w:r>
      <w:r>
        <w:rPr>
          <w:color w:val="211F1F"/>
          <w:spacing w:val="13"/>
          <w:position w:val="11"/>
          <w:sz w:val="11"/>
        </w:rPr>
        <w:t xml:space="preserve"> </w:t>
      </w:r>
      <w:r>
        <w:rPr>
          <w:color w:val="211F1F"/>
        </w:rPr>
        <w:t>such</w:t>
      </w:r>
      <w:r>
        <w:rPr>
          <w:color w:val="211F1F"/>
          <w:spacing w:val="27"/>
        </w:rPr>
        <w:t xml:space="preserve"> </w:t>
      </w:r>
      <w:r>
        <w:rPr>
          <w:color w:val="211F1F"/>
        </w:rPr>
        <w:t>sum</w:t>
      </w:r>
      <w:r>
        <w:rPr>
          <w:color w:val="211F1F"/>
          <w:spacing w:val="19"/>
        </w:rPr>
        <w:t xml:space="preserve"> </w:t>
      </w:r>
      <w:r>
        <w:rPr>
          <w:color w:val="211F1F"/>
        </w:rPr>
        <w:t>being</w:t>
      </w:r>
      <w:r>
        <w:rPr>
          <w:color w:val="211F1F"/>
          <w:spacing w:val="23"/>
        </w:rPr>
        <w:t xml:space="preserve"> </w:t>
      </w:r>
      <w:r>
        <w:rPr>
          <w:color w:val="211F1F"/>
        </w:rPr>
        <w:t>payable</w:t>
      </w:r>
      <w:r>
        <w:rPr>
          <w:color w:val="211F1F"/>
          <w:spacing w:val="21"/>
        </w:rPr>
        <w:t xml:space="preserve"> </w:t>
      </w:r>
      <w:r>
        <w:rPr>
          <w:color w:val="211F1F"/>
        </w:rPr>
        <w:t>in</w:t>
      </w:r>
      <w:r>
        <w:rPr>
          <w:color w:val="211F1F"/>
          <w:spacing w:val="22"/>
        </w:rPr>
        <w:t xml:space="preserve"> </w:t>
      </w:r>
      <w:r>
        <w:rPr>
          <w:color w:val="211F1F"/>
        </w:rPr>
        <w:t>the</w:t>
      </w:r>
      <w:r>
        <w:rPr>
          <w:color w:val="211F1F"/>
          <w:spacing w:val="21"/>
        </w:rPr>
        <w:t xml:space="preserve"> </w:t>
      </w:r>
      <w:r>
        <w:rPr>
          <w:color w:val="211F1F"/>
        </w:rPr>
        <w:t>types</w:t>
      </w:r>
      <w:r>
        <w:rPr>
          <w:color w:val="211F1F"/>
          <w:spacing w:val="33"/>
        </w:rPr>
        <w:t xml:space="preserve"> </w:t>
      </w:r>
      <w:r>
        <w:rPr>
          <w:color w:val="211F1F"/>
        </w:rPr>
        <w:t>and</w:t>
      </w:r>
      <w:r>
        <w:rPr>
          <w:color w:val="211F1F"/>
          <w:spacing w:val="27"/>
        </w:rPr>
        <w:t xml:space="preserve"> </w:t>
      </w:r>
      <w:r>
        <w:rPr>
          <w:color w:val="211F1F"/>
        </w:rPr>
        <w:t>proportions</w:t>
      </w:r>
      <w:r>
        <w:rPr>
          <w:color w:val="211F1F"/>
          <w:spacing w:val="33"/>
        </w:rPr>
        <w:t xml:space="preserve"> </w:t>
      </w:r>
      <w:r>
        <w:rPr>
          <w:color w:val="211F1F"/>
        </w:rPr>
        <w:t>of</w:t>
      </w:r>
      <w:r>
        <w:rPr>
          <w:color w:val="211F1F"/>
          <w:spacing w:val="30"/>
        </w:rPr>
        <w:t xml:space="preserve"> </w:t>
      </w:r>
      <w:r>
        <w:rPr>
          <w:color w:val="211F1F"/>
        </w:rPr>
        <w:t>currencies</w:t>
      </w:r>
      <w:r>
        <w:rPr>
          <w:color w:val="211F1F"/>
          <w:spacing w:val="34"/>
        </w:rPr>
        <w:t xml:space="preserve"> </w:t>
      </w:r>
      <w:r>
        <w:rPr>
          <w:color w:val="211F1F"/>
        </w:rPr>
        <w:t>in</w:t>
      </w:r>
      <w:r>
        <w:rPr>
          <w:color w:val="211F1F"/>
          <w:spacing w:val="27"/>
        </w:rPr>
        <w:t xml:space="preserve"> </w:t>
      </w:r>
      <w:r>
        <w:rPr>
          <w:color w:val="211F1F"/>
        </w:rPr>
        <w:t>which</w:t>
      </w:r>
      <w:r>
        <w:rPr>
          <w:color w:val="211F1F"/>
          <w:spacing w:val="23"/>
        </w:rPr>
        <w:t xml:space="preserve"> </w:t>
      </w:r>
      <w:r>
        <w:rPr>
          <w:color w:val="211F1F"/>
        </w:rPr>
        <w:t>the</w:t>
      </w:r>
      <w:r>
        <w:rPr>
          <w:color w:val="211F1F"/>
          <w:spacing w:val="20"/>
        </w:rPr>
        <w:t xml:space="preserve"> </w:t>
      </w:r>
      <w:r>
        <w:rPr>
          <w:color w:val="211F1F"/>
        </w:rPr>
        <w:t>Contract</w:t>
      </w:r>
      <w:r>
        <w:rPr>
          <w:color w:val="211F1F"/>
          <w:spacing w:val="29"/>
        </w:rPr>
        <w:t xml:space="preserve"> </w:t>
      </w:r>
      <w:r>
        <w:rPr>
          <w:color w:val="211F1F"/>
        </w:rPr>
        <w:t>Price</w:t>
      </w:r>
      <w:r>
        <w:rPr>
          <w:color w:val="211F1F"/>
          <w:spacing w:val="21"/>
        </w:rPr>
        <w:t xml:space="preserve"> </w:t>
      </w:r>
      <w:r>
        <w:rPr>
          <w:color w:val="211F1F"/>
        </w:rPr>
        <w:t>is payable, upon receipt by us of the Beneficiary's complying demand supported by the Beneficiary's statement, whether in</w:t>
      </w:r>
      <w:r>
        <w:rPr>
          <w:color w:val="211F1F"/>
          <w:spacing w:val="-8"/>
        </w:rPr>
        <w:t xml:space="preserve"> </w:t>
      </w:r>
      <w:r>
        <w:rPr>
          <w:color w:val="211F1F"/>
        </w:rPr>
        <w:t>the</w:t>
      </w:r>
      <w:r>
        <w:rPr>
          <w:color w:val="211F1F"/>
          <w:spacing w:val="-7"/>
        </w:rPr>
        <w:t xml:space="preserve"> </w:t>
      </w:r>
      <w:r>
        <w:rPr>
          <w:color w:val="211F1F"/>
        </w:rPr>
        <w:t>demand</w:t>
      </w:r>
      <w:r>
        <w:rPr>
          <w:color w:val="211F1F"/>
          <w:spacing w:val="-8"/>
        </w:rPr>
        <w:t xml:space="preserve"> </w:t>
      </w:r>
      <w:r>
        <w:rPr>
          <w:color w:val="211F1F"/>
        </w:rPr>
        <w:t>itself</w:t>
      </w:r>
      <w:r>
        <w:rPr>
          <w:color w:val="211F1F"/>
          <w:spacing w:val="-1"/>
        </w:rPr>
        <w:t xml:space="preserve"> </w:t>
      </w:r>
      <w:r>
        <w:rPr>
          <w:color w:val="211F1F"/>
        </w:rPr>
        <w:t>or</w:t>
      </w:r>
      <w:r>
        <w:rPr>
          <w:color w:val="211F1F"/>
          <w:spacing w:val="-1"/>
        </w:rPr>
        <w:t xml:space="preserve"> </w:t>
      </w:r>
      <w:r>
        <w:rPr>
          <w:color w:val="211F1F"/>
        </w:rPr>
        <w:t>in</w:t>
      </w:r>
      <w:r>
        <w:rPr>
          <w:color w:val="211F1F"/>
          <w:spacing w:val="-8"/>
        </w:rPr>
        <w:t xml:space="preserve"> </w:t>
      </w:r>
      <w:r>
        <w:rPr>
          <w:color w:val="211F1F"/>
        </w:rPr>
        <w:t>a</w:t>
      </w:r>
      <w:r>
        <w:rPr>
          <w:color w:val="211F1F"/>
          <w:spacing w:val="-2"/>
        </w:rPr>
        <w:t xml:space="preserve"> </w:t>
      </w:r>
      <w:r>
        <w:rPr>
          <w:color w:val="211F1F"/>
        </w:rPr>
        <w:t>separate</w:t>
      </w:r>
      <w:r>
        <w:rPr>
          <w:color w:val="211F1F"/>
          <w:spacing w:val="-10"/>
        </w:rPr>
        <w:t xml:space="preserve"> </w:t>
      </w:r>
      <w:r>
        <w:rPr>
          <w:color w:val="211F1F"/>
        </w:rPr>
        <w:t>signed</w:t>
      </w:r>
      <w:r>
        <w:rPr>
          <w:color w:val="211F1F"/>
          <w:spacing w:val="-4"/>
        </w:rPr>
        <w:t xml:space="preserve"> </w:t>
      </w:r>
      <w:r>
        <w:rPr>
          <w:color w:val="211F1F"/>
        </w:rPr>
        <w:t>document</w:t>
      </w:r>
      <w:r>
        <w:rPr>
          <w:color w:val="211F1F"/>
          <w:spacing w:val="-3"/>
        </w:rPr>
        <w:t xml:space="preserve"> </w:t>
      </w:r>
      <w:r>
        <w:rPr>
          <w:color w:val="211F1F"/>
        </w:rPr>
        <w:t>accompanying</w:t>
      </w:r>
      <w:r>
        <w:rPr>
          <w:color w:val="211F1F"/>
          <w:spacing w:val="-7"/>
        </w:rPr>
        <w:t xml:space="preserve"> </w:t>
      </w:r>
      <w:r>
        <w:rPr>
          <w:color w:val="211F1F"/>
        </w:rPr>
        <w:t>or</w:t>
      </w:r>
      <w:r>
        <w:rPr>
          <w:color w:val="211F1F"/>
          <w:spacing w:val="-1"/>
        </w:rPr>
        <w:t xml:space="preserve"> </w:t>
      </w:r>
      <w:r>
        <w:rPr>
          <w:color w:val="211F1F"/>
        </w:rPr>
        <w:t>identifying</w:t>
      </w:r>
      <w:r>
        <w:rPr>
          <w:color w:val="211F1F"/>
          <w:spacing w:val="-7"/>
        </w:rPr>
        <w:t xml:space="preserve"> </w:t>
      </w:r>
      <w:r>
        <w:rPr>
          <w:color w:val="211F1F"/>
        </w:rPr>
        <w:t>the</w:t>
      </w:r>
      <w:r>
        <w:rPr>
          <w:color w:val="211F1F"/>
          <w:spacing w:val="-6"/>
        </w:rPr>
        <w:t xml:space="preserve"> </w:t>
      </w:r>
      <w:r>
        <w:rPr>
          <w:color w:val="211F1F"/>
        </w:rPr>
        <w:t>demand,</w:t>
      </w:r>
      <w:r>
        <w:rPr>
          <w:color w:val="211F1F"/>
          <w:spacing w:val="-1"/>
        </w:rPr>
        <w:t xml:space="preserve"> </w:t>
      </w:r>
      <w:r>
        <w:rPr>
          <w:color w:val="211F1F"/>
        </w:rPr>
        <w:t>stating that</w:t>
      </w:r>
      <w:r>
        <w:rPr>
          <w:color w:val="211F1F"/>
          <w:spacing w:val="-20"/>
        </w:rPr>
        <w:t xml:space="preserve"> </w:t>
      </w:r>
      <w:r>
        <w:rPr>
          <w:color w:val="211F1F"/>
        </w:rPr>
        <w:t>the</w:t>
      </w:r>
      <w:r>
        <w:rPr>
          <w:color w:val="211F1F"/>
          <w:spacing w:val="-33"/>
        </w:rPr>
        <w:t xml:space="preserve"> </w:t>
      </w:r>
      <w:r>
        <w:rPr>
          <w:color w:val="211F1F"/>
        </w:rPr>
        <w:t>Applicant</w:t>
      </w:r>
      <w:r>
        <w:rPr>
          <w:color w:val="211F1F"/>
          <w:spacing w:val="-20"/>
        </w:rPr>
        <w:t xml:space="preserve"> </w:t>
      </w:r>
      <w:r>
        <w:rPr>
          <w:color w:val="211F1F"/>
        </w:rPr>
        <w:t>is</w:t>
      </w:r>
      <w:r>
        <w:rPr>
          <w:color w:val="211F1F"/>
          <w:spacing w:val="-21"/>
        </w:rPr>
        <w:t xml:space="preserve"> </w:t>
      </w:r>
      <w:r>
        <w:rPr>
          <w:color w:val="211F1F"/>
        </w:rPr>
        <w:t>in</w:t>
      </w:r>
      <w:r>
        <w:rPr>
          <w:color w:val="211F1F"/>
          <w:spacing w:val="-27"/>
        </w:rPr>
        <w:t xml:space="preserve"> </w:t>
      </w:r>
      <w:r>
        <w:rPr>
          <w:color w:val="211F1F"/>
        </w:rPr>
        <w:t>breach</w:t>
      </w:r>
      <w:r>
        <w:rPr>
          <w:color w:val="211F1F"/>
          <w:spacing w:val="-22"/>
        </w:rPr>
        <w:t xml:space="preserve"> </w:t>
      </w:r>
      <w:r>
        <w:rPr>
          <w:color w:val="211F1F"/>
        </w:rPr>
        <w:t>of</w:t>
      </w:r>
      <w:r>
        <w:rPr>
          <w:color w:val="211F1F"/>
          <w:spacing w:val="-23"/>
        </w:rPr>
        <w:t xml:space="preserve"> </w:t>
      </w:r>
      <w:r>
        <w:rPr>
          <w:color w:val="211F1F"/>
        </w:rPr>
        <w:t>its</w:t>
      </w:r>
      <w:r>
        <w:rPr>
          <w:color w:val="211F1F"/>
          <w:spacing w:val="-21"/>
        </w:rPr>
        <w:t xml:space="preserve"> </w:t>
      </w:r>
      <w:r>
        <w:rPr>
          <w:color w:val="211F1F"/>
        </w:rPr>
        <w:t>obligation(s)</w:t>
      </w:r>
      <w:r>
        <w:rPr>
          <w:color w:val="211F1F"/>
          <w:spacing w:val="-22"/>
        </w:rPr>
        <w:t xml:space="preserve"> </w:t>
      </w:r>
      <w:r>
        <w:rPr>
          <w:color w:val="211F1F"/>
        </w:rPr>
        <w:t>under</w:t>
      </w:r>
      <w:r>
        <w:rPr>
          <w:color w:val="211F1F"/>
          <w:spacing w:val="-18"/>
        </w:rPr>
        <w:t xml:space="preserve"> </w:t>
      </w:r>
      <w:r>
        <w:rPr>
          <w:color w:val="211F1F"/>
        </w:rPr>
        <w:t>the</w:t>
      </w:r>
      <w:r>
        <w:rPr>
          <w:color w:val="211F1F"/>
          <w:spacing w:val="-28"/>
        </w:rPr>
        <w:t xml:space="preserve"> </w:t>
      </w:r>
      <w:r>
        <w:rPr>
          <w:color w:val="211F1F"/>
        </w:rPr>
        <w:t>Contract,</w:t>
      </w:r>
      <w:r>
        <w:rPr>
          <w:color w:val="211F1F"/>
          <w:spacing w:val="-18"/>
        </w:rPr>
        <w:t xml:space="preserve"> </w:t>
      </w:r>
      <w:r>
        <w:rPr>
          <w:color w:val="211F1F"/>
        </w:rPr>
        <w:t>without</w:t>
      </w:r>
      <w:r>
        <w:rPr>
          <w:color w:val="211F1F"/>
          <w:spacing w:val="-20"/>
        </w:rPr>
        <w:t xml:space="preserve"> </w:t>
      </w:r>
      <w:r>
        <w:rPr>
          <w:color w:val="211F1F"/>
        </w:rPr>
        <w:t>the</w:t>
      </w:r>
      <w:r>
        <w:rPr>
          <w:color w:val="211F1F"/>
          <w:spacing w:val="-29"/>
        </w:rPr>
        <w:t xml:space="preserve"> </w:t>
      </w:r>
      <w:r>
        <w:rPr>
          <w:color w:val="211F1F"/>
        </w:rPr>
        <w:t>Beneficiary</w:t>
      </w:r>
      <w:r>
        <w:rPr>
          <w:color w:val="211F1F"/>
          <w:spacing w:val="-25"/>
        </w:rPr>
        <w:t xml:space="preserve"> </w:t>
      </w:r>
      <w:r>
        <w:rPr>
          <w:color w:val="211F1F"/>
        </w:rPr>
        <w:t>needing</w:t>
      </w:r>
      <w:r>
        <w:rPr>
          <w:color w:val="211F1F"/>
          <w:spacing w:val="-27"/>
        </w:rPr>
        <w:t xml:space="preserve"> </w:t>
      </w:r>
      <w:r>
        <w:rPr>
          <w:color w:val="211F1F"/>
        </w:rPr>
        <w:t>to</w:t>
      </w:r>
      <w:r>
        <w:rPr>
          <w:color w:val="211F1F"/>
          <w:spacing w:val="-26"/>
        </w:rPr>
        <w:t xml:space="preserve"> </w:t>
      </w:r>
      <w:r>
        <w:rPr>
          <w:color w:val="211F1F"/>
        </w:rPr>
        <w:t>prove</w:t>
      </w:r>
      <w:r>
        <w:rPr>
          <w:color w:val="211F1F"/>
          <w:spacing w:val="-24"/>
        </w:rPr>
        <w:t xml:space="preserve"> </w:t>
      </w:r>
      <w:r>
        <w:rPr>
          <w:color w:val="211F1F"/>
        </w:rPr>
        <w:t>or</w:t>
      </w:r>
      <w:r>
        <w:rPr>
          <w:color w:val="211F1F"/>
          <w:spacing w:val="-14"/>
        </w:rPr>
        <w:t xml:space="preserve"> </w:t>
      </w:r>
      <w:r>
        <w:rPr>
          <w:color w:val="211F1F"/>
        </w:rPr>
        <w:t>to show grounds for your demand or the</w:t>
      </w:r>
      <w:r>
        <w:rPr>
          <w:color w:val="211F1F"/>
          <w:spacing w:val="-2"/>
        </w:rPr>
        <w:t xml:space="preserve"> </w:t>
      </w:r>
      <w:r>
        <w:rPr>
          <w:color w:val="211F1F"/>
        </w:rPr>
        <w:t>sum specified</w:t>
      </w:r>
      <w:r>
        <w:rPr>
          <w:color w:val="211F1F"/>
          <w:spacing w:val="-5"/>
        </w:rPr>
        <w:t xml:space="preserve"> </w:t>
      </w:r>
      <w:r>
        <w:rPr>
          <w:color w:val="211F1F"/>
        </w:rPr>
        <w:t>therein.</w:t>
      </w:r>
    </w:p>
    <w:p w14:paraId="54007BAF" w14:textId="77777777" w:rsidR="00BB77C0" w:rsidRDefault="00BB77C0">
      <w:pPr>
        <w:pStyle w:val="BodyText"/>
        <w:spacing w:before="136"/>
      </w:pPr>
    </w:p>
    <w:p w14:paraId="3195DBF7" w14:textId="77777777" w:rsidR="00BB77C0" w:rsidRDefault="00370BAA">
      <w:pPr>
        <w:pStyle w:val="ListParagraph"/>
        <w:numPr>
          <w:ilvl w:val="0"/>
          <w:numId w:val="10"/>
        </w:numPr>
        <w:tabs>
          <w:tab w:val="left" w:pos="1037"/>
          <w:tab w:val="left" w:leader="dot" w:pos="7414"/>
        </w:tabs>
        <w:spacing w:line="259" w:lineRule="exact"/>
        <w:ind w:left="1037" w:hanging="552"/>
      </w:pPr>
      <w:r>
        <w:rPr>
          <w:color w:val="211F1F"/>
        </w:rPr>
        <w:t>This</w:t>
      </w:r>
      <w:r>
        <w:rPr>
          <w:color w:val="211F1F"/>
          <w:spacing w:val="-14"/>
        </w:rPr>
        <w:t xml:space="preserve"> </w:t>
      </w:r>
      <w:r>
        <w:rPr>
          <w:color w:val="211F1F"/>
        </w:rPr>
        <w:t>guarantee</w:t>
      </w:r>
      <w:r>
        <w:rPr>
          <w:color w:val="211F1F"/>
          <w:spacing w:val="-14"/>
        </w:rPr>
        <w:t xml:space="preserve"> </w:t>
      </w:r>
      <w:r>
        <w:rPr>
          <w:color w:val="211F1F"/>
        </w:rPr>
        <w:t>shall</w:t>
      </w:r>
      <w:r>
        <w:rPr>
          <w:color w:val="211F1F"/>
          <w:spacing w:val="-14"/>
        </w:rPr>
        <w:t xml:space="preserve"> </w:t>
      </w:r>
      <w:r>
        <w:rPr>
          <w:color w:val="211F1F"/>
        </w:rPr>
        <w:t>expire,</w:t>
      </w:r>
      <w:r>
        <w:rPr>
          <w:color w:val="211F1F"/>
          <w:spacing w:val="-9"/>
        </w:rPr>
        <w:t xml:space="preserve"> </w:t>
      </w:r>
      <w:r>
        <w:rPr>
          <w:color w:val="211F1F"/>
        </w:rPr>
        <w:t>no</w:t>
      </w:r>
      <w:r>
        <w:rPr>
          <w:color w:val="211F1F"/>
          <w:spacing w:val="-10"/>
        </w:rPr>
        <w:t xml:space="preserve"> </w:t>
      </w:r>
      <w:r>
        <w:rPr>
          <w:color w:val="211F1F"/>
        </w:rPr>
        <w:t>later</w:t>
      </w:r>
      <w:r>
        <w:rPr>
          <w:color w:val="211F1F"/>
          <w:spacing w:val="-7"/>
        </w:rPr>
        <w:t xml:space="preserve"> </w:t>
      </w:r>
      <w:r>
        <w:rPr>
          <w:color w:val="211F1F"/>
        </w:rPr>
        <w:t>than</w:t>
      </w:r>
      <w:r>
        <w:rPr>
          <w:color w:val="211F1F"/>
          <w:spacing w:val="-14"/>
        </w:rPr>
        <w:t xml:space="preserve"> </w:t>
      </w:r>
      <w:r>
        <w:rPr>
          <w:color w:val="211F1F"/>
        </w:rPr>
        <w:t>the</w:t>
      </w:r>
      <w:r>
        <w:rPr>
          <w:color w:val="211F1F"/>
          <w:spacing w:val="-14"/>
        </w:rPr>
        <w:t xml:space="preserve"> </w:t>
      </w:r>
      <w:r>
        <w:rPr>
          <w:color w:val="211F1F"/>
        </w:rPr>
        <w:t>….</w:t>
      </w:r>
      <w:r>
        <w:rPr>
          <w:color w:val="211F1F"/>
          <w:spacing w:val="-9"/>
        </w:rPr>
        <w:t xml:space="preserve"> </w:t>
      </w:r>
      <w:r>
        <w:rPr>
          <w:color w:val="211F1F"/>
        </w:rPr>
        <w:t>Day</w:t>
      </w:r>
      <w:r>
        <w:rPr>
          <w:color w:val="211F1F"/>
          <w:spacing w:val="-13"/>
        </w:rPr>
        <w:t xml:space="preserve"> </w:t>
      </w:r>
      <w:r>
        <w:rPr>
          <w:color w:val="211F1F"/>
        </w:rPr>
        <w:t>of</w:t>
      </w:r>
      <w:r>
        <w:rPr>
          <w:color w:val="211F1F"/>
          <w:spacing w:val="-8"/>
        </w:rPr>
        <w:t xml:space="preserve"> </w:t>
      </w:r>
      <w:r>
        <w:rPr>
          <w:color w:val="211F1F"/>
        </w:rPr>
        <w:t>…………,</w:t>
      </w:r>
      <w:r>
        <w:rPr>
          <w:color w:val="211F1F"/>
          <w:spacing w:val="-12"/>
        </w:rPr>
        <w:t xml:space="preserve"> </w:t>
      </w:r>
      <w:r>
        <w:rPr>
          <w:color w:val="211F1F"/>
          <w:spacing w:val="-5"/>
        </w:rPr>
        <w:t>2.</w:t>
      </w:r>
      <w:r>
        <w:rPr>
          <w:color w:val="211F1F"/>
        </w:rPr>
        <w:tab/>
      </w:r>
      <w:r>
        <w:rPr>
          <w:color w:val="211F1F"/>
          <w:position w:val="11"/>
          <w:sz w:val="11"/>
        </w:rPr>
        <w:t>2</w:t>
      </w:r>
      <w:r>
        <w:rPr>
          <w:color w:val="211F1F"/>
        </w:rPr>
        <w:t>,</w:t>
      </w:r>
      <w:r>
        <w:rPr>
          <w:color w:val="211F1F"/>
          <w:spacing w:val="-14"/>
        </w:rPr>
        <w:t xml:space="preserve"> </w:t>
      </w:r>
      <w:r>
        <w:rPr>
          <w:color w:val="211F1F"/>
        </w:rPr>
        <w:t>and</w:t>
      </w:r>
      <w:r>
        <w:rPr>
          <w:color w:val="211F1F"/>
          <w:spacing w:val="-14"/>
        </w:rPr>
        <w:t xml:space="preserve"> </w:t>
      </w:r>
      <w:r>
        <w:rPr>
          <w:color w:val="211F1F"/>
        </w:rPr>
        <w:t>any</w:t>
      </w:r>
      <w:r>
        <w:rPr>
          <w:color w:val="211F1F"/>
          <w:spacing w:val="-14"/>
        </w:rPr>
        <w:t xml:space="preserve"> </w:t>
      </w:r>
      <w:r>
        <w:rPr>
          <w:color w:val="211F1F"/>
        </w:rPr>
        <w:t>demand</w:t>
      </w:r>
      <w:r>
        <w:rPr>
          <w:color w:val="211F1F"/>
          <w:spacing w:val="-13"/>
        </w:rPr>
        <w:t xml:space="preserve"> </w:t>
      </w:r>
      <w:r>
        <w:rPr>
          <w:color w:val="211F1F"/>
        </w:rPr>
        <w:t>for</w:t>
      </w:r>
      <w:r>
        <w:rPr>
          <w:color w:val="211F1F"/>
          <w:spacing w:val="-12"/>
        </w:rPr>
        <w:t xml:space="preserve"> </w:t>
      </w:r>
      <w:r>
        <w:rPr>
          <w:color w:val="211F1F"/>
        </w:rPr>
        <w:t>payment</w:t>
      </w:r>
      <w:r>
        <w:rPr>
          <w:color w:val="211F1F"/>
          <w:spacing w:val="-11"/>
        </w:rPr>
        <w:t xml:space="preserve"> </w:t>
      </w:r>
      <w:r>
        <w:rPr>
          <w:color w:val="211F1F"/>
        </w:rPr>
        <w:t>under</w:t>
      </w:r>
      <w:r>
        <w:rPr>
          <w:color w:val="211F1F"/>
          <w:spacing w:val="-8"/>
        </w:rPr>
        <w:t xml:space="preserve"> </w:t>
      </w:r>
      <w:r>
        <w:rPr>
          <w:color w:val="211F1F"/>
          <w:spacing w:val="-5"/>
        </w:rPr>
        <w:t>it</w:t>
      </w:r>
    </w:p>
    <w:p w14:paraId="5D246214" w14:textId="77777777" w:rsidR="00BB77C0" w:rsidRDefault="00370BAA">
      <w:pPr>
        <w:pStyle w:val="BodyText"/>
        <w:spacing w:line="251" w:lineRule="exact"/>
        <w:ind w:left="1046"/>
      </w:pPr>
      <w:r>
        <w:rPr>
          <w:color w:val="211F1F"/>
          <w:spacing w:val="-2"/>
        </w:rPr>
        <w:t>must</w:t>
      </w:r>
      <w:r>
        <w:rPr>
          <w:color w:val="211F1F"/>
          <w:spacing w:val="-14"/>
        </w:rPr>
        <w:t xml:space="preserve"> </w:t>
      </w:r>
      <w:r>
        <w:rPr>
          <w:color w:val="211F1F"/>
          <w:spacing w:val="-2"/>
        </w:rPr>
        <w:t>bereceived</w:t>
      </w:r>
      <w:r>
        <w:rPr>
          <w:color w:val="211F1F"/>
          <w:spacing w:val="-20"/>
        </w:rPr>
        <w:t xml:space="preserve"> </w:t>
      </w:r>
      <w:r>
        <w:rPr>
          <w:color w:val="211F1F"/>
          <w:spacing w:val="-2"/>
        </w:rPr>
        <w:t>by</w:t>
      </w:r>
      <w:r>
        <w:rPr>
          <w:color w:val="211F1F"/>
          <w:spacing w:val="-18"/>
        </w:rPr>
        <w:t xml:space="preserve"> </w:t>
      </w:r>
      <w:r>
        <w:rPr>
          <w:color w:val="211F1F"/>
          <w:spacing w:val="-2"/>
        </w:rPr>
        <w:t>us</w:t>
      </w:r>
      <w:r>
        <w:rPr>
          <w:color w:val="211F1F"/>
          <w:spacing w:val="-19"/>
        </w:rPr>
        <w:t xml:space="preserve"> </w:t>
      </w:r>
      <w:r>
        <w:rPr>
          <w:color w:val="211F1F"/>
          <w:spacing w:val="-2"/>
        </w:rPr>
        <w:t>at</w:t>
      </w:r>
      <w:r>
        <w:rPr>
          <w:color w:val="211F1F"/>
          <w:spacing w:val="-24"/>
        </w:rPr>
        <w:t xml:space="preserve"> </w:t>
      </w:r>
      <w:r>
        <w:rPr>
          <w:color w:val="211F1F"/>
          <w:spacing w:val="-2"/>
        </w:rPr>
        <w:t>the</w:t>
      </w:r>
      <w:r>
        <w:rPr>
          <w:color w:val="211F1F"/>
          <w:spacing w:val="-21"/>
        </w:rPr>
        <w:t xml:space="preserve"> </w:t>
      </w:r>
      <w:r>
        <w:rPr>
          <w:color w:val="211F1F"/>
          <w:spacing w:val="-2"/>
        </w:rPr>
        <w:t>office</w:t>
      </w:r>
      <w:r>
        <w:rPr>
          <w:color w:val="211F1F"/>
          <w:spacing w:val="-21"/>
        </w:rPr>
        <w:t xml:space="preserve"> </w:t>
      </w:r>
      <w:r>
        <w:rPr>
          <w:color w:val="211F1F"/>
          <w:spacing w:val="-2"/>
        </w:rPr>
        <w:t>indicated</w:t>
      </w:r>
      <w:r>
        <w:rPr>
          <w:color w:val="211F1F"/>
          <w:spacing w:val="-24"/>
        </w:rPr>
        <w:t xml:space="preserve"> </w:t>
      </w:r>
      <w:r>
        <w:rPr>
          <w:color w:val="211F1F"/>
          <w:spacing w:val="-2"/>
        </w:rPr>
        <w:t>above</w:t>
      </w:r>
      <w:r>
        <w:rPr>
          <w:color w:val="211F1F"/>
          <w:spacing w:val="-20"/>
        </w:rPr>
        <w:t xml:space="preserve"> </w:t>
      </w:r>
      <w:r>
        <w:rPr>
          <w:color w:val="211F1F"/>
          <w:spacing w:val="-2"/>
        </w:rPr>
        <w:t>on</w:t>
      </w:r>
      <w:r>
        <w:rPr>
          <w:color w:val="211F1F"/>
          <w:spacing w:val="-20"/>
        </w:rPr>
        <w:t xml:space="preserve"> </w:t>
      </w:r>
      <w:r>
        <w:rPr>
          <w:color w:val="211F1F"/>
          <w:spacing w:val="-2"/>
        </w:rPr>
        <w:t>or</w:t>
      </w:r>
      <w:r>
        <w:rPr>
          <w:color w:val="211F1F"/>
          <w:spacing w:val="-16"/>
        </w:rPr>
        <w:t xml:space="preserve"> </w:t>
      </w:r>
      <w:r>
        <w:rPr>
          <w:color w:val="211F1F"/>
          <w:spacing w:val="-2"/>
        </w:rPr>
        <w:t>before</w:t>
      </w:r>
      <w:r>
        <w:rPr>
          <w:color w:val="211F1F"/>
          <w:spacing w:val="-20"/>
        </w:rPr>
        <w:t xml:space="preserve"> </w:t>
      </w:r>
      <w:r>
        <w:rPr>
          <w:color w:val="211F1F"/>
          <w:spacing w:val="-2"/>
        </w:rPr>
        <w:t>that</w:t>
      </w:r>
      <w:r>
        <w:rPr>
          <w:color w:val="211F1F"/>
          <w:spacing w:val="-13"/>
        </w:rPr>
        <w:t xml:space="preserve"> </w:t>
      </w:r>
      <w:r>
        <w:rPr>
          <w:color w:val="211F1F"/>
          <w:spacing w:val="-2"/>
        </w:rPr>
        <w:t>date.</w:t>
      </w:r>
    </w:p>
    <w:p w14:paraId="57D380D1" w14:textId="77777777" w:rsidR="00BB77C0" w:rsidRDefault="00BB77C0">
      <w:pPr>
        <w:pStyle w:val="BodyText"/>
        <w:spacing w:before="74"/>
      </w:pPr>
    </w:p>
    <w:p w14:paraId="6801ACD0" w14:textId="77777777" w:rsidR="00BB77C0" w:rsidRDefault="00370BAA">
      <w:pPr>
        <w:pStyle w:val="ListParagraph"/>
        <w:numPr>
          <w:ilvl w:val="0"/>
          <w:numId w:val="10"/>
        </w:numPr>
        <w:tabs>
          <w:tab w:val="left" w:pos="1030"/>
          <w:tab w:val="left" w:pos="1042"/>
        </w:tabs>
        <w:spacing w:line="230" w:lineRule="auto"/>
        <w:ind w:left="1042" w:right="708" w:hanging="557"/>
        <w:jc w:val="both"/>
      </w:pPr>
      <w:r>
        <w:rPr>
          <w:color w:val="211F1F"/>
          <w:spacing w:val="-2"/>
        </w:rPr>
        <w:t>The</w:t>
      </w:r>
      <w:r>
        <w:rPr>
          <w:color w:val="211F1F"/>
          <w:spacing w:val="-12"/>
        </w:rPr>
        <w:t xml:space="preserve"> </w:t>
      </w:r>
      <w:r>
        <w:rPr>
          <w:color w:val="211F1F"/>
          <w:spacing w:val="-2"/>
        </w:rPr>
        <w:t>Guarantor</w:t>
      </w:r>
      <w:r>
        <w:rPr>
          <w:color w:val="211F1F"/>
          <w:spacing w:val="-12"/>
        </w:rPr>
        <w:t xml:space="preserve"> </w:t>
      </w:r>
      <w:r>
        <w:rPr>
          <w:color w:val="211F1F"/>
          <w:spacing w:val="-2"/>
        </w:rPr>
        <w:t>agrees</w:t>
      </w:r>
      <w:r>
        <w:rPr>
          <w:color w:val="211F1F"/>
          <w:spacing w:val="-12"/>
        </w:rPr>
        <w:t xml:space="preserve"> </w:t>
      </w:r>
      <w:r>
        <w:rPr>
          <w:color w:val="211F1F"/>
          <w:spacing w:val="-2"/>
        </w:rPr>
        <w:t>to</w:t>
      </w:r>
      <w:r>
        <w:rPr>
          <w:color w:val="211F1F"/>
          <w:spacing w:val="-11"/>
        </w:rPr>
        <w:t xml:space="preserve"> </w:t>
      </w:r>
      <w:r>
        <w:rPr>
          <w:color w:val="211F1F"/>
          <w:spacing w:val="-2"/>
        </w:rPr>
        <w:t>a</w:t>
      </w:r>
      <w:r>
        <w:rPr>
          <w:color w:val="211F1F"/>
          <w:spacing w:val="-12"/>
        </w:rPr>
        <w:t xml:space="preserve"> </w:t>
      </w:r>
      <w:r>
        <w:rPr>
          <w:color w:val="211F1F"/>
          <w:spacing w:val="-2"/>
        </w:rPr>
        <w:t>one-time</w:t>
      </w:r>
      <w:r>
        <w:rPr>
          <w:color w:val="211F1F"/>
          <w:spacing w:val="-12"/>
        </w:rPr>
        <w:t xml:space="preserve"> </w:t>
      </w:r>
      <w:r>
        <w:rPr>
          <w:color w:val="211F1F"/>
          <w:spacing w:val="-2"/>
        </w:rPr>
        <w:t>extension</w:t>
      </w:r>
      <w:r>
        <w:rPr>
          <w:color w:val="211F1F"/>
          <w:spacing w:val="-12"/>
        </w:rPr>
        <w:t xml:space="preserve"> </w:t>
      </w:r>
      <w:r>
        <w:rPr>
          <w:color w:val="211F1F"/>
          <w:spacing w:val="-2"/>
        </w:rPr>
        <w:t>of</w:t>
      </w:r>
      <w:r>
        <w:rPr>
          <w:color w:val="211F1F"/>
          <w:spacing w:val="-11"/>
        </w:rPr>
        <w:t xml:space="preserve"> </w:t>
      </w:r>
      <w:r>
        <w:rPr>
          <w:color w:val="211F1F"/>
          <w:spacing w:val="-2"/>
        </w:rPr>
        <w:t>this</w:t>
      </w:r>
      <w:r>
        <w:rPr>
          <w:color w:val="211F1F"/>
          <w:spacing w:val="-12"/>
        </w:rPr>
        <w:t xml:space="preserve"> </w:t>
      </w:r>
      <w:r>
        <w:rPr>
          <w:color w:val="211F1F"/>
          <w:spacing w:val="-2"/>
        </w:rPr>
        <w:t>guarantee</w:t>
      </w:r>
      <w:r>
        <w:rPr>
          <w:color w:val="211F1F"/>
          <w:spacing w:val="-12"/>
        </w:rPr>
        <w:t xml:space="preserve"> </w:t>
      </w:r>
      <w:r>
        <w:rPr>
          <w:color w:val="211F1F"/>
          <w:spacing w:val="-2"/>
        </w:rPr>
        <w:t>for</w:t>
      </w:r>
      <w:r>
        <w:rPr>
          <w:color w:val="211F1F"/>
          <w:spacing w:val="-12"/>
        </w:rPr>
        <w:t xml:space="preserve"> </w:t>
      </w:r>
      <w:r>
        <w:rPr>
          <w:color w:val="211F1F"/>
          <w:spacing w:val="-2"/>
        </w:rPr>
        <w:t>a</w:t>
      </w:r>
      <w:r>
        <w:rPr>
          <w:color w:val="211F1F"/>
          <w:spacing w:val="-11"/>
        </w:rPr>
        <w:t xml:space="preserve"> </w:t>
      </w:r>
      <w:r>
        <w:rPr>
          <w:color w:val="211F1F"/>
          <w:spacing w:val="-2"/>
        </w:rPr>
        <w:t>period</w:t>
      </w:r>
      <w:r>
        <w:rPr>
          <w:color w:val="211F1F"/>
          <w:spacing w:val="-12"/>
        </w:rPr>
        <w:t xml:space="preserve"> </w:t>
      </w:r>
      <w:r>
        <w:rPr>
          <w:color w:val="211F1F"/>
          <w:spacing w:val="-2"/>
        </w:rPr>
        <w:t>not</w:t>
      </w:r>
      <w:r>
        <w:rPr>
          <w:color w:val="211F1F"/>
          <w:spacing w:val="-12"/>
        </w:rPr>
        <w:t xml:space="preserve"> </w:t>
      </w:r>
      <w:r>
        <w:rPr>
          <w:color w:val="211F1F"/>
          <w:spacing w:val="-2"/>
        </w:rPr>
        <w:t>to</w:t>
      </w:r>
      <w:r>
        <w:rPr>
          <w:color w:val="211F1F"/>
          <w:spacing w:val="-12"/>
        </w:rPr>
        <w:t xml:space="preserve"> </w:t>
      </w:r>
      <w:r>
        <w:rPr>
          <w:color w:val="211F1F"/>
          <w:spacing w:val="-2"/>
        </w:rPr>
        <w:t>exceed</w:t>
      </w:r>
      <w:r>
        <w:rPr>
          <w:color w:val="211F1F"/>
          <w:spacing w:val="-11"/>
        </w:rPr>
        <w:t xml:space="preserve"> </w:t>
      </w:r>
      <w:r>
        <w:rPr>
          <w:i/>
          <w:color w:val="211F1F"/>
          <w:spacing w:val="-2"/>
        </w:rPr>
        <w:t>[six</w:t>
      </w:r>
      <w:r>
        <w:rPr>
          <w:i/>
          <w:color w:val="211F1F"/>
          <w:spacing w:val="-12"/>
        </w:rPr>
        <w:t xml:space="preserve"> </w:t>
      </w:r>
      <w:r>
        <w:rPr>
          <w:i/>
          <w:color w:val="211F1F"/>
          <w:spacing w:val="-2"/>
        </w:rPr>
        <w:t>months]</w:t>
      </w:r>
      <w:r>
        <w:rPr>
          <w:i/>
          <w:color w:val="211F1F"/>
          <w:spacing w:val="-12"/>
        </w:rPr>
        <w:t xml:space="preserve"> </w:t>
      </w:r>
      <w:r>
        <w:rPr>
          <w:i/>
          <w:color w:val="211F1F"/>
          <w:spacing w:val="-2"/>
        </w:rPr>
        <w:t>[oneyear],</w:t>
      </w:r>
      <w:r>
        <w:rPr>
          <w:i/>
          <w:color w:val="211F1F"/>
          <w:spacing w:val="-12"/>
        </w:rPr>
        <w:t xml:space="preserve"> </w:t>
      </w:r>
      <w:r>
        <w:rPr>
          <w:color w:val="211F1F"/>
          <w:spacing w:val="-2"/>
        </w:rPr>
        <w:t xml:space="preserve">in </w:t>
      </w:r>
      <w:r>
        <w:rPr>
          <w:color w:val="211F1F"/>
        </w:rPr>
        <w:t>response to the Beneficiary's written request for such extension, such request to be presented to the Guarantor before the expiry of the guarantee.”</w:t>
      </w:r>
    </w:p>
    <w:p w14:paraId="234F8E11" w14:textId="77777777" w:rsidR="00BB77C0" w:rsidRDefault="00BB77C0">
      <w:pPr>
        <w:pStyle w:val="BodyText"/>
        <w:spacing w:before="225"/>
      </w:pPr>
    </w:p>
    <w:p w14:paraId="3E09E83C" w14:textId="77777777" w:rsidR="00BB77C0" w:rsidRDefault="00370BAA">
      <w:pPr>
        <w:ind w:left="1037"/>
      </w:pPr>
      <w:r>
        <w:rPr>
          <w:i/>
          <w:color w:val="211F1F"/>
        </w:rPr>
        <w:t>[Name</w:t>
      </w:r>
      <w:r>
        <w:rPr>
          <w:i/>
          <w:color w:val="211F1F"/>
          <w:spacing w:val="-13"/>
        </w:rPr>
        <w:t xml:space="preserve"> </w:t>
      </w:r>
      <w:r>
        <w:rPr>
          <w:i/>
          <w:color w:val="211F1F"/>
        </w:rPr>
        <w:t>of</w:t>
      </w:r>
      <w:r>
        <w:rPr>
          <w:i/>
          <w:color w:val="211F1F"/>
          <w:spacing w:val="-8"/>
        </w:rPr>
        <w:t xml:space="preserve"> </w:t>
      </w:r>
      <w:r>
        <w:rPr>
          <w:i/>
          <w:color w:val="211F1F"/>
        </w:rPr>
        <w:t>Authorized</w:t>
      </w:r>
      <w:r>
        <w:rPr>
          <w:i/>
          <w:color w:val="211F1F"/>
          <w:spacing w:val="-12"/>
        </w:rPr>
        <w:t xml:space="preserve"> </w:t>
      </w:r>
      <w:r>
        <w:rPr>
          <w:i/>
          <w:color w:val="211F1F"/>
        </w:rPr>
        <w:t>Official,</w:t>
      </w:r>
      <w:r>
        <w:rPr>
          <w:i/>
          <w:color w:val="211F1F"/>
          <w:spacing w:val="-11"/>
        </w:rPr>
        <w:t xml:space="preserve"> </w:t>
      </w:r>
      <w:r>
        <w:rPr>
          <w:i/>
          <w:color w:val="211F1F"/>
        </w:rPr>
        <w:t>signature(s)</w:t>
      </w:r>
      <w:r>
        <w:rPr>
          <w:i/>
          <w:color w:val="211F1F"/>
          <w:spacing w:val="-9"/>
        </w:rPr>
        <w:t xml:space="preserve"> </w:t>
      </w:r>
      <w:r>
        <w:rPr>
          <w:i/>
          <w:color w:val="211F1F"/>
        </w:rPr>
        <w:t>and</w:t>
      </w:r>
      <w:r>
        <w:rPr>
          <w:i/>
          <w:color w:val="211F1F"/>
          <w:spacing w:val="-13"/>
        </w:rPr>
        <w:t xml:space="preserve"> </w:t>
      </w:r>
      <w:r>
        <w:rPr>
          <w:i/>
          <w:color w:val="211F1F"/>
          <w:spacing w:val="-2"/>
        </w:rPr>
        <w:t>seals/stamps</w:t>
      </w:r>
      <w:r>
        <w:rPr>
          <w:color w:val="211F1F"/>
          <w:spacing w:val="-2"/>
        </w:rPr>
        <w:t>].</w:t>
      </w:r>
    </w:p>
    <w:p w14:paraId="1D1F1945" w14:textId="77777777" w:rsidR="00BB77C0" w:rsidRDefault="00370BAA">
      <w:pPr>
        <w:spacing w:before="239" w:line="237" w:lineRule="auto"/>
        <w:ind w:left="1037" w:right="587"/>
        <w:rPr>
          <w:i/>
        </w:rPr>
      </w:pPr>
      <w:r>
        <w:rPr>
          <w:b/>
          <w:i/>
          <w:color w:val="211F1F"/>
          <w:spacing w:val="-2"/>
        </w:rPr>
        <w:t>Note:</w:t>
      </w:r>
      <w:r>
        <w:rPr>
          <w:b/>
          <w:i/>
          <w:color w:val="211F1F"/>
          <w:spacing w:val="57"/>
        </w:rPr>
        <w:t xml:space="preserve"> </w:t>
      </w:r>
      <w:r>
        <w:rPr>
          <w:i/>
          <w:color w:val="211F1F"/>
          <w:spacing w:val="-2"/>
        </w:rPr>
        <w:t>All</w:t>
      </w:r>
      <w:r>
        <w:rPr>
          <w:i/>
          <w:color w:val="211F1F"/>
          <w:spacing w:val="-10"/>
        </w:rPr>
        <w:t xml:space="preserve"> </w:t>
      </w:r>
      <w:r>
        <w:rPr>
          <w:i/>
          <w:color w:val="211F1F"/>
          <w:spacing w:val="-2"/>
        </w:rPr>
        <w:t>italicized</w:t>
      </w:r>
      <w:r>
        <w:rPr>
          <w:i/>
          <w:color w:val="211F1F"/>
          <w:spacing w:val="-10"/>
        </w:rPr>
        <w:t xml:space="preserve"> </w:t>
      </w:r>
      <w:r>
        <w:rPr>
          <w:i/>
          <w:color w:val="211F1F"/>
          <w:spacing w:val="-2"/>
        </w:rPr>
        <w:t>text</w:t>
      </w:r>
      <w:r>
        <w:rPr>
          <w:i/>
          <w:color w:val="211F1F"/>
          <w:spacing w:val="-10"/>
        </w:rPr>
        <w:t xml:space="preserve"> </w:t>
      </w:r>
      <w:r>
        <w:rPr>
          <w:i/>
          <w:color w:val="211F1F"/>
          <w:spacing w:val="-2"/>
        </w:rPr>
        <w:t>(including</w:t>
      </w:r>
      <w:r>
        <w:rPr>
          <w:i/>
          <w:color w:val="211F1F"/>
          <w:spacing w:val="-11"/>
        </w:rPr>
        <w:t xml:space="preserve"> </w:t>
      </w:r>
      <w:r>
        <w:rPr>
          <w:i/>
          <w:color w:val="211F1F"/>
          <w:spacing w:val="-2"/>
        </w:rPr>
        <w:t>footnotes)</w:t>
      </w:r>
      <w:r>
        <w:rPr>
          <w:i/>
          <w:color w:val="211F1F"/>
          <w:spacing w:val="-8"/>
        </w:rPr>
        <w:t xml:space="preserve"> </w:t>
      </w:r>
      <w:r>
        <w:rPr>
          <w:i/>
          <w:color w:val="211F1F"/>
          <w:spacing w:val="-2"/>
        </w:rPr>
        <w:t>is</w:t>
      </w:r>
      <w:r>
        <w:rPr>
          <w:i/>
          <w:color w:val="211F1F"/>
          <w:spacing w:val="-6"/>
        </w:rPr>
        <w:t xml:space="preserve"> </w:t>
      </w:r>
      <w:r>
        <w:rPr>
          <w:i/>
          <w:color w:val="211F1F"/>
          <w:spacing w:val="-2"/>
        </w:rPr>
        <w:t>for</w:t>
      </w:r>
      <w:r>
        <w:rPr>
          <w:i/>
          <w:color w:val="211F1F"/>
          <w:spacing w:val="-11"/>
        </w:rPr>
        <w:t xml:space="preserve"> </w:t>
      </w:r>
      <w:r>
        <w:rPr>
          <w:i/>
          <w:color w:val="211F1F"/>
          <w:spacing w:val="-2"/>
        </w:rPr>
        <w:t>use</w:t>
      </w:r>
      <w:r>
        <w:rPr>
          <w:i/>
          <w:color w:val="211F1F"/>
          <w:spacing w:val="-13"/>
        </w:rPr>
        <w:t xml:space="preserve"> </w:t>
      </w:r>
      <w:r>
        <w:rPr>
          <w:i/>
          <w:color w:val="211F1F"/>
          <w:spacing w:val="-2"/>
        </w:rPr>
        <w:t>in</w:t>
      </w:r>
      <w:r>
        <w:rPr>
          <w:i/>
          <w:color w:val="211F1F"/>
          <w:spacing w:val="-11"/>
        </w:rPr>
        <w:t xml:space="preserve"> </w:t>
      </w:r>
      <w:r>
        <w:rPr>
          <w:i/>
          <w:color w:val="211F1F"/>
          <w:spacing w:val="-2"/>
        </w:rPr>
        <w:t>preparing</w:t>
      </w:r>
      <w:r>
        <w:rPr>
          <w:i/>
          <w:color w:val="211F1F"/>
          <w:spacing w:val="-11"/>
        </w:rPr>
        <w:t xml:space="preserve"> </w:t>
      </w:r>
      <w:r>
        <w:rPr>
          <w:i/>
          <w:color w:val="211F1F"/>
          <w:spacing w:val="-2"/>
        </w:rPr>
        <w:t>this</w:t>
      </w:r>
      <w:r>
        <w:rPr>
          <w:i/>
          <w:color w:val="211F1F"/>
          <w:spacing w:val="-11"/>
        </w:rPr>
        <w:t xml:space="preserve"> </w:t>
      </w:r>
      <w:r>
        <w:rPr>
          <w:i/>
          <w:color w:val="211F1F"/>
          <w:spacing w:val="-2"/>
        </w:rPr>
        <w:t>form</w:t>
      </w:r>
      <w:r>
        <w:rPr>
          <w:i/>
          <w:color w:val="211F1F"/>
          <w:spacing w:val="-11"/>
        </w:rPr>
        <w:t xml:space="preserve"> </w:t>
      </w:r>
      <w:r>
        <w:rPr>
          <w:i/>
          <w:color w:val="211F1F"/>
          <w:spacing w:val="-2"/>
        </w:rPr>
        <w:t>and</w:t>
      </w:r>
      <w:r>
        <w:rPr>
          <w:i/>
          <w:color w:val="211F1F"/>
          <w:spacing w:val="-11"/>
        </w:rPr>
        <w:t xml:space="preserve"> </w:t>
      </w:r>
      <w:r>
        <w:rPr>
          <w:i/>
          <w:color w:val="211F1F"/>
          <w:spacing w:val="-2"/>
        </w:rPr>
        <w:t>shall</w:t>
      </w:r>
      <w:r>
        <w:rPr>
          <w:i/>
          <w:color w:val="211F1F"/>
          <w:spacing w:val="-10"/>
        </w:rPr>
        <w:t xml:space="preserve"> </w:t>
      </w:r>
      <w:r>
        <w:rPr>
          <w:i/>
          <w:color w:val="211F1F"/>
          <w:spacing w:val="-2"/>
        </w:rPr>
        <w:t>be</w:t>
      </w:r>
      <w:r>
        <w:rPr>
          <w:i/>
          <w:color w:val="211F1F"/>
          <w:spacing w:val="-13"/>
        </w:rPr>
        <w:t xml:space="preserve"> </w:t>
      </w:r>
      <w:r>
        <w:rPr>
          <w:i/>
          <w:color w:val="211F1F"/>
          <w:spacing w:val="-2"/>
        </w:rPr>
        <w:t>deleted</w:t>
      </w:r>
      <w:r>
        <w:rPr>
          <w:i/>
          <w:color w:val="211F1F"/>
          <w:spacing w:val="-16"/>
        </w:rPr>
        <w:t xml:space="preserve"> </w:t>
      </w:r>
      <w:r>
        <w:rPr>
          <w:i/>
          <w:color w:val="211F1F"/>
          <w:spacing w:val="-2"/>
        </w:rPr>
        <w:t>from</w:t>
      </w:r>
      <w:r>
        <w:rPr>
          <w:i/>
          <w:color w:val="211F1F"/>
          <w:spacing w:val="-21"/>
        </w:rPr>
        <w:t xml:space="preserve"> </w:t>
      </w:r>
      <w:r>
        <w:rPr>
          <w:i/>
          <w:color w:val="211F1F"/>
          <w:spacing w:val="-2"/>
        </w:rPr>
        <w:t>the</w:t>
      </w:r>
      <w:r>
        <w:rPr>
          <w:i/>
          <w:color w:val="211F1F"/>
          <w:spacing w:val="-18"/>
        </w:rPr>
        <w:t xml:space="preserve"> </w:t>
      </w:r>
      <w:r>
        <w:rPr>
          <w:i/>
          <w:color w:val="211F1F"/>
          <w:spacing w:val="-2"/>
        </w:rPr>
        <w:t>final product.</w:t>
      </w:r>
    </w:p>
    <w:p w14:paraId="4D192CE1" w14:textId="77777777" w:rsidR="00BB77C0" w:rsidRDefault="00BB77C0">
      <w:pPr>
        <w:pStyle w:val="BodyText"/>
        <w:rPr>
          <w:i/>
        </w:rPr>
      </w:pPr>
    </w:p>
    <w:p w14:paraId="59DB9226" w14:textId="77777777" w:rsidR="00BB77C0" w:rsidRDefault="00BB77C0">
      <w:pPr>
        <w:pStyle w:val="BodyText"/>
        <w:rPr>
          <w:i/>
        </w:rPr>
      </w:pPr>
    </w:p>
    <w:p w14:paraId="5782908C" w14:textId="77777777" w:rsidR="00BB77C0" w:rsidRDefault="00BB77C0">
      <w:pPr>
        <w:pStyle w:val="BodyText"/>
        <w:rPr>
          <w:i/>
        </w:rPr>
      </w:pPr>
    </w:p>
    <w:p w14:paraId="46F03568" w14:textId="77777777" w:rsidR="00BB77C0" w:rsidRDefault="00BB77C0">
      <w:pPr>
        <w:pStyle w:val="BodyText"/>
        <w:rPr>
          <w:i/>
        </w:rPr>
      </w:pPr>
    </w:p>
    <w:p w14:paraId="083DBBDD" w14:textId="77777777" w:rsidR="00BB77C0" w:rsidRDefault="00BB77C0">
      <w:pPr>
        <w:pStyle w:val="BodyText"/>
        <w:rPr>
          <w:i/>
        </w:rPr>
      </w:pPr>
    </w:p>
    <w:p w14:paraId="435CC209" w14:textId="77777777" w:rsidR="00BB77C0" w:rsidRDefault="00BB77C0">
      <w:pPr>
        <w:pStyle w:val="BodyText"/>
        <w:rPr>
          <w:i/>
        </w:rPr>
      </w:pPr>
    </w:p>
    <w:p w14:paraId="588CA850" w14:textId="77777777" w:rsidR="00BB77C0" w:rsidRDefault="00BB77C0">
      <w:pPr>
        <w:pStyle w:val="BodyText"/>
        <w:rPr>
          <w:i/>
        </w:rPr>
      </w:pPr>
    </w:p>
    <w:p w14:paraId="2721E51F" w14:textId="77777777" w:rsidR="00BB77C0" w:rsidRDefault="00BB77C0">
      <w:pPr>
        <w:pStyle w:val="BodyText"/>
        <w:rPr>
          <w:i/>
        </w:rPr>
      </w:pPr>
    </w:p>
    <w:p w14:paraId="5A5FAADB" w14:textId="77777777" w:rsidR="00BB77C0" w:rsidRDefault="00BB77C0">
      <w:pPr>
        <w:pStyle w:val="BodyText"/>
        <w:rPr>
          <w:i/>
        </w:rPr>
      </w:pPr>
    </w:p>
    <w:p w14:paraId="232A702C" w14:textId="77777777" w:rsidR="00BB77C0" w:rsidRDefault="00BB77C0">
      <w:pPr>
        <w:pStyle w:val="BodyText"/>
        <w:rPr>
          <w:i/>
        </w:rPr>
      </w:pPr>
    </w:p>
    <w:p w14:paraId="2E1E0EF1" w14:textId="77777777" w:rsidR="00BB77C0" w:rsidRDefault="00BB77C0">
      <w:pPr>
        <w:pStyle w:val="BodyText"/>
        <w:spacing w:before="2"/>
        <w:rPr>
          <w:i/>
        </w:rPr>
      </w:pPr>
    </w:p>
    <w:p w14:paraId="52300DEA" w14:textId="77777777" w:rsidR="00BB77C0" w:rsidRDefault="00370BAA">
      <w:pPr>
        <w:spacing w:before="1" w:line="220" w:lineRule="auto"/>
        <w:ind w:left="485" w:right="901"/>
        <w:rPr>
          <w:i/>
          <w:sz w:val="18"/>
        </w:rPr>
      </w:pPr>
      <w:r>
        <w:rPr>
          <w:i/>
          <w:color w:val="211F1F"/>
          <w:position w:val="8"/>
          <w:sz w:val="18"/>
        </w:rPr>
        <w:t>1</w:t>
      </w:r>
      <w:r>
        <w:rPr>
          <w:i/>
          <w:color w:val="211F1F"/>
          <w:sz w:val="18"/>
        </w:rPr>
        <w:t>The</w:t>
      </w:r>
      <w:r>
        <w:rPr>
          <w:i/>
          <w:color w:val="211F1F"/>
          <w:spacing w:val="-9"/>
          <w:sz w:val="18"/>
        </w:rPr>
        <w:t xml:space="preserve"> </w:t>
      </w:r>
      <w:r>
        <w:rPr>
          <w:i/>
          <w:color w:val="211F1F"/>
          <w:sz w:val="18"/>
        </w:rPr>
        <w:t>Guarantor</w:t>
      </w:r>
      <w:r>
        <w:rPr>
          <w:i/>
          <w:color w:val="211F1F"/>
          <w:spacing w:val="-2"/>
          <w:sz w:val="18"/>
        </w:rPr>
        <w:t xml:space="preserve"> </w:t>
      </w:r>
      <w:r>
        <w:rPr>
          <w:i/>
          <w:color w:val="211F1F"/>
          <w:sz w:val="18"/>
        </w:rPr>
        <w:t>shall</w:t>
      </w:r>
      <w:r>
        <w:rPr>
          <w:i/>
          <w:color w:val="211F1F"/>
          <w:spacing w:val="-6"/>
          <w:sz w:val="18"/>
        </w:rPr>
        <w:t xml:space="preserve"> </w:t>
      </w:r>
      <w:r>
        <w:rPr>
          <w:i/>
          <w:color w:val="211F1F"/>
          <w:sz w:val="18"/>
        </w:rPr>
        <w:t>insert</w:t>
      </w:r>
      <w:r>
        <w:rPr>
          <w:i/>
          <w:color w:val="211F1F"/>
          <w:spacing w:val="-1"/>
          <w:sz w:val="18"/>
        </w:rPr>
        <w:t xml:space="preserve"> </w:t>
      </w:r>
      <w:r>
        <w:rPr>
          <w:i/>
          <w:color w:val="211F1F"/>
          <w:sz w:val="18"/>
        </w:rPr>
        <w:t>an</w:t>
      </w:r>
      <w:r>
        <w:rPr>
          <w:i/>
          <w:color w:val="211F1F"/>
          <w:spacing w:val="-8"/>
          <w:sz w:val="18"/>
        </w:rPr>
        <w:t xml:space="preserve"> </w:t>
      </w:r>
      <w:r>
        <w:rPr>
          <w:i/>
          <w:color w:val="211F1F"/>
          <w:sz w:val="18"/>
        </w:rPr>
        <w:t>amount</w:t>
      </w:r>
      <w:r>
        <w:rPr>
          <w:i/>
          <w:color w:val="211F1F"/>
          <w:spacing w:val="-6"/>
          <w:sz w:val="18"/>
        </w:rPr>
        <w:t xml:space="preserve"> </w:t>
      </w:r>
      <w:r>
        <w:rPr>
          <w:i/>
          <w:color w:val="211F1F"/>
          <w:sz w:val="18"/>
        </w:rPr>
        <w:t>representing</w:t>
      </w:r>
      <w:r>
        <w:rPr>
          <w:i/>
          <w:color w:val="211F1F"/>
          <w:spacing w:val="-2"/>
          <w:sz w:val="18"/>
        </w:rPr>
        <w:t xml:space="preserve"> </w:t>
      </w:r>
      <w:r>
        <w:rPr>
          <w:i/>
          <w:color w:val="211F1F"/>
          <w:sz w:val="18"/>
        </w:rPr>
        <w:t>the</w:t>
      </w:r>
      <w:r>
        <w:rPr>
          <w:i/>
          <w:color w:val="211F1F"/>
          <w:spacing w:val="-7"/>
          <w:sz w:val="18"/>
        </w:rPr>
        <w:t xml:space="preserve"> </w:t>
      </w:r>
      <w:r>
        <w:rPr>
          <w:i/>
          <w:color w:val="211F1F"/>
          <w:sz w:val="18"/>
        </w:rPr>
        <w:t>percentage</w:t>
      </w:r>
      <w:r>
        <w:rPr>
          <w:i/>
          <w:color w:val="211F1F"/>
          <w:spacing w:val="-11"/>
          <w:sz w:val="18"/>
        </w:rPr>
        <w:t xml:space="preserve"> </w:t>
      </w:r>
      <w:r>
        <w:rPr>
          <w:i/>
          <w:color w:val="211F1F"/>
          <w:sz w:val="18"/>
        </w:rPr>
        <w:t>of</w:t>
      </w:r>
      <w:r>
        <w:rPr>
          <w:i/>
          <w:color w:val="211F1F"/>
          <w:spacing w:val="-6"/>
          <w:sz w:val="18"/>
        </w:rPr>
        <w:t xml:space="preserve"> </w:t>
      </w:r>
      <w:r>
        <w:rPr>
          <w:i/>
          <w:color w:val="211F1F"/>
          <w:sz w:val="18"/>
        </w:rPr>
        <w:t>the</w:t>
      </w:r>
      <w:r>
        <w:rPr>
          <w:i/>
          <w:color w:val="211F1F"/>
          <w:spacing w:val="-7"/>
          <w:sz w:val="18"/>
        </w:rPr>
        <w:t xml:space="preserve"> </w:t>
      </w:r>
      <w:r>
        <w:rPr>
          <w:i/>
          <w:color w:val="211F1F"/>
          <w:sz w:val="18"/>
        </w:rPr>
        <w:t>Accepted Contract</w:t>
      </w:r>
      <w:r>
        <w:rPr>
          <w:i/>
          <w:color w:val="211F1F"/>
          <w:spacing w:val="-1"/>
          <w:sz w:val="18"/>
        </w:rPr>
        <w:t xml:space="preserve"> </w:t>
      </w:r>
      <w:r>
        <w:rPr>
          <w:i/>
          <w:color w:val="211F1F"/>
          <w:sz w:val="18"/>
        </w:rPr>
        <w:t>Amount</w:t>
      </w:r>
      <w:r>
        <w:rPr>
          <w:i/>
          <w:color w:val="211F1F"/>
          <w:spacing w:val="-1"/>
          <w:sz w:val="18"/>
        </w:rPr>
        <w:t xml:space="preserve"> </w:t>
      </w:r>
      <w:r>
        <w:rPr>
          <w:i/>
          <w:color w:val="211F1F"/>
          <w:sz w:val="18"/>
        </w:rPr>
        <w:t>specified</w:t>
      </w:r>
      <w:r>
        <w:rPr>
          <w:i/>
          <w:color w:val="211F1F"/>
          <w:spacing w:val="-2"/>
          <w:sz w:val="18"/>
        </w:rPr>
        <w:t xml:space="preserve"> </w:t>
      </w:r>
      <w:r>
        <w:rPr>
          <w:i/>
          <w:color w:val="211F1F"/>
          <w:sz w:val="18"/>
        </w:rPr>
        <w:t>in</w:t>
      </w:r>
      <w:r>
        <w:rPr>
          <w:i/>
          <w:color w:val="211F1F"/>
          <w:spacing w:val="-8"/>
          <w:sz w:val="18"/>
        </w:rPr>
        <w:t xml:space="preserve"> </w:t>
      </w:r>
      <w:r>
        <w:rPr>
          <w:i/>
          <w:color w:val="211F1F"/>
          <w:sz w:val="18"/>
        </w:rPr>
        <w:t>the</w:t>
      </w:r>
      <w:r>
        <w:rPr>
          <w:i/>
          <w:color w:val="211F1F"/>
          <w:spacing w:val="-12"/>
          <w:sz w:val="18"/>
        </w:rPr>
        <w:t xml:space="preserve"> </w:t>
      </w:r>
      <w:r>
        <w:rPr>
          <w:i/>
          <w:color w:val="211F1F"/>
          <w:sz w:val="18"/>
        </w:rPr>
        <w:t>Letter</w:t>
      </w:r>
      <w:r>
        <w:rPr>
          <w:i/>
          <w:color w:val="211F1F"/>
          <w:spacing w:val="-2"/>
          <w:sz w:val="18"/>
        </w:rPr>
        <w:t xml:space="preserve"> </w:t>
      </w:r>
      <w:r>
        <w:rPr>
          <w:i/>
          <w:color w:val="211F1F"/>
          <w:sz w:val="18"/>
        </w:rPr>
        <w:t>of</w:t>
      </w:r>
      <w:r>
        <w:rPr>
          <w:i/>
          <w:color w:val="211F1F"/>
          <w:spacing w:val="-1"/>
          <w:sz w:val="18"/>
        </w:rPr>
        <w:t xml:space="preserve"> </w:t>
      </w:r>
      <w:r>
        <w:rPr>
          <w:i/>
          <w:color w:val="211F1F"/>
          <w:sz w:val="18"/>
        </w:rPr>
        <w:t>Acceptance, less provisional sums, if any, and denominated either in the</w:t>
      </w:r>
      <w:r>
        <w:rPr>
          <w:i/>
          <w:color w:val="211F1F"/>
          <w:spacing w:val="-1"/>
          <w:sz w:val="18"/>
        </w:rPr>
        <w:t xml:space="preserve"> </w:t>
      </w:r>
      <w:r>
        <w:rPr>
          <w:i/>
          <w:color w:val="211F1F"/>
          <w:sz w:val="18"/>
        </w:rPr>
        <w:t>currency of the Contract or a freely convertible currency acceptable to</w:t>
      </w:r>
      <w:r>
        <w:rPr>
          <w:i/>
          <w:color w:val="211F1F"/>
          <w:spacing w:val="-2"/>
          <w:sz w:val="18"/>
        </w:rPr>
        <w:t xml:space="preserve"> </w:t>
      </w:r>
      <w:r>
        <w:rPr>
          <w:i/>
          <w:color w:val="211F1F"/>
          <w:sz w:val="18"/>
        </w:rPr>
        <w:t xml:space="preserve">the </w:t>
      </w:r>
      <w:r>
        <w:rPr>
          <w:i/>
          <w:color w:val="211F1F"/>
          <w:spacing w:val="-2"/>
          <w:sz w:val="18"/>
        </w:rPr>
        <w:t>Beneficiary.</w:t>
      </w:r>
    </w:p>
    <w:p w14:paraId="1892A619" w14:textId="77777777" w:rsidR="00BB77C0" w:rsidRDefault="00370BAA">
      <w:pPr>
        <w:spacing w:line="228" w:lineRule="auto"/>
        <w:ind w:left="485" w:right="701"/>
        <w:jc w:val="both"/>
        <w:rPr>
          <w:i/>
          <w:sz w:val="18"/>
        </w:rPr>
      </w:pPr>
      <w:r>
        <w:rPr>
          <w:i/>
          <w:color w:val="211F1F"/>
          <w:position w:val="8"/>
          <w:sz w:val="18"/>
        </w:rPr>
        <w:t>2</w:t>
      </w:r>
      <w:r>
        <w:rPr>
          <w:i/>
          <w:color w:val="211F1F"/>
          <w:sz w:val="18"/>
        </w:rPr>
        <w:t>Insert the</w:t>
      </w:r>
      <w:r>
        <w:rPr>
          <w:i/>
          <w:color w:val="211F1F"/>
          <w:spacing w:val="-2"/>
          <w:sz w:val="18"/>
        </w:rPr>
        <w:t xml:space="preserve"> </w:t>
      </w:r>
      <w:r>
        <w:rPr>
          <w:i/>
          <w:color w:val="211F1F"/>
          <w:sz w:val="18"/>
        </w:rPr>
        <w:t>date</w:t>
      </w:r>
      <w:r>
        <w:rPr>
          <w:i/>
          <w:color w:val="211F1F"/>
          <w:spacing w:val="-2"/>
          <w:sz w:val="18"/>
        </w:rPr>
        <w:t xml:space="preserve"> </w:t>
      </w:r>
      <w:r>
        <w:rPr>
          <w:i/>
          <w:color w:val="211F1F"/>
          <w:sz w:val="18"/>
        </w:rPr>
        <w:t>twenty-eight</w:t>
      </w:r>
      <w:r>
        <w:rPr>
          <w:i/>
          <w:color w:val="211F1F"/>
          <w:spacing w:val="-1"/>
          <w:sz w:val="18"/>
        </w:rPr>
        <w:t xml:space="preserve"> </w:t>
      </w:r>
      <w:r>
        <w:rPr>
          <w:i/>
          <w:color w:val="211F1F"/>
          <w:sz w:val="18"/>
        </w:rPr>
        <w:t>days after the expected completion date as described in GC Clause</w:t>
      </w:r>
      <w:r>
        <w:rPr>
          <w:i/>
          <w:color w:val="211F1F"/>
          <w:spacing w:val="-7"/>
          <w:sz w:val="18"/>
        </w:rPr>
        <w:t xml:space="preserve"> </w:t>
      </w:r>
      <w:r>
        <w:rPr>
          <w:i/>
          <w:color w:val="211F1F"/>
          <w:sz w:val="18"/>
        </w:rPr>
        <w:t>11.9.</w:t>
      </w:r>
      <w:r>
        <w:rPr>
          <w:i/>
          <w:color w:val="211F1F"/>
          <w:spacing w:val="-1"/>
          <w:sz w:val="18"/>
        </w:rPr>
        <w:t xml:space="preserve"> </w:t>
      </w:r>
      <w:r>
        <w:rPr>
          <w:i/>
          <w:color w:val="211F1F"/>
          <w:sz w:val="18"/>
        </w:rPr>
        <w:t>The Procuring</w:t>
      </w:r>
      <w:r>
        <w:rPr>
          <w:i/>
          <w:color w:val="211F1F"/>
          <w:spacing w:val="-2"/>
          <w:sz w:val="18"/>
        </w:rPr>
        <w:t xml:space="preserve"> </w:t>
      </w:r>
      <w:r>
        <w:rPr>
          <w:i/>
          <w:color w:val="211F1F"/>
          <w:sz w:val="18"/>
        </w:rPr>
        <w:t>Entity should note that</w:t>
      </w:r>
      <w:r>
        <w:rPr>
          <w:i/>
          <w:color w:val="211F1F"/>
          <w:spacing w:val="-1"/>
          <w:sz w:val="18"/>
        </w:rPr>
        <w:t xml:space="preserve"> </w:t>
      </w:r>
      <w:r>
        <w:rPr>
          <w:i/>
          <w:color w:val="211F1F"/>
          <w:sz w:val="18"/>
        </w:rPr>
        <w:t xml:space="preserve">in </w:t>
      </w:r>
      <w:r>
        <w:rPr>
          <w:i/>
          <w:color w:val="211F1F"/>
          <w:spacing w:val="-2"/>
          <w:sz w:val="18"/>
        </w:rPr>
        <w:t>the event of an</w:t>
      </w:r>
      <w:r>
        <w:rPr>
          <w:i/>
          <w:color w:val="211F1F"/>
          <w:sz w:val="18"/>
        </w:rPr>
        <w:t xml:space="preserve"> </w:t>
      </w:r>
      <w:r>
        <w:rPr>
          <w:i/>
          <w:color w:val="211F1F"/>
          <w:spacing w:val="-2"/>
          <w:sz w:val="18"/>
        </w:rPr>
        <w:t>extension of</w:t>
      </w:r>
      <w:r>
        <w:rPr>
          <w:i/>
          <w:color w:val="211F1F"/>
          <w:spacing w:val="-4"/>
          <w:sz w:val="18"/>
        </w:rPr>
        <w:t xml:space="preserve"> </w:t>
      </w:r>
      <w:r>
        <w:rPr>
          <w:i/>
          <w:color w:val="211F1F"/>
          <w:spacing w:val="-2"/>
          <w:sz w:val="18"/>
        </w:rPr>
        <w:t>this</w:t>
      </w:r>
      <w:r>
        <w:rPr>
          <w:i/>
          <w:color w:val="211F1F"/>
          <w:spacing w:val="-5"/>
          <w:sz w:val="18"/>
        </w:rPr>
        <w:t xml:space="preserve"> </w:t>
      </w:r>
      <w:r>
        <w:rPr>
          <w:i/>
          <w:color w:val="211F1F"/>
          <w:spacing w:val="-2"/>
          <w:sz w:val="18"/>
        </w:rPr>
        <w:t>date</w:t>
      </w:r>
      <w:r>
        <w:rPr>
          <w:i/>
          <w:color w:val="211F1F"/>
          <w:spacing w:val="-10"/>
          <w:sz w:val="18"/>
        </w:rPr>
        <w:t xml:space="preserve"> </w:t>
      </w:r>
      <w:r>
        <w:rPr>
          <w:i/>
          <w:color w:val="211F1F"/>
          <w:spacing w:val="-2"/>
          <w:sz w:val="18"/>
        </w:rPr>
        <w:t>for</w:t>
      </w:r>
      <w:r>
        <w:rPr>
          <w:i/>
          <w:color w:val="211F1F"/>
          <w:spacing w:val="-4"/>
          <w:sz w:val="18"/>
        </w:rPr>
        <w:t xml:space="preserve"> </w:t>
      </w:r>
      <w:r>
        <w:rPr>
          <w:i/>
          <w:color w:val="211F1F"/>
          <w:spacing w:val="-2"/>
          <w:sz w:val="18"/>
        </w:rPr>
        <w:t>completion</w:t>
      </w:r>
      <w:r>
        <w:rPr>
          <w:i/>
          <w:color w:val="211F1F"/>
          <w:spacing w:val="-5"/>
          <w:sz w:val="18"/>
        </w:rPr>
        <w:t xml:space="preserve"> </w:t>
      </w:r>
      <w:r>
        <w:rPr>
          <w:i/>
          <w:color w:val="211F1F"/>
          <w:spacing w:val="-2"/>
          <w:sz w:val="18"/>
        </w:rPr>
        <w:t>of</w:t>
      </w:r>
      <w:r>
        <w:rPr>
          <w:i/>
          <w:color w:val="211F1F"/>
          <w:spacing w:val="-4"/>
          <w:sz w:val="18"/>
        </w:rPr>
        <w:t xml:space="preserve"> </w:t>
      </w:r>
      <w:r>
        <w:rPr>
          <w:i/>
          <w:color w:val="211F1F"/>
          <w:spacing w:val="-2"/>
          <w:sz w:val="18"/>
        </w:rPr>
        <w:t>the</w:t>
      </w:r>
      <w:r>
        <w:rPr>
          <w:i/>
          <w:color w:val="211F1F"/>
          <w:spacing w:val="-10"/>
          <w:sz w:val="18"/>
        </w:rPr>
        <w:t xml:space="preserve"> </w:t>
      </w:r>
      <w:r>
        <w:rPr>
          <w:i/>
          <w:color w:val="211F1F"/>
          <w:spacing w:val="-2"/>
          <w:sz w:val="18"/>
        </w:rPr>
        <w:t>Contract, the</w:t>
      </w:r>
      <w:r>
        <w:rPr>
          <w:i/>
          <w:color w:val="211F1F"/>
          <w:spacing w:val="-5"/>
          <w:sz w:val="18"/>
        </w:rPr>
        <w:t xml:space="preserve"> </w:t>
      </w:r>
      <w:r>
        <w:rPr>
          <w:i/>
          <w:color w:val="211F1F"/>
          <w:spacing w:val="-2"/>
          <w:sz w:val="18"/>
        </w:rPr>
        <w:t>Procuring</w:t>
      </w:r>
      <w:r>
        <w:rPr>
          <w:i/>
          <w:color w:val="211F1F"/>
          <w:spacing w:val="-6"/>
          <w:sz w:val="18"/>
        </w:rPr>
        <w:t xml:space="preserve"> </w:t>
      </w:r>
      <w:r>
        <w:rPr>
          <w:i/>
          <w:color w:val="211F1F"/>
          <w:spacing w:val="-2"/>
          <w:sz w:val="18"/>
        </w:rPr>
        <w:t>Entity would</w:t>
      </w:r>
      <w:r>
        <w:rPr>
          <w:i/>
          <w:color w:val="211F1F"/>
          <w:spacing w:val="-6"/>
          <w:sz w:val="18"/>
        </w:rPr>
        <w:t xml:space="preserve"> </w:t>
      </w:r>
      <w:r>
        <w:rPr>
          <w:i/>
          <w:color w:val="211F1F"/>
          <w:spacing w:val="-2"/>
          <w:sz w:val="18"/>
        </w:rPr>
        <w:t>need</w:t>
      </w:r>
      <w:r>
        <w:rPr>
          <w:i/>
          <w:color w:val="211F1F"/>
          <w:spacing w:val="-5"/>
          <w:sz w:val="18"/>
        </w:rPr>
        <w:t xml:space="preserve"> </w:t>
      </w:r>
      <w:r>
        <w:rPr>
          <w:i/>
          <w:color w:val="211F1F"/>
          <w:spacing w:val="-2"/>
          <w:sz w:val="18"/>
        </w:rPr>
        <w:t>to</w:t>
      </w:r>
      <w:r>
        <w:rPr>
          <w:i/>
          <w:color w:val="211F1F"/>
          <w:spacing w:val="-6"/>
          <w:sz w:val="18"/>
        </w:rPr>
        <w:t xml:space="preserve"> </w:t>
      </w:r>
      <w:r>
        <w:rPr>
          <w:i/>
          <w:color w:val="211F1F"/>
          <w:spacing w:val="-2"/>
          <w:sz w:val="18"/>
        </w:rPr>
        <w:t>request an extension</w:t>
      </w:r>
      <w:r>
        <w:rPr>
          <w:i/>
          <w:color w:val="211F1F"/>
          <w:spacing w:val="-5"/>
          <w:sz w:val="18"/>
        </w:rPr>
        <w:t xml:space="preserve"> </w:t>
      </w:r>
      <w:r>
        <w:rPr>
          <w:i/>
          <w:color w:val="211F1F"/>
          <w:spacing w:val="-2"/>
          <w:sz w:val="18"/>
        </w:rPr>
        <w:t>of</w:t>
      </w:r>
      <w:r>
        <w:rPr>
          <w:i/>
          <w:color w:val="211F1F"/>
          <w:spacing w:val="-4"/>
          <w:sz w:val="18"/>
        </w:rPr>
        <w:t xml:space="preserve"> </w:t>
      </w:r>
      <w:r>
        <w:rPr>
          <w:i/>
          <w:color w:val="211F1F"/>
          <w:spacing w:val="-2"/>
          <w:sz w:val="18"/>
        </w:rPr>
        <w:t>this</w:t>
      </w:r>
      <w:r>
        <w:rPr>
          <w:i/>
          <w:color w:val="211F1F"/>
          <w:spacing w:val="-10"/>
          <w:sz w:val="18"/>
        </w:rPr>
        <w:t xml:space="preserve"> </w:t>
      </w:r>
      <w:r>
        <w:rPr>
          <w:i/>
          <w:color w:val="211F1F"/>
          <w:spacing w:val="-2"/>
          <w:sz w:val="18"/>
        </w:rPr>
        <w:t>guarantee</w:t>
      </w:r>
      <w:r>
        <w:rPr>
          <w:i/>
          <w:color w:val="211F1F"/>
          <w:spacing w:val="-4"/>
          <w:sz w:val="18"/>
        </w:rPr>
        <w:t xml:space="preserve"> </w:t>
      </w:r>
      <w:r>
        <w:rPr>
          <w:i/>
          <w:color w:val="211F1F"/>
          <w:spacing w:val="-2"/>
          <w:sz w:val="18"/>
        </w:rPr>
        <w:t xml:space="preserve">from </w:t>
      </w:r>
      <w:r>
        <w:rPr>
          <w:i/>
          <w:color w:val="211F1F"/>
          <w:sz w:val="18"/>
        </w:rPr>
        <w:t>the Guarantor.</w:t>
      </w:r>
      <w:r>
        <w:rPr>
          <w:i/>
          <w:color w:val="211F1F"/>
          <w:spacing w:val="40"/>
          <w:sz w:val="18"/>
        </w:rPr>
        <w:t xml:space="preserve"> </w:t>
      </w:r>
      <w:r>
        <w:rPr>
          <w:i/>
          <w:color w:val="211F1F"/>
          <w:sz w:val="18"/>
        </w:rPr>
        <w:t>Such request must</w:t>
      </w:r>
      <w:r>
        <w:rPr>
          <w:i/>
          <w:color w:val="211F1F"/>
          <w:spacing w:val="-2"/>
          <w:sz w:val="18"/>
        </w:rPr>
        <w:t xml:space="preserve"> </w:t>
      </w:r>
      <w:r>
        <w:rPr>
          <w:i/>
          <w:color w:val="211F1F"/>
          <w:sz w:val="18"/>
        </w:rPr>
        <w:t>be</w:t>
      </w:r>
      <w:r>
        <w:rPr>
          <w:i/>
          <w:color w:val="211F1F"/>
          <w:spacing w:val="-10"/>
          <w:sz w:val="18"/>
        </w:rPr>
        <w:t xml:space="preserve"> </w:t>
      </w:r>
      <w:r>
        <w:rPr>
          <w:i/>
          <w:color w:val="211F1F"/>
          <w:sz w:val="18"/>
        </w:rPr>
        <w:t>in writing</w:t>
      </w:r>
      <w:r>
        <w:rPr>
          <w:i/>
          <w:color w:val="211F1F"/>
          <w:spacing w:val="-4"/>
          <w:sz w:val="18"/>
        </w:rPr>
        <w:t xml:space="preserve"> </w:t>
      </w:r>
      <w:r>
        <w:rPr>
          <w:i/>
          <w:color w:val="211F1F"/>
          <w:sz w:val="18"/>
        </w:rPr>
        <w:t>and</w:t>
      </w:r>
      <w:r>
        <w:rPr>
          <w:i/>
          <w:color w:val="211F1F"/>
          <w:spacing w:val="-6"/>
          <w:sz w:val="18"/>
        </w:rPr>
        <w:t xml:space="preserve"> </w:t>
      </w:r>
      <w:r>
        <w:rPr>
          <w:i/>
          <w:color w:val="211F1F"/>
          <w:sz w:val="18"/>
        </w:rPr>
        <w:t>must</w:t>
      </w:r>
      <w:r>
        <w:rPr>
          <w:i/>
          <w:color w:val="211F1F"/>
          <w:spacing w:val="-3"/>
          <w:sz w:val="18"/>
        </w:rPr>
        <w:t xml:space="preserve"> </w:t>
      </w:r>
      <w:r>
        <w:rPr>
          <w:i/>
          <w:color w:val="211F1F"/>
          <w:sz w:val="18"/>
        </w:rPr>
        <w:t>be</w:t>
      </w:r>
      <w:r>
        <w:rPr>
          <w:i/>
          <w:color w:val="211F1F"/>
          <w:spacing w:val="-10"/>
          <w:sz w:val="18"/>
        </w:rPr>
        <w:t xml:space="preserve"> </w:t>
      </w:r>
      <w:r>
        <w:rPr>
          <w:i/>
          <w:color w:val="211F1F"/>
          <w:sz w:val="18"/>
        </w:rPr>
        <w:t>madeprior</w:t>
      </w:r>
      <w:r>
        <w:rPr>
          <w:i/>
          <w:color w:val="211F1F"/>
          <w:spacing w:val="-9"/>
          <w:sz w:val="18"/>
        </w:rPr>
        <w:t xml:space="preserve"> </w:t>
      </w:r>
      <w:r>
        <w:rPr>
          <w:i/>
          <w:color w:val="211F1F"/>
          <w:sz w:val="18"/>
        </w:rPr>
        <w:t>to</w:t>
      </w:r>
      <w:r>
        <w:rPr>
          <w:i/>
          <w:color w:val="211F1F"/>
          <w:spacing w:val="-6"/>
          <w:sz w:val="18"/>
        </w:rPr>
        <w:t xml:space="preserve"> </w:t>
      </w:r>
      <w:r>
        <w:rPr>
          <w:i/>
          <w:color w:val="211F1F"/>
          <w:sz w:val="18"/>
        </w:rPr>
        <w:t>the</w:t>
      </w:r>
      <w:r>
        <w:rPr>
          <w:i/>
          <w:color w:val="211F1F"/>
          <w:spacing w:val="-4"/>
          <w:sz w:val="18"/>
        </w:rPr>
        <w:t xml:space="preserve"> </w:t>
      </w:r>
      <w:r>
        <w:rPr>
          <w:i/>
          <w:color w:val="211F1F"/>
          <w:sz w:val="18"/>
        </w:rPr>
        <w:t>expiration</w:t>
      </w:r>
      <w:r>
        <w:rPr>
          <w:i/>
          <w:color w:val="211F1F"/>
          <w:spacing w:val="-4"/>
          <w:sz w:val="18"/>
        </w:rPr>
        <w:t xml:space="preserve"> </w:t>
      </w:r>
      <w:r>
        <w:rPr>
          <w:i/>
          <w:color w:val="211F1F"/>
          <w:sz w:val="18"/>
        </w:rPr>
        <w:t>date</w:t>
      </w:r>
      <w:r>
        <w:rPr>
          <w:i/>
          <w:color w:val="211F1F"/>
          <w:spacing w:val="-4"/>
          <w:sz w:val="18"/>
        </w:rPr>
        <w:t xml:space="preserve"> </w:t>
      </w:r>
      <w:r>
        <w:rPr>
          <w:i/>
          <w:color w:val="211F1F"/>
          <w:sz w:val="18"/>
        </w:rPr>
        <w:t>established in</w:t>
      </w:r>
      <w:r>
        <w:rPr>
          <w:i/>
          <w:color w:val="211F1F"/>
          <w:spacing w:val="-12"/>
          <w:sz w:val="18"/>
        </w:rPr>
        <w:t xml:space="preserve"> </w:t>
      </w:r>
      <w:r>
        <w:rPr>
          <w:i/>
          <w:color w:val="211F1F"/>
          <w:sz w:val="18"/>
        </w:rPr>
        <w:t>the</w:t>
      </w:r>
      <w:r>
        <w:rPr>
          <w:i/>
          <w:color w:val="211F1F"/>
          <w:spacing w:val="-10"/>
          <w:sz w:val="18"/>
        </w:rPr>
        <w:t xml:space="preserve"> </w:t>
      </w:r>
      <w:r>
        <w:rPr>
          <w:i/>
          <w:color w:val="211F1F"/>
          <w:sz w:val="18"/>
        </w:rPr>
        <w:t>guarantee.</w:t>
      </w:r>
    </w:p>
    <w:p w14:paraId="4CFAC9A0" w14:textId="77777777" w:rsidR="00BB77C0" w:rsidRDefault="00BB77C0">
      <w:pPr>
        <w:spacing w:line="228" w:lineRule="auto"/>
        <w:jc w:val="both"/>
        <w:rPr>
          <w:i/>
          <w:sz w:val="18"/>
        </w:rPr>
        <w:sectPr w:rsidR="00BB77C0">
          <w:pgSz w:w="11920" w:h="16850"/>
          <w:pgMar w:top="740" w:right="0" w:bottom="280" w:left="360" w:header="720" w:footer="720" w:gutter="0"/>
          <w:cols w:space="720"/>
        </w:sectPr>
      </w:pPr>
    </w:p>
    <w:p w14:paraId="4C15CFF9" w14:textId="77777777" w:rsidR="00BB77C0" w:rsidRDefault="00370BAA">
      <w:pPr>
        <w:spacing w:before="75"/>
        <w:ind w:left="490"/>
        <w:rPr>
          <w:b/>
          <w:sz w:val="24"/>
        </w:rPr>
      </w:pPr>
      <w:r>
        <w:rPr>
          <w:b/>
          <w:color w:val="211F1F"/>
          <w:sz w:val="24"/>
          <w:u w:val="single" w:color="211F1F"/>
        </w:rPr>
        <w:lastRenderedPageBreak/>
        <w:t>FORM</w:t>
      </w:r>
      <w:r>
        <w:rPr>
          <w:b/>
          <w:color w:val="211F1F"/>
          <w:spacing w:val="-1"/>
          <w:sz w:val="24"/>
          <w:u w:val="single" w:color="211F1F"/>
        </w:rPr>
        <w:t xml:space="preserve"> </w:t>
      </w:r>
      <w:r>
        <w:rPr>
          <w:b/>
          <w:color w:val="211F1F"/>
          <w:sz w:val="24"/>
          <w:u w:val="single" w:color="211F1F"/>
        </w:rPr>
        <w:t>No.</w:t>
      </w:r>
      <w:r>
        <w:rPr>
          <w:b/>
          <w:color w:val="211F1F"/>
          <w:spacing w:val="-2"/>
          <w:sz w:val="24"/>
          <w:u w:val="single" w:color="211F1F"/>
        </w:rPr>
        <w:t xml:space="preserve"> </w:t>
      </w:r>
      <w:r>
        <w:rPr>
          <w:b/>
          <w:color w:val="211F1F"/>
          <w:sz w:val="24"/>
          <w:u w:val="single" w:color="211F1F"/>
        </w:rPr>
        <w:t>6</w:t>
      </w:r>
      <w:r>
        <w:rPr>
          <w:b/>
          <w:color w:val="211F1F"/>
          <w:spacing w:val="-5"/>
          <w:sz w:val="24"/>
          <w:u w:val="single" w:color="211F1F"/>
        </w:rPr>
        <w:t xml:space="preserve"> </w:t>
      </w:r>
      <w:r>
        <w:rPr>
          <w:b/>
          <w:color w:val="211F1F"/>
          <w:sz w:val="24"/>
          <w:u w:val="single" w:color="211F1F"/>
        </w:rPr>
        <w:t>-</w:t>
      </w:r>
      <w:r>
        <w:rPr>
          <w:b/>
          <w:color w:val="211F1F"/>
          <w:spacing w:val="-2"/>
          <w:sz w:val="24"/>
          <w:u w:val="single" w:color="211F1F"/>
        </w:rPr>
        <w:t xml:space="preserve"> </w:t>
      </w:r>
      <w:r>
        <w:rPr>
          <w:b/>
          <w:color w:val="211F1F"/>
          <w:sz w:val="24"/>
          <w:u w:val="single" w:color="211F1F"/>
        </w:rPr>
        <w:t>PERFORMANCE</w:t>
      </w:r>
      <w:r>
        <w:rPr>
          <w:b/>
          <w:color w:val="211F1F"/>
          <w:spacing w:val="51"/>
          <w:sz w:val="24"/>
          <w:u w:val="single" w:color="211F1F"/>
        </w:rPr>
        <w:t xml:space="preserve"> </w:t>
      </w:r>
      <w:r>
        <w:rPr>
          <w:b/>
          <w:color w:val="211F1F"/>
          <w:spacing w:val="-2"/>
          <w:sz w:val="24"/>
          <w:u w:val="single" w:color="211F1F"/>
        </w:rPr>
        <w:t>SECURITY</w:t>
      </w:r>
    </w:p>
    <w:p w14:paraId="7BD85CEB" w14:textId="77777777" w:rsidR="00BB77C0" w:rsidRDefault="00370BAA">
      <w:pPr>
        <w:pStyle w:val="Heading7"/>
        <w:spacing w:before="103"/>
        <w:ind w:left="523"/>
      </w:pPr>
      <w:r>
        <w:rPr>
          <w:noProof/>
        </w:rPr>
        <mc:AlternateContent>
          <mc:Choice Requires="wps">
            <w:drawing>
              <wp:anchor distT="0" distB="0" distL="0" distR="0" simplePos="0" relativeHeight="15785472" behindDoc="0" locked="0" layoutInCell="1" allowOverlap="1" wp14:anchorId="0CF1236D" wp14:editId="19E8CB5A">
                <wp:simplePos x="0" y="0"/>
                <wp:positionH relativeFrom="page">
                  <wp:posOffset>560705</wp:posOffset>
                </wp:positionH>
                <wp:positionV relativeFrom="paragraph">
                  <wp:posOffset>212104</wp:posOffset>
                </wp:positionV>
                <wp:extent cx="47625" cy="13970"/>
                <wp:effectExtent l="0" t="0" r="0" b="0"/>
                <wp:wrapNone/>
                <wp:docPr id="427" name="Graphic 4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13970"/>
                        </a:xfrm>
                        <a:custGeom>
                          <a:avLst/>
                          <a:gdLst/>
                          <a:ahLst/>
                          <a:cxnLst/>
                          <a:rect l="l" t="t" r="r" b="b"/>
                          <a:pathLst>
                            <a:path w="47625" h="13970">
                              <a:moveTo>
                                <a:pt x="47242" y="0"/>
                              </a:moveTo>
                              <a:lnTo>
                                <a:pt x="0" y="0"/>
                              </a:lnTo>
                              <a:lnTo>
                                <a:pt x="0" y="13716"/>
                              </a:lnTo>
                              <a:lnTo>
                                <a:pt x="47242" y="13716"/>
                              </a:lnTo>
                              <a:lnTo>
                                <a:pt x="47242" y="0"/>
                              </a:lnTo>
                              <a:close/>
                            </a:path>
                          </a:pathLst>
                        </a:custGeom>
                        <a:solidFill>
                          <a:srgbClr val="211F1F"/>
                        </a:solidFill>
                      </wps:spPr>
                      <wps:bodyPr wrap="square" lIns="0" tIns="0" rIns="0" bIns="0" rtlCol="0">
                        <a:prstTxWarp prst="textNoShape">
                          <a:avLst/>
                        </a:prstTxWarp>
                        <a:noAutofit/>
                      </wps:bodyPr>
                    </wps:wsp>
                  </a:graphicData>
                </a:graphic>
              </wp:anchor>
            </w:drawing>
          </mc:Choice>
          <mc:Fallback>
            <w:pict>
              <v:shape w14:anchorId="55F5C3A4" id="Graphic 427" o:spid="_x0000_s1026" style="position:absolute;margin-left:44.15pt;margin-top:16.7pt;width:3.75pt;height:1.1pt;z-index:15785472;visibility:visible;mso-wrap-style:square;mso-wrap-distance-left:0;mso-wrap-distance-top:0;mso-wrap-distance-right:0;mso-wrap-distance-bottom:0;mso-position-horizontal:absolute;mso-position-horizontal-relative:page;mso-position-vertical:absolute;mso-position-vertical-relative:text;v-text-anchor:top" coordsize="47625,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" path="m47242,l,,,13716r47242,l47242,xe" fillcolor="#211f1f" stroked="f">
                <v:path arrowok="t"/>
                <w10:wrap anchorx="page"/>
              </v:shape>
            </w:pict>
          </mc:Fallback>
        </mc:AlternateContent>
      </w:r>
      <w:bookmarkStart w:id="255" w:name="[Option_2–_Performance_Bond]"/>
      <w:bookmarkEnd w:id="255"/>
      <w:r>
        <w:rPr>
          <w:color w:val="211F1F"/>
        </w:rPr>
        <w:t>[Option</w:t>
      </w:r>
      <w:r>
        <w:rPr>
          <w:color w:val="211F1F"/>
          <w:spacing w:val="-14"/>
        </w:rPr>
        <w:t xml:space="preserve"> </w:t>
      </w:r>
      <w:r>
        <w:rPr>
          <w:color w:val="211F1F"/>
        </w:rPr>
        <w:t>2–</w:t>
      </w:r>
      <w:r>
        <w:rPr>
          <w:color w:val="211F1F"/>
          <w:spacing w:val="-11"/>
        </w:rPr>
        <w:t xml:space="preserve"> </w:t>
      </w:r>
      <w:r>
        <w:rPr>
          <w:color w:val="211F1F"/>
        </w:rPr>
        <w:t>Performance</w:t>
      </w:r>
      <w:r>
        <w:rPr>
          <w:color w:val="211F1F"/>
          <w:spacing w:val="-8"/>
        </w:rPr>
        <w:t xml:space="preserve"> </w:t>
      </w:r>
      <w:r>
        <w:rPr>
          <w:color w:val="211F1F"/>
          <w:spacing w:val="-4"/>
        </w:rPr>
        <w:t>Bond]</w:t>
      </w:r>
    </w:p>
    <w:p w14:paraId="36719EEE" w14:textId="77777777" w:rsidR="00BB77C0" w:rsidRDefault="00BB77C0">
      <w:pPr>
        <w:pStyle w:val="BodyText"/>
        <w:spacing w:before="152"/>
        <w:rPr>
          <w:b/>
        </w:rPr>
      </w:pPr>
    </w:p>
    <w:p w14:paraId="3FEAD82B" w14:textId="77777777" w:rsidR="00BB77C0" w:rsidRDefault="00370BAA">
      <w:pPr>
        <w:spacing w:line="228" w:lineRule="auto"/>
        <w:ind w:left="490" w:right="875"/>
        <w:rPr>
          <w:i/>
        </w:rPr>
      </w:pPr>
      <w:r>
        <w:rPr>
          <w:i/>
          <w:color w:val="211F1F"/>
        </w:rPr>
        <w:t>[Note:</w:t>
      </w:r>
      <w:r>
        <w:rPr>
          <w:i/>
          <w:color w:val="211F1F"/>
          <w:spacing w:val="-14"/>
        </w:rPr>
        <w:t xml:space="preserve"> </w:t>
      </w:r>
      <w:r>
        <w:rPr>
          <w:i/>
          <w:color w:val="211F1F"/>
        </w:rPr>
        <w:t>Procuring</w:t>
      </w:r>
      <w:r>
        <w:rPr>
          <w:i/>
          <w:color w:val="211F1F"/>
          <w:spacing w:val="-14"/>
        </w:rPr>
        <w:t xml:space="preserve"> </w:t>
      </w:r>
      <w:r>
        <w:rPr>
          <w:i/>
          <w:color w:val="211F1F"/>
        </w:rPr>
        <w:t>Entities</w:t>
      </w:r>
      <w:r>
        <w:rPr>
          <w:i/>
          <w:color w:val="211F1F"/>
          <w:spacing w:val="-14"/>
        </w:rPr>
        <w:t xml:space="preserve"> </w:t>
      </w:r>
      <w:r>
        <w:rPr>
          <w:i/>
          <w:color w:val="211F1F"/>
        </w:rPr>
        <w:t>are</w:t>
      </w:r>
      <w:r>
        <w:rPr>
          <w:i/>
          <w:color w:val="211F1F"/>
          <w:spacing w:val="-14"/>
        </w:rPr>
        <w:t xml:space="preserve"> </w:t>
      </w:r>
      <w:r>
        <w:rPr>
          <w:i/>
          <w:color w:val="211F1F"/>
        </w:rPr>
        <w:t>advised</w:t>
      </w:r>
      <w:r>
        <w:rPr>
          <w:i/>
          <w:color w:val="211F1F"/>
          <w:spacing w:val="-16"/>
        </w:rPr>
        <w:t xml:space="preserve"> </w:t>
      </w:r>
      <w:r>
        <w:rPr>
          <w:i/>
          <w:color w:val="211F1F"/>
        </w:rPr>
        <w:t>to</w:t>
      </w:r>
      <w:r>
        <w:rPr>
          <w:i/>
          <w:color w:val="211F1F"/>
          <w:spacing w:val="-13"/>
        </w:rPr>
        <w:t xml:space="preserve"> </w:t>
      </w:r>
      <w:r>
        <w:rPr>
          <w:i/>
          <w:color w:val="211F1F"/>
        </w:rPr>
        <w:t>use</w:t>
      </w:r>
      <w:r>
        <w:rPr>
          <w:i/>
          <w:color w:val="211F1F"/>
          <w:spacing w:val="-14"/>
        </w:rPr>
        <w:t xml:space="preserve"> </w:t>
      </w:r>
      <w:r>
        <w:rPr>
          <w:i/>
          <w:color w:val="211F1F"/>
        </w:rPr>
        <w:t>Performance</w:t>
      </w:r>
      <w:r>
        <w:rPr>
          <w:i/>
          <w:color w:val="211F1F"/>
          <w:spacing w:val="-14"/>
        </w:rPr>
        <w:t xml:space="preserve"> </w:t>
      </w:r>
      <w:r>
        <w:rPr>
          <w:i/>
          <w:color w:val="211F1F"/>
        </w:rPr>
        <w:t>Security</w:t>
      </w:r>
      <w:r>
        <w:rPr>
          <w:i/>
          <w:color w:val="211F1F"/>
          <w:spacing w:val="-14"/>
        </w:rPr>
        <w:t xml:space="preserve"> </w:t>
      </w:r>
      <w:r>
        <w:rPr>
          <w:i/>
          <w:color w:val="211F1F"/>
        </w:rPr>
        <w:t>–</w:t>
      </w:r>
      <w:r>
        <w:rPr>
          <w:i/>
          <w:color w:val="211F1F"/>
          <w:spacing w:val="-14"/>
        </w:rPr>
        <w:t xml:space="preserve"> </w:t>
      </w:r>
      <w:r>
        <w:rPr>
          <w:i/>
          <w:color w:val="211F1F"/>
        </w:rPr>
        <w:t>Unconditional</w:t>
      </w:r>
      <w:r>
        <w:rPr>
          <w:i/>
          <w:color w:val="211F1F"/>
          <w:spacing w:val="-14"/>
        </w:rPr>
        <w:t xml:space="preserve"> </w:t>
      </w:r>
      <w:r>
        <w:rPr>
          <w:i/>
          <w:color w:val="211F1F"/>
        </w:rPr>
        <w:t>Demand</w:t>
      </w:r>
      <w:r>
        <w:rPr>
          <w:i/>
          <w:color w:val="211F1F"/>
          <w:spacing w:val="-17"/>
        </w:rPr>
        <w:t xml:space="preserve"> </w:t>
      </w:r>
      <w:r>
        <w:rPr>
          <w:i/>
          <w:color w:val="211F1F"/>
        </w:rPr>
        <w:t>Bank</w:t>
      </w:r>
      <w:r>
        <w:rPr>
          <w:i/>
          <w:color w:val="211F1F"/>
          <w:spacing w:val="-14"/>
        </w:rPr>
        <w:t xml:space="preserve"> </w:t>
      </w:r>
      <w:r>
        <w:rPr>
          <w:i/>
          <w:color w:val="211F1F"/>
        </w:rPr>
        <w:t>Guarantee</w:t>
      </w:r>
      <w:r>
        <w:rPr>
          <w:i/>
          <w:color w:val="211F1F"/>
          <w:spacing w:val="-14"/>
        </w:rPr>
        <w:t xml:space="preserve"> </w:t>
      </w:r>
      <w:r>
        <w:rPr>
          <w:i/>
          <w:color w:val="211F1F"/>
        </w:rPr>
        <w:t>instead of Performance</w:t>
      </w:r>
      <w:r>
        <w:rPr>
          <w:i/>
          <w:color w:val="211F1F"/>
          <w:spacing w:val="-3"/>
        </w:rPr>
        <w:t xml:space="preserve"> </w:t>
      </w:r>
      <w:r>
        <w:rPr>
          <w:i/>
          <w:color w:val="211F1F"/>
        </w:rPr>
        <w:t>Bond</w:t>
      </w:r>
      <w:r>
        <w:rPr>
          <w:i/>
          <w:color w:val="211F1F"/>
          <w:spacing w:val="-3"/>
        </w:rPr>
        <w:t xml:space="preserve"> </w:t>
      </w:r>
      <w:r>
        <w:rPr>
          <w:i/>
          <w:color w:val="211F1F"/>
        </w:rPr>
        <w:t>due</w:t>
      </w:r>
      <w:r>
        <w:rPr>
          <w:i/>
          <w:color w:val="211F1F"/>
          <w:spacing w:val="-4"/>
        </w:rPr>
        <w:t xml:space="preserve"> </w:t>
      </w:r>
      <w:r>
        <w:rPr>
          <w:i/>
          <w:color w:val="211F1F"/>
        </w:rPr>
        <w:t>to</w:t>
      </w:r>
      <w:r>
        <w:rPr>
          <w:i/>
          <w:color w:val="211F1F"/>
          <w:spacing w:val="-2"/>
        </w:rPr>
        <w:t xml:space="preserve"> </w:t>
      </w:r>
      <w:r>
        <w:rPr>
          <w:i/>
          <w:color w:val="211F1F"/>
        </w:rPr>
        <w:t>difficulties involved</w:t>
      </w:r>
      <w:r>
        <w:rPr>
          <w:i/>
          <w:color w:val="211F1F"/>
          <w:spacing w:val="-2"/>
        </w:rPr>
        <w:t xml:space="preserve"> </w:t>
      </w:r>
      <w:r>
        <w:rPr>
          <w:i/>
          <w:color w:val="211F1F"/>
        </w:rPr>
        <w:t>in</w:t>
      </w:r>
      <w:r>
        <w:rPr>
          <w:i/>
          <w:color w:val="211F1F"/>
          <w:spacing w:val="-2"/>
        </w:rPr>
        <w:t xml:space="preserve"> </w:t>
      </w:r>
      <w:r>
        <w:rPr>
          <w:i/>
          <w:color w:val="211F1F"/>
        </w:rPr>
        <w:t>calling</w:t>
      </w:r>
      <w:r>
        <w:rPr>
          <w:i/>
          <w:color w:val="211F1F"/>
          <w:spacing w:val="-2"/>
        </w:rPr>
        <w:t xml:space="preserve"> </w:t>
      </w:r>
      <w:r>
        <w:rPr>
          <w:i/>
          <w:color w:val="211F1F"/>
        </w:rPr>
        <w:t>Bond</w:t>
      </w:r>
      <w:r>
        <w:rPr>
          <w:i/>
          <w:color w:val="211F1F"/>
          <w:spacing w:val="-3"/>
        </w:rPr>
        <w:t xml:space="preserve"> </w:t>
      </w:r>
      <w:r>
        <w:rPr>
          <w:i/>
          <w:color w:val="211F1F"/>
        </w:rPr>
        <w:t>holder</w:t>
      </w:r>
      <w:r>
        <w:rPr>
          <w:i/>
          <w:color w:val="211F1F"/>
          <w:spacing w:val="-7"/>
        </w:rPr>
        <w:t xml:space="preserve"> </w:t>
      </w:r>
      <w:r>
        <w:rPr>
          <w:i/>
          <w:color w:val="211F1F"/>
        </w:rPr>
        <w:t>to</w:t>
      </w:r>
      <w:r>
        <w:rPr>
          <w:i/>
          <w:color w:val="211F1F"/>
          <w:spacing w:val="-2"/>
        </w:rPr>
        <w:t xml:space="preserve"> </w:t>
      </w:r>
      <w:r>
        <w:rPr>
          <w:i/>
          <w:color w:val="211F1F"/>
        </w:rPr>
        <w:t>action]</w:t>
      </w:r>
    </w:p>
    <w:p w14:paraId="2F73BCF1" w14:textId="77777777" w:rsidR="00BB77C0" w:rsidRDefault="00BB77C0">
      <w:pPr>
        <w:pStyle w:val="BodyText"/>
        <w:spacing w:before="154"/>
        <w:rPr>
          <w:i/>
        </w:rPr>
      </w:pPr>
    </w:p>
    <w:p w14:paraId="062442CB" w14:textId="77777777" w:rsidR="00BB77C0" w:rsidRDefault="00370BAA">
      <w:pPr>
        <w:spacing w:before="1"/>
        <w:ind w:left="490"/>
        <w:rPr>
          <w:i/>
        </w:rPr>
      </w:pPr>
      <w:r>
        <w:rPr>
          <w:i/>
          <w:color w:val="211F1F"/>
        </w:rPr>
        <w:t>[Guarantor</w:t>
      </w:r>
      <w:r>
        <w:rPr>
          <w:i/>
          <w:color w:val="211F1F"/>
          <w:spacing w:val="-14"/>
        </w:rPr>
        <w:t xml:space="preserve"> </w:t>
      </w:r>
      <w:r>
        <w:rPr>
          <w:i/>
          <w:color w:val="211F1F"/>
        </w:rPr>
        <w:t>letterhead</w:t>
      </w:r>
      <w:r>
        <w:rPr>
          <w:i/>
          <w:color w:val="211F1F"/>
          <w:spacing w:val="-14"/>
        </w:rPr>
        <w:t xml:space="preserve"> </w:t>
      </w:r>
      <w:r>
        <w:rPr>
          <w:i/>
          <w:color w:val="211F1F"/>
        </w:rPr>
        <w:t>or</w:t>
      </w:r>
      <w:r>
        <w:rPr>
          <w:i/>
          <w:color w:val="211F1F"/>
          <w:spacing w:val="-13"/>
        </w:rPr>
        <w:t xml:space="preserve"> </w:t>
      </w:r>
      <w:r>
        <w:rPr>
          <w:i/>
          <w:color w:val="211F1F"/>
        </w:rPr>
        <w:t>SWIFT</w:t>
      </w:r>
      <w:r>
        <w:rPr>
          <w:i/>
          <w:color w:val="211F1F"/>
          <w:spacing w:val="-10"/>
        </w:rPr>
        <w:t xml:space="preserve"> </w:t>
      </w:r>
      <w:r>
        <w:rPr>
          <w:i/>
          <w:color w:val="211F1F"/>
        </w:rPr>
        <w:t>identifier</w:t>
      </w:r>
      <w:r>
        <w:rPr>
          <w:i/>
          <w:color w:val="211F1F"/>
          <w:spacing w:val="-11"/>
        </w:rPr>
        <w:t xml:space="preserve"> </w:t>
      </w:r>
      <w:r>
        <w:rPr>
          <w:i/>
          <w:color w:val="211F1F"/>
          <w:spacing w:val="-4"/>
        </w:rPr>
        <w:t>code]</w:t>
      </w:r>
    </w:p>
    <w:p w14:paraId="38232609" w14:textId="77777777" w:rsidR="00BB77C0" w:rsidRDefault="00370BAA">
      <w:pPr>
        <w:tabs>
          <w:tab w:val="left" w:pos="5839"/>
        </w:tabs>
        <w:spacing w:before="68"/>
        <w:ind w:left="490"/>
        <w:rPr>
          <w:b/>
        </w:rPr>
      </w:pPr>
      <w:r>
        <w:rPr>
          <w:b/>
          <w:color w:val="211F1F"/>
          <w:spacing w:val="-2"/>
        </w:rPr>
        <w:t>Beneficiary:</w:t>
      </w:r>
      <w:r>
        <w:rPr>
          <w:b/>
          <w:color w:val="211F1F"/>
          <w:u w:val="single" w:color="201E1F"/>
        </w:rPr>
        <w:tab/>
      </w:r>
      <w:r>
        <w:rPr>
          <w:i/>
          <w:color w:val="211F1F"/>
          <w:spacing w:val="-2"/>
        </w:rPr>
        <w:t>[insert</w:t>
      </w:r>
      <w:r>
        <w:rPr>
          <w:i/>
          <w:color w:val="211F1F"/>
          <w:spacing w:val="-18"/>
        </w:rPr>
        <w:t xml:space="preserve"> </w:t>
      </w:r>
      <w:r>
        <w:rPr>
          <w:i/>
          <w:color w:val="211F1F"/>
          <w:spacing w:val="-2"/>
        </w:rPr>
        <w:t>name</w:t>
      </w:r>
      <w:r>
        <w:rPr>
          <w:i/>
          <w:color w:val="211F1F"/>
          <w:spacing w:val="-24"/>
        </w:rPr>
        <w:t xml:space="preserve"> </w:t>
      </w:r>
      <w:r>
        <w:rPr>
          <w:i/>
          <w:color w:val="211F1F"/>
          <w:spacing w:val="-2"/>
        </w:rPr>
        <w:t>and</w:t>
      </w:r>
      <w:r>
        <w:rPr>
          <w:i/>
          <w:color w:val="211F1F"/>
          <w:spacing w:val="-27"/>
        </w:rPr>
        <w:t xml:space="preserve"> </w:t>
      </w:r>
      <w:r>
        <w:rPr>
          <w:i/>
          <w:color w:val="211F1F"/>
          <w:spacing w:val="-2"/>
        </w:rPr>
        <w:t>Address</w:t>
      </w:r>
      <w:r>
        <w:rPr>
          <w:i/>
          <w:color w:val="211F1F"/>
          <w:spacing w:val="-21"/>
        </w:rPr>
        <w:t xml:space="preserve"> </w:t>
      </w:r>
      <w:r>
        <w:rPr>
          <w:i/>
          <w:color w:val="211F1F"/>
          <w:spacing w:val="-2"/>
        </w:rPr>
        <w:t>of</w:t>
      </w:r>
      <w:r>
        <w:rPr>
          <w:i/>
          <w:color w:val="211F1F"/>
          <w:spacing w:val="-26"/>
        </w:rPr>
        <w:t xml:space="preserve"> </w:t>
      </w:r>
      <w:r>
        <w:rPr>
          <w:color w:val="211F1F"/>
          <w:spacing w:val="-2"/>
        </w:rPr>
        <w:t>Procuring</w:t>
      </w:r>
      <w:r>
        <w:rPr>
          <w:color w:val="211F1F"/>
          <w:spacing w:val="-21"/>
        </w:rPr>
        <w:t xml:space="preserve"> </w:t>
      </w:r>
      <w:r>
        <w:rPr>
          <w:color w:val="211F1F"/>
          <w:spacing w:val="-2"/>
        </w:rPr>
        <w:t>Entity</w:t>
      </w:r>
      <w:r>
        <w:rPr>
          <w:i/>
          <w:color w:val="211F1F"/>
          <w:spacing w:val="-2"/>
        </w:rPr>
        <w:t>]</w:t>
      </w:r>
      <w:r>
        <w:rPr>
          <w:i/>
          <w:color w:val="211F1F"/>
          <w:spacing w:val="7"/>
        </w:rPr>
        <w:t xml:space="preserve"> </w:t>
      </w:r>
      <w:r>
        <w:rPr>
          <w:b/>
          <w:color w:val="211F1F"/>
          <w:spacing w:val="-2"/>
        </w:rPr>
        <w:t>Date:</w:t>
      </w:r>
    </w:p>
    <w:p w14:paraId="3776FB44" w14:textId="77777777" w:rsidR="00BB77C0" w:rsidRDefault="00370BAA">
      <w:pPr>
        <w:pStyle w:val="BodyText"/>
        <w:spacing w:line="21" w:lineRule="exact"/>
        <w:ind w:left="10348"/>
        <w:rPr>
          <w:sz w:val="2"/>
        </w:rPr>
      </w:pPr>
      <w:r>
        <w:rPr>
          <w:noProof/>
          <w:sz w:val="2"/>
        </w:rPr>
        <mc:AlternateContent>
          <mc:Choice Requires="wpg">
            <w:drawing>
              <wp:inline distT="0" distB="0" distL="0" distR="0" wp14:anchorId="12CE071D" wp14:editId="04F3A357">
                <wp:extent cx="33655" cy="13970"/>
                <wp:effectExtent l="0" t="0" r="0" b="0"/>
                <wp:docPr id="428" name="Group 4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655" cy="13970"/>
                          <a:chOff x="0" y="0"/>
                          <a:chExt cx="33655" cy="13970"/>
                        </a:xfrm>
                      </wpg:grpSpPr>
                      <wps:wsp>
                        <wps:cNvPr id="429" name="Graphic 429"/>
                        <wps:cNvSpPr/>
                        <wps:spPr>
                          <a:xfrm>
                            <a:off x="0" y="0"/>
                            <a:ext cx="33655" cy="13970"/>
                          </a:xfrm>
                          <a:custGeom>
                            <a:avLst/>
                            <a:gdLst/>
                            <a:ahLst/>
                            <a:cxnLst/>
                            <a:rect l="l" t="t" r="r" b="b"/>
                            <a:pathLst>
                              <a:path w="33655" h="13970">
                                <a:moveTo>
                                  <a:pt x="33526" y="0"/>
                                </a:moveTo>
                                <a:lnTo>
                                  <a:pt x="0" y="0"/>
                                </a:lnTo>
                                <a:lnTo>
                                  <a:pt x="0" y="13716"/>
                                </a:lnTo>
                                <a:lnTo>
                                  <a:pt x="33526" y="13716"/>
                                </a:lnTo>
                                <a:lnTo>
                                  <a:pt x="33526" y="0"/>
                                </a:lnTo>
                                <a:close/>
                              </a:path>
                            </a:pathLst>
                          </a:custGeom>
                          <a:solidFill>
                            <a:srgbClr val="201E1F"/>
                          </a:solidFill>
                        </wps:spPr>
                        <wps:bodyPr wrap="square" lIns="0" tIns="0" rIns="0" bIns="0" rtlCol="0">
                          <a:prstTxWarp prst="textNoShape">
                            <a:avLst/>
                          </a:prstTxWarp>
                          <a:noAutofit/>
                        </wps:bodyPr>
                      </wps:wsp>
                    </wpg:wgp>
                  </a:graphicData>
                </a:graphic>
              </wp:inline>
            </w:drawing>
          </mc:Choice>
          <mc:Fallback>
            <w:pict>
              <v:group w14:anchorId="73E480EA" id="Group 428" o:spid="_x0000_s1026" style="width:2.65pt;height:1.1pt;mso-position-horizontal-relative:char;mso-position-vertical-relative:line" coordsize="33655,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">
                <v:shape id="Graphic 429" o:spid="_x0000_s1027" style="position:absolute;width:33655;height:13970;visibility:visible;mso-wrap-style:square;v-text-anchor:top" coordsize="3365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" path="m33526,l,,,13716r33526,l33526,xe" fillcolor="#201e1f" stroked="f">
                  <v:path arrowok="t"/>
                </v:shape>
                <w10:anchorlock/>
              </v:group>
            </w:pict>
          </mc:Fallback>
        </mc:AlternateContent>
      </w:r>
    </w:p>
    <w:p w14:paraId="6A922AEE" w14:textId="77777777" w:rsidR="00BB77C0" w:rsidRDefault="00370BAA">
      <w:pPr>
        <w:tabs>
          <w:tab w:val="left" w:pos="5215"/>
          <w:tab w:val="left" w:pos="7603"/>
        </w:tabs>
        <w:spacing w:before="62" w:line="319" w:lineRule="auto"/>
        <w:ind w:left="485" w:right="3952" w:firstLine="4"/>
        <w:rPr>
          <w:b/>
        </w:rPr>
      </w:pPr>
      <w:r>
        <w:rPr>
          <w:i/>
          <w:color w:val="211F1F"/>
          <w:u w:val="thick" w:color="201E1F"/>
        </w:rPr>
        <w:tab/>
      </w:r>
      <w:r>
        <w:rPr>
          <w:i/>
          <w:color w:val="211F1F"/>
        </w:rPr>
        <w:t>[Insert date of issue]</w:t>
      </w:r>
      <w:r>
        <w:rPr>
          <w:b/>
          <w:color w:val="211F1F"/>
        </w:rPr>
        <w:t>. PERFORMANCE BONDNo.:</w:t>
      </w:r>
      <w:r>
        <w:rPr>
          <w:b/>
          <w:color w:val="211F1F"/>
          <w:u w:val="single" w:color="201E1F"/>
        </w:rPr>
        <w:tab/>
      </w:r>
      <w:r>
        <w:rPr>
          <w:b/>
          <w:color w:val="211F1F"/>
          <w:u w:val="single" w:color="201E1F"/>
        </w:rPr>
        <w:tab/>
      </w:r>
    </w:p>
    <w:p w14:paraId="0485D464" w14:textId="77777777" w:rsidR="00BB77C0" w:rsidRDefault="00BB77C0">
      <w:pPr>
        <w:pStyle w:val="BodyText"/>
        <w:spacing w:before="63"/>
        <w:rPr>
          <w:b/>
        </w:rPr>
      </w:pPr>
    </w:p>
    <w:p w14:paraId="1D31B155" w14:textId="77777777" w:rsidR="00BB77C0" w:rsidRDefault="00370BAA">
      <w:pPr>
        <w:ind w:left="485"/>
        <w:rPr>
          <w:i/>
        </w:rPr>
      </w:pPr>
      <w:r>
        <w:rPr>
          <w:b/>
          <w:color w:val="211F1F"/>
        </w:rPr>
        <w:t>Guarantor:</w:t>
      </w:r>
      <w:r>
        <w:rPr>
          <w:b/>
          <w:color w:val="211F1F"/>
          <w:spacing w:val="-8"/>
        </w:rPr>
        <w:t xml:space="preserve"> </w:t>
      </w:r>
      <w:r>
        <w:rPr>
          <w:b/>
          <w:color w:val="211F1F"/>
        </w:rPr>
        <w:t>[</w:t>
      </w:r>
      <w:r>
        <w:rPr>
          <w:i/>
          <w:color w:val="211F1F"/>
        </w:rPr>
        <w:t>Insert</w:t>
      </w:r>
      <w:r>
        <w:rPr>
          <w:i/>
          <w:color w:val="211F1F"/>
          <w:spacing w:val="-4"/>
        </w:rPr>
        <w:t xml:space="preserve"> </w:t>
      </w:r>
      <w:r>
        <w:rPr>
          <w:i/>
          <w:color w:val="211F1F"/>
        </w:rPr>
        <w:t>name</w:t>
      </w:r>
      <w:r>
        <w:rPr>
          <w:i/>
          <w:color w:val="211F1F"/>
          <w:spacing w:val="-7"/>
        </w:rPr>
        <w:t xml:space="preserve"> </w:t>
      </w:r>
      <w:r>
        <w:rPr>
          <w:i/>
          <w:color w:val="211F1F"/>
        </w:rPr>
        <w:t>and</w:t>
      </w:r>
      <w:r>
        <w:rPr>
          <w:i/>
          <w:color w:val="211F1F"/>
          <w:spacing w:val="-6"/>
        </w:rPr>
        <w:t xml:space="preserve"> </w:t>
      </w:r>
      <w:r>
        <w:rPr>
          <w:i/>
          <w:color w:val="211F1F"/>
        </w:rPr>
        <w:t>address</w:t>
      </w:r>
      <w:r>
        <w:rPr>
          <w:i/>
          <w:color w:val="211F1F"/>
          <w:spacing w:val="-4"/>
        </w:rPr>
        <w:t xml:space="preserve"> </w:t>
      </w:r>
      <w:r>
        <w:rPr>
          <w:i/>
          <w:color w:val="211F1F"/>
        </w:rPr>
        <w:t>of</w:t>
      </w:r>
      <w:r>
        <w:rPr>
          <w:i/>
          <w:color w:val="211F1F"/>
          <w:spacing w:val="-5"/>
        </w:rPr>
        <w:t xml:space="preserve"> </w:t>
      </w:r>
      <w:r>
        <w:rPr>
          <w:i/>
          <w:color w:val="211F1F"/>
        </w:rPr>
        <w:t>place</w:t>
      </w:r>
      <w:r>
        <w:rPr>
          <w:i/>
          <w:color w:val="211F1F"/>
          <w:spacing w:val="-8"/>
        </w:rPr>
        <w:t xml:space="preserve"> </w:t>
      </w:r>
      <w:r>
        <w:rPr>
          <w:i/>
          <w:color w:val="211F1F"/>
        </w:rPr>
        <w:t>of</w:t>
      </w:r>
      <w:r>
        <w:rPr>
          <w:i/>
          <w:color w:val="211F1F"/>
          <w:spacing w:val="-9"/>
        </w:rPr>
        <w:t xml:space="preserve"> </w:t>
      </w:r>
      <w:r>
        <w:rPr>
          <w:i/>
          <w:color w:val="211F1F"/>
        </w:rPr>
        <w:t>issue,</w:t>
      </w:r>
      <w:r>
        <w:rPr>
          <w:i/>
          <w:color w:val="211F1F"/>
          <w:spacing w:val="-6"/>
        </w:rPr>
        <w:t xml:space="preserve"> </w:t>
      </w:r>
      <w:r>
        <w:rPr>
          <w:i/>
          <w:color w:val="211F1F"/>
        </w:rPr>
        <w:t>unless</w:t>
      </w:r>
      <w:r>
        <w:rPr>
          <w:i/>
          <w:color w:val="211F1F"/>
          <w:spacing w:val="-5"/>
        </w:rPr>
        <w:t xml:space="preserve"> </w:t>
      </w:r>
      <w:r>
        <w:rPr>
          <w:i/>
          <w:color w:val="211F1F"/>
        </w:rPr>
        <w:t>indicated</w:t>
      </w:r>
      <w:r>
        <w:rPr>
          <w:i/>
          <w:color w:val="211F1F"/>
          <w:spacing w:val="-10"/>
        </w:rPr>
        <w:t xml:space="preserve"> </w:t>
      </w:r>
      <w:r>
        <w:rPr>
          <w:i/>
          <w:color w:val="211F1F"/>
        </w:rPr>
        <w:t>in</w:t>
      </w:r>
      <w:r>
        <w:rPr>
          <w:i/>
          <w:color w:val="211F1F"/>
          <w:spacing w:val="-6"/>
        </w:rPr>
        <w:t xml:space="preserve"> </w:t>
      </w:r>
      <w:r>
        <w:rPr>
          <w:i/>
          <w:color w:val="211F1F"/>
        </w:rPr>
        <w:t>the</w:t>
      </w:r>
      <w:r>
        <w:rPr>
          <w:i/>
          <w:color w:val="211F1F"/>
          <w:spacing w:val="-11"/>
        </w:rPr>
        <w:t xml:space="preserve"> </w:t>
      </w:r>
      <w:r>
        <w:rPr>
          <w:i/>
          <w:color w:val="211F1F"/>
          <w:spacing w:val="-2"/>
        </w:rPr>
        <w:t>letterhead]</w:t>
      </w:r>
    </w:p>
    <w:p w14:paraId="166CDBC7" w14:textId="77777777" w:rsidR="00BB77C0" w:rsidRDefault="00BB77C0">
      <w:pPr>
        <w:pStyle w:val="BodyText"/>
        <w:spacing w:before="79"/>
        <w:rPr>
          <w:i/>
        </w:rPr>
      </w:pPr>
    </w:p>
    <w:p w14:paraId="69382939" w14:textId="77777777" w:rsidR="00BB77C0" w:rsidRDefault="00370BAA">
      <w:pPr>
        <w:pStyle w:val="ListParagraph"/>
        <w:numPr>
          <w:ilvl w:val="0"/>
          <w:numId w:val="9"/>
        </w:numPr>
        <w:tabs>
          <w:tab w:val="left" w:pos="936"/>
          <w:tab w:val="left" w:pos="6300"/>
          <w:tab w:val="left" w:pos="8076"/>
          <w:tab w:val="left" w:pos="10122"/>
          <w:tab w:val="left" w:pos="10444"/>
          <w:tab w:val="left" w:pos="10794"/>
        </w:tabs>
        <w:spacing w:line="230" w:lineRule="auto"/>
        <w:ind w:right="579"/>
        <w:jc w:val="left"/>
      </w:pPr>
      <w:r>
        <w:rPr>
          <w:color w:val="211F1F"/>
        </w:rPr>
        <w:t>By this Bond</w:t>
      </w:r>
      <w:r>
        <w:rPr>
          <w:color w:val="211F1F"/>
          <w:u w:val="single" w:color="201E1F"/>
        </w:rPr>
        <w:tab/>
      </w:r>
      <w:r>
        <w:rPr>
          <w:color w:val="211F1F"/>
        </w:rPr>
        <w:t>as</w:t>
      </w:r>
      <w:r>
        <w:rPr>
          <w:color w:val="211F1F"/>
          <w:spacing w:val="40"/>
        </w:rPr>
        <w:t xml:space="preserve"> </w:t>
      </w:r>
      <w:r>
        <w:rPr>
          <w:color w:val="211F1F"/>
        </w:rPr>
        <w:t>Principal</w:t>
      </w:r>
      <w:r>
        <w:rPr>
          <w:color w:val="211F1F"/>
          <w:spacing w:val="40"/>
        </w:rPr>
        <w:t xml:space="preserve"> </w:t>
      </w:r>
      <w:r>
        <w:rPr>
          <w:color w:val="211F1F"/>
        </w:rPr>
        <w:t>(hereinafter</w:t>
      </w:r>
      <w:r>
        <w:rPr>
          <w:color w:val="211F1F"/>
          <w:spacing w:val="40"/>
        </w:rPr>
        <w:t xml:space="preserve"> </w:t>
      </w:r>
      <w:r>
        <w:rPr>
          <w:color w:val="211F1F"/>
        </w:rPr>
        <w:t>called</w:t>
      </w:r>
      <w:r>
        <w:rPr>
          <w:color w:val="211F1F"/>
          <w:spacing w:val="40"/>
        </w:rPr>
        <w:t xml:space="preserve"> </w:t>
      </w:r>
      <w:r>
        <w:rPr>
          <w:color w:val="211F1F"/>
        </w:rPr>
        <w:t>“the</w:t>
      </w:r>
      <w:r>
        <w:rPr>
          <w:color w:val="211F1F"/>
          <w:spacing w:val="40"/>
        </w:rPr>
        <w:t xml:space="preserve"> </w:t>
      </w:r>
      <w:r>
        <w:rPr>
          <w:color w:val="211F1F"/>
        </w:rPr>
        <w:t xml:space="preserve">Contractor”) </w:t>
      </w:r>
      <w:r>
        <w:rPr>
          <w:color w:val="211F1F"/>
          <w:spacing w:val="-4"/>
        </w:rPr>
        <w:t>and</w:t>
      </w:r>
      <w:r>
        <w:rPr>
          <w:color w:val="211F1F"/>
          <w:u w:val="single" w:color="201E1E"/>
        </w:rPr>
        <w:tab/>
      </w:r>
      <w:r>
        <w:rPr>
          <w:color w:val="211F1F"/>
          <w:u w:val="single" w:color="201E1E"/>
        </w:rPr>
        <w:tab/>
      </w:r>
      <w:r>
        <w:rPr>
          <w:color w:val="211F1F"/>
        </w:rPr>
        <w:t>]</w:t>
      </w:r>
      <w:r>
        <w:rPr>
          <w:color w:val="211F1F"/>
          <w:spacing w:val="40"/>
        </w:rPr>
        <w:t xml:space="preserve"> </w:t>
      </w:r>
      <w:r>
        <w:rPr>
          <w:color w:val="211F1F"/>
        </w:rPr>
        <w:t>as</w:t>
      </w:r>
      <w:r>
        <w:rPr>
          <w:color w:val="211F1F"/>
          <w:spacing w:val="40"/>
        </w:rPr>
        <w:t xml:space="preserve"> </w:t>
      </w:r>
      <w:r>
        <w:rPr>
          <w:color w:val="211F1F"/>
        </w:rPr>
        <w:t>Surety</w:t>
      </w:r>
      <w:r>
        <w:rPr>
          <w:color w:val="211F1F"/>
          <w:spacing w:val="40"/>
        </w:rPr>
        <w:t xml:space="preserve"> </w:t>
      </w:r>
      <w:r>
        <w:rPr>
          <w:color w:val="211F1F"/>
        </w:rPr>
        <w:t>(hereinafter</w:t>
      </w:r>
      <w:r>
        <w:rPr>
          <w:color w:val="211F1F"/>
          <w:spacing w:val="40"/>
        </w:rPr>
        <w:t xml:space="preserve"> </w:t>
      </w:r>
      <w:r>
        <w:rPr>
          <w:color w:val="211F1F"/>
        </w:rPr>
        <w:t>called “the</w:t>
      </w:r>
      <w:r>
        <w:rPr>
          <w:color w:val="211F1F"/>
          <w:spacing w:val="40"/>
        </w:rPr>
        <w:t xml:space="preserve"> </w:t>
      </w:r>
      <w:r>
        <w:rPr>
          <w:color w:val="211F1F"/>
        </w:rPr>
        <w:t>Surety”),</w:t>
      </w:r>
      <w:r>
        <w:rPr>
          <w:color w:val="211F1F"/>
          <w:spacing w:val="40"/>
        </w:rPr>
        <w:t xml:space="preserve"> </w:t>
      </w:r>
      <w:r>
        <w:rPr>
          <w:color w:val="211F1F"/>
        </w:rPr>
        <w:t>are</w:t>
      </w:r>
      <w:r>
        <w:rPr>
          <w:color w:val="211F1F"/>
          <w:spacing w:val="40"/>
        </w:rPr>
        <w:t xml:space="preserve"> </w:t>
      </w:r>
      <w:r>
        <w:rPr>
          <w:color w:val="211F1F"/>
        </w:rPr>
        <w:t>held</w:t>
      </w:r>
      <w:r>
        <w:rPr>
          <w:color w:val="211F1F"/>
          <w:spacing w:val="40"/>
        </w:rPr>
        <w:t xml:space="preserve"> </w:t>
      </w:r>
      <w:r>
        <w:rPr>
          <w:color w:val="211F1F"/>
        </w:rPr>
        <w:t>and</w:t>
      </w:r>
      <w:r>
        <w:rPr>
          <w:color w:val="211F1F"/>
          <w:spacing w:val="40"/>
        </w:rPr>
        <w:t xml:space="preserve"> </w:t>
      </w:r>
      <w:r>
        <w:rPr>
          <w:color w:val="211F1F"/>
        </w:rPr>
        <w:t>firmly</w:t>
      </w:r>
      <w:r>
        <w:rPr>
          <w:color w:val="211F1F"/>
          <w:spacing w:val="40"/>
        </w:rPr>
        <w:t xml:space="preserve"> </w:t>
      </w:r>
      <w:r>
        <w:rPr>
          <w:color w:val="211F1F"/>
        </w:rPr>
        <w:t>bound</w:t>
      </w:r>
      <w:r>
        <w:rPr>
          <w:color w:val="211F1F"/>
          <w:spacing w:val="40"/>
        </w:rPr>
        <w:t xml:space="preserve"> </w:t>
      </w:r>
      <w:r>
        <w:rPr>
          <w:color w:val="211F1F"/>
        </w:rPr>
        <w:t>unto</w:t>
      </w:r>
      <w:r>
        <w:rPr>
          <w:color w:val="211F1F"/>
          <w:u w:val="single" w:color="201E1F"/>
        </w:rPr>
        <w:tab/>
      </w:r>
      <w:r>
        <w:rPr>
          <w:color w:val="211F1F"/>
          <w:u w:val="single" w:color="201E1F"/>
        </w:rPr>
        <w:tab/>
      </w:r>
      <w:r>
        <w:rPr>
          <w:color w:val="211F1F"/>
          <w:u w:val="single" w:color="201E1F"/>
        </w:rPr>
        <w:tab/>
      </w:r>
      <w:r>
        <w:rPr>
          <w:color w:val="211F1F"/>
          <w:spacing w:val="-10"/>
        </w:rPr>
        <w:t>]</w:t>
      </w:r>
      <w:r>
        <w:rPr>
          <w:color w:val="211F1F"/>
        </w:rPr>
        <w:tab/>
      </w:r>
      <w:r>
        <w:rPr>
          <w:color w:val="211F1F"/>
        </w:rPr>
        <w:tab/>
      </w:r>
      <w:r>
        <w:rPr>
          <w:color w:val="211F1F"/>
          <w:spacing w:val="-6"/>
        </w:rPr>
        <w:t xml:space="preserve">as </w:t>
      </w:r>
      <w:r>
        <w:rPr>
          <w:color w:val="211F1F"/>
        </w:rPr>
        <w:t>Obligee (hereinafter called “the Procuring Entity”) in the amount of</w:t>
      </w:r>
      <w:r>
        <w:rPr>
          <w:color w:val="211F1F"/>
          <w:u w:val="single" w:color="201E1F"/>
        </w:rPr>
        <w:tab/>
      </w:r>
      <w:r>
        <w:rPr>
          <w:color w:val="211F1F"/>
          <w:u w:val="single" w:color="201E1F"/>
        </w:rPr>
        <w:tab/>
      </w:r>
      <w:r>
        <w:rPr>
          <w:color w:val="211F1F"/>
          <w:u w:val="single" w:color="201E1F"/>
        </w:rPr>
        <w:tab/>
      </w:r>
      <w:r>
        <w:rPr>
          <w:color w:val="211F1F"/>
          <w:spacing w:val="-4"/>
        </w:rPr>
        <w:t>for</w:t>
      </w:r>
      <w:r>
        <w:rPr>
          <w:color w:val="211F1F"/>
          <w:spacing w:val="40"/>
        </w:rPr>
        <w:t xml:space="preserve"> </w:t>
      </w:r>
      <w:r>
        <w:rPr>
          <w:color w:val="211F1F"/>
        </w:rPr>
        <w:t>the payment</w:t>
      </w:r>
      <w:r>
        <w:rPr>
          <w:color w:val="211F1F"/>
          <w:spacing w:val="-11"/>
        </w:rPr>
        <w:t xml:space="preserve"> </w:t>
      </w:r>
      <w:r>
        <w:rPr>
          <w:color w:val="211F1F"/>
        </w:rPr>
        <w:t>of</w:t>
      </w:r>
      <w:r>
        <w:rPr>
          <w:color w:val="211F1F"/>
          <w:spacing w:val="-9"/>
        </w:rPr>
        <w:t xml:space="preserve"> </w:t>
      </w:r>
      <w:r>
        <w:rPr>
          <w:color w:val="211F1F"/>
        </w:rPr>
        <w:t>which</w:t>
      </w:r>
      <w:r>
        <w:rPr>
          <w:color w:val="211F1F"/>
          <w:spacing w:val="-16"/>
        </w:rPr>
        <w:t xml:space="preserve"> </w:t>
      </w:r>
      <w:r>
        <w:rPr>
          <w:color w:val="211F1F"/>
        </w:rPr>
        <w:t>sum</w:t>
      </w:r>
      <w:r>
        <w:rPr>
          <w:color w:val="211F1F"/>
          <w:spacing w:val="-21"/>
        </w:rPr>
        <w:t xml:space="preserve"> </w:t>
      </w:r>
      <w:r>
        <w:rPr>
          <w:color w:val="211F1F"/>
        </w:rPr>
        <w:t>well</w:t>
      </w:r>
      <w:r>
        <w:rPr>
          <w:color w:val="211F1F"/>
          <w:spacing w:val="-16"/>
        </w:rPr>
        <w:t xml:space="preserve"> </w:t>
      </w:r>
      <w:r>
        <w:rPr>
          <w:color w:val="211F1F"/>
        </w:rPr>
        <w:t>and</w:t>
      </w:r>
      <w:r>
        <w:rPr>
          <w:color w:val="211F1F"/>
          <w:spacing w:val="-16"/>
        </w:rPr>
        <w:t xml:space="preserve"> </w:t>
      </w:r>
      <w:r>
        <w:rPr>
          <w:color w:val="211F1F"/>
        </w:rPr>
        <w:t>truly</w:t>
      </w:r>
      <w:r>
        <w:rPr>
          <w:color w:val="211F1F"/>
          <w:spacing w:val="-17"/>
        </w:rPr>
        <w:t xml:space="preserve"> </w:t>
      </w:r>
      <w:r>
        <w:rPr>
          <w:color w:val="211F1F"/>
        </w:rPr>
        <w:t>to</w:t>
      </w:r>
      <w:r>
        <w:rPr>
          <w:color w:val="211F1F"/>
          <w:spacing w:val="-17"/>
        </w:rPr>
        <w:t xml:space="preserve"> </w:t>
      </w:r>
      <w:r>
        <w:rPr>
          <w:color w:val="211F1F"/>
        </w:rPr>
        <w:t>be</w:t>
      </w:r>
      <w:r>
        <w:rPr>
          <w:color w:val="211F1F"/>
          <w:spacing w:val="-14"/>
        </w:rPr>
        <w:t xml:space="preserve"> </w:t>
      </w:r>
      <w:r>
        <w:rPr>
          <w:color w:val="211F1F"/>
        </w:rPr>
        <w:t>made</w:t>
      </w:r>
      <w:r>
        <w:rPr>
          <w:color w:val="211F1F"/>
          <w:spacing w:val="-14"/>
        </w:rPr>
        <w:t xml:space="preserve"> </w:t>
      </w:r>
      <w:r>
        <w:rPr>
          <w:color w:val="211F1F"/>
        </w:rPr>
        <w:t>in</w:t>
      </w:r>
      <w:r>
        <w:rPr>
          <w:color w:val="211F1F"/>
          <w:spacing w:val="-22"/>
        </w:rPr>
        <w:t xml:space="preserve"> </w:t>
      </w:r>
      <w:r>
        <w:rPr>
          <w:color w:val="211F1F"/>
        </w:rPr>
        <w:t>the</w:t>
      </w:r>
      <w:r>
        <w:rPr>
          <w:color w:val="211F1F"/>
          <w:spacing w:val="-19"/>
        </w:rPr>
        <w:t xml:space="preserve"> </w:t>
      </w:r>
      <w:r>
        <w:rPr>
          <w:color w:val="211F1F"/>
        </w:rPr>
        <w:t>types</w:t>
      </w:r>
      <w:r>
        <w:rPr>
          <w:color w:val="211F1F"/>
          <w:spacing w:val="-11"/>
        </w:rPr>
        <w:t xml:space="preserve"> </w:t>
      </w:r>
      <w:r>
        <w:rPr>
          <w:color w:val="211F1F"/>
        </w:rPr>
        <w:t>and</w:t>
      </w:r>
      <w:r>
        <w:rPr>
          <w:color w:val="211F1F"/>
          <w:spacing w:val="-17"/>
        </w:rPr>
        <w:t xml:space="preserve"> </w:t>
      </w:r>
      <w:r>
        <w:rPr>
          <w:color w:val="211F1F"/>
        </w:rPr>
        <w:t>proportions</w:t>
      </w:r>
      <w:r>
        <w:rPr>
          <w:color w:val="211F1F"/>
          <w:spacing w:val="-10"/>
        </w:rPr>
        <w:t xml:space="preserve"> </w:t>
      </w:r>
      <w:r>
        <w:rPr>
          <w:color w:val="211F1F"/>
        </w:rPr>
        <w:t>of</w:t>
      </w:r>
      <w:r>
        <w:rPr>
          <w:color w:val="211F1F"/>
          <w:spacing w:val="-14"/>
        </w:rPr>
        <w:t xml:space="preserve"> </w:t>
      </w:r>
      <w:r>
        <w:rPr>
          <w:color w:val="211F1F"/>
        </w:rPr>
        <w:t>currencies</w:t>
      </w:r>
      <w:r>
        <w:rPr>
          <w:color w:val="211F1F"/>
          <w:spacing w:val="-11"/>
        </w:rPr>
        <w:t xml:space="preserve"> </w:t>
      </w:r>
      <w:r>
        <w:rPr>
          <w:color w:val="211F1F"/>
        </w:rPr>
        <w:t>in</w:t>
      </w:r>
      <w:r>
        <w:rPr>
          <w:color w:val="211F1F"/>
          <w:spacing w:val="-17"/>
        </w:rPr>
        <w:t xml:space="preserve"> </w:t>
      </w:r>
      <w:r>
        <w:rPr>
          <w:color w:val="211F1F"/>
        </w:rPr>
        <w:t>which</w:t>
      </w:r>
      <w:r>
        <w:rPr>
          <w:color w:val="211F1F"/>
          <w:spacing w:val="-16"/>
        </w:rPr>
        <w:t xml:space="preserve"> </w:t>
      </w:r>
      <w:r>
        <w:rPr>
          <w:color w:val="211F1F"/>
        </w:rPr>
        <w:t>the</w:t>
      </w:r>
      <w:r>
        <w:rPr>
          <w:color w:val="211F1F"/>
          <w:spacing w:val="-19"/>
        </w:rPr>
        <w:t xml:space="preserve"> </w:t>
      </w:r>
      <w:r>
        <w:rPr>
          <w:color w:val="211F1F"/>
        </w:rPr>
        <w:t>Contract Price</w:t>
      </w:r>
      <w:r>
        <w:rPr>
          <w:color w:val="211F1F"/>
          <w:spacing w:val="-23"/>
        </w:rPr>
        <w:t xml:space="preserve"> </w:t>
      </w:r>
      <w:r>
        <w:rPr>
          <w:color w:val="211F1F"/>
        </w:rPr>
        <w:t>is</w:t>
      </w:r>
      <w:r>
        <w:rPr>
          <w:color w:val="211F1F"/>
          <w:spacing w:val="-17"/>
        </w:rPr>
        <w:t xml:space="preserve"> </w:t>
      </w:r>
      <w:r>
        <w:rPr>
          <w:color w:val="211F1F"/>
        </w:rPr>
        <w:t>payable,</w:t>
      </w:r>
      <w:r>
        <w:rPr>
          <w:color w:val="211F1F"/>
          <w:spacing w:val="-14"/>
        </w:rPr>
        <w:t xml:space="preserve"> </w:t>
      </w:r>
      <w:r>
        <w:rPr>
          <w:color w:val="211F1F"/>
        </w:rPr>
        <w:t>the</w:t>
      </w:r>
      <w:r>
        <w:rPr>
          <w:color w:val="211F1F"/>
          <w:spacing w:val="-23"/>
        </w:rPr>
        <w:t xml:space="preserve"> </w:t>
      </w:r>
      <w:r>
        <w:rPr>
          <w:color w:val="211F1F"/>
        </w:rPr>
        <w:t>Contractor</w:t>
      </w:r>
      <w:r>
        <w:rPr>
          <w:color w:val="211F1F"/>
          <w:spacing w:val="-18"/>
        </w:rPr>
        <w:t xml:space="preserve"> </w:t>
      </w:r>
      <w:r>
        <w:rPr>
          <w:color w:val="211F1F"/>
        </w:rPr>
        <w:t>and</w:t>
      </w:r>
      <w:r>
        <w:rPr>
          <w:color w:val="211F1F"/>
          <w:spacing w:val="-21"/>
        </w:rPr>
        <w:t xml:space="preserve"> </w:t>
      </w:r>
      <w:r>
        <w:rPr>
          <w:color w:val="211F1F"/>
        </w:rPr>
        <w:t>the</w:t>
      </w:r>
      <w:r>
        <w:rPr>
          <w:color w:val="211F1F"/>
          <w:spacing w:val="-24"/>
        </w:rPr>
        <w:t xml:space="preserve"> </w:t>
      </w:r>
      <w:r>
        <w:rPr>
          <w:color w:val="211F1F"/>
        </w:rPr>
        <w:t>Surety</w:t>
      </w:r>
      <w:r>
        <w:rPr>
          <w:color w:val="211F1F"/>
          <w:spacing w:val="-21"/>
        </w:rPr>
        <w:t xml:space="preserve"> </w:t>
      </w:r>
      <w:r>
        <w:rPr>
          <w:color w:val="211F1F"/>
        </w:rPr>
        <w:t>bind</w:t>
      </w:r>
      <w:r>
        <w:rPr>
          <w:color w:val="211F1F"/>
          <w:spacing w:val="-21"/>
        </w:rPr>
        <w:t xml:space="preserve"> </w:t>
      </w:r>
      <w:r>
        <w:rPr>
          <w:color w:val="211F1F"/>
        </w:rPr>
        <w:t>themselves,</w:t>
      </w:r>
      <w:r>
        <w:rPr>
          <w:color w:val="211F1F"/>
          <w:spacing w:val="-18"/>
        </w:rPr>
        <w:t xml:space="preserve"> </w:t>
      </w:r>
      <w:r>
        <w:rPr>
          <w:color w:val="211F1F"/>
        </w:rPr>
        <w:t>their</w:t>
      </w:r>
      <w:r>
        <w:rPr>
          <w:color w:val="211F1F"/>
          <w:spacing w:val="-14"/>
        </w:rPr>
        <w:t xml:space="preserve"> </w:t>
      </w:r>
      <w:r>
        <w:rPr>
          <w:color w:val="211F1F"/>
        </w:rPr>
        <w:t>heirs,</w:t>
      </w:r>
      <w:r>
        <w:rPr>
          <w:color w:val="211F1F"/>
          <w:spacing w:val="-14"/>
        </w:rPr>
        <w:t xml:space="preserve"> </w:t>
      </w:r>
      <w:r>
        <w:rPr>
          <w:color w:val="211F1F"/>
        </w:rPr>
        <w:t>executors,</w:t>
      </w:r>
      <w:r>
        <w:rPr>
          <w:color w:val="211F1F"/>
          <w:spacing w:val="-14"/>
        </w:rPr>
        <w:t xml:space="preserve"> </w:t>
      </w:r>
      <w:r>
        <w:rPr>
          <w:color w:val="211F1F"/>
        </w:rPr>
        <w:t>administrators,</w:t>
      </w:r>
      <w:r>
        <w:rPr>
          <w:color w:val="211F1F"/>
          <w:spacing w:val="-17"/>
        </w:rPr>
        <w:t xml:space="preserve"> </w:t>
      </w:r>
      <w:r>
        <w:rPr>
          <w:color w:val="211F1F"/>
        </w:rPr>
        <w:t>successors</w:t>
      </w:r>
      <w:r>
        <w:rPr>
          <w:color w:val="211F1F"/>
          <w:spacing w:val="-16"/>
        </w:rPr>
        <w:t xml:space="preserve"> </w:t>
      </w:r>
      <w:r>
        <w:rPr>
          <w:color w:val="211F1F"/>
        </w:rPr>
        <w:t>and assigns, jointly and severally, firmly by these presents.</w:t>
      </w:r>
    </w:p>
    <w:p w14:paraId="2A9257EF" w14:textId="77777777" w:rsidR="00BB77C0" w:rsidRDefault="00370BAA">
      <w:pPr>
        <w:pStyle w:val="ListParagraph"/>
        <w:numPr>
          <w:ilvl w:val="0"/>
          <w:numId w:val="9"/>
        </w:numPr>
        <w:tabs>
          <w:tab w:val="left" w:pos="1050"/>
        </w:tabs>
        <w:spacing w:before="231" w:line="249" w:lineRule="exact"/>
        <w:ind w:left="1050" w:hanging="565"/>
        <w:jc w:val="both"/>
      </w:pPr>
      <w:r>
        <w:rPr>
          <w:color w:val="211F1F"/>
        </w:rPr>
        <w:t>WHEREAS</w:t>
      </w:r>
      <w:r>
        <w:rPr>
          <w:color w:val="211F1F"/>
          <w:spacing w:val="-7"/>
        </w:rPr>
        <w:t xml:space="preserve"> </w:t>
      </w:r>
      <w:r>
        <w:rPr>
          <w:color w:val="211F1F"/>
        </w:rPr>
        <w:t>the</w:t>
      </w:r>
      <w:r>
        <w:rPr>
          <w:color w:val="211F1F"/>
          <w:spacing w:val="-13"/>
        </w:rPr>
        <w:t xml:space="preserve"> </w:t>
      </w:r>
      <w:r>
        <w:rPr>
          <w:color w:val="211F1F"/>
        </w:rPr>
        <w:t>Contractor</w:t>
      </w:r>
      <w:r>
        <w:rPr>
          <w:color w:val="211F1F"/>
          <w:spacing w:val="-3"/>
        </w:rPr>
        <w:t xml:space="preserve"> </w:t>
      </w:r>
      <w:r>
        <w:rPr>
          <w:color w:val="211F1F"/>
        </w:rPr>
        <w:t>has</w:t>
      </w:r>
      <w:r>
        <w:rPr>
          <w:color w:val="211F1F"/>
          <w:spacing w:val="-5"/>
        </w:rPr>
        <w:t xml:space="preserve"> </w:t>
      </w:r>
      <w:r>
        <w:rPr>
          <w:color w:val="211F1F"/>
        </w:rPr>
        <w:t>entered</w:t>
      </w:r>
      <w:r>
        <w:rPr>
          <w:color w:val="211F1F"/>
          <w:spacing w:val="-12"/>
        </w:rPr>
        <w:t xml:space="preserve"> </w:t>
      </w:r>
      <w:r>
        <w:rPr>
          <w:color w:val="211F1F"/>
        </w:rPr>
        <w:t>into</w:t>
      </w:r>
      <w:r>
        <w:rPr>
          <w:color w:val="211F1F"/>
          <w:spacing w:val="-11"/>
        </w:rPr>
        <w:t xml:space="preserve"> </w:t>
      </w:r>
      <w:r>
        <w:rPr>
          <w:color w:val="211F1F"/>
        </w:rPr>
        <w:t>a</w:t>
      </w:r>
      <w:r>
        <w:rPr>
          <w:color w:val="211F1F"/>
          <w:spacing w:val="-3"/>
        </w:rPr>
        <w:t xml:space="preserve"> </w:t>
      </w:r>
      <w:r>
        <w:rPr>
          <w:color w:val="211F1F"/>
        </w:rPr>
        <w:t>written</w:t>
      </w:r>
      <w:r>
        <w:rPr>
          <w:color w:val="211F1F"/>
          <w:spacing w:val="-11"/>
        </w:rPr>
        <w:t xml:space="preserve"> </w:t>
      </w:r>
      <w:r>
        <w:rPr>
          <w:color w:val="211F1F"/>
        </w:rPr>
        <w:t>Agreement</w:t>
      </w:r>
      <w:r>
        <w:rPr>
          <w:color w:val="211F1F"/>
          <w:spacing w:val="-1"/>
        </w:rPr>
        <w:t xml:space="preserve"> </w:t>
      </w:r>
      <w:r>
        <w:rPr>
          <w:color w:val="211F1F"/>
        </w:rPr>
        <w:t>with</w:t>
      </w:r>
      <w:r>
        <w:rPr>
          <w:color w:val="211F1F"/>
          <w:spacing w:val="-11"/>
        </w:rPr>
        <w:t xml:space="preserve"> </w:t>
      </w:r>
      <w:r>
        <w:rPr>
          <w:color w:val="211F1F"/>
        </w:rPr>
        <w:t>the</w:t>
      </w:r>
      <w:r>
        <w:rPr>
          <w:color w:val="211F1F"/>
          <w:spacing w:val="-13"/>
        </w:rPr>
        <w:t xml:space="preserve"> </w:t>
      </w:r>
      <w:r>
        <w:rPr>
          <w:color w:val="211F1F"/>
        </w:rPr>
        <w:t>Procuring</w:t>
      </w:r>
      <w:r>
        <w:rPr>
          <w:color w:val="211F1F"/>
          <w:spacing w:val="-11"/>
        </w:rPr>
        <w:t xml:space="preserve"> </w:t>
      </w:r>
      <w:r>
        <w:rPr>
          <w:color w:val="211F1F"/>
        </w:rPr>
        <w:t>Entity</w:t>
      </w:r>
      <w:r>
        <w:rPr>
          <w:color w:val="211F1F"/>
          <w:spacing w:val="-7"/>
        </w:rPr>
        <w:t xml:space="preserve"> </w:t>
      </w:r>
      <w:r>
        <w:rPr>
          <w:color w:val="211F1F"/>
        </w:rPr>
        <w:t>dated</w:t>
      </w:r>
      <w:r>
        <w:rPr>
          <w:color w:val="211F1F"/>
          <w:spacing w:val="16"/>
        </w:rPr>
        <w:t xml:space="preserve"> </w:t>
      </w:r>
      <w:r>
        <w:rPr>
          <w:color w:val="211F1F"/>
          <w:spacing w:val="-5"/>
        </w:rPr>
        <w:t>the</w:t>
      </w:r>
    </w:p>
    <w:p w14:paraId="4B4438B3" w14:textId="77777777" w:rsidR="00BB77C0" w:rsidRDefault="00370BAA">
      <w:pPr>
        <w:pStyle w:val="BodyText"/>
        <w:tabs>
          <w:tab w:val="left" w:pos="2746"/>
          <w:tab w:val="left" w:pos="4710"/>
          <w:tab w:val="left" w:pos="7159"/>
        </w:tabs>
        <w:spacing w:before="4" w:line="230" w:lineRule="auto"/>
        <w:ind w:left="1061" w:right="707"/>
        <w:jc w:val="both"/>
      </w:pPr>
      <w:r>
        <w:rPr>
          <w:color w:val="211F1F"/>
          <w:u w:val="single" w:color="201E1F"/>
        </w:rPr>
        <w:tab/>
      </w:r>
      <w:r>
        <w:rPr>
          <w:color w:val="211F1F"/>
        </w:rPr>
        <w:t>day</w:t>
      </w:r>
      <w:r>
        <w:rPr>
          <w:color w:val="211F1F"/>
          <w:spacing w:val="-26"/>
        </w:rPr>
        <w:t xml:space="preserve"> </w:t>
      </w:r>
      <w:r>
        <w:rPr>
          <w:color w:val="211F1F"/>
        </w:rPr>
        <w:t>of</w:t>
      </w:r>
      <w:r>
        <w:rPr>
          <w:color w:val="211F1F"/>
          <w:u w:val="single" w:color="201E1F"/>
        </w:rPr>
        <w:tab/>
      </w:r>
      <w:r>
        <w:rPr>
          <w:color w:val="211F1F"/>
        </w:rPr>
        <w:t>, 20 , for</w:t>
      </w:r>
      <w:r>
        <w:rPr>
          <w:color w:val="211F1F"/>
          <w:u w:val="single" w:color="201E1F"/>
        </w:rPr>
        <w:tab/>
      </w:r>
      <w:r>
        <w:rPr>
          <w:color w:val="211F1F"/>
        </w:rPr>
        <w:t>in accordance with the documents, plans, specifications, and amendments thereto, which to the extent herein provided for, are by reference made part hereof and are hereinafter referred to as the Contract.</w:t>
      </w:r>
    </w:p>
    <w:p w14:paraId="134012CE" w14:textId="77777777" w:rsidR="00BB77C0" w:rsidRDefault="00370BAA">
      <w:pPr>
        <w:pStyle w:val="ListParagraph"/>
        <w:numPr>
          <w:ilvl w:val="0"/>
          <w:numId w:val="9"/>
        </w:numPr>
        <w:tabs>
          <w:tab w:val="left" w:pos="1050"/>
          <w:tab w:val="left" w:pos="1061"/>
        </w:tabs>
        <w:spacing w:before="242" w:line="230" w:lineRule="auto"/>
        <w:ind w:left="1061" w:right="704"/>
        <w:jc w:val="both"/>
      </w:pPr>
      <w:r>
        <w:rPr>
          <w:color w:val="211F1F"/>
        </w:rPr>
        <w:t>NOW,</w:t>
      </w:r>
      <w:r>
        <w:rPr>
          <w:color w:val="211F1F"/>
          <w:spacing w:val="-16"/>
        </w:rPr>
        <w:t xml:space="preserve"> </w:t>
      </w:r>
      <w:r>
        <w:rPr>
          <w:color w:val="211F1F"/>
        </w:rPr>
        <w:t>THEREFORE,</w:t>
      </w:r>
      <w:r>
        <w:rPr>
          <w:color w:val="211F1F"/>
          <w:spacing w:val="-14"/>
        </w:rPr>
        <w:t xml:space="preserve"> </w:t>
      </w:r>
      <w:r>
        <w:rPr>
          <w:color w:val="211F1F"/>
        </w:rPr>
        <w:t>the</w:t>
      </w:r>
      <w:r>
        <w:rPr>
          <w:color w:val="211F1F"/>
          <w:spacing w:val="-14"/>
        </w:rPr>
        <w:t xml:space="preserve"> </w:t>
      </w:r>
      <w:r>
        <w:rPr>
          <w:color w:val="211F1F"/>
        </w:rPr>
        <w:t>Condition</w:t>
      </w:r>
      <w:r>
        <w:rPr>
          <w:color w:val="211F1F"/>
          <w:spacing w:val="-13"/>
        </w:rPr>
        <w:t xml:space="preserve"> </w:t>
      </w:r>
      <w:r>
        <w:rPr>
          <w:color w:val="211F1F"/>
        </w:rPr>
        <w:t>of</w:t>
      </w:r>
      <w:r>
        <w:rPr>
          <w:color w:val="211F1F"/>
          <w:spacing w:val="-14"/>
        </w:rPr>
        <w:t xml:space="preserve"> </w:t>
      </w:r>
      <w:r>
        <w:rPr>
          <w:color w:val="211F1F"/>
        </w:rPr>
        <w:t>this</w:t>
      </w:r>
      <w:r>
        <w:rPr>
          <w:color w:val="211F1F"/>
          <w:spacing w:val="-14"/>
        </w:rPr>
        <w:t xml:space="preserve"> </w:t>
      </w:r>
      <w:r>
        <w:rPr>
          <w:color w:val="211F1F"/>
        </w:rPr>
        <w:t>Obligation</w:t>
      </w:r>
      <w:r>
        <w:rPr>
          <w:color w:val="211F1F"/>
          <w:spacing w:val="-14"/>
        </w:rPr>
        <w:t xml:space="preserve"> </w:t>
      </w:r>
      <w:r>
        <w:rPr>
          <w:color w:val="211F1F"/>
        </w:rPr>
        <w:t>is</w:t>
      </w:r>
      <w:r>
        <w:rPr>
          <w:color w:val="211F1F"/>
          <w:spacing w:val="-13"/>
        </w:rPr>
        <w:t xml:space="preserve"> </w:t>
      </w:r>
      <w:r>
        <w:rPr>
          <w:color w:val="211F1F"/>
        </w:rPr>
        <w:t>such</w:t>
      </w:r>
      <w:r>
        <w:rPr>
          <w:color w:val="211F1F"/>
          <w:spacing w:val="-14"/>
        </w:rPr>
        <w:t xml:space="preserve"> </w:t>
      </w:r>
      <w:r>
        <w:rPr>
          <w:color w:val="211F1F"/>
        </w:rPr>
        <w:t>that,</w:t>
      </w:r>
      <w:r>
        <w:rPr>
          <w:color w:val="211F1F"/>
          <w:spacing w:val="-14"/>
        </w:rPr>
        <w:t xml:space="preserve"> </w:t>
      </w:r>
      <w:r>
        <w:rPr>
          <w:color w:val="211F1F"/>
        </w:rPr>
        <w:t>if</w:t>
      </w:r>
      <w:r>
        <w:rPr>
          <w:color w:val="211F1F"/>
          <w:spacing w:val="-14"/>
        </w:rPr>
        <w:t xml:space="preserve"> </w:t>
      </w:r>
      <w:r>
        <w:rPr>
          <w:color w:val="211F1F"/>
        </w:rPr>
        <w:t>the</w:t>
      </w:r>
      <w:r>
        <w:rPr>
          <w:color w:val="211F1F"/>
          <w:spacing w:val="-13"/>
        </w:rPr>
        <w:t xml:space="preserve"> </w:t>
      </w:r>
      <w:r>
        <w:rPr>
          <w:color w:val="211F1F"/>
        </w:rPr>
        <w:t>Contractor</w:t>
      </w:r>
      <w:r>
        <w:rPr>
          <w:color w:val="211F1F"/>
          <w:spacing w:val="-14"/>
        </w:rPr>
        <w:t xml:space="preserve"> </w:t>
      </w:r>
      <w:r>
        <w:rPr>
          <w:color w:val="211F1F"/>
        </w:rPr>
        <w:t>shall</w:t>
      </w:r>
      <w:r>
        <w:rPr>
          <w:color w:val="211F1F"/>
          <w:spacing w:val="-14"/>
        </w:rPr>
        <w:t xml:space="preserve"> </w:t>
      </w:r>
      <w:r>
        <w:rPr>
          <w:color w:val="211F1F"/>
        </w:rPr>
        <w:t>promptly</w:t>
      </w:r>
      <w:r>
        <w:rPr>
          <w:color w:val="211F1F"/>
          <w:spacing w:val="-14"/>
        </w:rPr>
        <w:t xml:space="preserve"> </w:t>
      </w:r>
      <w:r>
        <w:rPr>
          <w:color w:val="211F1F"/>
        </w:rPr>
        <w:t>and</w:t>
      </w:r>
      <w:r>
        <w:rPr>
          <w:color w:val="211F1F"/>
          <w:spacing w:val="-13"/>
        </w:rPr>
        <w:t xml:space="preserve"> </w:t>
      </w:r>
      <w:r>
        <w:rPr>
          <w:color w:val="211F1F"/>
        </w:rPr>
        <w:t>faithfully perform the said Contract (including any amendments thereto), then this obligation shall be null and void; otherwise, it shall remain in full force and effect. Whenever the Contractor shall be, and declared by the Procuring Entity to be, in default under the Contract, the Procuring Entity having performed the Procuring Entity's obligations thereunder,</w:t>
      </w:r>
      <w:r>
        <w:rPr>
          <w:color w:val="211F1F"/>
          <w:spacing w:val="-3"/>
        </w:rPr>
        <w:t xml:space="preserve"> </w:t>
      </w:r>
      <w:r>
        <w:rPr>
          <w:color w:val="211F1F"/>
        </w:rPr>
        <w:t>the</w:t>
      </w:r>
      <w:r>
        <w:rPr>
          <w:color w:val="211F1F"/>
          <w:spacing w:val="-11"/>
        </w:rPr>
        <w:t xml:space="preserve"> </w:t>
      </w:r>
      <w:r>
        <w:rPr>
          <w:color w:val="211F1F"/>
        </w:rPr>
        <w:t>Surety</w:t>
      </w:r>
      <w:r>
        <w:rPr>
          <w:color w:val="211F1F"/>
          <w:spacing w:val="-7"/>
        </w:rPr>
        <w:t xml:space="preserve"> </w:t>
      </w:r>
      <w:r>
        <w:rPr>
          <w:color w:val="211F1F"/>
        </w:rPr>
        <w:t>may</w:t>
      </w:r>
      <w:r>
        <w:rPr>
          <w:color w:val="211F1F"/>
          <w:spacing w:val="-7"/>
        </w:rPr>
        <w:t xml:space="preserve"> </w:t>
      </w:r>
      <w:r>
        <w:rPr>
          <w:color w:val="211F1F"/>
        </w:rPr>
        <w:t>promptly</w:t>
      </w:r>
      <w:r>
        <w:rPr>
          <w:color w:val="211F1F"/>
          <w:spacing w:val="-2"/>
        </w:rPr>
        <w:t xml:space="preserve"> </w:t>
      </w:r>
      <w:r>
        <w:rPr>
          <w:color w:val="211F1F"/>
        </w:rPr>
        <w:t>remedy</w:t>
      </w:r>
      <w:r>
        <w:rPr>
          <w:color w:val="211F1F"/>
          <w:spacing w:val="-13"/>
        </w:rPr>
        <w:t xml:space="preserve"> </w:t>
      </w:r>
      <w:r>
        <w:rPr>
          <w:color w:val="211F1F"/>
        </w:rPr>
        <w:t>the</w:t>
      </w:r>
      <w:r>
        <w:rPr>
          <w:color w:val="211F1F"/>
          <w:spacing w:val="-11"/>
        </w:rPr>
        <w:t xml:space="preserve"> </w:t>
      </w:r>
      <w:r>
        <w:rPr>
          <w:color w:val="211F1F"/>
        </w:rPr>
        <w:t>default, or shall</w:t>
      </w:r>
      <w:r>
        <w:rPr>
          <w:color w:val="211F1F"/>
          <w:spacing w:val="-1"/>
        </w:rPr>
        <w:t xml:space="preserve"> </w:t>
      </w:r>
      <w:r>
        <w:rPr>
          <w:color w:val="211F1F"/>
        </w:rPr>
        <w:t>promptly:</w:t>
      </w:r>
    </w:p>
    <w:p w14:paraId="1C1E3245" w14:textId="77777777" w:rsidR="00BB77C0" w:rsidRDefault="00370BAA">
      <w:pPr>
        <w:pStyle w:val="ListParagraph"/>
        <w:numPr>
          <w:ilvl w:val="1"/>
          <w:numId w:val="9"/>
        </w:numPr>
        <w:tabs>
          <w:tab w:val="left" w:pos="1468"/>
        </w:tabs>
        <w:spacing w:before="45"/>
        <w:ind w:left="1468" w:hanging="417"/>
        <w:jc w:val="both"/>
      </w:pPr>
      <w:r>
        <w:rPr>
          <w:color w:val="211F1F"/>
          <w:spacing w:val="-4"/>
        </w:rPr>
        <w:t>complete</w:t>
      </w:r>
      <w:r>
        <w:rPr>
          <w:color w:val="211F1F"/>
          <w:spacing w:val="-10"/>
        </w:rPr>
        <w:t xml:space="preserve"> </w:t>
      </w:r>
      <w:r>
        <w:rPr>
          <w:color w:val="211F1F"/>
          <w:spacing w:val="-4"/>
        </w:rPr>
        <w:t>the</w:t>
      </w:r>
      <w:r>
        <w:rPr>
          <w:color w:val="211F1F"/>
          <w:spacing w:val="-10"/>
        </w:rPr>
        <w:t xml:space="preserve"> </w:t>
      </w:r>
      <w:r>
        <w:rPr>
          <w:color w:val="211F1F"/>
          <w:spacing w:val="-4"/>
        </w:rPr>
        <w:t>Contract</w:t>
      </w:r>
      <w:r>
        <w:rPr>
          <w:color w:val="211F1F"/>
          <w:spacing w:val="2"/>
        </w:rPr>
        <w:t xml:space="preserve"> </w:t>
      </w:r>
      <w:r>
        <w:rPr>
          <w:color w:val="211F1F"/>
          <w:spacing w:val="-4"/>
        </w:rPr>
        <w:t>in</w:t>
      </w:r>
      <w:r>
        <w:rPr>
          <w:color w:val="211F1F"/>
          <w:spacing w:val="-14"/>
        </w:rPr>
        <w:t xml:space="preserve"> </w:t>
      </w:r>
      <w:r>
        <w:rPr>
          <w:color w:val="211F1F"/>
          <w:spacing w:val="-4"/>
        </w:rPr>
        <w:t>accordance</w:t>
      </w:r>
      <w:r>
        <w:rPr>
          <w:color w:val="211F1F"/>
          <w:spacing w:val="-8"/>
        </w:rPr>
        <w:t xml:space="preserve"> </w:t>
      </w:r>
      <w:r>
        <w:rPr>
          <w:color w:val="211F1F"/>
          <w:spacing w:val="-4"/>
        </w:rPr>
        <w:t>with</w:t>
      </w:r>
      <w:r>
        <w:rPr>
          <w:color w:val="211F1F"/>
          <w:spacing w:val="-8"/>
        </w:rPr>
        <w:t xml:space="preserve"> </w:t>
      </w:r>
      <w:r>
        <w:rPr>
          <w:color w:val="211F1F"/>
          <w:spacing w:val="-4"/>
        </w:rPr>
        <w:t>its</w:t>
      </w:r>
      <w:r>
        <w:rPr>
          <w:color w:val="211F1F"/>
          <w:spacing w:val="-12"/>
        </w:rPr>
        <w:t xml:space="preserve"> </w:t>
      </w:r>
      <w:r>
        <w:rPr>
          <w:color w:val="211F1F"/>
          <w:spacing w:val="-4"/>
        </w:rPr>
        <w:t>terms</w:t>
      </w:r>
      <w:r>
        <w:rPr>
          <w:color w:val="211F1F"/>
          <w:spacing w:val="-6"/>
        </w:rPr>
        <w:t xml:space="preserve"> </w:t>
      </w:r>
      <w:r>
        <w:rPr>
          <w:color w:val="211F1F"/>
          <w:spacing w:val="-4"/>
        </w:rPr>
        <w:t>and</w:t>
      </w:r>
      <w:r>
        <w:rPr>
          <w:color w:val="211F1F"/>
          <w:spacing w:val="-7"/>
        </w:rPr>
        <w:t xml:space="preserve"> </w:t>
      </w:r>
      <w:r>
        <w:rPr>
          <w:color w:val="211F1F"/>
          <w:spacing w:val="-4"/>
        </w:rPr>
        <w:t>conditions;</w:t>
      </w:r>
      <w:r>
        <w:rPr>
          <w:color w:val="211F1F"/>
          <w:spacing w:val="2"/>
        </w:rPr>
        <w:t xml:space="preserve"> </w:t>
      </w:r>
      <w:r>
        <w:rPr>
          <w:color w:val="211F1F"/>
          <w:spacing w:val="-5"/>
        </w:rPr>
        <w:t>or</w:t>
      </w:r>
    </w:p>
    <w:p w14:paraId="4D7B34D7" w14:textId="77777777" w:rsidR="00BB77C0" w:rsidRDefault="00370BAA">
      <w:pPr>
        <w:pStyle w:val="ListParagraph"/>
        <w:numPr>
          <w:ilvl w:val="1"/>
          <w:numId w:val="9"/>
        </w:numPr>
        <w:tabs>
          <w:tab w:val="left" w:pos="1468"/>
          <w:tab w:val="left" w:pos="1474"/>
        </w:tabs>
        <w:spacing w:before="48" w:line="230" w:lineRule="auto"/>
        <w:ind w:left="1474" w:right="702" w:hanging="423"/>
        <w:jc w:val="both"/>
      </w:pPr>
      <w:r>
        <w:rPr>
          <w:color w:val="211F1F"/>
        </w:rPr>
        <w:t>obtain</w:t>
      </w:r>
      <w:r>
        <w:rPr>
          <w:color w:val="211F1F"/>
          <w:spacing w:val="-14"/>
        </w:rPr>
        <w:t xml:space="preserve"> </w:t>
      </w:r>
      <w:r>
        <w:rPr>
          <w:color w:val="211F1F"/>
        </w:rPr>
        <w:t>a</w:t>
      </w:r>
      <w:r>
        <w:rPr>
          <w:color w:val="211F1F"/>
          <w:spacing w:val="-14"/>
        </w:rPr>
        <w:t xml:space="preserve"> </w:t>
      </w:r>
      <w:r>
        <w:rPr>
          <w:color w:val="211F1F"/>
        </w:rPr>
        <w:t>tender</w:t>
      </w:r>
      <w:r>
        <w:rPr>
          <w:color w:val="211F1F"/>
          <w:spacing w:val="-7"/>
        </w:rPr>
        <w:t xml:space="preserve"> </w:t>
      </w:r>
      <w:r>
        <w:rPr>
          <w:color w:val="211F1F"/>
        </w:rPr>
        <w:t>or</w:t>
      </w:r>
      <w:r>
        <w:rPr>
          <w:color w:val="211F1F"/>
          <w:spacing w:val="-8"/>
        </w:rPr>
        <w:t xml:space="preserve"> </w:t>
      </w:r>
      <w:r>
        <w:rPr>
          <w:color w:val="211F1F"/>
        </w:rPr>
        <w:t>tenders</w:t>
      </w:r>
      <w:r>
        <w:rPr>
          <w:color w:val="211F1F"/>
          <w:spacing w:val="-7"/>
        </w:rPr>
        <w:t xml:space="preserve"> </w:t>
      </w:r>
      <w:r>
        <w:rPr>
          <w:color w:val="211F1F"/>
        </w:rPr>
        <w:t>from</w:t>
      </w:r>
      <w:r>
        <w:rPr>
          <w:color w:val="211F1F"/>
          <w:spacing w:val="-14"/>
        </w:rPr>
        <w:t xml:space="preserve"> </w:t>
      </w:r>
      <w:r>
        <w:rPr>
          <w:color w:val="211F1F"/>
        </w:rPr>
        <w:t>qualified</w:t>
      </w:r>
      <w:r>
        <w:rPr>
          <w:color w:val="211F1F"/>
          <w:spacing w:val="-14"/>
        </w:rPr>
        <w:t xml:space="preserve"> </w:t>
      </w:r>
      <w:r>
        <w:rPr>
          <w:color w:val="211F1F"/>
        </w:rPr>
        <w:t>tenderers</w:t>
      </w:r>
      <w:r>
        <w:rPr>
          <w:color w:val="211F1F"/>
          <w:spacing w:val="-5"/>
        </w:rPr>
        <w:t xml:space="preserve"> </w:t>
      </w:r>
      <w:r>
        <w:rPr>
          <w:color w:val="211F1F"/>
        </w:rPr>
        <w:t>for</w:t>
      </w:r>
      <w:r>
        <w:rPr>
          <w:color w:val="211F1F"/>
          <w:spacing w:val="-9"/>
        </w:rPr>
        <w:t xml:space="preserve"> </w:t>
      </w:r>
      <w:r>
        <w:rPr>
          <w:color w:val="211F1F"/>
        </w:rPr>
        <w:t>submission</w:t>
      </w:r>
      <w:r>
        <w:rPr>
          <w:color w:val="211F1F"/>
          <w:spacing w:val="-14"/>
        </w:rPr>
        <w:t xml:space="preserve"> </w:t>
      </w:r>
      <w:r>
        <w:rPr>
          <w:color w:val="211F1F"/>
        </w:rPr>
        <w:t>to</w:t>
      </w:r>
      <w:r>
        <w:rPr>
          <w:color w:val="211F1F"/>
          <w:spacing w:val="-11"/>
        </w:rPr>
        <w:t xml:space="preserve"> </w:t>
      </w:r>
      <w:r>
        <w:rPr>
          <w:color w:val="211F1F"/>
        </w:rPr>
        <w:t>the</w:t>
      </w:r>
      <w:r>
        <w:rPr>
          <w:color w:val="211F1F"/>
          <w:spacing w:val="-13"/>
        </w:rPr>
        <w:t xml:space="preserve"> </w:t>
      </w:r>
      <w:r>
        <w:rPr>
          <w:color w:val="211F1F"/>
        </w:rPr>
        <w:t>Procuring</w:t>
      </w:r>
      <w:r>
        <w:rPr>
          <w:color w:val="211F1F"/>
          <w:spacing w:val="-14"/>
        </w:rPr>
        <w:t xml:space="preserve"> </w:t>
      </w:r>
      <w:r>
        <w:rPr>
          <w:color w:val="211F1F"/>
        </w:rPr>
        <w:t>Entity</w:t>
      </w:r>
      <w:r>
        <w:rPr>
          <w:color w:val="211F1F"/>
          <w:spacing w:val="-11"/>
        </w:rPr>
        <w:t xml:space="preserve"> </w:t>
      </w:r>
      <w:r>
        <w:rPr>
          <w:color w:val="211F1F"/>
        </w:rPr>
        <w:t>for</w:t>
      </w:r>
      <w:r>
        <w:rPr>
          <w:color w:val="211F1F"/>
          <w:spacing w:val="-4"/>
        </w:rPr>
        <w:t xml:space="preserve"> </w:t>
      </w:r>
      <w:r>
        <w:rPr>
          <w:color w:val="211F1F"/>
        </w:rPr>
        <w:t>completing</w:t>
      </w:r>
      <w:r>
        <w:rPr>
          <w:color w:val="211F1F"/>
          <w:spacing w:val="-14"/>
        </w:rPr>
        <w:t xml:space="preserve"> </w:t>
      </w:r>
      <w:r>
        <w:rPr>
          <w:color w:val="211F1F"/>
        </w:rPr>
        <w:t>the Contract in accordance with its terms and conditions, and upon determination by the</w:t>
      </w:r>
      <w:r>
        <w:rPr>
          <w:color w:val="211F1F"/>
          <w:spacing w:val="-2"/>
        </w:rPr>
        <w:t xml:space="preserve"> </w:t>
      </w:r>
      <w:r>
        <w:rPr>
          <w:color w:val="211F1F"/>
        </w:rPr>
        <w:t>Procuring Entity and the</w:t>
      </w:r>
      <w:r>
        <w:rPr>
          <w:color w:val="211F1F"/>
          <w:spacing w:val="-14"/>
        </w:rPr>
        <w:t xml:space="preserve"> </w:t>
      </w:r>
      <w:r>
        <w:rPr>
          <w:color w:val="211F1F"/>
        </w:rPr>
        <w:t>Surety</w:t>
      </w:r>
      <w:r>
        <w:rPr>
          <w:color w:val="211F1F"/>
          <w:spacing w:val="-14"/>
        </w:rPr>
        <w:t xml:space="preserve"> </w:t>
      </w:r>
      <w:r>
        <w:rPr>
          <w:color w:val="211F1F"/>
        </w:rPr>
        <w:t>of</w:t>
      </w:r>
      <w:r>
        <w:rPr>
          <w:color w:val="211F1F"/>
          <w:spacing w:val="-14"/>
        </w:rPr>
        <w:t xml:space="preserve"> </w:t>
      </w:r>
      <w:r>
        <w:rPr>
          <w:color w:val="211F1F"/>
        </w:rPr>
        <w:t>the</w:t>
      </w:r>
      <w:r>
        <w:rPr>
          <w:color w:val="211F1F"/>
          <w:spacing w:val="-13"/>
        </w:rPr>
        <w:t xml:space="preserve"> </w:t>
      </w:r>
      <w:r>
        <w:rPr>
          <w:color w:val="211F1F"/>
        </w:rPr>
        <w:t>lowest</w:t>
      </w:r>
      <w:r>
        <w:rPr>
          <w:color w:val="211F1F"/>
          <w:spacing w:val="-7"/>
        </w:rPr>
        <w:t xml:space="preserve"> </w:t>
      </w:r>
      <w:r>
        <w:rPr>
          <w:color w:val="211F1F"/>
        </w:rPr>
        <w:t>responsive</w:t>
      </w:r>
      <w:r>
        <w:rPr>
          <w:color w:val="211F1F"/>
          <w:spacing w:val="-14"/>
        </w:rPr>
        <w:t xml:space="preserve"> </w:t>
      </w:r>
      <w:r>
        <w:rPr>
          <w:color w:val="211F1F"/>
        </w:rPr>
        <w:t>Tenderers,</w:t>
      </w:r>
      <w:r>
        <w:rPr>
          <w:color w:val="211F1F"/>
          <w:spacing w:val="-7"/>
        </w:rPr>
        <w:t xml:space="preserve"> </w:t>
      </w:r>
      <w:r>
        <w:rPr>
          <w:color w:val="211F1F"/>
        </w:rPr>
        <w:t>arrange</w:t>
      </w:r>
      <w:r>
        <w:rPr>
          <w:color w:val="211F1F"/>
          <w:spacing w:val="-14"/>
        </w:rPr>
        <w:t xml:space="preserve"> </w:t>
      </w:r>
      <w:r>
        <w:rPr>
          <w:color w:val="211F1F"/>
        </w:rPr>
        <w:t>for</w:t>
      </w:r>
      <w:r>
        <w:rPr>
          <w:color w:val="211F1F"/>
          <w:spacing w:val="-8"/>
        </w:rPr>
        <w:t xml:space="preserve"> </w:t>
      </w:r>
      <w:r>
        <w:rPr>
          <w:color w:val="211F1F"/>
        </w:rPr>
        <w:t>a</w:t>
      </w:r>
      <w:r>
        <w:rPr>
          <w:color w:val="211F1F"/>
          <w:spacing w:val="-9"/>
        </w:rPr>
        <w:t xml:space="preserve"> </w:t>
      </w:r>
      <w:r>
        <w:rPr>
          <w:color w:val="211F1F"/>
        </w:rPr>
        <w:t>Contract</w:t>
      </w:r>
      <w:r>
        <w:rPr>
          <w:color w:val="211F1F"/>
          <w:spacing w:val="-9"/>
        </w:rPr>
        <w:t xml:space="preserve"> </w:t>
      </w:r>
      <w:r>
        <w:rPr>
          <w:color w:val="211F1F"/>
        </w:rPr>
        <w:t>between</w:t>
      </w:r>
      <w:r>
        <w:rPr>
          <w:color w:val="211F1F"/>
          <w:spacing w:val="-14"/>
        </w:rPr>
        <w:t xml:space="preserve"> </w:t>
      </w:r>
      <w:r>
        <w:rPr>
          <w:color w:val="211F1F"/>
        </w:rPr>
        <w:t>such</w:t>
      </w:r>
      <w:r>
        <w:rPr>
          <w:color w:val="211F1F"/>
          <w:spacing w:val="-14"/>
        </w:rPr>
        <w:t xml:space="preserve"> </w:t>
      </w:r>
      <w:r>
        <w:rPr>
          <w:color w:val="211F1F"/>
        </w:rPr>
        <w:t>Tenderer,</w:t>
      </w:r>
      <w:r>
        <w:rPr>
          <w:color w:val="211F1F"/>
          <w:spacing w:val="-8"/>
        </w:rPr>
        <w:t xml:space="preserve"> </w:t>
      </w:r>
      <w:r>
        <w:rPr>
          <w:color w:val="211F1F"/>
        </w:rPr>
        <w:t>and</w:t>
      </w:r>
      <w:r>
        <w:rPr>
          <w:color w:val="211F1F"/>
          <w:spacing w:val="-11"/>
        </w:rPr>
        <w:t xml:space="preserve"> </w:t>
      </w:r>
      <w:r>
        <w:rPr>
          <w:color w:val="211F1F"/>
        </w:rPr>
        <w:t>Procuring Entity and make available as work progresses (even though there should be a default or a succession of defaults under the Contract or Contracts of completion arranged under this paragraph) sufficient funds to pay</w:t>
      </w:r>
      <w:r>
        <w:rPr>
          <w:color w:val="211F1F"/>
          <w:spacing w:val="-1"/>
        </w:rPr>
        <w:t xml:space="preserve"> </w:t>
      </w:r>
      <w:r>
        <w:rPr>
          <w:color w:val="211F1F"/>
        </w:rPr>
        <w:t>the</w:t>
      </w:r>
      <w:r>
        <w:rPr>
          <w:color w:val="211F1F"/>
          <w:spacing w:val="-3"/>
        </w:rPr>
        <w:t xml:space="preserve"> </w:t>
      </w:r>
      <w:r>
        <w:rPr>
          <w:color w:val="211F1F"/>
        </w:rPr>
        <w:t>cost of completion less the</w:t>
      </w:r>
      <w:r>
        <w:rPr>
          <w:color w:val="211F1F"/>
          <w:spacing w:val="-3"/>
        </w:rPr>
        <w:t xml:space="preserve"> </w:t>
      </w:r>
      <w:r>
        <w:rPr>
          <w:color w:val="211F1F"/>
        </w:rPr>
        <w:t>Balance</w:t>
      </w:r>
      <w:r>
        <w:rPr>
          <w:color w:val="211F1F"/>
          <w:spacing w:val="-3"/>
        </w:rPr>
        <w:t xml:space="preserve"> </w:t>
      </w:r>
      <w:r>
        <w:rPr>
          <w:color w:val="211F1F"/>
        </w:rPr>
        <w:t>of the</w:t>
      </w:r>
      <w:r>
        <w:rPr>
          <w:color w:val="211F1F"/>
          <w:spacing w:val="-3"/>
        </w:rPr>
        <w:t xml:space="preserve"> </w:t>
      </w:r>
      <w:r>
        <w:rPr>
          <w:color w:val="211F1F"/>
        </w:rPr>
        <w:t>Contract</w:t>
      </w:r>
      <w:r>
        <w:rPr>
          <w:color w:val="211F1F"/>
          <w:spacing w:val="-5"/>
        </w:rPr>
        <w:t xml:space="preserve"> </w:t>
      </w:r>
      <w:r>
        <w:rPr>
          <w:color w:val="211F1F"/>
        </w:rPr>
        <w:t>Price; but not exceeding, including other costs and</w:t>
      </w:r>
      <w:r>
        <w:rPr>
          <w:color w:val="211F1F"/>
          <w:spacing w:val="-14"/>
        </w:rPr>
        <w:t xml:space="preserve"> </w:t>
      </w:r>
      <w:r>
        <w:rPr>
          <w:color w:val="211F1F"/>
        </w:rPr>
        <w:t>damages</w:t>
      </w:r>
      <w:r>
        <w:rPr>
          <w:color w:val="211F1F"/>
          <w:spacing w:val="-14"/>
        </w:rPr>
        <w:t xml:space="preserve"> </w:t>
      </w:r>
      <w:r>
        <w:rPr>
          <w:color w:val="211F1F"/>
        </w:rPr>
        <w:t>for</w:t>
      </w:r>
      <w:r>
        <w:rPr>
          <w:color w:val="211F1F"/>
          <w:spacing w:val="-14"/>
        </w:rPr>
        <w:t xml:space="preserve"> </w:t>
      </w:r>
      <w:r>
        <w:rPr>
          <w:color w:val="211F1F"/>
        </w:rPr>
        <w:t>which</w:t>
      </w:r>
      <w:r>
        <w:rPr>
          <w:color w:val="211F1F"/>
          <w:spacing w:val="-13"/>
        </w:rPr>
        <w:t xml:space="preserve"> </w:t>
      </w:r>
      <w:r>
        <w:rPr>
          <w:color w:val="211F1F"/>
        </w:rPr>
        <w:t>the</w:t>
      </w:r>
      <w:r>
        <w:rPr>
          <w:color w:val="211F1F"/>
          <w:spacing w:val="-14"/>
        </w:rPr>
        <w:t xml:space="preserve"> </w:t>
      </w:r>
      <w:r>
        <w:rPr>
          <w:color w:val="211F1F"/>
        </w:rPr>
        <w:t>Surety</w:t>
      </w:r>
      <w:r>
        <w:rPr>
          <w:color w:val="211F1F"/>
          <w:spacing w:val="-14"/>
        </w:rPr>
        <w:t xml:space="preserve"> </w:t>
      </w:r>
      <w:r>
        <w:rPr>
          <w:color w:val="211F1F"/>
        </w:rPr>
        <w:t>may</w:t>
      </w:r>
      <w:r>
        <w:rPr>
          <w:color w:val="211F1F"/>
          <w:spacing w:val="-14"/>
        </w:rPr>
        <w:t xml:space="preserve"> </w:t>
      </w:r>
      <w:r>
        <w:rPr>
          <w:color w:val="211F1F"/>
        </w:rPr>
        <w:t>be</w:t>
      </w:r>
      <w:r>
        <w:rPr>
          <w:color w:val="211F1F"/>
          <w:spacing w:val="-13"/>
        </w:rPr>
        <w:t xml:space="preserve"> </w:t>
      </w:r>
      <w:r>
        <w:rPr>
          <w:color w:val="211F1F"/>
        </w:rPr>
        <w:t>liable</w:t>
      </w:r>
      <w:r>
        <w:rPr>
          <w:color w:val="211F1F"/>
          <w:spacing w:val="-14"/>
        </w:rPr>
        <w:t xml:space="preserve"> </w:t>
      </w:r>
      <w:r>
        <w:rPr>
          <w:color w:val="211F1F"/>
        </w:rPr>
        <w:t>hereunder,</w:t>
      </w:r>
      <w:r>
        <w:rPr>
          <w:color w:val="211F1F"/>
          <w:spacing w:val="-14"/>
        </w:rPr>
        <w:t xml:space="preserve"> </w:t>
      </w:r>
      <w:r>
        <w:rPr>
          <w:color w:val="211F1F"/>
        </w:rPr>
        <w:t>the</w:t>
      </w:r>
      <w:r>
        <w:rPr>
          <w:color w:val="211F1F"/>
          <w:spacing w:val="-14"/>
        </w:rPr>
        <w:t xml:space="preserve"> </w:t>
      </w:r>
      <w:r>
        <w:rPr>
          <w:color w:val="211F1F"/>
        </w:rPr>
        <w:t>amount</w:t>
      </w:r>
      <w:r>
        <w:rPr>
          <w:color w:val="211F1F"/>
          <w:spacing w:val="-13"/>
        </w:rPr>
        <w:t xml:space="preserve"> </w:t>
      </w:r>
      <w:r>
        <w:rPr>
          <w:color w:val="211F1F"/>
        </w:rPr>
        <w:t>set</w:t>
      </w:r>
      <w:r>
        <w:rPr>
          <w:color w:val="211F1F"/>
          <w:spacing w:val="-14"/>
        </w:rPr>
        <w:t xml:space="preserve"> </w:t>
      </w:r>
      <w:r>
        <w:rPr>
          <w:color w:val="211F1F"/>
        </w:rPr>
        <w:t>forth</w:t>
      </w:r>
      <w:r>
        <w:rPr>
          <w:color w:val="211F1F"/>
          <w:spacing w:val="-14"/>
        </w:rPr>
        <w:t xml:space="preserve"> </w:t>
      </w:r>
      <w:r>
        <w:rPr>
          <w:color w:val="211F1F"/>
        </w:rPr>
        <w:t>in</w:t>
      </w:r>
      <w:r>
        <w:rPr>
          <w:color w:val="211F1F"/>
          <w:spacing w:val="-14"/>
        </w:rPr>
        <w:t xml:space="preserve"> </w:t>
      </w:r>
      <w:r>
        <w:rPr>
          <w:color w:val="211F1F"/>
        </w:rPr>
        <w:t>the</w:t>
      </w:r>
      <w:r>
        <w:rPr>
          <w:color w:val="211F1F"/>
          <w:spacing w:val="-13"/>
        </w:rPr>
        <w:t xml:space="preserve"> </w:t>
      </w:r>
      <w:r>
        <w:rPr>
          <w:color w:val="211F1F"/>
        </w:rPr>
        <w:t>first</w:t>
      </w:r>
      <w:r>
        <w:rPr>
          <w:color w:val="211F1F"/>
          <w:spacing w:val="-14"/>
        </w:rPr>
        <w:t xml:space="preserve"> </w:t>
      </w:r>
      <w:r>
        <w:rPr>
          <w:color w:val="211F1F"/>
        </w:rPr>
        <w:t>paragraph</w:t>
      </w:r>
      <w:r>
        <w:rPr>
          <w:color w:val="211F1F"/>
          <w:spacing w:val="-14"/>
        </w:rPr>
        <w:t xml:space="preserve"> </w:t>
      </w:r>
      <w:r>
        <w:rPr>
          <w:color w:val="211F1F"/>
        </w:rPr>
        <w:t>hereof. The</w:t>
      </w:r>
      <w:r>
        <w:rPr>
          <w:color w:val="211F1F"/>
          <w:spacing w:val="-12"/>
        </w:rPr>
        <w:t xml:space="preserve"> </w:t>
      </w:r>
      <w:r>
        <w:rPr>
          <w:color w:val="211F1F"/>
        </w:rPr>
        <w:t>term</w:t>
      </w:r>
      <w:r>
        <w:rPr>
          <w:color w:val="211F1F"/>
          <w:spacing w:val="-14"/>
        </w:rPr>
        <w:t xml:space="preserve"> </w:t>
      </w:r>
      <w:r>
        <w:rPr>
          <w:color w:val="211F1F"/>
        </w:rPr>
        <w:t>“Balance</w:t>
      </w:r>
      <w:r>
        <w:rPr>
          <w:color w:val="211F1F"/>
          <w:spacing w:val="-7"/>
        </w:rPr>
        <w:t xml:space="preserve"> </w:t>
      </w:r>
      <w:r>
        <w:rPr>
          <w:color w:val="211F1F"/>
        </w:rPr>
        <w:t>of</w:t>
      </w:r>
      <w:r>
        <w:rPr>
          <w:color w:val="211F1F"/>
          <w:spacing w:val="-7"/>
        </w:rPr>
        <w:t xml:space="preserve"> </w:t>
      </w:r>
      <w:r>
        <w:rPr>
          <w:color w:val="211F1F"/>
        </w:rPr>
        <w:t>the</w:t>
      </w:r>
      <w:r>
        <w:rPr>
          <w:color w:val="211F1F"/>
          <w:spacing w:val="-12"/>
        </w:rPr>
        <w:t xml:space="preserve"> </w:t>
      </w:r>
      <w:r>
        <w:rPr>
          <w:color w:val="211F1F"/>
        </w:rPr>
        <w:t>Contract</w:t>
      </w:r>
      <w:r>
        <w:rPr>
          <w:color w:val="211F1F"/>
          <w:spacing w:val="-8"/>
        </w:rPr>
        <w:t xml:space="preserve"> </w:t>
      </w:r>
      <w:r>
        <w:rPr>
          <w:color w:val="211F1F"/>
        </w:rPr>
        <w:t>Price,”</w:t>
      </w:r>
      <w:r>
        <w:rPr>
          <w:color w:val="211F1F"/>
          <w:spacing w:val="-7"/>
        </w:rPr>
        <w:t xml:space="preserve"> </w:t>
      </w:r>
      <w:r>
        <w:rPr>
          <w:color w:val="211F1F"/>
        </w:rPr>
        <w:t>as</w:t>
      </w:r>
      <w:r>
        <w:rPr>
          <w:color w:val="211F1F"/>
          <w:spacing w:val="-10"/>
        </w:rPr>
        <w:t xml:space="preserve"> </w:t>
      </w:r>
      <w:r>
        <w:rPr>
          <w:color w:val="211F1F"/>
        </w:rPr>
        <w:t>used</w:t>
      </w:r>
      <w:r>
        <w:rPr>
          <w:color w:val="211F1F"/>
          <w:spacing w:val="-10"/>
        </w:rPr>
        <w:t xml:space="preserve"> </w:t>
      </w:r>
      <w:r>
        <w:rPr>
          <w:color w:val="211F1F"/>
        </w:rPr>
        <w:t>in</w:t>
      </w:r>
      <w:r>
        <w:rPr>
          <w:color w:val="211F1F"/>
          <w:spacing w:val="-10"/>
        </w:rPr>
        <w:t xml:space="preserve"> </w:t>
      </w:r>
      <w:r>
        <w:rPr>
          <w:color w:val="211F1F"/>
        </w:rPr>
        <w:t>this</w:t>
      </w:r>
      <w:r>
        <w:rPr>
          <w:color w:val="211F1F"/>
          <w:spacing w:val="-4"/>
        </w:rPr>
        <w:t xml:space="preserve"> </w:t>
      </w:r>
      <w:r>
        <w:rPr>
          <w:color w:val="211F1F"/>
        </w:rPr>
        <w:t>paragraph,</w:t>
      </w:r>
      <w:r>
        <w:rPr>
          <w:color w:val="211F1F"/>
          <w:spacing w:val="-2"/>
        </w:rPr>
        <w:t xml:space="preserve"> </w:t>
      </w:r>
      <w:r>
        <w:rPr>
          <w:color w:val="211F1F"/>
        </w:rPr>
        <w:t>shall</w:t>
      </w:r>
      <w:r>
        <w:rPr>
          <w:color w:val="211F1F"/>
          <w:spacing w:val="-5"/>
        </w:rPr>
        <w:t xml:space="preserve"> </w:t>
      </w:r>
      <w:r>
        <w:rPr>
          <w:color w:val="211F1F"/>
        </w:rPr>
        <w:t>mean</w:t>
      </w:r>
      <w:r>
        <w:rPr>
          <w:color w:val="211F1F"/>
          <w:spacing w:val="-10"/>
        </w:rPr>
        <w:t xml:space="preserve"> </w:t>
      </w:r>
      <w:r>
        <w:rPr>
          <w:color w:val="211F1F"/>
        </w:rPr>
        <w:t>the</w:t>
      </w:r>
      <w:r>
        <w:rPr>
          <w:color w:val="211F1F"/>
          <w:spacing w:val="-12"/>
        </w:rPr>
        <w:t xml:space="preserve"> </w:t>
      </w:r>
      <w:r>
        <w:rPr>
          <w:color w:val="211F1F"/>
        </w:rPr>
        <w:t>total</w:t>
      </w:r>
      <w:r>
        <w:rPr>
          <w:color w:val="211F1F"/>
          <w:spacing w:val="-4"/>
        </w:rPr>
        <w:t xml:space="preserve"> </w:t>
      </w:r>
      <w:r>
        <w:rPr>
          <w:color w:val="211F1F"/>
        </w:rPr>
        <w:t>amount</w:t>
      </w:r>
      <w:r>
        <w:rPr>
          <w:color w:val="211F1F"/>
          <w:spacing w:val="-4"/>
        </w:rPr>
        <w:t xml:space="preserve"> </w:t>
      </w:r>
      <w:r>
        <w:rPr>
          <w:color w:val="211F1F"/>
        </w:rPr>
        <w:t>payable</w:t>
      </w:r>
      <w:r>
        <w:rPr>
          <w:color w:val="211F1F"/>
          <w:spacing w:val="-12"/>
        </w:rPr>
        <w:t xml:space="preserve"> </w:t>
      </w:r>
      <w:r>
        <w:rPr>
          <w:color w:val="211F1F"/>
        </w:rPr>
        <w:t>by Procuring Entity to Contractor under the Contract, less the amount properly paid by Procuring Entity to Contractor;</w:t>
      </w:r>
      <w:r>
        <w:rPr>
          <w:color w:val="211F1F"/>
          <w:spacing w:val="-20"/>
        </w:rPr>
        <w:t xml:space="preserve"> </w:t>
      </w:r>
      <w:r>
        <w:rPr>
          <w:color w:val="211F1F"/>
        </w:rPr>
        <w:t>or</w:t>
      </w:r>
    </w:p>
    <w:p w14:paraId="0AA709A7" w14:textId="77777777" w:rsidR="00BB77C0" w:rsidRDefault="00370BAA">
      <w:pPr>
        <w:pStyle w:val="ListParagraph"/>
        <w:numPr>
          <w:ilvl w:val="1"/>
          <w:numId w:val="9"/>
        </w:numPr>
        <w:tabs>
          <w:tab w:val="left" w:pos="1467"/>
          <w:tab w:val="left" w:pos="1469"/>
        </w:tabs>
        <w:spacing w:before="51" w:line="228" w:lineRule="auto"/>
        <w:ind w:right="717"/>
        <w:jc w:val="both"/>
      </w:pPr>
      <w:r>
        <w:rPr>
          <w:color w:val="211F1F"/>
        </w:rPr>
        <w:t>pay the Procuring Entity the amount required by Procuring Entity to complete the Contract in accordance with</w:t>
      </w:r>
      <w:r>
        <w:rPr>
          <w:color w:val="211F1F"/>
          <w:spacing w:val="-4"/>
        </w:rPr>
        <w:t xml:space="preserve"> </w:t>
      </w:r>
      <w:r>
        <w:rPr>
          <w:color w:val="211F1F"/>
        </w:rPr>
        <w:t>its</w:t>
      </w:r>
      <w:r>
        <w:rPr>
          <w:color w:val="211F1F"/>
          <w:spacing w:val="-4"/>
        </w:rPr>
        <w:t xml:space="preserve"> </w:t>
      </w:r>
      <w:r>
        <w:rPr>
          <w:color w:val="211F1F"/>
        </w:rPr>
        <w:t>terms</w:t>
      </w:r>
      <w:r>
        <w:rPr>
          <w:color w:val="211F1F"/>
          <w:spacing w:val="-3"/>
        </w:rPr>
        <w:t xml:space="preserve"> </w:t>
      </w:r>
      <w:r>
        <w:rPr>
          <w:color w:val="211F1F"/>
        </w:rPr>
        <w:t>and</w:t>
      </w:r>
      <w:r>
        <w:rPr>
          <w:color w:val="211F1F"/>
          <w:spacing w:val="-10"/>
        </w:rPr>
        <w:t xml:space="preserve"> </w:t>
      </w:r>
      <w:r>
        <w:rPr>
          <w:color w:val="211F1F"/>
        </w:rPr>
        <w:t>conditions</w:t>
      </w:r>
      <w:r>
        <w:rPr>
          <w:color w:val="211F1F"/>
          <w:spacing w:val="-7"/>
        </w:rPr>
        <w:t xml:space="preserve"> </w:t>
      </w:r>
      <w:r>
        <w:rPr>
          <w:color w:val="211F1F"/>
        </w:rPr>
        <w:t>up</w:t>
      </w:r>
      <w:r>
        <w:rPr>
          <w:color w:val="211F1F"/>
          <w:spacing w:val="-4"/>
        </w:rPr>
        <w:t xml:space="preserve"> </w:t>
      </w:r>
      <w:r>
        <w:rPr>
          <w:color w:val="211F1F"/>
        </w:rPr>
        <w:t>to</w:t>
      </w:r>
      <w:r>
        <w:rPr>
          <w:color w:val="211F1F"/>
          <w:spacing w:val="-10"/>
        </w:rPr>
        <w:t xml:space="preserve"> </w:t>
      </w:r>
      <w:r>
        <w:rPr>
          <w:color w:val="211F1F"/>
        </w:rPr>
        <w:t>a total</w:t>
      </w:r>
      <w:r>
        <w:rPr>
          <w:color w:val="211F1F"/>
          <w:spacing w:val="-7"/>
        </w:rPr>
        <w:t xml:space="preserve"> </w:t>
      </w:r>
      <w:r>
        <w:rPr>
          <w:color w:val="211F1F"/>
        </w:rPr>
        <w:t>not</w:t>
      </w:r>
      <w:r>
        <w:rPr>
          <w:color w:val="211F1F"/>
          <w:spacing w:val="-3"/>
        </w:rPr>
        <w:t xml:space="preserve"> </w:t>
      </w:r>
      <w:r>
        <w:rPr>
          <w:color w:val="211F1F"/>
        </w:rPr>
        <w:t>exceeding</w:t>
      </w:r>
      <w:r>
        <w:rPr>
          <w:color w:val="211F1F"/>
          <w:spacing w:val="-9"/>
        </w:rPr>
        <w:t xml:space="preserve"> </w:t>
      </w:r>
      <w:r>
        <w:rPr>
          <w:color w:val="211F1F"/>
        </w:rPr>
        <w:t>the</w:t>
      </w:r>
      <w:r>
        <w:rPr>
          <w:color w:val="211F1F"/>
          <w:spacing w:val="-12"/>
        </w:rPr>
        <w:t xml:space="preserve"> </w:t>
      </w:r>
      <w:r>
        <w:rPr>
          <w:color w:val="211F1F"/>
        </w:rPr>
        <w:t>amount</w:t>
      </w:r>
      <w:r>
        <w:rPr>
          <w:color w:val="211F1F"/>
          <w:spacing w:val="-3"/>
        </w:rPr>
        <w:t xml:space="preserve"> </w:t>
      </w:r>
      <w:r>
        <w:rPr>
          <w:color w:val="211F1F"/>
        </w:rPr>
        <w:t>of</w:t>
      </w:r>
      <w:r>
        <w:rPr>
          <w:color w:val="211F1F"/>
          <w:spacing w:val="-5"/>
        </w:rPr>
        <w:t xml:space="preserve"> </w:t>
      </w:r>
      <w:r>
        <w:rPr>
          <w:color w:val="211F1F"/>
        </w:rPr>
        <w:t>this</w:t>
      </w:r>
      <w:r>
        <w:rPr>
          <w:color w:val="211F1F"/>
          <w:spacing w:val="-3"/>
        </w:rPr>
        <w:t xml:space="preserve"> </w:t>
      </w:r>
      <w:r>
        <w:rPr>
          <w:color w:val="211F1F"/>
        </w:rPr>
        <w:t>Bond.</w:t>
      </w:r>
    </w:p>
    <w:p w14:paraId="452A1493" w14:textId="77777777" w:rsidR="00BB77C0" w:rsidRDefault="00370BAA">
      <w:pPr>
        <w:pStyle w:val="ListParagraph"/>
        <w:numPr>
          <w:ilvl w:val="0"/>
          <w:numId w:val="9"/>
        </w:numPr>
        <w:tabs>
          <w:tab w:val="left" w:pos="1050"/>
        </w:tabs>
        <w:spacing w:before="239"/>
        <w:ind w:left="1050" w:hanging="565"/>
        <w:jc w:val="both"/>
      </w:pPr>
      <w:r>
        <w:rPr>
          <w:color w:val="211F1F"/>
          <w:spacing w:val="-2"/>
        </w:rPr>
        <w:t>The</w:t>
      </w:r>
      <w:r>
        <w:rPr>
          <w:color w:val="211F1F"/>
          <w:spacing w:val="-25"/>
        </w:rPr>
        <w:t xml:space="preserve"> </w:t>
      </w:r>
      <w:r>
        <w:rPr>
          <w:color w:val="211F1F"/>
          <w:spacing w:val="-2"/>
        </w:rPr>
        <w:t>Surety</w:t>
      </w:r>
      <w:r>
        <w:rPr>
          <w:color w:val="211F1F"/>
          <w:spacing w:val="-21"/>
        </w:rPr>
        <w:t xml:space="preserve"> </w:t>
      </w:r>
      <w:r>
        <w:rPr>
          <w:color w:val="211F1F"/>
          <w:spacing w:val="-2"/>
        </w:rPr>
        <w:t>shall</w:t>
      </w:r>
      <w:r>
        <w:rPr>
          <w:color w:val="211F1F"/>
          <w:spacing w:val="-21"/>
        </w:rPr>
        <w:t xml:space="preserve"> </w:t>
      </w:r>
      <w:r>
        <w:rPr>
          <w:color w:val="211F1F"/>
          <w:spacing w:val="-2"/>
        </w:rPr>
        <w:t>not</w:t>
      </w:r>
      <w:r>
        <w:rPr>
          <w:color w:val="211F1F"/>
          <w:spacing w:val="-16"/>
        </w:rPr>
        <w:t xml:space="preserve"> </w:t>
      </w:r>
      <w:r>
        <w:rPr>
          <w:color w:val="211F1F"/>
          <w:spacing w:val="-2"/>
        </w:rPr>
        <w:t>be</w:t>
      </w:r>
      <w:r>
        <w:rPr>
          <w:color w:val="211F1F"/>
          <w:spacing w:val="-24"/>
        </w:rPr>
        <w:t xml:space="preserve"> </w:t>
      </w:r>
      <w:r>
        <w:rPr>
          <w:color w:val="211F1F"/>
          <w:spacing w:val="-2"/>
        </w:rPr>
        <w:t>liable</w:t>
      </w:r>
      <w:r>
        <w:rPr>
          <w:color w:val="211F1F"/>
          <w:spacing w:val="-24"/>
        </w:rPr>
        <w:t xml:space="preserve"> </w:t>
      </w:r>
      <w:r>
        <w:rPr>
          <w:color w:val="211F1F"/>
          <w:spacing w:val="-2"/>
        </w:rPr>
        <w:t>for</w:t>
      </w:r>
      <w:r>
        <w:rPr>
          <w:color w:val="211F1F"/>
          <w:spacing w:val="-18"/>
        </w:rPr>
        <w:t xml:space="preserve"> </w:t>
      </w:r>
      <w:r>
        <w:rPr>
          <w:color w:val="211F1F"/>
          <w:spacing w:val="-2"/>
        </w:rPr>
        <w:t>a</w:t>
      </w:r>
      <w:r>
        <w:rPr>
          <w:color w:val="211F1F"/>
          <w:spacing w:val="-13"/>
        </w:rPr>
        <w:t xml:space="preserve"> </w:t>
      </w:r>
      <w:r>
        <w:rPr>
          <w:color w:val="211F1F"/>
          <w:spacing w:val="-2"/>
        </w:rPr>
        <w:t>greater</w:t>
      </w:r>
      <w:r>
        <w:rPr>
          <w:color w:val="211F1F"/>
          <w:spacing w:val="-18"/>
        </w:rPr>
        <w:t xml:space="preserve"> </w:t>
      </w:r>
      <w:r>
        <w:rPr>
          <w:color w:val="211F1F"/>
          <w:spacing w:val="-2"/>
        </w:rPr>
        <w:t>sum</w:t>
      </w:r>
      <w:r>
        <w:rPr>
          <w:color w:val="211F1F"/>
          <w:spacing w:val="-25"/>
        </w:rPr>
        <w:t xml:space="preserve"> </w:t>
      </w:r>
      <w:r>
        <w:rPr>
          <w:color w:val="211F1F"/>
          <w:spacing w:val="-2"/>
        </w:rPr>
        <w:t>than</w:t>
      </w:r>
      <w:r>
        <w:rPr>
          <w:color w:val="211F1F"/>
          <w:spacing w:val="-26"/>
        </w:rPr>
        <w:t xml:space="preserve"> </w:t>
      </w:r>
      <w:r>
        <w:rPr>
          <w:color w:val="211F1F"/>
          <w:spacing w:val="-2"/>
        </w:rPr>
        <w:t>the</w:t>
      </w:r>
      <w:r>
        <w:rPr>
          <w:color w:val="211F1F"/>
          <w:spacing w:val="-24"/>
        </w:rPr>
        <w:t xml:space="preserve"> </w:t>
      </w:r>
      <w:r>
        <w:rPr>
          <w:color w:val="211F1F"/>
          <w:spacing w:val="-2"/>
        </w:rPr>
        <w:t>specified</w:t>
      </w:r>
      <w:r>
        <w:rPr>
          <w:color w:val="211F1F"/>
          <w:spacing w:val="-21"/>
        </w:rPr>
        <w:t xml:space="preserve"> </w:t>
      </w:r>
      <w:r>
        <w:rPr>
          <w:color w:val="211F1F"/>
          <w:spacing w:val="-2"/>
        </w:rPr>
        <w:t>penalty</w:t>
      </w:r>
      <w:r>
        <w:rPr>
          <w:color w:val="211F1F"/>
          <w:spacing w:val="-21"/>
        </w:rPr>
        <w:t xml:space="preserve"> </w:t>
      </w:r>
      <w:r>
        <w:rPr>
          <w:color w:val="211F1F"/>
          <w:spacing w:val="-2"/>
        </w:rPr>
        <w:t>of</w:t>
      </w:r>
      <w:r>
        <w:rPr>
          <w:color w:val="211F1F"/>
          <w:spacing w:val="-19"/>
        </w:rPr>
        <w:t xml:space="preserve"> </w:t>
      </w:r>
      <w:r>
        <w:rPr>
          <w:color w:val="211F1F"/>
          <w:spacing w:val="-2"/>
        </w:rPr>
        <w:t>this</w:t>
      </w:r>
      <w:r>
        <w:rPr>
          <w:color w:val="211F1F"/>
          <w:spacing w:val="-15"/>
        </w:rPr>
        <w:t xml:space="preserve"> </w:t>
      </w:r>
      <w:r>
        <w:rPr>
          <w:color w:val="211F1F"/>
          <w:spacing w:val="-2"/>
        </w:rPr>
        <w:t>Bond.</w:t>
      </w:r>
    </w:p>
    <w:p w14:paraId="7A641B1F" w14:textId="77777777" w:rsidR="00BB77C0" w:rsidRDefault="00370BAA">
      <w:pPr>
        <w:pStyle w:val="ListParagraph"/>
        <w:numPr>
          <w:ilvl w:val="0"/>
          <w:numId w:val="9"/>
        </w:numPr>
        <w:tabs>
          <w:tab w:val="left" w:pos="1050"/>
          <w:tab w:val="left" w:pos="1061"/>
        </w:tabs>
        <w:spacing w:before="240" w:line="230" w:lineRule="auto"/>
        <w:ind w:left="1061" w:right="707"/>
        <w:jc w:val="both"/>
      </w:pPr>
      <w:r>
        <w:rPr>
          <w:color w:val="211F1F"/>
        </w:rPr>
        <w:t>Any</w:t>
      </w:r>
      <w:r>
        <w:rPr>
          <w:color w:val="211F1F"/>
          <w:spacing w:val="-4"/>
        </w:rPr>
        <w:t xml:space="preserve"> </w:t>
      </w:r>
      <w:r>
        <w:rPr>
          <w:color w:val="211F1F"/>
        </w:rPr>
        <w:t>suit under this Bond</w:t>
      </w:r>
      <w:r>
        <w:rPr>
          <w:color w:val="211F1F"/>
          <w:spacing w:val="-3"/>
        </w:rPr>
        <w:t xml:space="preserve"> </w:t>
      </w:r>
      <w:r>
        <w:rPr>
          <w:color w:val="211F1F"/>
        </w:rPr>
        <w:t>must be</w:t>
      </w:r>
      <w:r>
        <w:rPr>
          <w:color w:val="211F1F"/>
          <w:spacing w:val="-5"/>
        </w:rPr>
        <w:t xml:space="preserve"> </w:t>
      </w:r>
      <w:r>
        <w:rPr>
          <w:color w:val="211F1F"/>
        </w:rPr>
        <w:t>instituted</w:t>
      </w:r>
      <w:r>
        <w:rPr>
          <w:color w:val="211F1F"/>
          <w:spacing w:val="-3"/>
        </w:rPr>
        <w:t xml:space="preserve"> </w:t>
      </w:r>
      <w:r>
        <w:rPr>
          <w:color w:val="211F1F"/>
        </w:rPr>
        <w:t>before</w:t>
      </w:r>
      <w:r>
        <w:rPr>
          <w:color w:val="211F1F"/>
          <w:spacing w:val="-5"/>
        </w:rPr>
        <w:t xml:space="preserve"> </w:t>
      </w:r>
      <w:r>
        <w:rPr>
          <w:color w:val="211F1F"/>
        </w:rPr>
        <w:t>the</w:t>
      </w:r>
      <w:r>
        <w:rPr>
          <w:color w:val="211F1F"/>
          <w:spacing w:val="-6"/>
        </w:rPr>
        <w:t xml:space="preserve"> </w:t>
      </w:r>
      <w:r>
        <w:rPr>
          <w:color w:val="211F1F"/>
        </w:rPr>
        <w:t>expiration</w:t>
      </w:r>
      <w:r>
        <w:rPr>
          <w:color w:val="211F1F"/>
          <w:spacing w:val="-3"/>
        </w:rPr>
        <w:t xml:space="preserve"> </w:t>
      </w:r>
      <w:r>
        <w:rPr>
          <w:color w:val="211F1F"/>
        </w:rPr>
        <w:t>of one year from</w:t>
      </w:r>
      <w:r>
        <w:rPr>
          <w:color w:val="211F1F"/>
          <w:spacing w:val="-7"/>
        </w:rPr>
        <w:t xml:space="preserve"> </w:t>
      </w:r>
      <w:r>
        <w:rPr>
          <w:color w:val="211F1F"/>
        </w:rPr>
        <w:t>the</w:t>
      </w:r>
      <w:r>
        <w:rPr>
          <w:color w:val="211F1F"/>
          <w:spacing w:val="-5"/>
        </w:rPr>
        <w:t xml:space="preserve"> </w:t>
      </w:r>
      <w:r>
        <w:rPr>
          <w:color w:val="211F1F"/>
        </w:rPr>
        <w:t>date</w:t>
      </w:r>
      <w:r>
        <w:rPr>
          <w:color w:val="211F1F"/>
          <w:spacing w:val="-5"/>
        </w:rPr>
        <w:t xml:space="preserve"> </w:t>
      </w:r>
      <w:r>
        <w:rPr>
          <w:color w:val="211F1F"/>
        </w:rPr>
        <w:t>of the</w:t>
      </w:r>
      <w:r>
        <w:rPr>
          <w:color w:val="211F1F"/>
          <w:spacing w:val="-6"/>
        </w:rPr>
        <w:t xml:space="preserve"> </w:t>
      </w:r>
      <w:r>
        <w:rPr>
          <w:color w:val="211F1F"/>
        </w:rPr>
        <w:t>issuing</w:t>
      </w:r>
      <w:r>
        <w:rPr>
          <w:color w:val="211F1F"/>
          <w:spacing w:val="-2"/>
        </w:rPr>
        <w:t xml:space="preserve"> </w:t>
      </w:r>
      <w:r>
        <w:rPr>
          <w:color w:val="211F1F"/>
        </w:rPr>
        <w:t xml:space="preserve">of the </w:t>
      </w:r>
      <w:r>
        <w:rPr>
          <w:color w:val="211F1F"/>
          <w:spacing w:val="-2"/>
        </w:rPr>
        <w:t>Taking-Over</w:t>
      </w:r>
      <w:r>
        <w:rPr>
          <w:color w:val="211F1F"/>
          <w:spacing w:val="-7"/>
        </w:rPr>
        <w:t xml:space="preserve"> </w:t>
      </w:r>
      <w:r>
        <w:rPr>
          <w:color w:val="211F1F"/>
          <w:spacing w:val="-2"/>
        </w:rPr>
        <w:t>Certificate.</w:t>
      </w:r>
      <w:r>
        <w:rPr>
          <w:color w:val="211F1F"/>
          <w:spacing w:val="-3"/>
        </w:rPr>
        <w:t xml:space="preserve"> </w:t>
      </w:r>
      <w:r>
        <w:rPr>
          <w:color w:val="211F1F"/>
          <w:spacing w:val="-2"/>
        </w:rPr>
        <w:t>No</w:t>
      </w:r>
      <w:r>
        <w:rPr>
          <w:color w:val="211F1F"/>
          <w:spacing w:val="-12"/>
        </w:rPr>
        <w:t xml:space="preserve"> </w:t>
      </w:r>
      <w:r>
        <w:rPr>
          <w:color w:val="211F1F"/>
          <w:spacing w:val="-2"/>
        </w:rPr>
        <w:t>right of</w:t>
      </w:r>
      <w:r>
        <w:rPr>
          <w:color w:val="211F1F"/>
          <w:spacing w:val="-9"/>
        </w:rPr>
        <w:t xml:space="preserve"> </w:t>
      </w:r>
      <w:r>
        <w:rPr>
          <w:color w:val="211F1F"/>
          <w:spacing w:val="-2"/>
        </w:rPr>
        <w:t>action</w:t>
      </w:r>
      <w:r>
        <w:rPr>
          <w:color w:val="211F1F"/>
          <w:spacing w:val="-7"/>
        </w:rPr>
        <w:t xml:space="preserve"> </w:t>
      </w:r>
      <w:r>
        <w:rPr>
          <w:color w:val="211F1F"/>
          <w:spacing w:val="-2"/>
        </w:rPr>
        <w:t>shall</w:t>
      </w:r>
      <w:r>
        <w:rPr>
          <w:color w:val="211F1F"/>
          <w:spacing w:val="-11"/>
        </w:rPr>
        <w:t xml:space="preserve"> </w:t>
      </w:r>
      <w:r>
        <w:rPr>
          <w:color w:val="211F1F"/>
          <w:spacing w:val="-2"/>
        </w:rPr>
        <w:t>accrue</w:t>
      </w:r>
      <w:r>
        <w:rPr>
          <w:color w:val="211F1F"/>
          <w:spacing w:val="-12"/>
        </w:rPr>
        <w:t xml:space="preserve"> </w:t>
      </w:r>
      <w:r>
        <w:rPr>
          <w:color w:val="211F1F"/>
          <w:spacing w:val="-2"/>
        </w:rPr>
        <w:t>on</w:t>
      </w:r>
      <w:r>
        <w:rPr>
          <w:color w:val="211F1F"/>
          <w:spacing w:val="-7"/>
        </w:rPr>
        <w:t xml:space="preserve"> </w:t>
      </w:r>
      <w:r>
        <w:rPr>
          <w:color w:val="211F1F"/>
          <w:spacing w:val="-2"/>
        </w:rPr>
        <w:t>this Bond</w:t>
      </w:r>
      <w:r>
        <w:rPr>
          <w:color w:val="211F1F"/>
          <w:spacing w:val="-7"/>
        </w:rPr>
        <w:t xml:space="preserve"> </w:t>
      </w:r>
      <w:r>
        <w:rPr>
          <w:color w:val="211F1F"/>
          <w:spacing w:val="-2"/>
        </w:rPr>
        <w:t>to</w:t>
      </w:r>
      <w:r>
        <w:rPr>
          <w:color w:val="211F1F"/>
          <w:spacing w:val="-12"/>
        </w:rPr>
        <w:t xml:space="preserve"> </w:t>
      </w:r>
      <w:r>
        <w:rPr>
          <w:color w:val="211F1F"/>
          <w:spacing w:val="-2"/>
        </w:rPr>
        <w:t>or</w:t>
      </w:r>
      <w:r>
        <w:rPr>
          <w:color w:val="211F1F"/>
          <w:spacing w:val="-4"/>
        </w:rPr>
        <w:t xml:space="preserve"> </w:t>
      </w:r>
      <w:r>
        <w:rPr>
          <w:color w:val="211F1F"/>
          <w:spacing w:val="-2"/>
        </w:rPr>
        <w:t>for</w:t>
      </w:r>
      <w:r>
        <w:rPr>
          <w:color w:val="211F1F"/>
          <w:spacing w:val="-4"/>
        </w:rPr>
        <w:t xml:space="preserve"> </w:t>
      </w:r>
      <w:r>
        <w:rPr>
          <w:color w:val="211F1F"/>
          <w:spacing w:val="-2"/>
        </w:rPr>
        <w:t>the</w:t>
      </w:r>
      <w:r>
        <w:rPr>
          <w:color w:val="211F1F"/>
          <w:spacing w:val="-12"/>
        </w:rPr>
        <w:t xml:space="preserve"> </w:t>
      </w:r>
      <w:r>
        <w:rPr>
          <w:color w:val="211F1F"/>
          <w:spacing w:val="-2"/>
        </w:rPr>
        <w:t>use</w:t>
      </w:r>
      <w:r>
        <w:rPr>
          <w:color w:val="211F1F"/>
          <w:spacing w:val="-9"/>
        </w:rPr>
        <w:t xml:space="preserve"> </w:t>
      </w:r>
      <w:r>
        <w:rPr>
          <w:color w:val="211F1F"/>
          <w:spacing w:val="-2"/>
        </w:rPr>
        <w:t>of</w:t>
      </w:r>
      <w:r>
        <w:rPr>
          <w:color w:val="211F1F"/>
          <w:spacing w:val="-9"/>
        </w:rPr>
        <w:t xml:space="preserve"> </w:t>
      </w:r>
      <w:r>
        <w:rPr>
          <w:color w:val="211F1F"/>
          <w:spacing w:val="-2"/>
        </w:rPr>
        <w:t>any</w:t>
      </w:r>
      <w:r>
        <w:rPr>
          <w:color w:val="211F1F"/>
          <w:spacing w:val="-12"/>
        </w:rPr>
        <w:t xml:space="preserve"> </w:t>
      </w:r>
      <w:r>
        <w:rPr>
          <w:color w:val="211F1F"/>
          <w:spacing w:val="-2"/>
        </w:rPr>
        <w:t>person</w:t>
      </w:r>
      <w:r>
        <w:rPr>
          <w:color w:val="211F1F"/>
          <w:spacing w:val="-8"/>
        </w:rPr>
        <w:t xml:space="preserve"> </w:t>
      </w:r>
      <w:r>
        <w:rPr>
          <w:color w:val="211F1F"/>
          <w:spacing w:val="-2"/>
        </w:rPr>
        <w:t>or</w:t>
      </w:r>
      <w:r>
        <w:rPr>
          <w:color w:val="211F1F"/>
          <w:spacing w:val="-4"/>
        </w:rPr>
        <w:t xml:space="preserve"> </w:t>
      </w:r>
      <w:r>
        <w:rPr>
          <w:color w:val="211F1F"/>
          <w:spacing w:val="-2"/>
        </w:rPr>
        <w:t xml:space="preserve">corporation </w:t>
      </w:r>
      <w:r>
        <w:rPr>
          <w:color w:val="211F1F"/>
        </w:rPr>
        <w:t>other than</w:t>
      </w:r>
      <w:r>
        <w:rPr>
          <w:color w:val="211F1F"/>
          <w:spacing w:val="-2"/>
        </w:rPr>
        <w:t xml:space="preserve"> </w:t>
      </w:r>
      <w:r>
        <w:rPr>
          <w:color w:val="211F1F"/>
        </w:rPr>
        <w:t>the</w:t>
      </w:r>
      <w:r>
        <w:rPr>
          <w:color w:val="211F1F"/>
          <w:spacing w:val="-3"/>
        </w:rPr>
        <w:t xml:space="preserve"> </w:t>
      </w:r>
      <w:r>
        <w:rPr>
          <w:color w:val="211F1F"/>
        </w:rPr>
        <w:t>Procuring</w:t>
      </w:r>
      <w:r>
        <w:rPr>
          <w:color w:val="211F1F"/>
          <w:spacing w:val="-2"/>
        </w:rPr>
        <w:t xml:space="preserve"> </w:t>
      </w:r>
      <w:r>
        <w:rPr>
          <w:color w:val="211F1F"/>
        </w:rPr>
        <w:t>Entity named herein</w:t>
      </w:r>
      <w:r>
        <w:rPr>
          <w:color w:val="211F1F"/>
          <w:spacing w:val="-2"/>
        </w:rPr>
        <w:t xml:space="preserve"> </w:t>
      </w:r>
      <w:r>
        <w:rPr>
          <w:color w:val="211F1F"/>
        </w:rPr>
        <w:t>or the</w:t>
      </w:r>
      <w:r>
        <w:rPr>
          <w:color w:val="211F1F"/>
          <w:spacing w:val="-3"/>
        </w:rPr>
        <w:t xml:space="preserve"> </w:t>
      </w:r>
      <w:r>
        <w:rPr>
          <w:color w:val="211F1F"/>
        </w:rPr>
        <w:t>heirs, executors, administrators, successors, and</w:t>
      </w:r>
      <w:r>
        <w:rPr>
          <w:color w:val="211F1F"/>
          <w:spacing w:val="-2"/>
        </w:rPr>
        <w:t xml:space="preserve"> </w:t>
      </w:r>
      <w:r>
        <w:rPr>
          <w:color w:val="211F1F"/>
        </w:rPr>
        <w:t>assigns of the</w:t>
      </w:r>
      <w:r>
        <w:rPr>
          <w:color w:val="211F1F"/>
          <w:spacing w:val="-3"/>
        </w:rPr>
        <w:t xml:space="preserve"> </w:t>
      </w:r>
      <w:r>
        <w:rPr>
          <w:color w:val="211F1F"/>
        </w:rPr>
        <w:t>Procuring Entity.</w:t>
      </w:r>
    </w:p>
    <w:p w14:paraId="6D717EA7" w14:textId="77777777" w:rsidR="00BB77C0" w:rsidRDefault="00370BAA">
      <w:pPr>
        <w:pStyle w:val="ListParagraph"/>
        <w:numPr>
          <w:ilvl w:val="0"/>
          <w:numId w:val="9"/>
        </w:numPr>
        <w:tabs>
          <w:tab w:val="left" w:pos="1050"/>
          <w:tab w:val="left" w:pos="1061"/>
          <w:tab w:val="left" w:pos="3394"/>
          <w:tab w:val="left" w:pos="5623"/>
          <w:tab w:val="left" w:pos="6612"/>
        </w:tabs>
        <w:spacing w:before="244" w:line="230" w:lineRule="auto"/>
        <w:ind w:left="1061" w:right="709"/>
        <w:jc w:val="both"/>
      </w:pPr>
      <w:r>
        <w:rPr>
          <w:color w:val="211F1F"/>
        </w:rPr>
        <w:t>In testimony whereof, the Contractor has hereunto set his hand and affixed his seal, and the Surety has caused these</w:t>
      </w:r>
      <w:r>
        <w:rPr>
          <w:color w:val="211F1F"/>
          <w:spacing w:val="-2"/>
        </w:rPr>
        <w:t xml:space="preserve"> </w:t>
      </w:r>
      <w:r>
        <w:rPr>
          <w:color w:val="211F1F"/>
        </w:rPr>
        <w:t>presents to</w:t>
      </w:r>
      <w:r>
        <w:rPr>
          <w:color w:val="211F1F"/>
          <w:spacing w:val="-1"/>
        </w:rPr>
        <w:t xml:space="preserve"> </w:t>
      </w:r>
      <w:r>
        <w:rPr>
          <w:color w:val="211F1F"/>
        </w:rPr>
        <w:t>be</w:t>
      </w:r>
      <w:r>
        <w:rPr>
          <w:color w:val="211F1F"/>
          <w:spacing w:val="-2"/>
        </w:rPr>
        <w:t xml:space="preserve"> </w:t>
      </w:r>
      <w:r>
        <w:rPr>
          <w:color w:val="211F1F"/>
        </w:rPr>
        <w:t>sealed</w:t>
      </w:r>
      <w:r>
        <w:rPr>
          <w:color w:val="211F1F"/>
          <w:spacing w:val="-1"/>
        </w:rPr>
        <w:t xml:space="preserve"> </w:t>
      </w:r>
      <w:r>
        <w:rPr>
          <w:color w:val="211F1F"/>
        </w:rPr>
        <w:t>with his corporate</w:t>
      </w:r>
      <w:r>
        <w:rPr>
          <w:color w:val="211F1F"/>
          <w:spacing w:val="-2"/>
        </w:rPr>
        <w:t xml:space="preserve"> </w:t>
      </w:r>
      <w:r>
        <w:rPr>
          <w:color w:val="211F1F"/>
        </w:rPr>
        <w:t>seal duly</w:t>
      </w:r>
      <w:r>
        <w:rPr>
          <w:color w:val="211F1F"/>
          <w:spacing w:val="-5"/>
        </w:rPr>
        <w:t xml:space="preserve"> </w:t>
      </w:r>
      <w:r>
        <w:rPr>
          <w:color w:val="211F1F"/>
        </w:rPr>
        <w:t>attested by</w:t>
      </w:r>
      <w:r>
        <w:rPr>
          <w:color w:val="211F1F"/>
          <w:spacing w:val="-1"/>
        </w:rPr>
        <w:t xml:space="preserve"> </w:t>
      </w:r>
      <w:r>
        <w:rPr>
          <w:color w:val="211F1F"/>
        </w:rPr>
        <w:t>the</w:t>
      </w:r>
      <w:r>
        <w:rPr>
          <w:color w:val="211F1F"/>
          <w:spacing w:val="-3"/>
        </w:rPr>
        <w:t xml:space="preserve"> </w:t>
      </w:r>
      <w:r>
        <w:rPr>
          <w:color w:val="211F1F"/>
        </w:rPr>
        <w:t>signature</w:t>
      </w:r>
      <w:r>
        <w:rPr>
          <w:color w:val="211F1F"/>
          <w:spacing w:val="-2"/>
        </w:rPr>
        <w:t xml:space="preserve"> </w:t>
      </w:r>
      <w:r>
        <w:rPr>
          <w:color w:val="211F1F"/>
        </w:rPr>
        <w:t>of</w:t>
      </w:r>
      <w:r>
        <w:rPr>
          <w:color w:val="211F1F"/>
          <w:spacing w:val="-2"/>
        </w:rPr>
        <w:t xml:space="preserve"> </w:t>
      </w:r>
      <w:r>
        <w:rPr>
          <w:color w:val="211F1F"/>
        </w:rPr>
        <w:t xml:space="preserve">his legal representative, this </w:t>
      </w:r>
      <w:r>
        <w:rPr>
          <w:color w:val="211F1F"/>
          <w:spacing w:val="-4"/>
        </w:rPr>
        <w:t>day</w:t>
      </w:r>
      <w:r>
        <w:rPr>
          <w:color w:val="211F1F"/>
          <w:u w:val="single" w:color="201E1F"/>
        </w:rPr>
        <w:tab/>
      </w:r>
      <w:r>
        <w:rPr>
          <w:color w:val="211F1F"/>
          <w:spacing w:val="-6"/>
        </w:rPr>
        <w:t>of</w:t>
      </w:r>
      <w:r>
        <w:rPr>
          <w:color w:val="211F1F"/>
          <w:u w:val="single" w:color="201E1F"/>
        </w:rPr>
        <w:tab/>
      </w:r>
      <w:r>
        <w:rPr>
          <w:color w:val="211F1F"/>
          <w:spacing w:val="-6"/>
        </w:rPr>
        <w:t>20</w:t>
      </w:r>
      <w:r>
        <w:rPr>
          <w:color w:val="211F1F"/>
          <w:u w:val="single" w:color="201E1F"/>
        </w:rPr>
        <w:tab/>
      </w:r>
      <w:r>
        <w:rPr>
          <w:color w:val="211F1F"/>
          <w:spacing w:val="-10"/>
        </w:rPr>
        <w:t>.</w:t>
      </w:r>
    </w:p>
    <w:p w14:paraId="3614B964" w14:textId="77777777" w:rsidR="00BB77C0" w:rsidRDefault="00BB77C0">
      <w:pPr>
        <w:pStyle w:val="ListParagraph"/>
        <w:spacing w:line="230" w:lineRule="auto"/>
        <w:jc w:val="both"/>
        <w:sectPr w:rsidR="00BB77C0">
          <w:pgSz w:w="11920" w:h="16850"/>
          <w:pgMar w:top="720" w:right="0" w:bottom="280" w:left="360" w:header="720" w:footer="720" w:gutter="0"/>
          <w:cols w:space="720"/>
        </w:sectPr>
      </w:pPr>
    </w:p>
    <w:p w14:paraId="5418FA62" w14:textId="77777777" w:rsidR="00BB77C0" w:rsidRDefault="00370BAA">
      <w:pPr>
        <w:pStyle w:val="BodyText"/>
        <w:tabs>
          <w:tab w:val="left" w:pos="6636"/>
          <w:tab w:val="left" w:pos="8283"/>
        </w:tabs>
        <w:spacing w:before="69"/>
        <w:ind w:left="1046"/>
      </w:pPr>
      <w:r>
        <w:rPr>
          <w:color w:val="211F1F"/>
          <w:spacing w:val="-2"/>
        </w:rPr>
        <w:lastRenderedPageBreak/>
        <w:t>SIGNED</w:t>
      </w:r>
      <w:r>
        <w:rPr>
          <w:color w:val="211F1F"/>
          <w:spacing w:val="-18"/>
        </w:rPr>
        <w:t xml:space="preserve"> </w:t>
      </w:r>
      <w:r>
        <w:rPr>
          <w:color w:val="211F1F"/>
          <w:spacing w:val="-5"/>
        </w:rPr>
        <w:t>ON</w:t>
      </w:r>
      <w:r>
        <w:rPr>
          <w:color w:val="211F1F"/>
          <w:u w:val="single" w:color="201E1F"/>
        </w:rPr>
        <w:tab/>
      </w:r>
      <w:r>
        <w:rPr>
          <w:color w:val="211F1F"/>
        </w:rPr>
        <w:t>on</w:t>
      </w:r>
      <w:r>
        <w:rPr>
          <w:color w:val="211F1F"/>
          <w:spacing w:val="-7"/>
        </w:rPr>
        <w:t xml:space="preserve"> </w:t>
      </w:r>
      <w:r>
        <w:rPr>
          <w:color w:val="211F1F"/>
        </w:rPr>
        <w:t>behalfof</w:t>
      </w:r>
      <w:r>
        <w:rPr>
          <w:color w:val="211F1F"/>
          <w:spacing w:val="-3"/>
        </w:rPr>
        <w:t xml:space="preserve"> </w:t>
      </w:r>
      <w:r>
        <w:rPr>
          <w:color w:val="211F1F"/>
          <w:spacing w:val="-5"/>
        </w:rPr>
        <w:t>By</w:t>
      </w:r>
      <w:r>
        <w:rPr>
          <w:color w:val="211F1F"/>
          <w:u w:val="single" w:color="201E1F"/>
        </w:rPr>
        <w:tab/>
      </w:r>
      <w:r>
        <w:rPr>
          <w:color w:val="211F1F"/>
        </w:rPr>
        <w:t>in</w:t>
      </w:r>
      <w:r>
        <w:rPr>
          <w:color w:val="211F1F"/>
          <w:spacing w:val="34"/>
        </w:rPr>
        <w:t xml:space="preserve"> </w:t>
      </w:r>
      <w:r>
        <w:rPr>
          <w:color w:val="211F1F"/>
        </w:rPr>
        <w:t>the</w:t>
      </w:r>
      <w:r>
        <w:rPr>
          <w:color w:val="211F1F"/>
          <w:spacing w:val="37"/>
        </w:rPr>
        <w:t xml:space="preserve"> </w:t>
      </w:r>
      <w:r>
        <w:rPr>
          <w:color w:val="211F1F"/>
        </w:rPr>
        <w:t>capacity</w:t>
      </w:r>
      <w:r>
        <w:rPr>
          <w:color w:val="211F1F"/>
          <w:spacing w:val="39"/>
        </w:rPr>
        <w:t xml:space="preserve"> </w:t>
      </w:r>
      <w:r>
        <w:rPr>
          <w:color w:val="211F1F"/>
        </w:rPr>
        <w:t>of</w:t>
      </w:r>
      <w:r>
        <w:rPr>
          <w:color w:val="211F1F"/>
          <w:spacing w:val="53"/>
          <w:w w:val="150"/>
        </w:rPr>
        <w:t xml:space="preserve"> </w:t>
      </w:r>
      <w:r>
        <w:rPr>
          <w:color w:val="211F1F"/>
        </w:rPr>
        <w:t>In</w:t>
      </w:r>
      <w:r>
        <w:rPr>
          <w:color w:val="211F1F"/>
          <w:spacing w:val="34"/>
        </w:rPr>
        <w:t xml:space="preserve"> </w:t>
      </w:r>
      <w:r>
        <w:rPr>
          <w:color w:val="211F1F"/>
          <w:spacing w:val="-5"/>
        </w:rPr>
        <w:t>the</w:t>
      </w:r>
    </w:p>
    <w:p w14:paraId="5D4A5F43" w14:textId="77777777" w:rsidR="00BB77C0" w:rsidRDefault="00370BAA">
      <w:pPr>
        <w:pStyle w:val="BodyText"/>
        <w:spacing w:before="237"/>
        <w:ind w:left="1046"/>
      </w:pPr>
      <w:r>
        <w:rPr>
          <w:color w:val="211F1F"/>
          <w:spacing w:val="-2"/>
        </w:rPr>
        <w:t>presence</w:t>
      </w:r>
      <w:r>
        <w:rPr>
          <w:color w:val="211F1F"/>
          <w:spacing w:val="-11"/>
        </w:rPr>
        <w:t xml:space="preserve"> </w:t>
      </w:r>
      <w:r>
        <w:rPr>
          <w:color w:val="211F1F"/>
          <w:spacing w:val="-5"/>
        </w:rPr>
        <w:t>of</w:t>
      </w:r>
    </w:p>
    <w:p w14:paraId="09356921" w14:textId="77777777" w:rsidR="00BB77C0" w:rsidRDefault="00370BAA">
      <w:pPr>
        <w:pStyle w:val="BodyText"/>
        <w:tabs>
          <w:tab w:val="left" w:pos="6713"/>
        </w:tabs>
        <w:spacing w:before="236" w:line="460" w:lineRule="auto"/>
        <w:ind w:left="1046" w:right="1331"/>
      </w:pPr>
      <w:r>
        <w:rPr>
          <w:color w:val="211F1F"/>
        </w:rPr>
        <w:t>SIGNED</w:t>
      </w:r>
      <w:r>
        <w:rPr>
          <w:color w:val="211F1F"/>
          <w:spacing w:val="-23"/>
        </w:rPr>
        <w:t xml:space="preserve"> </w:t>
      </w:r>
      <w:r>
        <w:rPr>
          <w:color w:val="211F1F"/>
        </w:rPr>
        <w:t>ON</w:t>
      </w:r>
      <w:r>
        <w:rPr>
          <w:color w:val="211F1F"/>
          <w:u w:val="single" w:color="201E1F"/>
        </w:rPr>
        <w:tab/>
      </w:r>
      <w:r>
        <w:rPr>
          <w:color w:val="211F1F"/>
        </w:rPr>
        <w:t>on</w:t>
      </w:r>
      <w:r>
        <w:rPr>
          <w:color w:val="211F1F"/>
          <w:spacing w:val="-14"/>
        </w:rPr>
        <w:t xml:space="preserve"> </w:t>
      </w:r>
      <w:r>
        <w:rPr>
          <w:color w:val="211F1F"/>
        </w:rPr>
        <w:t>behalf</w:t>
      </w:r>
      <w:r>
        <w:rPr>
          <w:color w:val="211F1F"/>
          <w:spacing w:val="-4"/>
        </w:rPr>
        <w:t xml:space="preserve"> </w:t>
      </w:r>
      <w:r>
        <w:rPr>
          <w:color w:val="211F1F"/>
        </w:rPr>
        <w:t>of By</w:t>
      </w:r>
      <w:r>
        <w:rPr>
          <w:color w:val="211F1F"/>
          <w:spacing w:val="80"/>
          <w:u w:val="single" w:color="201E1F"/>
        </w:rPr>
        <w:t xml:space="preserve"> </w:t>
      </w:r>
      <w:r>
        <w:rPr>
          <w:color w:val="211F1F"/>
        </w:rPr>
        <w:t>in</w:t>
      </w:r>
      <w:r>
        <w:rPr>
          <w:color w:val="211F1F"/>
          <w:spacing w:val="-27"/>
        </w:rPr>
        <w:t xml:space="preserve"> </w:t>
      </w:r>
      <w:r>
        <w:rPr>
          <w:color w:val="211F1F"/>
        </w:rPr>
        <w:t>thecapacity</w:t>
      </w:r>
      <w:r>
        <w:rPr>
          <w:color w:val="211F1F"/>
          <w:spacing w:val="-21"/>
        </w:rPr>
        <w:t xml:space="preserve"> </w:t>
      </w:r>
      <w:r>
        <w:rPr>
          <w:color w:val="211F1F"/>
        </w:rPr>
        <w:t>of In</w:t>
      </w:r>
      <w:r>
        <w:rPr>
          <w:color w:val="211F1F"/>
          <w:spacing w:val="-26"/>
        </w:rPr>
        <w:t xml:space="preserve"> </w:t>
      </w:r>
      <w:r>
        <w:rPr>
          <w:color w:val="211F1F"/>
        </w:rPr>
        <w:t>the presence</w:t>
      </w:r>
      <w:r>
        <w:rPr>
          <w:color w:val="211F1F"/>
          <w:spacing w:val="-23"/>
        </w:rPr>
        <w:t xml:space="preserve"> </w:t>
      </w:r>
      <w:r>
        <w:rPr>
          <w:color w:val="211F1F"/>
        </w:rPr>
        <w:t>of</w:t>
      </w:r>
    </w:p>
    <w:p w14:paraId="610EDE05" w14:textId="77777777" w:rsidR="00BB77C0" w:rsidRDefault="00BB77C0">
      <w:pPr>
        <w:pStyle w:val="BodyText"/>
        <w:spacing w:line="460" w:lineRule="auto"/>
        <w:sectPr w:rsidR="00BB77C0">
          <w:pgSz w:w="11920" w:h="16850"/>
          <w:pgMar w:top="740" w:right="0" w:bottom="280" w:left="360" w:header="720" w:footer="720" w:gutter="0"/>
          <w:cols w:space="720"/>
        </w:sectPr>
      </w:pPr>
    </w:p>
    <w:p w14:paraId="12684727" w14:textId="77777777" w:rsidR="00BB77C0" w:rsidRDefault="00370BAA">
      <w:pPr>
        <w:spacing w:before="64"/>
        <w:ind w:left="485"/>
        <w:rPr>
          <w:b/>
        </w:rPr>
      </w:pPr>
      <w:r>
        <w:rPr>
          <w:b/>
          <w:color w:val="211F1F"/>
          <w:u w:val="single" w:color="211F1F"/>
        </w:rPr>
        <w:lastRenderedPageBreak/>
        <w:t>FORM</w:t>
      </w:r>
      <w:r>
        <w:rPr>
          <w:b/>
          <w:color w:val="211F1F"/>
          <w:spacing w:val="-10"/>
          <w:u w:val="single" w:color="211F1F"/>
        </w:rPr>
        <w:t xml:space="preserve"> </w:t>
      </w:r>
      <w:r>
        <w:rPr>
          <w:b/>
          <w:color w:val="211F1F"/>
          <w:u w:val="single" w:color="211F1F"/>
        </w:rPr>
        <w:t>NO.</w:t>
      </w:r>
      <w:r>
        <w:rPr>
          <w:b/>
          <w:color w:val="211F1F"/>
          <w:spacing w:val="-6"/>
          <w:u w:val="single" w:color="211F1F"/>
        </w:rPr>
        <w:t xml:space="preserve"> </w:t>
      </w:r>
      <w:r>
        <w:rPr>
          <w:b/>
          <w:color w:val="211F1F"/>
          <w:u w:val="single" w:color="211F1F"/>
        </w:rPr>
        <w:t>7</w:t>
      </w:r>
      <w:r>
        <w:rPr>
          <w:b/>
          <w:color w:val="211F1F"/>
          <w:spacing w:val="-9"/>
          <w:u w:val="single" w:color="211F1F"/>
        </w:rPr>
        <w:t xml:space="preserve"> </w:t>
      </w:r>
      <w:r>
        <w:rPr>
          <w:b/>
          <w:color w:val="211F1F"/>
          <w:u w:val="single" w:color="211F1F"/>
        </w:rPr>
        <w:t>-</w:t>
      </w:r>
      <w:r>
        <w:rPr>
          <w:b/>
          <w:color w:val="211F1F"/>
          <w:spacing w:val="-10"/>
          <w:u w:val="single" w:color="211F1F"/>
        </w:rPr>
        <w:t xml:space="preserve"> </w:t>
      </w:r>
      <w:r>
        <w:rPr>
          <w:b/>
          <w:color w:val="211F1F"/>
          <w:u w:val="single" w:color="211F1F"/>
        </w:rPr>
        <w:t>ADVANCE</w:t>
      </w:r>
      <w:r>
        <w:rPr>
          <w:b/>
          <w:color w:val="211F1F"/>
          <w:spacing w:val="-11"/>
          <w:u w:val="single" w:color="211F1F"/>
        </w:rPr>
        <w:t xml:space="preserve"> </w:t>
      </w:r>
      <w:r>
        <w:rPr>
          <w:b/>
          <w:color w:val="211F1F"/>
          <w:u w:val="single" w:color="211F1F"/>
        </w:rPr>
        <w:t>PAYMENT</w:t>
      </w:r>
      <w:r>
        <w:rPr>
          <w:b/>
          <w:color w:val="211F1F"/>
          <w:spacing w:val="-6"/>
          <w:u w:val="single" w:color="211F1F"/>
        </w:rPr>
        <w:t xml:space="preserve"> </w:t>
      </w:r>
      <w:r>
        <w:rPr>
          <w:b/>
          <w:color w:val="211F1F"/>
          <w:spacing w:val="-2"/>
          <w:u w:val="single" w:color="211F1F"/>
        </w:rPr>
        <w:t>SECURITY</w:t>
      </w:r>
    </w:p>
    <w:p w14:paraId="457E54C5" w14:textId="77777777" w:rsidR="00BB77C0" w:rsidRDefault="00370BAA">
      <w:pPr>
        <w:pStyle w:val="Heading7"/>
        <w:spacing w:before="236"/>
        <w:ind w:left="485"/>
      </w:pPr>
      <w:r>
        <w:rPr>
          <w:color w:val="211F1F"/>
        </w:rPr>
        <w:t>[Demand</w:t>
      </w:r>
      <w:r>
        <w:rPr>
          <w:color w:val="211F1F"/>
          <w:spacing w:val="-12"/>
        </w:rPr>
        <w:t xml:space="preserve"> </w:t>
      </w:r>
      <w:r>
        <w:rPr>
          <w:color w:val="211F1F"/>
        </w:rPr>
        <w:t>Bank</w:t>
      </w:r>
      <w:r>
        <w:rPr>
          <w:color w:val="211F1F"/>
          <w:spacing w:val="-12"/>
        </w:rPr>
        <w:t xml:space="preserve"> </w:t>
      </w:r>
      <w:r>
        <w:rPr>
          <w:color w:val="211F1F"/>
          <w:spacing w:val="-2"/>
        </w:rPr>
        <w:t>Guarantee]</w:t>
      </w:r>
    </w:p>
    <w:p w14:paraId="1A86ECD9" w14:textId="77777777" w:rsidR="00BB77C0" w:rsidRDefault="00370BAA">
      <w:pPr>
        <w:spacing w:before="227"/>
        <w:ind w:left="485"/>
        <w:rPr>
          <w:i/>
        </w:rPr>
      </w:pPr>
      <w:r>
        <w:rPr>
          <w:i/>
          <w:color w:val="211F1F"/>
        </w:rPr>
        <w:t>[Guarantor</w:t>
      </w:r>
      <w:r>
        <w:rPr>
          <w:i/>
          <w:color w:val="211F1F"/>
          <w:spacing w:val="-13"/>
        </w:rPr>
        <w:t xml:space="preserve"> </w:t>
      </w:r>
      <w:r>
        <w:rPr>
          <w:i/>
          <w:color w:val="211F1F"/>
          <w:spacing w:val="-2"/>
        </w:rPr>
        <w:t>letterhead]</w:t>
      </w:r>
    </w:p>
    <w:p w14:paraId="45390E28" w14:textId="77777777" w:rsidR="00BB77C0" w:rsidRDefault="00370BAA">
      <w:pPr>
        <w:tabs>
          <w:tab w:val="left" w:pos="4221"/>
        </w:tabs>
        <w:spacing w:before="237" w:line="251" w:lineRule="exact"/>
        <w:ind w:left="485"/>
        <w:rPr>
          <w:i/>
        </w:rPr>
      </w:pPr>
      <w:r>
        <w:rPr>
          <w:b/>
          <w:color w:val="211F1F"/>
          <w:spacing w:val="-2"/>
        </w:rPr>
        <w:t>Beneficiary:</w:t>
      </w:r>
      <w:r>
        <w:rPr>
          <w:b/>
          <w:color w:val="211F1F"/>
          <w:u w:val="single" w:color="201E1F"/>
        </w:rPr>
        <w:tab/>
      </w:r>
      <w:r>
        <w:rPr>
          <w:i/>
          <w:color w:val="211F1F"/>
          <w:spacing w:val="-4"/>
        </w:rPr>
        <w:t>[Insert</w:t>
      </w:r>
      <w:r>
        <w:rPr>
          <w:i/>
          <w:color w:val="211F1F"/>
          <w:spacing w:val="-14"/>
        </w:rPr>
        <w:t xml:space="preserve"> </w:t>
      </w:r>
      <w:r>
        <w:rPr>
          <w:i/>
          <w:color w:val="211F1F"/>
          <w:spacing w:val="-4"/>
        </w:rPr>
        <w:t>name</w:t>
      </w:r>
      <w:r>
        <w:rPr>
          <w:i/>
          <w:color w:val="211F1F"/>
          <w:spacing w:val="-10"/>
        </w:rPr>
        <w:t xml:space="preserve"> </w:t>
      </w:r>
      <w:r>
        <w:rPr>
          <w:i/>
          <w:color w:val="211F1F"/>
          <w:spacing w:val="-4"/>
        </w:rPr>
        <w:t>and</w:t>
      </w:r>
      <w:r>
        <w:rPr>
          <w:i/>
          <w:color w:val="211F1F"/>
          <w:spacing w:val="-13"/>
        </w:rPr>
        <w:t xml:space="preserve"> </w:t>
      </w:r>
      <w:r>
        <w:rPr>
          <w:i/>
          <w:color w:val="211F1F"/>
          <w:spacing w:val="-4"/>
        </w:rPr>
        <w:t>Address</w:t>
      </w:r>
      <w:r>
        <w:rPr>
          <w:i/>
          <w:color w:val="211F1F"/>
          <w:spacing w:val="-6"/>
        </w:rPr>
        <w:t xml:space="preserve"> </w:t>
      </w:r>
      <w:r>
        <w:rPr>
          <w:i/>
          <w:color w:val="211F1F"/>
          <w:spacing w:val="-4"/>
        </w:rPr>
        <w:t>of</w:t>
      </w:r>
      <w:r>
        <w:rPr>
          <w:i/>
          <w:color w:val="211F1F"/>
          <w:spacing w:val="-12"/>
        </w:rPr>
        <w:t xml:space="preserve"> </w:t>
      </w:r>
      <w:r>
        <w:rPr>
          <w:color w:val="211F1F"/>
          <w:spacing w:val="-4"/>
        </w:rPr>
        <w:t>Procuring</w:t>
      </w:r>
      <w:r>
        <w:rPr>
          <w:color w:val="211F1F"/>
          <w:spacing w:val="-11"/>
        </w:rPr>
        <w:t xml:space="preserve"> </w:t>
      </w:r>
      <w:r>
        <w:rPr>
          <w:color w:val="211F1F"/>
          <w:spacing w:val="-4"/>
        </w:rPr>
        <w:t>Entity</w:t>
      </w:r>
      <w:r>
        <w:rPr>
          <w:i/>
          <w:color w:val="211F1F"/>
          <w:spacing w:val="-4"/>
        </w:rPr>
        <w:t>]</w:t>
      </w:r>
    </w:p>
    <w:p w14:paraId="38E0FFC1" w14:textId="77777777" w:rsidR="00BB77C0" w:rsidRDefault="00370BAA">
      <w:pPr>
        <w:tabs>
          <w:tab w:val="left" w:pos="4273"/>
        </w:tabs>
        <w:spacing w:line="251" w:lineRule="exact"/>
        <w:ind w:left="485"/>
        <w:rPr>
          <w:i/>
        </w:rPr>
      </w:pPr>
      <w:r>
        <w:rPr>
          <w:b/>
          <w:color w:val="211F1F"/>
          <w:spacing w:val="-2"/>
        </w:rPr>
        <w:t>Date:</w:t>
      </w:r>
      <w:r>
        <w:rPr>
          <w:b/>
          <w:color w:val="211F1F"/>
          <w:u w:val="single" w:color="201E1F"/>
        </w:rPr>
        <w:tab/>
      </w:r>
      <w:r>
        <w:rPr>
          <w:i/>
          <w:color w:val="211F1F"/>
          <w:spacing w:val="-2"/>
        </w:rPr>
        <w:t>[Insert</w:t>
      </w:r>
      <w:r>
        <w:rPr>
          <w:i/>
          <w:color w:val="211F1F"/>
          <w:spacing w:val="-23"/>
        </w:rPr>
        <w:t xml:space="preserve"> </w:t>
      </w:r>
      <w:r>
        <w:rPr>
          <w:i/>
          <w:color w:val="211F1F"/>
          <w:spacing w:val="-2"/>
        </w:rPr>
        <w:t>date</w:t>
      </w:r>
      <w:r>
        <w:rPr>
          <w:i/>
          <w:color w:val="211F1F"/>
          <w:spacing w:val="-22"/>
        </w:rPr>
        <w:t xml:space="preserve"> </w:t>
      </w:r>
      <w:r>
        <w:rPr>
          <w:i/>
          <w:color w:val="211F1F"/>
          <w:spacing w:val="-2"/>
        </w:rPr>
        <w:t>of</w:t>
      </w:r>
      <w:r>
        <w:rPr>
          <w:i/>
          <w:color w:val="211F1F"/>
          <w:spacing w:val="-15"/>
        </w:rPr>
        <w:t xml:space="preserve"> </w:t>
      </w:r>
      <w:r>
        <w:rPr>
          <w:i/>
          <w:color w:val="211F1F"/>
          <w:spacing w:val="-2"/>
        </w:rPr>
        <w:t>issue]</w:t>
      </w:r>
    </w:p>
    <w:p w14:paraId="2AC0662E" w14:textId="77777777" w:rsidR="00BB77C0" w:rsidRDefault="00370BAA">
      <w:pPr>
        <w:tabs>
          <w:tab w:val="left" w:pos="6329"/>
        </w:tabs>
        <w:spacing w:before="232"/>
        <w:ind w:left="485"/>
        <w:rPr>
          <w:b/>
        </w:rPr>
      </w:pPr>
      <w:r>
        <w:rPr>
          <w:b/>
          <w:noProof/>
        </w:rPr>
        <mc:AlternateContent>
          <mc:Choice Requires="wps">
            <w:drawing>
              <wp:anchor distT="0" distB="0" distL="0" distR="0" simplePos="0" relativeHeight="15786496" behindDoc="0" locked="0" layoutInCell="1" allowOverlap="1" wp14:anchorId="11CDFA7E" wp14:editId="260F603F">
                <wp:simplePos x="0" y="0"/>
                <wp:positionH relativeFrom="page">
                  <wp:posOffset>7032625</wp:posOffset>
                </wp:positionH>
                <wp:positionV relativeFrom="paragraph">
                  <wp:posOffset>294948</wp:posOffset>
                </wp:positionV>
                <wp:extent cx="33655" cy="13970"/>
                <wp:effectExtent l="0" t="0" r="0" b="0"/>
                <wp:wrapNone/>
                <wp:docPr id="430" name="Graphic 4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655" cy="13970"/>
                        </a:xfrm>
                        <a:custGeom>
                          <a:avLst/>
                          <a:gdLst/>
                          <a:ahLst/>
                          <a:cxnLst/>
                          <a:rect l="l" t="t" r="r" b="b"/>
                          <a:pathLst>
                            <a:path w="33655" h="13970">
                              <a:moveTo>
                                <a:pt x="33526" y="0"/>
                              </a:moveTo>
                              <a:lnTo>
                                <a:pt x="0" y="0"/>
                              </a:lnTo>
                              <a:lnTo>
                                <a:pt x="0" y="13716"/>
                              </a:lnTo>
                              <a:lnTo>
                                <a:pt x="33526" y="13716"/>
                              </a:lnTo>
                              <a:lnTo>
                                <a:pt x="33526" y="0"/>
                              </a:lnTo>
                              <a:close/>
                            </a:path>
                          </a:pathLst>
                        </a:custGeom>
                        <a:solidFill>
                          <a:srgbClr val="201E1F"/>
                        </a:solidFill>
                      </wps:spPr>
                      <wps:bodyPr wrap="square" lIns="0" tIns="0" rIns="0" bIns="0" rtlCol="0">
                        <a:prstTxWarp prst="textNoShape">
                          <a:avLst/>
                        </a:prstTxWarp>
                        <a:noAutofit/>
                      </wps:bodyPr>
                    </wps:wsp>
                  </a:graphicData>
                </a:graphic>
              </wp:anchor>
            </w:drawing>
          </mc:Choice>
          <mc:Fallback>
            <w:pict>
              <v:shape w14:anchorId="619B29C5" id="Graphic 430" o:spid="_x0000_s1026" style="position:absolute;margin-left:553.75pt;margin-top:23.2pt;width:2.65pt;height:1.1pt;z-index:15786496;visibility:visible;mso-wrap-style:square;mso-wrap-distance-left:0;mso-wrap-distance-top:0;mso-wrap-distance-right:0;mso-wrap-distance-bottom:0;mso-position-horizontal:absolute;mso-position-horizontal-relative:page;mso-position-vertical:absolute;mso-position-vertical-relative:text;v-text-anchor:top" coordsize="33655,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" path="m33526,l,,,13716r33526,l33526,xe" fillcolor="#201e1f" stroked="f">
                <v:path arrowok="t"/>
                <w10:wrap anchorx="page"/>
              </v:shape>
            </w:pict>
          </mc:Fallback>
        </mc:AlternateContent>
      </w:r>
      <w:r>
        <w:rPr>
          <w:b/>
          <w:color w:val="211F1F"/>
          <w:spacing w:val="-6"/>
        </w:rPr>
        <w:t>ADVANCE</w:t>
      </w:r>
      <w:r>
        <w:rPr>
          <w:b/>
          <w:color w:val="211F1F"/>
          <w:spacing w:val="7"/>
        </w:rPr>
        <w:t xml:space="preserve"> </w:t>
      </w:r>
      <w:r>
        <w:rPr>
          <w:b/>
          <w:color w:val="211F1F"/>
          <w:spacing w:val="-6"/>
        </w:rPr>
        <w:t>PAYMENTGUARANTEE</w:t>
      </w:r>
      <w:r>
        <w:rPr>
          <w:b/>
          <w:color w:val="211F1F"/>
          <w:spacing w:val="-2"/>
        </w:rPr>
        <w:t xml:space="preserve"> </w:t>
      </w:r>
      <w:r>
        <w:rPr>
          <w:b/>
          <w:color w:val="211F1F"/>
          <w:spacing w:val="-6"/>
        </w:rPr>
        <w:t>No.:</w:t>
      </w:r>
      <w:r>
        <w:rPr>
          <w:i/>
          <w:color w:val="211F1F"/>
          <w:u w:val="thick" w:color="201E1F"/>
        </w:rPr>
        <w:tab/>
      </w:r>
      <w:r>
        <w:rPr>
          <w:i/>
          <w:color w:val="211F1F"/>
        </w:rPr>
        <w:t>[Insert</w:t>
      </w:r>
      <w:r>
        <w:rPr>
          <w:i/>
          <w:color w:val="211F1F"/>
          <w:spacing w:val="-16"/>
        </w:rPr>
        <w:t xml:space="preserve"> </w:t>
      </w:r>
      <w:r>
        <w:rPr>
          <w:i/>
          <w:color w:val="211F1F"/>
        </w:rPr>
        <w:t>guarantee</w:t>
      </w:r>
      <w:r>
        <w:rPr>
          <w:i/>
          <w:color w:val="211F1F"/>
          <w:spacing w:val="-10"/>
        </w:rPr>
        <w:t xml:space="preserve"> </w:t>
      </w:r>
      <w:r>
        <w:rPr>
          <w:i/>
          <w:color w:val="211F1F"/>
        </w:rPr>
        <w:t>reference</w:t>
      </w:r>
      <w:r>
        <w:rPr>
          <w:i/>
          <w:color w:val="211F1F"/>
          <w:spacing w:val="-8"/>
        </w:rPr>
        <w:t xml:space="preserve"> </w:t>
      </w:r>
      <w:r>
        <w:rPr>
          <w:i/>
          <w:color w:val="211F1F"/>
        </w:rPr>
        <w:t>number]</w:t>
      </w:r>
      <w:r>
        <w:rPr>
          <w:i/>
          <w:color w:val="211F1F"/>
          <w:spacing w:val="-6"/>
        </w:rPr>
        <w:t xml:space="preserve"> </w:t>
      </w:r>
      <w:r>
        <w:rPr>
          <w:b/>
          <w:color w:val="211F1F"/>
          <w:spacing w:val="-2"/>
        </w:rPr>
        <w:t>Guarantor:</w:t>
      </w:r>
    </w:p>
    <w:p w14:paraId="321CCF19" w14:textId="77777777" w:rsidR="00BB77C0" w:rsidRDefault="00370BAA">
      <w:pPr>
        <w:tabs>
          <w:tab w:val="left" w:pos="4029"/>
        </w:tabs>
        <w:spacing w:before="232"/>
        <w:ind w:left="485"/>
        <w:rPr>
          <w:i/>
        </w:rPr>
      </w:pPr>
      <w:r>
        <w:rPr>
          <w:b/>
          <w:color w:val="211F1F"/>
          <w:u w:val="single" w:color="201E1F"/>
        </w:rPr>
        <w:tab/>
      </w:r>
      <w:r>
        <w:rPr>
          <w:b/>
          <w:color w:val="211F1F"/>
          <w:spacing w:val="-4"/>
        </w:rPr>
        <w:t>[</w:t>
      </w:r>
      <w:r>
        <w:rPr>
          <w:i/>
          <w:color w:val="211F1F"/>
          <w:spacing w:val="-4"/>
        </w:rPr>
        <w:t>Insert</w:t>
      </w:r>
      <w:r>
        <w:rPr>
          <w:i/>
          <w:color w:val="211F1F"/>
          <w:spacing w:val="-12"/>
        </w:rPr>
        <w:t xml:space="preserve"> </w:t>
      </w:r>
      <w:r>
        <w:rPr>
          <w:i/>
          <w:color w:val="211F1F"/>
          <w:spacing w:val="-4"/>
        </w:rPr>
        <w:t>name</w:t>
      </w:r>
      <w:r>
        <w:rPr>
          <w:i/>
          <w:color w:val="211F1F"/>
          <w:spacing w:val="-14"/>
        </w:rPr>
        <w:t xml:space="preserve"> </w:t>
      </w:r>
      <w:r>
        <w:rPr>
          <w:i/>
          <w:color w:val="211F1F"/>
          <w:spacing w:val="-4"/>
        </w:rPr>
        <w:t>and</w:t>
      </w:r>
      <w:r>
        <w:rPr>
          <w:i/>
          <w:color w:val="211F1F"/>
          <w:spacing w:val="-13"/>
        </w:rPr>
        <w:t xml:space="preserve"> </w:t>
      </w:r>
      <w:r>
        <w:rPr>
          <w:i/>
          <w:color w:val="211F1F"/>
          <w:spacing w:val="-4"/>
        </w:rPr>
        <w:t>address</w:t>
      </w:r>
      <w:r>
        <w:rPr>
          <w:i/>
          <w:color w:val="211F1F"/>
          <w:spacing w:val="-11"/>
        </w:rPr>
        <w:t xml:space="preserve"> </w:t>
      </w:r>
      <w:r>
        <w:rPr>
          <w:i/>
          <w:color w:val="211F1F"/>
          <w:spacing w:val="-4"/>
        </w:rPr>
        <w:t>of</w:t>
      </w:r>
      <w:r>
        <w:rPr>
          <w:i/>
          <w:color w:val="211F1F"/>
          <w:spacing w:val="-18"/>
        </w:rPr>
        <w:t xml:space="preserve"> </w:t>
      </w:r>
      <w:r>
        <w:rPr>
          <w:i/>
          <w:color w:val="211F1F"/>
          <w:spacing w:val="-4"/>
        </w:rPr>
        <w:t>place</w:t>
      </w:r>
      <w:r>
        <w:rPr>
          <w:i/>
          <w:color w:val="211F1F"/>
          <w:spacing w:val="-15"/>
        </w:rPr>
        <w:t xml:space="preserve"> </w:t>
      </w:r>
      <w:r>
        <w:rPr>
          <w:i/>
          <w:color w:val="211F1F"/>
          <w:spacing w:val="-4"/>
        </w:rPr>
        <w:t>of</w:t>
      </w:r>
      <w:r>
        <w:rPr>
          <w:i/>
          <w:color w:val="211F1F"/>
          <w:spacing w:val="-12"/>
        </w:rPr>
        <w:t xml:space="preserve"> </w:t>
      </w:r>
      <w:r>
        <w:rPr>
          <w:i/>
          <w:color w:val="211F1F"/>
          <w:spacing w:val="-4"/>
        </w:rPr>
        <w:t>issue,</w:t>
      </w:r>
      <w:r>
        <w:rPr>
          <w:i/>
          <w:color w:val="211F1F"/>
          <w:spacing w:val="-3"/>
        </w:rPr>
        <w:t xml:space="preserve"> </w:t>
      </w:r>
      <w:r>
        <w:rPr>
          <w:i/>
          <w:color w:val="211F1F"/>
          <w:spacing w:val="-4"/>
        </w:rPr>
        <w:t>unless</w:t>
      </w:r>
      <w:r>
        <w:rPr>
          <w:i/>
          <w:color w:val="211F1F"/>
          <w:spacing w:val="-6"/>
        </w:rPr>
        <w:t xml:space="preserve"> </w:t>
      </w:r>
      <w:r>
        <w:rPr>
          <w:i/>
          <w:color w:val="211F1F"/>
          <w:spacing w:val="-4"/>
        </w:rPr>
        <w:t>indicated</w:t>
      </w:r>
      <w:r>
        <w:rPr>
          <w:i/>
          <w:color w:val="211F1F"/>
          <w:spacing w:val="-12"/>
        </w:rPr>
        <w:t xml:space="preserve"> </w:t>
      </w:r>
      <w:r>
        <w:rPr>
          <w:i/>
          <w:color w:val="211F1F"/>
          <w:spacing w:val="-4"/>
        </w:rPr>
        <w:t>in</w:t>
      </w:r>
      <w:r>
        <w:rPr>
          <w:i/>
          <w:color w:val="211F1F"/>
          <w:spacing w:val="-13"/>
        </w:rPr>
        <w:t xml:space="preserve"> </w:t>
      </w:r>
      <w:r>
        <w:rPr>
          <w:i/>
          <w:color w:val="211F1F"/>
          <w:spacing w:val="-4"/>
        </w:rPr>
        <w:t>the</w:t>
      </w:r>
      <w:r>
        <w:rPr>
          <w:i/>
          <w:color w:val="211F1F"/>
          <w:spacing w:val="-15"/>
        </w:rPr>
        <w:t xml:space="preserve"> </w:t>
      </w:r>
      <w:r>
        <w:rPr>
          <w:i/>
          <w:color w:val="211F1F"/>
          <w:spacing w:val="-4"/>
        </w:rPr>
        <w:t>letterhead]</w:t>
      </w:r>
    </w:p>
    <w:p w14:paraId="1641CA80" w14:textId="77777777" w:rsidR="00BB77C0" w:rsidRDefault="00370BAA">
      <w:pPr>
        <w:pStyle w:val="ListParagraph"/>
        <w:numPr>
          <w:ilvl w:val="0"/>
          <w:numId w:val="8"/>
        </w:numPr>
        <w:tabs>
          <w:tab w:val="left" w:pos="1051"/>
          <w:tab w:val="left" w:pos="2895"/>
          <w:tab w:val="left" w:pos="4792"/>
          <w:tab w:val="left" w:pos="5325"/>
          <w:tab w:val="left" w:pos="10945"/>
        </w:tabs>
        <w:spacing w:before="240" w:line="230" w:lineRule="auto"/>
        <w:ind w:right="610"/>
      </w:pPr>
      <w:r>
        <w:rPr>
          <w:color w:val="211F1F"/>
        </w:rPr>
        <w:t>We have beeninformed that</w:t>
      </w:r>
      <w:r>
        <w:rPr>
          <w:color w:val="211F1F"/>
          <w:u w:val="single" w:color="201E1F"/>
        </w:rPr>
        <w:tab/>
      </w:r>
      <w:r>
        <w:rPr>
          <w:color w:val="211F1F"/>
          <w:u w:val="single" w:color="201E1F"/>
        </w:rPr>
        <w:tab/>
      </w:r>
      <w:r>
        <w:rPr>
          <w:color w:val="211F1F"/>
        </w:rPr>
        <w:t xml:space="preserve">(hereinafter called “the Contractor”) has entered into Contract </w:t>
      </w:r>
      <w:r>
        <w:rPr>
          <w:color w:val="211F1F"/>
          <w:spacing w:val="-4"/>
        </w:rPr>
        <w:t>No.</w:t>
      </w:r>
      <w:r>
        <w:rPr>
          <w:i/>
          <w:color w:val="211F1F"/>
          <w:u w:val="single" w:color="201E1F"/>
        </w:rPr>
        <w:tab/>
      </w:r>
      <w:r>
        <w:rPr>
          <w:i/>
          <w:color w:val="211F1F"/>
          <w:spacing w:val="-4"/>
        </w:rPr>
        <w:t>dated</w:t>
      </w:r>
      <w:r>
        <w:rPr>
          <w:i/>
          <w:color w:val="211F1F"/>
          <w:u w:val="single" w:color="201E1F"/>
        </w:rPr>
        <w:tab/>
      </w:r>
      <w:r>
        <w:rPr>
          <w:color w:val="211F1F"/>
        </w:rPr>
        <w:t xml:space="preserve">with the Beneficiary, for the execution of </w:t>
      </w:r>
      <w:r>
        <w:rPr>
          <w:color w:val="211F1F"/>
          <w:u w:val="single" w:color="201E1F"/>
        </w:rPr>
        <w:tab/>
      </w:r>
      <w:r>
        <w:rPr>
          <w:color w:val="211F1F"/>
        </w:rPr>
        <w:t xml:space="preserve"> (hereinafter called "the Contract").</w:t>
      </w:r>
    </w:p>
    <w:p w14:paraId="750250DC" w14:textId="77777777" w:rsidR="00BB77C0" w:rsidRDefault="00370BAA">
      <w:pPr>
        <w:pStyle w:val="ListParagraph"/>
        <w:numPr>
          <w:ilvl w:val="0"/>
          <w:numId w:val="8"/>
        </w:numPr>
        <w:tabs>
          <w:tab w:val="left" w:pos="1051"/>
        </w:tabs>
        <w:spacing w:before="233" w:line="251" w:lineRule="exact"/>
        <w:ind w:hanging="566"/>
      </w:pPr>
      <w:r>
        <w:rPr>
          <w:color w:val="211F1F"/>
        </w:rPr>
        <w:t>Furthermore,</w:t>
      </w:r>
      <w:r>
        <w:rPr>
          <w:color w:val="211F1F"/>
          <w:spacing w:val="-2"/>
        </w:rPr>
        <w:t xml:space="preserve"> </w:t>
      </w:r>
      <w:r>
        <w:rPr>
          <w:color w:val="211F1F"/>
        </w:rPr>
        <w:t>we</w:t>
      </w:r>
      <w:r>
        <w:rPr>
          <w:color w:val="211F1F"/>
          <w:spacing w:val="-8"/>
        </w:rPr>
        <w:t xml:space="preserve"> </w:t>
      </w:r>
      <w:r>
        <w:rPr>
          <w:color w:val="211F1F"/>
        </w:rPr>
        <w:t>understand</w:t>
      </w:r>
      <w:r>
        <w:rPr>
          <w:color w:val="211F1F"/>
          <w:spacing w:val="-10"/>
        </w:rPr>
        <w:t xml:space="preserve"> </w:t>
      </w:r>
      <w:r>
        <w:rPr>
          <w:color w:val="211F1F"/>
        </w:rPr>
        <w:t>that,</w:t>
      </w:r>
      <w:r>
        <w:rPr>
          <w:color w:val="211F1F"/>
          <w:spacing w:val="-2"/>
        </w:rPr>
        <w:t xml:space="preserve"> </w:t>
      </w:r>
      <w:r>
        <w:rPr>
          <w:color w:val="211F1F"/>
        </w:rPr>
        <w:t>according</w:t>
      </w:r>
      <w:r>
        <w:rPr>
          <w:color w:val="211F1F"/>
          <w:spacing w:val="-9"/>
        </w:rPr>
        <w:t xml:space="preserve"> </w:t>
      </w:r>
      <w:r>
        <w:rPr>
          <w:color w:val="211F1F"/>
        </w:rPr>
        <w:t>to</w:t>
      </w:r>
      <w:r>
        <w:rPr>
          <w:color w:val="211F1F"/>
          <w:spacing w:val="-10"/>
        </w:rPr>
        <w:t xml:space="preserve"> </w:t>
      </w:r>
      <w:r>
        <w:rPr>
          <w:color w:val="211F1F"/>
        </w:rPr>
        <w:t>the</w:t>
      </w:r>
      <w:r>
        <w:rPr>
          <w:color w:val="211F1F"/>
          <w:spacing w:val="-11"/>
        </w:rPr>
        <w:t xml:space="preserve"> </w:t>
      </w:r>
      <w:r>
        <w:rPr>
          <w:color w:val="211F1F"/>
        </w:rPr>
        <w:t>conditions</w:t>
      </w:r>
      <w:r>
        <w:rPr>
          <w:color w:val="211F1F"/>
          <w:spacing w:val="-4"/>
        </w:rPr>
        <w:t xml:space="preserve"> </w:t>
      </w:r>
      <w:r>
        <w:rPr>
          <w:color w:val="211F1F"/>
        </w:rPr>
        <w:t>of</w:t>
      </w:r>
      <w:r>
        <w:rPr>
          <w:color w:val="211F1F"/>
          <w:spacing w:val="-7"/>
        </w:rPr>
        <w:t xml:space="preserve"> </w:t>
      </w:r>
      <w:r>
        <w:rPr>
          <w:color w:val="211F1F"/>
        </w:rPr>
        <w:t>the</w:t>
      </w:r>
      <w:r>
        <w:rPr>
          <w:color w:val="211F1F"/>
          <w:spacing w:val="-11"/>
        </w:rPr>
        <w:t xml:space="preserve"> </w:t>
      </w:r>
      <w:r>
        <w:rPr>
          <w:color w:val="211F1F"/>
        </w:rPr>
        <w:t>Contract,</w:t>
      </w:r>
      <w:r>
        <w:rPr>
          <w:color w:val="211F1F"/>
          <w:spacing w:val="-7"/>
        </w:rPr>
        <w:t xml:space="preserve"> </w:t>
      </w:r>
      <w:r>
        <w:rPr>
          <w:color w:val="211F1F"/>
        </w:rPr>
        <w:t>an</w:t>
      </w:r>
      <w:r>
        <w:rPr>
          <w:color w:val="211F1F"/>
          <w:spacing w:val="-9"/>
        </w:rPr>
        <w:t xml:space="preserve"> </w:t>
      </w:r>
      <w:r>
        <w:rPr>
          <w:color w:val="211F1F"/>
        </w:rPr>
        <w:t>advance</w:t>
      </w:r>
      <w:r>
        <w:rPr>
          <w:color w:val="211F1F"/>
          <w:spacing w:val="-11"/>
        </w:rPr>
        <w:t xml:space="preserve"> </w:t>
      </w:r>
      <w:r>
        <w:rPr>
          <w:color w:val="211F1F"/>
        </w:rPr>
        <w:t>payment in</w:t>
      </w:r>
      <w:r>
        <w:rPr>
          <w:color w:val="211F1F"/>
          <w:spacing w:val="-10"/>
        </w:rPr>
        <w:t xml:space="preserve"> </w:t>
      </w:r>
      <w:r>
        <w:rPr>
          <w:color w:val="211F1F"/>
        </w:rPr>
        <w:t>the</w:t>
      </w:r>
      <w:r>
        <w:rPr>
          <w:color w:val="211F1F"/>
          <w:spacing w:val="-2"/>
        </w:rPr>
        <w:t xml:space="preserve"> </w:t>
      </w:r>
      <w:r>
        <w:rPr>
          <w:color w:val="211F1F"/>
          <w:spacing w:val="-5"/>
        </w:rPr>
        <w:t>sum</w:t>
      </w:r>
    </w:p>
    <w:p w14:paraId="74E5093F" w14:textId="77777777" w:rsidR="00BB77C0" w:rsidRDefault="00370BAA">
      <w:pPr>
        <w:pStyle w:val="BodyText"/>
        <w:tabs>
          <w:tab w:val="left" w:pos="2295"/>
        </w:tabs>
        <w:spacing w:line="251" w:lineRule="exact"/>
        <w:ind w:left="1051"/>
      </w:pPr>
      <w:r>
        <w:rPr>
          <w:color w:val="211F1F"/>
          <w:u w:val="single" w:color="201E1F"/>
        </w:rPr>
        <w:tab/>
      </w:r>
      <w:r>
        <w:rPr>
          <w:color w:val="211F1F"/>
          <w:spacing w:val="-2"/>
        </w:rPr>
        <w:t>(</w:t>
      </w:r>
      <w:r>
        <w:rPr>
          <w:i/>
          <w:color w:val="211F1F"/>
          <w:spacing w:val="-2"/>
        </w:rPr>
        <w:t>in</w:t>
      </w:r>
      <w:r>
        <w:rPr>
          <w:i/>
          <w:color w:val="211F1F"/>
          <w:spacing w:val="-21"/>
        </w:rPr>
        <w:t xml:space="preserve"> </w:t>
      </w:r>
      <w:r>
        <w:rPr>
          <w:i/>
          <w:color w:val="211F1F"/>
          <w:spacing w:val="-2"/>
        </w:rPr>
        <w:t>words</w:t>
      </w:r>
      <w:r>
        <w:rPr>
          <w:color w:val="211F1F"/>
          <w:spacing w:val="-2"/>
        </w:rPr>
        <w:t>)</w:t>
      </w:r>
      <w:r>
        <w:rPr>
          <w:color w:val="211F1F"/>
          <w:spacing w:val="16"/>
        </w:rPr>
        <w:t xml:space="preserve"> </w:t>
      </w:r>
      <w:r>
        <w:rPr>
          <w:color w:val="211F1F"/>
          <w:spacing w:val="-2"/>
        </w:rPr>
        <w:t>is</w:t>
      </w:r>
      <w:r>
        <w:rPr>
          <w:color w:val="211F1F"/>
          <w:spacing w:val="-24"/>
        </w:rPr>
        <w:t xml:space="preserve"> </w:t>
      </w:r>
      <w:r>
        <w:rPr>
          <w:color w:val="211F1F"/>
          <w:spacing w:val="-2"/>
        </w:rPr>
        <w:t>to</w:t>
      </w:r>
      <w:r>
        <w:rPr>
          <w:color w:val="211F1F"/>
          <w:spacing w:val="-19"/>
        </w:rPr>
        <w:t xml:space="preserve"> </w:t>
      </w:r>
      <w:r>
        <w:rPr>
          <w:color w:val="211F1F"/>
          <w:spacing w:val="-2"/>
        </w:rPr>
        <w:t>be</w:t>
      </w:r>
      <w:r>
        <w:rPr>
          <w:color w:val="211F1F"/>
          <w:spacing w:val="-20"/>
        </w:rPr>
        <w:t xml:space="preserve"> </w:t>
      </w:r>
      <w:r>
        <w:rPr>
          <w:color w:val="211F1F"/>
          <w:spacing w:val="-2"/>
        </w:rPr>
        <w:t>made</w:t>
      </w:r>
      <w:r>
        <w:rPr>
          <w:color w:val="211F1F"/>
          <w:spacing w:val="-21"/>
        </w:rPr>
        <w:t xml:space="preserve"> </w:t>
      </w:r>
      <w:r>
        <w:rPr>
          <w:color w:val="211F1F"/>
          <w:spacing w:val="-2"/>
        </w:rPr>
        <w:t>against</w:t>
      </w:r>
      <w:r>
        <w:rPr>
          <w:color w:val="211F1F"/>
          <w:spacing w:val="-17"/>
        </w:rPr>
        <w:t xml:space="preserve"> </w:t>
      </w:r>
      <w:r>
        <w:rPr>
          <w:color w:val="211F1F"/>
          <w:spacing w:val="-2"/>
        </w:rPr>
        <w:t>an</w:t>
      </w:r>
      <w:r>
        <w:rPr>
          <w:color w:val="211F1F"/>
          <w:spacing w:val="-19"/>
        </w:rPr>
        <w:t xml:space="preserve"> </w:t>
      </w:r>
      <w:r>
        <w:rPr>
          <w:color w:val="211F1F"/>
          <w:spacing w:val="-2"/>
        </w:rPr>
        <w:t>advancepayment</w:t>
      </w:r>
      <w:r>
        <w:rPr>
          <w:color w:val="211F1F"/>
          <w:spacing w:val="-6"/>
        </w:rPr>
        <w:t xml:space="preserve"> </w:t>
      </w:r>
      <w:r>
        <w:rPr>
          <w:color w:val="211F1F"/>
          <w:spacing w:val="-2"/>
        </w:rPr>
        <w:t>guarantee.</w:t>
      </w:r>
    </w:p>
    <w:p w14:paraId="11A0A383" w14:textId="77777777" w:rsidR="00BB77C0" w:rsidRDefault="00370BAA">
      <w:pPr>
        <w:pStyle w:val="ListParagraph"/>
        <w:numPr>
          <w:ilvl w:val="0"/>
          <w:numId w:val="8"/>
        </w:numPr>
        <w:tabs>
          <w:tab w:val="left" w:pos="1044"/>
          <w:tab w:val="left" w:pos="1051"/>
          <w:tab w:val="left" w:pos="7149"/>
          <w:tab w:val="left" w:pos="10089"/>
        </w:tabs>
        <w:spacing w:before="236" w:line="230" w:lineRule="auto"/>
        <w:ind w:right="705"/>
        <w:jc w:val="both"/>
      </w:pPr>
      <w:r>
        <w:rPr>
          <w:color w:val="211F1F"/>
        </w:rPr>
        <w:t>At the</w:t>
      </w:r>
      <w:r>
        <w:rPr>
          <w:color w:val="211F1F"/>
          <w:spacing w:val="-7"/>
        </w:rPr>
        <w:t xml:space="preserve"> </w:t>
      </w:r>
      <w:r>
        <w:rPr>
          <w:color w:val="211F1F"/>
        </w:rPr>
        <w:t>request of</w:t>
      </w:r>
      <w:r>
        <w:rPr>
          <w:color w:val="211F1F"/>
          <w:spacing w:val="-2"/>
        </w:rPr>
        <w:t xml:space="preserve"> </w:t>
      </w:r>
      <w:r>
        <w:rPr>
          <w:color w:val="211F1F"/>
        </w:rPr>
        <w:t>the</w:t>
      </w:r>
      <w:r>
        <w:rPr>
          <w:color w:val="211F1F"/>
          <w:spacing w:val="-7"/>
        </w:rPr>
        <w:t xml:space="preserve"> </w:t>
      </w:r>
      <w:r>
        <w:rPr>
          <w:color w:val="211F1F"/>
        </w:rPr>
        <w:t>Contractor,</w:t>
      </w:r>
      <w:r>
        <w:rPr>
          <w:color w:val="211F1F"/>
          <w:spacing w:val="-2"/>
        </w:rPr>
        <w:t xml:space="preserve"> </w:t>
      </w:r>
      <w:r>
        <w:rPr>
          <w:color w:val="211F1F"/>
        </w:rPr>
        <w:t>we</w:t>
      </w:r>
      <w:r>
        <w:rPr>
          <w:color w:val="211F1F"/>
          <w:spacing w:val="-8"/>
        </w:rPr>
        <w:t xml:space="preserve"> </w:t>
      </w:r>
      <w:r>
        <w:rPr>
          <w:color w:val="211F1F"/>
        </w:rPr>
        <w:t>as Guarantor,</w:t>
      </w:r>
      <w:r>
        <w:rPr>
          <w:color w:val="211F1F"/>
          <w:spacing w:val="-2"/>
        </w:rPr>
        <w:t xml:space="preserve"> </w:t>
      </w:r>
      <w:r>
        <w:rPr>
          <w:color w:val="211F1F"/>
        </w:rPr>
        <w:t>hereby</w:t>
      </w:r>
      <w:r>
        <w:rPr>
          <w:color w:val="211F1F"/>
          <w:spacing w:val="-5"/>
        </w:rPr>
        <w:t xml:space="preserve"> </w:t>
      </w:r>
      <w:r>
        <w:rPr>
          <w:color w:val="211F1F"/>
        </w:rPr>
        <w:t>irrevocably</w:t>
      </w:r>
      <w:r>
        <w:rPr>
          <w:color w:val="211F1F"/>
          <w:spacing w:val="-5"/>
        </w:rPr>
        <w:t xml:space="preserve"> </w:t>
      </w:r>
      <w:r>
        <w:rPr>
          <w:color w:val="211F1F"/>
        </w:rPr>
        <w:t>undertake</w:t>
      </w:r>
      <w:r>
        <w:rPr>
          <w:color w:val="211F1F"/>
          <w:spacing w:val="-6"/>
        </w:rPr>
        <w:t xml:space="preserve"> </w:t>
      </w:r>
      <w:r>
        <w:rPr>
          <w:color w:val="211F1F"/>
        </w:rPr>
        <w:t>to</w:t>
      </w:r>
      <w:r>
        <w:rPr>
          <w:color w:val="211F1F"/>
          <w:spacing w:val="-6"/>
        </w:rPr>
        <w:t xml:space="preserve"> </w:t>
      </w:r>
      <w:r>
        <w:rPr>
          <w:color w:val="211F1F"/>
        </w:rPr>
        <w:t>pay</w:t>
      </w:r>
      <w:r>
        <w:rPr>
          <w:color w:val="211F1F"/>
          <w:spacing w:val="-5"/>
        </w:rPr>
        <w:t xml:space="preserve"> </w:t>
      </w:r>
      <w:r>
        <w:rPr>
          <w:color w:val="211F1F"/>
        </w:rPr>
        <w:t>the</w:t>
      </w:r>
      <w:r>
        <w:rPr>
          <w:color w:val="211F1F"/>
          <w:spacing w:val="-7"/>
        </w:rPr>
        <w:t xml:space="preserve"> </w:t>
      </w:r>
      <w:r>
        <w:rPr>
          <w:color w:val="211F1F"/>
        </w:rPr>
        <w:t>Beneficiary</w:t>
      </w:r>
      <w:r>
        <w:rPr>
          <w:color w:val="211F1F"/>
          <w:spacing w:val="-4"/>
        </w:rPr>
        <w:t xml:space="preserve"> </w:t>
      </w:r>
      <w:r>
        <w:rPr>
          <w:color w:val="211F1F"/>
        </w:rPr>
        <w:t>any</w:t>
      </w:r>
      <w:r>
        <w:rPr>
          <w:color w:val="211F1F"/>
          <w:spacing w:val="-5"/>
        </w:rPr>
        <w:t xml:space="preserve"> </w:t>
      </w:r>
      <w:r>
        <w:rPr>
          <w:color w:val="211F1F"/>
        </w:rPr>
        <w:t>sum or sums not exceeding in total an amount of</w:t>
      </w:r>
      <w:r>
        <w:rPr>
          <w:color w:val="211F1F"/>
          <w:u w:val="single" w:color="201E1F"/>
        </w:rPr>
        <w:tab/>
      </w:r>
      <w:r>
        <w:rPr>
          <w:color w:val="211F1F"/>
        </w:rPr>
        <w:t>(</w:t>
      </w:r>
      <w:r>
        <w:rPr>
          <w:i/>
          <w:color w:val="211F1F"/>
        </w:rPr>
        <w:t>in</w:t>
      </w:r>
      <w:r>
        <w:rPr>
          <w:i/>
          <w:color w:val="211F1F"/>
          <w:spacing w:val="-23"/>
        </w:rPr>
        <w:t xml:space="preserve"> </w:t>
      </w:r>
      <w:r>
        <w:rPr>
          <w:i/>
          <w:color w:val="211F1F"/>
        </w:rPr>
        <w:t>words</w:t>
      </w:r>
      <w:r>
        <w:rPr>
          <w:color w:val="211F1F"/>
          <w:u w:val="single" w:color="201E1F"/>
        </w:rPr>
        <w:tab/>
      </w:r>
      <w:r>
        <w:rPr>
          <w:color w:val="211F1F"/>
        </w:rPr>
        <w:t>)</w:t>
      </w:r>
      <w:r>
        <w:rPr>
          <w:i/>
          <w:color w:val="211F1F"/>
          <w:position w:val="11"/>
          <w:sz w:val="11"/>
        </w:rPr>
        <w:t xml:space="preserve">1 </w:t>
      </w:r>
      <w:r>
        <w:rPr>
          <w:color w:val="211F1F"/>
        </w:rPr>
        <w:t>upon receipt by us of the Beneficiary's complying demand supported by the Beneficiary's statement, whether in the demand</w:t>
      </w:r>
      <w:r>
        <w:rPr>
          <w:color w:val="211F1F"/>
          <w:spacing w:val="-2"/>
        </w:rPr>
        <w:t xml:space="preserve"> </w:t>
      </w:r>
      <w:r>
        <w:rPr>
          <w:color w:val="211F1F"/>
        </w:rPr>
        <w:t>itself or in</w:t>
      </w:r>
      <w:r>
        <w:rPr>
          <w:color w:val="211F1F"/>
          <w:spacing w:val="-2"/>
        </w:rPr>
        <w:t xml:space="preserve"> </w:t>
      </w:r>
      <w:r>
        <w:rPr>
          <w:color w:val="211F1F"/>
        </w:rPr>
        <w:t>a</w:t>
      </w:r>
      <w:r>
        <w:rPr>
          <w:color w:val="211F1F"/>
          <w:spacing w:val="-5"/>
        </w:rPr>
        <w:t xml:space="preserve"> </w:t>
      </w:r>
      <w:r>
        <w:rPr>
          <w:color w:val="211F1F"/>
        </w:rPr>
        <w:t>separate</w:t>
      </w:r>
      <w:r>
        <w:rPr>
          <w:color w:val="211F1F"/>
          <w:spacing w:val="-4"/>
        </w:rPr>
        <w:t xml:space="preserve"> </w:t>
      </w:r>
      <w:r>
        <w:rPr>
          <w:color w:val="211F1F"/>
        </w:rPr>
        <w:t>signed document accompanying</w:t>
      </w:r>
      <w:r>
        <w:rPr>
          <w:color w:val="211F1F"/>
          <w:spacing w:val="-1"/>
        </w:rPr>
        <w:t xml:space="preserve"> </w:t>
      </w:r>
      <w:r>
        <w:rPr>
          <w:color w:val="211F1F"/>
        </w:rPr>
        <w:t>or identifying</w:t>
      </w:r>
      <w:r>
        <w:rPr>
          <w:color w:val="211F1F"/>
          <w:spacing w:val="-7"/>
        </w:rPr>
        <w:t xml:space="preserve"> </w:t>
      </w:r>
      <w:r>
        <w:rPr>
          <w:color w:val="211F1F"/>
        </w:rPr>
        <w:t>the</w:t>
      </w:r>
      <w:r>
        <w:rPr>
          <w:color w:val="211F1F"/>
          <w:spacing w:val="-5"/>
        </w:rPr>
        <w:t xml:space="preserve"> </w:t>
      </w:r>
      <w:r>
        <w:rPr>
          <w:color w:val="211F1F"/>
        </w:rPr>
        <w:t>demand, stating</w:t>
      </w:r>
      <w:r>
        <w:rPr>
          <w:color w:val="211F1F"/>
          <w:spacing w:val="-3"/>
        </w:rPr>
        <w:t xml:space="preserve"> </w:t>
      </w:r>
      <w:r>
        <w:rPr>
          <w:color w:val="211F1F"/>
        </w:rPr>
        <w:t>either that</w:t>
      </w:r>
      <w:r>
        <w:rPr>
          <w:color w:val="211F1F"/>
          <w:spacing w:val="-5"/>
        </w:rPr>
        <w:t xml:space="preserve"> </w:t>
      </w:r>
      <w:r>
        <w:rPr>
          <w:color w:val="211F1F"/>
        </w:rPr>
        <w:t xml:space="preserve">the </w:t>
      </w:r>
      <w:r>
        <w:rPr>
          <w:color w:val="211F1F"/>
          <w:spacing w:val="-2"/>
        </w:rPr>
        <w:t>Applicant:</w:t>
      </w:r>
    </w:p>
    <w:p w14:paraId="5AAD822C" w14:textId="77777777" w:rsidR="00BB77C0" w:rsidRDefault="00370BAA">
      <w:pPr>
        <w:pStyle w:val="ListParagraph"/>
        <w:numPr>
          <w:ilvl w:val="1"/>
          <w:numId w:val="8"/>
        </w:numPr>
        <w:tabs>
          <w:tab w:val="left" w:pos="1587"/>
        </w:tabs>
        <w:spacing w:before="37"/>
        <w:ind w:left="1587" w:hanging="536"/>
        <w:jc w:val="both"/>
      </w:pPr>
      <w:r>
        <w:rPr>
          <w:color w:val="211F1F"/>
          <w:spacing w:val="-4"/>
        </w:rPr>
        <w:t>has</w:t>
      </w:r>
      <w:r>
        <w:rPr>
          <w:color w:val="211F1F"/>
          <w:spacing w:val="-8"/>
        </w:rPr>
        <w:t xml:space="preserve"> </w:t>
      </w:r>
      <w:r>
        <w:rPr>
          <w:color w:val="211F1F"/>
          <w:spacing w:val="-4"/>
        </w:rPr>
        <w:t>used</w:t>
      </w:r>
      <w:r>
        <w:rPr>
          <w:color w:val="211F1F"/>
          <w:spacing w:val="-14"/>
        </w:rPr>
        <w:t xml:space="preserve"> </w:t>
      </w:r>
      <w:r>
        <w:rPr>
          <w:color w:val="211F1F"/>
          <w:spacing w:val="-4"/>
        </w:rPr>
        <w:t>the</w:t>
      </w:r>
      <w:r>
        <w:rPr>
          <w:color w:val="211F1F"/>
          <w:spacing w:val="-15"/>
        </w:rPr>
        <w:t xml:space="preserve"> </w:t>
      </w:r>
      <w:r>
        <w:rPr>
          <w:color w:val="211F1F"/>
          <w:spacing w:val="-4"/>
        </w:rPr>
        <w:t>advance</w:t>
      </w:r>
      <w:r>
        <w:rPr>
          <w:color w:val="211F1F"/>
          <w:spacing w:val="-15"/>
        </w:rPr>
        <w:t xml:space="preserve"> </w:t>
      </w:r>
      <w:r>
        <w:rPr>
          <w:color w:val="211F1F"/>
          <w:spacing w:val="-4"/>
        </w:rPr>
        <w:t>payment</w:t>
      </w:r>
      <w:r>
        <w:rPr>
          <w:color w:val="211F1F"/>
          <w:spacing w:val="2"/>
        </w:rPr>
        <w:t xml:space="preserve"> </w:t>
      </w:r>
      <w:r>
        <w:rPr>
          <w:color w:val="211F1F"/>
          <w:spacing w:val="-4"/>
        </w:rPr>
        <w:t>for</w:t>
      </w:r>
      <w:r>
        <w:rPr>
          <w:color w:val="211F1F"/>
          <w:spacing w:val="-10"/>
        </w:rPr>
        <w:t xml:space="preserve"> </w:t>
      </w:r>
      <w:r>
        <w:rPr>
          <w:color w:val="211F1F"/>
          <w:spacing w:val="-4"/>
        </w:rPr>
        <w:t>purposes</w:t>
      </w:r>
      <w:r>
        <w:rPr>
          <w:color w:val="211F1F"/>
          <w:spacing w:val="-6"/>
        </w:rPr>
        <w:t xml:space="preserve"> </w:t>
      </w:r>
      <w:r>
        <w:rPr>
          <w:color w:val="211F1F"/>
          <w:spacing w:val="-4"/>
        </w:rPr>
        <w:t>other</w:t>
      </w:r>
      <w:r>
        <w:rPr>
          <w:color w:val="211F1F"/>
          <w:spacing w:val="-8"/>
        </w:rPr>
        <w:t xml:space="preserve"> </w:t>
      </w:r>
      <w:r>
        <w:rPr>
          <w:color w:val="211F1F"/>
          <w:spacing w:val="-4"/>
        </w:rPr>
        <w:t>than</w:t>
      </w:r>
      <w:r>
        <w:rPr>
          <w:color w:val="211F1F"/>
          <w:spacing w:val="-19"/>
        </w:rPr>
        <w:t xml:space="preserve"> </w:t>
      </w:r>
      <w:r>
        <w:rPr>
          <w:color w:val="211F1F"/>
          <w:spacing w:val="-4"/>
        </w:rPr>
        <w:t>the</w:t>
      </w:r>
      <w:r>
        <w:rPr>
          <w:color w:val="211F1F"/>
          <w:spacing w:val="-8"/>
        </w:rPr>
        <w:t xml:space="preserve"> </w:t>
      </w:r>
      <w:r>
        <w:rPr>
          <w:color w:val="211F1F"/>
          <w:spacing w:val="-4"/>
        </w:rPr>
        <w:t>costs</w:t>
      </w:r>
      <w:r>
        <w:rPr>
          <w:color w:val="211F1F"/>
          <w:spacing w:val="-6"/>
        </w:rPr>
        <w:t xml:space="preserve"> </w:t>
      </w:r>
      <w:r>
        <w:rPr>
          <w:color w:val="211F1F"/>
          <w:spacing w:val="-4"/>
        </w:rPr>
        <w:t>of</w:t>
      </w:r>
      <w:r>
        <w:rPr>
          <w:color w:val="211F1F"/>
          <w:spacing w:val="-10"/>
        </w:rPr>
        <w:t xml:space="preserve"> </w:t>
      </w:r>
      <w:r>
        <w:rPr>
          <w:color w:val="211F1F"/>
          <w:spacing w:val="-4"/>
        </w:rPr>
        <w:t>mobilization</w:t>
      </w:r>
      <w:r>
        <w:rPr>
          <w:color w:val="211F1F"/>
          <w:spacing w:val="-13"/>
        </w:rPr>
        <w:t xml:space="preserve"> </w:t>
      </w:r>
      <w:r>
        <w:rPr>
          <w:color w:val="211F1F"/>
          <w:spacing w:val="-4"/>
        </w:rPr>
        <w:t>in</w:t>
      </w:r>
      <w:r>
        <w:rPr>
          <w:color w:val="211F1F"/>
          <w:spacing w:val="-13"/>
        </w:rPr>
        <w:t xml:space="preserve"> </w:t>
      </w:r>
      <w:r>
        <w:rPr>
          <w:color w:val="211F1F"/>
          <w:spacing w:val="-4"/>
        </w:rPr>
        <w:t>respect</w:t>
      </w:r>
      <w:r>
        <w:rPr>
          <w:color w:val="211F1F"/>
          <w:spacing w:val="-5"/>
        </w:rPr>
        <w:t xml:space="preserve"> </w:t>
      </w:r>
      <w:r>
        <w:rPr>
          <w:color w:val="211F1F"/>
          <w:spacing w:val="-4"/>
        </w:rPr>
        <w:t>of</w:t>
      </w:r>
      <w:r>
        <w:rPr>
          <w:color w:val="211F1F"/>
          <w:spacing w:val="-15"/>
        </w:rPr>
        <w:t xml:space="preserve"> </w:t>
      </w:r>
      <w:r>
        <w:rPr>
          <w:color w:val="211F1F"/>
          <w:spacing w:val="-4"/>
        </w:rPr>
        <w:t>the</w:t>
      </w:r>
      <w:r>
        <w:rPr>
          <w:color w:val="211F1F"/>
          <w:spacing w:val="-21"/>
        </w:rPr>
        <w:t xml:space="preserve"> </w:t>
      </w:r>
      <w:r>
        <w:rPr>
          <w:color w:val="211F1F"/>
          <w:spacing w:val="-4"/>
        </w:rPr>
        <w:t>Works;</w:t>
      </w:r>
      <w:r>
        <w:rPr>
          <w:color w:val="211F1F"/>
          <w:spacing w:val="-9"/>
        </w:rPr>
        <w:t xml:space="preserve"> </w:t>
      </w:r>
      <w:r>
        <w:rPr>
          <w:color w:val="211F1F"/>
          <w:spacing w:val="-5"/>
        </w:rPr>
        <w:t>or</w:t>
      </w:r>
    </w:p>
    <w:p w14:paraId="4D67CAEB" w14:textId="77777777" w:rsidR="00BB77C0" w:rsidRDefault="00370BAA">
      <w:pPr>
        <w:pStyle w:val="ListParagraph"/>
        <w:numPr>
          <w:ilvl w:val="1"/>
          <w:numId w:val="8"/>
        </w:numPr>
        <w:tabs>
          <w:tab w:val="left" w:pos="1587"/>
          <w:tab w:val="left" w:pos="1594"/>
        </w:tabs>
        <w:spacing w:before="42" w:line="232" w:lineRule="auto"/>
        <w:ind w:left="1594" w:right="863" w:hanging="548"/>
        <w:jc w:val="both"/>
      </w:pPr>
      <w:r>
        <w:rPr>
          <w:color w:val="211F1F"/>
          <w:spacing w:val="-2"/>
        </w:rPr>
        <w:t>has</w:t>
      </w:r>
      <w:r>
        <w:rPr>
          <w:color w:val="211F1F"/>
          <w:spacing w:val="-12"/>
        </w:rPr>
        <w:t xml:space="preserve"> </w:t>
      </w:r>
      <w:r>
        <w:rPr>
          <w:color w:val="211F1F"/>
          <w:spacing w:val="-2"/>
        </w:rPr>
        <w:t>failed</w:t>
      </w:r>
      <w:r>
        <w:rPr>
          <w:color w:val="211F1F"/>
          <w:spacing w:val="-12"/>
        </w:rPr>
        <w:t xml:space="preserve"> </w:t>
      </w:r>
      <w:r>
        <w:rPr>
          <w:color w:val="211F1F"/>
          <w:spacing w:val="-2"/>
        </w:rPr>
        <w:t>to</w:t>
      </w:r>
      <w:r>
        <w:rPr>
          <w:color w:val="211F1F"/>
          <w:spacing w:val="-12"/>
        </w:rPr>
        <w:t xml:space="preserve"> </w:t>
      </w:r>
      <w:r>
        <w:rPr>
          <w:color w:val="211F1F"/>
          <w:spacing w:val="-2"/>
        </w:rPr>
        <w:t>repay</w:t>
      </w:r>
      <w:r>
        <w:rPr>
          <w:color w:val="211F1F"/>
          <w:spacing w:val="-11"/>
        </w:rPr>
        <w:t xml:space="preserve"> </w:t>
      </w:r>
      <w:r>
        <w:rPr>
          <w:color w:val="211F1F"/>
          <w:spacing w:val="-2"/>
        </w:rPr>
        <w:t>the</w:t>
      </w:r>
      <w:r>
        <w:rPr>
          <w:color w:val="211F1F"/>
          <w:spacing w:val="-12"/>
        </w:rPr>
        <w:t xml:space="preserve"> </w:t>
      </w:r>
      <w:r>
        <w:rPr>
          <w:color w:val="211F1F"/>
          <w:spacing w:val="-2"/>
        </w:rPr>
        <w:t>advance</w:t>
      </w:r>
      <w:r>
        <w:rPr>
          <w:color w:val="211F1F"/>
          <w:spacing w:val="-12"/>
        </w:rPr>
        <w:t xml:space="preserve"> </w:t>
      </w:r>
      <w:r>
        <w:rPr>
          <w:color w:val="211F1F"/>
          <w:spacing w:val="-2"/>
        </w:rPr>
        <w:t>payment</w:t>
      </w:r>
      <w:r>
        <w:rPr>
          <w:color w:val="211F1F"/>
          <w:spacing w:val="-12"/>
        </w:rPr>
        <w:t xml:space="preserve"> </w:t>
      </w:r>
      <w:r>
        <w:rPr>
          <w:color w:val="211F1F"/>
          <w:spacing w:val="-2"/>
        </w:rPr>
        <w:t>in</w:t>
      </w:r>
      <w:r>
        <w:rPr>
          <w:color w:val="211F1F"/>
          <w:spacing w:val="-11"/>
        </w:rPr>
        <w:t xml:space="preserve"> </w:t>
      </w:r>
      <w:r>
        <w:rPr>
          <w:color w:val="211F1F"/>
          <w:spacing w:val="-2"/>
        </w:rPr>
        <w:t>accordance</w:t>
      </w:r>
      <w:r>
        <w:rPr>
          <w:color w:val="211F1F"/>
          <w:spacing w:val="-12"/>
        </w:rPr>
        <w:t xml:space="preserve"> </w:t>
      </w:r>
      <w:r>
        <w:rPr>
          <w:color w:val="211F1F"/>
          <w:spacing w:val="-2"/>
        </w:rPr>
        <w:t>with</w:t>
      </w:r>
      <w:r>
        <w:rPr>
          <w:color w:val="211F1F"/>
          <w:spacing w:val="-12"/>
        </w:rPr>
        <w:t xml:space="preserve"> </w:t>
      </w:r>
      <w:r>
        <w:rPr>
          <w:color w:val="211F1F"/>
          <w:spacing w:val="-2"/>
        </w:rPr>
        <w:t>the</w:t>
      </w:r>
      <w:r>
        <w:rPr>
          <w:color w:val="211F1F"/>
          <w:spacing w:val="-12"/>
        </w:rPr>
        <w:t xml:space="preserve"> </w:t>
      </w:r>
      <w:r>
        <w:rPr>
          <w:color w:val="211F1F"/>
          <w:spacing w:val="-2"/>
        </w:rPr>
        <w:t>Contract</w:t>
      </w:r>
      <w:r>
        <w:rPr>
          <w:color w:val="211F1F"/>
          <w:spacing w:val="-11"/>
        </w:rPr>
        <w:t xml:space="preserve"> </w:t>
      </w:r>
      <w:r>
        <w:rPr>
          <w:color w:val="211F1F"/>
          <w:spacing w:val="-2"/>
        </w:rPr>
        <w:t>conditions,</w:t>
      </w:r>
      <w:r>
        <w:rPr>
          <w:color w:val="211F1F"/>
          <w:spacing w:val="-6"/>
        </w:rPr>
        <w:t xml:space="preserve"> </w:t>
      </w:r>
      <w:r>
        <w:rPr>
          <w:color w:val="211F1F"/>
          <w:spacing w:val="-2"/>
        </w:rPr>
        <w:t>specifying</w:t>
      </w:r>
      <w:r>
        <w:rPr>
          <w:color w:val="211F1F"/>
          <w:spacing w:val="-12"/>
        </w:rPr>
        <w:t xml:space="preserve"> </w:t>
      </w:r>
      <w:r>
        <w:rPr>
          <w:color w:val="211F1F"/>
          <w:spacing w:val="-2"/>
        </w:rPr>
        <w:t>the</w:t>
      </w:r>
      <w:r>
        <w:rPr>
          <w:color w:val="211F1F"/>
          <w:spacing w:val="-12"/>
        </w:rPr>
        <w:t xml:space="preserve"> </w:t>
      </w:r>
      <w:r>
        <w:rPr>
          <w:color w:val="211F1F"/>
          <w:spacing w:val="-2"/>
        </w:rPr>
        <w:t xml:space="preserve">amount </w:t>
      </w:r>
      <w:r>
        <w:rPr>
          <w:color w:val="211F1F"/>
        </w:rPr>
        <w:t>which the</w:t>
      </w:r>
      <w:r>
        <w:rPr>
          <w:color w:val="211F1F"/>
          <w:spacing w:val="-10"/>
        </w:rPr>
        <w:t xml:space="preserve"> </w:t>
      </w:r>
      <w:r>
        <w:rPr>
          <w:color w:val="211F1F"/>
        </w:rPr>
        <w:t>Applicant has failed to repay.</w:t>
      </w:r>
    </w:p>
    <w:p w14:paraId="21E079A8" w14:textId="77777777" w:rsidR="00BB77C0" w:rsidRDefault="00370BAA">
      <w:pPr>
        <w:pStyle w:val="ListParagraph"/>
        <w:numPr>
          <w:ilvl w:val="0"/>
          <w:numId w:val="8"/>
        </w:numPr>
        <w:tabs>
          <w:tab w:val="left" w:pos="1044"/>
          <w:tab w:val="left" w:pos="1046"/>
          <w:tab w:val="left" w:pos="4173"/>
          <w:tab w:val="left" w:pos="6237"/>
        </w:tabs>
        <w:spacing w:before="241" w:line="230" w:lineRule="auto"/>
        <w:ind w:left="1046" w:right="710" w:hanging="562"/>
        <w:jc w:val="both"/>
      </w:pPr>
      <w:r>
        <w:rPr>
          <w:color w:val="211F1F"/>
        </w:rPr>
        <w:t>A</w:t>
      </w:r>
      <w:r>
        <w:rPr>
          <w:color w:val="211F1F"/>
          <w:spacing w:val="-14"/>
        </w:rPr>
        <w:t xml:space="preserve"> </w:t>
      </w:r>
      <w:r>
        <w:rPr>
          <w:color w:val="211F1F"/>
        </w:rPr>
        <w:t>demand</w:t>
      </w:r>
      <w:r>
        <w:rPr>
          <w:color w:val="211F1F"/>
          <w:spacing w:val="-9"/>
        </w:rPr>
        <w:t xml:space="preserve"> </w:t>
      </w:r>
      <w:r>
        <w:rPr>
          <w:color w:val="211F1F"/>
        </w:rPr>
        <w:t>under this guarantee</w:t>
      </w:r>
      <w:r>
        <w:rPr>
          <w:color w:val="211F1F"/>
          <w:spacing w:val="-1"/>
        </w:rPr>
        <w:t xml:space="preserve"> </w:t>
      </w:r>
      <w:r>
        <w:rPr>
          <w:color w:val="211F1F"/>
        </w:rPr>
        <w:t>may</w:t>
      </w:r>
      <w:r>
        <w:rPr>
          <w:color w:val="211F1F"/>
          <w:spacing w:val="-4"/>
        </w:rPr>
        <w:t xml:space="preserve"> </w:t>
      </w:r>
      <w:r>
        <w:rPr>
          <w:color w:val="211F1F"/>
        </w:rPr>
        <w:t>be</w:t>
      </w:r>
      <w:r>
        <w:rPr>
          <w:color w:val="211F1F"/>
          <w:spacing w:val="-7"/>
        </w:rPr>
        <w:t xml:space="preserve"> </w:t>
      </w:r>
      <w:r>
        <w:rPr>
          <w:color w:val="211F1F"/>
        </w:rPr>
        <w:t>presented</w:t>
      </w:r>
      <w:r>
        <w:rPr>
          <w:color w:val="211F1F"/>
          <w:spacing w:val="-4"/>
        </w:rPr>
        <w:t xml:space="preserve"> </w:t>
      </w:r>
      <w:r>
        <w:rPr>
          <w:color w:val="211F1F"/>
        </w:rPr>
        <w:t>as</w:t>
      </w:r>
      <w:r>
        <w:rPr>
          <w:color w:val="211F1F"/>
          <w:spacing w:val="-4"/>
        </w:rPr>
        <w:t xml:space="preserve"> </w:t>
      </w:r>
      <w:r>
        <w:rPr>
          <w:color w:val="211F1F"/>
        </w:rPr>
        <w:t>from</w:t>
      </w:r>
      <w:r>
        <w:rPr>
          <w:color w:val="211F1F"/>
          <w:spacing w:val="-8"/>
        </w:rPr>
        <w:t xml:space="preserve"> </w:t>
      </w:r>
      <w:r>
        <w:rPr>
          <w:color w:val="211F1F"/>
        </w:rPr>
        <w:t>the</w:t>
      </w:r>
      <w:r>
        <w:rPr>
          <w:color w:val="211F1F"/>
          <w:spacing w:val="-6"/>
        </w:rPr>
        <w:t xml:space="preserve"> </w:t>
      </w:r>
      <w:r>
        <w:rPr>
          <w:color w:val="211F1F"/>
        </w:rPr>
        <w:t>presentation</w:t>
      </w:r>
      <w:r>
        <w:rPr>
          <w:color w:val="211F1F"/>
          <w:spacing w:val="-3"/>
        </w:rPr>
        <w:t xml:space="preserve"> </w:t>
      </w:r>
      <w:r>
        <w:rPr>
          <w:color w:val="211F1F"/>
        </w:rPr>
        <w:t>to</w:t>
      </w:r>
      <w:r>
        <w:rPr>
          <w:color w:val="211F1F"/>
          <w:spacing w:val="-5"/>
        </w:rPr>
        <w:t xml:space="preserve"> </w:t>
      </w:r>
      <w:r>
        <w:rPr>
          <w:color w:val="211F1F"/>
        </w:rPr>
        <w:t>the</w:t>
      </w:r>
      <w:r>
        <w:rPr>
          <w:color w:val="211F1F"/>
          <w:spacing w:val="-7"/>
        </w:rPr>
        <w:t xml:space="preserve"> </w:t>
      </w:r>
      <w:r>
        <w:rPr>
          <w:color w:val="211F1F"/>
        </w:rPr>
        <w:t>Guarantor of</w:t>
      </w:r>
      <w:r>
        <w:rPr>
          <w:color w:val="211F1F"/>
          <w:spacing w:val="-1"/>
        </w:rPr>
        <w:t xml:space="preserve"> </w:t>
      </w:r>
      <w:r>
        <w:rPr>
          <w:color w:val="211F1F"/>
        </w:rPr>
        <w:t>a certificate</w:t>
      </w:r>
      <w:r>
        <w:rPr>
          <w:color w:val="211F1F"/>
          <w:spacing w:val="-5"/>
        </w:rPr>
        <w:t xml:space="preserve"> </w:t>
      </w:r>
      <w:r>
        <w:rPr>
          <w:color w:val="211F1F"/>
        </w:rPr>
        <w:t>from the</w:t>
      </w:r>
      <w:r>
        <w:rPr>
          <w:color w:val="211F1F"/>
          <w:spacing w:val="-8"/>
        </w:rPr>
        <w:t xml:space="preserve"> </w:t>
      </w:r>
      <w:r>
        <w:rPr>
          <w:color w:val="211F1F"/>
        </w:rPr>
        <w:t>Beneficiary's bank</w:t>
      </w:r>
      <w:r>
        <w:rPr>
          <w:color w:val="211F1F"/>
          <w:spacing w:val="-6"/>
        </w:rPr>
        <w:t xml:space="preserve"> </w:t>
      </w:r>
      <w:r>
        <w:rPr>
          <w:color w:val="211F1F"/>
        </w:rPr>
        <w:t>stating</w:t>
      </w:r>
      <w:r>
        <w:rPr>
          <w:color w:val="211F1F"/>
          <w:spacing w:val="-6"/>
        </w:rPr>
        <w:t xml:space="preserve"> </w:t>
      </w:r>
      <w:r>
        <w:rPr>
          <w:color w:val="211F1F"/>
        </w:rPr>
        <w:t>that</w:t>
      </w:r>
      <w:r>
        <w:rPr>
          <w:color w:val="211F1F"/>
          <w:spacing w:val="-5"/>
        </w:rPr>
        <w:t xml:space="preserve"> </w:t>
      </w:r>
      <w:r>
        <w:rPr>
          <w:color w:val="211F1F"/>
        </w:rPr>
        <w:t>the</w:t>
      </w:r>
      <w:r>
        <w:rPr>
          <w:color w:val="211F1F"/>
          <w:spacing w:val="-7"/>
        </w:rPr>
        <w:t xml:space="preserve"> </w:t>
      </w:r>
      <w:r>
        <w:rPr>
          <w:color w:val="211F1F"/>
        </w:rPr>
        <w:t>advance</w:t>
      </w:r>
      <w:r>
        <w:rPr>
          <w:color w:val="211F1F"/>
          <w:spacing w:val="-7"/>
        </w:rPr>
        <w:t xml:space="preserve"> </w:t>
      </w:r>
      <w:r>
        <w:rPr>
          <w:color w:val="211F1F"/>
        </w:rPr>
        <w:t>payment</w:t>
      </w:r>
      <w:r>
        <w:rPr>
          <w:color w:val="211F1F"/>
          <w:spacing w:val="-1"/>
        </w:rPr>
        <w:t xml:space="preserve"> </w:t>
      </w:r>
      <w:r>
        <w:rPr>
          <w:color w:val="211F1F"/>
        </w:rPr>
        <w:t>referred</w:t>
      </w:r>
      <w:r>
        <w:rPr>
          <w:color w:val="211F1F"/>
          <w:spacing w:val="-5"/>
        </w:rPr>
        <w:t xml:space="preserve"> </w:t>
      </w:r>
      <w:r>
        <w:rPr>
          <w:color w:val="211F1F"/>
        </w:rPr>
        <w:t>to</w:t>
      </w:r>
      <w:r>
        <w:rPr>
          <w:color w:val="211F1F"/>
          <w:spacing w:val="-10"/>
        </w:rPr>
        <w:t xml:space="preserve"> </w:t>
      </w:r>
      <w:r>
        <w:rPr>
          <w:color w:val="211F1F"/>
        </w:rPr>
        <w:t>above</w:t>
      </w:r>
      <w:r>
        <w:rPr>
          <w:color w:val="211F1F"/>
          <w:spacing w:val="-7"/>
        </w:rPr>
        <w:t xml:space="preserve"> </w:t>
      </w:r>
      <w:r>
        <w:rPr>
          <w:color w:val="211F1F"/>
        </w:rPr>
        <w:t>has</w:t>
      </w:r>
      <w:r>
        <w:rPr>
          <w:color w:val="211F1F"/>
          <w:spacing w:val="-6"/>
        </w:rPr>
        <w:t xml:space="preserve"> </w:t>
      </w:r>
      <w:r>
        <w:rPr>
          <w:color w:val="211F1F"/>
        </w:rPr>
        <w:t>been</w:t>
      </w:r>
      <w:r>
        <w:rPr>
          <w:color w:val="211F1F"/>
          <w:spacing w:val="-7"/>
        </w:rPr>
        <w:t xml:space="preserve"> </w:t>
      </w:r>
      <w:r>
        <w:rPr>
          <w:color w:val="211F1F"/>
        </w:rPr>
        <w:t>credited</w:t>
      </w:r>
      <w:r>
        <w:rPr>
          <w:color w:val="211F1F"/>
          <w:spacing w:val="-10"/>
        </w:rPr>
        <w:t xml:space="preserve"> </w:t>
      </w:r>
      <w:r>
        <w:rPr>
          <w:color w:val="211F1F"/>
        </w:rPr>
        <w:t>to</w:t>
      </w:r>
      <w:r>
        <w:rPr>
          <w:color w:val="211F1F"/>
          <w:spacing w:val="-7"/>
        </w:rPr>
        <w:t xml:space="preserve"> </w:t>
      </w:r>
      <w:r>
        <w:rPr>
          <w:color w:val="211F1F"/>
        </w:rPr>
        <w:t>the</w:t>
      </w:r>
      <w:r>
        <w:rPr>
          <w:color w:val="211F1F"/>
          <w:spacing w:val="-7"/>
        </w:rPr>
        <w:t xml:space="preserve"> </w:t>
      </w:r>
      <w:r>
        <w:rPr>
          <w:color w:val="211F1F"/>
        </w:rPr>
        <w:t>Contractor</w:t>
      </w:r>
      <w:r>
        <w:rPr>
          <w:color w:val="211F1F"/>
          <w:spacing w:val="-2"/>
        </w:rPr>
        <w:t xml:space="preserve"> </w:t>
      </w:r>
      <w:r>
        <w:rPr>
          <w:color w:val="211F1F"/>
        </w:rPr>
        <w:t>on its account number</w:t>
      </w:r>
      <w:r>
        <w:rPr>
          <w:color w:val="211F1F"/>
          <w:u w:val="single" w:color="201E1F"/>
        </w:rPr>
        <w:tab/>
      </w:r>
      <w:r>
        <w:rPr>
          <w:color w:val="211F1F"/>
          <w:spacing w:val="-6"/>
        </w:rPr>
        <w:t>at</w:t>
      </w:r>
      <w:r>
        <w:rPr>
          <w:color w:val="211F1F"/>
          <w:u w:val="single" w:color="201E1F"/>
        </w:rPr>
        <w:tab/>
      </w:r>
      <w:r>
        <w:rPr>
          <w:color w:val="211F1F"/>
          <w:spacing w:val="-10"/>
        </w:rPr>
        <w:t>.</w:t>
      </w:r>
    </w:p>
    <w:p w14:paraId="3BA7E52B" w14:textId="77777777" w:rsidR="00BB77C0" w:rsidRDefault="00370BAA">
      <w:pPr>
        <w:pStyle w:val="ListParagraph"/>
        <w:numPr>
          <w:ilvl w:val="0"/>
          <w:numId w:val="8"/>
        </w:numPr>
        <w:tabs>
          <w:tab w:val="left" w:pos="1049"/>
          <w:tab w:val="left" w:pos="1051"/>
          <w:tab w:val="left" w:pos="6367"/>
        </w:tabs>
        <w:spacing w:before="246" w:line="230" w:lineRule="auto"/>
        <w:ind w:right="708"/>
        <w:jc w:val="both"/>
      </w:pPr>
      <w:r>
        <w:rPr>
          <w:color w:val="211F1F"/>
        </w:rPr>
        <w:t>The maximum</w:t>
      </w:r>
      <w:r>
        <w:rPr>
          <w:color w:val="211F1F"/>
          <w:spacing w:val="-2"/>
        </w:rPr>
        <w:t xml:space="preserve"> </w:t>
      </w:r>
      <w:r>
        <w:rPr>
          <w:color w:val="211F1F"/>
        </w:rPr>
        <w:t>amount of this guarantee shall be progressively reduced by the amount of the advance payment repaid by the Contractor as specified in copies of interim statements or payment certificates which shall be presented to us. This guarantee shall expire, at the latest, upon our receipt of a copy of the interim payment certificate</w:t>
      </w:r>
      <w:r>
        <w:rPr>
          <w:color w:val="211F1F"/>
          <w:spacing w:val="-14"/>
        </w:rPr>
        <w:t xml:space="preserve"> </w:t>
      </w:r>
      <w:r>
        <w:rPr>
          <w:color w:val="211F1F"/>
        </w:rPr>
        <w:t>indicating</w:t>
      </w:r>
      <w:r>
        <w:rPr>
          <w:color w:val="211F1F"/>
          <w:spacing w:val="-7"/>
        </w:rPr>
        <w:t xml:space="preserve"> </w:t>
      </w:r>
      <w:r>
        <w:rPr>
          <w:color w:val="211F1F"/>
        </w:rPr>
        <w:t>that</w:t>
      </w:r>
      <w:r>
        <w:rPr>
          <w:color w:val="211F1F"/>
          <w:spacing w:val="-1"/>
        </w:rPr>
        <w:t xml:space="preserve"> </w:t>
      </w:r>
      <w:r>
        <w:rPr>
          <w:color w:val="211F1F"/>
        </w:rPr>
        <w:t>ninety</w:t>
      </w:r>
      <w:r>
        <w:rPr>
          <w:color w:val="211F1F"/>
          <w:spacing w:val="-5"/>
        </w:rPr>
        <w:t xml:space="preserve"> </w:t>
      </w:r>
      <w:r>
        <w:rPr>
          <w:color w:val="211F1F"/>
        </w:rPr>
        <w:t>(90)</w:t>
      </w:r>
      <w:r>
        <w:rPr>
          <w:color w:val="211F1F"/>
          <w:spacing w:val="-4"/>
        </w:rPr>
        <w:t xml:space="preserve"> </w:t>
      </w:r>
      <w:r>
        <w:rPr>
          <w:color w:val="211F1F"/>
        </w:rPr>
        <w:t>percent</w:t>
      </w:r>
      <w:r>
        <w:rPr>
          <w:color w:val="211F1F"/>
          <w:spacing w:val="-1"/>
        </w:rPr>
        <w:t xml:space="preserve"> </w:t>
      </w:r>
      <w:r>
        <w:rPr>
          <w:color w:val="211F1F"/>
        </w:rPr>
        <w:t>of</w:t>
      </w:r>
      <w:r>
        <w:rPr>
          <w:color w:val="211F1F"/>
          <w:spacing w:val="-4"/>
        </w:rPr>
        <w:t xml:space="preserve"> </w:t>
      </w:r>
      <w:r>
        <w:rPr>
          <w:color w:val="211F1F"/>
        </w:rPr>
        <w:t>the</w:t>
      </w:r>
      <w:r>
        <w:rPr>
          <w:color w:val="211F1F"/>
          <w:spacing w:val="-14"/>
        </w:rPr>
        <w:t xml:space="preserve"> </w:t>
      </w:r>
      <w:r>
        <w:rPr>
          <w:color w:val="211F1F"/>
        </w:rPr>
        <w:t>Accepted</w:t>
      </w:r>
      <w:r>
        <w:rPr>
          <w:color w:val="211F1F"/>
          <w:spacing w:val="-6"/>
        </w:rPr>
        <w:t xml:space="preserve"> </w:t>
      </w:r>
      <w:r>
        <w:rPr>
          <w:color w:val="211F1F"/>
        </w:rPr>
        <w:t>Contract</w:t>
      </w:r>
      <w:r>
        <w:rPr>
          <w:color w:val="211F1F"/>
          <w:spacing w:val="-14"/>
        </w:rPr>
        <w:t xml:space="preserve"> </w:t>
      </w:r>
      <w:r>
        <w:rPr>
          <w:color w:val="211F1F"/>
        </w:rPr>
        <w:t>Amount, less</w:t>
      </w:r>
      <w:r>
        <w:rPr>
          <w:color w:val="211F1F"/>
          <w:spacing w:val="-2"/>
        </w:rPr>
        <w:t xml:space="preserve"> </w:t>
      </w:r>
      <w:r>
        <w:rPr>
          <w:color w:val="211F1F"/>
        </w:rPr>
        <w:t>provisional</w:t>
      </w:r>
      <w:r>
        <w:rPr>
          <w:color w:val="211F1F"/>
          <w:spacing w:val="-5"/>
        </w:rPr>
        <w:t xml:space="preserve"> </w:t>
      </w:r>
      <w:r>
        <w:rPr>
          <w:color w:val="211F1F"/>
        </w:rPr>
        <w:t>sums, has</w:t>
      </w:r>
      <w:r>
        <w:rPr>
          <w:color w:val="211F1F"/>
          <w:spacing w:val="-2"/>
        </w:rPr>
        <w:t xml:space="preserve"> </w:t>
      </w:r>
      <w:r>
        <w:rPr>
          <w:color w:val="211F1F"/>
        </w:rPr>
        <w:t xml:space="preserve">been certified for payment, or on the </w:t>
      </w:r>
      <w:r>
        <w:rPr>
          <w:color w:val="211F1F"/>
          <w:spacing w:val="489"/>
          <w:u w:val="single" w:color="201E1F"/>
        </w:rPr>
        <w:t xml:space="preserve"> </w:t>
      </w:r>
      <w:r>
        <w:rPr>
          <w:color w:val="211F1F"/>
          <w:spacing w:val="221"/>
        </w:rPr>
        <w:t xml:space="preserve"> </w:t>
      </w:r>
      <w:r>
        <w:rPr>
          <w:color w:val="211F1F"/>
        </w:rPr>
        <w:t>day of</w:t>
      </w:r>
      <w:r>
        <w:rPr>
          <w:color w:val="211F1F"/>
          <w:u w:val="single" w:color="201E1F"/>
        </w:rPr>
        <w:tab/>
      </w:r>
      <w:r>
        <w:rPr>
          <w:color w:val="211F1F"/>
          <w:spacing w:val="-2"/>
        </w:rPr>
        <w:t>,</w:t>
      </w:r>
      <w:r>
        <w:rPr>
          <w:color w:val="211F1F"/>
          <w:spacing w:val="-12"/>
        </w:rPr>
        <w:t xml:space="preserve"> </w:t>
      </w:r>
      <w:r>
        <w:rPr>
          <w:color w:val="211F1F"/>
          <w:spacing w:val="-2"/>
        </w:rPr>
        <w:t>2</w:t>
      </w:r>
      <w:r>
        <w:rPr>
          <w:color w:val="211F1F"/>
          <w:spacing w:val="-12"/>
        </w:rPr>
        <w:t xml:space="preserve"> </w:t>
      </w:r>
      <w:r>
        <w:rPr>
          <w:color w:val="211F1F"/>
          <w:spacing w:val="-2"/>
        </w:rPr>
        <w:t>,</w:t>
      </w:r>
      <w:r>
        <w:rPr>
          <w:color w:val="211F1F"/>
          <w:spacing w:val="-2"/>
          <w:position w:val="11"/>
          <w:sz w:val="11"/>
        </w:rPr>
        <w:t>2</w:t>
      </w:r>
      <w:r>
        <w:rPr>
          <w:color w:val="211F1F"/>
          <w:spacing w:val="-5"/>
          <w:position w:val="11"/>
          <w:sz w:val="11"/>
        </w:rPr>
        <w:t xml:space="preserve"> </w:t>
      </w:r>
      <w:r>
        <w:rPr>
          <w:color w:val="211F1F"/>
          <w:spacing w:val="-2"/>
        </w:rPr>
        <w:t>whichever</w:t>
      </w:r>
      <w:r>
        <w:rPr>
          <w:color w:val="211F1F"/>
          <w:spacing w:val="-12"/>
        </w:rPr>
        <w:t xml:space="preserve"> </w:t>
      </w:r>
      <w:r>
        <w:rPr>
          <w:color w:val="211F1F"/>
          <w:spacing w:val="-2"/>
        </w:rPr>
        <w:t>is</w:t>
      </w:r>
      <w:r>
        <w:rPr>
          <w:color w:val="211F1F"/>
          <w:spacing w:val="-11"/>
        </w:rPr>
        <w:t xml:space="preserve"> </w:t>
      </w:r>
      <w:r>
        <w:rPr>
          <w:color w:val="211F1F"/>
          <w:spacing w:val="-2"/>
        </w:rPr>
        <w:t>earlier.</w:t>
      </w:r>
      <w:r>
        <w:rPr>
          <w:color w:val="211F1F"/>
          <w:spacing w:val="-12"/>
        </w:rPr>
        <w:t xml:space="preserve"> </w:t>
      </w:r>
      <w:r>
        <w:rPr>
          <w:color w:val="211F1F"/>
          <w:spacing w:val="-2"/>
        </w:rPr>
        <w:t>Consequently,</w:t>
      </w:r>
      <w:r>
        <w:rPr>
          <w:color w:val="211F1F"/>
          <w:spacing w:val="-7"/>
        </w:rPr>
        <w:t xml:space="preserve"> </w:t>
      </w:r>
      <w:r>
        <w:rPr>
          <w:color w:val="211F1F"/>
          <w:spacing w:val="-55"/>
        </w:rPr>
        <w:t>anyd</w:t>
      </w:r>
      <w:r>
        <w:rPr>
          <w:color w:val="211F1F"/>
          <w:spacing w:val="41"/>
        </w:rPr>
        <w:t xml:space="preserve"> </w:t>
      </w:r>
      <w:r>
        <w:rPr>
          <w:color w:val="211F1F"/>
          <w:spacing w:val="-2"/>
        </w:rPr>
        <w:t>e</w:t>
      </w:r>
      <w:r>
        <w:rPr>
          <w:color w:val="211F1F"/>
          <w:spacing w:val="-11"/>
        </w:rPr>
        <w:t xml:space="preserve"> </w:t>
      </w:r>
      <w:r>
        <w:rPr>
          <w:color w:val="211F1F"/>
          <w:spacing w:val="-2"/>
        </w:rPr>
        <w:t>ma</w:t>
      </w:r>
      <w:r>
        <w:rPr>
          <w:color w:val="211F1F"/>
          <w:spacing w:val="-12"/>
        </w:rPr>
        <w:t xml:space="preserve"> </w:t>
      </w:r>
      <w:r>
        <w:rPr>
          <w:color w:val="211F1F"/>
          <w:spacing w:val="-2"/>
        </w:rPr>
        <w:t>n</w:t>
      </w:r>
      <w:r>
        <w:rPr>
          <w:color w:val="211F1F"/>
          <w:spacing w:val="-12"/>
        </w:rPr>
        <w:t xml:space="preserve"> </w:t>
      </w:r>
      <w:r>
        <w:rPr>
          <w:color w:val="211F1F"/>
          <w:spacing w:val="-2"/>
        </w:rPr>
        <w:t xml:space="preserve">d </w:t>
      </w:r>
      <w:r>
        <w:rPr>
          <w:color w:val="211F1F"/>
        </w:rPr>
        <w:t>for</w:t>
      </w:r>
      <w:r>
        <w:rPr>
          <w:color w:val="211F1F"/>
          <w:spacing w:val="-1"/>
        </w:rPr>
        <w:t xml:space="preserve"> </w:t>
      </w:r>
      <w:r>
        <w:rPr>
          <w:color w:val="211F1F"/>
        </w:rPr>
        <w:t>payment</w:t>
      </w:r>
      <w:r>
        <w:rPr>
          <w:color w:val="211F1F"/>
          <w:spacing w:val="-4"/>
        </w:rPr>
        <w:t xml:space="preserve"> </w:t>
      </w:r>
      <w:r>
        <w:rPr>
          <w:color w:val="211F1F"/>
        </w:rPr>
        <w:t>under</w:t>
      </w:r>
      <w:r>
        <w:rPr>
          <w:color w:val="211F1F"/>
          <w:spacing w:val="-6"/>
        </w:rPr>
        <w:t xml:space="preserve"> </w:t>
      </w:r>
      <w:r>
        <w:rPr>
          <w:color w:val="211F1F"/>
        </w:rPr>
        <w:t>this</w:t>
      </w:r>
      <w:r>
        <w:rPr>
          <w:color w:val="211F1F"/>
          <w:spacing w:val="-9"/>
        </w:rPr>
        <w:t xml:space="preserve"> </w:t>
      </w:r>
      <w:r>
        <w:rPr>
          <w:color w:val="211F1F"/>
        </w:rPr>
        <w:t>guarantee</w:t>
      </w:r>
      <w:r>
        <w:rPr>
          <w:color w:val="211F1F"/>
          <w:spacing w:val="-12"/>
        </w:rPr>
        <w:t xml:space="preserve"> </w:t>
      </w:r>
      <w:r>
        <w:rPr>
          <w:color w:val="211F1F"/>
        </w:rPr>
        <w:t>must</w:t>
      </w:r>
      <w:r>
        <w:rPr>
          <w:color w:val="211F1F"/>
          <w:spacing w:val="-4"/>
        </w:rPr>
        <w:t xml:space="preserve"> </w:t>
      </w:r>
      <w:r>
        <w:rPr>
          <w:color w:val="211F1F"/>
        </w:rPr>
        <w:t>be</w:t>
      </w:r>
      <w:r>
        <w:rPr>
          <w:color w:val="211F1F"/>
          <w:spacing w:val="-19"/>
        </w:rPr>
        <w:t xml:space="preserve"> </w:t>
      </w:r>
      <w:r>
        <w:rPr>
          <w:color w:val="211F1F"/>
        </w:rPr>
        <w:t>received</w:t>
      </w:r>
      <w:r>
        <w:rPr>
          <w:color w:val="211F1F"/>
          <w:spacing w:val="-15"/>
        </w:rPr>
        <w:t xml:space="preserve"> </w:t>
      </w:r>
      <w:r>
        <w:rPr>
          <w:color w:val="211F1F"/>
        </w:rPr>
        <w:t>by</w:t>
      </w:r>
      <w:r>
        <w:rPr>
          <w:color w:val="211F1F"/>
          <w:spacing w:val="-17"/>
        </w:rPr>
        <w:t xml:space="preserve"> </w:t>
      </w:r>
      <w:r>
        <w:rPr>
          <w:color w:val="211F1F"/>
        </w:rPr>
        <w:t>us</w:t>
      </w:r>
      <w:r>
        <w:rPr>
          <w:color w:val="211F1F"/>
          <w:spacing w:val="-11"/>
        </w:rPr>
        <w:t xml:space="preserve"> </w:t>
      </w:r>
      <w:r>
        <w:rPr>
          <w:color w:val="211F1F"/>
        </w:rPr>
        <w:t>at</w:t>
      </w:r>
      <w:r>
        <w:rPr>
          <w:color w:val="211F1F"/>
          <w:spacing w:val="-9"/>
        </w:rPr>
        <w:t xml:space="preserve"> </w:t>
      </w:r>
      <w:r>
        <w:rPr>
          <w:color w:val="211F1F"/>
        </w:rPr>
        <w:t>this</w:t>
      </w:r>
      <w:r>
        <w:rPr>
          <w:color w:val="211F1F"/>
          <w:spacing w:val="-9"/>
        </w:rPr>
        <w:t xml:space="preserve"> </w:t>
      </w:r>
      <w:r>
        <w:rPr>
          <w:color w:val="211F1F"/>
        </w:rPr>
        <w:t>office</w:t>
      </w:r>
      <w:r>
        <w:rPr>
          <w:color w:val="211F1F"/>
          <w:spacing w:val="-13"/>
        </w:rPr>
        <w:t xml:space="preserve"> </w:t>
      </w:r>
      <w:r>
        <w:rPr>
          <w:color w:val="211F1F"/>
        </w:rPr>
        <w:t>on</w:t>
      </w:r>
      <w:r>
        <w:rPr>
          <w:color w:val="211F1F"/>
          <w:spacing w:val="-11"/>
        </w:rPr>
        <w:t xml:space="preserve"> </w:t>
      </w:r>
      <w:r>
        <w:rPr>
          <w:color w:val="211F1F"/>
        </w:rPr>
        <w:t>or before</w:t>
      </w:r>
      <w:r>
        <w:rPr>
          <w:color w:val="211F1F"/>
          <w:spacing w:val="-18"/>
        </w:rPr>
        <w:t xml:space="preserve"> </w:t>
      </w:r>
      <w:r>
        <w:rPr>
          <w:color w:val="211F1F"/>
        </w:rPr>
        <w:t>that</w:t>
      </w:r>
      <w:r>
        <w:rPr>
          <w:color w:val="211F1F"/>
          <w:spacing w:val="-9"/>
        </w:rPr>
        <w:t xml:space="preserve"> </w:t>
      </w:r>
      <w:r>
        <w:rPr>
          <w:color w:val="211F1F"/>
        </w:rPr>
        <w:t>date.</w:t>
      </w:r>
    </w:p>
    <w:p w14:paraId="330F72DF" w14:textId="77777777" w:rsidR="00BB77C0" w:rsidRDefault="00370BAA">
      <w:pPr>
        <w:pStyle w:val="ListParagraph"/>
        <w:numPr>
          <w:ilvl w:val="0"/>
          <w:numId w:val="8"/>
        </w:numPr>
        <w:tabs>
          <w:tab w:val="left" w:pos="1044"/>
          <w:tab w:val="left" w:pos="1046"/>
        </w:tabs>
        <w:spacing w:before="235" w:line="230" w:lineRule="auto"/>
        <w:ind w:left="1046" w:right="708" w:hanging="562"/>
        <w:jc w:val="both"/>
      </w:pPr>
      <w:r>
        <w:rPr>
          <w:color w:val="211F1F"/>
          <w:spacing w:val="-2"/>
        </w:rPr>
        <w:t>The</w:t>
      </w:r>
      <w:r>
        <w:rPr>
          <w:color w:val="211F1F"/>
          <w:spacing w:val="-12"/>
        </w:rPr>
        <w:t xml:space="preserve"> </w:t>
      </w:r>
      <w:r>
        <w:rPr>
          <w:color w:val="211F1F"/>
          <w:spacing w:val="-2"/>
        </w:rPr>
        <w:t>Guarantor</w:t>
      </w:r>
      <w:r>
        <w:rPr>
          <w:color w:val="211F1F"/>
          <w:spacing w:val="-12"/>
        </w:rPr>
        <w:t xml:space="preserve"> </w:t>
      </w:r>
      <w:r>
        <w:rPr>
          <w:color w:val="211F1F"/>
          <w:spacing w:val="-2"/>
        </w:rPr>
        <w:t>agrees</w:t>
      </w:r>
      <w:r>
        <w:rPr>
          <w:color w:val="211F1F"/>
          <w:spacing w:val="-12"/>
        </w:rPr>
        <w:t xml:space="preserve"> </w:t>
      </w:r>
      <w:r>
        <w:rPr>
          <w:color w:val="211F1F"/>
          <w:spacing w:val="-2"/>
        </w:rPr>
        <w:t>to</w:t>
      </w:r>
      <w:r>
        <w:rPr>
          <w:color w:val="211F1F"/>
          <w:spacing w:val="-11"/>
        </w:rPr>
        <w:t xml:space="preserve"> </w:t>
      </w:r>
      <w:r>
        <w:rPr>
          <w:color w:val="211F1F"/>
          <w:spacing w:val="-2"/>
        </w:rPr>
        <w:t>a</w:t>
      </w:r>
      <w:r>
        <w:rPr>
          <w:color w:val="211F1F"/>
          <w:spacing w:val="-12"/>
        </w:rPr>
        <w:t xml:space="preserve"> </w:t>
      </w:r>
      <w:r>
        <w:rPr>
          <w:color w:val="211F1F"/>
          <w:spacing w:val="-2"/>
        </w:rPr>
        <w:t>one-time</w:t>
      </w:r>
      <w:r>
        <w:rPr>
          <w:color w:val="211F1F"/>
          <w:spacing w:val="-12"/>
        </w:rPr>
        <w:t xml:space="preserve"> </w:t>
      </w:r>
      <w:r>
        <w:rPr>
          <w:color w:val="211F1F"/>
          <w:spacing w:val="-2"/>
        </w:rPr>
        <w:t>extension</w:t>
      </w:r>
      <w:r>
        <w:rPr>
          <w:color w:val="211F1F"/>
          <w:spacing w:val="-12"/>
        </w:rPr>
        <w:t xml:space="preserve"> </w:t>
      </w:r>
      <w:r>
        <w:rPr>
          <w:color w:val="211F1F"/>
          <w:spacing w:val="-2"/>
        </w:rPr>
        <w:t>of</w:t>
      </w:r>
      <w:r>
        <w:rPr>
          <w:color w:val="211F1F"/>
          <w:spacing w:val="-11"/>
        </w:rPr>
        <w:t xml:space="preserve"> </w:t>
      </w:r>
      <w:r>
        <w:rPr>
          <w:color w:val="211F1F"/>
          <w:spacing w:val="-2"/>
        </w:rPr>
        <w:t>this</w:t>
      </w:r>
      <w:r>
        <w:rPr>
          <w:color w:val="211F1F"/>
          <w:spacing w:val="-12"/>
        </w:rPr>
        <w:t xml:space="preserve"> </w:t>
      </w:r>
      <w:r>
        <w:rPr>
          <w:color w:val="211F1F"/>
          <w:spacing w:val="-2"/>
        </w:rPr>
        <w:t>guarantee</w:t>
      </w:r>
      <w:r>
        <w:rPr>
          <w:color w:val="211F1F"/>
          <w:spacing w:val="-12"/>
        </w:rPr>
        <w:t xml:space="preserve"> </w:t>
      </w:r>
      <w:r>
        <w:rPr>
          <w:color w:val="211F1F"/>
          <w:spacing w:val="-2"/>
        </w:rPr>
        <w:t>for</w:t>
      </w:r>
      <w:r>
        <w:rPr>
          <w:color w:val="211F1F"/>
          <w:spacing w:val="-12"/>
        </w:rPr>
        <w:t xml:space="preserve"> </w:t>
      </w:r>
      <w:r>
        <w:rPr>
          <w:color w:val="211F1F"/>
          <w:spacing w:val="-2"/>
        </w:rPr>
        <w:t>a</w:t>
      </w:r>
      <w:r>
        <w:rPr>
          <w:color w:val="211F1F"/>
          <w:spacing w:val="-11"/>
        </w:rPr>
        <w:t xml:space="preserve"> </w:t>
      </w:r>
      <w:r>
        <w:rPr>
          <w:color w:val="211F1F"/>
          <w:spacing w:val="-2"/>
        </w:rPr>
        <w:t>period</w:t>
      </w:r>
      <w:r>
        <w:rPr>
          <w:color w:val="211F1F"/>
          <w:spacing w:val="-12"/>
        </w:rPr>
        <w:t xml:space="preserve"> </w:t>
      </w:r>
      <w:r>
        <w:rPr>
          <w:color w:val="211F1F"/>
          <w:spacing w:val="-2"/>
        </w:rPr>
        <w:t>not</w:t>
      </w:r>
      <w:r>
        <w:rPr>
          <w:color w:val="211F1F"/>
          <w:spacing w:val="-12"/>
        </w:rPr>
        <w:t xml:space="preserve"> </w:t>
      </w:r>
      <w:r>
        <w:rPr>
          <w:color w:val="211F1F"/>
          <w:spacing w:val="-2"/>
        </w:rPr>
        <w:t>to</w:t>
      </w:r>
      <w:r>
        <w:rPr>
          <w:color w:val="211F1F"/>
          <w:spacing w:val="-12"/>
        </w:rPr>
        <w:t xml:space="preserve"> </w:t>
      </w:r>
      <w:r>
        <w:rPr>
          <w:color w:val="211F1F"/>
          <w:spacing w:val="-2"/>
        </w:rPr>
        <w:t>exceed</w:t>
      </w:r>
      <w:r>
        <w:rPr>
          <w:color w:val="211F1F"/>
          <w:spacing w:val="-11"/>
        </w:rPr>
        <w:t xml:space="preserve"> </w:t>
      </w:r>
      <w:r>
        <w:rPr>
          <w:i/>
          <w:color w:val="211F1F"/>
          <w:spacing w:val="-2"/>
        </w:rPr>
        <w:t>[sixmonths][one</w:t>
      </w:r>
      <w:r>
        <w:rPr>
          <w:i/>
          <w:color w:val="211F1F"/>
          <w:spacing w:val="-12"/>
        </w:rPr>
        <w:t xml:space="preserve"> </w:t>
      </w:r>
      <w:r>
        <w:rPr>
          <w:i/>
          <w:color w:val="211F1F"/>
          <w:spacing w:val="-2"/>
        </w:rPr>
        <w:t>year],</w:t>
      </w:r>
      <w:r>
        <w:rPr>
          <w:i/>
          <w:color w:val="211F1F"/>
          <w:spacing w:val="-10"/>
        </w:rPr>
        <w:t xml:space="preserve"> </w:t>
      </w:r>
      <w:r>
        <w:rPr>
          <w:color w:val="211F1F"/>
          <w:spacing w:val="-2"/>
        </w:rPr>
        <w:t xml:space="preserve">in </w:t>
      </w:r>
      <w:r>
        <w:rPr>
          <w:color w:val="211F1F"/>
        </w:rPr>
        <w:t>response to the Beneficiary's written request for such extension, such request to be presented to the Guarantor before the expiry of the guarantee.</w:t>
      </w:r>
    </w:p>
    <w:p w14:paraId="72B69D17" w14:textId="77777777" w:rsidR="00BB77C0" w:rsidRDefault="00BB77C0">
      <w:pPr>
        <w:pStyle w:val="BodyText"/>
      </w:pPr>
    </w:p>
    <w:p w14:paraId="62B57184" w14:textId="77777777" w:rsidR="00BB77C0" w:rsidRDefault="00BB77C0">
      <w:pPr>
        <w:pStyle w:val="BodyText"/>
        <w:spacing w:before="222"/>
      </w:pPr>
    </w:p>
    <w:p w14:paraId="65D0C006" w14:textId="77777777" w:rsidR="00BB77C0" w:rsidRDefault="00370BAA">
      <w:pPr>
        <w:ind w:left="1051"/>
      </w:pPr>
      <w:r>
        <w:rPr>
          <w:i/>
          <w:color w:val="211F1F"/>
        </w:rPr>
        <w:t>[Name</w:t>
      </w:r>
      <w:r>
        <w:rPr>
          <w:i/>
          <w:color w:val="211F1F"/>
          <w:spacing w:val="-13"/>
        </w:rPr>
        <w:t xml:space="preserve"> </w:t>
      </w:r>
      <w:r>
        <w:rPr>
          <w:i/>
          <w:color w:val="211F1F"/>
        </w:rPr>
        <w:t>of</w:t>
      </w:r>
      <w:r>
        <w:rPr>
          <w:i/>
          <w:color w:val="211F1F"/>
          <w:spacing w:val="-8"/>
        </w:rPr>
        <w:t xml:space="preserve"> </w:t>
      </w:r>
      <w:r>
        <w:rPr>
          <w:i/>
          <w:color w:val="211F1F"/>
        </w:rPr>
        <w:t>Authorized</w:t>
      </w:r>
      <w:r>
        <w:rPr>
          <w:i/>
          <w:color w:val="211F1F"/>
          <w:spacing w:val="-12"/>
        </w:rPr>
        <w:t xml:space="preserve"> </w:t>
      </w:r>
      <w:r>
        <w:rPr>
          <w:i/>
          <w:color w:val="211F1F"/>
        </w:rPr>
        <w:t>Official,</w:t>
      </w:r>
      <w:r>
        <w:rPr>
          <w:i/>
          <w:color w:val="211F1F"/>
          <w:spacing w:val="-11"/>
        </w:rPr>
        <w:t xml:space="preserve"> </w:t>
      </w:r>
      <w:r>
        <w:rPr>
          <w:i/>
          <w:color w:val="211F1F"/>
        </w:rPr>
        <w:t>signature(s)</w:t>
      </w:r>
      <w:r>
        <w:rPr>
          <w:i/>
          <w:color w:val="211F1F"/>
          <w:spacing w:val="-9"/>
        </w:rPr>
        <w:t xml:space="preserve"> </w:t>
      </w:r>
      <w:r>
        <w:rPr>
          <w:i/>
          <w:color w:val="211F1F"/>
        </w:rPr>
        <w:t>and</w:t>
      </w:r>
      <w:r>
        <w:rPr>
          <w:i/>
          <w:color w:val="211F1F"/>
          <w:spacing w:val="-13"/>
        </w:rPr>
        <w:t xml:space="preserve"> </w:t>
      </w:r>
      <w:r>
        <w:rPr>
          <w:i/>
          <w:color w:val="211F1F"/>
          <w:spacing w:val="-2"/>
        </w:rPr>
        <w:t>seals/stamps</w:t>
      </w:r>
      <w:r>
        <w:rPr>
          <w:color w:val="211F1F"/>
          <w:spacing w:val="-2"/>
        </w:rPr>
        <w:t>]</w:t>
      </w:r>
    </w:p>
    <w:p w14:paraId="146395AD" w14:textId="77777777" w:rsidR="00BB77C0" w:rsidRDefault="00370BAA">
      <w:pPr>
        <w:pStyle w:val="Heading8"/>
        <w:spacing w:before="234" w:line="237" w:lineRule="auto"/>
        <w:ind w:right="587"/>
      </w:pPr>
      <w:r>
        <w:rPr>
          <w:color w:val="211F1F"/>
        </w:rPr>
        <w:t>Note:</w:t>
      </w:r>
      <w:r>
        <w:rPr>
          <w:color w:val="211F1F"/>
          <w:spacing w:val="-7"/>
        </w:rPr>
        <w:t xml:space="preserve"> </w:t>
      </w:r>
      <w:r>
        <w:rPr>
          <w:color w:val="211F1F"/>
        </w:rPr>
        <w:t>All</w:t>
      </w:r>
      <w:r>
        <w:rPr>
          <w:color w:val="211F1F"/>
          <w:spacing w:val="-9"/>
        </w:rPr>
        <w:t xml:space="preserve"> </w:t>
      </w:r>
      <w:r>
        <w:rPr>
          <w:color w:val="211F1F"/>
        </w:rPr>
        <w:t>italicized</w:t>
      </w:r>
      <w:r>
        <w:rPr>
          <w:color w:val="211F1F"/>
          <w:spacing w:val="-9"/>
        </w:rPr>
        <w:t xml:space="preserve"> </w:t>
      </w:r>
      <w:r>
        <w:rPr>
          <w:color w:val="211F1F"/>
        </w:rPr>
        <w:t>text (including</w:t>
      </w:r>
      <w:r>
        <w:rPr>
          <w:color w:val="211F1F"/>
          <w:spacing w:val="-4"/>
        </w:rPr>
        <w:t xml:space="preserve"> </w:t>
      </w:r>
      <w:r>
        <w:rPr>
          <w:color w:val="211F1F"/>
        </w:rPr>
        <w:t>footnotes)</w:t>
      </w:r>
      <w:r>
        <w:rPr>
          <w:color w:val="211F1F"/>
          <w:spacing w:val="-6"/>
        </w:rPr>
        <w:t xml:space="preserve"> </w:t>
      </w:r>
      <w:r>
        <w:rPr>
          <w:color w:val="211F1F"/>
        </w:rPr>
        <w:t>is</w:t>
      </w:r>
      <w:r>
        <w:rPr>
          <w:color w:val="211F1F"/>
          <w:spacing w:val="-5"/>
        </w:rPr>
        <w:t xml:space="preserve"> </w:t>
      </w:r>
      <w:r>
        <w:rPr>
          <w:color w:val="211F1F"/>
        </w:rPr>
        <w:t>for</w:t>
      </w:r>
      <w:r>
        <w:rPr>
          <w:color w:val="211F1F"/>
          <w:spacing w:val="-10"/>
        </w:rPr>
        <w:t xml:space="preserve"> </w:t>
      </w:r>
      <w:r>
        <w:rPr>
          <w:color w:val="211F1F"/>
        </w:rPr>
        <w:t>use</w:t>
      </w:r>
      <w:r>
        <w:rPr>
          <w:color w:val="211F1F"/>
          <w:spacing w:val="-12"/>
        </w:rPr>
        <w:t xml:space="preserve"> </w:t>
      </w:r>
      <w:r>
        <w:rPr>
          <w:color w:val="211F1F"/>
        </w:rPr>
        <w:t>in</w:t>
      </w:r>
      <w:r>
        <w:rPr>
          <w:color w:val="211F1F"/>
          <w:spacing w:val="-8"/>
        </w:rPr>
        <w:t xml:space="preserve"> </w:t>
      </w:r>
      <w:r>
        <w:rPr>
          <w:color w:val="211F1F"/>
        </w:rPr>
        <w:t>preparing</w:t>
      </w:r>
      <w:r>
        <w:rPr>
          <w:color w:val="211F1F"/>
          <w:spacing w:val="-5"/>
        </w:rPr>
        <w:t xml:space="preserve"> </w:t>
      </w:r>
      <w:r>
        <w:rPr>
          <w:color w:val="211F1F"/>
        </w:rPr>
        <w:t>this</w:t>
      </w:r>
      <w:r>
        <w:rPr>
          <w:color w:val="211F1F"/>
          <w:spacing w:val="-4"/>
        </w:rPr>
        <w:t xml:space="preserve"> </w:t>
      </w:r>
      <w:r>
        <w:rPr>
          <w:color w:val="211F1F"/>
        </w:rPr>
        <w:t>form</w:t>
      </w:r>
      <w:r>
        <w:rPr>
          <w:color w:val="211F1F"/>
          <w:spacing w:val="-9"/>
        </w:rPr>
        <w:t xml:space="preserve"> </w:t>
      </w:r>
      <w:r>
        <w:rPr>
          <w:color w:val="211F1F"/>
        </w:rPr>
        <w:t>and</w:t>
      </w:r>
      <w:r>
        <w:rPr>
          <w:color w:val="211F1F"/>
          <w:spacing w:val="-6"/>
        </w:rPr>
        <w:t xml:space="preserve"> </w:t>
      </w:r>
      <w:r>
        <w:rPr>
          <w:color w:val="211F1F"/>
        </w:rPr>
        <w:t>shall be</w:t>
      </w:r>
      <w:r>
        <w:rPr>
          <w:color w:val="211F1F"/>
          <w:spacing w:val="-12"/>
        </w:rPr>
        <w:t xml:space="preserve"> </w:t>
      </w:r>
      <w:r>
        <w:rPr>
          <w:color w:val="211F1F"/>
        </w:rPr>
        <w:t>deleted</w:t>
      </w:r>
      <w:r>
        <w:rPr>
          <w:color w:val="211F1F"/>
          <w:spacing w:val="-5"/>
        </w:rPr>
        <w:t xml:space="preserve"> </w:t>
      </w:r>
      <w:r>
        <w:rPr>
          <w:color w:val="211F1F"/>
        </w:rPr>
        <w:t>from</w:t>
      </w:r>
      <w:r>
        <w:rPr>
          <w:color w:val="211F1F"/>
          <w:spacing w:val="-9"/>
        </w:rPr>
        <w:t xml:space="preserve"> </w:t>
      </w:r>
      <w:r>
        <w:rPr>
          <w:color w:val="211F1F"/>
        </w:rPr>
        <w:t>the final</w:t>
      </w:r>
      <w:r>
        <w:rPr>
          <w:color w:val="211F1F"/>
          <w:spacing w:val="-6"/>
        </w:rPr>
        <w:t xml:space="preserve"> </w:t>
      </w:r>
      <w:r>
        <w:rPr>
          <w:color w:val="211F1F"/>
        </w:rPr>
        <w:t>product.</w:t>
      </w:r>
    </w:p>
    <w:p w14:paraId="4B71CC1D" w14:textId="77777777" w:rsidR="00BB77C0" w:rsidRDefault="00BB77C0">
      <w:pPr>
        <w:pStyle w:val="BodyText"/>
        <w:rPr>
          <w:b/>
          <w:i/>
          <w:sz w:val="20"/>
        </w:rPr>
      </w:pPr>
    </w:p>
    <w:p w14:paraId="67B04C33" w14:textId="77777777" w:rsidR="00BB77C0" w:rsidRDefault="00BB77C0">
      <w:pPr>
        <w:pStyle w:val="BodyText"/>
        <w:rPr>
          <w:b/>
          <w:i/>
          <w:sz w:val="20"/>
        </w:rPr>
      </w:pPr>
    </w:p>
    <w:p w14:paraId="71682E4B" w14:textId="77777777" w:rsidR="00BB77C0" w:rsidRDefault="00BB77C0">
      <w:pPr>
        <w:pStyle w:val="BodyText"/>
        <w:rPr>
          <w:b/>
          <w:i/>
          <w:sz w:val="20"/>
        </w:rPr>
      </w:pPr>
    </w:p>
    <w:p w14:paraId="44C4F76B" w14:textId="77777777" w:rsidR="00BB77C0" w:rsidRDefault="00BB77C0">
      <w:pPr>
        <w:pStyle w:val="BodyText"/>
        <w:rPr>
          <w:b/>
          <w:i/>
          <w:sz w:val="20"/>
        </w:rPr>
      </w:pPr>
    </w:p>
    <w:p w14:paraId="5354AD98" w14:textId="77777777" w:rsidR="00BB77C0" w:rsidRDefault="00BB77C0">
      <w:pPr>
        <w:pStyle w:val="BodyText"/>
        <w:rPr>
          <w:b/>
          <w:i/>
          <w:sz w:val="20"/>
        </w:rPr>
      </w:pPr>
    </w:p>
    <w:p w14:paraId="7294855F" w14:textId="77777777" w:rsidR="00BB77C0" w:rsidRDefault="00BB77C0">
      <w:pPr>
        <w:pStyle w:val="BodyText"/>
        <w:rPr>
          <w:b/>
          <w:i/>
          <w:sz w:val="20"/>
        </w:rPr>
      </w:pPr>
    </w:p>
    <w:p w14:paraId="46CD6F98" w14:textId="77777777" w:rsidR="00BB77C0" w:rsidRDefault="00370BAA">
      <w:pPr>
        <w:pStyle w:val="BodyText"/>
        <w:spacing w:before="71"/>
        <w:rPr>
          <w:b/>
          <w:i/>
          <w:sz w:val="20"/>
        </w:rPr>
      </w:pPr>
      <w:r>
        <w:rPr>
          <w:b/>
          <w:i/>
          <w:noProof/>
          <w:sz w:val="20"/>
        </w:rPr>
        <mc:AlternateContent>
          <mc:Choice Requires="wps">
            <w:drawing>
              <wp:anchor distT="0" distB="0" distL="0" distR="0" simplePos="0" relativeHeight="487645184" behindDoc="1" locked="0" layoutInCell="1" allowOverlap="1" wp14:anchorId="36EC1004" wp14:editId="192F3159">
                <wp:simplePos x="0" y="0"/>
                <wp:positionH relativeFrom="page">
                  <wp:posOffset>533400</wp:posOffset>
                </wp:positionH>
                <wp:positionV relativeFrom="paragraph">
                  <wp:posOffset>206807</wp:posOffset>
                </wp:positionV>
                <wp:extent cx="3709670" cy="1270"/>
                <wp:effectExtent l="0" t="0" r="0" b="0"/>
                <wp:wrapTopAndBottom/>
                <wp:docPr id="431" name="Graphic 4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09670" cy="1270"/>
                        </a:xfrm>
                        <a:custGeom>
                          <a:avLst/>
                          <a:gdLst/>
                          <a:ahLst/>
                          <a:cxnLst/>
                          <a:rect l="l" t="t" r="r" b="b"/>
                          <a:pathLst>
                            <a:path w="3709670">
                              <a:moveTo>
                                <a:pt x="0" y="0"/>
                              </a:moveTo>
                              <a:lnTo>
                                <a:pt x="3709670" y="0"/>
                              </a:lnTo>
                            </a:path>
                          </a:pathLst>
                        </a:custGeom>
                        <a:ln w="6350">
                          <a:solidFill>
                            <a:srgbClr val="211F1F"/>
                          </a:solidFill>
                          <a:prstDash val="solid"/>
                        </a:ln>
                      </wps:spPr>
                      <wps:bodyPr wrap="square" lIns="0" tIns="0" rIns="0" bIns="0" rtlCol="0">
                        <a:prstTxWarp prst="textNoShape">
                          <a:avLst/>
                        </a:prstTxWarp>
                        <a:noAutofit/>
                      </wps:bodyPr>
                    </wps:wsp>
                  </a:graphicData>
                </a:graphic>
              </wp:anchor>
            </w:drawing>
          </mc:Choice>
          <mc:Fallback>
            <w:pict>
              <v:shape w14:anchorId="282B9A89" id="Graphic 431" o:spid="_x0000_s1026" style="position:absolute;margin-left:42pt;margin-top:16.3pt;width:292.1pt;height:.1pt;z-index:-15671296;visibility:visible;mso-wrap-style:square;mso-wrap-distance-left:0;mso-wrap-distance-top:0;mso-wrap-distance-right:0;mso-wrap-distance-bottom:0;mso-position-horizontal:absolute;mso-position-horizontal-relative:page;mso-position-vertical:absolute;mso-position-vertical-relative:text;v-text-anchor:top" coordsize="3709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" path="m,l3709670,e" filled="f" strokecolor="#211f1f" strokeweight=".5pt">
                <v:path arrowok="t"/>
                <w10:wrap type="topAndBottom" anchorx="page"/>
              </v:shape>
            </w:pict>
          </mc:Fallback>
        </mc:AlternateContent>
      </w:r>
    </w:p>
    <w:p w14:paraId="523EEB37" w14:textId="77777777" w:rsidR="00BB77C0" w:rsidRDefault="00370BAA">
      <w:pPr>
        <w:spacing w:line="244" w:lineRule="auto"/>
        <w:ind w:left="485" w:right="1235"/>
        <w:jc w:val="both"/>
        <w:rPr>
          <w:i/>
          <w:sz w:val="16"/>
        </w:rPr>
      </w:pPr>
      <w:r>
        <w:rPr>
          <w:color w:val="211F1F"/>
          <w:position w:val="8"/>
          <w:sz w:val="8"/>
        </w:rPr>
        <w:t>1</w:t>
      </w:r>
      <w:r>
        <w:rPr>
          <w:i/>
          <w:color w:val="211F1F"/>
          <w:sz w:val="16"/>
        </w:rPr>
        <w:t>The</w:t>
      </w:r>
      <w:r>
        <w:rPr>
          <w:i/>
          <w:color w:val="211F1F"/>
          <w:spacing w:val="-7"/>
          <w:sz w:val="16"/>
        </w:rPr>
        <w:t xml:space="preserve"> </w:t>
      </w:r>
      <w:r>
        <w:rPr>
          <w:i/>
          <w:color w:val="211F1F"/>
          <w:sz w:val="16"/>
        </w:rPr>
        <w:t>Guarantor</w:t>
      </w:r>
      <w:r>
        <w:rPr>
          <w:i/>
          <w:color w:val="211F1F"/>
          <w:spacing w:val="-7"/>
          <w:sz w:val="16"/>
        </w:rPr>
        <w:t xml:space="preserve"> </w:t>
      </w:r>
      <w:r>
        <w:rPr>
          <w:i/>
          <w:color w:val="211F1F"/>
          <w:sz w:val="16"/>
        </w:rPr>
        <w:t>shall</w:t>
      </w:r>
      <w:r>
        <w:rPr>
          <w:i/>
          <w:color w:val="211F1F"/>
          <w:spacing w:val="-9"/>
          <w:sz w:val="16"/>
        </w:rPr>
        <w:t xml:space="preserve"> </w:t>
      </w:r>
      <w:r>
        <w:rPr>
          <w:i/>
          <w:color w:val="211F1F"/>
          <w:sz w:val="16"/>
        </w:rPr>
        <w:t>insert</w:t>
      </w:r>
      <w:r>
        <w:rPr>
          <w:i/>
          <w:color w:val="211F1F"/>
          <w:spacing w:val="-9"/>
          <w:sz w:val="16"/>
        </w:rPr>
        <w:t xml:space="preserve"> </w:t>
      </w:r>
      <w:r>
        <w:rPr>
          <w:i/>
          <w:color w:val="211F1F"/>
          <w:sz w:val="16"/>
        </w:rPr>
        <w:t>an</w:t>
      </w:r>
      <w:r>
        <w:rPr>
          <w:i/>
          <w:color w:val="211F1F"/>
          <w:spacing w:val="-6"/>
          <w:sz w:val="16"/>
        </w:rPr>
        <w:t xml:space="preserve"> </w:t>
      </w:r>
      <w:r>
        <w:rPr>
          <w:i/>
          <w:color w:val="211F1F"/>
          <w:sz w:val="16"/>
        </w:rPr>
        <w:t>amount</w:t>
      </w:r>
      <w:r>
        <w:rPr>
          <w:i/>
          <w:color w:val="211F1F"/>
          <w:spacing w:val="-4"/>
          <w:sz w:val="16"/>
        </w:rPr>
        <w:t xml:space="preserve"> </w:t>
      </w:r>
      <w:r>
        <w:rPr>
          <w:i/>
          <w:color w:val="211F1F"/>
          <w:sz w:val="16"/>
        </w:rPr>
        <w:t>representing</w:t>
      </w:r>
      <w:r>
        <w:rPr>
          <w:i/>
          <w:color w:val="211F1F"/>
          <w:spacing w:val="-5"/>
          <w:sz w:val="16"/>
        </w:rPr>
        <w:t xml:space="preserve"> </w:t>
      </w:r>
      <w:r>
        <w:rPr>
          <w:i/>
          <w:color w:val="211F1F"/>
          <w:sz w:val="16"/>
        </w:rPr>
        <w:t>the</w:t>
      </w:r>
      <w:r>
        <w:rPr>
          <w:i/>
          <w:color w:val="211F1F"/>
          <w:spacing w:val="-7"/>
          <w:sz w:val="16"/>
        </w:rPr>
        <w:t xml:space="preserve"> </w:t>
      </w:r>
      <w:r>
        <w:rPr>
          <w:i/>
          <w:color w:val="211F1F"/>
          <w:sz w:val="16"/>
        </w:rPr>
        <w:t>amount</w:t>
      </w:r>
      <w:r>
        <w:rPr>
          <w:i/>
          <w:color w:val="211F1F"/>
          <w:spacing w:val="-9"/>
          <w:sz w:val="16"/>
        </w:rPr>
        <w:t xml:space="preserve"> </w:t>
      </w:r>
      <w:r>
        <w:rPr>
          <w:i/>
          <w:color w:val="211F1F"/>
          <w:sz w:val="16"/>
        </w:rPr>
        <w:t>of</w:t>
      </w:r>
      <w:r>
        <w:rPr>
          <w:i/>
          <w:color w:val="211F1F"/>
          <w:spacing w:val="-10"/>
          <w:sz w:val="16"/>
        </w:rPr>
        <w:t xml:space="preserve"> </w:t>
      </w:r>
      <w:r>
        <w:rPr>
          <w:i/>
          <w:color w:val="211F1F"/>
          <w:sz w:val="16"/>
        </w:rPr>
        <w:t>the</w:t>
      </w:r>
      <w:r>
        <w:rPr>
          <w:i/>
          <w:color w:val="211F1F"/>
          <w:spacing w:val="-7"/>
          <w:sz w:val="16"/>
        </w:rPr>
        <w:t xml:space="preserve"> </w:t>
      </w:r>
      <w:r>
        <w:rPr>
          <w:i/>
          <w:color w:val="211F1F"/>
          <w:sz w:val="16"/>
        </w:rPr>
        <w:t>advance</w:t>
      </w:r>
      <w:r>
        <w:rPr>
          <w:i/>
          <w:color w:val="211F1F"/>
          <w:spacing w:val="-6"/>
          <w:sz w:val="16"/>
        </w:rPr>
        <w:t xml:space="preserve"> </w:t>
      </w:r>
      <w:r>
        <w:rPr>
          <w:i/>
          <w:color w:val="211F1F"/>
          <w:sz w:val="16"/>
        </w:rPr>
        <w:t>payment</w:t>
      </w:r>
      <w:r>
        <w:rPr>
          <w:i/>
          <w:color w:val="211F1F"/>
          <w:spacing w:val="-9"/>
          <w:sz w:val="16"/>
        </w:rPr>
        <w:t xml:space="preserve"> </w:t>
      </w:r>
      <w:r>
        <w:rPr>
          <w:i/>
          <w:color w:val="211F1F"/>
          <w:sz w:val="16"/>
        </w:rPr>
        <w:t>and</w:t>
      </w:r>
      <w:r>
        <w:rPr>
          <w:i/>
          <w:color w:val="211F1F"/>
          <w:spacing w:val="-6"/>
          <w:sz w:val="16"/>
        </w:rPr>
        <w:t xml:space="preserve"> </w:t>
      </w:r>
      <w:r>
        <w:rPr>
          <w:i/>
          <w:color w:val="211F1F"/>
          <w:sz w:val="16"/>
        </w:rPr>
        <w:t>denominated</w:t>
      </w:r>
      <w:r>
        <w:rPr>
          <w:i/>
          <w:color w:val="211F1F"/>
          <w:spacing w:val="-5"/>
          <w:sz w:val="16"/>
        </w:rPr>
        <w:t xml:space="preserve"> </w:t>
      </w:r>
      <w:r>
        <w:rPr>
          <w:i/>
          <w:color w:val="211F1F"/>
          <w:sz w:val="16"/>
        </w:rPr>
        <w:t>either</w:t>
      </w:r>
      <w:r>
        <w:rPr>
          <w:i/>
          <w:color w:val="211F1F"/>
          <w:spacing w:val="-7"/>
          <w:sz w:val="16"/>
        </w:rPr>
        <w:t xml:space="preserve"> </w:t>
      </w:r>
      <w:r>
        <w:rPr>
          <w:i/>
          <w:color w:val="211F1F"/>
          <w:sz w:val="16"/>
        </w:rPr>
        <w:t>in</w:t>
      </w:r>
      <w:r>
        <w:rPr>
          <w:i/>
          <w:color w:val="211F1F"/>
          <w:spacing w:val="-2"/>
          <w:sz w:val="16"/>
        </w:rPr>
        <w:t xml:space="preserve"> </w:t>
      </w:r>
      <w:r>
        <w:rPr>
          <w:i/>
          <w:color w:val="211F1F"/>
          <w:sz w:val="16"/>
        </w:rPr>
        <w:t>the</w:t>
      </w:r>
      <w:r>
        <w:rPr>
          <w:i/>
          <w:color w:val="211F1F"/>
          <w:spacing w:val="-7"/>
          <w:sz w:val="16"/>
        </w:rPr>
        <w:t xml:space="preserve"> </w:t>
      </w:r>
      <w:r>
        <w:rPr>
          <w:i/>
          <w:color w:val="211F1F"/>
          <w:sz w:val="16"/>
        </w:rPr>
        <w:t>currency</w:t>
      </w:r>
      <w:r>
        <w:rPr>
          <w:i/>
          <w:color w:val="211F1F"/>
          <w:spacing w:val="-6"/>
          <w:sz w:val="16"/>
        </w:rPr>
        <w:t xml:space="preserve"> </w:t>
      </w:r>
      <w:r>
        <w:rPr>
          <w:i/>
          <w:color w:val="211F1F"/>
          <w:sz w:val="16"/>
        </w:rPr>
        <w:t>of</w:t>
      </w:r>
      <w:r>
        <w:rPr>
          <w:i/>
          <w:color w:val="211F1F"/>
          <w:spacing w:val="-10"/>
          <w:sz w:val="16"/>
        </w:rPr>
        <w:t xml:space="preserve"> </w:t>
      </w:r>
      <w:r>
        <w:rPr>
          <w:i/>
          <w:color w:val="211F1F"/>
          <w:sz w:val="16"/>
        </w:rPr>
        <w:t>the</w:t>
      </w:r>
      <w:r>
        <w:rPr>
          <w:i/>
          <w:color w:val="211F1F"/>
          <w:spacing w:val="-7"/>
          <w:sz w:val="16"/>
        </w:rPr>
        <w:t xml:space="preserve"> </w:t>
      </w:r>
      <w:r>
        <w:rPr>
          <w:i/>
          <w:color w:val="211F1F"/>
          <w:sz w:val="16"/>
        </w:rPr>
        <w:t>advance</w:t>
      </w:r>
      <w:r>
        <w:rPr>
          <w:i/>
          <w:color w:val="211F1F"/>
          <w:spacing w:val="-6"/>
          <w:sz w:val="16"/>
        </w:rPr>
        <w:t xml:space="preserve"> </w:t>
      </w:r>
      <w:r>
        <w:rPr>
          <w:i/>
          <w:color w:val="211F1F"/>
          <w:sz w:val="16"/>
        </w:rPr>
        <w:t>payment</w:t>
      </w:r>
      <w:r>
        <w:rPr>
          <w:i/>
          <w:color w:val="211F1F"/>
          <w:spacing w:val="-8"/>
          <w:sz w:val="16"/>
        </w:rPr>
        <w:t xml:space="preserve"> </w:t>
      </w:r>
      <w:r>
        <w:rPr>
          <w:i/>
          <w:color w:val="211F1F"/>
          <w:sz w:val="16"/>
        </w:rPr>
        <w:t>as</w:t>
      </w:r>
      <w:r>
        <w:rPr>
          <w:i/>
          <w:color w:val="211F1F"/>
          <w:spacing w:val="40"/>
          <w:sz w:val="16"/>
        </w:rPr>
        <w:t xml:space="preserve"> </w:t>
      </w:r>
      <w:r>
        <w:rPr>
          <w:i/>
          <w:color w:val="211F1F"/>
          <w:spacing w:val="-2"/>
          <w:sz w:val="16"/>
        </w:rPr>
        <w:t>specified</w:t>
      </w:r>
    </w:p>
    <w:p w14:paraId="52D28461" w14:textId="77777777" w:rsidR="00BB77C0" w:rsidRDefault="00370BAA">
      <w:pPr>
        <w:spacing w:line="168" w:lineRule="exact"/>
        <w:ind w:left="485"/>
        <w:jc w:val="both"/>
        <w:rPr>
          <w:i/>
          <w:sz w:val="16"/>
        </w:rPr>
      </w:pPr>
      <w:r>
        <w:rPr>
          <w:i/>
          <w:color w:val="211F1F"/>
          <w:sz w:val="16"/>
        </w:rPr>
        <w:t>in</w:t>
      </w:r>
      <w:r>
        <w:rPr>
          <w:i/>
          <w:color w:val="211F1F"/>
          <w:spacing w:val="-2"/>
          <w:sz w:val="16"/>
        </w:rPr>
        <w:t xml:space="preserve"> </w:t>
      </w:r>
      <w:r>
        <w:rPr>
          <w:i/>
          <w:color w:val="211F1F"/>
          <w:sz w:val="16"/>
        </w:rPr>
        <w:t>the</w:t>
      </w:r>
      <w:r>
        <w:rPr>
          <w:i/>
          <w:color w:val="211F1F"/>
          <w:spacing w:val="-2"/>
          <w:sz w:val="16"/>
        </w:rPr>
        <w:t xml:space="preserve"> Contract.</w:t>
      </w:r>
    </w:p>
    <w:p w14:paraId="712D708D" w14:textId="77777777" w:rsidR="00BB77C0" w:rsidRDefault="00370BAA">
      <w:pPr>
        <w:spacing w:line="232" w:lineRule="auto"/>
        <w:ind w:left="485" w:right="705"/>
        <w:jc w:val="both"/>
        <w:rPr>
          <w:i/>
          <w:sz w:val="16"/>
        </w:rPr>
      </w:pPr>
      <w:r>
        <w:rPr>
          <w:color w:val="211F1F"/>
          <w:position w:val="8"/>
          <w:sz w:val="8"/>
        </w:rPr>
        <w:t>2</w:t>
      </w:r>
      <w:r>
        <w:rPr>
          <w:i/>
          <w:color w:val="211F1F"/>
          <w:sz w:val="16"/>
        </w:rPr>
        <w:t>Insert</w:t>
      </w:r>
      <w:r>
        <w:rPr>
          <w:i/>
          <w:color w:val="211F1F"/>
          <w:spacing w:val="-8"/>
          <w:sz w:val="16"/>
        </w:rPr>
        <w:t xml:space="preserve"> </w:t>
      </w:r>
      <w:r>
        <w:rPr>
          <w:i/>
          <w:color w:val="211F1F"/>
          <w:sz w:val="16"/>
        </w:rPr>
        <w:t>the</w:t>
      </w:r>
      <w:r>
        <w:rPr>
          <w:i/>
          <w:color w:val="211F1F"/>
          <w:spacing w:val="-6"/>
          <w:sz w:val="16"/>
        </w:rPr>
        <w:t xml:space="preserve"> </w:t>
      </w:r>
      <w:r>
        <w:rPr>
          <w:i/>
          <w:color w:val="211F1F"/>
          <w:sz w:val="16"/>
        </w:rPr>
        <w:t>expected</w:t>
      </w:r>
      <w:r>
        <w:rPr>
          <w:i/>
          <w:color w:val="211F1F"/>
          <w:spacing w:val="-4"/>
          <w:sz w:val="16"/>
        </w:rPr>
        <w:t xml:space="preserve"> </w:t>
      </w:r>
      <w:r>
        <w:rPr>
          <w:i/>
          <w:color w:val="211F1F"/>
          <w:sz w:val="16"/>
        </w:rPr>
        <w:t>expiration</w:t>
      </w:r>
      <w:r>
        <w:rPr>
          <w:i/>
          <w:color w:val="211F1F"/>
          <w:spacing w:val="-5"/>
          <w:sz w:val="16"/>
        </w:rPr>
        <w:t xml:space="preserve"> </w:t>
      </w:r>
      <w:r>
        <w:rPr>
          <w:i/>
          <w:color w:val="211F1F"/>
          <w:sz w:val="16"/>
        </w:rPr>
        <w:t>date</w:t>
      </w:r>
      <w:r>
        <w:rPr>
          <w:i/>
          <w:color w:val="211F1F"/>
          <w:spacing w:val="-6"/>
          <w:sz w:val="16"/>
        </w:rPr>
        <w:t xml:space="preserve"> </w:t>
      </w:r>
      <w:r>
        <w:rPr>
          <w:i/>
          <w:color w:val="211F1F"/>
          <w:sz w:val="16"/>
        </w:rPr>
        <w:t>of</w:t>
      </w:r>
      <w:r>
        <w:rPr>
          <w:i/>
          <w:color w:val="211F1F"/>
          <w:spacing w:val="-9"/>
          <w:sz w:val="16"/>
        </w:rPr>
        <w:t xml:space="preserve"> </w:t>
      </w:r>
      <w:r>
        <w:rPr>
          <w:i/>
          <w:color w:val="211F1F"/>
          <w:sz w:val="16"/>
        </w:rPr>
        <w:t>the</w:t>
      </w:r>
      <w:r>
        <w:rPr>
          <w:i/>
          <w:color w:val="211F1F"/>
          <w:spacing w:val="-1"/>
          <w:sz w:val="16"/>
        </w:rPr>
        <w:t xml:space="preserve"> </w:t>
      </w:r>
      <w:r>
        <w:rPr>
          <w:i/>
          <w:color w:val="211F1F"/>
          <w:sz w:val="16"/>
        </w:rPr>
        <w:t>Time</w:t>
      </w:r>
      <w:r>
        <w:rPr>
          <w:i/>
          <w:color w:val="211F1F"/>
          <w:spacing w:val="-6"/>
          <w:sz w:val="16"/>
        </w:rPr>
        <w:t xml:space="preserve"> </w:t>
      </w:r>
      <w:r>
        <w:rPr>
          <w:i/>
          <w:color w:val="211F1F"/>
          <w:sz w:val="16"/>
        </w:rPr>
        <w:t>for</w:t>
      </w:r>
      <w:r>
        <w:rPr>
          <w:i/>
          <w:color w:val="211F1F"/>
          <w:spacing w:val="-7"/>
          <w:sz w:val="16"/>
        </w:rPr>
        <w:t xml:space="preserve"> </w:t>
      </w:r>
      <w:r>
        <w:rPr>
          <w:i/>
          <w:color w:val="211F1F"/>
          <w:sz w:val="16"/>
        </w:rPr>
        <w:t>Completion.</w:t>
      </w:r>
      <w:r>
        <w:rPr>
          <w:i/>
          <w:color w:val="211F1F"/>
          <w:spacing w:val="39"/>
          <w:sz w:val="16"/>
        </w:rPr>
        <w:t xml:space="preserve"> </w:t>
      </w:r>
      <w:r>
        <w:rPr>
          <w:i/>
          <w:color w:val="211F1F"/>
          <w:sz w:val="16"/>
        </w:rPr>
        <w:t>The Procuring</w:t>
      </w:r>
      <w:r>
        <w:rPr>
          <w:i/>
          <w:color w:val="211F1F"/>
          <w:spacing w:val="-4"/>
          <w:sz w:val="16"/>
        </w:rPr>
        <w:t xml:space="preserve"> </w:t>
      </w:r>
      <w:r>
        <w:rPr>
          <w:i/>
          <w:color w:val="211F1F"/>
          <w:sz w:val="16"/>
        </w:rPr>
        <w:t>Entity</w:t>
      </w:r>
      <w:r>
        <w:rPr>
          <w:i/>
          <w:color w:val="211F1F"/>
          <w:spacing w:val="-6"/>
          <w:sz w:val="16"/>
        </w:rPr>
        <w:t xml:space="preserve"> </w:t>
      </w:r>
      <w:r>
        <w:rPr>
          <w:i/>
          <w:color w:val="211F1F"/>
          <w:sz w:val="16"/>
        </w:rPr>
        <w:t>should</w:t>
      </w:r>
      <w:r>
        <w:rPr>
          <w:i/>
          <w:color w:val="211F1F"/>
          <w:spacing w:val="-4"/>
          <w:sz w:val="16"/>
        </w:rPr>
        <w:t xml:space="preserve"> </w:t>
      </w:r>
      <w:r>
        <w:rPr>
          <w:i/>
          <w:color w:val="211F1F"/>
          <w:sz w:val="16"/>
        </w:rPr>
        <w:t>note</w:t>
      </w:r>
      <w:r>
        <w:rPr>
          <w:i/>
          <w:color w:val="211F1F"/>
          <w:spacing w:val="-6"/>
          <w:sz w:val="16"/>
        </w:rPr>
        <w:t xml:space="preserve"> </w:t>
      </w:r>
      <w:r>
        <w:rPr>
          <w:i/>
          <w:color w:val="211F1F"/>
          <w:sz w:val="16"/>
        </w:rPr>
        <w:t>that</w:t>
      </w:r>
      <w:r>
        <w:rPr>
          <w:i/>
          <w:color w:val="211F1F"/>
          <w:spacing w:val="-8"/>
          <w:sz w:val="16"/>
        </w:rPr>
        <w:t xml:space="preserve"> </w:t>
      </w:r>
      <w:r>
        <w:rPr>
          <w:i/>
          <w:color w:val="211F1F"/>
          <w:sz w:val="16"/>
        </w:rPr>
        <w:t>in</w:t>
      </w:r>
      <w:r>
        <w:rPr>
          <w:i/>
          <w:color w:val="211F1F"/>
          <w:spacing w:val="-5"/>
          <w:sz w:val="16"/>
        </w:rPr>
        <w:t xml:space="preserve"> </w:t>
      </w:r>
      <w:r>
        <w:rPr>
          <w:i/>
          <w:color w:val="211F1F"/>
          <w:sz w:val="16"/>
        </w:rPr>
        <w:t>the</w:t>
      </w:r>
      <w:r>
        <w:rPr>
          <w:i/>
          <w:color w:val="211F1F"/>
          <w:spacing w:val="-5"/>
          <w:sz w:val="16"/>
        </w:rPr>
        <w:t xml:space="preserve"> </w:t>
      </w:r>
      <w:r>
        <w:rPr>
          <w:i/>
          <w:color w:val="211F1F"/>
          <w:sz w:val="16"/>
        </w:rPr>
        <w:t>event</w:t>
      </w:r>
      <w:r>
        <w:rPr>
          <w:i/>
          <w:color w:val="211F1F"/>
          <w:spacing w:val="-8"/>
          <w:sz w:val="16"/>
        </w:rPr>
        <w:t xml:space="preserve"> </w:t>
      </w:r>
      <w:r>
        <w:rPr>
          <w:i/>
          <w:color w:val="211F1F"/>
          <w:sz w:val="16"/>
        </w:rPr>
        <w:t>of</w:t>
      </w:r>
      <w:r>
        <w:rPr>
          <w:i/>
          <w:color w:val="211F1F"/>
          <w:spacing w:val="-9"/>
          <w:sz w:val="16"/>
        </w:rPr>
        <w:t xml:space="preserve"> </w:t>
      </w:r>
      <w:r>
        <w:rPr>
          <w:i/>
          <w:color w:val="211F1F"/>
          <w:sz w:val="16"/>
        </w:rPr>
        <w:t>an</w:t>
      </w:r>
      <w:r>
        <w:rPr>
          <w:i/>
          <w:color w:val="211F1F"/>
          <w:spacing w:val="-5"/>
          <w:sz w:val="16"/>
        </w:rPr>
        <w:t xml:space="preserve"> </w:t>
      </w:r>
      <w:r>
        <w:rPr>
          <w:i/>
          <w:color w:val="211F1F"/>
          <w:sz w:val="16"/>
        </w:rPr>
        <w:t>extension</w:t>
      </w:r>
      <w:r>
        <w:rPr>
          <w:i/>
          <w:color w:val="211F1F"/>
          <w:spacing w:val="-4"/>
          <w:sz w:val="16"/>
        </w:rPr>
        <w:t xml:space="preserve"> </w:t>
      </w:r>
      <w:r>
        <w:rPr>
          <w:i/>
          <w:color w:val="211F1F"/>
          <w:sz w:val="16"/>
        </w:rPr>
        <w:t>of</w:t>
      </w:r>
      <w:r>
        <w:rPr>
          <w:i/>
          <w:color w:val="211F1F"/>
          <w:spacing w:val="-9"/>
          <w:sz w:val="16"/>
        </w:rPr>
        <w:t xml:space="preserve"> </w:t>
      </w:r>
      <w:r>
        <w:rPr>
          <w:i/>
          <w:color w:val="211F1F"/>
          <w:sz w:val="16"/>
        </w:rPr>
        <w:t>the</w:t>
      </w:r>
      <w:r>
        <w:rPr>
          <w:i/>
          <w:color w:val="211F1F"/>
          <w:spacing w:val="-1"/>
          <w:sz w:val="16"/>
        </w:rPr>
        <w:t xml:space="preserve"> </w:t>
      </w:r>
      <w:r>
        <w:rPr>
          <w:i/>
          <w:color w:val="211F1F"/>
          <w:sz w:val="16"/>
        </w:rPr>
        <w:t>time</w:t>
      </w:r>
      <w:r>
        <w:rPr>
          <w:i/>
          <w:color w:val="211F1F"/>
          <w:spacing w:val="-6"/>
          <w:sz w:val="16"/>
        </w:rPr>
        <w:t xml:space="preserve"> </w:t>
      </w:r>
      <w:r>
        <w:rPr>
          <w:i/>
          <w:color w:val="211F1F"/>
          <w:sz w:val="16"/>
        </w:rPr>
        <w:t>for</w:t>
      </w:r>
      <w:r>
        <w:rPr>
          <w:i/>
          <w:color w:val="211F1F"/>
          <w:spacing w:val="-7"/>
          <w:sz w:val="16"/>
        </w:rPr>
        <w:t xml:space="preserve"> </w:t>
      </w:r>
      <w:r>
        <w:rPr>
          <w:i/>
          <w:color w:val="211F1F"/>
          <w:sz w:val="16"/>
        </w:rPr>
        <w:t>completion</w:t>
      </w:r>
      <w:r>
        <w:rPr>
          <w:i/>
          <w:color w:val="211F1F"/>
          <w:spacing w:val="-4"/>
          <w:sz w:val="16"/>
        </w:rPr>
        <w:t xml:space="preserve"> </w:t>
      </w:r>
      <w:r>
        <w:rPr>
          <w:i/>
          <w:color w:val="211F1F"/>
          <w:sz w:val="16"/>
        </w:rPr>
        <w:t>of</w:t>
      </w:r>
      <w:r>
        <w:rPr>
          <w:i/>
          <w:color w:val="211F1F"/>
          <w:spacing w:val="-9"/>
          <w:sz w:val="16"/>
        </w:rPr>
        <w:t xml:space="preserve"> </w:t>
      </w:r>
      <w:r>
        <w:rPr>
          <w:i/>
          <w:color w:val="211F1F"/>
          <w:sz w:val="16"/>
        </w:rPr>
        <w:t>the</w:t>
      </w:r>
      <w:r>
        <w:rPr>
          <w:i/>
          <w:color w:val="211F1F"/>
          <w:spacing w:val="40"/>
          <w:sz w:val="16"/>
        </w:rPr>
        <w:t xml:space="preserve"> </w:t>
      </w:r>
      <w:r>
        <w:rPr>
          <w:i/>
          <w:color w:val="211F1F"/>
          <w:spacing w:val="-2"/>
          <w:sz w:val="16"/>
        </w:rPr>
        <w:t>Contract,</w:t>
      </w:r>
      <w:r>
        <w:rPr>
          <w:i/>
          <w:color w:val="211F1F"/>
          <w:spacing w:val="-8"/>
          <w:sz w:val="16"/>
        </w:rPr>
        <w:t xml:space="preserve"> </w:t>
      </w:r>
      <w:r>
        <w:rPr>
          <w:i/>
          <w:color w:val="211F1F"/>
          <w:spacing w:val="-2"/>
          <w:sz w:val="16"/>
        </w:rPr>
        <w:t>the</w:t>
      </w:r>
      <w:r>
        <w:rPr>
          <w:i/>
          <w:color w:val="211F1F"/>
          <w:spacing w:val="-8"/>
          <w:sz w:val="16"/>
        </w:rPr>
        <w:t xml:space="preserve"> </w:t>
      </w:r>
      <w:r>
        <w:rPr>
          <w:i/>
          <w:color w:val="211F1F"/>
          <w:spacing w:val="-2"/>
          <w:sz w:val="16"/>
        </w:rPr>
        <w:t>Procuring</w:t>
      </w:r>
      <w:r>
        <w:rPr>
          <w:i/>
          <w:color w:val="211F1F"/>
          <w:spacing w:val="-8"/>
          <w:sz w:val="16"/>
        </w:rPr>
        <w:t xml:space="preserve"> </w:t>
      </w:r>
      <w:r>
        <w:rPr>
          <w:i/>
          <w:color w:val="211F1F"/>
          <w:spacing w:val="-2"/>
          <w:sz w:val="16"/>
        </w:rPr>
        <w:t>Entity</w:t>
      </w:r>
      <w:r>
        <w:rPr>
          <w:i/>
          <w:color w:val="211F1F"/>
          <w:spacing w:val="-8"/>
          <w:sz w:val="16"/>
        </w:rPr>
        <w:t xml:space="preserve"> </w:t>
      </w:r>
      <w:r>
        <w:rPr>
          <w:i/>
          <w:color w:val="211F1F"/>
          <w:spacing w:val="-2"/>
          <w:sz w:val="16"/>
        </w:rPr>
        <w:t>would</w:t>
      </w:r>
      <w:r>
        <w:rPr>
          <w:i/>
          <w:color w:val="211F1F"/>
          <w:spacing w:val="-8"/>
          <w:sz w:val="16"/>
        </w:rPr>
        <w:t xml:space="preserve"> </w:t>
      </w:r>
      <w:r>
        <w:rPr>
          <w:i/>
          <w:color w:val="211F1F"/>
          <w:spacing w:val="-2"/>
          <w:sz w:val="16"/>
        </w:rPr>
        <w:t>need</w:t>
      </w:r>
      <w:r>
        <w:rPr>
          <w:i/>
          <w:color w:val="211F1F"/>
          <w:spacing w:val="-8"/>
          <w:sz w:val="16"/>
        </w:rPr>
        <w:t xml:space="preserve"> </w:t>
      </w:r>
      <w:r>
        <w:rPr>
          <w:i/>
          <w:color w:val="211F1F"/>
          <w:spacing w:val="-2"/>
          <w:sz w:val="16"/>
        </w:rPr>
        <w:t>to</w:t>
      </w:r>
      <w:r>
        <w:rPr>
          <w:i/>
          <w:color w:val="211F1F"/>
          <w:spacing w:val="-8"/>
          <w:sz w:val="16"/>
        </w:rPr>
        <w:t xml:space="preserve"> </w:t>
      </w:r>
      <w:r>
        <w:rPr>
          <w:i/>
          <w:color w:val="211F1F"/>
          <w:spacing w:val="-2"/>
          <w:sz w:val="16"/>
        </w:rPr>
        <w:t>request</w:t>
      </w:r>
      <w:r>
        <w:rPr>
          <w:i/>
          <w:color w:val="211F1F"/>
          <w:spacing w:val="-8"/>
          <w:sz w:val="16"/>
        </w:rPr>
        <w:t xml:space="preserve"> </w:t>
      </w:r>
      <w:r>
        <w:rPr>
          <w:i/>
          <w:color w:val="211F1F"/>
          <w:spacing w:val="-2"/>
          <w:sz w:val="16"/>
        </w:rPr>
        <w:t>anextension</w:t>
      </w:r>
      <w:r>
        <w:rPr>
          <w:i/>
          <w:color w:val="211F1F"/>
          <w:spacing w:val="-8"/>
          <w:sz w:val="16"/>
        </w:rPr>
        <w:t xml:space="preserve"> </w:t>
      </w:r>
      <w:r>
        <w:rPr>
          <w:i/>
          <w:color w:val="211F1F"/>
          <w:spacing w:val="-2"/>
          <w:sz w:val="16"/>
        </w:rPr>
        <w:t>of</w:t>
      </w:r>
      <w:r>
        <w:rPr>
          <w:i/>
          <w:color w:val="211F1F"/>
          <w:spacing w:val="-8"/>
          <w:sz w:val="16"/>
        </w:rPr>
        <w:t xml:space="preserve"> </w:t>
      </w:r>
      <w:r>
        <w:rPr>
          <w:i/>
          <w:color w:val="211F1F"/>
          <w:spacing w:val="-2"/>
          <w:sz w:val="16"/>
        </w:rPr>
        <w:t>this</w:t>
      </w:r>
      <w:r>
        <w:rPr>
          <w:i/>
          <w:color w:val="211F1F"/>
          <w:spacing w:val="-8"/>
          <w:sz w:val="16"/>
        </w:rPr>
        <w:t xml:space="preserve"> </w:t>
      </w:r>
      <w:r>
        <w:rPr>
          <w:i/>
          <w:color w:val="211F1F"/>
          <w:spacing w:val="-2"/>
          <w:sz w:val="16"/>
        </w:rPr>
        <w:t>guarantee</w:t>
      </w:r>
      <w:r>
        <w:rPr>
          <w:i/>
          <w:color w:val="211F1F"/>
          <w:spacing w:val="-6"/>
          <w:sz w:val="16"/>
        </w:rPr>
        <w:t xml:space="preserve"> </w:t>
      </w:r>
      <w:r>
        <w:rPr>
          <w:i/>
          <w:color w:val="211F1F"/>
          <w:spacing w:val="-2"/>
          <w:sz w:val="16"/>
        </w:rPr>
        <w:t>from</w:t>
      </w:r>
      <w:r>
        <w:rPr>
          <w:i/>
          <w:color w:val="211F1F"/>
          <w:spacing w:val="-8"/>
          <w:sz w:val="16"/>
        </w:rPr>
        <w:t xml:space="preserve"> </w:t>
      </w:r>
      <w:r>
        <w:rPr>
          <w:i/>
          <w:color w:val="211F1F"/>
          <w:spacing w:val="-2"/>
          <w:sz w:val="16"/>
        </w:rPr>
        <w:t>the</w:t>
      </w:r>
      <w:r>
        <w:rPr>
          <w:i/>
          <w:color w:val="211F1F"/>
          <w:spacing w:val="-3"/>
          <w:sz w:val="16"/>
        </w:rPr>
        <w:t xml:space="preserve"> </w:t>
      </w:r>
      <w:r>
        <w:rPr>
          <w:i/>
          <w:color w:val="211F1F"/>
          <w:spacing w:val="-2"/>
          <w:sz w:val="16"/>
        </w:rPr>
        <w:t>Guarantor.</w:t>
      </w:r>
      <w:r>
        <w:rPr>
          <w:i/>
          <w:color w:val="211F1F"/>
          <w:spacing w:val="40"/>
          <w:sz w:val="16"/>
        </w:rPr>
        <w:t xml:space="preserve"> </w:t>
      </w:r>
      <w:r>
        <w:rPr>
          <w:i/>
          <w:color w:val="211F1F"/>
          <w:spacing w:val="-2"/>
          <w:sz w:val="16"/>
        </w:rPr>
        <w:t>Such request</w:t>
      </w:r>
      <w:r>
        <w:rPr>
          <w:i/>
          <w:color w:val="211F1F"/>
          <w:spacing w:val="-5"/>
          <w:sz w:val="16"/>
        </w:rPr>
        <w:t xml:space="preserve"> </w:t>
      </w:r>
      <w:r>
        <w:rPr>
          <w:i/>
          <w:color w:val="211F1F"/>
          <w:spacing w:val="-2"/>
          <w:sz w:val="16"/>
        </w:rPr>
        <w:t>must</w:t>
      </w:r>
      <w:r>
        <w:rPr>
          <w:i/>
          <w:color w:val="211F1F"/>
          <w:spacing w:val="-8"/>
          <w:sz w:val="16"/>
        </w:rPr>
        <w:t xml:space="preserve"> </w:t>
      </w:r>
      <w:r>
        <w:rPr>
          <w:i/>
          <w:color w:val="211F1F"/>
          <w:spacing w:val="-2"/>
          <w:sz w:val="16"/>
        </w:rPr>
        <w:t>be</w:t>
      </w:r>
      <w:r>
        <w:rPr>
          <w:i/>
          <w:color w:val="211F1F"/>
          <w:spacing w:val="-8"/>
          <w:sz w:val="16"/>
        </w:rPr>
        <w:t xml:space="preserve"> </w:t>
      </w:r>
      <w:r>
        <w:rPr>
          <w:i/>
          <w:color w:val="211F1F"/>
          <w:spacing w:val="-2"/>
          <w:sz w:val="16"/>
        </w:rPr>
        <w:t>in</w:t>
      </w:r>
      <w:r>
        <w:rPr>
          <w:i/>
          <w:color w:val="211F1F"/>
          <w:spacing w:val="-7"/>
          <w:sz w:val="16"/>
        </w:rPr>
        <w:t xml:space="preserve"> </w:t>
      </w:r>
      <w:r>
        <w:rPr>
          <w:i/>
          <w:color w:val="211F1F"/>
          <w:spacing w:val="-2"/>
          <w:sz w:val="16"/>
        </w:rPr>
        <w:t>writing</w:t>
      </w:r>
      <w:r>
        <w:rPr>
          <w:i/>
          <w:color w:val="211F1F"/>
          <w:spacing w:val="-7"/>
          <w:sz w:val="16"/>
        </w:rPr>
        <w:t xml:space="preserve"> </w:t>
      </w:r>
      <w:r>
        <w:rPr>
          <w:i/>
          <w:color w:val="211F1F"/>
          <w:spacing w:val="-2"/>
          <w:sz w:val="16"/>
        </w:rPr>
        <w:t>and must</w:t>
      </w:r>
      <w:r>
        <w:rPr>
          <w:i/>
          <w:color w:val="211F1F"/>
          <w:spacing w:val="-8"/>
          <w:sz w:val="16"/>
        </w:rPr>
        <w:t xml:space="preserve"> </w:t>
      </w:r>
      <w:r>
        <w:rPr>
          <w:i/>
          <w:color w:val="211F1F"/>
          <w:spacing w:val="-2"/>
          <w:sz w:val="16"/>
        </w:rPr>
        <w:t>be</w:t>
      </w:r>
      <w:r>
        <w:rPr>
          <w:i/>
          <w:color w:val="211F1F"/>
          <w:spacing w:val="-3"/>
          <w:sz w:val="16"/>
        </w:rPr>
        <w:t xml:space="preserve"> </w:t>
      </w:r>
      <w:r>
        <w:rPr>
          <w:i/>
          <w:color w:val="211F1F"/>
          <w:spacing w:val="-2"/>
          <w:sz w:val="16"/>
        </w:rPr>
        <w:t>made</w:t>
      </w:r>
      <w:r>
        <w:rPr>
          <w:i/>
          <w:color w:val="211F1F"/>
          <w:spacing w:val="-7"/>
          <w:sz w:val="16"/>
        </w:rPr>
        <w:t xml:space="preserve"> </w:t>
      </w:r>
      <w:r>
        <w:rPr>
          <w:i/>
          <w:color w:val="211F1F"/>
          <w:spacing w:val="-2"/>
          <w:sz w:val="16"/>
        </w:rPr>
        <w:t>prior</w:t>
      </w:r>
      <w:r>
        <w:rPr>
          <w:i/>
          <w:color w:val="211F1F"/>
          <w:spacing w:val="-8"/>
          <w:sz w:val="16"/>
        </w:rPr>
        <w:t xml:space="preserve"> </w:t>
      </w:r>
      <w:r>
        <w:rPr>
          <w:i/>
          <w:color w:val="211F1F"/>
          <w:spacing w:val="-2"/>
          <w:sz w:val="16"/>
        </w:rPr>
        <w:t>to</w:t>
      </w:r>
      <w:r>
        <w:rPr>
          <w:i/>
          <w:color w:val="211F1F"/>
          <w:spacing w:val="13"/>
          <w:sz w:val="16"/>
        </w:rPr>
        <w:t xml:space="preserve"> </w:t>
      </w:r>
      <w:r>
        <w:rPr>
          <w:i/>
          <w:color w:val="211F1F"/>
          <w:spacing w:val="-2"/>
          <w:sz w:val="16"/>
        </w:rPr>
        <w:t>the</w:t>
      </w:r>
      <w:r>
        <w:rPr>
          <w:i/>
          <w:color w:val="211F1F"/>
          <w:spacing w:val="40"/>
          <w:sz w:val="16"/>
        </w:rPr>
        <w:t xml:space="preserve"> </w:t>
      </w:r>
      <w:r>
        <w:rPr>
          <w:i/>
          <w:color w:val="211F1F"/>
          <w:sz w:val="16"/>
        </w:rPr>
        <w:t>expiration date established in the guarantee.</w:t>
      </w:r>
    </w:p>
    <w:p w14:paraId="7743BFF7" w14:textId="77777777" w:rsidR="00BB77C0" w:rsidRDefault="00BB77C0">
      <w:pPr>
        <w:spacing w:line="232" w:lineRule="auto"/>
        <w:jc w:val="both"/>
        <w:rPr>
          <w:i/>
          <w:sz w:val="16"/>
        </w:rPr>
        <w:sectPr w:rsidR="00BB77C0">
          <w:pgSz w:w="11920" w:h="16850"/>
          <w:pgMar w:top="760" w:right="0" w:bottom="280" w:left="360" w:header="720" w:footer="720" w:gutter="0"/>
          <w:cols w:space="720"/>
        </w:sectPr>
      </w:pPr>
    </w:p>
    <w:p w14:paraId="7D28528D" w14:textId="77777777" w:rsidR="00BB77C0" w:rsidRDefault="00370BAA">
      <w:pPr>
        <w:pStyle w:val="Heading5"/>
        <w:spacing w:before="65"/>
        <w:ind w:left="490"/>
      </w:pPr>
      <w:bookmarkStart w:id="256" w:name="FORM_NO._8_-_RETENTION_MONEY_SECURITY"/>
      <w:bookmarkEnd w:id="256"/>
      <w:r>
        <w:rPr>
          <w:color w:val="211F1F"/>
        </w:rPr>
        <w:lastRenderedPageBreak/>
        <w:t>FORM</w:t>
      </w:r>
      <w:r>
        <w:rPr>
          <w:color w:val="211F1F"/>
          <w:spacing w:val="-2"/>
        </w:rPr>
        <w:t xml:space="preserve"> </w:t>
      </w:r>
      <w:r>
        <w:rPr>
          <w:color w:val="211F1F"/>
        </w:rPr>
        <w:t>NO.</w:t>
      </w:r>
      <w:r>
        <w:rPr>
          <w:color w:val="211F1F"/>
          <w:spacing w:val="-3"/>
        </w:rPr>
        <w:t xml:space="preserve"> </w:t>
      </w:r>
      <w:r>
        <w:rPr>
          <w:color w:val="211F1F"/>
        </w:rPr>
        <w:t>8</w:t>
      </w:r>
      <w:r>
        <w:rPr>
          <w:color w:val="211F1F"/>
          <w:spacing w:val="-5"/>
        </w:rPr>
        <w:t xml:space="preserve"> </w:t>
      </w:r>
      <w:r>
        <w:rPr>
          <w:color w:val="211F1F"/>
        </w:rPr>
        <w:t>-</w:t>
      </w:r>
      <w:r>
        <w:rPr>
          <w:color w:val="211F1F"/>
          <w:spacing w:val="-3"/>
        </w:rPr>
        <w:t xml:space="preserve"> </w:t>
      </w:r>
      <w:r>
        <w:rPr>
          <w:color w:val="211F1F"/>
        </w:rPr>
        <w:t>RETENTION</w:t>
      </w:r>
      <w:r>
        <w:rPr>
          <w:color w:val="211F1F"/>
          <w:spacing w:val="-1"/>
        </w:rPr>
        <w:t xml:space="preserve"> </w:t>
      </w:r>
      <w:r>
        <w:rPr>
          <w:color w:val="211F1F"/>
        </w:rPr>
        <w:t>MONEY</w:t>
      </w:r>
      <w:r>
        <w:rPr>
          <w:color w:val="211F1F"/>
          <w:spacing w:val="-5"/>
        </w:rPr>
        <w:t xml:space="preserve"> </w:t>
      </w:r>
      <w:r>
        <w:rPr>
          <w:color w:val="211F1F"/>
          <w:spacing w:val="-2"/>
        </w:rPr>
        <w:t>SECURITY</w:t>
      </w:r>
    </w:p>
    <w:p w14:paraId="0EF3D3C0" w14:textId="77777777" w:rsidR="00BB77C0" w:rsidRDefault="00370BAA">
      <w:pPr>
        <w:pStyle w:val="Heading7"/>
        <w:spacing w:before="237"/>
        <w:ind w:left="490"/>
      </w:pPr>
      <w:bookmarkStart w:id="257" w:name="[Demand_Bank_Guarantee]"/>
      <w:bookmarkEnd w:id="257"/>
      <w:r>
        <w:rPr>
          <w:color w:val="211F1F"/>
        </w:rPr>
        <w:t>[Demand</w:t>
      </w:r>
      <w:r>
        <w:rPr>
          <w:color w:val="211F1F"/>
          <w:spacing w:val="-12"/>
        </w:rPr>
        <w:t xml:space="preserve"> </w:t>
      </w:r>
      <w:r>
        <w:rPr>
          <w:color w:val="211F1F"/>
        </w:rPr>
        <w:t>Bank</w:t>
      </w:r>
      <w:r>
        <w:rPr>
          <w:color w:val="211F1F"/>
          <w:spacing w:val="-12"/>
        </w:rPr>
        <w:t xml:space="preserve"> </w:t>
      </w:r>
      <w:r>
        <w:rPr>
          <w:color w:val="211F1F"/>
          <w:spacing w:val="-2"/>
        </w:rPr>
        <w:t>Guarantee]</w:t>
      </w:r>
    </w:p>
    <w:p w14:paraId="3B0F2F36" w14:textId="77777777" w:rsidR="00BB77C0" w:rsidRDefault="00370BAA">
      <w:pPr>
        <w:spacing w:before="227"/>
        <w:ind w:left="490"/>
        <w:rPr>
          <w:i/>
        </w:rPr>
      </w:pPr>
      <w:r>
        <w:rPr>
          <w:i/>
          <w:color w:val="211F1F"/>
        </w:rPr>
        <w:t>[Guarantor</w:t>
      </w:r>
      <w:r>
        <w:rPr>
          <w:i/>
          <w:color w:val="211F1F"/>
          <w:spacing w:val="-13"/>
        </w:rPr>
        <w:t xml:space="preserve"> </w:t>
      </w:r>
      <w:r>
        <w:rPr>
          <w:i/>
          <w:color w:val="211F1F"/>
          <w:spacing w:val="-2"/>
        </w:rPr>
        <w:t>letterhead]</w:t>
      </w:r>
    </w:p>
    <w:p w14:paraId="509308E0" w14:textId="77777777" w:rsidR="00BB77C0" w:rsidRDefault="00370BAA">
      <w:pPr>
        <w:tabs>
          <w:tab w:val="left" w:pos="2204"/>
          <w:tab w:val="left" w:pos="4326"/>
        </w:tabs>
        <w:spacing w:before="237"/>
        <w:ind w:left="490"/>
        <w:rPr>
          <w:i/>
        </w:rPr>
      </w:pPr>
      <w:r>
        <w:rPr>
          <w:b/>
          <w:color w:val="211F1F"/>
          <w:spacing w:val="-2"/>
        </w:rPr>
        <w:t>Beneficiary:</w:t>
      </w:r>
      <w:r>
        <w:rPr>
          <w:b/>
          <w:color w:val="211F1F"/>
        </w:rPr>
        <w:tab/>
      </w:r>
      <w:r>
        <w:rPr>
          <w:i/>
          <w:color w:val="211F1F"/>
          <w:u w:val="thick" w:color="201E1F"/>
        </w:rPr>
        <w:tab/>
      </w:r>
      <w:r>
        <w:rPr>
          <w:i/>
          <w:color w:val="211F1F"/>
          <w:spacing w:val="-4"/>
        </w:rPr>
        <w:t>[Insert</w:t>
      </w:r>
      <w:r>
        <w:rPr>
          <w:i/>
          <w:color w:val="211F1F"/>
          <w:spacing w:val="-13"/>
        </w:rPr>
        <w:t xml:space="preserve"> </w:t>
      </w:r>
      <w:r>
        <w:rPr>
          <w:i/>
          <w:color w:val="211F1F"/>
          <w:spacing w:val="-4"/>
        </w:rPr>
        <w:t>name</w:t>
      </w:r>
      <w:r>
        <w:rPr>
          <w:i/>
          <w:color w:val="211F1F"/>
          <w:spacing w:val="-9"/>
        </w:rPr>
        <w:t xml:space="preserve"> </w:t>
      </w:r>
      <w:r>
        <w:rPr>
          <w:i/>
          <w:color w:val="211F1F"/>
          <w:spacing w:val="-4"/>
        </w:rPr>
        <w:t>and</w:t>
      </w:r>
      <w:r>
        <w:rPr>
          <w:i/>
          <w:color w:val="211F1F"/>
          <w:spacing w:val="-12"/>
        </w:rPr>
        <w:t xml:space="preserve"> </w:t>
      </w:r>
      <w:r>
        <w:rPr>
          <w:i/>
          <w:color w:val="211F1F"/>
          <w:spacing w:val="-4"/>
        </w:rPr>
        <w:t>Address of</w:t>
      </w:r>
      <w:r>
        <w:rPr>
          <w:i/>
          <w:color w:val="211F1F"/>
          <w:spacing w:val="-18"/>
        </w:rPr>
        <w:t xml:space="preserve"> </w:t>
      </w:r>
      <w:r>
        <w:rPr>
          <w:color w:val="211F1F"/>
          <w:spacing w:val="-4"/>
        </w:rPr>
        <w:t>Procuring</w:t>
      </w:r>
      <w:r>
        <w:rPr>
          <w:color w:val="211F1F"/>
          <w:spacing w:val="-10"/>
        </w:rPr>
        <w:t xml:space="preserve"> </w:t>
      </w:r>
      <w:r>
        <w:rPr>
          <w:color w:val="211F1F"/>
          <w:spacing w:val="-4"/>
        </w:rPr>
        <w:t>Entity</w:t>
      </w:r>
      <w:r>
        <w:rPr>
          <w:i/>
          <w:color w:val="211F1F"/>
          <w:spacing w:val="-4"/>
        </w:rPr>
        <w:t>]</w:t>
      </w:r>
    </w:p>
    <w:p w14:paraId="33C8668C" w14:textId="77777777" w:rsidR="00BB77C0" w:rsidRDefault="00370BAA">
      <w:pPr>
        <w:tabs>
          <w:tab w:val="left" w:pos="4595"/>
        </w:tabs>
        <w:spacing w:before="112"/>
        <w:ind w:left="490"/>
        <w:rPr>
          <w:i/>
        </w:rPr>
      </w:pPr>
      <w:r>
        <w:rPr>
          <w:b/>
          <w:color w:val="211F1F"/>
          <w:spacing w:val="-2"/>
        </w:rPr>
        <w:t>Date:</w:t>
      </w:r>
      <w:r>
        <w:rPr>
          <w:b/>
          <w:color w:val="211F1F"/>
          <w:u w:val="single" w:color="201E1F"/>
        </w:rPr>
        <w:tab/>
      </w:r>
      <w:r>
        <w:rPr>
          <w:i/>
          <w:color w:val="211F1F"/>
          <w:spacing w:val="-2"/>
        </w:rPr>
        <w:t>[Insert</w:t>
      </w:r>
      <w:r>
        <w:rPr>
          <w:i/>
          <w:color w:val="211F1F"/>
          <w:spacing w:val="-22"/>
        </w:rPr>
        <w:t xml:space="preserve"> </w:t>
      </w:r>
      <w:r>
        <w:rPr>
          <w:i/>
          <w:color w:val="211F1F"/>
          <w:spacing w:val="-2"/>
        </w:rPr>
        <w:t>date</w:t>
      </w:r>
      <w:r>
        <w:rPr>
          <w:i/>
          <w:color w:val="211F1F"/>
          <w:spacing w:val="-23"/>
        </w:rPr>
        <w:t xml:space="preserve"> </w:t>
      </w:r>
      <w:r>
        <w:rPr>
          <w:i/>
          <w:color w:val="211F1F"/>
          <w:spacing w:val="-2"/>
        </w:rPr>
        <w:t>of</w:t>
      </w:r>
      <w:r>
        <w:rPr>
          <w:i/>
          <w:color w:val="211F1F"/>
          <w:spacing w:val="-15"/>
        </w:rPr>
        <w:t xml:space="preserve"> </w:t>
      </w:r>
      <w:r>
        <w:rPr>
          <w:i/>
          <w:color w:val="211F1F"/>
          <w:spacing w:val="-2"/>
        </w:rPr>
        <w:t>issue]</w:t>
      </w:r>
    </w:p>
    <w:p w14:paraId="2A12D54A" w14:textId="77777777" w:rsidR="00BB77C0" w:rsidRDefault="00370BAA">
      <w:pPr>
        <w:spacing w:before="112"/>
        <w:ind w:left="490"/>
        <w:rPr>
          <w:i/>
        </w:rPr>
      </w:pPr>
      <w:r>
        <w:rPr>
          <w:b/>
          <w:color w:val="211F1F"/>
        </w:rPr>
        <w:t>Advance</w:t>
      </w:r>
      <w:r>
        <w:rPr>
          <w:b/>
          <w:color w:val="211F1F"/>
          <w:spacing w:val="-16"/>
        </w:rPr>
        <w:t xml:space="preserve"> </w:t>
      </w:r>
      <w:r>
        <w:rPr>
          <w:b/>
          <w:color w:val="211F1F"/>
        </w:rPr>
        <w:t>payment</w:t>
      </w:r>
      <w:r>
        <w:rPr>
          <w:b/>
          <w:color w:val="211F1F"/>
          <w:spacing w:val="-11"/>
        </w:rPr>
        <w:t xml:space="preserve"> </w:t>
      </w:r>
      <w:r>
        <w:rPr>
          <w:b/>
          <w:color w:val="211F1F"/>
        </w:rPr>
        <w:t>guarantee</w:t>
      </w:r>
      <w:r>
        <w:rPr>
          <w:b/>
          <w:color w:val="211F1F"/>
          <w:spacing w:val="-10"/>
        </w:rPr>
        <w:t xml:space="preserve"> </w:t>
      </w:r>
      <w:r>
        <w:rPr>
          <w:b/>
          <w:color w:val="211F1F"/>
        </w:rPr>
        <w:t>no.</w:t>
      </w:r>
      <w:r>
        <w:rPr>
          <w:b/>
          <w:color w:val="211F1F"/>
          <w:spacing w:val="-12"/>
        </w:rPr>
        <w:t xml:space="preserve"> </w:t>
      </w:r>
      <w:r>
        <w:rPr>
          <w:i/>
          <w:color w:val="211F1F"/>
        </w:rPr>
        <w:t>[Insert</w:t>
      </w:r>
      <w:r>
        <w:rPr>
          <w:i/>
          <w:color w:val="211F1F"/>
          <w:spacing w:val="-7"/>
        </w:rPr>
        <w:t xml:space="preserve"> </w:t>
      </w:r>
      <w:r>
        <w:rPr>
          <w:i/>
          <w:color w:val="211F1F"/>
        </w:rPr>
        <w:t>guarantee</w:t>
      </w:r>
      <w:r>
        <w:rPr>
          <w:i/>
          <w:color w:val="211F1F"/>
          <w:spacing w:val="-10"/>
        </w:rPr>
        <w:t xml:space="preserve"> </w:t>
      </w:r>
      <w:r>
        <w:rPr>
          <w:i/>
          <w:color w:val="211F1F"/>
        </w:rPr>
        <w:t>reference</w:t>
      </w:r>
      <w:r>
        <w:rPr>
          <w:i/>
          <w:color w:val="211F1F"/>
          <w:spacing w:val="-11"/>
        </w:rPr>
        <w:t xml:space="preserve"> </w:t>
      </w:r>
      <w:r>
        <w:rPr>
          <w:i/>
          <w:color w:val="211F1F"/>
          <w:spacing w:val="-2"/>
        </w:rPr>
        <w:t>number]</w:t>
      </w:r>
    </w:p>
    <w:p w14:paraId="2F8D35DA" w14:textId="77777777" w:rsidR="00BB77C0" w:rsidRDefault="00370BAA">
      <w:pPr>
        <w:spacing w:before="236"/>
        <w:ind w:left="490"/>
        <w:rPr>
          <w:i/>
        </w:rPr>
      </w:pPr>
      <w:r>
        <w:rPr>
          <w:b/>
          <w:color w:val="211F1F"/>
        </w:rPr>
        <w:t>Guarantor:</w:t>
      </w:r>
      <w:r>
        <w:rPr>
          <w:b/>
          <w:color w:val="211F1F"/>
          <w:spacing w:val="-8"/>
        </w:rPr>
        <w:t xml:space="preserve"> </w:t>
      </w:r>
      <w:r>
        <w:rPr>
          <w:b/>
          <w:color w:val="211F1F"/>
        </w:rPr>
        <w:t>[</w:t>
      </w:r>
      <w:r>
        <w:rPr>
          <w:i/>
          <w:color w:val="211F1F"/>
        </w:rPr>
        <w:t>Insert</w:t>
      </w:r>
      <w:r>
        <w:rPr>
          <w:i/>
          <w:color w:val="211F1F"/>
          <w:spacing w:val="-4"/>
        </w:rPr>
        <w:t xml:space="preserve"> </w:t>
      </w:r>
      <w:r>
        <w:rPr>
          <w:i/>
          <w:color w:val="211F1F"/>
        </w:rPr>
        <w:t>name</w:t>
      </w:r>
      <w:r>
        <w:rPr>
          <w:i/>
          <w:color w:val="211F1F"/>
          <w:spacing w:val="-7"/>
        </w:rPr>
        <w:t xml:space="preserve"> </w:t>
      </w:r>
      <w:r>
        <w:rPr>
          <w:i/>
          <w:color w:val="211F1F"/>
        </w:rPr>
        <w:t>and</w:t>
      </w:r>
      <w:r>
        <w:rPr>
          <w:i/>
          <w:color w:val="211F1F"/>
          <w:spacing w:val="-6"/>
        </w:rPr>
        <w:t xml:space="preserve"> </w:t>
      </w:r>
      <w:r>
        <w:rPr>
          <w:i/>
          <w:color w:val="211F1F"/>
        </w:rPr>
        <w:t>address</w:t>
      </w:r>
      <w:r>
        <w:rPr>
          <w:i/>
          <w:color w:val="211F1F"/>
          <w:spacing w:val="-4"/>
        </w:rPr>
        <w:t xml:space="preserve"> </w:t>
      </w:r>
      <w:r>
        <w:rPr>
          <w:i/>
          <w:color w:val="211F1F"/>
        </w:rPr>
        <w:t>of</w:t>
      </w:r>
      <w:r>
        <w:rPr>
          <w:i/>
          <w:color w:val="211F1F"/>
          <w:spacing w:val="-5"/>
        </w:rPr>
        <w:t xml:space="preserve"> </w:t>
      </w:r>
      <w:r>
        <w:rPr>
          <w:i/>
          <w:color w:val="211F1F"/>
        </w:rPr>
        <w:t>place</w:t>
      </w:r>
      <w:r>
        <w:rPr>
          <w:i/>
          <w:color w:val="211F1F"/>
          <w:spacing w:val="-8"/>
        </w:rPr>
        <w:t xml:space="preserve"> </w:t>
      </w:r>
      <w:r>
        <w:rPr>
          <w:i/>
          <w:color w:val="211F1F"/>
        </w:rPr>
        <w:t>of</w:t>
      </w:r>
      <w:r>
        <w:rPr>
          <w:i/>
          <w:color w:val="211F1F"/>
          <w:spacing w:val="-9"/>
        </w:rPr>
        <w:t xml:space="preserve"> </w:t>
      </w:r>
      <w:r>
        <w:rPr>
          <w:i/>
          <w:color w:val="211F1F"/>
        </w:rPr>
        <w:t>issue,</w:t>
      </w:r>
      <w:r>
        <w:rPr>
          <w:i/>
          <w:color w:val="211F1F"/>
          <w:spacing w:val="-6"/>
        </w:rPr>
        <w:t xml:space="preserve"> </w:t>
      </w:r>
      <w:r>
        <w:rPr>
          <w:i/>
          <w:color w:val="211F1F"/>
        </w:rPr>
        <w:t>unless</w:t>
      </w:r>
      <w:r>
        <w:rPr>
          <w:i/>
          <w:color w:val="211F1F"/>
          <w:spacing w:val="-5"/>
        </w:rPr>
        <w:t xml:space="preserve"> </w:t>
      </w:r>
      <w:r>
        <w:rPr>
          <w:i/>
          <w:color w:val="211F1F"/>
        </w:rPr>
        <w:t>indicated</w:t>
      </w:r>
      <w:r>
        <w:rPr>
          <w:i/>
          <w:color w:val="211F1F"/>
          <w:spacing w:val="-10"/>
        </w:rPr>
        <w:t xml:space="preserve"> </w:t>
      </w:r>
      <w:r>
        <w:rPr>
          <w:i/>
          <w:color w:val="211F1F"/>
        </w:rPr>
        <w:t>in</w:t>
      </w:r>
      <w:r>
        <w:rPr>
          <w:i/>
          <w:color w:val="211F1F"/>
          <w:spacing w:val="-6"/>
        </w:rPr>
        <w:t xml:space="preserve"> </w:t>
      </w:r>
      <w:r>
        <w:rPr>
          <w:i/>
          <w:color w:val="211F1F"/>
        </w:rPr>
        <w:t>the</w:t>
      </w:r>
      <w:r>
        <w:rPr>
          <w:i/>
          <w:color w:val="211F1F"/>
          <w:spacing w:val="-11"/>
        </w:rPr>
        <w:t xml:space="preserve"> </w:t>
      </w:r>
      <w:r>
        <w:rPr>
          <w:i/>
          <w:color w:val="211F1F"/>
          <w:spacing w:val="-2"/>
        </w:rPr>
        <w:t>letterhead]</w:t>
      </w:r>
    </w:p>
    <w:p w14:paraId="5757A7FD" w14:textId="77777777" w:rsidR="00BB77C0" w:rsidRDefault="00370BAA">
      <w:pPr>
        <w:pStyle w:val="ListParagraph"/>
        <w:numPr>
          <w:ilvl w:val="0"/>
          <w:numId w:val="7"/>
        </w:numPr>
        <w:tabs>
          <w:tab w:val="left" w:pos="1035"/>
          <w:tab w:val="left" w:pos="1042"/>
          <w:tab w:val="left" w:pos="5301"/>
        </w:tabs>
        <w:spacing w:before="239" w:line="232" w:lineRule="auto"/>
        <w:ind w:right="712" w:hanging="552"/>
        <w:jc w:val="both"/>
      </w:pPr>
      <w:r>
        <w:rPr>
          <w:color w:val="211F1F"/>
        </w:rPr>
        <w:t>We have beeninformed that</w:t>
      </w:r>
      <w:r>
        <w:rPr>
          <w:color w:val="211F1F"/>
          <w:u w:val="single" w:color="201E1F"/>
        </w:rPr>
        <w:tab/>
      </w:r>
      <w:r>
        <w:rPr>
          <w:i/>
          <w:color w:val="211F1F"/>
        </w:rPr>
        <w:t>[insert name</w:t>
      </w:r>
      <w:r>
        <w:rPr>
          <w:i/>
          <w:color w:val="211F1F"/>
          <w:spacing w:val="-8"/>
        </w:rPr>
        <w:t xml:space="preserve"> </w:t>
      </w:r>
      <w:r>
        <w:rPr>
          <w:i/>
          <w:color w:val="211F1F"/>
        </w:rPr>
        <w:t>of</w:t>
      </w:r>
      <w:r>
        <w:rPr>
          <w:i/>
          <w:color w:val="211F1F"/>
          <w:spacing w:val="-9"/>
        </w:rPr>
        <w:t xml:space="preserve"> </w:t>
      </w:r>
      <w:r>
        <w:rPr>
          <w:i/>
          <w:color w:val="211F1F"/>
        </w:rPr>
        <w:t>Contractor,</w:t>
      </w:r>
      <w:r>
        <w:rPr>
          <w:i/>
          <w:color w:val="211F1F"/>
          <w:spacing w:val="-8"/>
        </w:rPr>
        <w:t xml:space="preserve"> </w:t>
      </w:r>
      <w:r>
        <w:rPr>
          <w:i/>
          <w:color w:val="211F1F"/>
        </w:rPr>
        <w:t>which</w:t>
      </w:r>
      <w:r>
        <w:rPr>
          <w:i/>
          <w:color w:val="211F1F"/>
          <w:spacing w:val="-6"/>
        </w:rPr>
        <w:t xml:space="preserve"> </w:t>
      </w:r>
      <w:r>
        <w:rPr>
          <w:i/>
          <w:color w:val="211F1F"/>
        </w:rPr>
        <w:t>in</w:t>
      </w:r>
      <w:r>
        <w:rPr>
          <w:i/>
          <w:color w:val="211F1F"/>
          <w:spacing w:val="-7"/>
        </w:rPr>
        <w:t xml:space="preserve"> </w:t>
      </w:r>
      <w:r>
        <w:rPr>
          <w:i/>
          <w:color w:val="211F1F"/>
        </w:rPr>
        <w:t>the</w:t>
      </w:r>
      <w:r>
        <w:rPr>
          <w:i/>
          <w:color w:val="211F1F"/>
          <w:spacing w:val="-8"/>
        </w:rPr>
        <w:t xml:space="preserve"> </w:t>
      </w:r>
      <w:r>
        <w:rPr>
          <w:i/>
          <w:color w:val="211F1F"/>
        </w:rPr>
        <w:t>case</w:t>
      </w:r>
      <w:r>
        <w:rPr>
          <w:i/>
          <w:color w:val="211F1F"/>
          <w:spacing w:val="-3"/>
        </w:rPr>
        <w:t xml:space="preserve"> </w:t>
      </w:r>
      <w:r>
        <w:rPr>
          <w:i/>
          <w:color w:val="211F1F"/>
        </w:rPr>
        <w:t>of</w:t>
      </w:r>
      <w:r>
        <w:rPr>
          <w:i/>
          <w:color w:val="211F1F"/>
          <w:spacing w:val="-1"/>
        </w:rPr>
        <w:t xml:space="preserve"> </w:t>
      </w:r>
      <w:r>
        <w:rPr>
          <w:i/>
          <w:color w:val="211F1F"/>
        </w:rPr>
        <w:t>a</w:t>
      </w:r>
      <w:r>
        <w:rPr>
          <w:i/>
          <w:color w:val="211F1F"/>
          <w:spacing w:val="-10"/>
        </w:rPr>
        <w:t xml:space="preserve"> </w:t>
      </w:r>
      <w:r>
        <w:rPr>
          <w:i/>
          <w:color w:val="211F1F"/>
        </w:rPr>
        <w:t>joint</w:t>
      </w:r>
      <w:r>
        <w:rPr>
          <w:i/>
          <w:color w:val="211F1F"/>
          <w:spacing w:val="-13"/>
        </w:rPr>
        <w:t xml:space="preserve"> </w:t>
      </w:r>
      <w:r>
        <w:rPr>
          <w:i/>
          <w:color w:val="211F1F"/>
        </w:rPr>
        <w:t>venture shall</w:t>
      </w:r>
      <w:r>
        <w:rPr>
          <w:i/>
          <w:color w:val="211F1F"/>
          <w:spacing w:val="37"/>
        </w:rPr>
        <w:t xml:space="preserve"> </w:t>
      </w:r>
      <w:r>
        <w:rPr>
          <w:i/>
          <w:color w:val="211F1F"/>
        </w:rPr>
        <w:t>be</w:t>
      </w:r>
      <w:r>
        <w:rPr>
          <w:i/>
          <w:color w:val="211F1F"/>
          <w:spacing w:val="29"/>
        </w:rPr>
        <w:t xml:space="preserve"> </w:t>
      </w:r>
      <w:r>
        <w:rPr>
          <w:i/>
          <w:color w:val="211F1F"/>
        </w:rPr>
        <w:t>the</w:t>
      </w:r>
      <w:r>
        <w:rPr>
          <w:i/>
          <w:color w:val="211F1F"/>
          <w:spacing w:val="29"/>
        </w:rPr>
        <w:t xml:space="preserve"> </w:t>
      </w:r>
      <w:r>
        <w:rPr>
          <w:i/>
          <w:color w:val="211F1F"/>
        </w:rPr>
        <w:t>name</w:t>
      </w:r>
      <w:r>
        <w:rPr>
          <w:i/>
          <w:color w:val="211F1F"/>
          <w:spacing w:val="34"/>
        </w:rPr>
        <w:t xml:space="preserve"> </w:t>
      </w:r>
      <w:r>
        <w:rPr>
          <w:i/>
          <w:color w:val="211F1F"/>
        </w:rPr>
        <w:t>of</w:t>
      </w:r>
      <w:r>
        <w:rPr>
          <w:i/>
          <w:color w:val="211F1F"/>
          <w:spacing w:val="32"/>
        </w:rPr>
        <w:t xml:space="preserve"> </w:t>
      </w:r>
      <w:r>
        <w:rPr>
          <w:i/>
          <w:color w:val="211F1F"/>
        </w:rPr>
        <w:t>the</w:t>
      </w:r>
      <w:r>
        <w:rPr>
          <w:i/>
          <w:color w:val="211F1F"/>
          <w:spacing w:val="29"/>
        </w:rPr>
        <w:t xml:space="preserve"> </w:t>
      </w:r>
      <w:r>
        <w:rPr>
          <w:i/>
          <w:color w:val="211F1F"/>
        </w:rPr>
        <w:t>joint</w:t>
      </w:r>
      <w:r>
        <w:rPr>
          <w:i/>
          <w:color w:val="211F1F"/>
          <w:spacing w:val="33"/>
        </w:rPr>
        <w:t xml:space="preserve"> </w:t>
      </w:r>
      <w:r>
        <w:rPr>
          <w:i/>
          <w:color w:val="211F1F"/>
        </w:rPr>
        <w:t>venture]</w:t>
      </w:r>
      <w:r>
        <w:rPr>
          <w:i/>
          <w:color w:val="211F1F"/>
          <w:spacing w:val="36"/>
        </w:rPr>
        <w:t xml:space="preserve"> </w:t>
      </w:r>
      <w:r>
        <w:rPr>
          <w:color w:val="211F1F"/>
        </w:rPr>
        <w:t>(hereinafter</w:t>
      </w:r>
      <w:r>
        <w:rPr>
          <w:color w:val="211F1F"/>
          <w:spacing w:val="40"/>
        </w:rPr>
        <w:t xml:space="preserve"> </w:t>
      </w:r>
      <w:r>
        <w:rPr>
          <w:color w:val="211F1F"/>
        </w:rPr>
        <w:t>called</w:t>
      </w:r>
      <w:r>
        <w:rPr>
          <w:color w:val="211F1F"/>
          <w:spacing w:val="32"/>
        </w:rPr>
        <w:t xml:space="preserve"> </w:t>
      </w:r>
      <w:r>
        <w:rPr>
          <w:color w:val="211F1F"/>
        </w:rPr>
        <w:t>"the</w:t>
      </w:r>
      <w:r>
        <w:rPr>
          <w:color w:val="211F1F"/>
          <w:spacing w:val="29"/>
        </w:rPr>
        <w:t xml:space="preserve"> </w:t>
      </w:r>
      <w:r>
        <w:rPr>
          <w:color w:val="211F1F"/>
        </w:rPr>
        <w:t>Contractor")</w:t>
      </w:r>
      <w:r>
        <w:rPr>
          <w:color w:val="211F1F"/>
          <w:spacing w:val="36"/>
        </w:rPr>
        <w:t xml:space="preserve"> </w:t>
      </w:r>
      <w:r>
        <w:rPr>
          <w:color w:val="211F1F"/>
        </w:rPr>
        <w:t>has</w:t>
      </w:r>
      <w:r>
        <w:rPr>
          <w:color w:val="211F1F"/>
          <w:spacing w:val="32"/>
        </w:rPr>
        <w:t xml:space="preserve"> </w:t>
      </w:r>
      <w:r>
        <w:rPr>
          <w:color w:val="211F1F"/>
        </w:rPr>
        <w:t>entered</w:t>
      </w:r>
      <w:r>
        <w:rPr>
          <w:color w:val="211F1F"/>
          <w:spacing w:val="32"/>
        </w:rPr>
        <w:t xml:space="preserve"> </w:t>
      </w:r>
      <w:r>
        <w:rPr>
          <w:color w:val="211F1F"/>
        </w:rPr>
        <w:t>into</w:t>
      </w:r>
      <w:r>
        <w:rPr>
          <w:color w:val="211F1F"/>
          <w:spacing w:val="31"/>
        </w:rPr>
        <w:t xml:space="preserve"> </w:t>
      </w:r>
      <w:r>
        <w:rPr>
          <w:color w:val="211F1F"/>
        </w:rPr>
        <w:t>Contract</w:t>
      </w:r>
      <w:r>
        <w:rPr>
          <w:color w:val="211F1F"/>
          <w:spacing w:val="38"/>
        </w:rPr>
        <w:t xml:space="preserve"> </w:t>
      </w:r>
      <w:r>
        <w:rPr>
          <w:color w:val="211F1F"/>
        </w:rPr>
        <w:t>No.</w:t>
      </w:r>
    </w:p>
    <w:p w14:paraId="58D46CCD" w14:textId="77777777" w:rsidR="00BB77C0" w:rsidRDefault="00370BAA">
      <w:pPr>
        <w:tabs>
          <w:tab w:val="left" w:pos="2535"/>
          <w:tab w:val="left" w:pos="4576"/>
          <w:tab w:val="left" w:pos="8187"/>
        </w:tabs>
        <w:spacing w:line="230" w:lineRule="auto"/>
        <w:ind w:left="1042" w:right="710"/>
        <w:jc w:val="both"/>
      </w:pPr>
      <w:r>
        <w:rPr>
          <w:i/>
          <w:color w:val="211F1F"/>
          <w:u w:val="single" w:color="201E1F"/>
        </w:rPr>
        <w:tab/>
      </w:r>
      <w:r>
        <w:rPr>
          <w:i/>
          <w:color w:val="211F1F"/>
        </w:rPr>
        <w:t>[insert reference number of the</w:t>
      </w:r>
      <w:r>
        <w:rPr>
          <w:i/>
          <w:color w:val="211F1F"/>
          <w:spacing w:val="40"/>
        </w:rPr>
        <w:t xml:space="preserve"> </w:t>
      </w:r>
      <w:r>
        <w:rPr>
          <w:i/>
          <w:color w:val="211F1F"/>
        </w:rPr>
        <w:t xml:space="preserve">contract] </w:t>
      </w:r>
      <w:r>
        <w:rPr>
          <w:color w:val="211F1F"/>
        </w:rPr>
        <w:t>dated</w:t>
      </w:r>
      <w:r>
        <w:rPr>
          <w:color w:val="211F1F"/>
          <w:u w:val="single" w:color="201E1F"/>
        </w:rPr>
        <w:tab/>
      </w:r>
      <w:r>
        <w:rPr>
          <w:color w:val="211F1F"/>
        </w:rPr>
        <w:t>with the Beneficiary, for the execution of</w:t>
      </w:r>
      <w:r>
        <w:rPr>
          <w:i/>
          <w:color w:val="211F1F"/>
          <w:u w:val="single" w:color="201E1F"/>
        </w:rPr>
        <w:tab/>
      </w:r>
      <w:r>
        <w:rPr>
          <w:i/>
          <w:color w:val="211F1F"/>
          <w:u w:val="single" w:color="201E1F"/>
        </w:rPr>
        <w:tab/>
      </w:r>
      <w:r>
        <w:rPr>
          <w:i/>
          <w:color w:val="211F1F"/>
        </w:rPr>
        <w:t xml:space="preserve">[insert name of contract and brief description of </w:t>
      </w:r>
      <w:r>
        <w:rPr>
          <w:color w:val="211F1F"/>
        </w:rPr>
        <w:t>Works</w:t>
      </w:r>
      <w:r>
        <w:rPr>
          <w:i/>
          <w:color w:val="211F1F"/>
        </w:rPr>
        <w:t xml:space="preserve">] </w:t>
      </w:r>
      <w:r>
        <w:rPr>
          <w:color w:val="211F1F"/>
        </w:rPr>
        <w:t>(hereinafter called "the</w:t>
      </w:r>
      <w:r>
        <w:rPr>
          <w:color w:val="211F1F"/>
          <w:spacing w:val="-3"/>
        </w:rPr>
        <w:t xml:space="preserve"> </w:t>
      </w:r>
      <w:r>
        <w:rPr>
          <w:color w:val="211F1F"/>
        </w:rPr>
        <w:t>Contract").</w:t>
      </w:r>
    </w:p>
    <w:p w14:paraId="685ED0C8" w14:textId="77777777" w:rsidR="00BB77C0" w:rsidRDefault="00370BAA">
      <w:pPr>
        <w:pStyle w:val="ListParagraph"/>
        <w:numPr>
          <w:ilvl w:val="0"/>
          <w:numId w:val="7"/>
        </w:numPr>
        <w:tabs>
          <w:tab w:val="left" w:pos="1034"/>
          <w:tab w:val="left" w:pos="1037"/>
        </w:tabs>
        <w:spacing w:before="242" w:line="230" w:lineRule="auto"/>
        <w:ind w:left="1037" w:right="708"/>
        <w:jc w:val="both"/>
      </w:pPr>
      <w:r>
        <w:rPr>
          <w:color w:val="211F1F"/>
          <w:spacing w:val="-2"/>
        </w:rPr>
        <w:t>Furthermore,</w:t>
      </w:r>
      <w:r>
        <w:rPr>
          <w:color w:val="211F1F"/>
          <w:spacing w:val="-4"/>
        </w:rPr>
        <w:t xml:space="preserve"> </w:t>
      </w:r>
      <w:r>
        <w:rPr>
          <w:color w:val="211F1F"/>
          <w:spacing w:val="-2"/>
        </w:rPr>
        <w:t>we</w:t>
      </w:r>
      <w:r>
        <w:rPr>
          <w:color w:val="211F1F"/>
          <w:spacing w:val="-11"/>
        </w:rPr>
        <w:t xml:space="preserve"> </w:t>
      </w:r>
      <w:r>
        <w:rPr>
          <w:color w:val="211F1F"/>
          <w:spacing w:val="-2"/>
        </w:rPr>
        <w:t>understand</w:t>
      </w:r>
      <w:r>
        <w:rPr>
          <w:color w:val="211F1F"/>
          <w:spacing w:val="-12"/>
        </w:rPr>
        <w:t xml:space="preserve"> </w:t>
      </w:r>
      <w:r>
        <w:rPr>
          <w:color w:val="211F1F"/>
          <w:spacing w:val="-2"/>
        </w:rPr>
        <w:t>that,</w:t>
      </w:r>
      <w:r>
        <w:rPr>
          <w:color w:val="211F1F"/>
          <w:spacing w:val="-9"/>
        </w:rPr>
        <w:t xml:space="preserve"> </w:t>
      </w:r>
      <w:r>
        <w:rPr>
          <w:color w:val="211F1F"/>
          <w:spacing w:val="-2"/>
        </w:rPr>
        <w:t>according</w:t>
      </w:r>
      <w:r>
        <w:rPr>
          <w:color w:val="211F1F"/>
          <w:spacing w:val="-8"/>
        </w:rPr>
        <w:t xml:space="preserve"> </w:t>
      </w:r>
      <w:r>
        <w:rPr>
          <w:color w:val="211F1F"/>
          <w:spacing w:val="-2"/>
        </w:rPr>
        <w:t>to</w:t>
      </w:r>
      <w:r>
        <w:rPr>
          <w:color w:val="211F1F"/>
          <w:spacing w:val="-12"/>
        </w:rPr>
        <w:t xml:space="preserve"> </w:t>
      </w:r>
      <w:r>
        <w:rPr>
          <w:color w:val="211F1F"/>
          <w:spacing w:val="-2"/>
        </w:rPr>
        <w:t>the</w:t>
      </w:r>
      <w:r>
        <w:rPr>
          <w:color w:val="211F1F"/>
          <w:spacing w:val="-9"/>
        </w:rPr>
        <w:t xml:space="preserve"> </w:t>
      </w:r>
      <w:r>
        <w:rPr>
          <w:color w:val="211F1F"/>
          <w:spacing w:val="-2"/>
        </w:rPr>
        <w:t>conditions of</w:t>
      </w:r>
      <w:r>
        <w:rPr>
          <w:color w:val="211F1F"/>
          <w:spacing w:val="-5"/>
        </w:rPr>
        <w:t xml:space="preserve"> </w:t>
      </w:r>
      <w:r>
        <w:rPr>
          <w:color w:val="211F1F"/>
          <w:spacing w:val="-2"/>
        </w:rPr>
        <w:t>the</w:t>
      </w:r>
      <w:r>
        <w:rPr>
          <w:color w:val="211F1F"/>
          <w:spacing w:val="-10"/>
        </w:rPr>
        <w:t xml:space="preserve"> </w:t>
      </w:r>
      <w:r>
        <w:rPr>
          <w:color w:val="211F1F"/>
          <w:spacing w:val="-2"/>
        </w:rPr>
        <w:t>Contract,</w:t>
      </w:r>
      <w:r>
        <w:rPr>
          <w:color w:val="211F1F"/>
          <w:spacing w:val="-10"/>
        </w:rPr>
        <w:t xml:space="preserve"> </w:t>
      </w:r>
      <w:r>
        <w:rPr>
          <w:color w:val="211F1F"/>
          <w:spacing w:val="-2"/>
        </w:rPr>
        <w:t>the</w:t>
      </w:r>
      <w:r>
        <w:rPr>
          <w:color w:val="211F1F"/>
          <w:spacing w:val="-10"/>
        </w:rPr>
        <w:t xml:space="preserve"> </w:t>
      </w:r>
      <w:r>
        <w:rPr>
          <w:color w:val="211F1F"/>
          <w:spacing w:val="-2"/>
        </w:rPr>
        <w:t>Beneficiary</w:t>
      </w:r>
      <w:r>
        <w:rPr>
          <w:color w:val="211F1F"/>
          <w:spacing w:val="-12"/>
        </w:rPr>
        <w:t xml:space="preserve"> </w:t>
      </w:r>
      <w:r>
        <w:rPr>
          <w:color w:val="211F1F"/>
          <w:spacing w:val="-2"/>
        </w:rPr>
        <w:t>retains moneys up</w:t>
      </w:r>
      <w:r>
        <w:rPr>
          <w:color w:val="211F1F"/>
          <w:spacing w:val="-4"/>
        </w:rPr>
        <w:t xml:space="preserve"> </w:t>
      </w:r>
      <w:r>
        <w:rPr>
          <w:color w:val="211F1F"/>
          <w:spacing w:val="-2"/>
        </w:rPr>
        <w:t xml:space="preserve">to </w:t>
      </w:r>
      <w:r>
        <w:rPr>
          <w:color w:val="211F1F"/>
        </w:rPr>
        <w:t>the</w:t>
      </w:r>
      <w:r>
        <w:rPr>
          <w:color w:val="211F1F"/>
          <w:spacing w:val="-4"/>
        </w:rPr>
        <w:t xml:space="preserve"> </w:t>
      </w:r>
      <w:r>
        <w:rPr>
          <w:color w:val="211F1F"/>
        </w:rPr>
        <w:t>limit set forth</w:t>
      </w:r>
      <w:r>
        <w:rPr>
          <w:color w:val="211F1F"/>
          <w:spacing w:val="-6"/>
        </w:rPr>
        <w:t xml:space="preserve"> </w:t>
      </w:r>
      <w:r>
        <w:rPr>
          <w:color w:val="211F1F"/>
        </w:rPr>
        <w:t>in</w:t>
      </w:r>
      <w:r>
        <w:rPr>
          <w:color w:val="211F1F"/>
          <w:spacing w:val="-2"/>
        </w:rPr>
        <w:t xml:space="preserve"> </w:t>
      </w:r>
      <w:r>
        <w:rPr>
          <w:color w:val="211F1F"/>
        </w:rPr>
        <w:t>the</w:t>
      </w:r>
      <w:r>
        <w:rPr>
          <w:color w:val="211F1F"/>
          <w:spacing w:val="-4"/>
        </w:rPr>
        <w:t xml:space="preserve"> </w:t>
      </w:r>
      <w:r>
        <w:rPr>
          <w:color w:val="211F1F"/>
        </w:rPr>
        <w:t>Contract (“the</w:t>
      </w:r>
      <w:r>
        <w:rPr>
          <w:color w:val="211F1F"/>
          <w:spacing w:val="-4"/>
        </w:rPr>
        <w:t xml:space="preserve"> </w:t>
      </w:r>
      <w:r>
        <w:rPr>
          <w:color w:val="211F1F"/>
        </w:rPr>
        <w:t>Retention</w:t>
      </w:r>
      <w:r>
        <w:rPr>
          <w:color w:val="211F1F"/>
          <w:spacing w:val="-5"/>
        </w:rPr>
        <w:t xml:space="preserve"> </w:t>
      </w:r>
      <w:r>
        <w:rPr>
          <w:color w:val="211F1F"/>
        </w:rPr>
        <w:t>Money”),</w:t>
      </w:r>
      <w:r>
        <w:rPr>
          <w:color w:val="211F1F"/>
          <w:spacing w:val="-4"/>
        </w:rPr>
        <w:t xml:space="preserve"> </w:t>
      </w:r>
      <w:r>
        <w:rPr>
          <w:color w:val="211F1F"/>
        </w:rPr>
        <w:t>and</w:t>
      </w:r>
      <w:r>
        <w:rPr>
          <w:color w:val="211F1F"/>
          <w:spacing w:val="-2"/>
        </w:rPr>
        <w:t xml:space="preserve"> </w:t>
      </w:r>
      <w:r>
        <w:rPr>
          <w:color w:val="211F1F"/>
        </w:rPr>
        <w:t>that when</w:t>
      </w:r>
      <w:r>
        <w:rPr>
          <w:color w:val="211F1F"/>
          <w:spacing w:val="-1"/>
        </w:rPr>
        <w:t xml:space="preserve"> </w:t>
      </w:r>
      <w:r>
        <w:rPr>
          <w:color w:val="211F1F"/>
        </w:rPr>
        <w:t>the</w:t>
      </w:r>
      <w:r>
        <w:rPr>
          <w:color w:val="211F1F"/>
          <w:spacing w:val="-13"/>
        </w:rPr>
        <w:t xml:space="preserve"> </w:t>
      </w:r>
      <w:r>
        <w:rPr>
          <w:color w:val="211F1F"/>
        </w:rPr>
        <w:t>Taking-Over Certificate</w:t>
      </w:r>
      <w:r>
        <w:rPr>
          <w:color w:val="211F1F"/>
          <w:spacing w:val="-2"/>
        </w:rPr>
        <w:t xml:space="preserve"> </w:t>
      </w:r>
      <w:r>
        <w:rPr>
          <w:color w:val="211F1F"/>
        </w:rPr>
        <w:t>has</w:t>
      </w:r>
      <w:r>
        <w:rPr>
          <w:color w:val="211F1F"/>
          <w:spacing w:val="-1"/>
        </w:rPr>
        <w:t xml:space="preserve"> </w:t>
      </w:r>
      <w:r>
        <w:rPr>
          <w:color w:val="211F1F"/>
        </w:rPr>
        <w:t>been issued</w:t>
      </w:r>
      <w:r>
        <w:rPr>
          <w:color w:val="211F1F"/>
          <w:spacing w:val="-8"/>
        </w:rPr>
        <w:t xml:space="preserve"> </w:t>
      </w:r>
      <w:r>
        <w:rPr>
          <w:color w:val="211F1F"/>
        </w:rPr>
        <w:t>under</w:t>
      </w:r>
      <w:r>
        <w:rPr>
          <w:color w:val="211F1F"/>
          <w:spacing w:val="-1"/>
        </w:rPr>
        <w:t xml:space="preserve"> </w:t>
      </w:r>
      <w:r>
        <w:rPr>
          <w:color w:val="211F1F"/>
        </w:rPr>
        <w:t>the</w:t>
      </w:r>
      <w:r>
        <w:rPr>
          <w:color w:val="211F1F"/>
          <w:spacing w:val="-10"/>
        </w:rPr>
        <w:t xml:space="preserve"> </w:t>
      </w:r>
      <w:r>
        <w:rPr>
          <w:color w:val="211F1F"/>
        </w:rPr>
        <w:t>Contract</w:t>
      </w:r>
      <w:r>
        <w:rPr>
          <w:color w:val="211F1F"/>
          <w:spacing w:val="-6"/>
        </w:rPr>
        <w:t xml:space="preserve"> </w:t>
      </w:r>
      <w:r>
        <w:rPr>
          <w:color w:val="211F1F"/>
        </w:rPr>
        <w:t>and</w:t>
      </w:r>
      <w:r>
        <w:rPr>
          <w:color w:val="211F1F"/>
          <w:spacing w:val="-8"/>
        </w:rPr>
        <w:t xml:space="preserve"> </w:t>
      </w:r>
      <w:r>
        <w:rPr>
          <w:color w:val="211F1F"/>
        </w:rPr>
        <w:t>the</w:t>
      </w:r>
      <w:r>
        <w:rPr>
          <w:color w:val="211F1F"/>
          <w:spacing w:val="-5"/>
        </w:rPr>
        <w:t xml:space="preserve"> </w:t>
      </w:r>
      <w:r>
        <w:rPr>
          <w:color w:val="211F1F"/>
        </w:rPr>
        <w:t>first</w:t>
      </w:r>
      <w:r>
        <w:rPr>
          <w:color w:val="211F1F"/>
          <w:spacing w:val="-2"/>
        </w:rPr>
        <w:t xml:space="preserve"> </w:t>
      </w:r>
      <w:r>
        <w:rPr>
          <w:color w:val="211F1F"/>
        </w:rPr>
        <w:t>half</w:t>
      </w:r>
      <w:r>
        <w:rPr>
          <w:color w:val="211F1F"/>
          <w:spacing w:val="-1"/>
        </w:rPr>
        <w:t xml:space="preserve"> </w:t>
      </w:r>
      <w:r>
        <w:rPr>
          <w:color w:val="211F1F"/>
        </w:rPr>
        <w:t>of</w:t>
      </w:r>
      <w:r>
        <w:rPr>
          <w:color w:val="211F1F"/>
          <w:spacing w:val="-5"/>
        </w:rPr>
        <w:t xml:space="preserve"> </w:t>
      </w:r>
      <w:r>
        <w:rPr>
          <w:color w:val="211F1F"/>
        </w:rPr>
        <w:t>the</w:t>
      </w:r>
      <w:r>
        <w:rPr>
          <w:color w:val="211F1F"/>
          <w:spacing w:val="-10"/>
        </w:rPr>
        <w:t xml:space="preserve"> </w:t>
      </w:r>
      <w:r>
        <w:rPr>
          <w:color w:val="211F1F"/>
        </w:rPr>
        <w:t>Retention</w:t>
      </w:r>
      <w:r>
        <w:rPr>
          <w:color w:val="211F1F"/>
          <w:spacing w:val="-7"/>
        </w:rPr>
        <w:t xml:space="preserve"> </w:t>
      </w:r>
      <w:r>
        <w:rPr>
          <w:color w:val="211F1F"/>
        </w:rPr>
        <w:t>Money</w:t>
      </w:r>
      <w:r>
        <w:rPr>
          <w:color w:val="211F1F"/>
          <w:spacing w:val="-4"/>
        </w:rPr>
        <w:t xml:space="preserve"> </w:t>
      </w:r>
      <w:r>
        <w:rPr>
          <w:color w:val="211F1F"/>
        </w:rPr>
        <w:t>has</w:t>
      </w:r>
      <w:r>
        <w:rPr>
          <w:color w:val="211F1F"/>
          <w:spacing w:val="-3"/>
        </w:rPr>
        <w:t xml:space="preserve"> </w:t>
      </w:r>
      <w:r>
        <w:rPr>
          <w:color w:val="211F1F"/>
        </w:rPr>
        <w:t>been</w:t>
      </w:r>
      <w:r>
        <w:rPr>
          <w:color w:val="211F1F"/>
          <w:spacing w:val="-8"/>
        </w:rPr>
        <w:t xml:space="preserve"> </w:t>
      </w:r>
      <w:r>
        <w:rPr>
          <w:color w:val="211F1F"/>
        </w:rPr>
        <w:t>certified</w:t>
      </w:r>
      <w:r>
        <w:rPr>
          <w:color w:val="211F1F"/>
          <w:spacing w:val="-8"/>
        </w:rPr>
        <w:t xml:space="preserve"> </w:t>
      </w:r>
      <w:r>
        <w:rPr>
          <w:color w:val="211F1F"/>
        </w:rPr>
        <w:t>for</w:t>
      </w:r>
      <w:r>
        <w:rPr>
          <w:color w:val="211F1F"/>
          <w:spacing w:val="-1"/>
        </w:rPr>
        <w:t xml:space="preserve"> </w:t>
      </w:r>
      <w:r>
        <w:rPr>
          <w:color w:val="211F1F"/>
        </w:rPr>
        <w:t>payment,</w:t>
      </w:r>
      <w:r>
        <w:rPr>
          <w:color w:val="211F1F"/>
          <w:spacing w:val="-1"/>
        </w:rPr>
        <w:t xml:space="preserve"> </w:t>
      </w:r>
      <w:r>
        <w:rPr>
          <w:color w:val="211F1F"/>
        </w:rPr>
        <w:t>and</w:t>
      </w:r>
      <w:r>
        <w:rPr>
          <w:color w:val="211F1F"/>
          <w:spacing w:val="-8"/>
        </w:rPr>
        <w:t xml:space="preserve"> </w:t>
      </w:r>
      <w:r>
        <w:rPr>
          <w:color w:val="211F1F"/>
        </w:rPr>
        <w:t>payment of</w:t>
      </w:r>
      <w:r>
        <w:rPr>
          <w:color w:val="211F1F"/>
          <w:spacing w:val="-6"/>
        </w:rPr>
        <w:t xml:space="preserve"> </w:t>
      </w:r>
      <w:r>
        <w:rPr>
          <w:i/>
          <w:color w:val="211F1F"/>
        </w:rPr>
        <w:t>[</w:t>
      </w:r>
      <w:r>
        <w:rPr>
          <w:color w:val="211F1F"/>
        </w:rPr>
        <w:t>insert</w:t>
      </w:r>
      <w:r>
        <w:rPr>
          <w:color w:val="211F1F"/>
          <w:spacing w:val="-2"/>
        </w:rPr>
        <w:t xml:space="preserve"> </w:t>
      </w:r>
      <w:r>
        <w:rPr>
          <w:color w:val="211F1F"/>
        </w:rPr>
        <w:t>the</w:t>
      </w:r>
      <w:r>
        <w:rPr>
          <w:color w:val="211F1F"/>
          <w:spacing w:val="-12"/>
        </w:rPr>
        <w:t xml:space="preserve"> </w:t>
      </w:r>
      <w:r>
        <w:rPr>
          <w:color w:val="211F1F"/>
        </w:rPr>
        <w:t>second</w:t>
      </w:r>
      <w:r>
        <w:rPr>
          <w:color w:val="211F1F"/>
          <w:spacing w:val="-10"/>
        </w:rPr>
        <w:t xml:space="preserve"> </w:t>
      </w:r>
      <w:r>
        <w:rPr>
          <w:color w:val="211F1F"/>
        </w:rPr>
        <w:t>half</w:t>
      </w:r>
      <w:r>
        <w:rPr>
          <w:color w:val="211F1F"/>
          <w:spacing w:val="-5"/>
        </w:rPr>
        <w:t xml:space="preserve"> </w:t>
      </w:r>
      <w:r>
        <w:rPr>
          <w:color w:val="211F1F"/>
        </w:rPr>
        <w:t>of</w:t>
      </w:r>
      <w:r>
        <w:rPr>
          <w:color w:val="211F1F"/>
          <w:spacing w:val="-6"/>
        </w:rPr>
        <w:t xml:space="preserve"> </w:t>
      </w:r>
      <w:r>
        <w:rPr>
          <w:color w:val="211F1F"/>
        </w:rPr>
        <w:t>the</w:t>
      </w:r>
      <w:r>
        <w:rPr>
          <w:color w:val="211F1F"/>
          <w:spacing w:val="-12"/>
        </w:rPr>
        <w:t xml:space="preserve"> </w:t>
      </w:r>
      <w:r>
        <w:rPr>
          <w:color w:val="211F1F"/>
        </w:rPr>
        <w:t>Retention</w:t>
      </w:r>
      <w:r>
        <w:rPr>
          <w:color w:val="211F1F"/>
          <w:spacing w:val="-14"/>
        </w:rPr>
        <w:t xml:space="preserve"> </w:t>
      </w:r>
      <w:r>
        <w:rPr>
          <w:color w:val="211F1F"/>
        </w:rPr>
        <w:t>Money]</w:t>
      </w:r>
      <w:r>
        <w:rPr>
          <w:color w:val="211F1F"/>
          <w:spacing w:val="-5"/>
        </w:rPr>
        <w:t xml:space="preserve"> </w:t>
      </w:r>
      <w:r>
        <w:rPr>
          <w:color w:val="211F1F"/>
        </w:rPr>
        <w:t>is</w:t>
      </w:r>
      <w:r>
        <w:rPr>
          <w:color w:val="211F1F"/>
          <w:spacing w:val="-4"/>
        </w:rPr>
        <w:t xml:space="preserve"> </w:t>
      </w:r>
      <w:r>
        <w:rPr>
          <w:color w:val="211F1F"/>
        </w:rPr>
        <w:t>to</w:t>
      </w:r>
      <w:r>
        <w:rPr>
          <w:color w:val="211F1F"/>
          <w:spacing w:val="-10"/>
        </w:rPr>
        <w:t xml:space="preserve"> </w:t>
      </w:r>
      <w:r>
        <w:rPr>
          <w:color w:val="211F1F"/>
        </w:rPr>
        <w:t>be</w:t>
      </w:r>
      <w:r>
        <w:rPr>
          <w:color w:val="211F1F"/>
          <w:spacing w:val="-12"/>
        </w:rPr>
        <w:t xml:space="preserve"> </w:t>
      </w:r>
      <w:r>
        <w:rPr>
          <w:color w:val="211F1F"/>
        </w:rPr>
        <w:t>made</w:t>
      </w:r>
      <w:r>
        <w:rPr>
          <w:color w:val="211F1F"/>
          <w:spacing w:val="-11"/>
        </w:rPr>
        <w:t xml:space="preserve"> </w:t>
      </w:r>
      <w:r>
        <w:rPr>
          <w:color w:val="211F1F"/>
        </w:rPr>
        <w:t>against</w:t>
      </w:r>
      <w:r>
        <w:rPr>
          <w:color w:val="211F1F"/>
          <w:spacing w:val="-2"/>
        </w:rPr>
        <w:t xml:space="preserve"> </w:t>
      </w:r>
      <w:r>
        <w:rPr>
          <w:color w:val="211F1F"/>
        </w:rPr>
        <w:t>a</w:t>
      </w:r>
      <w:r>
        <w:rPr>
          <w:color w:val="211F1F"/>
          <w:spacing w:val="-6"/>
        </w:rPr>
        <w:t xml:space="preserve"> </w:t>
      </w:r>
      <w:r>
        <w:rPr>
          <w:color w:val="211F1F"/>
        </w:rPr>
        <w:t>Retention</w:t>
      </w:r>
      <w:r>
        <w:rPr>
          <w:color w:val="211F1F"/>
          <w:spacing w:val="-14"/>
        </w:rPr>
        <w:t xml:space="preserve"> </w:t>
      </w:r>
      <w:r>
        <w:rPr>
          <w:color w:val="211F1F"/>
        </w:rPr>
        <w:t>Money</w:t>
      </w:r>
      <w:r>
        <w:rPr>
          <w:color w:val="211F1F"/>
          <w:spacing w:val="-4"/>
        </w:rPr>
        <w:t xml:space="preserve"> </w:t>
      </w:r>
      <w:r>
        <w:rPr>
          <w:color w:val="211F1F"/>
        </w:rPr>
        <w:t>guarantee.</w:t>
      </w:r>
    </w:p>
    <w:p w14:paraId="187C8078" w14:textId="77777777" w:rsidR="00BB77C0" w:rsidRDefault="00370BAA">
      <w:pPr>
        <w:pStyle w:val="ListParagraph"/>
        <w:numPr>
          <w:ilvl w:val="0"/>
          <w:numId w:val="7"/>
        </w:numPr>
        <w:tabs>
          <w:tab w:val="left" w:pos="1030"/>
          <w:tab w:val="left" w:pos="1037"/>
          <w:tab w:val="left" w:pos="4427"/>
          <w:tab w:val="left" w:pos="9018"/>
        </w:tabs>
        <w:spacing w:before="243" w:line="230" w:lineRule="auto"/>
        <w:ind w:left="1037" w:right="700" w:hanging="552"/>
        <w:jc w:val="both"/>
      </w:pPr>
      <w:r>
        <w:rPr>
          <w:noProof/>
        </w:rPr>
        <mc:AlternateContent>
          <mc:Choice Requires="wps">
            <w:drawing>
              <wp:anchor distT="0" distB="0" distL="0" distR="0" simplePos="0" relativeHeight="15787520" behindDoc="0" locked="0" layoutInCell="1" allowOverlap="1" wp14:anchorId="4284F4DB" wp14:editId="01B24104">
                <wp:simplePos x="0" y="0"/>
                <wp:positionH relativeFrom="page">
                  <wp:posOffset>1222857</wp:posOffset>
                </wp:positionH>
                <wp:positionV relativeFrom="paragraph">
                  <wp:posOffset>609065</wp:posOffset>
                </wp:positionV>
                <wp:extent cx="1817370" cy="6350"/>
                <wp:effectExtent l="0" t="0" r="0" b="0"/>
                <wp:wrapNone/>
                <wp:docPr id="432" name="Graphic 4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17370" cy="6350"/>
                        </a:xfrm>
                        <a:custGeom>
                          <a:avLst/>
                          <a:gdLst/>
                          <a:ahLst/>
                          <a:cxnLst/>
                          <a:rect l="l" t="t" r="r" b="b"/>
                          <a:pathLst>
                            <a:path w="1817370" h="6350">
                              <a:moveTo>
                                <a:pt x="1817242" y="0"/>
                              </a:moveTo>
                              <a:lnTo>
                                <a:pt x="0" y="0"/>
                              </a:lnTo>
                              <a:lnTo>
                                <a:pt x="0" y="6096"/>
                              </a:lnTo>
                              <a:lnTo>
                                <a:pt x="1817242" y="6096"/>
                              </a:lnTo>
                              <a:lnTo>
                                <a:pt x="1817242" y="0"/>
                              </a:lnTo>
                              <a:close/>
                            </a:path>
                          </a:pathLst>
                        </a:custGeom>
                        <a:solidFill>
                          <a:srgbClr val="201E1F"/>
                        </a:solidFill>
                      </wps:spPr>
                      <wps:bodyPr wrap="square" lIns="0" tIns="0" rIns="0" bIns="0" rtlCol="0">
                        <a:prstTxWarp prst="textNoShape">
                          <a:avLst/>
                        </a:prstTxWarp>
                        <a:noAutofit/>
                      </wps:bodyPr>
                    </wps:wsp>
                  </a:graphicData>
                </a:graphic>
              </wp:anchor>
            </w:drawing>
          </mc:Choice>
          <mc:Fallback>
            <w:pict>
              <v:shape w14:anchorId="66913FBF" id="Graphic 432" o:spid="_x0000_s1026" style="position:absolute;margin-left:96.3pt;margin-top:47.95pt;width:143.1pt;height:.5pt;z-index:15787520;visibility:visible;mso-wrap-style:square;mso-wrap-distance-left:0;mso-wrap-distance-top:0;mso-wrap-distance-right:0;mso-wrap-distance-bottom:0;mso-position-horizontal:absolute;mso-position-horizontal-relative:page;mso-position-vertical:absolute;mso-position-vertical-relative:text;v-text-anchor:top" coordsize="18173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" path="m1817242,l,,,6096r1817242,l1817242,xe" fillcolor="#201e1f" stroked="f">
                <v:path arrowok="t"/>
                <w10:wrap anchorx="page"/>
              </v:shape>
            </w:pict>
          </mc:Fallback>
        </mc:AlternateContent>
      </w:r>
      <w:r>
        <w:rPr>
          <w:color w:val="211F1F"/>
          <w:spacing w:val="-2"/>
        </w:rPr>
        <w:t>At</w:t>
      </w:r>
      <w:r>
        <w:rPr>
          <w:color w:val="211F1F"/>
          <w:spacing w:val="-12"/>
        </w:rPr>
        <w:t xml:space="preserve"> </w:t>
      </w:r>
      <w:r>
        <w:rPr>
          <w:color w:val="211F1F"/>
          <w:spacing w:val="-2"/>
        </w:rPr>
        <w:t>the</w:t>
      </w:r>
      <w:r>
        <w:rPr>
          <w:color w:val="211F1F"/>
          <w:spacing w:val="-12"/>
        </w:rPr>
        <w:t xml:space="preserve"> </w:t>
      </w:r>
      <w:r>
        <w:rPr>
          <w:color w:val="211F1F"/>
          <w:spacing w:val="-2"/>
        </w:rPr>
        <w:t>request</w:t>
      </w:r>
      <w:r>
        <w:rPr>
          <w:color w:val="211F1F"/>
          <w:spacing w:val="-5"/>
        </w:rPr>
        <w:t xml:space="preserve"> </w:t>
      </w:r>
      <w:r>
        <w:rPr>
          <w:color w:val="211F1F"/>
          <w:spacing w:val="-2"/>
        </w:rPr>
        <w:t>of</w:t>
      </w:r>
      <w:r>
        <w:rPr>
          <w:color w:val="211F1F"/>
          <w:spacing w:val="-9"/>
        </w:rPr>
        <w:t xml:space="preserve"> </w:t>
      </w:r>
      <w:r>
        <w:rPr>
          <w:color w:val="211F1F"/>
          <w:spacing w:val="-2"/>
        </w:rPr>
        <w:t>the</w:t>
      </w:r>
      <w:r>
        <w:rPr>
          <w:color w:val="211F1F"/>
          <w:spacing w:val="-12"/>
        </w:rPr>
        <w:t xml:space="preserve"> </w:t>
      </w:r>
      <w:r>
        <w:rPr>
          <w:color w:val="211F1F"/>
          <w:spacing w:val="-2"/>
        </w:rPr>
        <w:t>Contractor,</w:t>
      </w:r>
      <w:r>
        <w:rPr>
          <w:color w:val="211F1F"/>
          <w:spacing w:val="-3"/>
        </w:rPr>
        <w:t xml:space="preserve"> </w:t>
      </w:r>
      <w:r>
        <w:rPr>
          <w:color w:val="211F1F"/>
          <w:spacing w:val="-2"/>
        </w:rPr>
        <w:t>we,</w:t>
      </w:r>
      <w:r>
        <w:rPr>
          <w:color w:val="211F1F"/>
          <w:spacing w:val="-10"/>
        </w:rPr>
        <w:t xml:space="preserve"> </w:t>
      </w:r>
      <w:r>
        <w:rPr>
          <w:color w:val="211F1F"/>
          <w:spacing w:val="-2"/>
        </w:rPr>
        <w:t>as</w:t>
      </w:r>
      <w:r>
        <w:rPr>
          <w:color w:val="211F1F"/>
          <w:spacing w:val="-7"/>
        </w:rPr>
        <w:t xml:space="preserve"> </w:t>
      </w:r>
      <w:r>
        <w:rPr>
          <w:color w:val="211F1F"/>
          <w:spacing w:val="-2"/>
        </w:rPr>
        <w:t>Guarantor,</w:t>
      </w:r>
      <w:r>
        <w:rPr>
          <w:color w:val="211F1F"/>
          <w:spacing w:val="-4"/>
        </w:rPr>
        <w:t xml:space="preserve"> </w:t>
      </w:r>
      <w:r>
        <w:rPr>
          <w:color w:val="211F1F"/>
          <w:spacing w:val="-2"/>
        </w:rPr>
        <w:t>hereby</w:t>
      </w:r>
      <w:r>
        <w:rPr>
          <w:color w:val="211F1F"/>
          <w:spacing w:val="-7"/>
        </w:rPr>
        <w:t xml:space="preserve"> </w:t>
      </w:r>
      <w:r>
        <w:rPr>
          <w:color w:val="211F1F"/>
          <w:spacing w:val="-2"/>
        </w:rPr>
        <w:t>irrevocably</w:t>
      </w:r>
      <w:r>
        <w:rPr>
          <w:color w:val="211F1F"/>
          <w:spacing w:val="-11"/>
        </w:rPr>
        <w:t xml:space="preserve"> </w:t>
      </w:r>
      <w:r>
        <w:rPr>
          <w:color w:val="211F1F"/>
          <w:spacing w:val="-2"/>
        </w:rPr>
        <w:t>undertake</w:t>
      </w:r>
      <w:r>
        <w:rPr>
          <w:color w:val="211F1F"/>
          <w:spacing w:val="-8"/>
        </w:rPr>
        <w:t xml:space="preserve"> </w:t>
      </w:r>
      <w:r>
        <w:rPr>
          <w:color w:val="211F1F"/>
          <w:spacing w:val="-2"/>
        </w:rPr>
        <w:t>to</w:t>
      </w:r>
      <w:r>
        <w:rPr>
          <w:color w:val="211F1F"/>
          <w:spacing w:val="-12"/>
        </w:rPr>
        <w:t xml:space="preserve"> </w:t>
      </w:r>
      <w:r>
        <w:rPr>
          <w:color w:val="211F1F"/>
          <w:spacing w:val="-2"/>
        </w:rPr>
        <w:t>pay</w:t>
      </w:r>
      <w:r>
        <w:rPr>
          <w:color w:val="211F1F"/>
          <w:spacing w:val="-12"/>
        </w:rPr>
        <w:t xml:space="preserve"> </w:t>
      </w:r>
      <w:r>
        <w:rPr>
          <w:color w:val="211F1F"/>
          <w:spacing w:val="-2"/>
        </w:rPr>
        <w:t>the</w:t>
      </w:r>
      <w:r>
        <w:rPr>
          <w:color w:val="211F1F"/>
          <w:spacing w:val="-8"/>
        </w:rPr>
        <w:t xml:space="preserve"> </w:t>
      </w:r>
      <w:r>
        <w:rPr>
          <w:color w:val="211F1F"/>
          <w:spacing w:val="-2"/>
        </w:rPr>
        <w:t>Beneficiary</w:t>
      </w:r>
      <w:r>
        <w:rPr>
          <w:color w:val="211F1F"/>
          <w:spacing w:val="-12"/>
        </w:rPr>
        <w:t xml:space="preserve"> </w:t>
      </w:r>
      <w:r>
        <w:rPr>
          <w:color w:val="211F1F"/>
          <w:spacing w:val="-2"/>
        </w:rPr>
        <w:t>any</w:t>
      </w:r>
      <w:r>
        <w:rPr>
          <w:color w:val="211F1F"/>
          <w:spacing w:val="-7"/>
        </w:rPr>
        <w:t xml:space="preserve"> </w:t>
      </w:r>
      <w:r>
        <w:rPr>
          <w:color w:val="211F1F"/>
          <w:spacing w:val="-2"/>
        </w:rPr>
        <w:t>sum</w:t>
      </w:r>
      <w:r>
        <w:rPr>
          <w:color w:val="211F1F"/>
        </w:rPr>
        <w:t xml:space="preserve"> </w:t>
      </w:r>
      <w:r>
        <w:rPr>
          <w:color w:val="211F1F"/>
          <w:spacing w:val="-2"/>
        </w:rPr>
        <w:t xml:space="preserve">or </w:t>
      </w:r>
      <w:r>
        <w:rPr>
          <w:color w:val="211F1F"/>
        </w:rPr>
        <w:t>sums</w:t>
      </w:r>
      <w:r>
        <w:rPr>
          <w:color w:val="211F1F"/>
          <w:spacing w:val="40"/>
        </w:rPr>
        <w:t xml:space="preserve"> </w:t>
      </w:r>
      <w:r>
        <w:rPr>
          <w:color w:val="211F1F"/>
        </w:rPr>
        <w:t>not</w:t>
      </w:r>
      <w:r>
        <w:rPr>
          <w:color w:val="211F1F"/>
          <w:spacing w:val="40"/>
        </w:rPr>
        <w:t xml:space="preserve"> </w:t>
      </w:r>
      <w:r>
        <w:rPr>
          <w:color w:val="211F1F"/>
        </w:rPr>
        <w:t>exceeding in</w:t>
      </w:r>
      <w:r>
        <w:rPr>
          <w:color w:val="211F1F"/>
          <w:spacing w:val="40"/>
        </w:rPr>
        <w:t xml:space="preserve"> </w:t>
      </w:r>
      <w:r>
        <w:rPr>
          <w:color w:val="211F1F"/>
        </w:rPr>
        <w:t>total</w:t>
      </w:r>
      <w:r>
        <w:rPr>
          <w:color w:val="211F1F"/>
          <w:spacing w:val="40"/>
        </w:rPr>
        <w:t xml:space="preserve"> </w:t>
      </w:r>
      <w:r>
        <w:rPr>
          <w:color w:val="211F1F"/>
        </w:rPr>
        <w:t>an</w:t>
      </w:r>
      <w:r>
        <w:rPr>
          <w:color w:val="211F1F"/>
          <w:spacing w:val="40"/>
        </w:rPr>
        <w:t xml:space="preserve"> </w:t>
      </w:r>
      <w:r>
        <w:rPr>
          <w:color w:val="211F1F"/>
        </w:rPr>
        <w:t>amount</w:t>
      </w:r>
      <w:r>
        <w:rPr>
          <w:color w:val="211F1F"/>
          <w:spacing w:val="40"/>
        </w:rPr>
        <w:t xml:space="preserve"> </w:t>
      </w:r>
      <w:r>
        <w:rPr>
          <w:color w:val="211F1F"/>
        </w:rPr>
        <w:t>of</w:t>
      </w:r>
      <w:r>
        <w:rPr>
          <w:color w:val="211F1F"/>
          <w:spacing w:val="40"/>
        </w:rPr>
        <w:t xml:space="preserve"> </w:t>
      </w:r>
      <w:r>
        <w:rPr>
          <w:i/>
          <w:color w:val="211F1F"/>
        </w:rPr>
        <w:t>[insert</w:t>
      </w:r>
      <w:r>
        <w:rPr>
          <w:i/>
          <w:color w:val="211F1F"/>
          <w:spacing w:val="40"/>
        </w:rPr>
        <w:t xml:space="preserve"> </w:t>
      </w:r>
      <w:r>
        <w:rPr>
          <w:i/>
          <w:color w:val="211F1F"/>
        </w:rPr>
        <w:t>amount</w:t>
      </w:r>
      <w:r>
        <w:rPr>
          <w:i/>
          <w:color w:val="211F1F"/>
          <w:spacing w:val="40"/>
        </w:rPr>
        <w:t xml:space="preserve"> </w:t>
      </w:r>
      <w:r>
        <w:rPr>
          <w:i/>
          <w:color w:val="211F1F"/>
        </w:rPr>
        <w:t>in</w:t>
      </w:r>
      <w:r>
        <w:rPr>
          <w:i/>
          <w:color w:val="211F1F"/>
          <w:spacing w:val="40"/>
        </w:rPr>
        <w:t xml:space="preserve"> </w:t>
      </w:r>
      <w:r>
        <w:rPr>
          <w:i/>
          <w:color w:val="211F1F"/>
        </w:rPr>
        <w:t>figures]</w:t>
      </w:r>
      <w:r>
        <w:rPr>
          <w:i/>
          <w:color w:val="211F1F"/>
          <w:u w:val="single" w:color="201E1F"/>
        </w:rPr>
        <w:tab/>
      </w:r>
      <w:r>
        <w:rPr>
          <w:color w:val="211F1F"/>
        </w:rPr>
        <w:t>(</w:t>
      </w:r>
      <w:r>
        <w:rPr>
          <w:i/>
          <w:color w:val="211F1F"/>
        </w:rPr>
        <w:t xml:space="preserve">[insert amount in </w:t>
      </w:r>
      <w:r>
        <w:rPr>
          <w:i/>
          <w:color w:val="211F1F"/>
          <w:spacing w:val="-2"/>
        </w:rPr>
        <w:t>words</w:t>
      </w:r>
      <w:r>
        <w:rPr>
          <w:i/>
          <w:color w:val="211F1F"/>
        </w:rPr>
        <w:tab/>
        <w:t>])</w:t>
      </w:r>
      <w:r>
        <w:rPr>
          <w:i/>
          <w:color w:val="211F1F"/>
          <w:position w:val="11"/>
          <w:sz w:val="11"/>
        </w:rPr>
        <w:t xml:space="preserve">1 </w:t>
      </w:r>
      <w:r>
        <w:rPr>
          <w:color w:val="211F1F"/>
        </w:rPr>
        <w:t>upon receipt by us of the Beneficiary's complying demand supported by</w:t>
      </w:r>
      <w:r>
        <w:rPr>
          <w:color w:val="211F1F"/>
          <w:spacing w:val="-3"/>
        </w:rPr>
        <w:t xml:space="preserve"> </w:t>
      </w:r>
      <w:r>
        <w:rPr>
          <w:color w:val="211F1F"/>
        </w:rPr>
        <w:t>the</w:t>
      </w:r>
      <w:r>
        <w:rPr>
          <w:color w:val="211F1F"/>
          <w:spacing w:val="-3"/>
        </w:rPr>
        <w:t xml:space="preserve"> </w:t>
      </w:r>
      <w:r>
        <w:rPr>
          <w:color w:val="211F1F"/>
        </w:rPr>
        <w:t>Beneficiary's statement, whether in</w:t>
      </w:r>
      <w:r>
        <w:rPr>
          <w:color w:val="211F1F"/>
          <w:spacing w:val="-3"/>
        </w:rPr>
        <w:t xml:space="preserve"> </w:t>
      </w:r>
      <w:r>
        <w:rPr>
          <w:color w:val="211F1F"/>
        </w:rPr>
        <w:t>the</w:t>
      </w:r>
      <w:r>
        <w:rPr>
          <w:color w:val="211F1F"/>
          <w:spacing w:val="-3"/>
        </w:rPr>
        <w:t xml:space="preserve"> </w:t>
      </w:r>
      <w:r>
        <w:rPr>
          <w:color w:val="211F1F"/>
        </w:rPr>
        <w:t>demand</w:t>
      </w:r>
      <w:r>
        <w:rPr>
          <w:color w:val="211F1F"/>
          <w:spacing w:val="-3"/>
        </w:rPr>
        <w:t xml:space="preserve"> </w:t>
      </w:r>
      <w:r>
        <w:rPr>
          <w:color w:val="211F1F"/>
        </w:rPr>
        <w:t>itself or in</w:t>
      </w:r>
      <w:r>
        <w:rPr>
          <w:color w:val="211F1F"/>
          <w:spacing w:val="-3"/>
        </w:rPr>
        <w:t xml:space="preserve"> </w:t>
      </w:r>
      <w:r>
        <w:rPr>
          <w:color w:val="211F1F"/>
        </w:rPr>
        <w:t>a separate</w:t>
      </w:r>
      <w:r>
        <w:rPr>
          <w:color w:val="211F1F"/>
          <w:spacing w:val="-3"/>
        </w:rPr>
        <w:t xml:space="preserve"> </w:t>
      </w:r>
      <w:r>
        <w:rPr>
          <w:color w:val="211F1F"/>
        </w:rPr>
        <w:t>signed</w:t>
      </w:r>
      <w:r>
        <w:rPr>
          <w:color w:val="211F1F"/>
          <w:spacing w:val="-3"/>
        </w:rPr>
        <w:t xml:space="preserve"> </w:t>
      </w:r>
      <w:r>
        <w:rPr>
          <w:color w:val="211F1F"/>
        </w:rPr>
        <w:t>document accompanying</w:t>
      </w:r>
      <w:r>
        <w:rPr>
          <w:color w:val="211F1F"/>
          <w:spacing w:val="-5"/>
        </w:rPr>
        <w:t xml:space="preserve"> </w:t>
      </w:r>
      <w:r>
        <w:rPr>
          <w:color w:val="211F1F"/>
        </w:rPr>
        <w:t>or identifying the demand, stating that the Contractor is in breach of its obligation(s) under the Contract, without your needing</w:t>
      </w:r>
      <w:r>
        <w:rPr>
          <w:color w:val="211F1F"/>
          <w:spacing w:val="-15"/>
        </w:rPr>
        <w:t xml:space="preserve"> </w:t>
      </w:r>
      <w:r>
        <w:rPr>
          <w:color w:val="211F1F"/>
        </w:rPr>
        <w:t>to</w:t>
      </w:r>
      <w:r>
        <w:rPr>
          <w:color w:val="211F1F"/>
          <w:spacing w:val="-9"/>
        </w:rPr>
        <w:t xml:space="preserve"> </w:t>
      </w:r>
      <w:r>
        <w:rPr>
          <w:color w:val="211F1F"/>
        </w:rPr>
        <w:t>prove</w:t>
      </w:r>
      <w:r>
        <w:rPr>
          <w:color w:val="211F1F"/>
          <w:spacing w:val="-6"/>
        </w:rPr>
        <w:t xml:space="preserve"> </w:t>
      </w:r>
      <w:r>
        <w:rPr>
          <w:color w:val="211F1F"/>
        </w:rPr>
        <w:t>or show</w:t>
      </w:r>
      <w:r>
        <w:rPr>
          <w:color w:val="211F1F"/>
          <w:spacing w:val="-5"/>
        </w:rPr>
        <w:t xml:space="preserve"> </w:t>
      </w:r>
      <w:r>
        <w:rPr>
          <w:color w:val="211F1F"/>
        </w:rPr>
        <w:t>grounds</w:t>
      </w:r>
      <w:r>
        <w:rPr>
          <w:color w:val="211F1F"/>
          <w:spacing w:val="-2"/>
        </w:rPr>
        <w:t xml:space="preserve"> </w:t>
      </w:r>
      <w:r>
        <w:rPr>
          <w:color w:val="211F1F"/>
        </w:rPr>
        <w:t>for your demand</w:t>
      </w:r>
      <w:r>
        <w:rPr>
          <w:color w:val="211F1F"/>
          <w:spacing w:val="-15"/>
        </w:rPr>
        <w:t xml:space="preserve"> </w:t>
      </w:r>
      <w:r>
        <w:rPr>
          <w:color w:val="211F1F"/>
        </w:rPr>
        <w:t>or the</w:t>
      </w:r>
      <w:r>
        <w:rPr>
          <w:color w:val="211F1F"/>
          <w:spacing w:val="-11"/>
        </w:rPr>
        <w:t xml:space="preserve"> </w:t>
      </w:r>
      <w:r>
        <w:rPr>
          <w:color w:val="211F1F"/>
        </w:rPr>
        <w:t>sum</w:t>
      </w:r>
      <w:r>
        <w:rPr>
          <w:color w:val="211F1F"/>
          <w:spacing w:val="-8"/>
        </w:rPr>
        <w:t xml:space="preserve"> </w:t>
      </w:r>
      <w:r>
        <w:rPr>
          <w:color w:val="211F1F"/>
        </w:rPr>
        <w:t>specified</w:t>
      </w:r>
      <w:r>
        <w:rPr>
          <w:color w:val="211F1F"/>
          <w:spacing w:val="-8"/>
        </w:rPr>
        <w:t xml:space="preserve"> </w:t>
      </w:r>
      <w:r>
        <w:rPr>
          <w:color w:val="211F1F"/>
        </w:rPr>
        <w:t>therein.</w:t>
      </w:r>
    </w:p>
    <w:p w14:paraId="7B594013" w14:textId="77777777" w:rsidR="00BB77C0" w:rsidRDefault="00370BAA">
      <w:pPr>
        <w:pStyle w:val="ListParagraph"/>
        <w:numPr>
          <w:ilvl w:val="0"/>
          <w:numId w:val="7"/>
        </w:numPr>
        <w:tabs>
          <w:tab w:val="left" w:pos="1035"/>
          <w:tab w:val="left" w:pos="1037"/>
          <w:tab w:val="left" w:pos="5987"/>
          <w:tab w:val="left" w:pos="8163"/>
        </w:tabs>
        <w:spacing w:before="235" w:line="230" w:lineRule="auto"/>
        <w:ind w:left="1037" w:right="705" w:hanging="552"/>
        <w:jc w:val="both"/>
      </w:pPr>
      <w:r>
        <w:rPr>
          <w:noProof/>
        </w:rPr>
        <mc:AlternateContent>
          <mc:Choice Requires="wps">
            <w:drawing>
              <wp:anchor distT="0" distB="0" distL="0" distR="0" simplePos="0" relativeHeight="15788032" behindDoc="0" locked="0" layoutInCell="1" allowOverlap="1" wp14:anchorId="2E74E68F" wp14:editId="55BDC6F4">
                <wp:simplePos x="0" y="0"/>
                <wp:positionH relativeFrom="page">
                  <wp:posOffset>3064510</wp:posOffset>
                </wp:positionH>
                <wp:positionV relativeFrom="paragraph">
                  <wp:posOffset>597977</wp:posOffset>
                </wp:positionV>
                <wp:extent cx="967105" cy="6350"/>
                <wp:effectExtent l="0" t="0" r="0" b="0"/>
                <wp:wrapNone/>
                <wp:docPr id="433" name="Graphic 4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7105" cy="6350"/>
                        </a:xfrm>
                        <a:custGeom>
                          <a:avLst/>
                          <a:gdLst/>
                          <a:ahLst/>
                          <a:cxnLst/>
                          <a:rect l="l" t="t" r="r" b="b"/>
                          <a:pathLst>
                            <a:path w="967105" h="6350">
                              <a:moveTo>
                                <a:pt x="966520" y="0"/>
                              </a:moveTo>
                              <a:lnTo>
                                <a:pt x="0" y="0"/>
                              </a:lnTo>
                              <a:lnTo>
                                <a:pt x="0" y="6096"/>
                              </a:lnTo>
                              <a:lnTo>
                                <a:pt x="966520" y="6096"/>
                              </a:lnTo>
                              <a:lnTo>
                                <a:pt x="966520" y="0"/>
                              </a:lnTo>
                              <a:close/>
                            </a:path>
                          </a:pathLst>
                        </a:custGeom>
                        <a:solidFill>
                          <a:srgbClr val="201E1F"/>
                        </a:solidFill>
                      </wps:spPr>
                      <wps:bodyPr wrap="square" lIns="0" tIns="0" rIns="0" bIns="0" rtlCol="0">
                        <a:prstTxWarp prst="textNoShape">
                          <a:avLst/>
                        </a:prstTxWarp>
                        <a:noAutofit/>
                      </wps:bodyPr>
                    </wps:wsp>
                  </a:graphicData>
                </a:graphic>
              </wp:anchor>
            </w:drawing>
          </mc:Choice>
          <mc:Fallback>
            <w:pict>
              <v:shape w14:anchorId="0CD8AF7D" id="Graphic 433" o:spid="_x0000_s1026" style="position:absolute;margin-left:241.3pt;margin-top:47.1pt;width:76.15pt;height:.5pt;z-index:15788032;visibility:visible;mso-wrap-style:square;mso-wrap-distance-left:0;mso-wrap-distance-top:0;mso-wrap-distance-right:0;mso-wrap-distance-bottom:0;mso-position-horizontal:absolute;mso-position-horizontal-relative:page;mso-position-vertical:absolute;mso-position-vertical-relative:text;v-text-anchor:top" coordsize="9671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" path="m966520,l,,,6096r966520,l966520,xe" fillcolor="#201e1f" stroked="f">
                <v:path arrowok="t"/>
                <w10:wrap anchorx="page"/>
              </v:shape>
            </w:pict>
          </mc:Fallback>
        </mc:AlternateContent>
      </w:r>
      <w:r>
        <w:rPr>
          <w:color w:val="211F1F"/>
        </w:rPr>
        <w:t>A</w:t>
      </w:r>
      <w:r>
        <w:rPr>
          <w:color w:val="211F1F"/>
          <w:spacing w:val="-14"/>
        </w:rPr>
        <w:t xml:space="preserve"> </w:t>
      </w:r>
      <w:r>
        <w:rPr>
          <w:color w:val="211F1F"/>
        </w:rPr>
        <w:t>demand</w:t>
      </w:r>
      <w:r>
        <w:rPr>
          <w:color w:val="211F1F"/>
          <w:spacing w:val="-5"/>
        </w:rPr>
        <w:t xml:space="preserve"> </w:t>
      </w:r>
      <w:r>
        <w:rPr>
          <w:color w:val="211F1F"/>
        </w:rPr>
        <w:t>under this guarantee</w:t>
      </w:r>
      <w:r>
        <w:rPr>
          <w:color w:val="211F1F"/>
          <w:spacing w:val="-2"/>
        </w:rPr>
        <w:t xml:space="preserve"> </w:t>
      </w:r>
      <w:r>
        <w:rPr>
          <w:color w:val="211F1F"/>
        </w:rPr>
        <w:t>may</w:t>
      </w:r>
      <w:r>
        <w:rPr>
          <w:color w:val="211F1F"/>
          <w:spacing w:val="-1"/>
        </w:rPr>
        <w:t xml:space="preserve"> </w:t>
      </w:r>
      <w:r>
        <w:rPr>
          <w:color w:val="211F1F"/>
        </w:rPr>
        <w:t>be</w:t>
      </w:r>
      <w:r>
        <w:rPr>
          <w:color w:val="211F1F"/>
          <w:spacing w:val="-8"/>
        </w:rPr>
        <w:t xml:space="preserve"> </w:t>
      </w:r>
      <w:r>
        <w:rPr>
          <w:color w:val="211F1F"/>
        </w:rPr>
        <w:t>presented</w:t>
      </w:r>
      <w:r>
        <w:rPr>
          <w:color w:val="211F1F"/>
          <w:spacing w:val="-5"/>
        </w:rPr>
        <w:t xml:space="preserve"> </w:t>
      </w:r>
      <w:r>
        <w:rPr>
          <w:color w:val="211F1F"/>
        </w:rPr>
        <w:t>as from</w:t>
      </w:r>
      <w:r>
        <w:rPr>
          <w:color w:val="211F1F"/>
          <w:spacing w:val="-8"/>
        </w:rPr>
        <w:t xml:space="preserve"> </w:t>
      </w:r>
      <w:r>
        <w:rPr>
          <w:color w:val="211F1F"/>
        </w:rPr>
        <w:t>the</w:t>
      </w:r>
      <w:r>
        <w:rPr>
          <w:color w:val="211F1F"/>
          <w:spacing w:val="-2"/>
        </w:rPr>
        <w:t xml:space="preserve"> </w:t>
      </w:r>
      <w:r>
        <w:rPr>
          <w:color w:val="211F1F"/>
        </w:rPr>
        <w:t>presentation</w:t>
      </w:r>
      <w:r>
        <w:rPr>
          <w:color w:val="211F1F"/>
          <w:spacing w:val="-4"/>
        </w:rPr>
        <w:t xml:space="preserve"> </w:t>
      </w:r>
      <w:r>
        <w:rPr>
          <w:color w:val="211F1F"/>
        </w:rPr>
        <w:t>to</w:t>
      </w:r>
      <w:r>
        <w:rPr>
          <w:color w:val="211F1F"/>
          <w:spacing w:val="-6"/>
        </w:rPr>
        <w:t xml:space="preserve"> </w:t>
      </w:r>
      <w:r>
        <w:rPr>
          <w:color w:val="211F1F"/>
        </w:rPr>
        <w:t>the</w:t>
      </w:r>
      <w:r>
        <w:rPr>
          <w:color w:val="211F1F"/>
          <w:spacing w:val="-8"/>
        </w:rPr>
        <w:t xml:space="preserve"> </w:t>
      </w:r>
      <w:r>
        <w:rPr>
          <w:color w:val="211F1F"/>
        </w:rPr>
        <w:t>Guarantor of</w:t>
      </w:r>
      <w:r>
        <w:rPr>
          <w:color w:val="211F1F"/>
          <w:spacing w:val="-2"/>
        </w:rPr>
        <w:t xml:space="preserve"> </w:t>
      </w:r>
      <w:r>
        <w:rPr>
          <w:color w:val="211F1F"/>
        </w:rPr>
        <w:t>a certificate</w:t>
      </w:r>
      <w:r>
        <w:rPr>
          <w:color w:val="211F1F"/>
          <w:spacing w:val="-1"/>
        </w:rPr>
        <w:t xml:space="preserve"> </w:t>
      </w:r>
      <w:r>
        <w:rPr>
          <w:color w:val="211F1F"/>
        </w:rPr>
        <w:t xml:space="preserve">from </w:t>
      </w:r>
      <w:r>
        <w:rPr>
          <w:color w:val="211F1F"/>
          <w:spacing w:val="-2"/>
        </w:rPr>
        <w:t>the</w:t>
      </w:r>
      <w:r>
        <w:rPr>
          <w:color w:val="211F1F"/>
          <w:spacing w:val="-12"/>
        </w:rPr>
        <w:t xml:space="preserve"> </w:t>
      </w:r>
      <w:r>
        <w:rPr>
          <w:color w:val="211F1F"/>
          <w:spacing w:val="-2"/>
        </w:rPr>
        <w:t>Beneficiary's</w:t>
      </w:r>
      <w:r>
        <w:rPr>
          <w:color w:val="211F1F"/>
          <w:spacing w:val="-12"/>
        </w:rPr>
        <w:t xml:space="preserve"> </w:t>
      </w:r>
      <w:r>
        <w:rPr>
          <w:color w:val="211F1F"/>
          <w:spacing w:val="-2"/>
        </w:rPr>
        <w:t>bank</w:t>
      </w:r>
      <w:r>
        <w:rPr>
          <w:color w:val="211F1F"/>
          <w:spacing w:val="-12"/>
        </w:rPr>
        <w:t xml:space="preserve"> </w:t>
      </w:r>
      <w:r>
        <w:rPr>
          <w:color w:val="211F1F"/>
          <w:spacing w:val="-2"/>
        </w:rPr>
        <w:t>stating</w:t>
      </w:r>
      <w:r>
        <w:rPr>
          <w:color w:val="211F1F"/>
          <w:spacing w:val="-8"/>
        </w:rPr>
        <w:t xml:space="preserve"> </w:t>
      </w:r>
      <w:r>
        <w:rPr>
          <w:color w:val="211F1F"/>
          <w:spacing w:val="-2"/>
        </w:rPr>
        <w:t>that</w:t>
      </w:r>
      <w:r>
        <w:rPr>
          <w:color w:val="211F1F"/>
          <w:spacing w:val="-7"/>
        </w:rPr>
        <w:t xml:space="preserve"> </w:t>
      </w:r>
      <w:r>
        <w:rPr>
          <w:color w:val="211F1F"/>
          <w:spacing w:val="-2"/>
        </w:rPr>
        <w:t>the</w:t>
      </w:r>
      <w:r>
        <w:rPr>
          <w:color w:val="211F1F"/>
          <w:spacing w:val="-10"/>
        </w:rPr>
        <w:t xml:space="preserve"> </w:t>
      </w:r>
      <w:r>
        <w:rPr>
          <w:color w:val="211F1F"/>
          <w:spacing w:val="-2"/>
        </w:rPr>
        <w:t>second</w:t>
      </w:r>
      <w:r>
        <w:rPr>
          <w:color w:val="211F1F"/>
          <w:spacing w:val="-8"/>
        </w:rPr>
        <w:t xml:space="preserve"> </w:t>
      </w:r>
      <w:r>
        <w:rPr>
          <w:color w:val="211F1F"/>
          <w:spacing w:val="-2"/>
        </w:rPr>
        <w:t>half</w:t>
      </w:r>
      <w:r>
        <w:rPr>
          <w:color w:val="211F1F"/>
          <w:spacing w:val="-5"/>
        </w:rPr>
        <w:t xml:space="preserve"> </w:t>
      </w:r>
      <w:r>
        <w:rPr>
          <w:color w:val="211F1F"/>
          <w:spacing w:val="-2"/>
        </w:rPr>
        <w:t>of</w:t>
      </w:r>
      <w:r>
        <w:rPr>
          <w:color w:val="211F1F"/>
          <w:spacing w:val="-12"/>
        </w:rPr>
        <w:t xml:space="preserve"> </w:t>
      </w:r>
      <w:r>
        <w:rPr>
          <w:color w:val="211F1F"/>
          <w:spacing w:val="-2"/>
        </w:rPr>
        <w:t>the</w:t>
      </w:r>
      <w:r>
        <w:rPr>
          <w:color w:val="211F1F"/>
          <w:spacing w:val="-10"/>
        </w:rPr>
        <w:t xml:space="preserve"> </w:t>
      </w:r>
      <w:r>
        <w:rPr>
          <w:color w:val="211F1F"/>
          <w:spacing w:val="-2"/>
        </w:rPr>
        <w:t>Retention</w:t>
      </w:r>
      <w:r>
        <w:rPr>
          <w:color w:val="211F1F"/>
          <w:spacing w:val="-7"/>
        </w:rPr>
        <w:t xml:space="preserve"> </w:t>
      </w:r>
      <w:r>
        <w:rPr>
          <w:color w:val="211F1F"/>
          <w:spacing w:val="-2"/>
        </w:rPr>
        <w:t>Money</w:t>
      </w:r>
      <w:r>
        <w:rPr>
          <w:color w:val="211F1F"/>
          <w:spacing w:val="-9"/>
        </w:rPr>
        <w:t xml:space="preserve"> </w:t>
      </w:r>
      <w:r>
        <w:rPr>
          <w:color w:val="211F1F"/>
          <w:spacing w:val="-2"/>
        </w:rPr>
        <w:t>as</w:t>
      </w:r>
      <w:r>
        <w:rPr>
          <w:color w:val="211F1F"/>
          <w:spacing w:val="-12"/>
        </w:rPr>
        <w:t xml:space="preserve"> </w:t>
      </w:r>
      <w:r>
        <w:rPr>
          <w:color w:val="211F1F"/>
          <w:spacing w:val="-2"/>
        </w:rPr>
        <w:t>referred</w:t>
      </w:r>
      <w:r>
        <w:rPr>
          <w:color w:val="211F1F"/>
          <w:spacing w:val="-8"/>
        </w:rPr>
        <w:t xml:space="preserve"> </w:t>
      </w:r>
      <w:r>
        <w:rPr>
          <w:color w:val="211F1F"/>
          <w:spacing w:val="-2"/>
        </w:rPr>
        <w:t>to</w:t>
      </w:r>
      <w:r>
        <w:rPr>
          <w:color w:val="211F1F"/>
          <w:spacing w:val="-12"/>
        </w:rPr>
        <w:t xml:space="preserve"> </w:t>
      </w:r>
      <w:r>
        <w:rPr>
          <w:color w:val="211F1F"/>
          <w:spacing w:val="-2"/>
        </w:rPr>
        <w:t>above</w:t>
      </w:r>
      <w:r>
        <w:rPr>
          <w:color w:val="211F1F"/>
          <w:spacing w:val="-10"/>
        </w:rPr>
        <w:t xml:space="preserve"> </w:t>
      </w:r>
      <w:r>
        <w:rPr>
          <w:color w:val="211F1F"/>
          <w:spacing w:val="-2"/>
        </w:rPr>
        <w:t>has</w:t>
      </w:r>
      <w:r>
        <w:rPr>
          <w:color w:val="211F1F"/>
          <w:spacing w:val="-8"/>
        </w:rPr>
        <w:t xml:space="preserve"> </w:t>
      </w:r>
      <w:r>
        <w:rPr>
          <w:color w:val="211F1F"/>
          <w:spacing w:val="-2"/>
        </w:rPr>
        <w:t>been</w:t>
      </w:r>
      <w:r>
        <w:rPr>
          <w:color w:val="211F1F"/>
          <w:spacing w:val="-8"/>
        </w:rPr>
        <w:t xml:space="preserve"> </w:t>
      </w:r>
      <w:r>
        <w:rPr>
          <w:color w:val="211F1F"/>
          <w:spacing w:val="-2"/>
        </w:rPr>
        <w:t>credited</w:t>
      </w:r>
      <w:r>
        <w:rPr>
          <w:color w:val="211F1F"/>
          <w:spacing w:val="6"/>
        </w:rPr>
        <w:t xml:space="preserve"> </w:t>
      </w:r>
      <w:r>
        <w:rPr>
          <w:color w:val="211F1F"/>
          <w:spacing w:val="-2"/>
        </w:rPr>
        <w:t xml:space="preserve">to </w:t>
      </w:r>
      <w:r>
        <w:rPr>
          <w:color w:val="211F1F"/>
        </w:rPr>
        <w:t xml:space="preserve">the Contractor on its </w:t>
      </w:r>
      <w:r>
        <w:rPr>
          <w:color w:val="211F1F"/>
          <w:spacing w:val="15"/>
        </w:rPr>
        <w:t xml:space="preserve">account </w:t>
      </w:r>
      <w:r>
        <w:rPr>
          <w:color w:val="211F1F"/>
        </w:rPr>
        <w:t>number</w:t>
      </w:r>
      <w:r>
        <w:rPr>
          <w:color w:val="211F1F"/>
        </w:rPr>
        <w:tab/>
      </w:r>
      <w:r>
        <w:rPr>
          <w:color w:val="211F1F"/>
          <w:spacing w:val="-6"/>
        </w:rPr>
        <w:t>at</w:t>
      </w:r>
      <w:r>
        <w:rPr>
          <w:color w:val="211F1F"/>
          <w:u w:val="single" w:color="201E1F"/>
        </w:rPr>
        <w:tab/>
      </w:r>
      <w:r>
        <w:rPr>
          <w:i/>
          <w:color w:val="211F1F"/>
        </w:rPr>
        <w:t>[insert name and address of Applicant's</w:t>
      </w:r>
      <w:r>
        <w:rPr>
          <w:i/>
          <w:color w:val="211F1F"/>
          <w:spacing w:val="-25"/>
        </w:rPr>
        <w:t xml:space="preserve"> </w:t>
      </w:r>
      <w:r>
        <w:rPr>
          <w:i/>
          <w:color w:val="211F1F"/>
        </w:rPr>
        <w:t>bank]</w:t>
      </w:r>
      <w:r>
        <w:rPr>
          <w:color w:val="211F1F"/>
        </w:rPr>
        <w:t>.</w:t>
      </w:r>
    </w:p>
    <w:p w14:paraId="29FC19DB" w14:textId="77777777" w:rsidR="00BB77C0" w:rsidRDefault="00370BAA">
      <w:pPr>
        <w:pStyle w:val="ListParagraph"/>
        <w:numPr>
          <w:ilvl w:val="0"/>
          <w:numId w:val="7"/>
        </w:numPr>
        <w:tabs>
          <w:tab w:val="left" w:pos="733"/>
          <w:tab w:val="left" w:leader="dot" w:pos="10727"/>
        </w:tabs>
        <w:spacing w:before="233" w:line="259" w:lineRule="exact"/>
        <w:ind w:left="733" w:hanging="248"/>
      </w:pPr>
      <w:r>
        <w:rPr>
          <w:color w:val="211F1F"/>
        </w:rPr>
        <w:t>This</w:t>
      </w:r>
      <w:r>
        <w:rPr>
          <w:color w:val="211F1F"/>
          <w:spacing w:val="10"/>
        </w:rPr>
        <w:t xml:space="preserve"> </w:t>
      </w:r>
      <w:r>
        <w:rPr>
          <w:color w:val="211F1F"/>
        </w:rPr>
        <w:t>guarantee</w:t>
      </w:r>
      <w:r>
        <w:rPr>
          <w:color w:val="211F1F"/>
          <w:spacing w:val="5"/>
        </w:rPr>
        <w:t xml:space="preserve"> </w:t>
      </w:r>
      <w:r>
        <w:rPr>
          <w:color w:val="211F1F"/>
        </w:rPr>
        <w:t>shall</w:t>
      </w:r>
      <w:r>
        <w:rPr>
          <w:color w:val="211F1F"/>
          <w:spacing w:val="6"/>
        </w:rPr>
        <w:t xml:space="preserve"> </w:t>
      </w:r>
      <w:r>
        <w:rPr>
          <w:color w:val="211F1F"/>
        </w:rPr>
        <w:t>expire</w:t>
      </w:r>
      <w:r>
        <w:rPr>
          <w:color w:val="211F1F"/>
          <w:spacing w:val="5"/>
        </w:rPr>
        <w:t xml:space="preserve"> </w:t>
      </w:r>
      <w:r>
        <w:rPr>
          <w:color w:val="211F1F"/>
        </w:rPr>
        <w:t>no</w:t>
      </w:r>
      <w:r>
        <w:rPr>
          <w:color w:val="211F1F"/>
          <w:spacing w:val="6"/>
        </w:rPr>
        <w:t xml:space="preserve"> </w:t>
      </w:r>
      <w:r>
        <w:rPr>
          <w:color w:val="211F1F"/>
        </w:rPr>
        <w:t>later</w:t>
      </w:r>
      <w:r>
        <w:rPr>
          <w:color w:val="211F1F"/>
          <w:spacing w:val="14"/>
        </w:rPr>
        <w:t xml:space="preserve"> </w:t>
      </w:r>
      <w:r>
        <w:rPr>
          <w:color w:val="211F1F"/>
        </w:rPr>
        <w:t>than</w:t>
      </w:r>
      <w:r>
        <w:rPr>
          <w:color w:val="211F1F"/>
          <w:spacing w:val="1"/>
        </w:rPr>
        <w:t xml:space="preserve"> </w:t>
      </w:r>
      <w:r>
        <w:rPr>
          <w:color w:val="211F1F"/>
        </w:rPr>
        <w:t>the</w:t>
      </w:r>
      <w:r>
        <w:rPr>
          <w:color w:val="211F1F"/>
          <w:spacing w:val="4"/>
        </w:rPr>
        <w:t xml:space="preserve"> </w:t>
      </w:r>
      <w:r>
        <w:rPr>
          <w:color w:val="211F1F"/>
        </w:rPr>
        <w:t>…...........................</w:t>
      </w:r>
      <w:r>
        <w:rPr>
          <w:color w:val="211F1F"/>
          <w:spacing w:val="11"/>
        </w:rPr>
        <w:t xml:space="preserve"> </w:t>
      </w:r>
      <w:r>
        <w:rPr>
          <w:color w:val="211F1F"/>
        </w:rPr>
        <w:t>Day</w:t>
      </w:r>
      <w:r>
        <w:rPr>
          <w:color w:val="211F1F"/>
          <w:spacing w:val="1"/>
        </w:rPr>
        <w:t xml:space="preserve"> </w:t>
      </w:r>
      <w:r>
        <w:rPr>
          <w:color w:val="211F1F"/>
        </w:rPr>
        <w:t>of</w:t>
      </w:r>
      <w:r>
        <w:rPr>
          <w:color w:val="211F1F"/>
          <w:spacing w:val="9"/>
        </w:rPr>
        <w:t xml:space="preserve"> </w:t>
      </w:r>
      <w:r>
        <w:rPr>
          <w:color w:val="211F1F"/>
        </w:rPr>
        <w:t>….........................….…,</w:t>
      </w:r>
      <w:r>
        <w:rPr>
          <w:color w:val="211F1F"/>
          <w:spacing w:val="7"/>
        </w:rPr>
        <w:t xml:space="preserve"> </w:t>
      </w:r>
      <w:r>
        <w:rPr>
          <w:color w:val="211F1F"/>
          <w:spacing w:val="-5"/>
        </w:rPr>
        <w:t>2.</w:t>
      </w:r>
      <w:r>
        <w:rPr>
          <w:color w:val="211F1F"/>
        </w:rPr>
        <w:tab/>
      </w:r>
      <w:r>
        <w:rPr>
          <w:color w:val="211F1F"/>
          <w:spacing w:val="-5"/>
          <w:position w:val="11"/>
          <w:sz w:val="11"/>
        </w:rPr>
        <w:t>2</w:t>
      </w:r>
      <w:r>
        <w:rPr>
          <w:color w:val="211F1F"/>
          <w:spacing w:val="-5"/>
        </w:rPr>
        <w:t>,</w:t>
      </w:r>
    </w:p>
    <w:p w14:paraId="4778B143" w14:textId="77777777" w:rsidR="00BB77C0" w:rsidRDefault="00370BAA">
      <w:pPr>
        <w:pStyle w:val="BodyText"/>
        <w:spacing w:line="251" w:lineRule="exact"/>
        <w:ind w:left="1037"/>
        <w:jc w:val="both"/>
      </w:pPr>
      <w:r>
        <w:rPr>
          <w:color w:val="211F1F"/>
          <w:spacing w:val="-2"/>
        </w:rPr>
        <w:t>and</w:t>
      </w:r>
      <w:r>
        <w:rPr>
          <w:color w:val="211F1F"/>
          <w:spacing w:val="-28"/>
        </w:rPr>
        <w:t xml:space="preserve"> </w:t>
      </w:r>
      <w:r>
        <w:rPr>
          <w:color w:val="211F1F"/>
          <w:spacing w:val="-2"/>
        </w:rPr>
        <w:t>any</w:t>
      </w:r>
      <w:r>
        <w:rPr>
          <w:color w:val="211F1F"/>
          <w:spacing w:val="-20"/>
        </w:rPr>
        <w:t xml:space="preserve"> </w:t>
      </w:r>
      <w:r>
        <w:rPr>
          <w:color w:val="211F1F"/>
          <w:spacing w:val="-2"/>
        </w:rPr>
        <w:t>demand</w:t>
      </w:r>
      <w:r>
        <w:rPr>
          <w:color w:val="211F1F"/>
          <w:spacing w:val="-26"/>
        </w:rPr>
        <w:t xml:space="preserve"> </w:t>
      </w:r>
      <w:r>
        <w:rPr>
          <w:color w:val="211F1F"/>
          <w:spacing w:val="-2"/>
        </w:rPr>
        <w:t>for</w:t>
      </w:r>
      <w:r>
        <w:rPr>
          <w:color w:val="211F1F"/>
          <w:spacing w:val="-12"/>
        </w:rPr>
        <w:t xml:space="preserve"> </w:t>
      </w:r>
      <w:r>
        <w:rPr>
          <w:color w:val="211F1F"/>
          <w:spacing w:val="-2"/>
        </w:rPr>
        <w:t>payment</w:t>
      </w:r>
      <w:r>
        <w:rPr>
          <w:color w:val="211F1F"/>
          <w:spacing w:val="-15"/>
        </w:rPr>
        <w:t xml:space="preserve"> </w:t>
      </w:r>
      <w:r>
        <w:rPr>
          <w:color w:val="211F1F"/>
          <w:spacing w:val="-2"/>
        </w:rPr>
        <w:t>under</w:t>
      </w:r>
      <w:r>
        <w:rPr>
          <w:color w:val="211F1F"/>
          <w:spacing w:val="-12"/>
        </w:rPr>
        <w:t xml:space="preserve"> </w:t>
      </w:r>
      <w:r>
        <w:rPr>
          <w:color w:val="211F1F"/>
          <w:spacing w:val="-2"/>
        </w:rPr>
        <w:t>it</w:t>
      </w:r>
      <w:r>
        <w:rPr>
          <w:color w:val="211F1F"/>
          <w:spacing w:val="-21"/>
        </w:rPr>
        <w:t xml:space="preserve"> </w:t>
      </w:r>
      <w:r>
        <w:rPr>
          <w:color w:val="211F1F"/>
          <w:spacing w:val="-2"/>
        </w:rPr>
        <w:t>must</w:t>
      </w:r>
      <w:r>
        <w:rPr>
          <w:color w:val="211F1F"/>
          <w:spacing w:val="-15"/>
        </w:rPr>
        <w:t xml:space="preserve"> </w:t>
      </w:r>
      <w:r>
        <w:rPr>
          <w:color w:val="211F1F"/>
          <w:spacing w:val="-2"/>
        </w:rPr>
        <w:t>bereceived</w:t>
      </w:r>
      <w:r>
        <w:rPr>
          <w:color w:val="211F1F"/>
          <w:spacing w:val="-20"/>
        </w:rPr>
        <w:t xml:space="preserve"> </w:t>
      </w:r>
      <w:r>
        <w:rPr>
          <w:color w:val="211F1F"/>
          <w:spacing w:val="-2"/>
        </w:rPr>
        <w:t>by</w:t>
      </w:r>
      <w:r>
        <w:rPr>
          <w:color w:val="211F1F"/>
          <w:spacing w:val="-22"/>
        </w:rPr>
        <w:t xml:space="preserve"> </w:t>
      </w:r>
      <w:r>
        <w:rPr>
          <w:color w:val="211F1F"/>
          <w:spacing w:val="-2"/>
        </w:rPr>
        <w:t>us</w:t>
      </w:r>
      <w:r>
        <w:rPr>
          <w:color w:val="211F1F"/>
          <w:spacing w:val="-20"/>
        </w:rPr>
        <w:t xml:space="preserve"> </w:t>
      </w:r>
      <w:r>
        <w:rPr>
          <w:color w:val="211F1F"/>
          <w:spacing w:val="-2"/>
        </w:rPr>
        <w:t>at</w:t>
      </w:r>
      <w:r>
        <w:rPr>
          <w:color w:val="211F1F"/>
          <w:spacing w:val="-20"/>
        </w:rPr>
        <w:t xml:space="preserve"> </w:t>
      </w:r>
      <w:r>
        <w:rPr>
          <w:color w:val="211F1F"/>
          <w:spacing w:val="-2"/>
        </w:rPr>
        <w:t>the</w:t>
      </w:r>
      <w:r>
        <w:rPr>
          <w:color w:val="211F1F"/>
          <w:spacing w:val="-23"/>
        </w:rPr>
        <w:t xml:space="preserve"> </w:t>
      </w:r>
      <w:r>
        <w:rPr>
          <w:color w:val="211F1F"/>
          <w:spacing w:val="-2"/>
        </w:rPr>
        <w:t>office</w:t>
      </w:r>
      <w:r>
        <w:rPr>
          <w:color w:val="211F1F"/>
          <w:spacing w:val="-23"/>
        </w:rPr>
        <w:t xml:space="preserve"> </w:t>
      </w:r>
      <w:r>
        <w:rPr>
          <w:color w:val="211F1F"/>
          <w:spacing w:val="-2"/>
        </w:rPr>
        <w:t>indicated</w:t>
      </w:r>
      <w:r>
        <w:rPr>
          <w:color w:val="211F1F"/>
          <w:spacing w:val="-21"/>
        </w:rPr>
        <w:t xml:space="preserve"> </w:t>
      </w:r>
      <w:r>
        <w:rPr>
          <w:color w:val="211F1F"/>
          <w:spacing w:val="-2"/>
        </w:rPr>
        <w:t>above</w:t>
      </w:r>
      <w:r>
        <w:rPr>
          <w:color w:val="211F1F"/>
          <w:spacing w:val="-23"/>
        </w:rPr>
        <w:t xml:space="preserve"> </w:t>
      </w:r>
      <w:r>
        <w:rPr>
          <w:color w:val="211F1F"/>
          <w:spacing w:val="-2"/>
        </w:rPr>
        <w:t>on</w:t>
      </w:r>
      <w:r>
        <w:rPr>
          <w:color w:val="211F1F"/>
          <w:spacing w:val="-21"/>
        </w:rPr>
        <w:t xml:space="preserve"> </w:t>
      </w:r>
      <w:r>
        <w:rPr>
          <w:color w:val="211F1F"/>
          <w:spacing w:val="-2"/>
        </w:rPr>
        <w:t>or</w:t>
      </w:r>
      <w:r>
        <w:rPr>
          <w:color w:val="211F1F"/>
          <w:spacing w:val="-13"/>
        </w:rPr>
        <w:t xml:space="preserve"> </w:t>
      </w:r>
      <w:r>
        <w:rPr>
          <w:color w:val="211F1F"/>
          <w:spacing w:val="-2"/>
        </w:rPr>
        <w:t>before</w:t>
      </w:r>
      <w:r>
        <w:rPr>
          <w:color w:val="211F1F"/>
          <w:spacing w:val="-23"/>
        </w:rPr>
        <w:t xml:space="preserve"> </w:t>
      </w:r>
      <w:r>
        <w:rPr>
          <w:color w:val="211F1F"/>
          <w:spacing w:val="-2"/>
        </w:rPr>
        <w:t>that</w:t>
      </w:r>
      <w:r>
        <w:rPr>
          <w:color w:val="211F1F"/>
          <w:spacing w:val="-19"/>
        </w:rPr>
        <w:t xml:space="preserve"> </w:t>
      </w:r>
      <w:r>
        <w:rPr>
          <w:color w:val="211F1F"/>
          <w:spacing w:val="-2"/>
        </w:rPr>
        <w:t>date.</w:t>
      </w:r>
    </w:p>
    <w:p w14:paraId="7C3534D9" w14:textId="77777777" w:rsidR="00BB77C0" w:rsidRDefault="00370BAA">
      <w:pPr>
        <w:pStyle w:val="ListParagraph"/>
        <w:numPr>
          <w:ilvl w:val="0"/>
          <w:numId w:val="7"/>
        </w:numPr>
        <w:tabs>
          <w:tab w:val="left" w:pos="886"/>
          <w:tab w:val="left" w:pos="1037"/>
        </w:tabs>
        <w:spacing w:before="235" w:line="230" w:lineRule="auto"/>
        <w:ind w:left="1037" w:right="713" w:hanging="552"/>
        <w:jc w:val="both"/>
      </w:pPr>
      <w:r>
        <w:rPr>
          <w:color w:val="211F1F"/>
          <w:spacing w:val="-2"/>
        </w:rPr>
        <w:t>The</w:t>
      </w:r>
      <w:r>
        <w:rPr>
          <w:color w:val="211F1F"/>
          <w:spacing w:val="-12"/>
        </w:rPr>
        <w:t xml:space="preserve"> </w:t>
      </w:r>
      <w:r>
        <w:rPr>
          <w:color w:val="211F1F"/>
          <w:spacing w:val="-2"/>
        </w:rPr>
        <w:t>Guarantor</w:t>
      </w:r>
      <w:r>
        <w:rPr>
          <w:color w:val="211F1F"/>
          <w:spacing w:val="-12"/>
        </w:rPr>
        <w:t xml:space="preserve"> </w:t>
      </w:r>
      <w:r>
        <w:rPr>
          <w:color w:val="211F1F"/>
          <w:spacing w:val="-2"/>
        </w:rPr>
        <w:t>agrees</w:t>
      </w:r>
      <w:r>
        <w:rPr>
          <w:color w:val="211F1F"/>
          <w:spacing w:val="-12"/>
        </w:rPr>
        <w:t xml:space="preserve"> </w:t>
      </w:r>
      <w:r>
        <w:rPr>
          <w:color w:val="211F1F"/>
          <w:spacing w:val="-2"/>
        </w:rPr>
        <w:t>to</w:t>
      </w:r>
      <w:r>
        <w:rPr>
          <w:color w:val="211F1F"/>
          <w:spacing w:val="-11"/>
        </w:rPr>
        <w:t xml:space="preserve"> </w:t>
      </w:r>
      <w:r>
        <w:rPr>
          <w:color w:val="211F1F"/>
          <w:spacing w:val="-2"/>
        </w:rPr>
        <w:t>a</w:t>
      </w:r>
      <w:r>
        <w:rPr>
          <w:color w:val="211F1F"/>
          <w:spacing w:val="-8"/>
        </w:rPr>
        <w:t xml:space="preserve"> </w:t>
      </w:r>
      <w:r>
        <w:rPr>
          <w:color w:val="211F1F"/>
          <w:spacing w:val="-2"/>
        </w:rPr>
        <w:t>one-time</w:t>
      </w:r>
      <w:r>
        <w:rPr>
          <w:color w:val="211F1F"/>
          <w:spacing w:val="-8"/>
        </w:rPr>
        <w:t xml:space="preserve"> </w:t>
      </w:r>
      <w:r>
        <w:rPr>
          <w:color w:val="211F1F"/>
          <w:spacing w:val="-2"/>
        </w:rPr>
        <w:t>extension</w:t>
      </w:r>
      <w:r>
        <w:rPr>
          <w:color w:val="211F1F"/>
          <w:spacing w:val="-11"/>
        </w:rPr>
        <w:t xml:space="preserve"> </w:t>
      </w:r>
      <w:r>
        <w:rPr>
          <w:color w:val="211F1F"/>
          <w:spacing w:val="-2"/>
        </w:rPr>
        <w:t>of</w:t>
      </w:r>
      <w:r>
        <w:rPr>
          <w:color w:val="211F1F"/>
          <w:spacing w:val="-12"/>
        </w:rPr>
        <w:t xml:space="preserve"> </w:t>
      </w:r>
      <w:r>
        <w:rPr>
          <w:color w:val="211F1F"/>
          <w:spacing w:val="-2"/>
        </w:rPr>
        <w:t>this</w:t>
      </w:r>
      <w:r>
        <w:rPr>
          <w:color w:val="211F1F"/>
          <w:spacing w:val="-6"/>
        </w:rPr>
        <w:t xml:space="preserve"> </w:t>
      </w:r>
      <w:r>
        <w:rPr>
          <w:color w:val="211F1F"/>
          <w:spacing w:val="-2"/>
        </w:rPr>
        <w:t>guarantee</w:t>
      </w:r>
      <w:r>
        <w:rPr>
          <w:color w:val="211F1F"/>
          <w:spacing w:val="-12"/>
        </w:rPr>
        <w:t xml:space="preserve"> </w:t>
      </w:r>
      <w:r>
        <w:rPr>
          <w:color w:val="211F1F"/>
          <w:spacing w:val="-2"/>
        </w:rPr>
        <w:t>for</w:t>
      </w:r>
      <w:r>
        <w:rPr>
          <w:color w:val="211F1F"/>
          <w:spacing w:val="-8"/>
        </w:rPr>
        <w:t xml:space="preserve"> </w:t>
      </w:r>
      <w:r>
        <w:rPr>
          <w:color w:val="211F1F"/>
          <w:spacing w:val="-2"/>
        </w:rPr>
        <w:t>a</w:t>
      </w:r>
      <w:r>
        <w:rPr>
          <w:color w:val="211F1F"/>
          <w:spacing w:val="-4"/>
        </w:rPr>
        <w:t xml:space="preserve"> </w:t>
      </w:r>
      <w:r>
        <w:rPr>
          <w:color w:val="211F1F"/>
          <w:spacing w:val="-2"/>
        </w:rPr>
        <w:t>period</w:t>
      </w:r>
      <w:r>
        <w:rPr>
          <w:color w:val="211F1F"/>
          <w:spacing w:val="-12"/>
        </w:rPr>
        <w:t xml:space="preserve"> </w:t>
      </w:r>
      <w:r>
        <w:rPr>
          <w:color w:val="211F1F"/>
          <w:spacing w:val="-2"/>
        </w:rPr>
        <w:t>not</w:t>
      </w:r>
      <w:r>
        <w:rPr>
          <w:color w:val="211F1F"/>
          <w:spacing w:val="-10"/>
        </w:rPr>
        <w:t xml:space="preserve"> </w:t>
      </w:r>
      <w:r>
        <w:rPr>
          <w:color w:val="211F1F"/>
          <w:spacing w:val="-2"/>
        </w:rPr>
        <w:t>to</w:t>
      </w:r>
      <w:r>
        <w:rPr>
          <w:color w:val="211F1F"/>
          <w:spacing w:val="-6"/>
        </w:rPr>
        <w:t xml:space="preserve"> </w:t>
      </w:r>
      <w:r>
        <w:rPr>
          <w:color w:val="211F1F"/>
          <w:spacing w:val="-2"/>
        </w:rPr>
        <w:t>exceed</w:t>
      </w:r>
      <w:r>
        <w:rPr>
          <w:color w:val="211F1F"/>
          <w:spacing w:val="-11"/>
        </w:rPr>
        <w:t xml:space="preserve"> </w:t>
      </w:r>
      <w:r>
        <w:rPr>
          <w:i/>
          <w:color w:val="211F1F"/>
          <w:spacing w:val="-2"/>
        </w:rPr>
        <w:t>[six</w:t>
      </w:r>
      <w:r>
        <w:rPr>
          <w:i/>
          <w:color w:val="211F1F"/>
          <w:spacing w:val="-12"/>
        </w:rPr>
        <w:t xml:space="preserve"> </w:t>
      </w:r>
      <w:r>
        <w:rPr>
          <w:i/>
          <w:color w:val="211F1F"/>
          <w:spacing w:val="-2"/>
        </w:rPr>
        <w:t>months]</w:t>
      </w:r>
      <w:r>
        <w:rPr>
          <w:i/>
          <w:color w:val="211F1F"/>
          <w:spacing w:val="-11"/>
        </w:rPr>
        <w:t xml:space="preserve"> </w:t>
      </w:r>
      <w:r>
        <w:rPr>
          <w:i/>
          <w:color w:val="211F1F"/>
          <w:spacing w:val="-2"/>
        </w:rPr>
        <w:t>[one</w:t>
      </w:r>
      <w:r>
        <w:rPr>
          <w:i/>
          <w:color w:val="211F1F"/>
          <w:spacing w:val="-8"/>
        </w:rPr>
        <w:t xml:space="preserve"> </w:t>
      </w:r>
      <w:r>
        <w:rPr>
          <w:i/>
          <w:color w:val="211F1F"/>
          <w:spacing w:val="-2"/>
        </w:rPr>
        <w:t>year],</w:t>
      </w:r>
      <w:r>
        <w:rPr>
          <w:i/>
          <w:color w:val="211F1F"/>
          <w:spacing w:val="15"/>
        </w:rPr>
        <w:t xml:space="preserve"> </w:t>
      </w:r>
      <w:r>
        <w:rPr>
          <w:color w:val="211F1F"/>
          <w:spacing w:val="-2"/>
        </w:rPr>
        <w:t xml:space="preserve">in </w:t>
      </w:r>
      <w:r>
        <w:rPr>
          <w:color w:val="211F1F"/>
        </w:rPr>
        <w:t>response to the Beneficiary's written request for such extension, such request to be presented to the Guarantor before the expiry of the guarantee.</w:t>
      </w:r>
    </w:p>
    <w:p w14:paraId="20395D0C" w14:textId="77777777" w:rsidR="00BB77C0" w:rsidRDefault="00BB77C0">
      <w:pPr>
        <w:pStyle w:val="BodyText"/>
      </w:pPr>
    </w:p>
    <w:p w14:paraId="53B364B5" w14:textId="77777777" w:rsidR="00BB77C0" w:rsidRDefault="00BB77C0">
      <w:pPr>
        <w:pStyle w:val="BodyText"/>
      </w:pPr>
    </w:p>
    <w:p w14:paraId="242B5B4F" w14:textId="77777777" w:rsidR="00BB77C0" w:rsidRDefault="00BB77C0">
      <w:pPr>
        <w:pStyle w:val="BodyText"/>
        <w:spacing w:before="209"/>
      </w:pPr>
    </w:p>
    <w:p w14:paraId="2E5A9A3A" w14:textId="77777777" w:rsidR="00BB77C0" w:rsidRDefault="00370BAA">
      <w:pPr>
        <w:ind w:left="1037"/>
        <w:jc w:val="both"/>
      </w:pPr>
      <w:r>
        <w:rPr>
          <w:i/>
          <w:color w:val="211F1F"/>
        </w:rPr>
        <w:t>[Name</w:t>
      </w:r>
      <w:r>
        <w:rPr>
          <w:i/>
          <w:color w:val="211F1F"/>
          <w:spacing w:val="-13"/>
        </w:rPr>
        <w:t xml:space="preserve"> </w:t>
      </w:r>
      <w:r>
        <w:rPr>
          <w:i/>
          <w:color w:val="211F1F"/>
        </w:rPr>
        <w:t>of</w:t>
      </w:r>
      <w:r>
        <w:rPr>
          <w:i/>
          <w:color w:val="211F1F"/>
          <w:spacing w:val="-8"/>
        </w:rPr>
        <w:t xml:space="preserve"> </w:t>
      </w:r>
      <w:r>
        <w:rPr>
          <w:i/>
          <w:color w:val="211F1F"/>
        </w:rPr>
        <w:t>Authorized</w:t>
      </w:r>
      <w:r>
        <w:rPr>
          <w:i/>
          <w:color w:val="211F1F"/>
          <w:spacing w:val="-12"/>
        </w:rPr>
        <w:t xml:space="preserve"> </w:t>
      </w:r>
      <w:r>
        <w:rPr>
          <w:i/>
          <w:color w:val="211F1F"/>
        </w:rPr>
        <w:t>Official,</w:t>
      </w:r>
      <w:r>
        <w:rPr>
          <w:i/>
          <w:color w:val="211F1F"/>
          <w:spacing w:val="-11"/>
        </w:rPr>
        <w:t xml:space="preserve"> </w:t>
      </w:r>
      <w:r>
        <w:rPr>
          <w:i/>
          <w:color w:val="211F1F"/>
        </w:rPr>
        <w:t>signature(s)</w:t>
      </w:r>
      <w:r>
        <w:rPr>
          <w:i/>
          <w:color w:val="211F1F"/>
          <w:spacing w:val="-9"/>
        </w:rPr>
        <w:t xml:space="preserve"> </w:t>
      </w:r>
      <w:r>
        <w:rPr>
          <w:i/>
          <w:color w:val="211F1F"/>
        </w:rPr>
        <w:t>and</w:t>
      </w:r>
      <w:r>
        <w:rPr>
          <w:i/>
          <w:color w:val="211F1F"/>
          <w:spacing w:val="-13"/>
        </w:rPr>
        <w:t xml:space="preserve"> </w:t>
      </w:r>
      <w:r>
        <w:rPr>
          <w:i/>
          <w:color w:val="211F1F"/>
          <w:spacing w:val="-2"/>
        </w:rPr>
        <w:t>seals/stamps</w:t>
      </w:r>
      <w:r>
        <w:rPr>
          <w:color w:val="211F1F"/>
          <w:spacing w:val="-2"/>
        </w:rPr>
        <w:t>]</w:t>
      </w:r>
    </w:p>
    <w:p w14:paraId="64DB6335" w14:textId="77777777" w:rsidR="00BB77C0" w:rsidRDefault="00BB77C0">
      <w:pPr>
        <w:pStyle w:val="BodyText"/>
        <w:spacing w:before="226"/>
      </w:pPr>
    </w:p>
    <w:p w14:paraId="4F79D4AD" w14:textId="77777777" w:rsidR="00BB77C0" w:rsidRDefault="00370BAA">
      <w:pPr>
        <w:pStyle w:val="Heading8"/>
        <w:spacing w:line="237" w:lineRule="auto"/>
        <w:ind w:left="1037" w:right="587"/>
      </w:pPr>
      <w:bookmarkStart w:id="258" w:name="Note:_All_italicized_text_(including_foo"/>
      <w:bookmarkEnd w:id="258"/>
      <w:r>
        <w:rPr>
          <w:color w:val="211F1F"/>
        </w:rPr>
        <w:t>Note:</w:t>
      </w:r>
      <w:r>
        <w:rPr>
          <w:color w:val="211F1F"/>
          <w:spacing w:val="-7"/>
        </w:rPr>
        <w:t xml:space="preserve"> </w:t>
      </w:r>
      <w:r>
        <w:rPr>
          <w:color w:val="211F1F"/>
        </w:rPr>
        <w:t>All</w:t>
      </w:r>
      <w:r>
        <w:rPr>
          <w:color w:val="211F1F"/>
          <w:spacing w:val="-9"/>
        </w:rPr>
        <w:t xml:space="preserve"> </w:t>
      </w:r>
      <w:r>
        <w:rPr>
          <w:color w:val="211F1F"/>
        </w:rPr>
        <w:t>italicized</w:t>
      </w:r>
      <w:r>
        <w:rPr>
          <w:color w:val="211F1F"/>
          <w:spacing w:val="-9"/>
        </w:rPr>
        <w:t xml:space="preserve"> </w:t>
      </w:r>
      <w:r>
        <w:rPr>
          <w:color w:val="211F1F"/>
        </w:rPr>
        <w:t>text (including</w:t>
      </w:r>
      <w:r>
        <w:rPr>
          <w:color w:val="211F1F"/>
          <w:spacing w:val="-4"/>
        </w:rPr>
        <w:t xml:space="preserve"> </w:t>
      </w:r>
      <w:r>
        <w:rPr>
          <w:color w:val="211F1F"/>
        </w:rPr>
        <w:t>footnotes)</w:t>
      </w:r>
      <w:r>
        <w:rPr>
          <w:color w:val="211F1F"/>
          <w:spacing w:val="-6"/>
        </w:rPr>
        <w:t xml:space="preserve"> </w:t>
      </w:r>
      <w:r>
        <w:rPr>
          <w:color w:val="211F1F"/>
        </w:rPr>
        <w:t>is</w:t>
      </w:r>
      <w:r>
        <w:rPr>
          <w:color w:val="211F1F"/>
          <w:spacing w:val="-5"/>
        </w:rPr>
        <w:t xml:space="preserve"> </w:t>
      </w:r>
      <w:r>
        <w:rPr>
          <w:color w:val="211F1F"/>
        </w:rPr>
        <w:t>for</w:t>
      </w:r>
      <w:r>
        <w:rPr>
          <w:color w:val="211F1F"/>
          <w:spacing w:val="-10"/>
        </w:rPr>
        <w:t xml:space="preserve"> </w:t>
      </w:r>
      <w:r>
        <w:rPr>
          <w:color w:val="211F1F"/>
        </w:rPr>
        <w:t>use</w:t>
      </w:r>
      <w:r>
        <w:rPr>
          <w:color w:val="211F1F"/>
          <w:spacing w:val="-12"/>
        </w:rPr>
        <w:t xml:space="preserve"> </w:t>
      </w:r>
      <w:r>
        <w:rPr>
          <w:color w:val="211F1F"/>
        </w:rPr>
        <w:t>in</w:t>
      </w:r>
      <w:r>
        <w:rPr>
          <w:color w:val="211F1F"/>
          <w:spacing w:val="-8"/>
        </w:rPr>
        <w:t xml:space="preserve"> </w:t>
      </w:r>
      <w:r>
        <w:rPr>
          <w:color w:val="211F1F"/>
        </w:rPr>
        <w:t>preparing</w:t>
      </w:r>
      <w:r>
        <w:rPr>
          <w:color w:val="211F1F"/>
          <w:spacing w:val="-5"/>
        </w:rPr>
        <w:t xml:space="preserve"> </w:t>
      </w:r>
      <w:r>
        <w:rPr>
          <w:color w:val="211F1F"/>
        </w:rPr>
        <w:t>this</w:t>
      </w:r>
      <w:r>
        <w:rPr>
          <w:color w:val="211F1F"/>
          <w:spacing w:val="-4"/>
        </w:rPr>
        <w:t xml:space="preserve"> </w:t>
      </w:r>
      <w:r>
        <w:rPr>
          <w:color w:val="211F1F"/>
        </w:rPr>
        <w:t>form</w:t>
      </w:r>
      <w:r>
        <w:rPr>
          <w:color w:val="211F1F"/>
          <w:spacing w:val="-9"/>
        </w:rPr>
        <w:t xml:space="preserve"> </w:t>
      </w:r>
      <w:r>
        <w:rPr>
          <w:color w:val="211F1F"/>
        </w:rPr>
        <w:t>and</w:t>
      </w:r>
      <w:r>
        <w:rPr>
          <w:color w:val="211F1F"/>
          <w:spacing w:val="-6"/>
        </w:rPr>
        <w:t xml:space="preserve"> </w:t>
      </w:r>
      <w:r>
        <w:rPr>
          <w:color w:val="211F1F"/>
        </w:rPr>
        <w:t>shall be</w:t>
      </w:r>
      <w:r>
        <w:rPr>
          <w:color w:val="211F1F"/>
          <w:spacing w:val="-12"/>
        </w:rPr>
        <w:t xml:space="preserve"> </w:t>
      </w:r>
      <w:r>
        <w:rPr>
          <w:color w:val="211F1F"/>
        </w:rPr>
        <w:t>deleted</w:t>
      </w:r>
      <w:r>
        <w:rPr>
          <w:color w:val="211F1F"/>
          <w:spacing w:val="-5"/>
        </w:rPr>
        <w:t xml:space="preserve"> </w:t>
      </w:r>
      <w:r>
        <w:rPr>
          <w:color w:val="211F1F"/>
        </w:rPr>
        <w:t>from</w:t>
      </w:r>
      <w:r>
        <w:rPr>
          <w:color w:val="211F1F"/>
          <w:spacing w:val="-9"/>
        </w:rPr>
        <w:t xml:space="preserve"> </w:t>
      </w:r>
      <w:r>
        <w:rPr>
          <w:color w:val="211F1F"/>
        </w:rPr>
        <w:t>the final</w:t>
      </w:r>
      <w:r>
        <w:rPr>
          <w:color w:val="211F1F"/>
          <w:spacing w:val="-6"/>
        </w:rPr>
        <w:t xml:space="preserve"> </w:t>
      </w:r>
      <w:r>
        <w:rPr>
          <w:color w:val="211F1F"/>
        </w:rPr>
        <w:t>product.</w:t>
      </w:r>
    </w:p>
    <w:p w14:paraId="0FE0C452" w14:textId="77777777" w:rsidR="00BB77C0" w:rsidRDefault="00BB77C0">
      <w:pPr>
        <w:pStyle w:val="BodyText"/>
        <w:rPr>
          <w:b/>
          <w:i/>
          <w:sz w:val="20"/>
        </w:rPr>
      </w:pPr>
    </w:p>
    <w:p w14:paraId="3CD83E9A" w14:textId="77777777" w:rsidR="00BB77C0" w:rsidRDefault="00BB77C0">
      <w:pPr>
        <w:pStyle w:val="BodyText"/>
        <w:rPr>
          <w:b/>
          <w:i/>
          <w:sz w:val="20"/>
        </w:rPr>
      </w:pPr>
    </w:p>
    <w:p w14:paraId="4EE6785B" w14:textId="77777777" w:rsidR="00BB77C0" w:rsidRDefault="00BB77C0">
      <w:pPr>
        <w:pStyle w:val="BodyText"/>
        <w:rPr>
          <w:b/>
          <w:i/>
          <w:sz w:val="20"/>
        </w:rPr>
      </w:pPr>
    </w:p>
    <w:p w14:paraId="7AA40FCD" w14:textId="77777777" w:rsidR="00BB77C0" w:rsidRDefault="00BB77C0">
      <w:pPr>
        <w:pStyle w:val="BodyText"/>
        <w:rPr>
          <w:b/>
          <w:i/>
          <w:sz w:val="20"/>
        </w:rPr>
      </w:pPr>
    </w:p>
    <w:p w14:paraId="02FF1606" w14:textId="77777777" w:rsidR="00BB77C0" w:rsidRDefault="00BB77C0">
      <w:pPr>
        <w:pStyle w:val="BodyText"/>
        <w:rPr>
          <w:b/>
          <w:i/>
          <w:sz w:val="20"/>
        </w:rPr>
      </w:pPr>
    </w:p>
    <w:p w14:paraId="0EFCA30C" w14:textId="77777777" w:rsidR="00BB77C0" w:rsidRDefault="00BB77C0">
      <w:pPr>
        <w:pStyle w:val="BodyText"/>
        <w:rPr>
          <w:b/>
          <w:i/>
          <w:sz w:val="20"/>
        </w:rPr>
      </w:pPr>
    </w:p>
    <w:p w14:paraId="0D07C60D" w14:textId="77777777" w:rsidR="00BB77C0" w:rsidRDefault="00370BAA">
      <w:pPr>
        <w:pStyle w:val="BodyText"/>
        <w:spacing w:before="102"/>
        <w:rPr>
          <w:b/>
          <w:i/>
          <w:sz w:val="20"/>
        </w:rPr>
      </w:pPr>
      <w:r>
        <w:rPr>
          <w:b/>
          <w:i/>
          <w:noProof/>
          <w:sz w:val="20"/>
        </w:rPr>
        <mc:AlternateContent>
          <mc:Choice Requires="wps">
            <w:drawing>
              <wp:anchor distT="0" distB="0" distL="0" distR="0" simplePos="0" relativeHeight="487646208" behindDoc="1" locked="0" layoutInCell="1" allowOverlap="1" wp14:anchorId="6C8668A9" wp14:editId="7B6A1C6B">
                <wp:simplePos x="0" y="0"/>
                <wp:positionH relativeFrom="page">
                  <wp:posOffset>539750</wp:posOffset>
                </wp:positionH>
                <wp:positionV relativeFrom="paragraph">
                  <wp:posOffset>226047</wp:posOffset>
                </wp:positionV>
                <wp:extent cx="2686050" cy="1270"/>
                <wp:effectExtent l="0" t="0" r="0" b="0"/>
                <wp:wrapTopAndBottom/>
                <wp:docPr id="434" name="Graphic 4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86050" cy="1270"/>
                        </a:xfrm>
                        <a:custGeom>
                          <a:avLst/>
                          <a:gdLst/>
                          <a:ahLst/>
                          <a:cxnLst/>
                          <a:rect l="l" t="t" r="r" b="b"/>
                          <a:pathLst>
                            <a:path w="2686050">
                              <a:moveTo>
                                <a:pt x="0" y="0"/>
                              </a:moveTo>
                              <a:lnTo>
                                <a:pt x="2686050" y="0"/>
                              </a:lnTo>
                            </a:path>
                          </a:pathLst>
                        </a:custGeom>
                        <a:ln w="6350">
                          <a:solidFill>
                            <a:srgbClr val="211F1F"/>
                          </a:solidFill>
                          <a:prstDash val="solid"/>
                        </a:ln>
                      </wps:spPr>
                      <wps:bodyPr wrap="square" lIns="0" tIns="0" rIns="0" bIns="0" rtlCol="0">
                        <a:prstTxWarp prst="textNoShape">
                          <a:avLst/>
                        </a:prstTxWarp>
                        <a:noAutofit/>
                      </wps:bodyPr>
                    </wps:wsp>
                  </a:graphicData>
                </a:graphic>
              </wp:anchor>
            </w:drawing>
          </mc:Choice>
          <mc:Fallback>
            <w:pict>
              <v:shape w14:anchorId="703B6B27" id="Graphic 434" o:spid="_x0000_s1026" style="position:absolute;margin-left:42.5pt;margin-top:17.8pt;width:211.5pt;height:.1pt;z-index:-15670272;visibility:visible;mso-wrap-style:square;mso-wrap-distance-left:0;mso-wrap-distance-top:0;mso-wrap-distance-right:0;mso-wrap-distance-bottom:0;mso-position-horizontal:absolute;mso-position-horizontal-relative:page;mso-position-vertical:absolute;mso-position-vertical-relative:text;v-text-anchor:top" coordsize="26860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" path="m,l2686050,e" filled="f" strokecolor="#211f1f" strokeweight=".5pt">
                <v:path arrowok="t"/>
                <w10:wrap type="topAndBottom" anchorx="page"/>
              </v:shape>
            </w:pict>
          </mc:Fallback>
        </mc:AlternateContent>
      </w:r>
    </w:p>
    <w:p w14:paraId="7E459E29" w14:textId="77777777" w:rsidR="00BB77C0" w:rsidRDefault="00370BAA">
      <w:pPr>
        <w:spacing w:line="150" w:lineRule="exact"/>
        <w:ind w:left="490"/>
        <w:jc w:val="both"/>
        <w:rPr>
          <w:i/>
          <w:sz w:val="16"/>
        </w:rPr>
      </w:pPr>
      <w:r>
        <w:rPr>
          <w:i/>
          <w:color w:val="211F1F"/>
          <w:position w:val="8"/>
          <w:sz w:val="8"/>
        </w:rPr>
        <w:t>1</w:t>
      </w:r>
      <w:r>
        <w:rPr>
          <w:i/>
          <w:color w:val="211F1F"/>
          <w:sz w:val="16"/>
        </w:rPr>
        <w:t>The</w:t>
      </w:r>
      <w:r>
        <w:rPr>
          <w:i/>
          <w:color w:val="211F1F"/>
          <w:spacing w:val="-7"/>
          <w:sz w:val="16"/>
        </w:rPr>
        <w:t xml:space="preserve"> </w:t>
      </w:r>
      <w:r>
        <w:rPr>
          <w:i/>
          <w:color w:val="211F1F"/>
          <w:sz w:val="16"/>
        </w:rPr>
        <w:t>Guarantor</w:t>
      </w:r>
      <w:r>
        <w:rPr>
          <w:i/>
          <w:color w:val="211F1F"/>
          <w:spacing w:val="-6"/>
          <w:sz w:val="16"/>
        </w:rPr>
        <w:t xml:space="preserve"> </w:t>
      </w:r>
      <w:r>
        <w:rPr>
          <w:i/>
          <w:color w:val="211F1F"/>
          <w:sz w:val="16"/>
        </w:rPr>
        <w:t>shall</w:t>
      </w:r>
      <w:r>
        <w:rPr>
          <w:i/>
          <w:color w:val="211F1F"/>
          <w:spacing w:val="-8"/>
          <w:sz w:val="16"/>
        </w:rPr>
        <w:t xml:space="preserve"> </w:t>
      </w:r>
      <w:r>
        <w:rPr>
          <w:i/>
          <w:color w:val="211F1F"/>
          <w:sz w:val="16"/>
        </w:rPr>
        <w:t>insert</w:t>
      </w:r>
      <w:r>
        <w:rPr>
          <w:i/>
          <w:color w:val="211F1F"/>
          <w:spacing w:val="-9"/>
          <w:sz w:val="16"/>
        </w:rPr>
        <w:t xml:space="preserve"> </w:t>
      </w:r>
      <w:r>
        <w:rPr>
          <w:i/>
          <w:color w:val="211F1F"/>
          <w:sz w:val="16"/>
        </w:rPr>
        <w:t>an</w:t>
      </w:r>
      <w:r>
        <w:rPr>
          <w:i/>
          <w:color w:val="211F1F"/>
          <w:spacing w:val="-5"/>
          <w:sz w:val="16"/>
        </w:rPr>
        <w:t xml:space="preserve"> </w:t>
      </w:r>
      <w:r>
        <w:rPr>
          <w:i/>
          <w:color w:val="211F1F"/>
          <w:sz w:val="16"/>
        </w:rPr>
        <w:t>amount</w:t>
      </w:r>
      <w:r>
        <w:rPr>
          <w:i/>
          <w:color w:val="211F1F"/>
          <w:spacing w:val="-3"/>
          <w:sz w:val="16"/>
        </w:rPr>
        <w:t xml:space="preserve"> </w:t>
      </w:r>
      <w:r>
        <w:rPr>
          <w:i/>
          <w:color w:val="211F1F"/>
          <w:sz w:val="16"/>
        </w:rPr>
        <w:t>representing</w:t>
      </w:r>
      <w:r>
        <w:rPr>
          <w:i/>
          <w:color w:val="211F1F"/>
          <w:spacing w:val="-5"/>
          <w:sz w:val="16"/>
        </w:rPr>
        <w:t xml:space="preserve"> </w:t>
      </w:r>
      <w:r>
        <w:rPr>
          <w:i/>
          <w:color w:val="211F1F"/>
          <w:sz w:val="16"/>
        </w:rPr>
        <w:t>the</w:t>
      </w:r>
      <w:r>
        <w:rPr>
          <w:i/>
          <w:color w:val="211F1F"/>
          <w:spacing w:val="-6"/>
          <w:sz w:val="16"/>
        </w:rPr>
        <w:t xml:space="preserve"> </w:t>
      </w:r>
      <w:r>
        <w:rPr>
          <w:i/>
          <w:color w:val="211F1F"/>
          <w:sz w:val="16"/>
        </w:rPr>
        <w:t>amount</w:t>
      </w:r>
      <w:r>
        <w:rPr>
          <w:i/>
          <w:color w:val="211F1F"/>
          <w:spacing w:val="-8"/>
          <w:sz w:val="16"/>
        </w:rPr>
        <w:t xml:space="preserve"> </w:t>
      </w:r>
      <w:r>
        <w:rPr>
          <w:i/>
          <w:color w:val="211F1F"/>
          <w:sz w:val="16"/>
        </w:rPr>
        <w:t>of</w:t>
      </w:r>
      <w:r>
        <w:rPr>
          <w:i/>
          <w:color w:val="211F1F"/>
          <w:spacing w:val="-9"/>
          <w:sz w:val="16"/>
        </w:rPr>
        <w:t xml:space="preserve"> </w:t>
      </w:r>
      <w:r>
        <w:rPr>
          <w:i/>
          <w:color w:val="211F1F"/>
          <w:sz w:val="16"/>
        </w:rPr>
        <w:t>the</w:t>
      </w:r>
      <w:r>
        <w:rPr>
          <w:i/>
          <w:color w:val="211F1F"/>
          <w:spacing w:val="-7"/>
          <w:sz w:val="16"/>
        </w:rPr>
        <w:t xml:space="preserve"> </w:t>
      </w:r>
      <w:r>
        <w:rPr>
          <w:i/>
          <w:color w:val="211F1F"/>
          <w:sz w:val="16"/>
        </w:rPr>
        <w:t>second</w:t>
      </w:r>
      <w:r>
        <w:rPr>
          <w:i/>
          <w:color w:val="211F1F"/>
          <w:spacing w:val="-5"/>
          <w:sz w:val="16"/>
        </w:rPr>
        <w:t xml:space="preserve"> </w:t>
      </w:r>
      <w:r>
        <w:rPr>
          <w:i/>
          <w:color w:val="211F1F"/>
          <w:sz w:val="16"/>
        </w:rPr>
        <w:t>half</w:t>
      </w:r>
      <w:r>
        <w:rPr>
          <w:i/>
          <w:color w:val="211F1F"/>
          <w:spacing w:val="-8"/>
          <w:sz w:val="16"/>
        </w:rPr>
        <w:t xml:space="preserve"> </w:t>
      </w:r>
      <w:r>
        <w:rPr>
          <w:i/>
          <w:color w:val="211F1F"/>
          <w:sz w:val="16"/>
        </w:rPr>
        <w:t>of</w:t>
      </w:r>
      <w:r>
        <w:rPr>
          <w:i/>
          <w:color w:val="211F1F"/>
          <w:spacing w:val="-10"/>
          <w:sz w:val="16"/>
        </w:rPr>
        <w:t xml:space="preserve"> </w:t>
      </w:r>
      <w:r>
        <w:rPr>
          <w:i/>
          <w:color w:val="211F1F"/>
          <w:sz w:val="16"/>
        </w:rPr>
        <w:t>the</w:t>
      </w:r>
      <w:r>
        <w:rPr>
          <w:i/>
          <w:color w:val="211F1F"/>
          <w:spacing w:val="-1"/>
          <w:sz w:val="16"/>
        </w:rPr>
        <w:t xml:space="preserve"> </w:t>
      </w:r>
      <w:r>
        <w:rPr>
          <w:i/>
          <w:color w:val="211F1F"/>
          <w:sz w:val="16"/>
        </w:rPr>
        <w:t>Retention</w:t>
      </w:r>
      <w:r>
        <w:rPr>
          <w:i/>
          <w:color w:val="211F1F"/>
          <w:spacing w:val="-5"/>
          <w:sz w:val="16"/>
        </w:rPr>
        <w:t xml:space="preserve"> </w:t>
      </w:r>
      <w:r>
        <w:rPr>
          <w:i/>
          <w:color w:val="211F1F"/>
          <w:spacing w:val="-2"/>
          <w:sz w:val="16"/>
        </w:rPr>
        <w:t>Money.</w:t>
      </w:r>
    </w:p>
    <w:p w14:paraId="4FD18900" w14:textId="77777777" w:rsidR="00BB77C0" w:rsidRDefault="00370BAA">
      <w:pPr>
        <w:spacing w:before="3" w:line="225" w:lineRule="auto"/>
        <w:ind w:left="490" w:right="705"/>
        <w:jc w:val="both"/>
        <w:rPr>
          <w:i/>
          <w:sz w:val="16"/>
        </w:rPr>
      </w:pPr>
      <w:r>
        <w:rPr>
          <w:i/>
          <w:color w:val="211F1F"/>
          <w:spacing w:val="-2"/>
          <w:position w:val="8"/>
          <w:sz w:val="8"/>
        </w:rPr>
        <w:t>2</w:t>
      </w:r>
      <w:r>
        <w:rPr>
          <w:i/>
          <w:color w:val="211F1F"/>
          <w:spacing w:val="-2"/>
          <w:sz w:val="16"/>
        </w:rPr>
        <w:t>Insert</w:t>
      </w:r>
      <w:r>
        <w:rPr>
          <w:i/>
          <w:color w:val="211F1F"/>
          <w:spacing w:val="-8"/>
          <w:sz w:val="16"/>
        </w:rPr>
        <w:t xml:space="preserve"> </w:t>
      </w:r>
      <w:r>
        <w:rPr>
          <w:i/>
          <w:color w:val="211F1F"/>
          <w:spacing w:val="-2"/>
          <w:sz w:val="16"/>
        </w:rPr>
        <w:t>a</w:t>
      </w:r>
      <w:r>
        <w:rPr>
          <w:i/>
          <w:color w:val="211F1F"/>
          <w:spacing w:val="-8"/>
          <w:sz w:val="16"/>
        </w:rPr>
        <w:t xml:space="preserve"> </w:t>
      </w:r>
      <w:r>
        <w:rPr>
          <w:i/>
          <w:color w:val="211F1F"/>
          <w:spacing w:val="-2"/>
          <w:sz w:val="16"/>
        </w:rPr>
        <w:t>date</w:t>
      </w:r>
      <w:r>
        <w:rPr>
          <w:i/>
          <w:color w:val="211F1F"/>
          <w:spacing w:val="-3"/>
          <w:sz w:val="16"/>
        </w:rPr>
        <w:t xml:space="preserve"> </w:t>
      </w:r>
      <w:r>
        <w:rPr>
          <w:i/>
          <w:color w:val="211F1F"/>
          <w:spacing w:val="-2"/>
          <w:sz w:val="16"/>
        </w:rPr>
        <w:t>that</w:t>
      </w:r>
      <w:r>
        <w:rPr>
          <w:i/>
          <w:color w:val="211F1F"/>
          <w:spacing w:val="-6"/>
          <w:sz w:val="16"/>
        </w:rPr>
        <w:t xml:space="preserve"> </w:t>
      </w:r>
      <w:r>
        <w:rPr>
          <w:i/>
          <w:color w:val="211F1F"/>
          <w:spacing w:val="-2"/>
          <w:sz w:val="16"/>
        </w:rPr>
        <w:t>is</w:t>
      </w:r>
      <w:r>
        <w:rPr>
          <w:i/>
          <w:color w:val="211F1F"/>
          <w:spacing w:val="-4"/>
          <w:sz w:val="16"/>
        </w:rPr>
        <w:t xml:space="preserve"> </w:t>
      </w:r>
      <w:r>
        <w:rPr>
          <w:i/>
          <w:color w:val="211F1F"/>
          <w:spacing w:val="-2"/>
          <w:sz w:val="16"/>
        </w:rPr>
        <w:t>twenty-eight</w:t>
      </w:r>
      <w:r>
        <w:rPr>
          <w:i/>
          <w:color w:val="211F1F"/>
          <w:spacing w:val="-8"/>
          <w:sz w:val="16"/>
        </w:rPr>
        <w:t xml:space="preserve"> </w:t>
      </w:r>
      <w:r>
        <w:rPr>
          <w:i/>
          <w:color w:val="211F1F"/>
          <w:spacing w:val="-2"/>
          <w:sz w:val="16"/>
        </w:rPr>
        <w:t>days</w:t>
      </w:r>
      <w:r>
        <w:rPr>
          <w:i/>
          <w:color w:val="211F1F"/>
          <w:spacing w:val="-8"/>
          <w:sz w:val="16"/>
        </w:rPr>
        <w:t xml:space="preserve"> </w:t>
      </w:r>
      <w:r>
        <w:rPr>
          <w:i/>
          <w:color w:val="211F1F"/>
          <w:spacing w:val="-2"/>
          <w:sz w:val="16"/>
        </w:rPr>
        <w:t>after</w:t>
      </w:r>
      <w:r>
        <w:rPr>
          <w:i/>
          <w:color w:val="211F1F"/>
          <w:spacing w:val="-8"/>
          <w:sz w:val="16"/>
        </w:rPr>
        <w:t xml:space="preserve"> </w:t>
      </w:r>
      <w:r>
        <w:rPr>
          <w:i/>
          <w:color w:val="211F1F"/>
          <w:spacing w:val="-2"/>
          <w:sz w:val="16"/>
        </w:rPr>
        <w:t>the</w:t>
      </w:r>
      <w:r>
        <w:rPr>
          <w:i/>
          <w:color w:val="211F1F"/>
          <w:spacing w:val="-3"/>
          <w:sz w:val="16"/>
        </w:rPr>
        <w:t xml:space="preserve"> </w:t>
      </w:r>
      <w:r>
        <w:rPr>
          <w:i/>
          <w:color w:val="211F1F"/>
          <w:spacing w:val="-2"/>
          <w:sz w:val="16"/>
        </w:rPr>
        <w:t>expiry</w:t>
      </w:r>
      <w:r>
        <w:rPr>
          <w:i/>
          <w:color w:val="211F1F"/>
          <w:spacing w:val="-8"/>
          <w:sz w:val="16"/>
        </w:rPr>
        <w:t xml:space="preserve"> </w:t>
      </w:r>
      <w:r>
        <w:rPr>
          <w:i/>
          <w:color w:val="211F1F"/>
          <w:spacing w:val="-2"/>
          <w:sz w:val="16"/>
        </w:rPr>
        <w:t>of</w:t>
      </w:r>
      <w:r>
        <w:rPr>
          <w:i/>
          <w:color w:val="211F1F"/>
          <w:spacing w:val="-7"/>
          <w:sz w:val="16"/>
        </w:rPr>
        <w:t xml:space="preserve"> </w:t>
      </w:r>
      <w:r>
        <w:rPr>
          <w:i/>
          <w:color w:val="211F1F"/>
          <w:spacing w:val="-2"/>
          <w:sz w:val="16"/>
        </w:rPr>
        <w:t>retention period after</w:t>
      </w:r>
      <w:r>
        <w:rPr>
          <w:i/>
          <w:color w:val="211F1F"/>
          <w:spacing w:val="-4"/>
          <w:sz w:val="16"/>
        </w:rPr>
        <w:t xml:space="preserve"> </w:t>
      </w:r>
      <w:r>
        <w:rPr>
          <w:i/>
          <w:color w:val="211F1F"/>
          <w:spacing w:val="-2"/>
          <w:sz w:val="16"/>
        </w:rPr>
        <w:t>the</w:t>
      </w:r>
      <w:r>
        <w:rPr>
          <w:i/>
          <w:color w:val="211F1F"/>
          <w:spacing w:val="-3"/>
          <w:sz w:val="16"/>
        </w:rPr>
        <w:t xml:space="preserve"> </w:t>
      </w:r>
      <w:r>
        <w:rPr>
          <w:i/>
          <w:color w:val="211F1F"/>
          <w:spacing w:val="-2"/>
          <w:sz w:val="16"/>
        </w:rPr>
        <w:t>actual</w:t>
      </w:r>
      <w:r>
        <w:rPr>
          <w:i/>
          <w:color w:val="211F1F"/>
          <w:spacing w:val="-6"/>
          <w:sz w:val="16"/>
        </w:rPr>
        <w:t xml:space="preserve"> </w:t>
      </w:r>
      <w:r>
        <w:rPr>
          <w:i/>
          <w:color w:val="211F1F"/>
          <w:spacing w:val="-2"/>
          <w:sz w:val="16"/>
        </w:rPr>
        <w:t>completion</w:t>
      </w:r>
      <w:r>
        <w:rPr>
          <w:i/>
          <w:color w:val="211F1F"/>
          <w:spacing w:val="-7"/>
          <w:sz w:val="16"/>
        </w:rPr>
        <w:t xml:space="preserve"> </w:t>
      </w:r>
      <w:r>
        <w:rPr>
          <w:i/>
          <w:color w:val="211F1F"/>
          <w:spacing w:val="-2"/>
          <w:sz w:val="16"/>
        </w:rPr>
        <w:t>date</w:t>
      </w:r>
      <w:r>
        <w:rPr>
          <w:i/>
          <w:color w:val="211F1F"/>
          <w:spacing w:val="-3"/>
          <w:sz w:val="16"/>
        </w:rPr>
        <w:t xml:space="preserve"> </w:t>
      </w:r>
      <w:r>
        <w:rPr>
          <w:i/>
          <w:color w:val="211F1F"/>
          <w:spacing w:val="-2"/>
          <w:sz w:val="16"/>
        </w:rPr>
        <w:t>of</w:t>
      </w:r>
      <w:r>
        <w:rPr>
          <w:i/>
          <w:color w:val="211F1F"/>
          <w:spacing w:val="-7"/>
          <w:sz w:val="16"/>
        </w:rPr>
        <w:t xml:space="preserve"> </w:t>
      </w:r>
      <w:r>
        <w:rPr>
          <w:i/>
          <w:color w:val="211F1F"/>
          <w:spacing w:val="-2"/>
          <w:sz w:val="16"/>
        </w:rPr>
        <w:t>the</w:t>
      </w:r>
      <w:r>
        <w:rPr>
          <w:i/>
          <w:color w:val="211F1F"/>
          <w:spacing w:val="-3"/>
          <w:sz w:val="16"/>
        </w:rPr>
        <w:t xml:space="preserve"> </w:t>
      </w:r>
      <w:r>
        <w:rPr>
          <w:i/>
          <w:color w:val="211F1F"/>
          <w:spacing w:val="-2"/>
          <w:sz w:val="16"/>
        </w:rPr>
        <w:t>contract.</w:t>
      </w:r>
      <w:r>
        <w:rPr>
          <w:i/>
          <w:color w:val="211F1F"/>
          <w:spacing w:val="39"/>
          <w:sz w:val="16"/>
        </w:rPr>
        <w:t xml:space="preserve"> </w:t>
      </w:r>
      <w:r>
        <w:rPr>
          <w:i/>
          <w:color w:val="211F1F"/>
          <w:spacing w:val="-2"/>
          <w:sz w:val="16"/>
        </w:rPr>
        <w:t>The</w:t>
      </w:r>
      <w:r>
        <w:rPr>
          <w:i/>
          <w:color w:val="211F1F"/>
          <w:spacing w:val="-3"/>
          <w:sz w:val="16"/>
        </w:rPr>
        <w:t xml:space="preserve"> </w:t>
      </w:r>
      <w:r>
        <w:rPr>
          <w:i/>
          <w:color w:val="211F1F"/>
          <w:spacing w:val="-2"/>
          <w:sz w:val="16"/>
        </w:rPr>
        <w:t>Procuring Entity</w:t>
      </w:r>
      <w:r>
        <w:rPr>
          <w:i/>
          <w:color w:val="211F1F"/>
          <w:spacing w:val="-3"/>
          <w:sz w:val="16"/>
        </w:rPr>
        <w:t xml:space="preserve"> </w:t>
      </w:r>
      <w:r>
        <w:rPr>
          <w:i/>
          <w:color w:val="211F1F"/>
          <w:spacing w:val="-2"/>
          <w:sz w:val="16"/>
        </w:rPr>
        <w:t>should note</w:t>
      </w:r>
      <w:r>
        <w:rPr>
          <w:i/>
          <w:color w:val="211F1F"/>
          <w:spacing w:val="-3"/>
          <w:sz w:val="16"/>
        </w:rPr>
        <w:t xml:space="preserve"> </w:t>
      </w:r>
      <w:r>
        <w:rPr>
          <w:i/>
          <w:color w:val="211F1F"/>
          <w:spacing w:val="-2"/>
          <w:sz w:val="16"/>
        </w:rPr>
        <w:t>that</w:t>
      </w:r>
      <w:r>
        <w:rPr>
          <w:i/>
          <w:color w:val="211F1F"/>
          <w:spacing w:val="-6"/>
          <w:sz w:val="16"/>
        </w:rPr>
        <w:t xml:space="preserve"> </w:t>
      </w:r>
      <w:r>
        <w:rPr>
          <w:i/>
          <w:color w:val="211F1F"/>
          <w:spacing w:val="-2"/>
          <w:sz w:val="16"/>
        </w:rPr>
        <w:t>in</w:t>
      </w:r>
      <w:r>
        <w:rPr>
          <w:i/>
          <w:color w:val="211F1F"/>
          <w:spacing w:val="18"/>
          <w:sz w:val="16"/>
        </w:rPr>
        <w:t xml:space="preserve"> </w:t>
      </w:r>
      <w:r>
        <w:rPr>
          <w:i/>
          <w:color w:val="211F1F"/>
          <w:spacing w:val="-2"/>
          <w:sz w:val="16"/>
        </w:rPr>
        <w:t>the</w:t>
      </w:r>
      <w:r>
        <w:rPr>
          <w:i/>
          <w:color w:val="211F1F"/>
          <w:spacing w:val="40"/>
          <w:sz w:val="16"/>
        </w:rPr>
        <w:t xml:space="preserve"> </w:t>
      </w:r>
      <w:r>
        <w:rPr>
          <w:i/>
          <w:color w:val="211F1F"/>
          <w:sz w:val="16"/>
        </w:rPr>
        <w:t>event</w:t>
      </w:r>
      <w:r>
        <w:rPr>
          <w:i/>
          <w:color w:val="211F1F"/>
          <w:spacing w:val="-10"/>
          <w:sz w:val="16"/>
        </w:rPr>
        <w:t xml:space="preserve"> </w:t>
      </w:r>
      <w:r>
        <w:rPr>
          <w:i/>
          <w:color w:val="211F1F"/>
          <w:sz w:val="16"/>
        </w:rPr>
        <w:t>of</w:t>
      </w:r>
      <w:r>
        <w:rPr>
          <w:i/>
          <w:color w:val="211F1F"/>
          <w:spacing w:val="-10"/>
          <w:sz w:val="16"/>
        </w:rPr>
        <w:t xml:space="preserve"> </w:t>
      </w:r>
      <w:r>
        <w:rPr>
          <w:i/>
          <w:color w:val="211F1F"/>
          <w:sz w:val="16"/>
        </w:rPr>
        <w:t>an</w:t>
      </w:r>
      <w:r>
        <w:rPr>
          <w:i/>
          <w:color w:val="211F1F"/>
          <w:spacing w:val="-10"/>
          <w:sz w:val="16"/>
        </w:rPr>
        <w:t xml:space="preserve"> </w:t>
      </w:r>
      <w:r>
        <w:rPr>
          <w:i/>
          <w:color w:val="211F1F"/>
          <w:sz w:val="16"/>
        </w:rPr>
        <w:t>extension</w:t>
      </w:r>
      <w:r>
        <w:rPr>
          <w:i/>
          <w:color w:val="211F1F"/>
          <w:spacing w:val="-10"/>
          <w:sz w:val="16"/>
        </w:rPr>
        <w:t xml:space="preserve"> </w:t>
      </w:r>
      <w:r>
        <w:rPr>
          <w:i/>
          <w:color w:val="211F1F"/>
          <w:sz w:val="16"/>
        </w:rPr>
        <w:t>of</w:t>
      </w:r>
      <w:r>
        <w:rPr>
          <w:i/>
          <w:color w:val="211F1F"/>
          <w:spacing w:val="-10"/>
          <w:sz w:val="16"/>
        </w:rPr>
        <w:t xml:space="preserve"> </w:t>
      </w:r>
      <w:r>
        <w:rPr>
          <w:i/>
          <w:color w:val="211F1F"/>
          <w:sz w:val="16"/>
        </w:rPr>
        <w:t>this</w:t>
      </w:r>
      <w:r>
        <w:rPr>
          <w:i/>
          <w:color w:val="211F1F"/>
          <w:spacing w:val="-10"/>
          <w:sz w:val="16"/>
        </w:rPr>
        <w:t xml:space="preserve"> </w:t>
      </w:r>
      <w:r>
        <w:rPr>
          <w:i/>
          <w:color w:val="211F1F"/>
          <w:sz w:val="16"/>
        </w:rPr>
        <w:t>date</w:t>
      </w:r>
      <w:r>
        <w:rPr>
          <w:i/>
          <w:color w:val="211F1F"/>
          <w:spacing w:val="-10"/>
          <w:sz w:val="16"/>
        </w:rPr>
        <w:t xml:space="preserve"> </w:t>
      </w:r>
      <w:r>
        <w:rPr>
          <w:i/>
          <w:color w:val="211F1F"/>
          <w:sz w:val="16"/>
        </w:rPr>
        <w:t>for</w:t>
      </w:r>
      <w:r>
        <w:rPr>
          <w:i/>
          <w:color w:val="211F1F"/>
          <w:spacing w:val="-10"/>
          <w:sz w:val="16"/>
        </w:rPr>
        <w:t xml:space="preserve"> </w:t>
      </w:r>
      <w:r>
        <w:rPr>
          <w:i/>
          <w:color w:val="211F1F"/>
          <w:sz w:val="16"/>
        </w:rPr>
        <w:t>completion</w:t>
      </w:r>
      <w:r>
        <w:rPr>
          <w:i/>
          <w:color w:val="211F1F"/>
          <w:spacing w:val="-10"/>
          <w:sz w:val="16"/>
        </w:rPr>
        <w:t xml:space="preserve"> </w:t>
      </w:r>
      <w:r>
        <w:rPr>
          <w:i/>
          <w:color w:val="211F1F"/>
          <w:sz w:val="16"/>
        </w:rPr>
        <w:t>of</w:t>
      </w:r>
      <w:r>
        <w:rPr>
          <w:i/>
          <w:color w:val="211F1F"/>
          <w:spacing w:val="-10"/>
          <w:sz w:val="16"/>
        </w:rPr>
        <w:t xml:space="preserve"> </w:t>
      </w:r>
      <w:r>
        <w:rPr>
          <w:i/>
          <w:color w:val="211F1F"/>
          <w:sz w:val="16"/>
        </w:rPr>
        <w:t>the</w:t>
      </w:r>
      <w:r>
        <w:rPr>
          <w:i/>
          <w:color w:val="211F1F"/>
          <w:spacing w:val="-10"/>
          <w:sz w:val="16"/>
        </w:rPr>
        <w:t xml:space="preserve"> </w:t>
      </w:r>
      <w:r>
        <w:rPr>
          <w:i/>
          <w:color w:val="211F1F"/>
          <w:sz w:val="16"/>
        </w:rPr>
        <w:t>Contract,</w:t>
      </w:r>
      <w:r>
        <w:rPr>
          <w:i/>
          <w:color w:val="211F1F"/>
          <w:spacing w:val="-10"/>
          <w:sz w:val="16"/>
        </w:rPr>
        <w:t xml:space="preserve"> </w:t>
      </w:r>
      <w:r>
        <w:rPr>
          <w:i/>
          <w:color w:val="211F1F"/>
          <w:sz w:val="16"/>
        </w:rPr>
        <w:t>the</w:t>
      </w:r>
      <w:r>
        <w:rPr>
          <w:i/>
          <w:color w:val="211F1F"/>
          <w:spacing w:val="-10"/>
          <w:sz w:val="16"/>
        </w:rPr>
        <w:t xml:space="preserve"> </w:t>
      </w:r>
      <w:r>
        <w:rPr>
          <w:i/>
          <w:color w:val="211F1F"/>
          <w:sz w:val="16"/>
        </w:rPr>
        <w:t>Procuring</w:t>
      </w:r>
      <w:r>
        <w:rPr>
          <w:i/>
          <w:color w:val="211F1F"/>
          <w:spacing w:val="-10"/>
          <w:sz w:val="16"/>
        </w:rPr>
        <w:t xml:space="preserve"> </w:t>
      </w:r>
      <w:r>
        <w:rPr>
          <w:i/>
          <w:color w:val="211F1F"/>
          <w:sz w:val="16"/>
        </w:rPr>
        <w:t>Entity</w:t>
      </w:r>
      <w:r>
        <w:rPr>
          <w:i/>
          <w:color w:val="211F1F"/>
          <w:spacing w:val="-10"/>
          <w:sz w:val="16"/>
        </w:rPr>
        <w:t xml:space="preserve"> </w:t>
      </w:r>
      <w:r>
        <w:rPr>
          <w:i/>
          <w:color w:val="211F1F"/>
          <w:sz w:val="16"/>
        </w:rPr>
        <w:t>would</w:t>
      </w:r>
      <w:r>
        <w:rPr>
          <w:i/>
          <w:color w:val="211F1F"/>
          <w:spacing w:val="-10"/>
          <w:sz w:val="16"/>
        </w:rPr>
        <w:t xml:space="preserve"> </w:t>
      </w:r>
      <w:r>
        <w:rPr>
          <w:i/>
          <w:color w:val="211F1F"/>
          <w:sz w:val="16"/>
        </w:rPr>
        <w:t>need</w:t>
      </w:r>
      <w:r>
        <w:rPr>
          <w:i/>
          <w:color w:val="211F1F"/>
          <w:spacing w:val="-9"/>
          <w:sz w:val="16"/>
        </w:rPr>
        <w:t xml:space="preserve"> </w:t>
      </w:r>
      <w:r>
        <w:rPr>
          <w:i/>
          <w:color w:val="211F1F"/>
          <w:sz w:val="16"/>
        </w:rPr>
        <w:t>to</w:t>
      </w:r>
      <w:r>
        <w:rPr>
          <w:i/>
          <w:color w:val="211F1F"/>
          <w:spacing w:val="-10"/>
          <w:sz w:val="16"/>
        </w:rPr>
        <w:t xml:space="preserve"> </w:t>
      </w:r>
      <w:r>
        <w:rPr>
          <w:i/>
          <w:color w:val="211F1F"/>
          <w:sz w:val="16"/>
        </w:rPr>
        <w:t>request</w:t>
      </w:r>
      <w:r>
        <w:rPr>
          <w:i/>
          <w:color w:val="211F1F"/>
          <w:spacing w:val="-10"/>
          <w:sz w:val="16"/>
        </w:rPr>
        <w:t xml:space="preserve"> </w:t>
      </w:r>
      <w:r>
        <w:rPr>
          <w:i/>
          <w:color w:val="211F1F"/>
          <w:sz w:val="16"/>
        </w:rPr>
        <w:t>an</w:t>
      </w:r>
      <w:r>
        <w:rPr>
          <w:i/>
          <w:color w:val="211F1F"/>
          <w:spacing w:val="-9"/>
          <w:sz w:val="16"/>
        </w:rPr>
        <w:t xml:space="preserve"> </w:t>
      </w:r>
      <w:r>
        <w:rPr>
          <w:i/>
          <w:color w:val="211F1F"/>
          <w:sz w:val="16"/>
        </w:rPr>
        <w:t>extension</w:t>
      </w:r>
      <w:r>
        <w:rPr>
          <w:i/>
          <w:color w:val="211F1F"/>
          <w:spacing w:val="-10"/>
          <w:sz w:val="16"/>
        </w:rPr>
        <w:t xml:space="preserve"> </w:t>
      </w:r>
      <w:r>
        <w:rPr>
          <w:i/>
          <w:color w:val="211F1F"/>
          <w:sz w:val="16"/>
        </w:rPr>
        <w:t>of</w:t>
      </w:r>
      <w:r>
        <w:rPr>
          <w:i/>
          <w:color w:val="211F1F"/>
          <w:spacing w:val="-10"/>
          <w:sz w:val="16"/>
        </w:rPr>
        <w:t xml:space="preserve"> </w:t>
      </w:r>
      <w:r>
        <w:rPr>
          <w:i/>
          <w:color w:val="211F1F"/>
          <w:sz w:val="16"/>
        </w:rPr>
        <w:t>this</w:t>
      </w:r>
      <w:r>
        <w:rPr>
          <w:i/>
          <w:color w:val="211F1F"/>
          <w:spacing w:val="-10"/>
          <w:sz w:val="16"/>
        </w:rPr>
        <w:t xml:space="preserve"> </w:t>
      </w:r>
      <w:r>
        <w:rPr>
          <w:i/>
          <w:color w:val="211F1F"/>
          <w:sz w:val="16"/>
        </w:rPr>
        <w:t>guarantee</w:t>
      </w:r>
      <w:r>
        <w:rPr>
          <w:i/>
          <w:color w:val="211F1F"/>
          <w:spacing w:val="-8"/>
          <w:sz w:val="16"/>
        </w:rPr>
        <w:t xml:space="preserve"> </w:t>
      </w:r>
      <w:r>
        <w:rPr>
          <w:i/>
          <w:color w:val="211F1F"/>
          <w:sz w:val="16"/>
        </w:rPr>
        <w:t>from</w:t>
      </w:r>
      <w:r>
        <w:rPr>
          <w:i/>
          <w:color w:val="211F1F"/>
          <w:spacing w:val="-10"/>
          <w:sz w:val="16"/>
        </w:rPr>
        <w:t xml:space="preserve"> </w:t>
      </w:r>
      <w:r>
        <w:rPr>
          <w:i/>
          <w:color w:val="211F1F"/>
          <w:sz w:val="16"/>
        </w:rPr>
        <w:t>the</w:t>
      </w:r>
      <w:r>
        <w:rPr>
          <w:i/>
          <w:color w:val="211F1F"/>
          <w:spacing w:val="-10"/>
          <w:sz w:val="16"/>
        </w:rPr>
        <w:t xml:space="preserve"> </w:t>
      </w:r>
      <w:r>
        <w:rPr>
          <w:i/>
          <w:color w:val="211F1F"/>
          <w:sz w:val="16"/>
        </w:rPr>
        <w:t>Guarantor.</w:t>
      </w:r>
      <w:r>
        <w:rPr>
          <w:i/>
          <w:color w:val="211F1F"/>
          <w:spacing w:val="-10"/>
          <w:sz w:val="16"/>
        </w:rPr>
        <w:t xml:space="preserve"> </w:t>
      </w:r>
      <w:r>
        <w:rPr>
          <w:i/>
          <w:color w:val="211F1F"/>
          <w:sz w:val="16"/>
        </w:rPr>
        <w:t>Such</w:t>
      </w:r>
      <w:r>
        <w:rPr>
          <w:i/>
          <w:color w:val="211F1F"/>
          <w:spacing w:val="40"/>
          <w:sz w:val="16"/>
        </w:rPr>
        <w:t xml:space="preserve"> </w:t>
      </w:r>
      <w:r>
        <w:rPr>
          <w:i/>
          <w:color w:val="211F1F"/>
          <w:sz w:val="16"/>
        </w:rPr>
        <w:t>requestmust be in writing</w:t>
      </w:r>
      <w:r>
        <w:rPr>
          <w:i/>
          <w:color w:val="211F1F"/>
          <w:spacing w:val="-1"/>
          <w:sz w:val="16"/>
        </w:rPr>
        <w:t xml:space="preserve"> </w:t>
      </w:r>
      <w:r>
        <w:rPr>
          <w:i/>
          <w:color w:val="211F1F"/>
          <w:sz w:val="16"/>
        </w:rPr>
        <w:t>and must bemadeprior to</w:t>
      </w:r>
      <w:r>
        <w:rPr>
          <w:i/>
          <w:color w:val="211F1F"/>
          <w:spacing w:val="-1"/>
          <w:sz w:val="16"/>
        </w:rPr>
        <w:t xml:space="preserve"> </w:t>
      </w:r>
      <w:r>
        <w:rPr>
          <w:i/>
          <w:color w:val="211F1F"/>
          <w:sz w:val="16"/>
        </w:rPr>
        <w:t>the expiration date established in</w:t>
      </w:r>
      <w:r>
        <w:rPr>
          <w:i/>
          <w:color w:val="211F1F"/>
          <w:spacing w:val="-1"/>
          <w:sz w:val="16"/>
        </w:rPr>
        <w:t xml:space="preserve"> </w:t>
      </w:r>
      <w:r>
        <w:rPr>
          <w:i/>
          <w:color w:val="211F1F"/>
          <w:sz w:val="16"/>
        </w:rPr>
        <w:t>the guarantee.</w:t>
      </w:r>
    </w:p>
    <w:p w14:paraId="34819373" w14:textId="77777777" w:rsidR="00BB77C0" w:rsidRDefault="00BB77C0">
      <w:pPr>
        <w:spacing w:line="225" w:lineRule="auto"/>
        <w:jc w:val="both"/>
        <w:rPr>
          <w:i/>
          <w:sz w:val="16"/>
        </w:rPr>
        <w:sectPr w:rsidR="00BB77C0">
          <w:pgSz w:w="11920" w:h="16850"/>
          <w:pgMar w:top="740" w:right="0" w:bottom="280" w:left="360" w:header="720" w:footer="720" w:gutter="0"/>
          <w:cols w:space="720"/>
        </w:sectPr>
      </w:pPr>
    </w:p>
    <w:p w14:paraId="6A02836F" w14:textId="77777777" w:rsidR="00BB77C0" w:rsidRDefault="00370BAA">
      <w:pPr>
        <w:spacing w:before="74"/>
        <w:ind w:left="360"/>
        <w:rPr>
          <w:b/>
        </w:rPr>
      </w:pPr>
      <w:r>
        <w:rPr>
          <w:b/>
          <w:color w:val="211F1F"/>
        </w:rPr>
        <w:lastRenderedPageBreak/>
        <w:t>FORM</w:t>
      </w:r>
      <w:r>
        <w:rPr>
          <w:b/>
          <w:color w:val="211F1F"/>
          <w:spacing w:val="-14"/>
        </w:rPr>
        <w:t xml:space="preserve"> </w:t>
      </w:r>
      <w:r>
        <w:rPr>
          <w:b/>
          <w:color w:val="211F1F"/>
        </w:rPr>
        <w:t>NO.</w:t>
      </w:r>
      <w:r>
        <w:rPr>
          <w:b/>
          <w:color w:val="211F1F"/>
          <w:spacing w:val="-7"/>
        </w:rPr>
        <w:t xml:space="preserve"> </w:t>
      </w:r>
      <w:r>
        <w:rPr>
          <w:b/>
          <w:color w:val="211F1F"/>
        </w:rPr>
        <w:t>9</w:t>
      </w:r>
      <w:r>
        <w:rPr>
          <w:b/>
          <w:color w:val="211F1F"/>
          <w:spacing w:val="-13"/>
        </w:rPr>
        <w:t xml:space="preserve"> </w:t>
      </w:r>
      <w:r>
        <w:rPr>
          <w:b/>
          <w:color w:val="211F1F"/>
        </w:rPr>
        <w:t>BENEFICIAL</w:t>
      </w:r>
      <w:r>
        <w:rPr>
          <w:b/>
          <w:color w:val="211F1F"/>
          <w:spacing w:val="-12"/>
        </w:rPr>
        <w:t xml:space="preserve"> </w:t>
      </w:r>
      <w:r>
        <w:rPr>
          <w:b/>
          <w:color w:val="211F1F"/>
        </w:rPr>
        <w:t>OWNERSHIP</w:t>
      </w:r>
      <w:r>
        <w:rPr>
          <w:b/>
          <w:color w:val="211F1F"/>
          <w:spacing w:val="-11"/>
        </w:rPr>
        <w:t xml:space="preserve"> </w:t>
      </w:r>
      <w:r>
        <w:rPr>
          <w:b/>
          <w:color w:val="211F1F"/>
        </w:rPr>
        <w:t>DISCLOSURE</w:t>
      </w:r>
      <w:r>
        <w:rPr>
          <w:b/>
          <w:color w:val="211F1F"/>
          <w:spacing w:val="-11"/>
        </w:rPr>
        <w:t xml:space="preserve"> </w:t>
      </w:r>
      <w:r>
        <w:rPr>
          <w:b/>
          <w:color w:val="211F1F"/>
          <w:spacing w:val="-4"/>
        </w:rPr>
        <w:t>FORM</w:t>
      </w:r>
    </w:p>
    <w:p w14:paraId="7D791F4C" w14:textId="77777777" w:rsidR="00BB77C0" w:rsidRDefault="00370BAA">
      <w:pPr>
        <w:pStyle w:val="Heading6"/>
        <w:spacing w:before="127"/>
        <w:ind w:left="360" w:firstLine="0"/>
      </w:pPr>
      <w:bookmarkStart w:id="259" w:name="(Amended_and_issued_pursuant_to_PPRA_CIR"/>
      <w:bookmarkEnd w:id="259"/>
      <w:r>
        <w:rPr>
          <w:color w:val="211F1F"/>
        </w:rPr>
        <w:t>(Amended</w:t>
      </w:r>
      <w:r>
        <w:rPr>
          <w:color w:val="211F1F"/>
          <w:spacing w:val="-7"/>
        </w:rPr>
        <w:t xml:space="preserve"> </w:t>
      </w:r>
      <w:r>
        <w:rPr>
          <w:color w:val="211F1F"/>
        </w:rPr>
        <w:t>and</w:t>
      </w:r>
      <w:r>
        <w:rPr>
          <w:color w:val="211F1F"/>
          <w:spacing w:val="-6"/>
        </w:rPr>
        <w:t xml:space="preserve"> </w:t>
      </w:r>
      <w:r>
        <w:rPr>
          <w:color w:val="211F1F"/>
        </w:rPr>
        <w:t>issued</w:t>
      </w:r>
      <w:r>
        <w:rPr>
          <w:color w:val="211F1F"/>
          <w:spacing w:val="-1"/>
        </w:rPr>
        <w:t xml:space="preserve"> </w:t>
      </w:r>
      <w:r>
        <w:rPr>
          <w:color w:val="211F1F"/>
        </w:rPr>
        <w:t>pursuant</w:t>
      </w:r>
      <w:r>
        <w:rPr>
          <w:color w:val="211F1F"/>
          <w:spacing w:val="-4"/>
        </w:rPr>
        <w:t xml:space="preserve"> </w:t>
      </w:r>
      <w:r>
        <w:rPr>
          <w:color w:val="211F1F"/>
        </w:rPr>
        <w:t>to</w:t>
      </w:r>
      <w:r>
        <w:rPr>
          <w:color w:val="211F1F"/>
          <w:spacing w:val="-2"/>
        </w:rPr>
        <w:t xml:space="preserve"> </w:t>
      </w:r>
      <w:r>
        <w:rPr>
          <w:color w:val="211F1F"/>
        </w:rPr>
        <w:t>PPRA</w:t>
      </w:r>
      <w:r>
        <w:rPr>
          <w:color w:val="211F1F"/>
          <w:spacing w:val="-3"/>
        </w:rPr>
        <w:t xml:space="preserve"> </w:t>
      </w:r>
      <w:r>
        <w:t>CIRCULAR</w:t>
      </w:r>
      <w:r>
        <w:rPr>
          <w:spacing w:val="-7"/>
        </w:rPr>
        <w:t xml:space="preserve"> </w:t>
      </w:r>
      <w:r>
        <w:t xml:space="preserve">No. </w:t>
      </w:r>
      <w:r>
        <w:rPr>
          <w:spacing w:val="-2"/>
        </w:rPr>
        <w:t>02/2022)</w:t>
      </w:r>
    </w:p>
    <w:p w14:paraId="2AB2AEFB" w14:textId="77777777" w:rsidR="00BB77C0" w:rsidRDefault="00370BAA">
      <w:pPr>
        <w:pStyle w:val="BodyText"/>
        <w:spacing w:before="132"/>
        <w:rPr>
          <w:b/>
          <w:sz w:val="20"/>
        </w:rPr>
      </w:pPr>
      <w:r>
        <w:rPr>
          <w:b/>
          <w:noProof/>
          <w:sz w:val="20"/>
        </w:rPr>
        <mc:AlternateContent>
          <mc:Choice Requires="wps">
            <w:drawing>
              <wp:anchor distT="0" distB="0" distL="0" distR="0" simplePos="0" relativeHeight="487647744" behindDoc="1" locked="0" layoutInCell="1" allowOverlap="1" wp14:anchorId="30D12CFB" wp14:editId="63B7799D">
                <wp:simplePos x="0" y="0"/>
                <wp:positionH relativeFrom="page">
                  <wp:posOffset>520700</wp:posOffset>
                </wp:positionH>
                <wp:positionV relativeFrom="paragraph">
                  <wp:posOffset>247043</wp:posOffset>
                </wp:positionV>
                <wp:extent cx="6718300" cy="1866900"/>
                <wp:effectExtent l="0" t="0" r="0" b="0"/>
                <wp:wrapTopAndBottom/>
                <wp:docPr id="435" name="Textbox 4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18300" cy="1866900"/>
                        </a:xfrm>
                        <a:prstGeom prst="rect">
                          <a:avLst/>
                        </a:prstGeom>
                        <a:ln w="3051">
                          <a:solidFill>
                            <a:srgbClr val="211F1F"/>
                          </a:solidFill>
                          <a:prstDash val="solid"/>
                        </a:ln>
                      </wps:spPr>
                      <wps:txbx>
                        <w:txbxContent>
                          <w:p w14:paraId="101038CF" w14:textId="77777777" w:rsidR="00BB77C0" w:rsidRDefault="00370BAA">
                            <w:pPr>
                              <w:spacing w:before="47"/>
                              <w:ind w:left="157"/>
                              <w:jc w:val="both"/>
                              <w:rPr>
                                <w:b/>
                                <w:i/>
                              </w:rPr>
                            </w:pPr>
                            <w:r>
                              <w:rPr>
                                <w:b/>
                                <w:i/>
                                <w:color w:val="211F1F"/>
                              </w:rPr>
                              <w:t>INSTRUCTIONS</w:t>
                            </w:r>
                            <w:r>
                              <w:rPr>
                                <w:b/>
                                <w:i/>
                                <w:color w:val="211F1F"/>
                                <w:spacing w:val="-14"/>
                              </w:rPr>
                              <w:t xml:space="preserve"> </w:t>
                            </w:r>
                            <w:r>
                              <w:rPr>
                                <w:b/>
                                <w:i/>
                                <w:color w:val="211F1F"/>
                              </w:rPr>
                              <w:t>TO</w:t>
                            </w:r>
                            <w:r>
                              <w:rPr>
                                <w:b/>
                                <w:i/>
                                <w:color w:val="211F1F"/>
                                <w:spacing w:val="-14"/>
                              </w:rPr>
                              <w:t xml:space="preserve"> </w:t>
                            </w:r>
                            <w:r>
                              <w:rPr>
                                <w:b/>
                                <w:i/>
                                <w:color w:val="211F1F"/>
                              </w:rPr>
                              <w:t>TENDERERS:</w:t>
                            </w:r>
                            <w:r>
                              <w:rPr>
                                <w:b/>
                                <w:i/>
                                <w:color w:val="211F1F"/>
                                <w:spacing w:val="-12"/>
                              </w:rPr>
                              <w:t xml:space="preserve"> </w:t>
                            </w:r>
                            <w:r>
                              <w:rPr>
                                <w:b/>
                                <w:i/>
                                <w:color w:val="211F1F"/>
                              </w:rPr>
                              <w:t>DELETE</w:t>
                            </w:r>
                            <w:r>
                              <w:rPr>
                                <w:b/>
                                <w:i/>
                                <w:color w:val="211F1F"/>
                                <w:spacing w:val="-10"/>
                              </w:rPr>
                              <w:t xml:space="preserve"> </w:t>
                            </w:r>
                            <w:r>
                              <w:rPr>
                                <w:b/>
                                <w:i/>
                                <w:color w:val="211F1F"/>
                              </w:rPr>
                              <w:t>THIS</w:t>
                            </w:r>
                            <w:r>
                              <w:rPr>
                                <w:b/>
                                <w:i/>
                                <w:color w:val="211F1F"/>
                                <w:spacing w:val="-14"/>
                              </w:rPr>
                              <w:t xml:space="preserve"> </w:t>
                            </w:r>
                            <w:r>
                              <w:rPr>
                                <w:b/>
                                <w:i/>
                                <w:color w:val="211F1F"/>
                              </w:rPr>
                              <w:t>BOX</w:t>
                            </w:r>
                            <w:r>
                              <w:rPr>
                                <w:b/>
                                <w:i/>
                                <w:color w:val="211F1F"/>
                                <w:spacing w:val="-11"/>
                              </w:rPr>
                              <w:t xml:space="preserve"> </w:t>
                            </w:r>
                            <w:r>
                              <w:rPr>
                                <w:b/>
                                <w:i/>
                                <w:color w:val="211F1F"/>
                              </w:rPr>
                              <w:t>ONCE</w:t>
                            </w:r>
                            <w:r>
                              <w:rPr>
                                <w:b/>
                                <w:i/>
                                <w:color w:val="211F1F"/>
                                <w:spacing w:val="-10"/>
                              </w:rPr>
                              <w:t xml:space="preserve"> </w:t>
                            </w:r>
                            <w:r>
                              <w:rPr>
                                <w:b/>
                                <w:i/>
                                <w:color w:val="211F1F"/>
                              </w:rPr>
                              <w:t>YOU</w:t>
                            </w:r>
                            <w:r>
                              <w:rPr>
                                <w:b/>
                                <w:i/>
                                <w:color w:val="211F1F"/>
                                <w:spacing w:val="-14"/>
                              </w:rPr>
                              <w:t xml:space="preserve"> </w:t>
                            </w:r>
                            <w:r>
                              <w:rPr>
                                <w:b/>
                                <w:i/>
                                <w:color w:val="211F1F"/>
                              </w:rPr>
                              <w:t>HAVE</w:t>
                            </w:r>
                            <w:r>
                              <w:rPr>
                                <w:b/>
                                <w:i/>
                                <w:color w:val="211F1F"/>
                                <w:spacing w:val="-14"/>
                              </w:rPr>
                              <w:t xml:space="preserve"> </w:t>
                            </w:r>
                            <w:r>
                              <w:rPr>
                                <w:b/>
                                <w:i/>
                                <w:color w:val="211F1F"/>
                              </w:rPr>
                              <w:t>COMPLETED</w:t>
                            </w:r>
                            <w:r>
                              <w:rPr>
                                <w:b/>
                                <w:i/>
                                <w:color w:val="211F1F"/>
                                <w:spacing w:val="-12"/>
                              </w:rPr>
                              <w:t xml:space="preserve"> </w:t>
                            </w:r>
                            <w:r>
                              <w:rPr>
                                <w:b/>
                                <w:i/>
                                <w:color w:val="211F1F"/>
                              </w:rPr>
                              <w:t>THE</w:t>
                            </w:r>
                            <w:r>
                              <w:rPr>
                                <w:b/>
                                <w:i/>
                                <w:color w:val="211F1F"/>
                                <w:spacing w:val="-10"/>
                              </w:rPr>
                              <w:t xml:space="preserve"> </w:t>
                            </w:r>
                            <w:r>
                              <w:rPr>
                                <w:b/>
                                <w:i/>
                                <w:color w:val="211F1F"/>
                                <w:spacing w:val="-4"/>
                              </w:rPr>
                              <w:t>FORM</w:t>
                            </w:r>
                          </w:p>
                          <w:p w14:paraId="59602162" w14:textId="77777777" w:rsidR="00BB77C0" w:rsidRDefault="00370BAA">
                            <w:pPr>
                              <w:spacing w:before="241" w:line="230" w:lineRule="auto"/>
                              <w:ind w:left="157" w:right="-29"/>
                              <w:jc w:val="both"/>
                              <w:rPr>
                                <w:i/>
                              </w:rPr>
                            </w:pPr>
                            <w:r>
                              <w:rPr>
                                <w:i/>
                                <w:color w:val="211F1F"/>
                              </w:rPr>
                              <w:t xml:space="preserve">This Beneficial Ownership Disclosure Form (“Form”) is to be completed by the successful tenderer </w:t>
                            </w:r>
                            <w:r>
                              <w:rPr>
                                <w:i/>
                              </w:rPr>
                              <w:t>pursuant to Regulation</w:t>
                            </w:r>
                            <w:r>
                              <w:rPr>
                                <w:i/>
                                <w:spacing w:val="-9"/>
                              </w:rPr>
                              <w:t xml:space="preserve"> </w:t>
                            </w:r>
                            <w:r>
                              <w:rPr>
                                <w:i/>
                              </w:rPr>
                              <w:t>13</w:t>
                            </w:r>
                            <w:r>
                              <w:rPr>
                                <w:i/>
                                <w:spacing w:val="-10"/>
                              </w:rPr>
                              <w:t xml:space="preserve"> </w:t>
                            </w:r>
                            <w:r>
                              <w:rPr>
                                <w:i/>
                              </w:rPr>
                              <w:t>(2A)</w:t>
                            </w:r>
                            <w:r>
                              <w:rPr>
                                <w:i/>
                                <w:spacing w:val="-7"/>
                              </w:rPr>
                              <w:t xml:space="preserve"> </w:t>
                            </w:r>
                            <w:r>
                              <w:rPr>
                                <w:i/>
                              </w:rPr>
                              <w:t>and</w:t>
                            </w:r>
                            <w:r>
                              <w:rPr>
                                <w:i/>
                                <w:spacing w:val="-10"/>
                              </w:rPr>
                              <w:t xml:space="preserve"> </w:t>
                            </w:r>
                            <w:r>
                              <w:rPr>
                                <w:i/>
                              </w:rPr>
                              <w:t>13</w:t>
                            </w:r>
                            <w:r>
                              <w:rPr>
                                <w:i/>
                                <w:spacing w:val="-10"/>
                              </w:rPr>
                              <w:t xml:space="preserve"> </w:t>
                            </w:r>
                            <w:r>
                              <w:rPr>
                                <w:i/>
                              </w:rPr>
                              <w:t>(6)</w:t>
                            </w:r>
                            <w:r>
                              <w:rPr>
                                <w:i/>
                                <w:spacing w:val="-7"/>
                              </w:rPr>
                              <w:t xml:space="preserve"> </w:t>
                            </w:r>
                            <w:r>
                              <w:rPr>
                                <w:i/>
                              </w:rPr>
                              <w:t>of</w:t>
                            </w:r>
                            <w:r>
                              <w:rPr>
                                <w:i/>
                                <w:spacing w:val="-9"/>
                              </w:rPr>
                              <w:t xml:space="preserve"> </w:t>
                            </w:r>
                            <w:r>
                              <w:rPr>
                                <w:i/>
                              </w:rPr>
                              <w:t>the</w:t>
                            </w:r>
                            <w:r>
                              <w:rPr>
                                <w:i/>
                                <w:spacing w:val="-12"/>
                              </w:rPr>
                              <w:t xml:space="preserve"> </w:t>
                            </w:r>
                            <w:r>
                              <w:rPr>
                                <w:i/>
                              </w:rPr>
                              <w:t>Companies</w:t>
                            </w:r>
                            <w:r>
                              <w:rPr>
                                <w:i/>
                                <w:spacing w:val="-10"/>
                              </w:rPr>
                              <w:t xml:space="preserve"> </w:t>
                            </w:r>
                            <w:r>
                              <w:rPr>
                                <w:i/>
                              </w:rPr>
                              <w:t>(Beneficial</w:t>
                            </w:r>
                            <w:r>
                              <w:rPr>
                                <w:i/>
                                <w:spacing w:val="-5"/>
                              </w:rPr>
                              <w:t xml:space="preserve"> </w:t>
                            </w:r>
                            <w:r>
                              <w:rPr>
                                <w:i/>
                              </w:rPr>
                              <w:t>Ownership</w:t>
                            </w:r>
                            <w:r>
                              <w:rPr>
                                <w:i/>
                                <w:spacing w:val="-5"/>
                              </w:rPr>
                              <w:t xml:space="preserve"> </w:t>
                            </w:r>
                            <w:r>
                              <w:rPr>
                                <w:i/>
                              </w:rPr>
                              <w:t>Information)</w:t>
                            </w:r>
                            <w:r>
                              <w:rPr>
                                <w:i/>
                                <w:spacing w:val="-6"/>
                              </w:rPr>
                              <w:t xml:space="preserve"> </w:t>
                            </w:r>
                            <w:r>
                              <w:rPr>
                                <w:i/>
                              </w:rPr>
                              <w:t>Regulations,</w:t>
                            </w:r>
                            <w:r>
                              <w:rPr>
                                <w:i/>
                                <w:spacing w:val="-11"/>
                              </w:rPr>
                              <w:t xml:space="preserve"> </w:t>
                            </w:r>
                            <w:r>
                              <w:rPr>
                                <w:i/>
                              </w:rPr>
                              <w:t>2020</w:t>
                            </w:r>
                            <w:r>
                              <w:rPr>
                                <w:i/>
                                <w:color w:val="211F1F"/>
                              </w:rPr>
                              <w:t>.</w:t>
                            </w:r>
                            <w:r>
                              <w:rPr>
                                <w:i/>
                                <w:color w:val="211F1F"/>
                                <w:spacing w:val="-8"/>
                              </w:rPr>
                              <w:t xml:space="preserve"> </w:t>
                            </w:r>
                            <w:r>
                              <w:rPr>
                                <w:i/>
                                <w:color w:val="211F1F"/>
                              </w:rPr>
                              <w:t>In</w:t>
                            </w:r>
                            <w:r>
                              <w:rPr>
                                <w:i/>
                                <w:color w:val="211F1F"/>
                                <w:spacing w:val="-10"/>
                              </w:rPr>
                              <w:t xml:space="preserve"> </w:t>
                            </w:r>
                            <w:r>
                              <w:rPr>
                                <w:i/>
                                <w:color w:val="211F1F"/>
                              </w:rPr>
                              <w:t>case</w:t>
                            </w:r>
                            <w:r>
                              <w:rPr>
                                <w:i/>
                                <w:color w:val="211F1F"/>
                                <w:spacing w:val="-7"/>
                              </w:rPr>
                              <w:t xml:space="preserve"> </w:t>
                            </w:r>
                            <w:r>
                              <w:rPr>
                                <w:i/>
                                <w:color w:val="211F1F"/>
                              </w:rPr>
                              <w:t>of</w:t>
                            </w:r>
                            <w:r>
                              <w:rPr>
                                <w:i/>
                                <w:color w:val="211F1F"/>
                                <w:spacing w:val="-14"/>
                              </w:rPr>
                              <w:t xml:space="preserve"> </w:t>
                            </w:r>
                            <w:r>
                              <w:rPr>
                                <w:i/>
                                <w:color w:val="211F1F"/>
                              </w:rPr>
                              <w:t>joint venture, the tenderer must submit a separate Form for each member. The beneficial ownership information to be submitted in this Form shall be current as of the date of its submission.</w:t>
                            </w:r>
                          </w:p>
                          <w:p w14:paraId="57ED91AE" w14:textId="77777777" w:rsidR="00BB77C0" w:rsidRDefault="00370BAA">
                            <w:pPr>
                              <w:spacing w:before="240" w:line="232" w:lineRule="auto"/>
                              <w:ind w:left="157"/>
                              <w:rPr>
                                <w:i/>
                              </w:rPr>
                            </w:pPr>
                            <w:r>
                              <w:rPr>
                                <w:i/>
                                <w:color w:val="211F1F"/>
                              </w:rPr>
                              <w:t>For the purposes of this Form, a Beneficial Owner of a</w:t>
                            </w:r>
                            <w:r>
                              <w:rPr>
                                <w:i/>
                                <w:color w:val="211F1F"/>
                                <w:spacing w:val="-3"/>
                              </w:rPr>
                              <w:t xml:space="preserve"> </w:t>
                            </w:r>
                            <w:r>
                              <w:rPr>
                                <w:i/>
                                <w:color w:val="211F1F"/>
                              </w:rPr>
                              <w:t>Tenderer is any natural person who ultimately owns or controls</w:t>
                            </w:r>
                            <w:r>
                              <w:rPr>
                                <w:i/>
                                <w:color w:val="211F1F"/>
                                <w:spacing w:val="-5"/>
                              </w:rPr>
                              <w:t xml:space="preserve"> </w:t>
                            </w:r>
                            <w:r>
                              <w:rPr>
                                <w:i/>
                                <w:color w:val="211F1F"/>
                              </w:rPr>
                              <w:t>the</w:t>
                            </w:r>
                            <w:r>
                              <w:rPr>
                                <w:i/>
                                <w:color w:val="211F1F"/>
                                <w:spacing w:val="-7"/>
                              </w:rPr>
                              <w:t xml:space="preserve"> </w:t>
                            </w:r>
                            <w:r>
                              <w:rPr>
                                <w:i/>
                                <w:color w:val="211F1F"/>
                              </w:rPr>
                              <w:t>legal</w:t>
                            </w:r>
                            <w:r>
                              <w:rPr>
                                <w:i/>
                                <w:color w:val="211F1F"/>
                                <w:spacing w:val="-8"/>
                              </w:rPr>
                              <w:t xml:space="preserve"> </w:t>
                            </w:r>
                            <w:r>
                              <w:rPr>
                                <w:i/>
                                <w:color w:val="211F1F"/>
                              </w:rPr>
                              <w:t>person</w:t>
                            </w:r>
                            <w:r>
                              <w:rPr>
                                <w:i/>
                                <w:color w:val="211F1F"/>
                                <w:spacing w:val="-5"/>
                              </w:rPr>
                              <w:t xml:space="preserve"> </w:t>
                            </w:r>
                            <w:r>
                              <w:rPr>
                                <w:i/>
                                <w:color w:val="211F1F"/>
                              </w:rPr>
                              <w:t>(tenderer)</w:t>
                            </w:r>
                            <w:r>
                              <w:rPr>
                                <w:i/>
                                <w:color w:val="211F1F"/>
                                <w:spacing w:val="-1"/>
                              </w:rPr>
                              <w:t xml:space="preserve"> </w:t>
                            </w:r>
                            <w:r>
                              <w:rPr>
                                <w:i/>
                                <w:color w:val="211F1F"/>
                              </w:rPr>
                              <w:t>or</w:t>
                            </w:r>
                            <w:r>
                              <w:rPr>
                                <w:i/>
                                <w:color w:val="211F1F"/>
                                <w:spacing w:val="-5"/>
                              </w:rPr>
                              <w:t xml:space="preserve"> </w:t>
                            </w:r>
                            <w:r>
                              <w:rPr>
                                <w:i/>
                                <w:color w:val="211F1F"/>
                              </w:rPr>
                              <w:t>arrangements</w:t>
                            </w:r>
                            <w:r>
                              <w:rPr>
                                <w:i/>
                                <w:color w:val="211F1F"/>
                                <w:spacing w:val="-5"/>
                              </w:rPr>
                              <w:t xml:space="preserve"> </w:t>
                            </w:r>
                            <w:r>
                              <w:rPr>
                                <w:i/>
                                <w:color w:val="211F1F"/>
                              </w:rPr>
                              <w:t>or</w:t>
                            </w:r>
                            <w:r>
                              <w:rPr>
                                <w:i/>
                                <w:color w:val="211F1F"/>
                                <w:spacing w:val="-5"/>
                              </w:rPr>
                              <w:t xml:space="preserve"> </w:t>
                            </w:r>
                            <w:r>
                              <w:rPr>
                                <w:i/>
                                <w:color w:val="211F1F"/>
                              </w:rPr>
                              <w:t>a</w:t>
                            </w:r>
                            <w:r>
                              <w:rPr>
                                <w:i/>
                                <w:color w:val="211F1F"/>
                                <w:spacing w:val="-6"/>
                              </w:rPr>
                              <w:t xml:space="preserve"> </w:t>
                            </w:r>
                            <w:r>
                              <w:rPr>
                                <w:i/>
                                <w:color w:val="211F1F"/>
                              </w:rPr>
                              <w:t>natural</w:t>
                            </w:r>
                            <w:r>
                              <w:rPr>
                                <w:i/>
                                <w:color w:val="211F1F"/>
                                <w:spacing w:val="-4"/>
                              </w:rPr>
                              <w:t xml:space="preserve"> </w:t>
                            </w:r>
                            <w:r>
                              <w:rPr>
                                <w:i/>
                                <w:color w:val="211F1F"/>
                              </w:rPr>
                              <w:t>person</w:t>
                            </w:r>
                            <w:r>
                              <w:rPr>
                                <w:i/>
                                <w:color w:val="211F1F"/>
                                <w:spacing w:val="-6"/>
                              </w:rPr>
                              <w:t xml:space="preserve"> </w:t>
                            </w:r>
                            <w:r>
                              <w:rPr>
                                <w:i/>
                                <w:color w:val="211F1F"/>
                              </w:rPr>
                              <w:t>on</w:t>
                            </w:r>
                            <w:r>
                              <w:rPr>
                                <w:i/>
                                <w:color w:val="211F1F"/>
                                <w:spacing w:val="-6"/>
                              </w:rPr>
                              <w:t xml:space="preserve"> </w:t>
                            </w:r>
                            <w:r>
                              <w:rPr>
                                <w:i/>
                                <w:color w:val="211F1F"/>
                              </w:rPr>
                              <w:t>whose</w:t>
                            </w:r>
                            <w:r>
                              <w:rPr>
                                <w:i/>
                                <w:color w:val="211F1F"/>
                                <w:spacing w:val="-2"/>
                              </w:rPr>
                              <w:t xml:space="preserve"> </w:t>
                            </w:r>
                            <w:r>
                              <w:rPr>
                                <w:i/>
                                <w:color w:val="211F1F"/>
                              </w:rPr>
                              <w:t>behalf</w:t>
                            </w:r>
                            <w:r>
                              <w:rPr>
                                <w:i/>
                                <w:color w:val="211F1F"/>
                                <w:spacing w:val="-4"/>
                              </w:rPr>
                              <w:t xml:space="preserve"> </w:t>
                            </w:r>
                            <w:r>
                              <w:rPr>
                                <w:i/>
                                <w:color w:val="211F1F"/>
                              </w:rPr>
                              <w:t>a</w:t>
                            </w:r>
                            <w:r>
                              <w:rPr>
                                <w:i/>
                                <w:color w:val="211F1F"/>
                                <w:spacing w:val="-9"/>
                              </w:rPr>
                              <w:t xml:space="preserve"> </w:t>
                            </w:r>
                            <w:r>
                              <w:rPr>
                                <w:i/>
                                <w:color w:val="211F1F"/>
                              </w:rPr>
                              <w:t>transaction</w:t>
                            </w:r>
                            <w:r>
                              <w:rPr>
                                <w:i/>
                                <w:color w:val="211F1F"/>
                                <w:spacing w:val="-9"/>
                              </w:rPr>
                              <w:t xml:space="preserve"> </w:t>
                            </w:r>
                            <w:r>
                              <w:rPr>
                                <w:i/>
                                <w:color w:val="211F1F"/>
                              </w:rPr>
                              <w:t>is</w:t>
                            </w:r>
                            <w:r>
                              <w:rPr>
                                <w:i/>
                                <w:color w:val="211F1F"/>
                                <w:spacing w:val="-5"/>
                              </w:rPr>
                              <w:t xml:space="preserve"> </w:t>
                            </w:r>
                            <w:r>
                              <w:rPr>
                                <w:i/>
                                <w:color w:val="211F1F"/>
                              </w:rPr>
                              <w:t>conducted, and includes those persons who exercise ultimate effective control over a legal person (Tenderer) or arrangement.</w:t>
                            </w:r>
                          </w:p>
                        </w:txbxContent>
                      </wps:txbx>
                      <wps:bodyPr wrap="square" lIns="0" tIns="0" rIns="0" bIns="0" rtlCol="0">
                        <a:noAutofit/>
                      </wps:bodyPr>
                    </wps:wsp>
                  </a:graphicData>
                </a:graphic>
              </wp:anchor>
            </w:drawing>
          </mc:Choice>
          <mc:Fallback>
            <w:pict>
              <v:shape w14:anchorId="30D12CFB" id="Textbox 435" o:spid="_x0000_s1211" type="#_x0000_t202" style="position:absolute;margin-left:41pt;margin-top:19.45pt;width:529pt;height:147pt;z-index:-15668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" filled="f" strokecolor="#211f1f" strokeweight=".08475mm">
                <v:path arrowok="t"/>
                <v:textbox inset="0,0,0,0">
                  <w:txbxContent>
                    <w:p w14:paraId="101038CF" w14:textId="77777777" w:rsidR="00BB77C0" w:rsidRDefault="00370BAA">
                      <w:pPr>
                        <w:spacing w:before="47"/>
                        <w:ind w:left="157"/>
                        <w:jc w:val="both"/>
                        <w:rPr>
                          <w:b/>
                          <w:i/>
                        </w:rPr>
                      </w:pPr>
                      <w:r>
                        <w:rPr>
                          <w:b/>
                          <w:i/>
                          <w:color w:val="211F1F"/>
                        </w:rPr>
                        <w:t>INSTRUCTIONS</w:t>
                      </w:r>
                      <w:r>
                        <w:rPr>
                          <w:b/>
                          <w:i/>
                          <w:color w:val="211F1F"/>
                          <w:spacing w:val="-14"/>
                        </w:rPr>
                        <w:t xml:space="preserve"> </w:t>
                      </w:r>
                      <w:r>
                        <w:rPr>
                          <w:b/>
                          <w:i/>
                          <w:color w:val="211F1F"/>
                        </w:rPr>
                        <w:t>TO</w:t>
                      </w:r>
                      <w:r>
                        <w:rPr>
                          <w:b/>
                          <w:i/>
                          <w:color w:val="211F1F"/>
                          <w:spacing w:val="-14"/>
                        </w:rPr>
                        <w:t xml:space="preserve"> </w:t>
                      </w:r>
                      <w:r>
                        <w:rPr>
                          <w:b/>
                          <w:i/>
                          <w:color w:val="211F1F"/>
                        </w:rPr>
                        <w:t>TENDERERS:</w:t>
                      </w:r>
                      <w:r>
                        <w:rPr>
                          <w:b/>
                          <w:i/>
                          <w:color w:val="211F1F"/>
                          <w:spacing w:val="-12"/>
                        </w:rPr>
                        <w:t xml:space="preserve"> </w:t>
                      </w:r>
                      <w:r>
                        <w:rPr>
                          <w:b/>
                          <w:i/>
                          <w:color w:val="211F1F"/>
                        </w:rPr>
                        <w:t>DELETE</w:t>
                      </w:r>
                      <w:r>
                        <w:rPr>
                          <w:b/>
                          <w:i/>
                          <w:color w:val="211F1F"/>
                          <w:spacing w:val="-10"/>
                        </w:rPr>
                        <w:t xml:space="preserve"> </w:t>
                      </w:r>
                      <w:r>
                        <w:rPr>
                          <w:b/>
                          <w:i/>
                          <w:color w:val="211F1F"/>
                        </w:rPr>
                        <w:t>THIS</w:t>
                      </w:r>
                      <w:r>
                        <w:rPr>
                          <w:b/>
                          <w:i/>
                          <w:color w:val="211F1F"/>
                          <w:spacing w:val="-14"/>
                        </w:rPr>
                        <w:t xml:space="preserve"> </w:t>
                      </w:r>
                      <w:r>
                        <w:rPr>
                          <w:b/>
                          <w:i/>
                          <w:color w:val="211F1F"/>
                        </w:rPr>
                        <w:t>BOX</w:t>
                      </w:r>
                      <w:r>
                        <w:rPr>
                          <w:b/>
                          <w:i/>
                          <w:color w:val="211F1F"/>
                          <w:spacing w:val="-11"/>
                        </w:rPr>
                        <w:t xml:space="preserve"> </w:t>
                      </w:r>
                      <w:r>
                        <w:rPr>
                          <w:b/>
                          <w:i/>
                          <w:color w:val="211F1F"/>
                        </w:rPr>
                        <w:t>ONCE</w:t>
                      </w:r>
                      <w:r>
                        <w:rPr>
                          <w:b/>
                          <w:i/>
                          <w:color w:val="211F1F"/>
                          <w:spacing w:val="-10"/>
                        </w:rPr>
                        <w:t xml:space="preserve"> </w:t>
                      </w:r>
                      <w:r>
                        <w:rPr>
                          <w:b/>
                          <w:i/>
                          <w:color w:val="211F1F"/>
                        </w:rPr>
                        <w:t>YOU</w:t>
                      </w:r>
                      <w:r>
                        <w:rPr>
                          <w:b/>
                          <w:i/>
                          <w:color w:val="211F1F"/>
                          <w:spacing w:val="-14"/>
                        </w:rPr>
                        <w:t xml:space="preserve"> </w:t>
                      </w:r>
                      <w:r>
                        <w:rPr>
                          <w:b/>
                          <w:i/>
                          <w:color w:val="211F1F"/>
                        </w:rPr>
                        <w:t>HAVE</w:t>
                      </w:r>
                      <w:r>
                        <w:rPr>
                          <w:b/>
                          <w:i/>
                          <w:color w:val="211F1F"/>
                          <w:spacing w:val="-14"/>
                        </w:rPr>
                        <w:t xml:space="preserve"> </w:t>
                      </w:r>
                      <w:r>
                        <w:rPr>
                          <w:b/>
                          <w:i/>
                          <w:color w:val="211F1F"/>
                        </w:rPr>
                        <w:t>COMPLETED</w:t>
                      </w:r>
                      <w:r>
                        <w:rPr>
                          <w:b/>
                          <w:i/>
                          <w:color w:val="211F1F"/>
                          <w:spacing w:val="-12"/>
                        </w:rPr>
                        <w:t xml:space="preserve"> </w:t>
                      </w:r>
                      <w:r>
                        <w:rPr>
                          <w:b/>
                          <w:i/>
                          <w:color w:val="211F1F"/>
                        </w:rPr>
                        <w:t>THE</w:t>
                      </w:r>
                      <w:r>
                        <w:rPr>
                          <w:b/>
                          <w:i/>
                          <w:color w:val="211F1F"/>
                          <w:spacing w:val="-10"/>
                        </w:rPr>
                        <w:t xml:space="preserve"> </w:t>
                      </w:r>
                      <w:r>
                        <w:rPr>
                          <w:b/>
                          <w:i/>
                          <w:color w:val="211F1F"/>
                          <w:spacing w:val="-4"/>
                        </w:rPr>
                        <w:t>FORM</w:t>
                      </w:r>
                    </w:p>
                    <w:p w14:paraId="59602162" w14:textId="77777777" w:rsidR="00BB77C0" w:rsidRDefault="00370BAA">
                      <w:pPr>
                        <w:spacing w:before="241" w:line="230" w:lineRule="auto"/>
                        <w:ind w:left="157" w:right="-29"/>
                        <w:jc w:val="both"/>
                        <w:rPr>
                          <w:i/>
                        </w:rPr>
                      </w:pPr>
                      <w:r>
                        <w:rPr>
                          <w:i/>
                          <w:color w:val="211F1F"/>
                        </w:rPr>
                        <w:t xml:space="preserve">This Beneficial Ownership Disclosure Form (“Form”) is to be completed by the successful tenderer </w:t>
                      </w:r>
                      <w:r>
                        <w:rPr>
                          <w:i/>
                        </w:rPr>
                        <w:t>pursuant to Regulation</w:t>
                      </w:r>
                      <w:r>
                        <w:rPr>
                          <w:i/>
                          <w:spacing w:val="-9"/>
                        </w:rPr>
                        <w:t xml:space="preserve"> </w:t>
                      </w:r>
                      <w:r>
                        <w:rPr>
                          <w:i/>
                        </w:rPr>
                        <w:t>13</w:t>
                      </w:r>
                      <w:r>
                        <w:rPr>
                          <w:i/>
                          <w:spacing w:val="-10"/>
                        </w:rPr>
                        <w:t xml:space="preserve"> </w:t>
                      </w:r>
                      <w:r>
                        <w:rPr>
                          <w:i/>
                        </w:rPr>
                        <w:t>(2A)</w:t>
                      </w:r>
                      <w:r>
                        <w:rPr>
                          <w:i/>
                          <w:spacing w:val="-7"/>
                        </w:rPr>
                        <w:t xml:space="preserve"> </w:t>
                      </w:r>
                      <w:r>
                        <w:rPr>
                          <w:i/>
                        </w:rPr>
                        <w:t>and</w:t>
                      </w:r>
                      <w:r>
                        <w:rPr>
                          <w:i/>
                          <w:spacing w:val="-10"/>
                        </w:rPr>
                        <w:t xml:space="preserve"> </w:t>
                      </w:r>
                      <w:r>
                        <w:rPr>
                          <w:i/>
                        </w:rPr>
                        <w:t>13</w:t>
                      </w:r>
                      <w:r>
                        <w:rPr>
                          <w:i/>
                          <w:spacing w:val="-10"/>
                        </w:rPr>
                        <w:t xml:space="preserve"> </w:t>
                      </w:r>
                      <w:r>
                        <w:rPr>
                          <w:i/>
                        </w:rPr>
                        <w:t>(6)</w:t>
                      </w:r>
                      <w:r>
                        <w:rPr>
                          <w:i/>
                          <w:spacing w:val="-7"/>
                        </w:rPr>
                        <w:t xml:space="preserve"> </w:t>
                      </w:r>
                      <w:r>
                        <w:rPr>
                          <w:i/>
                        </w:rPr>
                        <w:t>of</w:t>
                      </w:r>
                      <w:r>
                        <w:rPr>
                          <w:i/>
                          <w:spacing w:val="-9"/>
                        </w:rPr>
                        <w:t xml:space="preserve"> </w:t>
                      </w:r>
                      <w:r>
                        <w:rPr>
                          <w:i/>
                        </w:rPr>
                        <w:t>the</w:t>
                      </w:r>
                      <w:r>
                        <w:rPr>
                          <w:i/>
                          <w:spacing w:val="-12"/>
                        </w:rPr>
                        <w:t xml:space="preserve"> </w:t>
                      </w:r>
                      <w:r>
                        <w:rPr>
                          <w:i/>
                        </w:rPr>
                        <w:t>Companies</w:t>
                      </w:r>
                      <w:r>
                        <w:rPr>
                          <w:i/>
                          <w:spacing w:val="-10"/>
                        </w:rPr>
                        <w:t xml:space="preserve"> </w:t>
                      </w:r>
                      <w:r>
                        <w:rPr>
                          <w:i/>
                        </w:rPr>
                        <w:t>(Beneficial</w:t>
                      </w:r>
                      <w:r>
                        <w:rPr>
                          <w:i/>
                          <w:spacing w:val="-5"/>
                        </w:rPr>
                        <w:t xml:space="preserve"> </w:t>
                      </w:r>
                      <w:r>
                        <w:rPr>
                          <w:i/>
                        </w:rPr>
                        <w:t>Ownership</w:t>
                      </w:r>
                      <w:r>
                        <w:rPr>
                          <w:i/>
                          <w:spacing w:val="-5"/>
                        </w:rPr>
                        <w:t xml:space="preserve"> </w:t>
                      </w:r>
                      <w:r>
                        <w:rPr>
                          <w:i/>
                        </w:rPr>
                        <w:t>Information)</w:t>
                      </w:r>
                      <w:r>
                        <w:rPr>
                          <w:i/>
                          <w:spacing w:val="-6"/>
                        </w:rPr>
                        <w:t xml:space="preserve"> </w:t>
                      </w:r>
                      <w:r>
                        <w:rPr>
                          <w:i/>
                        </w:rPr>
                        <w:t>Regulations,</w:t>
                      </w:r>
                      <w:r>
                        <w:rPr>
                          <w:i/>
                          <w:spacing w:val="-11"/>
                        </w:rPr>
                        <w:t xml:space="preserve"> </w:t>
                      </w:r>
                      <w:r>
                        <w:rPr>
                          <w:i/>
                        </w:rPr>
                        <w:t>2020</w:t>
                      </w:r>
                      <w:r>
                        <w:rPr>
                          <w:i/>
                          <w:color w:val="211F1F"/>
                        </w:rPr>
                        <w:t>.</w:t>
                      </w:r>
                      <w:r>
                        <w:rPr>
                          <w:i/>
                          <w:color w:val="211F1F"/>
                          <w:spacing w:val="-8"/>
                        </w:rPr>
                        <w:t xml:space="preserve"> </w:t>
                      </w:r>
                      <w:r>
                        <w:rPr>
                          <w:i/>
                          <w:color w:val="211F1F"/>
                        </w:rPr>
                        <w:t>In</w:t>
                      </w:r>
                      <w:r>
                        <w:rPr>
                          <w:i/>
                          <w:color w:val="211F1F"/>
                          <w:spacing w:val="-10"/>
                        </w:rPr>
                        <w:t xml:space="preserve"> </w:t>
                      </w:r>
                      <w:r>
                        <w:rPr>
                          <w:i/>
                          <w:color w:val="211F1F"/>
                        </w:rPr>
                        <w:t>case</w:t>
                      </w:r>
                      <w:r>
                        <w:rPr>
                          <w:i/>
                          <w:color w:val="211F1F"/>
                          <w:spacing w:val="-7"/>
                        </w:rPr>
                        <w:t xml:space="preserve"> </w:t>
                      </w:r>
                      <w:r>
                        <w:rPr>
                          <w:i/>
                          <w:color w:val="211F1F"/>
                        </w:rPr>
                        <w:t>of</w:t>
                      </w:r>
                      <w:r>
                        <w:rPr>
                          <w:i/>
                          <w:color w:val="211F1F"/>
                          <w:spacing w:val="-14"/>
                        </w:rPr>
                        <w:t xml:space="preserve"> </w:t>
                      </w:r>
                      <w:r>
                        <w:rPr>
                          <w:i/>
                          <w:color w:val="211F1F"/>
                        </w:rPr>
                        <w:t>joint venture, the tenderer must submit a separate Form for each member. The beneficial ownership information to be submitted in this Form shall be current as of the date of its submission.</w:t>
                      </w:r>
                    </w:p>
                    <w:p w14:paraId="57ED91AE" w14:textId="77777777" w:rsidR="00BB77C0" w:rsidRDefault="00370BAA">
                      <w:pPr>
                        <w:spacing w:before="240" w:line="232" w:lineRule="auto"/>
                        <w:ind w:left="157"/>
                        <w:rPr>
                          <w:i/>
                        </w:rPr>
                      </w:pPr>
                      <w:r>
                        <w:rPr>
                          <w:i/>
                          <w:color w:val="211F1F"/>
                        </w:rPr>
                        <w:t>For the purposes of this Form, a Beneficial Owner of a</w:t>
                      </w:r>
                      <w:r>
                        <w:rPr>
                          <w:i/>
                          <w:color w:val="211F1F"/>
                          <w:spacing w:val="-3"/>
                        </w:rPr>
                        <w:t xml:space="preserve"> </w:t>
                      </w:r>
                      <w:r>
                        <w:rPr>
                          <w:i/>
                          <w:color w:val="211F1F"/>
                        </w:rPr>
                        <w:t>Tenderer is any natural person who ultimately owns or controls</w:t>
                      </w:r>
                      <w:r>
                        <w:rPr>
                          <w:i/>
                          <w:color w:val="211F1F"/>
                          <w:spacing w:val="-5"/>
                        </w:rPr>
                        <w:t xml:space="preserve"> </w:t>
                      </w:r>
                      <w:r>
                        <w:rPr>
                          <w:i/>
                          <w:color w:val="211F1F"/>
                        </w:rPr>
                        <w:t>the</w:t>
                      </w:r>
                      <w:r>
                        <w:rPr>
                          <w:i/>
                          <w:color w:val="211F1F"/>
                          <w:spacing w:val="-7"/>
                        </w:rPr>
                        <w:t xml:space="preserve"> </w:t>
                      </w:r>
                      <w:r>
                        <w:rPr>
                          <w:i/>
                          <w:color w:val="211F1F"/>
                        </w:rPr>
                        <w:t>legal</w:t>
                      </w:r>
                      <w:r>
                        <w:rPr>
                          <w:i/>
                          <w:color w:val="211F1F"/>
                          <w:spacing w:val="-8"/>
                        </w:rPr>
                        <w:t xml:space="preserve"> </w:t>
                      </w:r>
                      <w:r>
                        <w:rPr>
                          <w:i/>
                          <w:color w:val="211F1F"/>
                        </w:rPr>
                        <w:t>person</w:t>
                      </w:r>
                      <w:r>
                        <w:rPr>
                          <w:i/>
                          <w:color w:val="211F1F"/>
                          <w:spacing w:val="-5"/>
                        </w:rPr>
                        <w:t xml:space="preserve"> </w:t>
                      </w:r>
                      <w:r>
                        <w:rPr>
                          <w:i/>
                          <w:color w:val="211F1F"/>
                        </w:rPr>
                        <w:t>(tenderer)</w:t>
                      </w:r>
                      <w:r>
                        <w:rPr>
                          <w:i/>
                          <w:color w:val="211F1F"/>
                          <w:spacing w:val="-1"/>
                        </w:rPr>
                        <w:t xml:space="preserve"> </w:t>
                      </w:r>
                      <w:r>
                        <w:rPr>
                          <w:i/>
                          <w:color w:val="211F1F"/>
                        </w:rPr>
                        <w:t>or</w:t>
                      </w:r>
                      <w:r>
                        <w:rPr>
                          <w:i/>
                          <w:color w:val="211F1F"/>
                          <w:spacing w:val="-5"/>
                        </w:rPr>
                        <w:t xml:space="preserve"> </w:t>
                      </w:r>
                      <w:r>
                        <w:rPr>
                          <w:i/>
                          <w:color w:val="211F1F"/>
                        </w:rPr>
                        <w:t>arrangements</w:t>
                      </w:r>
                      <w:r>
                        <w:rPr>
                          <w:i/>
                          <w:color w:val="211F1F"/>
                          <w:spacing w:val="-5"/>
                        </w:rPr>
                        <w:t xml:space="preserve"> </w:t>
                      </w:r>
                      <w:r>
                        <w:rPr>
                          <w:i/>
                          <w:color w:val="211F1F"/>
                        </w:rPr>
                        <w:t>or</w:t>
                      </w:r>
                      <w:r>
                        <w:rPr>
                          <w:i/>
                          <w:color w:val="211F1F"/>
                          <w:spacing w:val="-5"/>
                        </w:rPr>
                        <w:t xml:space="preserve"> </w:t>
                      </w:r>
                      <w:r>
                        <w:rPr>
                          <w:i/>
                          <w:color w:val="211F1F"/>
                        </w:rPr>
                        <w:t>a</w:t>
                      </w:r>
                      <w:r>
                        <w:rPr>
                          <w:i/>
                          <w:color w:val="211F1F"/>
                          <w:spacing w:val="-6"/>
                        </w:rPr>
                        <w:t xml:space="preserve"> </w:t>
                      </w:r>
                      <w:r>
                        <w:rPr>
                          <w:i/>
                          <w:color w:val="211F1F"/>
                        </w:rPr>
                        <w:t>natural</w:t>
                      </w:r>
                      <w:r>
                        <w:rPr>
                          <w:i/>
                          <w:color w:val="211F1F"/>
                          <w:spacing w:val="-4"/>
                        </w:rPr>
                        <w:t xml:space="preserve"> </w:t>
                      </w:r>
                      <w:r>
                        <w:rPr>
                          <w:i/>
                          <w:color w:val="211F1F"/>
                        </w:rPr>
                        <w:t>person</w:t>
                      </w:r>
                      <w:r>
                        <w:rPr>
                          <w:i/>
                          <w:color w:val="211F1F"/>
                          <w:spacing w:val="-6"/>
                        </w:rPr>
                        <w:t xml:space="preserve"> </w:t>
                      </w:r>
                      <w:r>
                        <w:rPr>
                          <w:i/>
                          <w:color w:val="211F1F"/>
                        </w:rPr>
                        <w:t>on</w:t>
                      </w:r>
                      <w:r>
                        <w:rPr>
                          <w:i/>
                          <w:color w:val="211F1F"/>
                          <w:spacing w:val="-6"/>
                        </w:rPr>
                        <w:t xml:space="preserve"> </w:t>
                      </w:r>
                      <w:r>
                        <w:rPr>
                          <w:i/>
                          <w:color w:val="211F1F"/>
                        </w:rPr>
                        <w:t>whose</w:t>
                      </w:r>
                      <w:r>
                        <w:rPr>
                          <w:i/>
                          <w:color w:val="211F1F"/>
                          <w:spacing w:val="-2"/>
                        </w:rPr>
                        <w:t xml:space="preserve"> </w:t>
                      </w:r>
                      <w:r>
                        <w:rPr>
                          <w:i/>
                          <w:color w:val="211F1F"/>
                        </w:rPr>
                        <w:t>behalf</w:t>
                      </w:r>
                      <w:r>
                        <w:rPr>
                          <w:i/>
                          <w:color w:val="211F1F"/>
                          <w:spacing w:val="-4"/>
                        </w:rPr>
                        <w:t xml:space="preserve"> </w:t>
                      </w:r>
                      <w:r>
                        <w:rPr>
                          <w:i/>
                          <w:color w:val="211F1F"/>
                        </w:rPr>
                        <w:t>a</w:t>
                      </w:r>
                      <w:r>
                        <w:rPr>
                          <w:i/>
                          <w:color w:val="211F1F"/>
                          <w:spacing w:val="-9"/>
                        </w:rPr>
                        <w:t xml:space="preserve"> </w:t>
                      </w:r>
                      <w:r>
                        <w:rPr>
                          <w:i/>
                          <w:color w:val="211F1F"/>
                        </w:rPr>
                        <w:t>transaction</w:t>
                      </w:r>
                      <w:r>
                        <w:rPr>
                          <w:i/>
                          <w:color w:val="211F1F"/>
                          <w:spacing w:val="-9"/>
                        </w:rPr>
                        <w:t xml:space="preserve"> </w:t>
                      </w:r>
                      <w:r>
                        <w:rPr>
                          <w:i/>
                          <w:color w:val="211F1F"/>
                        </w:rPr>
                        <w:t>is</w:t>
                      </w:r>
                      <w:r>
                        <w:rPr>
                          <w:i/>
                          <w:color w:val="211F1F"/>
                          <w:spacing w:val="-5"/>
                        </w:rPr>
                        <w:t xml:space="preserve"> </w:t>
                      </w:r>
                      <w:r>
                        <w:rPr>
                          <w:i/>
                          <w:color w:val="211F1F"/>
                        </w:rPr>
                        <w:t>conducted, and includes those persons who exercise ultimate effective control over a legal person (Tenderer) or arrangement.</w:t>
                      </w:r>
                    </w:p>
                  </w:txbxContent>
                </v:textbox>
                <w10:wrap type="topAndBottom" anchorx="page"/>
              </v:shape>
            </w:pict>
          </mc:Fallback>
        </mc:AlternateContent>
      </w:r>
    </w:p>
    <w:p w14:paraId="23EF9D24" w14:textId="77777777" w:rsidR="00BB77C0" w:rsidRDefault="00BB77C0">
      <w:pPr>
        <w:pStyle w:val="BodyText"/>
        <w:spacing w:before="127"/>
        <w:rPr>
          <w:b/>
          <w:sz w:val="24"/>
        </w:rPr>
      </w:pPr>
    </w:p>
    <w:p w14:paraId="3A6C2C45" w14:textId="77777777" w:rsidR="00BB77C0" w:rsidRDefault="00370BAA">
      <w:pPr>
        <w:tabs>
          <w:tab w:val="left" w:pos="6112"/>
          <w:tab w:val="left" w:pos="7226"/>
        </w:tabs>
        <w:spacing w:line="345" w:lineRule="auto"/>
        <w:ind w:left="360" w:right="2205"/>
      </w:pPr>
      <w:r>
        <w:rPr>
          <w:color w:val="211F1F"/>
        </w:rPr>
        <w:t>Tender Reference No.:</w:t>
      </w:r>
      <w:r>
        <w:rPr>
          <w:color w:val="211F1F"/>
          <w:u w:val="single" w:color="201E1F"/>
        </w:rPr>
        <w:tab/>
      </w:r>
      <w:r>
        <w:rPr>
          <w:color w:val="211F1F"/>
          <w:u w:val="single" w:color="201E1F"/>
        </w:rPr>
        <w:tab/>
      </w:r>
      <w:r>
        <w:rPr>
          <w:color w:val="211F1F"/>
          <w:spacing w:val="-2"/>
        </w:rPr>
        <w:t>[</w:t>
      </w:r>
      <w:r>
        <w:rPr>
          <w:i/>
          <w:color w:val="211F1F"/>
          <w:spacing w:val="-2"/>
        </w:rPr>
        <w:t>insert</w:t>
      </w:r>
      <w:r>
        <w:rPr>
          <w:i/>
          <w:color w:val="211F1F"/>
          <w:spacing w:val="-4"/>
        </w:rPr>
        <w:t xml:space="preserve"> </w:t>
      </w:r>
      <w:r>
        <w:rPr>
          <w:i/>
          <w:color w:val="211F1F"/>
          <w:spacing w:val="-2"/>
        </w:rPr>
        <w:t>identification</w:t>
      </w:r>
      <w:r>
        <w:rPr>
          <w:i/>
          <w:color w:val="211F1F"/>
          <w:spacing w:val="-11"/>
        </w:rPr>
        <w:t xml:space="preserve"> </w:t>
      </w:r>
      <w:r>
        <w:rPr>
          <w:i/>
          <w:color w:val="211F1F"/>
          <w:spacing w:val="-2"/>
        </w:rPr>
        <w:t>no</w:t>
      </w:r>
      <w:r>
        <w:rPr>
          <w:color w:val="211F1F"/>
          <w:spacing w:val="-2"/>
        </w:rPr>
        <w:t xml:space="preserve">] </w:t>
      </w:r>
      <w:r>
        <w:rPr>
          <w:color w:val="211F1F"/>
        </w:rPr>
        <w:t>Name of the Tender Title/Description:</w:t>
      </w:r>
      <w:r>
        <w:rPr>
          <w:i/>
          <w:color w:val="211F1F"/>
          <w:u w:val="single" w:color="201E1F"/>
        </w:rPr>
        <w:tab/>
      </w:r>
      <w:r>
        <w:rPr>
          <w:i/>
          <w:color w:val="211F1F"/>
        </w:rPr>
        <w:t xml:space="preserve">[insert name of the assignment] </w:t>
      </w:r>
      <w:r>
        <w:rPr>
          <w:color w:val="211F1F"/>
        </w:rPr>
        <w:t>to:</w:t>
      </w:r>
    </w:p>
    <w:p w14:paraId="62EB23C3" w14:textId="77777777" w:rsidR="00BB77C0" w:rsidRDefault="00370BAA">
      <w:pPr>
        <w:tabs>
          <w:tab w:val="left" w:pos="3788"/>
        </w:tabs>
        <w:spacing w:before="2"/>
        <w:ind w:left="360"/>
        <w:rPr>
          <w:i/>
        </w:rPr>
      </w:pPr>
      <w:r>
        <w:rPr>
          <w:i/>
          <w:color w:val="211F1F"/>
          <w:u w:val="single" w:color="201E1F"/>
        </w:rPr>
        <w:tab/>
      </w:r>
      <w:r>
        <w:rPr>
          <w:i/>
          <w:color w:val="211F1F"/>
        </w:rPr>
        <w:t>[insert</w:t>
      </w:r>
      <w:r>
        <w:rPr>
          <w:i/>
          <w:color w:val="211F1F"/>
          <w:spacing w:val="-11"/>
        </w:rPr>
        <w:t xml:space="preserve"> </w:t>
      </w:r>
      <w:r>
        <w:rPr>
          <w:i/>
          <w:color w:val="211F1F"/>
        </w:rPr>
        <w:t>complete</w:t>
      </w:r>
      <w:r>
        <w:rPr>
          <w:i/>
          <w:color w:val="211F1F"/>
          <w:spacing w:val="-7"/>
        </w:rPr>
        <w:t xml:space="preserve"> </w:t>
      </w:r>
      <w:r>
        <w:rPr>
          <w:i/>
          <w:color w:val="211F1F"/>
        </w:rPr>
        <w:t>name</w:t>
      </w:r>
      <w:r>
        <w:rPr>
          <w:i/>
          <w:color w:val="211F1F"/>
          <w:spacing w:val="-8"/>
        </w:rPr>
        <w:t xml:space="preserve"> </w:t>
      </w:r>
      <w:r>
        <w:rPr>
          <w:i/>
          <w:color w:val="211F1F"/>
        </w:rPr>
        <w:t>of</w:t>
      </w:r>
      <w:r>
        <w:rPr>
          <w:i/>
          <w:color w:val="211F1F"/>
          <w:spacing w:val="-9"/>
        </w:rPr>
        <w:t xml:space="preserve"> </w:t>
      </w:r>
      <w:r>
        <w:rPr>
          <w:i/>
          <w:color w:val="211F1F"/>
        </w:rPr>
        <w:t>Procuring</w:t>
      </w:r>
      <w:r>
        <w:rPr>
          <w:i/>
          <w:color w:val="211F1F"/>
          <w:spacing w:val="-5"/>
        </w:rPr>
        <w:t xml:space="preserve"> </w:t>
      </w:r>
      <w:r>
        <w:rPr>
          <w:i/>
          <w:color w:val="211F1F"/>
          <w:spacing w:val="-2"/>
        </w:rPr>
        <w:t>Entity]</w:t>
      </w:r>
    </w:p>
    <w:p w14:paraId="71C7E1BA" w14:textId="77777777" w:rsidR="00BB77C0" w:rsidRDefault="00BB77C0">
      <w:pPr>
        <w:pStyle w:val="BodyText"/>
        <w:spacing w:before="107"/>
        <w:rPr>
          <w:i/>
        </w:rPr>
      </w:pPr>
    </w:p>
    <w:p w14:paraId="1C2BA05F" w14:textId="77777777" w:rsidR="00BB77C0" w:rsidRDefault="00370BAA">
      <w:pPr>
        <w:tabs>
          <w:tab w:val="left" w:pos="6396"/>
        </w:tabs>
        <w:spacing w:line="230" w:lineRule="auto"/>
        <w:ind w:left="360" w:right="277"/>
        <w:jc w:val="both"/>
        <w:rPr>
          <w:i/>
        </w:rPr>
      </w:pPr>
      <w:r>
        <w:rPr>
          <w:color w:val="211F1F"/>
        </w:rPr>
        <w:t>In response to the requirement in your notification of award dated</w:t>
      </w:r>
      <w:r>
        <w:rPr>
          <w:color w:val="211F1F"/>
          <w:spacing w:val="40"/>
          <w:u w:val="single" w:color="201E1F"/>
        </w:rPr>
        <w:t xml:space="preserve"> </w:t>
      </w:r>
      <w:r>
        <w:rPr>
          <w:i/>
          <w:color w:val="211F1F"/>
        </w:rPr>
        <w:t>[insert</w:t>
      </w:r>
      <w:r>
        <w:rPr>
          <w:i/>
          <w:color w:val="211F1F"/>
          <w:spacing w:val="40"/>
        </w:rPr>
        <w:t xml:space="preserve"> </w:t>
      </w:r>
      <w:r>
        <w:rPr>
          <w:i/>
          <w:color w:val="211F1F"/>
        </w:rPr>
        <w:t>date</w:t>
      </w:r>
      <w:r>
        <w:rPr>
          <w:i/>
          <w:color w:val="211F1F"/>
          <w:spacing w:val="40"/>
        </w:rPr>
        <w:t xml:space="preserve"> </w:t>
      </w:r>
      <w:r>
        <w:rPr>
          <w:i/>
          <w:color w:val="211F1F"/>
        </w:rPr>
        <w:t>of</w:t>
      </w:r>
      <w:r>
        <w:rPr>
          <w:i/>
          <w:color w:val="211F1F"/>
          <w:spacing w:val="40"/>
        </w:rPr>
        <w:t xml:space="preserve"> </w:t>
      </w:r>
      <w:r>
        <w:rPr>
          <w:i/>
          <w:color w:val="211F1F"/>
        </w:rPr>
        <w:t>notification</w:t>
      </w:r>
      <w:r>
        <w:rPr>
          <w:i/>
          <w:color w:val="211F1F"/>
          <w:spacing w:val="40"/>
        </w:rPr>
        <w:t xml:space="preserve"> </w:t>
      </w:r>
      <w:r>
        <w:rPr>
          <w:i/>
          <w:color w:val="211F1F"/>
        </w:rPr>
        <w:t>of</w:t>
      </w:r>
      <w:r>
        <w:rPr>
          <w:i/>
          <w:color w:val="211F1F"/>
          <w:spacing w:val="40"/>
        </w:rPr>
        <w:t xml:space="preserve"> </w:t>
      </w:r>
      <w:r>
        <w:rPr>
          <w:i/>
          <w:color w:val="211F1F"/>
        </w:rPr>
        <w:t>award]</w:t>
      </w:r>
      <w:r>
        <w:rPr>
          <w:i/>
          <w:color w:val="211F1F"/>
          <w:spacing w:val="40"/>
        </w:rPr>
        <w:t xml:space="preserve"> </w:t>
      </w:r>
      <w:r>
        <w:rPr>
          <w:color w:val="211F1F"/>
        </w:rPr>
        <w:t>to</w:t>
      </w:r>
      <w:r>
        <w:rPr>
          <w:color w:val="211F1F"/>
          <w:spacing w:val="40"/>
        </w:rPr>
        <w:t xml:space="preserve"> </w:t>
      </w:r>
      <w:r>
        <w:rPr>
          <w:color w:val="211F1F"/>
        </w:rPr>
        <w:t>furnish additional information on beneficial ownership:</w:t>
      </w:r>
      <w:r>
        <w:rPr>
          <w:i/>
          <w:color w:val="211F1F"/>
          <w:u w:val="single" w:color="201E1F"/>
        </w:rPr>
        <w:tab/>
      </w:r>
      <w:r>
        <w:rPr>
          <w:i/>
          <w:color w:val="211F1F"/>
        </w:rPr>
        <w:t>[select one option as applicable and delete the options that are not applicable]</w:t>
      </w:r>
    </w:p>
    <w:p w14:paraId="50B42378" w14:textId="77777777" w:rsidR="00BB77C0" w:rsidRDefault="00370BAA">
      <w:pPr>
        <w:pStyle w:val="ListParagraph"/>
        <w:numPr>
          <w:ilvl w:val="0"/>
          <w:numId w:val="6"/>
        </w:numPr>
        <w:tabs>
          <w:tab w:val="left" w:pos="893"/>
        </w:tabs>
        <w:spacing w:before="238"/>
        <w:rPr>
          <w:color w:val="211F1F"/>
        </w:rPr>
      </w:pPr>
      <w:r>
        <w:rPr>
          <w:color w:val="211F1F"/>
        </w:rPr>
        <w:t>We</w:t>
      </w:r>
      <w:r>
        <w:rPr>
          <w:color w:val="211F1F"/>
          <w:spacing w:val="-26"/>
        </w:rPr>
        <w:t xml:space="preserve"> </w:t>
      </w:r>
      <w:r>
        <w:rPr>
          <w:color w:val="211F1F"/>
        </w:rPr>
        <w:t>here</w:t>
      </w:r>
      <w:r>
        <w:rPr>
          <w:color w:val="211F1F"/>
          <w:spacing w:val="-18"/>
        </w:rPr>
        <w:t xml:space="preserve"> </w:t>
      </w:r>
      <w:r>
        <w:rPr>
          <w:color w:val="211F1F"/>
        </w:rPr>
        <w:t>by</w:t>
      </w:r>
      <w:r>
        <w:rPr>
          <w:color w:val="211F1F"/>
          <w:spacing w:val="-14"/>
        </w:rPr>
        <w:t xml:space="preserve"> </w:t>
      </w:r>
      <w:r>
        <w:rPr>
          <w:color w:val="211F1F"/>
        </w:rPr>
        <w:t>provide</w:t>
      </w:r>
      <w:r>
        <w:rPr>
          <w:color w:val="211F1F"/>
          <w:spacing w:val="-11"/>
        </w:rPr>
        <w:t xml:space="preserve"> </w:t>
      </w:r>
      <w:r>
        <w:rPr>
          <w:color w:val="211F1F"/>
        </w:rPr>
        <w:t>the</w:t>
      </w:r>
      <w:r>
        <w:rPr>
          <w:color w:val="211F1F"/>
          <w:spacing w:val="-12"/>
        </w:rPr>
        <w:t xml:space="preserve"> </w:t>
      </w:r>
      <w:r>
        <w:rPr>
          <w:color w:val="211F1F"/>
        </w:rPr>
        <w:t>following</w:t>
      </w:r>
      <w:r>
        <w:rPr>
          <w:color w:val="211F1F"/>
          <w:spacing w:val="-8"/>
        </w:rPr>
        <w:t xml:space="preserve"> </w:t>
      </w:r>
      <w:r>
        <w:rPr>
          <w:color w:val="211F1F"/>
        </w:rPr>
        <w:t>beneficial</w:t>
      </w:r>
      <w:r>
        <w:rPr>
          <w:color w:val="211F1F"/>
          <w:spacing w:val="-9"/>
        </w:rPr>
        <w:t xml:space="preserve"> </w:t>
      </w:r>
      <w:r>
        <w:rPr>
          <w:color w:val="211F1F"/>
        </w:rPr>
        <w:t>ownership</w:t>
      </w:r>
      <w:r>
        <w:rPr>
          <w:color w:val="211F1F"/>
          <w:spacing w:val="-9"/>
        </w:rPr>
        <w:t xml:space="preserve"> </w:t>
      </w:r>
      <w:r>
        <w:rPr>
          <w:color w:val="211F1F"/>
          <w:spacing w:val="-2"/>
        </w:rPr>
        <w:t>information.</w:t>
      </w:r>
    </w:p>
    <w:p w14:paraId="29C18CF5" w14:textId="77777777" w:rsidR="00BB77C0" w:rsidRDefault="00370BAA">
      <w:pPr>
        <w:pStyle w:val="Heading7"/>
        <w:spacing w:before="236" w:after="6"/>
        <w:ind w:left="274"/>
        <w:jc w:val="both"/>
      </w:pPr>
      <w:bookmarkStart w:id="260" w:name="Details_of_beneficial_ownership"/>
      <w:bookmarkEnd w:id="260"/>
      <w:r>
        <w:rPr>
          <w:color w:val="211F1F"/>
          <w:spacing w:val="-2"/>
        </w:rPr>
        <w:t>Details</w:t>
      </w:r>
      <w:r>
        <w:rPr>
          <w:color w:val="211F1F"/>
        </w:rPr>
        <w:t xml:space="preserve"> </w:t>
      </w:r>
      <w:r>
        <w:rPr>
          <w:color w:val="211F1F"/>
          <w:spacing w:val="-2"/>
        </w:rPr>
        <w:t>of</w:t>
      </w:r>
      <w:r>
        <w:rPr>
          <w:color w:val="211F1F"/>
          <w:spacing w:val="-8"/>
        </w:rPr>
        <w:t xml:space="preserve"> </w:t>
      </w:r>
      <w:r>
        <w:rPr>
          <w:color w:val="211F1F"/>
          <w:spacing w:val="-2"/>
        </w:rPr>
        <w:t>beneficial</w:t>
      </w:r>
      <w:r>
        <w:rPr>
          <w:color w:val="211F1F"/>
          <w:spacing w:val="3"/>
        </w:rPr>
        <w:t xml:space="preserve"> </w:t>
      </w:r>
      <w:r>
        <w:rPr>
          <w:color w:val="211F1F"/>
          <w:spacing w:val="-2"/>
        </w:rPr>
        <w:t>ownership</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
        <w:gridCol w:w="1704"/>
        <w:gridCol w:w="1800"/>
        <w:gridCol w:w="1257"/>
        <w:gridCol w:w="1622"/>
        <w:gridCol w:w="2155"/>
        <w:gridCol w:w="1805"/>
      </w:tblGrid>
      <w:tr w:rsidR="00BB77C0" w14:paraId="70C56D02" w14:textId="77777777">
        <w:trPr>
          <w:trHeight w:val="1881"/>
        </w:trPr>
        <w:tc>
          <w:tcPr>
            <w:tcW w:w="451" w:type="dxa"/>
          </w:tcPr>
          <w:p w14:paraId="01496F18" w14:textId="77777777" w:rsidR="00BB77C0" w:rsidRDefault="00BB77C0">
            <w:pPr>
              <w:pStyle w:val="TableParagraph"/>
              <w:rPr>
                <w:sz w:val="20"/>
              </w:rPr>
            </w:pPr>
          </w:p>
        </w:tc>
        <w:tc>
          <w:tcPr>
            <w:tcW w:w="3504" w:type="dxa"/>
            <w:gridSpan w:val="2"/>
          </w:tcPr>
          <w:p w14:paraId="7937A842" w14:textId="77777777" w:rsidR="00BB77C0" w:rsidRDefault="00370BAA">
            <w:pPr>
              <w:pStyle w:val="TableParagraph"/>
              <w:spacing w:line="207" w:lineRule="exact"/>
              <w:ind w:left="110"/>
              <w:rPr>
                <w:b/>
                <w:sz w:val="18"/>
              </w:rPr>
            </w:pPr>
            <w:r>
              <w:rPr>
                <w:b/>
                <w:sz w:val="18"/>
              </w:rPr>
              <w:t>Details</w:t>
            </w:r>
            <w:r>
              <w:rPr>
                <w:b/>
                <w:spacing w:val="-3"/>
                <w:sz w:val="18"/>
              </w:rPr>
              <w:t xml:space="preserve"> </w:t>
            </w:r>
            <w:r>
              <w:rPr>
                <w:b/>
                <w:sz w:val="18"/>
              </w:rPr>
              <w:t>of</w:t>
            </w:r>
            <w:r>
              <w:rPr>
                <w:b/>
                <w:spacing w:val="-4"/>
                <w:sz w:val="18"/>
              </w:rPr>
              <w:t xml:space="preserve"> </w:t>
            </w:r>
            <w:r>
              <w:rPr>
                <w:b/>
                <w:sz w:val="18"/>
              </w:rPr>
              <w:t>all</w:t>
            </w:r>
            <w:r>
              <w:rPr>
                <w:b/>
                <w:spacing w:val="-8"/>
                <w:sz w:val="18"/>
              </w:rPr>
              <w:t xml:space="preserve"> </w:t>
            </w:r>
            <w:r>
              <w:rPr>
                <w:b/>
                <w:sz w:val="18"/>
              </w:rPr>
              <w:t>Beneficial</w:t>
            </w:r>
            <w:r>
              <w:rPr>
                <w:b/>
                <w:spacing w:val="-5"/>
                <w:sz w:val="18"/>
              </w:rPr>
              <w:t xml:space="preserve"> </w:t>
            </w:r>
            <w:r>
              <w:rPr>
                <w:b/>
                <w:spacing w:val="-2"/>
                <w:sz w:val="18"/>
              </w:rPr>
              <w:t>Owners</w:t>
            </w:r>
          </w:p>
        </w:tc>
        <w:tc>
          <w:tcPr>
            <w:tcW w:w="1257" w:type="dxa"/>
          </w:tcPr>
          <w:p w14:paraId="673EE330" w14:textId="77777777" w:rsidR="00BB77C0" w:rsidRDefault="00370BAA">
            <w:pPr>
              <w:pStyle w:val="TableParagraph"/>
              <w:ind w:left="111" w:right="173"/>
              <w:rPr>
                <w:b/>
                <w:sz w:val="18"/>
              </w:rPr>
            </w:pPr>
            <w:r>
              <w:rPr>
                <w:b/>
                <w:sz w:val="18"/>
              </w:rPr>
              <w:t>%</w:t>
            </w:r>
            <w:r>
              <w:rPr>
                <w:b/>
                <w:spacing w:val="-2"/>
                <w:sz w:val="18"/>
              </w:rPr>
              <w:t xml:space="preserve"> </w:t>
            </w:r>
            <w:r>
              <w:rPr>
                <w:b/>
                <w:sz w:val="18"/>
              </w:rPr>
              <w:t>of</w:t>
            </w:r>
            <w:r>
              <w:rPr>
                <w:b/>
                <w:spacing w:val="-15"/>
                <w:sz w:val="18"/>
              </w:rPr>
              <w:t xml:space="preserve"> </w:t>
            </w:r>
            <w:r>
              <w:rPr>
                <w:b/>
                <w:sz w:val="18"/>
              </w:rPr>
              <w:t>shares a</w:t>
            </w:r>
            <w:r>
              <w:rPr>
                <w:b/>
                <w:spacing w:val="-12"/>
                <w:sz w:val="18"/>
              </w:rPr>
              <w:t xml:space="preserve"> </w:t>
            </w:r>
            <w:r>
              <w:rPr>
                <w:b/>
                <w:sz w:val="18"/>
              </w:rPr>
              <w:t>person holds</w:t>
            </w:r>
            <w:r>
              <w:rPr>
                <w:b/>
                <w:spacing w:val="-3"/>
                <w:sz w:val="18"/>
              </w:rPr>
              <w:t xml:space="preserve"> </w:t>
            </w:r>
            <w:r>
              <w:rPr>
                <w:b/>
                <w:sz w:val="18"/>
              </w:rPr>
              <w:t>in</w:t>
            </w:r>
            <w:r>
              <w:rPr>
                <w:b/>
                <w:spacing w:val="-5"/>
                <w:sz w:val="18"/>
              </w:rPr>
              <w:t xml:space="preserve"> </w:t>
            </w:r>
            <w:r>
              <w:rPr>
                <w:b/>
                <w:sz w:val="18"/>
              </w:rPr>
              <w:t xml:space="preserve">the </w:t>
            </w:r>
            <w:r>
              <w:rPr>
                <w:b/>
                <w:spacing w:val="-2"/>
                <w:sz w:val="18"/>
              </w:rPr>
              <w:t xml:space="preserve">company </w:t>
            </w:r>
            <w:r>
              <w:rPr>
                <w:b/>
                <w:sz w:val="18"/>
              </w:rPr>
              <w:t xml:space="preserve">Directly or </w:t>
            </w:r>
            <w:r>
              <w:rPr>
                <w:b/>
                <w:spacing w:val="-2"/>
                <w:sz w:val="18"/>
              </w:rPr>
              <w:t>indirectly</w:t>
            </w:r>
          </w:p>
        </w:tc>
        <w:tc>
          <w:tcPr>
            <w:tcW w:w="1622" w:type="dxa"/>
          </w:tcPr>
          <w:p w14:paraId="729E8D83" w14:textId="77777777" w:rsidR="00BB77C0" w:rsidRDefault="00370BAA">
            <w:pPr>
              <w:pStyle w:val="TableParagraph"/>
              <w:ind w:left="112" w:right="206"/>
              <w:rPr>
                <w:b/>
                <w:sz w:val="18"/>
              </w:rPr>
            </w:pPr>
            <w:r>
              <w:rPr>
                <w:b/>
                <w:sz w:val="18"/>
              </w:rPr>
              <w:t xml:space="preserve">% of voting </w:t>
            </w:r>
            <w:r>
              <w:rPr>
                <w:b/>
                <w:spacing w:val="-6"/>
                <w:sz w:val="18"/>
              </w:rPr>
              <w:t>rights</w:t>
            </w:r>
            <w:r>
              <w:rPr>
                <w:b/>
                <w:spacing w:val="-11"/>
                <w:sz w:val="18"/>
              </w:rPr>
              <w:t xml:space="preserve"> </w:t>
            </w:r>
            <w:r>
              <w:rPr>
                <w:b/>
                <w:spacing w:val="-6"/>
                <w:sz w:val="18"/>
              </w:rPr>
              <w:t>a</w:t>
            </w:r>
            <w:r>
              <w:rPr>
                <w:b/>
                <w:spacing w:val="-16"/>
                <w:sz w:val="18"/>
              </w:rPr>
              <w:t xml:space="preserve"> </w:t>
            </w:r>
            <w:r>
              <w:rPr>
                <w:b/>
                <w:spacing w:val="-6"/>
                <w:sz w:val="18"/>
              </w:rPr>
              <w:t>person</w:t>
            </w:r>
            <w:r>
              <w:rPr>
                <w:b/>
                <w:sz w:val="18"/>
              </w:rPr>
              <w:t xml:space="preserve"> holds in the </w:t>
            </w:r>
            <w:r>
              <w:rPr>
                <w:b/>
                <w:spacing w:val="-2"/>
                <w:sz w:val="18"/>
              </w:rPr>
              <w:t>company</w:t>
            </w:r>
          </w:p>
        </w:tc>
        <w:tc>
          <w:tcPr>
            <w:tcW w:w="2155" w:type="dxa"/>
          </w:tcPr>
          <w:p w14:paraId="47A7DC11" w14:textId="77777777" w:rsidR="00BB77C0" w:rsidRDefault="00370BAA">
            <w:pPr>
              <w:pStyle w:val="TableParagraph"/>
              <w:ind w:left="113" w:right="78"/>
              <w:jc w:val="both"/>
              <w:rPr>
                <w:b/>
                <w:sz w:val="18"/>
              </w:rPr>
            </w:pPr>
            <w:r>
              <w:rPr>
                <w:b/>
                <w:sz w:val="18"/>
              </w:rPr>
              <w:t>Whether a person directly or indirectly holds a right to appoint or remove a member of the board of directors of the company or an equivalent governing body</w:t>
            </w:r>
            <w:r>
              <w:rPr>
                <w:b/>
                <w:spacing w:val="78"/>
                <w:w w:val="150"/>
                <w:sz w:val="18"/>
              </w:rPr>
              <w:t xml:space="preserve"> </w:t>
            </w:r>
            <w:r>
              <w:rPr>
                <w:b/>
                <w:sz w:val="18"/>
              </w:rPr>
              <w:t>of</w:t>
            </w:r>
            <w:r>
              <w:rPr>
                <w:b/>
                <w:spacing w:val="31"/>
                <w:sz w:val="18"/>
              </w:rPr>
              <w:t xml:space="preserve">  </w:t>
            </w:r>
            <w:r>
              <w:rPr>
                <w:b/>
                <w:sz w:val="18"/>
              </w:rPr>
              <w:t>the</w:t>
            </w:r>
            <w:r>
              <w:rPr>
                <w:b/>
                <w:spacing w:val="78"/>
                <w:w w:val="150"/>
                <w:sz w:val="18"/>
              </w:rPr>
              <w:t xml:space="preserve"> </w:t>
            </w:r>
            <w:r>
              <w:rPr>
                <w:b/>
                <w:spacing w:val="-2"/>
                <w:sz w:val="18"/>
              </w:rPr>
              <w:t>Tenderer</w:t>
            </w:r>
          </w:p>
          <w:p w14:paraId="0DB24D39" w14:textId="77777777" w:rsidR="00BB77C0" w:rsidRDefault="00370BAA">
            <w:pPr>
              <w:pStyle w:val="TableParagraph"/>
              <w:spacing w:line="206" w:lineRule="exact"/>
              <w:ind w:left="113"/>
              <w:jc w:val="both"/>
              <w:rPr>
                <w:sz w:val="20"/>
              </w:rPr>
            </w:pPr>
            <w:r>
              <w:rPr>
                <w:sz w:val="20"/>
              </w:rPr>
              <w:t>(Yes</w:t>
            </w:r>
            <w:r>
              <w:rPr>
                <w:spacing w:val="-7"/>
                <w:sz w:val="20"/>
              </w:rPr>
              <w:t xml:space="preserve"> </w:t>
            </w:r>
            <w:r>
              <w:rPr>
                <w:sz w:val="20"/>
              </w:rPr>
              <w:t>/</w:t>
            </w:r>
            <w:r>
              <w:rPr>
                <w:spacing w:val="1"/>
                <w:sz w:val="20"/>
              </w:rPr>
              <w:t xml:space="preserve"> </w:t>
            </w:r>
            <w:r>
              <w:rPr>
                <w:spacing w:val="-5"/>
                <w:sz w:val="20"/>
              </w:rPr>
              <w:t>No)</w:t>
            </w:r>
          </w:p>
        </w:tc>
        <w:tc>
          <w:tcPr>
            <w:tcW w:w="1805" w:type="dxa"/>
          </w:tcPr>
          <w:p w14:paraId="0C493D68" w14:textId="77777777" w:rsidR="00BB77C0" w:rsidRDefault="00370BAA">
            <w:pPr>
              <w:pStyle w:val="TableParagraph"/>
              <w:ind w:left="114" w:right="203"/>
              <w:rPr>
                <w:b/>
                <w:sz w:val="18"/>
              </w:rPr>
            </w:pPr>
            <w:r>
              <w:rPr>
                <w:b/>
                <w:sz w:val="18"/>
              </w:rPr>
              <w:t>Whether a person directly or indirectly</w:t>
            </w:r>
            <w:r>
              <w:rPr>
                <w:b/>
                <w:spacing w:val="-12"/>
                <w:sz w:val="18"/>
              </w:rPr>
              <w:t xml:space="preserve"> </w:t>
            </w:r>
            <w:r>
              <w:rPr>
                <w:b/>
                <w:sz w:val="18"/>
              </w:rPr>
              <w:t xml:space="preserve">exercises </w:t>
            </w:r>
            <w:r>
              <w:rPr>
                <w:b/>
                <w:spacing w:val="-4"/>
                <w:sz w:val="18"/>
              </w:rPr>
              <w:t>significant</w:t>
            </w:r>
            <w:r>
              <w:rPr>
                <w:b/>
                <w:spacing w:val="-8"/>
                <w:sz w:val="18"/>
              </w:rPr>
              <w:t xml:space="preserve"> </w:t>
            </w:r>
            <w:r>
              <w:rPr>
                <w:b/>
                <w:spacing w:val="-4"/>
                <w:sz w:val="18"/>
              </w:rPr>
              <w:t xml:space="preserve">influence </w:t>
            </w:r>
            <w:r>
              <w:rPr>
                <w:b/>
                <w:sz w:val="18"/>
              </w:rPr>
              <w:t>or</w:t>
            </w:r>
            <w:r>
              <w:rPr>
                <w:b/>
                <w:spacing w:val="-4"/>
                <w:sz w:val="18"/>
              </w:rPr>
              <w:t xml:space="preserve"> </w:t>
            </w:r>
            <w:r>
              <w:rPr>
                <w:b/>
                <w:sz w:val="18"/>
              </w:rPr>
              <w:t xml:space="preserve">control over the </w:t>
            </w:r>
            <w:r>
              <w:rPr>
                <w:b/>
                <w:spacing w:val="-6"/>
                <w:sz w:val="18"/>
              </w:rPr>
              <w:t>Company</w:t>
            </w:r>
            <w:r>
              <w:rPr>
                <w:b/>
                <w:spacing w:val="-21"/>
                <w:sz w:val="18"/>
              </w:rPr>
              <w:t xml:space="preserve"> </w:t>
            </w:r>
            <w:r>
              <w:rPr>
                <w:b/>
                <w:spacing w:val="-6"/>
                <w:sz w:val="18"/>
              </w:rPr>
              <w:t>(tenderer)</w:t>
            </w:r>
            <w:r>
              <w:rPr>
                <w:b/>
                <w:sz w:val="18"/>
              </w:rPr>
              <w:t xml:space="preserve"> (Yes / No)</w:t>
            </w:r>
          </w:p>
        </w:tc>
      </w:tr>
      <w:tr w:rsidR="00BB77C0" w14:paraId="152863E4" w14:textId="77777777">
        <w:trPr>
          <w:trHeight w:val="350"/>
        </w:trPr>
        <w:tc>
          <w:tcPr>
            <w:tcW w:w="451" w:type="dxa"/>
            <w:vMerge w:val="restart"/>
          </w:tcPr>
          <w:p w14:paraId="60F3E8B3" w14:textId="77777777" w:rsidR="00BB77C0" w:rsidRDefault="00BB77C0">
            <w:pPr>
              <w:pStyle w:val="TableParagraph"/>
              <w:rPr>
                <w:b/>
                <w:sz w:val="20"/>
              </w:rPr>
            </w:pPr>
          </w:p>
          <w:p w14:paraId="0833085A" w14:textId="77777777" w:rsidR="00BB77C0" w:rsidRDefault="00BB77C0">
            <w:pPr>
              <w:pStyle w:val="TableParagraph"/>
              <w:rPr>
                <w:b/>
                <w:sz w:val="20"/>
              </w:rPr>
            </w:pPr>
          </w:p>
          <w:p w14:paraId="28D418B3" w14:textId="77777777" w:rsidR="00BB77C0" w:rsidRDefault="00BB77C0">
            <w:pPr>
              <w:pStyle w:val="TableParagraph"/>
              <w:rPr>
                <w:b/>
                <w:sz w:val="20"/>
              </w:rPr>
            </w:pPr>
          </w:p>
          <w:p w14:paraId="6BC440C0" w14:textId="77777777" w:rsidR="00BB77C0" w:rsidRDefault="00BB77C0">
            <w:pPr>
              <w:pStyle w:val="TableParagraph"/>
              <w:spacing w:before="2"/>
              <w:rPr>
                <w:b/>
                <w:sz w:val="20"/>
              </w:rPr>
            </w:pPr>
          </w:p>
          <w:p w14:paraId="62F4E8A7" w14:textId="77777777" w:rsidR="00BB77C0" w:rsidRDefault="00370BAA">
            <w:pPr>
              <w:pStyle w:val="TableParagraph"/>
              <w:ind w:left="110"/>
              <w:rPr>
                <w:b/>
                <w:sz w:val="20"/>
              </w:rPr>
            </w:pPr>
            <w:r>
              <w:rPr>
                <w:b/>
                <w:spacing w:val="-5"/>
                <w:sz w:val="20"/>
              </w:rPr>
              <w:t>1.</w:t>
            </w:r>
          </w:p>
        </w:tc>
        <w:tc>
          <w:tcPr>
            <w:tcW w:w="1704" w:type="dxa"/>
          </w:tcPr>
          <w:p w14:paraId="688E45E0" w14:textId="77777777" w:rsidR="00BB77C0" w:rsidRDefault="00370BAA">
            <w:pPr>
              <w:pStyle w:val="TableParagraph"/>
              <w:spacing w:before="58"/>
              <w:ind w:left="110"/>
              <w:rPr>
                <w:sz w:val="20"/>
              </w:rPr>
            </w:pPr>
            <w:r>
              <w:rPr>
                <w:spacing w:val="-5"/>
                <w:sz w:val="20"/>
              </w:rPr>
              <w:t>Full</w:t>
            </w:r>
            <w:r>
              <w:rPr>
                <w:spacing w:val="-7"/>
                <w:sz w:val="20"/>
              </w:rPr>
              <w:t xml:space="preserve"> </w:t>
            </w:r>
            <w:r>
              <w:rPr>
                <w:spacing w:val="-4"/>
                <w:sz w:val="20"/>
              </w:rPr>
              <w:t>Name</w:t>
            </w:r>
          </w:p>
        </w:tc>
        <w:tc>
          <w:tcPr>
            <w:tcW w:w="1800" w:type="dxa"/>
          </w:tcPr>
          <w:p w14:paraId="351BA234" w14:textId="77777777" w:rsidR="00BB77C0" w:rsidRDefault="00BB77C0">
            <w:pPr>
              <w:pStyle w:val="TableParagraph"/>
              <w:rPr>
                <w:sz w:val="20"/>
              </w:rPr>
            </w:pPr>
          </w:p>
        </w:tc>
        <w:tc>
          <w:tcPr>
            <w:tcW w:w="1257" w:type="dxa"/>
            <w:vMerge w:val="restart"/>
            <w:tcBorders>
              <w:bottom w:val="nil"/>
            </w:tcBorders>
          </w:tcPr>
          <w:p w14:paraId="002A7A17" w14:textId="77777777" w:rsidR="00BB77C0" w:rsidRDefault="00370BAA">
            <w:pPr>
              <w:pStyle w:val="TableParagraph"/>
              <w:spacing w:before="58"/>
              <w:ind w:left="111"/>
              <w:rPr>
                <w:sz w:val="20"/>
              </w:rPr>
            </w:pPr>
            <w:r>
              <w:rPr>
                <w:spacing w:val="-6"/>
                <w:sz w:val="20"/>
              </w:rPr>
              <w:t>Directly-----</w:t>
            </w:r>
            <w:r>
              <w:rPr>
                <w:spacing w:val="-10"/>
                <w:sz w:val="20"/>
              </w:rPr>
              <w:t>-</w:t>
            </w:r>
          </w:p>
          <w:p w14:paraId="789A659F" w14:textId="77777777" w:rsidR="00BB77C0" w:rsidRDefault="00370BAA">
            <w:pPr>
              <w:pStyle w:val="TableParagraph"/>
              <w:tabs>
                <w:tab w:val="left" w:pos="832"/>
              </w:tabs>
              <w:ind w:left="111"/>
              <w:rPr>
                <w:sz w:val="20"/>
              </w:rPr>
            </w:pPr>
            <w:r>
              <w:rPr>
                <w:spacing w:val="-6"/>
                <w:sz w:val="20"/>
              </w:rPr>
              <w:t>----</w:t>
            </w:r>
            <w:r>
              <w:rPr>
                <w:spacing w:val="-10"/>
                <w:sz w:val="20"/>
              </w:rPr>
              <w:t>-</w:t>
            </w:r>
            <w:r>
              <w:rPr>
                <w:sz w:val="20"/>
              </w:rPr>
              <w:tab/>
            </w:r>
            <w:r>
              <w:rPr>
                <w:spacing w:val="-10"/>
                <w:sz w:val="20"/>
              </w:rPr>
              <w:t>%</w:t>
            </w:r>
          </w:p>
          <w:p w14:paraId="5639777A" w14:textId="77777777" w:rsidR="00BB77C0" w:rsidRDefault="00370BAA">
            <w:pPr>
              <w:pStyle w:val="TableParagraph"/>
              <w:ind w:left="111"/>
              <w:rPr>
                <w:sz w:val="20"/>
              </w:rPr>
            </w:pPr>
            <w:r>
              <w:rPr>
                <w:sz w:val="20"/>
              </w:rPr>
              <w:t>of</w:t>
            </w:r>
            <w:r>
              <w:rPr>
                <w:spacing w:val="-7"/>
                <w:sz w:val="20"/>
              </w:rPr>
              <w:t xml:space="preserve"> </w:t>
            </w:r>
            <w:r>
              <w:rPr>
                <w:spacing w:val="-2"/>
                <w:sz w:val="20"/>
              </w:rPr>
              <w:t>shares</w:t>
            </w:r>
          </w:p>
        </w:tc>
        <w:tc>
          <w:tcPr>
            <w:tcW w:w="1622" w:type="dxa"/>
            <w:vMerge w:val="restart"/>
          </w:tcPr>
          <w:p w14:paraId="75A96F24" w14:textId="77777777" w:rsidR="00BB77C0" w:rsidRDefault="00370BAA">
            <w:pPr>
              <w:pStyle w:val="TableParagraph"/>
              <w:spacing w:before="58"/>
              <w:ind w:left="112"/>
              <w:rPr>
                <w:sz w:val="20"/>
              </w:rPr>
            </w:pPr>
            <w:r>
              <w:rPr>
                <w:spacing w:val="-2"/>
                <w:sz w:val="20"/>
              </w:rPr>
              <w:t>Directly………</w:t>
            </w:r>
          </w:p>
          <w:p w14:paraId="0019A088" w14:textId="77777777" w:rsidR="00BB77C0" w:rsidRDefault="00370BAA">
            <w:pPr>
              <w:pStyle w:val="TableParagraph"/>
              <w:ind w:left="112" w:right="139"/>
              <w:rPr>
                <w:sz w:val="20"/>
              </w:rPr>
            </w:pPr>
            <w:r>
              <w:rPr>
                <w:spacing w:val="-2"/>
                <w:sz w:val="20"/>
              </w:rPr>
              <w:t>…….%</w:t>
            </w:r>
            <w:r>
              <w:rPr>
                <w:spacing w:val="-18"/>
                <w:sz w:val="20"/>
              </w:rPr>
              <w:t xml:space="preserve"> </w:t>
            </w:r>
            <w:r>
              <w:rPr>
                <w:spacing w:val="-2"/>
                <w:sz w:val="20"/>
              </w:rPr>
              <w:t>of</w:t>
            </w:r>
            <w:r>
              <w:rPr>
                <w:spacing w:val="-12"/>
                <w:sz w:val="20"/>
              </w:rPr>
              <w:t xml:space="preserve"> </w:t>
            </w:r>
            <w:r>
              <w:rPr>
                <w:spacing w:val="-2"/>
                <w:sz w:val="20"/>
              </w:rPr>
              <w:t>voting rights</w:t>
            </w:r>
          </w:p>
          <w:p w14:paraId="72303CF9" w14:textId="77777777" w:rsidR="00BB77C0" w:rsidRDefault="00BB77C0">
            <w:pPr>
              <w:pStyle w:val="TableParagraph"/>
              <w:spacing w:before="122"/>
              <w:rPr>
                <w:b/>
                <w:sz w:val="20"/>
              </w:rPr>
            </w:pPr>
          </w:p>
          <w:p w14:paraId="3FA005CF" w14:textId="77777777" w:rsidR="00BB77C0" w:rsidRDefault="00370BAA">
            <w:pPr>
              <w:pStyle w:val="TableParagraph"/>
              <w:ind w:left="112"/>
              <w:rPr>
                <w:sz w:val="20"/>
              </w:rPr>
            </w:pPr>
            <w:r>
              <w:rPr>
                <w:spacing w:val="-6"/>
                <w:sz w:val="20"/>
              </w:rPr>
              <w:t>Indirectly---------</w:t>
            </w:r>
            <w:r>
              <w:rPr>
                <w:spacing w:val="-10"/>
                <w:sz w:val="20"/>
              </w:rPr>
              <w:t>-</w:t>
            </w:r>
          </w:p>
          <w:p w14:paraId="790BA64B" w14:textId="77777777" w:rsidR="00BB77C0" w:rsidRDefault="00370BAA">
            <w:pPr>
              <w:pStyle w:val="TableParagraph"/>
              <w:ind w:left="112" w:right="206"/>
              <w:rPr>
                <w:sz w:val="20"/>
              </w:rPr>
            </w:pPr>
            <w:r>
              <w:rPr>
                <w:spacing w:val="-4"/>
                <w:sz w:val="20"/>
              </w:rPr>
              <w:t>%</w:t>
            </w:r>
            <w:r>
              <w:rPr>
                <w:spacing w:val="-14"/>
                <w:sz w:val="20"/>
              </w:rPr>
              <w:t xml:space="preserve"> </w:t>
            </w:r>
            <w:r>
              <w:rPr>
                <w:spacing w:val="-4"/>
                <w:sz w:val="20"/>
              </w:rPr>
              <w:t>of</w:t>
            </w:r>
            <w:r>
              <w:rPr>
                <w:spacing w:val="-12"/>
                <w:sz w:val="20"/>
              </w:rPr>
              <w:t xml:space="preserve"> </w:t>
            </w:r>
            <w:r>
              <w:rPr>
                <w:spacing w:val="-4"/>
                <w:sz w:val="20"/>
              </w:rPr>
              <w:t xml:space="preserve">voting </w:t>
            </w:r>
            <w:r>
              <w:rPr>
                <w:spacing w:val="-2"/>
                <w:sz w:val="20"/>
              </w:rPr>
              <w:t>rights</w:t>
            </w:r>
          </w:p>
        </w:tc>
        <w:tc>
          <w:tcPr>
            <w:tcW w:w="2155" w:type="dxa"/>
            <w:vMerge w:val="restart"/>
          </w:tcPr>
          <w:p w14:paraId="4EF7921E" w14:textId="77777777" w:rsidR="00BB77C0" w:rsidRDefault="00370BAA">
            <w:pPr>
              <w:pStyle w:val="TableParagraph"/>
              <w:numPr>
                <w:ilvl w:val="0"/>
                <w:numId w:val="5"/>
              </w:numPr>
              <w:tabs>
                <w:tab w:val="left" w:pos="287"/>
              </w:tabs>
              <w:ind w:right="76"/>
              <w:jc w:val="both"/>
              <w:rPr>
                <w:sz w:val="20"/>
              </w:rPr>
            </w:pPr>
            <w:r>
              <w:rPr>
                <w:sz w:val="20"/>
              </w:rPr>
              <w:t>Having the right to appoint a majority of the board of the directors or an equivalent governing body</w:t>
            </w:r>
            <w:r>
              <w:rPr>
                <w:spacing w:val="-1"/>
                <w:sz w:val="20"/>
              </w:rPr>
              <w:t xml:space="preserve"> </w:t>
            </w:r>
            <w:r>
              <w:rPr>
                <w:sz w:val="20"/>
              </w:rPr>
              <w:t>of the Tenderer: Yes -----No----</w:t>
            </w:r>
          </w:p>
          <w:p w14:paraId="0AAD60F1" w14:textId="77777777" w:rsidR="00BB77C0" w:rsidRDefault="00370BAA">
            <w:pPr>
              <w:pStyle w:val="TableParagraph"/>
              <w:numPr>
                <w:ilvl w:val="0"/>
                <w:numId w:val="5"/>
              </w:numPr>
              <w:tabs>
                <w:tab w:val="left" w:pos="287"/>
              </w:tabs>
              <w:ind w:right="76"/>
              <w:jc w:val="both"/>
              <w:rPr>
                <w:sz w:val="20"/>
              </w:rPr>
            </w:pPr>
            <w:r>
              <w:rPr>
                <w:sz w:val="20"/>
              </w:rPr>
              <w:t>Is this right held directly</w:t>
            </w:r>
            <w:r>
              <w:rPr>
                <w:spacing w:val="-16"/>
                <w:sz w:val="20"/>
              </w:rPr>
              <w:t xml:space="preserve"> </w:t>
            </w:r>
            <w:r>
              <w:rPr>
                <w:sz w:val="20"/>
              </w:rPr>
              <w:t>or</w:t>
            </w:r>
            <w:r>
              <w:rPr>
                <w:spacing w:val="-13"/>
                <w:sz w:val="20"/>
              </w:rPr>
              <w:t xml:space="preserve"> </w:t>
            </w:r>
            <w:r>
              <w:rPr>
                <w:sz w:val="20"/>
              </w:rPr>
              <w:t>indirectly?:</w:t>
            </w:r>
          </w:p>
          <w:p w14:paraId="386CC170" w14:textId="77777777" w:rsidR="00BB77C0" w:rsidRDefault="00BB77C0">
            <w:pPr>
              <w:pStyle w:val="TableParagraph"/>
              <w:rPr>
                <w:b/>
                <w:sz w:val="20"/>
              </w:rPr>
            </w:pPr>
          </w:p>
          <w:p w14:paraId="3F45AEE5" w14:textId="77777777" w:rsidR="00BB77C0" w:rsidRDefault="00BB77C0">
            <w:pPr>
              <w:pStyle w:val="TableParagraph"/>
              <w:spacing w:before="5"/>
              <w:rPr>
                <w:b/>
                <w:sz w:val="20"/>
              </w:rPr>
            </w:pPr>
          </w:p>
          <w:p w14:paraId="6F534C6C" w14:textId="77777777" w:rsidR="00BB77C0" w:rsidRDefault="00370BAA">
            <w:pPr>
              <w:pStyle w:val="TableParagraph"/>
              <w:spacing w:before="1"/>
              <w:ind w:left="287"/>
              <w:rPr>
                <w:sz w:val="20"/>
              </w:rPr>
            </w:pPr>
            <w:r>
              <w:rPr>
                <w:spacing w:val="-2"/>
                <w:sz w:val="20"/>
              </w:rPr>
              <w:t>Direct………………</w:t>
            </w:r>
          </w:p>
          <w:p w14:paraId="69A7C524" w14:textId="77777777" w:rsidR="00BB77C0" w:rsidRDefault="00370BAA">
            <w:pPr>
              <w:pStyle w:val="TableParagraph"/>
              <w:ind w:left="287"/>
              <w:rPr>
                <w:sz w:val="20"/>
              </w:rPr>
            </w:pPr>
            <w:r>
              <w:rPr>
                <w:spacing w:val="-10"/>
                <w:sz w:val="20"/>
              </w:rPr>
              <w:t>…</w:t>
            </w:r>
          </w:p>
          <w:p w14:paraId="6442E44C" w14:textId="77777777" w:rsidR="00BB77C0" w:rsidRDefault="00BB77C0">
            <w:pPr>
              <w:pStyle w:val="TableParagraph"/>
              <w:spacing w:before="226"/>
              <w:rPr>
                <w:b/>
                <w:sz w:val="20"/>
              </w:rPr>
            </w:pPr>
          </w:p>
          <w:p w14:paraId="753D18DD" w14:textId="77777777" w:rsidR="00BB77C0" w:rsidRDefault="00370BAA">
            <w:pPr>
              <w:pStyle w:val="TableParagraph"/>
              <w:ind w:left="287"/>
              <w:rPr>
                <w:sz w:val="20"/>
              </w:rPr>
            </w:pPr>
            <w:r>
              <w:rPr>
                <w:spacing w:val="-2"/>
                <w:sz w:val="20"/>
              </w:rPr>
              <w:t>Indirect……………</w:t>
            </w:r>
          </w:p>
          <w:p w14:paraId="43EFCDA5" w14:textId="77777777" w:rsidR="00BB77C0" w:rsidRDefault="00370BAA">
            <w:pPr>
              <w:pStyle w:val="TableParagraph"/>
              <w:spacing w:before="1"/>
              <w:ind w:left="287"/>
              <w:rPr>
                <w:sz w:val="20"/>
              </w:rPr>
            </w:pPr>
            <w:r>
              <w:rPr>
                <w:spacing w:val="-4"/>
                <w:sz w:val="20"/>
              </w:rPr>
              <w:t>…...</w:t>
            </w:r>
          </w:p>
        </w:tc>
        <w:tc>
          <w:tcPr>
            <w:tcW w:w="1805" w:type="dxa"/>
            <w:vMerge w:val="restart"/>
          </w:tcPr>
          <w:p w14:paraId="61B11A6A" w14:textId="77777777" w:rsidR="00BB77C0" w:rsidRDefault="00370BAA">
            <w:pPr>
              <w:pStyle w:val="TableParagraph"/>
              <w:numPr>
                <w:ilvl w:val="0"/>
                <w:numId w:val="4"/>
              </w:numPr>
              <w:tabs>
                <w:tab w:val="left" w:pos="204"/>
                <w:tab w:val="left" w:pos="206"/>
              </w:tabs>
              <w:ind w:right="194"/>
              <w:jc w:val="left"/>
              <w:rPr>
                <w:b/>
                <w:sz w:val="20"/>
              </w:rPr>
            </w:pPr>
            <w:r>
              <w:rPr>
                <w:spacing w:val="-2"/>
                <w:sz w:val="20"/>
              </w:rPr>
              <w:t xml:space="preserve">Exercises significant </w:t>
            </w:r>
            <w:r>
              <w:rPr>
                <w:sz w:val="20"/>
              </w:rPr>
              <w:t xml:space="preserve">influence or control over the </w:t>
            </w:r>
            <w:r>
              <w:rPr>
                <w:spacing w:val="-4"/>
                <w:sz w:val="20"/>
              </w:rPr>
              <w:t>Company</w:t>
            </w:r>
            <w:r>
              <w:rPr>
                <w:spacing w:val="-16"/>
                <w:sz w:val="20"/>
              </w:rPr>
              <w:t xml:space="preserve"> </w:t>
            </w:r>
            <w:r>
              <w:rPr>
                <w:spacing w:val="-4"/>
                <w:sz w:val="20"/>
              </w:rPr>
              <w:t>body</w:t>
            </w:r>
            <w:r>
              <w:rPr>
                <w:spacing w:val="-17"/>
                <w:sz w:val="20"/>
              </w:rPr>
              <w:t xml:space="preserve"> </w:t>
            </w:r>
            <w:r>
              <w:rPr>
                <w:spacing w:val="-4"/>
                <w:sz w:val="20"/>
              </w:rPr>
              <w:t xml:space="preserve">of </w:t>
            </w:r>
            <w:r>
              <w:rPr>
                <w:sz w:val="20"/>
              </w:rPr>
              <w:t xml:space="preserve">the Company </w:t>
            </w:r>
            <w:r>
              <w:rPr>
                <w:spacing w:val="-2"/>
                <w:sz w:val="20"/>
              </w:rPr>
              <w:t>(tenderer</w:t>
            </w:r>
            <w:r>
              <w:rPr>
                <w:b/>
                <w:spacing w:val="-2"/>
                <w:sz w:val="20"/>
              </w:rPr>
              <w:t>)</w:t>
            </w:r>
          </w:p>
          <w:p w14:paraId="624F4ECA" w14:textId="77777777" w:rsidR="00BB77C0" w:rsidRDefault="00370BAA">
            <w:pPr>
              <w:pStyle w:val="TableParagraph"/>
              <w:spacing w:before="229"/>
              <w:ind w:left="206"/>
              <w:rPr>
                <w:sz w:val="20"/>
              </w:rPr>
            </w:pPr>
            <w:r>
              <w:rPr>
                <w:spacing w:val="-2"/>
                <w:sz w:val="20"/>
              </w:rPr>
              <w:t>Yes</w:t>
            </w:r>
            <w:r>
              <w:rPr>
                <w:spacing w:val="4"/>
                <w:sz w:val="20"/>
              </w:rPr>
              <w:t xml:space="preserve"> </w:t>
            </w:r>
            <w:r>
              <w:rPr>
                <w:spacing w:val="-2"/>
                <w:sz w:val="20"/>
              </w:rPr>
              <w:t>-----No---</w:t>
            </w:r>
            <w:r>
              <w:rPr>
                <w:spacing w:val="-10"/>
                <w:sz w:val="20"/>
              </w:rPr>
              <w:t>-</w:t>
            </w:r>
          </w:p>
          <w:p w14:paraId="178E8602" w14:textId="77777777" w:rsidR="00BB77C0" w:rsidRDefault="00BB77C0">
            <w:pPr>
              <w:pStyle w:val="TableParagraph"/>
              <w:spacing w:before="1"/>
              <w:rPr>
                <w:b/>
                <w:sz w:val="20"/>
              </w:rPr>
            </w:pPr>
          </w:p>
          <w:p w14:paraId="51B7C069" w14:textId="77777777" w:rsidR="00BB77C0" w:rsidRDefault="00370BAA">
            <w:pPr>
              <w:pStyle w:val="TableParagraph"/>
              <w:numPr>
                <w:ilvl w:val="0"/>
                <w:numId w:val="4"/>
              </w:numPr>
              <w:tabs>
                <w:tab w:val="left" w:pos="285"/>
                <w:tab w:val="left" w:pos="287"/>
              </w:tabs>
              <w:ind w:left="287" w:right="98"/>
              <w:jc w:val="left"/>
              <w:rPr>
                <w:sz w:val="20"/>
              </w:rPr>
            </w:pPr>
            <w:r>
              <w:rPr>
                <w:sz w:val="20"/>
              </w:rPr>
              <w:t xml:space="preserve">Is this influence or control </w:t>
            </w:r>
            <w:r>
              <w:rPr>
                <w:spacing w:val="-2"/>
                <w:sz w:val="20"/>
              </w:rPr>
              <w:t>exercised</w:t>
            </w:r>
            <w:r>
              <w:rPr>
                <w:spacing w:val="-11"/>
                <w:sz w:val="20"/>
              </w:rPr>
              <w:t xml:space="preserve"> </w:t>
            </w:r>
            <w:r>
              <w:rPr>
                <w:spacing w:val="-2"/>
                <w:sz w:val="20"/>
              </w:rPr>
              <w:t xml:space="preserve">directly </w:t>
            </w:r>
            <w:r>
              <w:rPr>
                <w:sz w:val="20"/>
              </w:rPr>
              <w:t>or indirectly?</w:t>
            </w:r>
          </w:p>
          <w:p w14:paraId="115D5324" w14:textId="77777777" w:rsidR="00BB77C0" w:rsidRDefault="00BB77C0">
            <w:pPr>
              <w:pStyle w:val="TableParagraph"/>
              <w:spacing w:before="2"/>
              <w:rPr>
                <w:b/>
                <w:sz w:val="20"/>
              </w:rPr>
            </w:pPr>
          </w:p>
          <w:p w14:paraId="444B3B22" w14:textId="77777777" w:rsidR="00BB77C0" w:rsidRDefault="00370BAA">
            <w:pPr>
              <w:pStyle w:val="TableParagraph"/>
              <w:spacing w:line="540" w:lineRule="auto"/>
              <w:ind w:left="167" w:hanging="53"/>
              <w:rPr>
                <w:sz w:val="20"/>
              </w:rPr>
            </w:pPr>
            <w:r>
              <w:rPr>
                <w:spacing w:val="-2"/>
                <w:sz w:val="20"/>
              </w:rPr>
              <w:t xml:space="preserve">Direct………….. </w:t>
            </w:r>
            <w:r>
              <w:rPr>
                <w:spacing w:val="-4"/>
                <w:sz w:val="20"/>
              </w:rPr>
              <w:t>Indirect…………</w:t>
            </w:r>
          </w:p>
        </w:tc>
      </w:tr>
      <w:tr w:rsidR="00BB77C0" w14:paraId="748A8CF6" w14:textId="77777777">
        <w:trPr>
          <w:trHeight w:val="811"/>
        </w:trPr>
        <w:tc>
          <w:tcPr>
            <w:tcW w:w="451" w:type="dxa"/>
            <w:vMerge/>
            <w:tcBorders>
              <w:top w:val="nil"/>
            </w:tcBorders>
          </w:tcPr>
          <w:p w14:paraId="498CE1D1" w14:textId="77777777" w:rsidR="00BB77C0" w:rsidRDefault="00BB77C0">
            <w:pPr>
              <w:rPr>
                <w:sz w:val="2"/>
                <w:szCs w:val="2"/>
              </w:rPr>
            </w:pPr>
          </w:p>
        </w:tc>
        <w:tc>
          <w:tcPr>
            <w:tcW w:w="1704" w:type="dxa"/>
          </w:tcPr>
          <w:p w14:paraId="3CBFED69" w14:textId="77777777" w:rsidR="00BB77C0" w:rsidRDefault="00370BAA">
            <w:pPr>
              <w:pStyle w:val="TableParagraph"/>
              <w:spacing w:before="58"/>
              <w:ind w:left="110"/>
              <w:rPr>
                <w:sz w:val="20"/>
              </w:rPr>
            </w:pPr>
            <w:r>
              <w:rPr>
                <w:spacing w:val="-4"/>
                <w:sz w:val="20"/>
              </w:rPr>
              <w:t>National</w:t>
            </w:r>
            <w:r>
              <w:rPr>
                <w:spacing w:val="-17"/>
                <w:sz w:val="20"/>
              </w:rPr>
              <w:t xml:space="preserve"> </w:t>
            </w:r>
            <w:r>
              <w:rPr>
                <w:spacing w:val="-4"/>
                <w:sz w:val="20"/>
              </w:rPr>
              <w:t xml:space="preserve">identity </w:t>
            </w:r>
            <w:r>
              <w:rPr>
                <w:sz w:val="20"/>
              </w:rPr>
              <w:t xml:space="preserve">card number or </w:t>
            </w:r>
            <w:r>
              <w:rPr>
                <w:spacing w:val="-4"/>
                <w:sz w:val="20"/>
              </w:rPr>
              <w:t>Passport</w:t>
            </w:r>
            <w:r>
              <w:rPr>
                <w:spacing w:val="-15"/>
                <w:sz w:val="20"/>
              </w:rPr>
              <w:t xml:space="preserve"> </w:t>
            </w:r>
            <w:r>
              <w:rPr>
                <w:spacing w:val="-4"/>
                <w:sz w:val="20"/>
              </w:rPr>
              <w:t>number</w:t>
            </w:r>
          </w:p>
        </w:tc>
        <w:tc>
          <w:tcPr>
            <w:tcW w:w="1800" w:type="dxa"/>
          </w:tcPr>
          <w:p w14:paraId="2A03B0DC" w14:textId="77777777" w:rsidR="00BB77C0" w:rsidRDefault="00BB77C0">
            <w:pPr>
              <w:pStyle w:val="TableParagraph"/>
              <w:rPr>
                <w:sz w:val="20"/>
              </w:rPr>
            </w:pPr>
          </w:p>
        </w:tc>
        <w:tc>
          <w:tcPr>
            <w:tcW w:w="1257" w:type="dxa"/>
            <w:vMerge/>
            <w:tcBorders>
              <w:top w:val="nil"/>
              <w:bottom w:val="nil"/>
            </w:tcBorders>
          </w:tcPr>
          <w:p w14:paraId="6AA4A7FC" w14:textId="77777777" w:rsidR="00BB77C0" w:rsidRDefault="00BB77C0">
            <w:pPr>
              <w:rPr>
                <w:sz w:val="2"/>
                <w:szCs w:val="2"/>
              </w:rPr>
            </w:pPr>
          </w:p>
        </w:tc>
        <w:tc>
          <w:tcPr>
            <w:tcW w:w="1622" w:type="dxa"/>
            <w:vMerge/>
            <w:tcBorders>
              <w:top w:val="nil"/>
            </w:tcBorders>
          </w:tcPr>
          <w:p w14:paraId="49CD5400" w14:textId="77777777" w:rsidR="00BB77C0" w:rsidRDefault="00BB77C0">
            <w:pPr>
              <w:rPr>
                <w:sz w:val="2"/>
                <w:szCs w:val="2"/>
              </w:rPr>
            </w:pPr>
          </w:p>
        </w:tc>
        <w:tc>
          <w:tcPr>
            <w:tcW w:w="2155" w:type="dxa"/>
            <w:vMerge/>
            <w:tcBorders>
              <w:top w:val="nil"/>
            </w:tcBorders>
          </w:tcPr>
          <w:p w14:paraId="651C5B97" w14:textId="77777777" w:rsidR="00BB77C0" w:rsidRDefault="00BB77C0">
            <w:pPr>
              <w:rPr>
                <w:sz w:val="2"/>
                <w:szCs w:val="2"/>
              </w:rPr>
            </w:pPr>
          </w:p>
        </w:tc>
        <w:tc>
          <w:tcPr>
            <w:tcW w:w="1805" w:type="dxa"/>
            <w:vMerge/>
            <w:tcBorders>
              <w:top w:val="nil"/>
            </w:tcBorders>
          </w:tcPr>
          <w:p w14:paraId="0BF296A9" w14:textId="77777777" w:rsidR="00BB77C0" w:rsidRDefault="00BB77C0">
            <w:pPr>
              <w:rPr>
                <w:sz w:val="2"/>
                <w:szCs w:val="2"/>
              </w:rPr>
            </w:pPr>
          </w:p>
        </w:tc>
      </w:tr>
      <w:tr w:rsidR="00BB77C0" w14:paraId="4DDF9F33" w14:textId="77777777">
        <w:trPr>
          <w:trHeight w:val="1041"/>
        </w:trPr>
        <w:tc>
          <w:tcPr>
            <w:tcW w:w="451" w:type="dxa"/>
            <w:vMerge/>
            <w:tcBorders>
              <w:top w:val="nil"/>
            </w:tcBorders>
          </w:tcPr>
          <w:p w14:paraId="024EA2B8" w14:textId="77777777" w:rsidR="00BB77C0" w:rsidRDefault="00BB77C0">
            <w:pPr>
              <w:rPr>
                <w:sz w:val="2"/>
                <w:szCs w:val="2"/>
              </w:rPr>
            </w:pPr>
          </w:p>
        </w:tc>
        <w:tc>
          <w:tcPr>
            <w:tcW w:w="1704" w:type="dxa"/>
          </w:tcPr>
          <w:p w14:paraId="1DC52F4F" w14:textId="77777777" w:rsidR="00BB77C0" w:rsidRDefault="00370BAA">
            <w:pPr>
              <w:pStyle w:val="TableParagraph"/>
              <w:spacing w:before="53" w:line="242" w:lineRule="auto"/>
              <w:ind w:left="110" w:right="406"/>
              <w:rPr>
                <w:sz w:val="20"/>
              </w:rPr>
            </w:pPr>
            <w:r>
              <w:rPr>
                <w:spacing w:val="-2"/>
                <w:sz w:val="20"/>
              </w:rPr>
              <w:t xml:space="preserve">Personal Identification </w:t>
            </w:r>
            <w:r>
              <w:rPr>
                <w:spacing w:val="-8"/>
                <w:sz w:val="20"/>
              </w:rPr>
              <w:t>Number</w:t>
            </w:r>
            <w:r>
              <w:rPr>
                <w:spacing w:val="-7"/>
                <w:sz w:val="20"/>
              </w:rPr>
              <w:t xml:space="preserve"> </w:t>
            </w:r>
            <w:r>
              <w:rPr>
                <w:spacing w:val="-8"/>
                <w:sz w:val="20"/>
              </w:rPr>
              <w:t xml:space="preserve">(where </w:t>
            </w:r>
            <w:r>
              <w:rPr>
                <w:spacing w:val="-2"/>
                <w:sz w:val="20"/>
              </w:rPr>
              <w:t>applicable)</w:t>
            </w:r>
          </w:p>
        </w:tc>
        <w:tc>
          <w:tcPr>
            <w:tcW w:w="1800" w:type="dxa"/>
          </w:tcPr>
          <w:p w14:paraId="30B4A199" w14:textId="77777777" w:rsidR="00BB77C0" w:rsidRDefault="00BB77C0">
            <w:pPr>
              <w:pStyle w:val="TableParagraph"/>
              <w:rPr>
                <w:sz w:val="20"/>
              </w:rPr>
            </w:pPr>
          </w:p>
        </w:tc>
        <w:tc>
          <w:tcPr>
            <w:tcW w:w="1257" w:type="dxa"/>
            <w:tcBorders>
              <w:top w:val="nil"/>
              <w:bottom w:val="nil"/>
            </w:tcBorders>
          </w:tcPr>
          <w:p w14:paraId="1CA84865" w14:textId="77777777" w:rsidR="00BB77C0" w:rsidRDefault="00370BAA">
            <w:pPr>
              <w:pStyle w:val="TableParagraph"/>
              <w:spacing w:before="211"/>
              <w:ind w:left="111"/>
              <w:rPr>
                <w:sz w:val="20"/>
              </w:rPr>
            </w:pPr>
            <w:r>
              <w:rPr>
                <w:spacing w:val="-6"/>
                <w:sz w:val="20"/>
              </w:rPr>
              <w:t>Indirectly---</w:t>
            </w:r>
            <w:r>
              <w:rPr>
                <w:spacing w:val="-10"/>
                <w:sz w:val="20"/>
              </w:rPr>
              <w:t>-</w:t>
            </w:r>
          </w:p>
          <w:p w14:paraId="7EEE0E0C" w14:textId="77777777" w:rsidR="00BB77C0" w:rsidRDefault="00370BAA">
            <w:pPr>
              <w:pStyle w:val="TableParagraph"/>
              <w:tabs>
                <w:tab w:val="left" w:leader="hyphen" w:pos="832"/>
              </w:tabs>
              <w:spacing w:before="1" w:line="228" w:lineRule="exact"/>
              <w:ind w:left="111"/>
              <w:rPr>
                <w:sz w:val="20"/>
              </w:rPr>
            </w:pPr>
            <w:r>
              <w:rPr>
                <w:spacing w:val="-10"/>
                <w:sz w:val="20"/>
              </w:rPr>
              <w:t>-</w:t>
            </w:r>
            <w:r>
              <w:rPr>
                <w:sz w:val="20"/>
              </w:rPr>
              <w:tab/>
            </w:r>
            <w:r>
              <w:rPr>
                <w:spacing w:val="-10"/>
                <w:sz w:val="20"/>
              </w:rPr>
              <w:t>%</w:t>
            </w:r>
          </w:p>
          <w:p w14:paraId="0D9DEDE1" w14:textId="77777777" w:rsidR="00BB77C0" w:rsidRDefault="00370BAA">
            <w:pPr>
              <w:pStyle w:val="TableParagraph"/>
              <w:spacing w:line="228" w:lineRule="exact"/>
              <w:ind w:left="111"/>
              <w:rPr>
                <w:sz w:val="20"/>
              </w:rPr>
            </w:pPr>
            <w:r>
              <w:rPr>
                <w:sz w:val="20"/>
              </w:rPr>
              <w:t>of</w:t>
            </w:r>
            <w:r>
              <w:rPr>
                <w:spacing w:val="-7"/>
                <w:sz w:val="20"/>
              </w:rPr>
              <w:t xml:space="preserve"> </w:t>
            </w:r>
            <w:r>
              <w:rPr>
                <w:spacing w:val="-2"/>
                <w:sz w:val="20"/>
              </w:rPr>
              <w:t>shares</w:t>
            </w:r>
          </w:p>
        </w:tc>
        <w:tc>
          <w:tcPr>
            <w:tcW w:w="1622" w:type="dxa"/>
            <w:vMerge/>
            <w:tcBorders>
              <w:top w:val="nil"/>
            </w:tcBorders>
          </w:tcPr>
          <w:p w14:paraId="7EBB8C9A" w14:textId="77777777" w:rsidR="00BB77C0" w:rsidRDefault="00BB77C0">
            <w:pPr>
              <w:rPr>
                <w:sz w:val="2"/>
                <w:szCs w:val="2"/>
              </w:rPr>
            </w:pPr>
          </w:p>
        </w:tc>
        <w:tc>
          <w:tcPr>
            <w:tcW w:w="2155" w:type="dxa"/>
            <w:vMerge/>
            <w:tcBorders>
              <w:top w:val="nil"/>
            </w:tcBorders>
          </w:tcPr>
          <w:p w14:paraId="7C0DF52A" w14:textId="77777777" w:rsidR="00BB77C0" w:rsidRDefault="00BB77C0">
            <w:pPr>
              <w:rPr>
                <w:sz w:val="2"/>
                <w:szCs w:val="2"/>
              </w:rPr>
            </w:pPr>
          </w:p>
        </w:tc>
        <w:tc>
          <w:tcPr>
            <w:tcW w:w="1805" w:type="dxa"/>
            <w:vMerge/>
            <w:tcBorders>
              <w:top w:val="nil"/>
            </w:tcBorders>
          </w:tcPr>
          <w:p w14:paraId="3E834AF6" w14:textId="77777777" w:rsidR="00BB77C0" w:rsidRDefault="00BB77C0">
            <w:pPr>
              <w:rPr>
                <w:sz w:val="2"/>
                <w:szCs w:val="2"/>
              </w:rPr>
            </w:pPr>
          </w:p>
        </w:tc>
      </w:tr>
      <w:tr w:rsidR="00BB77C0" w14:paraId="38F07A5D" w14:textId="77777777">
        <w:trPr>
          <w:trHeight w:val="350"/>
        </w:trPr>
        <w:tc>
          <w:tcPr>
            <w:tcW w:w="451" w:type="dxa"/>
            <w:vMerge/>
            <w:tcBorders>
              <w:top w:val="nil"/>
            </w:tcBorders>
          </w:tcPr>
          <w:p w14:paraId="16EB4D95" w14:textId="77777777" w:rsidR="00BB77C0" w:rsidRDefault="00BB77C0">
            <w:pPr>
              <w:rPr>
                <w:sz w:val="2"/>
                <w:szCs w:val="2"/>
              </w:rPr>
            </w:pPr>
          </w:p>
        </w:tc>
        <w:tc>
          <w:tcPr>
            <w:tcW w:w="1704" w:type="dxa"/>
          </w:tcPr>
          <w:p w14:paraId="5C0C0FBD" w14:textId="77777777" w:rsidR="00BB77C0" w:rsidRDefault="00370BAA">
            <w:pPr>
              <w:pStyle w:val="TableParagraph"/>
              <w:spacing w:before="53"/>
              <w:ind w:left="110"/>
              <w:rPr>
                <w:sz w:val="20"/>
              </w:rPr>
            </w:pPr>
            <w:r>
              <w:rPr>
                <w:spacing w:val="-2"/>
                <w:sz w:val="20"/>
              </w:rPr>
              <w:t>Nationality</w:t>
            </w:r>
          </w:p>
        </w:tc>
        <w:tc>
          <w:tcPr>
            <w:tcW w:w="1800" w:type="dxa"/>
          </w:tcPr>
          <w:p w14:paraId="55C4B1DB" w14:textId="77777777" w:rsidR="00BB77C0" w:rsidRDefault="00BB77C0">
            <w:pPr>
              <w:pStyle w:val="TableParagraph"/>
              <w:rPr>
                <w:sz w:val="20"/>
              </w:rPr>
            </w:pPr>
          </w:p>
        </w:tc>
        <w:tc>
          <w:tcPr>
            <w:tcW w:w="1257" w:type="dxa"/>
            <w:tcBorders>
              <w:top w:val="nil"/>
              <w:bottom w:val="nil"/>
            </w:tcBorders>
          </w:tcPr>
          <w:p w14:paraId="75E8037C" w14:textId="77777777" w:rsidR="00BB77C0" w:rsidRDefault="00BB77C0">
            <w:pPr>
              <w:pStyle w:val="TableParagraph"/>
              <w:rPr>
                <w:sz w:val="20"/>
              </w:rPr>
            </w:pPr>
          </w:p>
        </w:tc>
        <w:tc>
          <w:tcPr>
            <w:tcW w:w="1622" w:type="dxa"/>
            <w:vMerge/>
            <w:tcBorders>
              <w:top w:val="nil"/>
            </w:tcBorders>
          </w:tcPr>
          <w:p w14:paraId="60DA9F96" w14:textId="77777777" w:rsidR="00BB77C0" w:rsidRDefault="00BB77C0">
            <w:pPr>
              <w:rPr>
                <w:sz w:val="2"/>
                <w:szCs w:val="2"/>
              </w:rPr>
            </w:pPr>
          </w:p>
        </w:tc>
        <w:tc>
          <w:tcPr>
            <w:tcW w:w="2155" w:type="dxa"/>
            <w:vMerge/>
            <w:tcBorders>
              <w:top w:val="nil"/>
            </w:tcBorders>
          </w:tcPr>
          <w:p w14:paraId="3E291AEE" w14:textId="77777777" w:rsidR="00BB77C0" w:rsidRDefault="00BB77C0">
            <w:pPr>
              <w:rPr>
                <w:sz w:val="2"/>
                <w:szCs w:val="2"/>
              </w:rPr>
            </w:pPr>
          </w:p>
        </w:tc>
        <w:tc>
          <w:tcPr>
            <w:tcW w:w="1805" w:type="dxa"/>
            <w:vMerge/>
            <w:tcBorders>
              <w:top w:val="nil"/>
            </w:tcBorders>
          </w:tcPr>
          <w:p w14:paraId="49FAE358" w14:textId="77777777" w:rsidR="00BB77C0" w:rsidRDefault="00BB77C0">
            <w:pPr>
              <w:rPr>
                <w:sz w:val="2"/>
                <w:szCs w:val="2"/>
              </w:rPr>
            </w:pPr>
          </w:p>
        </w:tc>
      </w:tr>
      <w:tr w:rsidR="00BB77C0" w14:paraId="726B3104" w14:textId="77777777">
        <w:trPr>
          <w:trHeight w:val="580"/>
        </w:trPr>
        <w:tc>
          <w:tcPr>
            <w:tcW w:w="451" w:type="dxa"/>
            <w:vMerge/>
            <w:tcBorders>
              <w:top w:val="nil"/>
            </w:tcBorders>
          </w:tcPr>
          <w:p w14:paraId="7C9321FD" w14:textId="77777777" w:rsidR="00BB77C0" w:rsidRDefault="00BB77C0">
            <w:pPr>
              <w:rPr>
                <w:sz w:val="2"/>
                <w:szCs w:val="2"/>
              </w:rPr>
            </w:pPr>
          </w:p>
        </w:tc>
        <w:tc>
          <w:tcPr>
            <w:tcW w:w="1704" w:type="dxa"/>
          </w:tcPr>
          <w:p w14:paraId="338BEFCE" w14:textId="77777777" w:rsidR="00BB77C0" w:rsidRDefault="00370BAA">
            <w:pPr>
              <w:pStyle w:val="TableParagraph"/>
              <w:spacing w:before="53"/>
              <w:ind w:left="110"/>
              <w:rPr>
                <w:sz w:val="20"/>
              </w:rPr>
            </w:pPr>
            <w:r>
              <w:rPr>
                <w:spacing w:val="-6"/>
                <w:sz w:val="20"/>
              </w:rPr>
              <w:t>Date</w:t>
            </w:r>
            <w:r>
              <w:rPr>
                <w:spacing w:val="-7"/>
                <w:sz w:val="20"/>
              </w:rPr>
              <w:t xml:space="preserve"> </w:t>
            </w:r>
            <w:r>
              <w:rPr>
                <w:spacing w:val="-6"/>
                <w:sz w:val="20"/>
              </w:rPr>
              <w:t>of</w:t>
            </w:r>
            <w:r>
              <w:rPr>
                <w:spacing w:val="-8"/>
                <w:sz w:val="20"/>
              </w:rPr>
              <w:t xml:space="preserve"> </w:t>
            </w:r>
            <w:r>
              <w:rPr>
                <w:spacing w:val="-6"/>
                <w:sz w:val="20"/>
              </w:rPr>
              <w:t>birth</w:t>
            </w:r>
          </w:p>
          <w:p w14:paraId="1A7B8648" w14:textId="77777777" w:rsidR="00BB77C0" w:rsidRDefault="00370BAA">
            <w:pPr>
              <w:pStyle w:val="TableParagraph"/>
              <w:spacing w:before="5"/>
              <w:ind w:left="110"/>
              <w:rPr>
                <w:i/>
                <w:sz w:val="20"/>
              </w:rPr>
            </w:pPr>
            <w:r>
              <w:rPr>
                <w:i/>
                <w:spacing w:val="-2"/>
                <w:sz w:val="20"/>
              </w:rPr>
              <w:t>[dd/mm/yyyy]</w:t>
            </w:r>
          </w:p>
        </w:tc>
        <w:tc>
          <w:tcPr>
            <w:tcW w:w="1800" w:type="dxa"/>
          </w:tcPr>
          <w:p w14:paraId="0FDB46D6" w14:textId="77777777" w:rsidR="00BB77C0" w:rsidRDefault="00BB77C0">
            <w:pPr>
              <w:pStyle w:val="TableParagraph"/>
              <w:rPr>
                <w:sz w:val="20"/>
              </w:rPr>
            </w:pPr>
          </w:p>
        </w:tc>
        <w:tc>
          <w:tcPr>
            <w:tcW w:w="1257" w:type="dxa"/>
            <w:tcBorders>
              <w:top w:val="nil"/>
              <w:bottom w:val="nil"/>
            </w:tcBorders>
          </w:tcPr>
          <w:p w14:paraId="6A392893" w14:textId="77777777" w:rsidR="00BB77C0" w:rsidRDefault="00BB77C0">
            <w:pPr>
              <w:pStyle w:val="TableParagraph"/>
              <w:rPr>
                <w:sz w:val="20"/>
              </w:rPr>
            </w:pPr>
          </w:p>
        </w:tc>
        <w:tc>
          <w:tcPr>
            <w:tcW w:w="1622" w:type="dxa"/>
            <w:vMerge/>
            <w:tcBorders>
              <w:top w:val="nil"/>
            </w:tcBorders>
          </w:tcPr>
          <w:p w14:paraId="2DD68F62" w14:textId="77777777" w:rsidR="00BB77C0" w:rsidRDefault="00BB77C0">
            <w:pPr>
              <w:rPr>
                <w:sz w:val="2"/>
                <w:szCs w:val="2"/>
              </w:rPr>
            </w:pPr>
          </w:p>
        </w:tc>
        <w:tc>
          <w:tcPr>
            <w:tcW w:w="2155" w:type="dxa"/>
            <w:vMerge/>
            <w:tcBorders>
              <w:top w:val="nil"/>
            </w:tcBorders>
          </w:tcPr>
          <w:p w14:paraId="1B475F5F" w14:textId="77777777" w:rsidR="00BB77C0" w:rsidRDefault="00BB77C0">
            <w:pPr>
              <w:rPr>
                <w:sz w:val="2"/>
                <w:szCs w:val="2"/>
              </w:rPr>
            </w:pPr>
          </w:p>
        </w:tc>
        <w:tc>
          <w:tcPr>
            <w:tcW w:w="1805" w:type="dxa"/>
            <w:vMerge/>
            <w:tcBorders>
              <w:top w:val="nil"/>
            </w:tcBorders>
          </w:tcPr>
          <w:p w14:paraId="1C227EE7" w14:textId="77777777" w:rsidR="00BB77C0" w:rsidRDefault="00BB77C0">
            <w:pPr>
              <w:rPr>
                <w:sz w:val="2"/>
                <w:szCs w:val="2"/>
              </w:rPr>
            </w:pPr>
          </w:p>
        </w:tc>
      </w:tr>
      <w:tr w:rsidR="00BB77C0" w14:paraId="359B608A" w14:textId="77777777">
        <w:trPr>
          <w:trHeight w:val="350"/>
        </w:trPr>
        <w:tc>
          <w:tcPr>
            <w:tcW w:w="451" w:type="dxa"/>
            <w:vMerge/>
            <w:tcBorders>
              <w:top w:val="nil"/>
            </w:tcBorders>
          </w:tcPr>
          <w:p w14:paraId="15446323" w14:textId="77777777" w:rsidR="00BB77C0" w:rsidRDefault="00BB77C0">
            <w:pPr>
              <w:rPr>
                <w:sz w:val="2"/>
                <w:szCs w:val="2"/>
              </w:rPr>
            </w:pPr>
          </w:p>
        </w:tc>
        <w:tc>
          <w:tcPr>
            <w:tcW w:w="1704" w:type="dxa"/>
          </w:tcPr>
          <w:p w14:paraId="7B9BF2C7" w14:textId="77777777" w:rsidR="00BB77C0" w:rsidRDefault="00370BAA">
            <w:pPr>
              <w:pStyle w:val="TableParagraph"/>
              <w:spacing w:before="58"/>
              <w:ind w:left="110"/>
              <w:rPr>
                <w:sz w:val="20"/>
              </w:rPr>
            </w:pPr>
            <w:r>
              <w:rPr>
                <w:spacing w:val="-6"/>
                <w:sz w:val="20"/>
              </w:rPr>
              <w:t>Postal</w:t>
            </w:r>
            <w:r>
              <w:rPr>
                <w:spacing w:val="-5"/>
                <w:sz w:val="20"/>
              </w:rPr>
              <w:t xml:space="preserve"> </w:t>
            </w:r>
            <w:r>
              <w:rPr>
                <w:spacing w:val="-2"/>
                <w:sz w:val="20"/>
              </w:rPr>
              <w:t>address</w:t>
            </w:r>
          </w:p>
        </w:tc>
        <w:tc>
          <w:tcPr>
            <w:tcW w:w="1800" w:type="dxa"/>
          </w:tcPr>
          <w:p w14:paraId="28BDBDEC" w14:textId="77777777" w:rsidR="00BB77C0" w:rsidRDefault="00BB77C0">
            <w:pPr>
              <w:pStyle w:val="TableParagraph"/>
              <w:rPr>
                <w:sz w:val="20"/>
              </w:rPr>
            </w:pPr>
          </w:p>
        </w:tc>
        <w:tc>
          <w:tcPr>
            <w:tcW w:w="1257" w:type="dxa"/>
            <w:tcBorders>
              <w:top w:val="nil"/>
              <w:bottom w:val="nil"/>
            </w:tcBorders>
          </w:tcPr>
          <w:p w14:paraId="122BC381" w14:textId="77777777" w:rsidR="00BB77C0" w:rsidRDefault="00BB77C0">
            <w:pPr>
              <w:pStyle w:val="TableParagraph"/>
              <w:rPr>
                <w:sz w:val="20"/>
              </w:rPr>
            </w:pPr>
          </w:p>
        </w:tc>
        <w:tc>
          <w:tcPr>
            <w:tcW w:w="1622" w:type="dxa"/>
            <w:vMerge/>
            <w:tcBorders>
              <w:top w:val="nil"/>
            </w:tcBorders>
          </w:tcPr>
          <w:p w14:paraId="33F7EB41" w14:textId="77777777" w:rsidR="00BB77C0" w:rsidRDefault="00BB77C0">
            <w:pPr>
              <w:rPr>
                <w:sz w:val="2"/>
                <w:szCs w:val="2"/>
              </w:rPr>
            </w:pPr>
          </w:p>
        </w:tc>
        <w:tc>
          <w:tcPr>
            <w:tcW w:w="2155" w:type="dxa"/>
            <w:vMerge/>
            <w:tcBorders>
              <w:top w:val="nil"/>
            </w:tcBorders>
          </w:tcPr>
          <w:p w14:paraId="4908E9B7" w14:textId="77777777" w:rsidR="00BB77C0" w:rsidRDefault="00BB77C0">
            <w:pPr>
              <w:rPr>
                <w:sz w:val="2"/>
                <w:szCs w:val="2"/>
              </w:rPr>
            </w:pPr>
          </w:p>
        </w:tc>
        <w:tc>
          <w:tcPr>
            <w:tcW w:w="1805" w:type="dxa"/>
            <w:vMerge/>
            <w:tcBorders>
              <w:top w:val="nil"/>
            </w:tcBorders>
          </w:tcPr>
          <w:p w14:paraId="75FAE7CB" w14:textId="77777777" w:rsidR="00BB77C0" w:rsidRDefault="00BB77C0">
            <w:pPr>
              <w:rPr>
                <w:sz w:val="2"/>
                <w:szCs w:val="2"/>
              </w:rPr>
            </w:pPr>
          </w:p>
        </w:tc>
      </w:tr>
      <w:tr w:rsidR="00BB77C0" w14:paraId="57170E4B" w14:textId="77777777">
        <w:trPr>
          <w:trHeight w:val="350"/>
        </w:trPr>
        <w:tc>
          <w:tcPr>
            <w:tcW w:w="451" w:type="dxa"/>
            <w:vMerge/>
            <w:tcBorders>
              <w:top w:val="nil"/>
            </w:tcBorders>
          </w:tcPr>
          <w:p w14:paraId="24D36979" w14:textId="77777777" w:rsidR="00BB77C0" w:rsidRDefault="00BB77C0">
            <w:pPr>
              <w:rPr>
                <w:sz w:val="2"/>
                <w:szCs w:val="2"/>
              </w:rPr>
            </w:pPr>
          </w:p>
        </w:tc>
        <w:tc>
          <w:tcPr>
            <w:tcW w:w="1704" w:type="dxa"/>
          </w:tcPr>
          <w:p w14:paraId="5D820A8A" w14:textId="77777777" w:rsidR="00BB77C0" w:rsidRDefault="00370BAA">
            <w:pPr>
              <w:pStyle w:val="TableParagraph"/>
              <w:spacing w:before="58"/>
              <w:ind w:left="110"/>
              <w:rPr>
                <w:sz w:val="20"/>
              </w:rPr>
            </w:pPr>
            <w:r>
              <w:rPr>
                <w:w w:val="90"/>
                <w:sz w:val="20"/>
              </w:rPr>
              <w:t>Residential</w:t>
            </w:r>
            <w:r>
              <w:rPr>
                <w:spacing w:val="15"/>
                <w:sz w:val="20"/>
              </w:rPr>
              <w:t xml:space="preserve"> </w:t>
            </w:r>
            <w:r>
              <w:rPr>
                <w:spacing w:val="-2"/>
                <w:sz w:val="20"/>
              </w:rPr>
              <w:t>address</w:t>
            </w:r>
          </w:p>
        </w:tc>
        <w:tc>
          <w:tcPr>
            <w:tcW w:w="1800" w:type="dxa"/>
          </w:tcPr>
          <w:p w14:paraId="60DB4A30" w14:textId="77777777" w:rsidR="00BB77C0" w:rsidRDefault="00BB77C0">
            <w:pPr>
              <w:pStyle w:val="TableParagraph"/>
              <w:rPr>
                <w:sz w:val="20"/>
              </w:rPr>
            </w:pPr>
          </w:p>
        </w:tc>
        <w:tc>
          <w:tcPr>
            <w:tcW w:w="1257" w:type="dxa"/>
            <w:tcBorders>
              <w:top w:val="nil"/>
              <w:bottom w:val="nil"/>
            </w:tcBorders>
          </w:tcPr>
          <w:p w14:paraId="57BA0F85" w14:textId="77777777" w:rsidR="00BB77C0" w:rsidRDefault="00BB77C0">
            <w:pPr>
              <w:pStyle w:val="TableParagraph"/>
              <w:rPr>
                <w:sz w:val="20"/>
              </w:rPr>
            </w:pPr>
          </w:p>
        </w:tc>
        <w:tc>
          <w:tcPr>
            <w:tcW w:w="1622" w:type="dxa"/>
            <w:vMerge/>
            <w:tcBorders>
              <w:top w:val="nil"/>
            </w:tcBorders>
          </w:tcPr>
          <w:p w14:paraId="17F2335E" w14:textId="77777777" w:rsidR="00BB77C0" w:rsidRDefault="00BB77C0">
            <w:pPr>
              <w:rPr>
                <w:sz w:val="2"/>
                <w:szCs w:val="2"/>
              </w:rPr>
            </w:pPr>
          </w:p>
        </w:tc>
        <w:tc>
          <w:tcPr>
            <w:tcW w:w="2155" w:type="dxa"/>
            <w:vMerge/>
            <w:tcBorders>
              <w:top w:val="nil"/>
            </w:tcBorders>
          </w:tcPr>
          <w:p w14:paraId="41A94CA7" w14:textId="77777777" w:rsidR="00BB77C0" w:rsidRDefault="00BB77C0">
            <w:pPr>
              <w:rPr>
                <w:sz w:val="2"/>
                <w:szCs w:val="2"/>
              </w:rPr>
            </w:pPr>
          </w:p>
        </w:tc>
        <w:tc>
          <w:tcPr>
            <w:tcW w:w="1805" w:type="dxa"/>
            <w:vMerge/>
            <w:tcBorders>
              <w:top w:val="nil"/>
            </w:tcBorders>
          </w:tcPr>
          <w:p w14:paraId="16EE82A7" w14:textId="77777777" w:rsidR="00BB77C0" w:rsidRDefault="00BB77C0">
            <w:pPr>
              <w:rPr>
                <w:sz w:val="2"/>
                <w:szCs w:val="2"/>
              </w:rPr>
            </w:pPr>
          </w:p>
        </w:tc>
      </w:tr>
      <w:tr w:rsidR="00BB77C0" w14:paraId="23FBCF37" w14:textId="77777777">
        <w:trPr>
          <w:trHeight w:val="350"/>
        </w:trPr>
        <w:tc>
          <w:tcPr>
            <w:tcW w:w="451" w:type="dxa"/>
            <w:vMerge/>
            <w:tcBorders>
              <w:top w:val="nil"/>
            </w:tcBorders>
          </w:tcPr>
          <w:p w14:paraId="2A8C33FB" w14:textId="77777777" w:rsidR="00BB77C0" w:rsidRDefault="00BB77C0">
            <w:pPr>
              <w:rPr>
                <w:sz w:val="2"/>
                <w:szCs w:val="2"/>
              </w:rPr>
            </w:pPr>
          </w:p>
        </w:tc>
        <w:tc>
          <w:tcPr>
            <w:tcW w:w="1704" w:type="dxa"/>
          </w:tcPr>
          <w:p w14:paraId="5FB2EAC4" w14:textId="77777777" w:rsidR="00BB77C0" w:rsidRDefault="00370BAA">
            <w:pPr>
              <w:pStyle w:val="TableParagraph"/>
              <w:spacing w:before="53"/>
              <w:ind w:left="110"/>
              <w:rPr>
                <w:sz w:val="20"/>
              </w:rPr>
            </w:pPr>
            <w:r>
              <w:rPr>
                <w:spacing w:val="-8"/>
                <w:sz w:val="20"/>
              </w:rPr>
              <w:t>Telephone</w:t>
            </w:r>
            <w:r>
              <w:rPr>
                <w:spacing w:val="-2"/>
                <w:sz w:val="20"/>
              </w:rPr>
              <w:t xml:space="preserve"> number</w:t>
            </w:r>
          </w:p>
        </w:tc>
        <w:tc>
          <w:tcPr>
            <w:tcW w:w="1800" w:type="dxa"/>
          </w:tcPr>
          <w:p w14:paraId="6DE53F16" w14:textId="77777777" w:rsidR="00BB77C0" w:rsidRDefault="00BB77C0">
            <w:pPr>
              <w:pStyle w:val="TableParagraph"/>
              <w:rPr>
                <w:sz w:val="20"/>
              </w:rPr>
            </w:pPr>
          </w:p>
        </w:tc>
        <w:tc>
          <w:tcPr>
            <w:tcW w:w="1257" w:type="dxa"/>
            <w:tcBorders>
              <w:top w:val="nil"/>
              <w:bottom w:val="nil"/>
            </w:tcBorders>
          </w:tcPr>
          <w:p w14:paraId="0EB21FB0" w14:textId="77777777" w:rsidR="00BB77C0" w:rsidRDefault="00BB77C0">
            <w:pPr>
              <w:pStyle w:val="TableParagraph"/>
              <w:rPr>
                <w:sz w:val="20"/>
              </w:rPr>
            </w:pPr>
          </w:p>
        </w:tc>
        <w:tc>
          <w:tcPr>
            <w:tcW w:w="1622" w:type="dxa"/>
            <w:vMerge/>
            <w:tcBorders>
              <w:top w:val="nil"/>
            </w:tcBorders>
          </w:tcPr>
          <w:p w14:paraId="62765D9B" w14:textId="77777777" w:rsidR="00BB77C0" w:rsidRDefault="00BB77C0">
            <w:pPr>
              <w:rPr>
                <w:sz w:val="2"/>
                <w:szCs w:val="2"/>
              </w:rPr>
            </w:pPr>
          </w:p>
        </w:tc>
        <w:tc>
          <w:tcPr>
            <w:tcW w:w="2155" w:type="dxa"/>
            <w:vMerge/>
            <w:tcBorders>
              <w:top w:val="nil"/>
            </w:tcBorders>
          </w:tcPr>
          <w:p w14:paraId="71F1E5C3" w14:textId="77777777" w:rsidR="00BB77C0" w:rsidRDefault="00BB77C0">
            <w:pPr>
              <w:rPr>
                <w:sz w:val="2"/>
                <w:szCs w:val="2"/>
              </w:rPr>
            </w:pPr>
          </w:p>
        </w:tc>
        <w:tc>
          <w:tcPr>
            <w:tcW w:w="1805" w:type="dxa"/>
            <w:vMerge/>
            <w:tcBorders>
              <w:top w:val="nil"/>
            </w:tcBorders>
          </w:tcPr>
          <w:p w14:paraId="68085D9A" w14:textId="77777777" w:rsidR="00BB77C0" w:rsidRDefault="00BB77C0">
            <w:pPr>
              <w:rPr>
                <w:sz w:val="2"/>
                <w:szCs w:val="2"/>
              </w:rPr>
            </w:pPr>
          </w:p>
        </w:tc>
      </w:tr>
      <w:tr w:rsidR="00BB77C0" w14:paraId="5E0C4321" w14:textId="77777777">
        <w:trPr>
          <w:trHeight w:val="350"/>
        </w:trPr>
        <w:tc>
          <w:tcPr>
            <w:tcW w:w="451" w:type="dxa"/>
            <w:vMerge/>
            <w:tcBorders>
              <w:top w:val="nil"/>
            </w:tcBorders>
          </w:tcPr>
          <w:p w14:paraId="0E492489" w14:textId="77777777" w:rsidR="00BB77C0" w:rsidRDefault="00BB77C0">
            <w:pPr>
              <w:rPr>
                <w:sz w:val="2"/>
                <w:szCs w:val="2"/>
              </w:rPr>
            </w:pPr>
          </w:p>
        </w:tc>
        <w:tc>
          <w:tcPr>
            <w:tcW w:w="1704" w:type="dxa"/>
          </w:tcPr>
          <w:p w14:paraId="270B4E0C" w14:textId="77777777" w:rsidR="00BB77C0" w:rsidRDefault="00370BAA">
            <w:pPr>
              <w:pStyle w:val="TableParagraph"/>
              <w:spacing w:before="53"/>
              <w:ind w:left="110"/>
              <w:rPr>
                <w:sz w:val="20"/>
              </w:rPr>
            </w:pPr>
            <w:r>
              <w:rPr>
                <w:spacing w:val="-7"/>
                <w:sz w:val="20"/>
              </w:rPr>
              <w:t>Email</w:t>
            </w:r>
            <w:r>
              <w:rPr>
                <w:spacing w:val="-9"/>
                <w:sz w:val="20"/>
              </w:rPr>
              <w:t xml:space="preserve"> </w:t>
            </w:r>
            <w:r>
              <w:rPr>
                <w:spacing w:val="-2"/>
                <w:sz w:val="20"/>
              </w:rPr>
              <w:t>address</w:t>
            </w:r>
          </w:p>
        </w:tc>
        <w:tc>
          <w:tcPr>
            <w:tcW w:w="1800" w:type="dxa"/>
          </w:tcPr>
          <w:p w14:paraId="77BDF7A0" w14:textId="77777777" w:rsidR="00BB77C0" w:rsidRDefault="00BB77C0">
            <w:pPr>
              <w:pStyle w:val="TableParagraph"/>
              <w:rPr>
                <w:sz w:val="20"/>
              </w:rPr>
            </w:pPr>
          </w:p>
        </w:tc>
        <w:tc>
          <w:tcPr>
            <w:tcW w:w="1257" w:type="dxa"/>
            <w:tcBorders>
              <w:top w:val="nil"/>
              <w:bottom w:val="nil"/>
            </w:tcBorders>
          </w:tcPr>
          <w:p w14:paraId="4DD1AA16" w14:textId="77777777" w:rsidR="00BB77C0" w:rsidRDefault="00BB77C0">
            <w:pPr>
              <w:pStyle w:val="TableParagraph"/>
              <w:rPr>
                <w:sz w:val="20"/>
              </w:rPr>
            </w:pPr>
          </w:p>
        </w:tc>
        <w:tc>
          <w:tcPr>
            <w:tcW w:w="1622" w:type="dxa"/>
            <w:vMerge/>
            <w:tcBorders>
              <w:top w:val="nil"/>
            </w:tcBorders>
          </w:tcPr>
          <w:p w14:paraId="7F76FCA8" w14:textId="77777777" w:rsidR="00BB77C0" w:rsidRDefault="00BB77C0">
            <w:pPr>
              <w:rPr>
                <w:sz w:val="2"/>
                <w:szCs w:val="2"/>
              </w:rPr>
            </w:pPr>
          </w:p>
        </w:tc>
        <w:tc>
          <w:tcPr>
            <w:tcW w:w="2155" w:type="dxa"/>
            <w:vMerge/>
            <w:tcBorders>
              <w:top w:val="nil"/>
            </w:tcBorders>
          </w:tcPr>
          <w:p w14:paraId="12C7C41A" w14:textId="77777777" w:rsidR="00BB77C0" w:rsidRDefault="00BB77C0">
            <w:pPr>
              <w:rPr>
                <w:sz w:val="2"/>
                <w:szCs w:val="2"/>
              </w:rPr>
            </w:pPr>
          </w:p>
        </w:tc>
        <w:tc>
          <w:tcPr>
            <w:tcW w:w="1805" w:type="dxa"/>
            <w:vMerge/>
            <w:tcBorders>
              <w:top w:val="nil"/>
            </w:tcBorders>
          </w:tcPr>
          <w:p w14:paraId="14BAD1B8" w14:textId="77777777" w:rsidR="00BB77C0" w:rsidRDefault="00BB77C0">
            <w:pPr>
              <w:rPr>
                <w:sz w:val="2"/>
                <w:szCs w:val="2"/>
              </w:rPr>
            </w:pPr>
          </w:p>
        </w:tc>
      </w:tr>
      <w:tr w:rsidR="00BB77C0" w14:paraId="3FB879B5" w14:textId="77777777">
        <w:trPr>
          <w:trHeight w:val="575"/>
        </w:trPr>
        <w:tc>
          <w:tcPr>
            <w:tcW w:w="451" w:type="dxa"/>
            <w:vMerge/>
            <w:tcBorders>
              <w:top w:val="nil"/>
            </w:tcBorders>
          </w:tcPr>
          <w:p w14:paraId="1778272D" w14:textId="77777777" w:rsidR="00BB77C0" w:rsidRDefault="00BB77C0">
            <w:pPr>
              <w:rPr>
                <w:sz w:val="2"/>
                <w:szCs w:val="2"/>
              </w:rPr>
            </w:pPr>
          </w:p>
        </w:tc>
        <w:tc>
          <w:tcPr>
            <w:tcW w:w="1704" w:type="dxa"/>
          </w:tcPr>
          <w:p w14:paraId="7783A92F" w14:textId="77777777" w:rsidR="00BB77C0" w:rsidRDefault="00370BAA">
            <w:pPr>
              <w:pStyle w:val="TableParagraph"/>
              <w:spacing w:before="53"/>
              <w:ind w:left="110"/>
              <w:rPr>
                <w:sz w:val="20"/>
              </w:rPr>
            </w:pPr>
            <w:r>
              <w:rPr>
                <w:spacing w:val="-8"/>
                <w:sz w:val="20"/>
              </w:rPr>
              <w:t>Occupation</w:t>
            </w:r>
            <w:r>
              <w:rPr>
                <w:spacing w:val="-7"/>
                <w:sz w:val="20"/>
              </w:rPr>
              <w:t xml:space="preserve"> </w:t>
            </w:r>
            <w:r>
              <w:rPr>
                <w:spacing w:val="-8"/>
                <w:sz w:val="20"/>
              </w:rPr>
              <w:t xml:space="preserve">or </w:t>
            </w:r>
            <w:r>
              <w:rPr>
                <w:spacing w:val="-2"/>
                <w:sz w:val="20"/>
              </w:rPr>
              <w:t>profession</w:t>
            </w:r>
          </w:p>
        </w:tc>
        <w:tc>
          <w:tcPr>
            <w:tcW w:w="1800" w:type="dxa"/>
          </w:tcPr>
          <w:p w14:paraId="10FE66FD" w14:textId="77777777" w:rsidR="00BB77C0" w:rsidRDefault="00BB77C0">
            <w:pPr>
              <w:pStyle w:val="TableParagraph"/>
              <w:rPr>
                <w:sz w:val="20"/>
              </w:rPr>
            </w:pPr>
          </w:p>
        </w:tc>
        <w:tc>
          <w:tcPr>
            <w:tcW w:w="1257" w:type="dxa"/>
            <w:tcBorders>
              <w:top w:val="nil"/>
            </w:tcBorders>
          </w:tcPr>
          <w:p w14:paraId="0AC1B594" w14:textId="77777777" w:rsidR="00BB77C0" w:rsidRDefault="00BB77C0">
            <w:pPr>
              <w:pStyle w:val="TableParagraph"/>
              <w:rPr>
                <w:sz w:val="20"/>
              </w:rPr>
            </w:pPr>
          </w:p>
        </w:tc>
        <w:tc>
          <w:tcPr>
            <w:tcW w:w="1622" w:type="dxa"/>
            <w:vMerge/>
            <w:tcBorders>
              <w:top w:val="nil"/>
            </w:tcBorders>
          </w:tcPr>
          <w:p w14:paraId="445FB50C" w14:textId="77777777" w:rsidR="00BB77C0" w:rsidRDefault="00BB77C0">
            <w:pPr>
              <w:rPr>
                <w:sz w:val="2"/>
                <w:szCs w:val="2"/>
              </w:rPr>
            </w:pPr>
          </w:p>
        </w:tc>
        <w:tc>
          <w:tcPr>
            <w:tcW w:w="2155" w:type="dxa"/>
            <w:vMerge/>
            <w:tcBorders>
              <w:top w:val="nil"/>
            </w:tcBorders>
          </w:tcPr>
          <w:p w14:paraId="26B175BD" w14:textId="77777777" w:rsidR="00BB77C0" w:rsidRDefault="00BB77C0">
            <w:pPr>
              <w:rPr>
                <w:sz w:val="2"/>
                <w:szCs w:val="2"/>
              </w:rPr>
            </w:pPr>
          </w:p>
        </w:tc>
        <w:tc>
          <w:tcPr>
            <w:tcW w:w="1805" w:type="dxa"/>
            <w:vMerge/>
            <w:tcBorders>
              <w:top w:val="nil"/>
            </w:tcBorders>
          </w:tcPr>
          <w:p w14:paraId="00FE881D" w14:textId="77777777" w:rsidR="00BB77C0" w:rsidRDefault="00BB77C0">
            <w:pPr>
              <w:rPr>
                <w:sz w:val="2"/>
                <w:szCs w:val="2"/>
              </w:rPr>
            </w:pPr>
          </w:p>
        </w:tc>
      </w:tr>
      <w:tr w:rsidR="00BB77C0" w14:paraId="65725562" w14:textId="77777777">
        <w:trPr>
          <w:trHeight w:val="350"/>
        </w:trPr>
        <w:tc>
          <w:tcPr>
            <w:tcW w:w="10794" w:type="dxa"/>
            <w:gridSpan w:val="7"/>
            <w:shd w:val="clear" w:color="auto" w:fill="D9D9D9"/>
          </w:tcPr>
          <w:p w14:paraId="2321DEF0" w14:textId="77777777" w:rsidR="00BB77C0" w:rsidRDefault="00BB77C0">
            <w:pPr>
              <w:pStyle w:val="TableParagraph"/>
              <w:rPr>
                <w:sz w:val="20"/>
              </w:rPr>
            </w:pPr>
          </w:p>
        </w:tc>
      </w:tr>
      <w:tr w:rsidR="00BB77C0" w14:paraId="3D3BE67E" w14:textId="77777777">
        <w:trPr>
          <w:trHeight w:val="350"/>
        </w:trPr>
        <w:tc>
          <w:tcPr>
            <w:tcW w:w="451" w:type="dxa"/>
          </w:tcPr>
          <w:p w14:paraId="6E427348" w14:textId="77777777" w:rsidR="00BB77C0" w:rsidRDefault="00370BAA">
            <w:pPr>
              <w:pStyle w:val="TableParagraph"/>
              <w:spacing w:before="58"/>
              <w:ind w:left="110"/>
              <w:rPr>
                <w:b/>
                <w:sz w:val="20"/>
              </w:rPr>
            </w:pPr>
            <w:r>
              <w:rPr>
                <w:b/>
                <w:spacing w:val="-5"/>
                <w:sz w:val="20"/>
              </w:rPr>
              <w:t>2.</w:t>
            </w:r>
          </w:p>
        </w:tc>
        <w:tc>
          <w:tcPr>
            <w:tcW w:w="1704" w:type="dxa"/>
          </w:tcPr>
          <w:p w14:paraId="064D7377" w14:textId="77777777" w:rsidR="00BB77C0" w:rsidRDefault="00370BAA">
            <w:pPr>
              <w:pStyle w:val="TableParagraph"/>
              <w:spacing w:before="53"/>
              <w:ind w:left="110"/>
              <w:rPr>
                <w:sz w:val="20"/>
              </w:rPr>
            </w:pPr>
            <w:r>
              <w:rPr>
                <w:spacing w:val="-5"/>
                <w:sz w:val="20"/>
              </w:rPr>
              <w:t>Full</w:t>
            </w:r>
            <w:r>
              <w:rPr>
                <w:spacing w:val="-7"/>
                <w:sz w:val="20"/>
              </w:rPr>
              <w:t xml:space="preserve"> </w:t>
            </w:r>
            <w:r>
              <w:rPr>
                <w:spacing w:val="-4"/>
                <w:sz w:val="20"/>
              </w:rPr>
              <w:t>Name</w:t>
            </w:r>
          </w:p>
        </w:tc>
        <w:tc>
          <w:tcPr>
            <w:tcW w:w="1800" w:type="dxa"/>
          </w:tcPr>
          <w:p w14:paraId="64535BB1" w14:textId="77777777" w:rsidR="00BB77C0" w:rsidRDefault="00BB77C0">
            <w:pPr>
              <w:pStyle w:val="TableParagraph"/>
              <w:rPr>
                <w:sz w:val="20"/>
              </w:rPr>
            </w:pPr>
          </w:p>
        </w:tc>
        <w:tc>
          <w:tcPr>
            <w:tcW w:w="1257" w:type="dxa"/>
          </w:tcPr>
          <w:p w14:paraId="6CF18FBB" w14:textId="77777777" w:rsidR="00BB77C0" w:rsidRDefault="00370BAA">
            <w:pPr>
              <w:pStyle w:val="TableParagraph"/>
              <w:spacing w:before="53"/>
              <w:ind w:left="111"/>
              <w:rPr>
                <w:sz w:val="20"/>
              </w:rPr>
            </w:pPr>
            <w:r>
              <w:rPr>
                <w:spacing w:val="-6"/>
                <w:sz w:val="20"/>
              </w:rPr>
              <w:t>Directly-----</w:t>
            </w:r>
            <w:r>
              <w:rPr>
                <w:spacing w:val="-10"/>
                <w:sz w:val="20"/>
              </w:rPr>
              <w:t>-</w:t>
            </w:r>
          </w:p>
        </w:tc>
        <w:tc>
          <w:tcPr>
            <w:tcW w:w="1622" w:type="dxa"/>
          </w:tcPr>
          <w:p w14:paraId="0A23F17F" w14:textId="77777777" w:rsidR="00BB77C0" w:rsidRDefault="00370BAA">
            <w:pPr>
              <w:pStyle w:val="TableParagraph"/>
              <w:spacing w:before="53"/>
              <w:ind w:left="112"/>
              <w:rPr>
                <w:sz w:val="20"/>
              </w:rPr>
            </w:pPr>
            <w:r>
              <w:rPr>
                <w:spacing w:val="-2"/>
                <w:sz w:val="20"/>
              </w:rPr>
              <w:t>Directly………</w:t>
            </w:r>
          </w:p>
        </w:tc>
        <w:tc>
          <w:tcPr>
            <w:tcW w:w="2155" w:type="dxa"/>
          </w:tcPr>
          <w:p w14:paraId="1FF452A8" w14:textId="77777777" w:rsidR="00BB77C0" w:rsidRDefault="00BB77C0">
            <w:pPr>
              <w:pStyle w:val="TableParagraph"/>
              <w:rPr>
                <w:sz w:val="20"/>
              </w:rPr>
            </w:pPr>
          </w:p>
        </w:tc>
        <w:tc>
          <w:tcPr>
            <w:tcW w:w="1805" w:type="dxa"/>
          </w:tcPr>
          <w:p w14:paraId="7B13AF60" w14:textId="77777777" w:rsidR="00BB77C0" w:rsidRDefault="00BB77C0">
            <w:pPr>
              <w:pStyle w:val="TableParagraph"/>
              <w:rPr>
                <w:sz w:val="20"/>
              </w:rPr>
            </w:pPr>
          </w:p>
        </w:tc>
      </w:tr>
    </w:tbl>
    <w:p w14:paraId="3E0649EA" w14:textId="77777777" w:rsidR="00BB77C0" w:rsidRDefault="00BB77C0">
      <w:pPr>
        <w:pStyle w:val="TableParagraph"/>
        <w:rPr>
          <w:sz w:val="20"/>
        </w:rPr>
        <w:sectPr w:rsidR="00BB77C0">
          <w:pgSz w:w="11920" w:h="16850"/>
          <w:pgMar w:top="740" w:right="0" w:bottom="280" w:left="360" w:header="720" w:footer="720" w:gutter="0"/>
          <w:cols w:space="720"/>
        </w:sect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
        <w:gridCol w:w="1704"/>
        <w:gridCol w:w="1800"/>
        <w:gridCol w:w="1257"/>
        <w:gridCol w:w="1622"/>
        <w:gridCol w:w="2155"/>
        <w:gridCol w:w="1805"/>
      </w:tblGrid>
      <w:tr w:rsidR="00BB77C0" w14:paraId="3A26FF3A" w14:textId="77777777">
        <w:trPr>
          <w:trHeight w:val="1886"/>
        </w:trPr>
        <w:tc>
          <w:tcPr>
            <w:tcW w:w="451" w:type="dxa"/>
          </w:tcPr>
          <w:p w14:paraId="124E5D31" w14:textId="77777777" w:rsidR="00BB77C0" w:rsidRDefault="00BB77C0">
            <w:pPr>
              <w:pStyle w:val="TableParagraph"/>
              <w:rPr>
                <w:sz w:val="20"/>
              </w:rPr>
            </w:pPr>
          </w:p>
        </w:tc>
        <w:tc>
          <w:tcPr>
            <w:tcW w:w="3504" w:type="dxa"/>
            <w:gridSpan w:val="2"/>
          </w:tcPr>
          <w:p w14:paraId="6359E9B4" w14:textId="77777777" w:rsidR="00BB77C0" w:rsidRDefault="00370BAA">
            <w:pPr>
              <w:pStyle w:val="TableParagraph"/>
              <w:spacing w:line="207" w:lineRule="exact"/>
              <w:ind w:left="110"/>
              <w:rPr>
                <w:b/>
                <w:sz w:val="18"/>
              </w:rPr>
            </w:pPr>
            <w:r>
              <w:rPr>
                <w:b/>
                <w:sz w:val="18"/>
              </w:rPr>
              <w:t>Details</w:t>
            </w:r>
            <w:r>
              <w:rPr>
                <w:b/>
                <w:spacing w:val="-3"/>
                <w:sz w:val="18"/>
              </w:rPr>
              <w:t xml:space="preserve"> </w:t>
            </w:r>
            <w:r>
              <w:rPr>
                <w:b/>
                <w:sz w:val="18"/>
              </w:rPr>
              <w:t>of</w:t>
            </w:r>
            <w:r>
              <w:rPr>
                <w:b/>
                <w:spacing w:val="-4"/>
                <w:sz w:val="18"/>
              </w:rPr>
              <w:t xml:space="preserve"> </w:t>
            </w:r>
            <w:r>
              <w:rPr>
                <w:b/>
                <w:sz w:val="18"/>
              </w:rPr>
              <w:t>all</w:t>
            </w:r>
            <w:r>
              <w:rPr>
                <w:b/>
                <w:spacing w:val="-8"/>
                <w:sz w:val="18"/>
              </w:rPr>
              <w:t xml:space="preserve"> </w:t>
            </w:r>
            <w:r>
              <w:rPr>
                <w:b/>
                <w:sz w:val="18"/>
              </w:rPr>
              <w:t>Beneficial</w:t>
            </w:r>
            <w:r>
              <w:rPr>
                <w:b/>
                <w:spacing w:val="-5"/>
                <w:sz w:val="18"/>
              </w:rPr>
              <w:t xml:space="preserve"> </w:t>
            </w:r>
            <w:r>
              <w:rPr>
                <w:b/>
                <w:spacing w:val="-2"/>
                <w:sz w:val="18"/>
              </w:rPr>
              <w:t>Owners</w:t>
            </w:r>
          </w:p>
        </w:tc>
        <w:tc>
          <w:tcPr>
            <w:tcW w:w="1257" w:type="dxa"/>
          </w:tcPr>
          <w:p w14:paraId="0B67947B" w14:textId="77777777" w:rsidR="00BB77C0" w:rsidRDefault="00370BAA">
            <w:pPr>
              <w:pStyle w:val="TableParagraph"/>
              <w:ind w:left="111" w:right="173"/>
              <w:rPr>
                <w:b/>
                <w:sz w:val="18"/>
              </w:rPr>
            </w:pPr>
            <w:r>
              <w:rPr>
                <w:b/>
                <w:sz w:val="18"/>
              </w:rPr>
              <w:t>%</w:t>
            </w:r>
            <w:r>
              <w:rPr>
                <w:b/>
                <w:spacing w:val="-2"/>
                <w:sz w:val="18"/>
              </w:rPr>
              <w:t xml:space="preserve"> </w:t>
            </w:r>
            <w:r>
              <w:rPr>
                <w:b/>
                <w:sz w:val="18"/>
              </w:rPr>
              <w:t>of</w:t>
            </w:r>
            <w:r>
              <w:rPr>
                <w:b/>
                <w:spacing w:val="-15"/>
                <w:sz w:val="18"/>
              </w:rPr>
              <w:t xml:space="preserve"> </w:t>
            </w:r>
            <w:r>
              <w:rPr>
                <w:b/>
                <w:sz w:val="18"/>
              </w:rPr>
              <w:t>shares a</w:t>
            </w:r>
            <w:r>
              <w:rPr>
                <w:b/>
                <w:spacing w:val="-12"/>
                <w:sz w:val="18"/>
              </w:rPr>
              <w:t xml:space="preserve"> </w:t>
            </w:r>
            <w:r>
              <w:rPr>
                <w:b/>
                <w:sz w:val="18"/>
              </w:rPr>
              <w:t>person holds</w:t>
            </w:r>
            <w:r>
              <w:rPr>
                <w:b/>
                <w:spacing w:val="-3"/>
                <w:sz w:val="18"/>
              </w:rPr>
              <w:t xml:space="preserve"> </w:t>
            </w:r>
            <w:r>
              <w:rPr>
                <w:b/>
                <w:sz w:val="18"/>
              </w:rPr>
              <w:t>in</w:t>
            </w:r>
            <w:r>
              <w:rPr>
                <w:b/>
                <w:spacing w:val="-5"/>
                <w:sz w:val="18"/>
              </w:rPr>
              <w:t xml:space="preserve"> </w:t>
            </w:r>
            <w:r>
              <w:rPr>
                <w:b/>
                <w:sz w:val="18"/>
              </w:rPr>
              <w:t xml:space="preserve">the </w:t>
            </w:r>
            <w:r>
              <w:rPr>
                <w:b/>
                <w:spacing w:val="-2"/>
                <w:sz w:val="18"/>
              </w:rPr>
              <w:t xml:space="preserve">company </w:t>
            </w:r>
            <w:r>
              <w:rPr>
                <w:b/>
                <w:sz w:val="18"/>
              </w:rPr>
              <w:t xml:space="preserve">Directly or </w:t>
            </w:r>
            <w:r>
              <w:rPr>
                <w:b/>
                <w:spacing w:val="-2"/>
                <w:sz w:val="18"/>
              </w:rPr>
              <w:t>indirectly</w:t>
            </w:r>
          </w:p>
        </w:tc>
        <w:tc>
          <w:tcPr>
            <w:tcW w:w="1622" w:type="dxa"/>
          </w:tcPr>
          <w:p w14:paraId="1FB7F05A" w14:textId="77777777" w:rsidR="00BB77C0" w:rsidRDefault="00370BAA">
            <w:pPr>
              <w:pStyle w:val="TableParagraph"/>
              <w:ind w:left="112" w:right="206"/>
              <w:rPr>
                <w:b/>
                <w:sz w:val="18"/>
              </w:rPr>
            </w:pPr>
            <w:r>
              <w:rPr>
                <w:b/>
                <w:sz w:val="18"/>
              </w:rPr>
              <w:t xml:space="preserve">% of voting </w:t>
            </w:r>
            <w:r>
              <w:rPr>
                <w:b/>
                <w:spacing w:val="-6"/>
                <w:sz w:val="18"/>
              </w:rPr>
              <w:t>rights</w:t>
            </w:r>
            <w:r>
              <w:rPr>
                <w:b/>
                <w:spacing w:val="-11"/>
                <w:sz w:val="18"/>
              </w:rPr>
              <w:t xml:space="preserve"> </w:t>
            </w:r>
            <w:r>
              <w:rPr>
                <w:b/>
                <w:spacing w:val="-6"/>
                <w:sz w:val="18"/>
              </w:rPr>
              <w:t>a</w:t>
            </w:r>
            <w:r>
              <w:rPr>
                <w:b/>
                <w:spacing w:val="-16"/>
                <w:sz w:val="18"/>
              </w:rPr>
              <w:t xml:space="preserve"> </w:t>
            </w:r>
            <w:r>
              <w:rPr>
                <w:b/>
                <w:spacing w:val="-6"/>
                <w:sz w:val="18"/>
              </w:rPr>
              <w:t>person</w:t>
            </w:r>
            <w:r>
              <w:rPr>
                <w:b/>
                <w:sz w:val="18"/>
              </w:rPr>
              <w:t xml:space="preserve"> holds in the </w:t>
            </w:r>
            <w:r>
              <w:rPr>
                <w:b/>
                <w:spacing w:val="-2"/>
                <w:sz w:val="18"/>
              </w:rPr>
              <w:t>company</w:t>
            </w:r>
          </w:p>
        </w:tc>
        <w:tc>
          <w:tcPr>
            <w:tcW w:w="2155" w:type="dxa"/>
          </w:tcPr>
          <w:p w14:paraId="6E8C72FA" w14:textId="77777777" w:rsidR="00BB77C0" w:rsidRDefault="00370BAA">
            <w:pPr>
              <w:pStyle w:val="TableParagraph"/>
              <w:ind w:left="113" w:right="78"/>
              <w:jc w:val="both"/>
              <w:rPr>
                <w:b/>
                <w:sz w:val="18"/>
              </w:rPr>
            </w:pPr>
            <w:r>
              <w:rPr>
                <w:b/>
                <w:sz w:val="18"/>
              </w:rPr>
              <w:t>Whether a person directly or indirectly holds a right to appoint or remove a member of the board of directors of the company or an equivalent governing body</w:t>
            </w:r>
            <w:r>
              <w:rPr>
                <w:b/>
                <w:spacing w:val="78"/>
                <w:w w:val="150"/>
                <w:sz w:val="18"/>
              </w:rPr>
              <w:t xml:space="preserve"> </w:t>
            </w:r>
            <w:r>
              <w:rPr>
                <w:b/>
                <w:sz w:val="18"/>
              </w:rPr>
              <w:t>of</w:t>
            </w:r>
            <w:r>
              <w:rPr>
                <w:b/>
                <w:spacing w:val="31"/>
                <w:sz w:val="18"/>
              </w:rPr>
              <w:t xml:space="preserve">  </w:t>
            </w:r>
            <w:r>
              <w:rPr>
                <w:b/>
                <w:sz w:val="18"/>
              </w:rPr>
              <w:t>the</w:t>
            </w:r>
            <w:r>
              <w:rPr>
                <w:b/>
                <w:spacing w:val="78"/>
                <w:w w:val="150"/>
                <w:sz w:val="18"/>
              </w:rPr>
              <w:t xml:space="preserve"> </w:t>
            </w:r>
            <w:r>
              <w:rPr>
                <w:b/>
                <w:spacing w:val="-2"/>
                <w:sz w:val="18"/>
              </w:rPr>
              <w:t>Tenderer</w:t>
            </w:r>
          </w:p>
          <w:p w14:paraId="1D23C933" w14:textId="77777777" w:rsidR="00BB77C0" w:rsidRDefault="00370BAA">
            <w:pPr>
              <w:pStyle w:val="TableParagraph"/>
              <w:spacing w:line="211" w:lineRule="exact"/>
              <w:ind w:left="113"/>
              <w:jc w:val="both"/>
              <w:rPr>
                <w:sz w:val="20"/>
              </w:rPr>
            </w:pPr>
            <w:r>
              <w:rPr>
                <w:sz w:val="20"/>
              </w:rPr>
              <w:t>(Yes</w:t>
            </w:r>
            <w:r>
              <w:rPr>
                <w:spacing w:val="-7"/>
                <w:sz w:val="20"/>
              </w:rPr>
              <w:t xml:space="preserve"> </w:t>
            </w:r>
            <w:r>
              <w:rPr>
                <w:sz w:val="20"/>
              </w:rPr>
              <w:t>/</w:t>
            </w:r>
            <w:r>
              <w:rPr>
                <w:spacing w:val="1"/>
                <w:sz w:val="20"/>
              </w:rPr>
              <w:t xml:space="preserve"> </w:t>
            </w:r>
            <w:r>
              <w:rPr>
                <w:spacing w:val="-5"/>
                <w:sz w:val="20"/>
              </w:rPr>
              <w:t>No)</w:t>
            </w:r>
          </w:p>
        </w:tc>
        <w:tc>
          <w:tcPr>
            <w:tcW w:w="1805" w:type="dxa"/>
          </w:tcPr>
          <w:p w14:paraId="00EA5E0E" w14:textId="77777777" w:rsidR="00BB77C0" w:rsidRDefault="00370BAA">
            <w:pPr>
              <w:pStyle w:val="TableParagraph"/>
              <w:ind w:left="114" w:right="203"/>
              <w:rPr>
                <w:b/>
                <w:sz w:val="18"/>
              </w:rPr>
            </w:pPr>
            <w:r>
              <w:rPr>
                <w:b/>
                <w:sz w:val="18"/>
              </w:rPr>
              <w:t>Whether a person directly or indirectly</w:t>
            </w:r>
            <w:r>
              <w:rPr>
                <w:b/>
                <w:spacing w:val="-12"/>
                <w:sz w:val="18"/>
              </w:rPr>
              <w:t xml:space="preserve"> </w:t>
            </w:r>
            <w:r>
              <w:rPr>
                <w:b/>
                <w:sz w:val="18"/>
              </w:rPr>
              <w:t xml:space="preserve">exercises </w:t>
            </w:r>
            <w:r>
              <w:rPr>
                <w:b/>
                <w:spacing w:val="-4"/>
                <w:sz w:val="18"/>
              </w:rPr>
              <w:t>significant</w:t>
            </w:r>
            <w:r>
              <w:rPr>
                <w:b/>
                <w:spacing w:val="-8"/>
                <w:sz w:val="18"/>
              </w:rPr>
              <w:t xml:space="preserve"> </w:t>
            </w:r>
            <w:r>
              <w:rPr>
                <w:b/>
                <w:spacing w:val="-4"/>
                <w:sz w:val="18"/>
              </w:rPr>
              <w:t xml:space="preserve">influence </w:t>
            </w:r>
            <w:r>
              <w:rPr>
                <w:b/>
                <w:sz w:val="18"/>
              </w:rPr>
              <w:t>or</w:t>
            </w:r>
            <w:r>
              <w:rPr>
                <w:b/>
                <w:spacing w:val="-4"/>
                <w:sz w:val="18"/>
              </w:rPr>
              <w:t xml:space="preserve"> </w:t>
            </w:r>
            <w:r>
              <w:rPr>
                <w:b/>
                <w:sz w:val="18"/>
              </w:rPr>
              <w:t xml:space="preserve">control over the </w:t>
            </w:r>
            <w:r>
              <w:rPr>
                <w:b/>
                <w:spacing w:val="-6"/>
                <w:sz w:val="18"/>
              </w:rPr>
              <w:t>Company</w:t>
            </w:r>
            <w:r>
              <w:rPr>
                <w:b/>
                <w:spacing w:val="-21"/>
                <w:sz w:val="18"/>
              </w:rPr>
              <w:t xml:space="preserve"> </w:t>
            </w:r>
            <w:r>
              <w:rPr>
                <w:b/>
                <w:spacing w:val="-6"/>
                <w:sz w:val="18"/>
              </w:rPr>
              <w:t>(tenderer)</w:t>
            </w:r>
            <w:r>
              <w:rPr>
                <w:b/>
                <w:sz w:val="18"/>
              </w:rPr>
              <w:t xml:space="preserve"> (Yes / No)</w:t>
            </w:r>
          </w:p>
        </w:tc>
      </w:tr>
      <w:tr w:rsidR="00BB77C0" w14:paraId="66A4025C" w14:textId="77777777">
        <w:trPr>
          <w:trHeight w:val="806"/>
        </w:trPr>
        <w:tc>
          <w:tcPr>
            <w:tcW w:w="451" w:type="dxa"/>
            <w:vMerge w:val="restart"/>
          </w:tcPr>
          <w:p w14:paraId="051A1A22" w14:textId="77777777" w:rsidR="00BB77C0" w:rsidRDefault="00BB77C0">
            <w:pPr>
              <w:pStyle w:val="TableParagraph"/>
              <w:rPr>
                <w:sz w:val="20"/>
              </w:rPr>
            </w:pPr>
          </w:p>
        </w:tc>
        <w:tc>
          <w:tcPr>
            <w:tcW w:w="1704" w:type="dxa"/>
          </w:tcPr>
          <w:p w14:paraId="556942EC" w14:textId="77777777" w:rsidR="00BB77C0" w:rsidRDefault="00370BAA">
            <w:pPr>
              <w:pStyle w:val="TableParagraph"/>
              <w:spacing w:before="53"/>
              <w:ind w:left="110"/>
              <w:rPr>
                <w:sz w:val="20"/>
              </w:rPr>
            </w:pPr>
            <w:r>
              <w:rPr>
                <w:spacing w:val="-4"/>
                <w:sz w:val="20"/>
              </w:rPr>
              <w:t>National</w:t>
            </w:r>
            <w:r>
              <w:rPr>
                <w:spacing w:val="-17"/>
                <w:sz w:val="20"/>
              </w:rPr>
              <w:t xml:space="preserve"> </w:t>
            </w:r>
            <w:r>
              <w:rPr>
                <w:spacing w:val="-4"/>
                <w:sz w:val="20"/>
              </w:rPr>
              <w:t xml:space="preserve">identity </w:t>
            </w:r>
            <w:r>
              <w:rPr>
                <w:sz w:val="20"/>
              </w:rPr>
              <w:t xml:space="preserve">card number or </w:t>
            </w:r>
            <w:r>
              <w:rPr>
                <w:spacing w:val="-4"/>
                <w:sz w:val="20"/>
              </w:rPr>
              <w:t>Passport</w:t>
            </w:r>
            <w:r>
              <w:rPr>
                <w:spacing w:val="-15"/>
                <w:sz w:val="20"/>
              </w:rPr>
              <w:t xml:space="preserve"> </w:t>
            </w:r>
            <w:r>
              <w:rPr>
                <w:spacing w:val="-4"/>
                <w:sz w:val="20"/>
              </w:rPr>
              <w:t>number</w:t>
            </w:r>
          </w:p>
        </w:tc>
        <w:tc>
          <w:tcPr>
            <w:tcW w:w="1800" w:type="dxa"/>
          </w:tcPr>
          <w:p w14:paraId="423936E5" w14:textId="77777777" w:rsidR="00BB77C0" w:rsidRDefault="00BB77C0">
            <w:pPr>
              <w:pStyle w:val="TableParagraph"/>
              <w:rPr>
                <w:sz w:val="20"/>
              </w:rPr>
            </w:pPr>
          </w:p>
        </w:tc>
        <w:tc>
          <w:tcPr>
            <w:tcW w:w="1257" w:type="dxa"/>
            <w:tcBorders>
              <w:bottom w:val="nil"/>
            </w:tcBorders>
          </w:tcPr>
          <w:p w14:paraId="27FBBCE5" w14:textId="77777777" w:rsidR="00BB77C0" w:rsidRDefault="00370BAA">
            <w:pPr>
              <w:pStyle w:val="TableParagraph"/>
              <w:tabs>
                <w:tab w:val="left" w:pos="832"/>
              </w:tabs>
              <w:spacing w:line="225" w:lineRule="exact"/>
              <w:ind w:left="111"/>
              <w:rPr>
                <w:sz w:val="20"/>
              </w:rPr>
            </w:pPr>
            <w:r>
              <w:rPr>
                <w:spacing w:val="-6"/>
                <w:sz w:val="20"/>
              </w:rPr>
              <w:t>----</w:t>
            </w:r>
            <w:r>
              <w:rPr>
                <w:spacing w:val="-10"/>
                <w:sz w:val="20"/>
              </w:rPr>
              <w:t>-</w:t>
            </w:r>
            <w:r>
              <w:rPr>
                <w:sz w:val="20"/>
              </w:rPr>
              <w:tab/>
            </w:r>
            <w:r>
              <w:rPr>
                <w:spacing w:val="-10"/>
                <w:sz w:val="20"/>
              </w:rPr>
              <w:t>%</w:t>
            </w:r>
          </w:p>
          <w:p w14:paraId="7F8A5E86" w14:textId="77777777" w:rsidR="00BB77C0" w:rsidRDefault="00370BAA">
            <w:pPr>
              <w:pStyle w:val="TableParagraph"/>
              <w:spacing w:before="1"/>
              <w:ind w:left="111"/>
              <w:rPr>
                <w:sz w:val="20"/>
              </w:rPr>
            </w:pPr>
            <w:r>
              <w:rPr>
                <w:sz w:val="20"/>
              </w:rPr>
              <w:t>of</w:t>
            </w:r>
            <w:r>
              <w:rPr>
                <w:spacing w:val="-7"/>
                <w:sz w:val="20"/>
              </w:rPr>
              <w:t xml:space="preserve"> </w:t>
            </w:r>
            <w:r>
              <w:rPr>
                <w:spacing w:val="-2"/>
                <w:sz w:val="20"/>
              </w:rPr>
              <w:t>shares</w:t>
            </w:r>
          </w:p>
        </w:tc>
        <w:tc>
          <w:tcPr>
            <w:tcW w:w="1622" w:type="dxa"/>
            <w:tcBorders>
              <w:bottom w:val="nil"/>
            </w:tcBorders>
          </w:tcPr>
          <w:p w14:paraId="7A5949DD" w14:textId="77777777" w:rsidR="00BB77C0" w:rsidRDefault="00370BAA">
            <w:pPr>
              <w:pStyle w:val="TableParagraph"/>
              <w:ind w:left="112" w:right="139"/>
              <w:rPr>
                <w:sz w:val="20"/>
              </w:rPr>
            </w:pPr>
            <w:r>
              <w:rPr>
                <w:spacing w:val="-2"/>
                <w:sz w:val="20"/>
              </w:rPr>
              <w:t>…….%</w:t>
            </w:r>
            <w:r>
              <w:rPr>
                <w:spacing w:val="-18"/>
                <w:sz w:val="20"/>
              </w:rPr>
              <w:t xml:space="preserve"> </w:t>
            </w:r>
            <w:r>
              <w:rPr>
                <w:spacing w:val="-2"/>
                <w:sz w:val="20"/>
              </w:rPr>
              <w:t>of</w:t>
            </w:r>
            <w:r>
              <w:rPr>
                <w:spacing w:val="-12"/>
                <w:sz w:val="20"/>
              </w:rPr>
              <w:t xml:space="preserve"> </w:t>
            </w:r>
            <w:r>
              <w:rPr>
                <w:spacing w:val="-2"/>
                <w:sz w:val="20"/>
              </w:rPr>
              <w:t>voting rights</w:t>
            </w:r>
          </w:p>
        </w:tc>
        <w:tc>
          <w:tcPr>
            <w:tcW w:w="2155" w:type="dxa"/>
            <w:vMerge w:val="restart"/>
          </w:tcPr>
          <w:p w14:paraId="4E73A7FC" w14:textId="77777777" w:rsidR="00BB77C0" w:rsidRDefault="00370BAA">
            <w:pPr>
              <w:pStyle w:val="TableParagraph"/>
              <w:numPr>
                <w:ilvl w:val="0"/>
                <w:numId w:val="3"/>
              </w:numPr>
              <w:tabs>
                <w:tab w:val="left" w:pos="287"/>
              </w:tabs>
              <w:ind w:right="75"/>
              <w:jc w:val="both"/>
              <w:rPr>
                <w:sz w:val="20"/>
              </w:rPr>
            </w:pPr>
            <w:r>
              <w:rPr>
                <w:sz w:val="20"/>
              </w:rPr>
              <w:t>Having the right to appoint a majority of the board of the directors or an equivalent governing body</w:t>
            </w:r>
            <w:r>
              <w:rPr>
                <w:spacing w:val="-1"/>
                <w:sz w:val="20"/>
              </w:rPr>
              <w:t xml:space="preserve"> </w:t>
            </w:r>
            <w:r>
              <w:rPr>
                <w:sz w:val="20"/>
              </w:rPr>
              <w:t>of the Tenderer: Yes -----No----</w:t>
            </w:r>
          </w:p>
          <w:p w14:paraId="46003C66" w14:textId="77777777" w:rsidR="00BB77C0" w:rsidRDefault="00370BAA">
            <w:pPr>
              <w:pStyle w:val="TableParagraph"/>
              <w:numPr>
                <w:ilvl w:val="0"/>
                <w:numId w:val="3"/>
              </w:numPr>
              <w:tabs>
                <w:tab w:val="left" w:pos="287"/>
              </w:tabs>
              <w:ind w:right="76"/>
              <w:jc w:val="both"/>
              <w:rPr>
                <w:sz w:val="20"/>
              </w:rPr>
            </w:pPr>
            <w:r>
              <w:rPr>
                <w:sz w:val="20"/>
              </w:rPr>
              <w:t>Is this right held directly</w:t>
            </w:r>
            <w:r>
              <w:rPr>
                <w:spacing w:val="-16"/>
                <w:sz w:val="20"/>
              </w:rPr>
              <w:t xml:space="preserve"> </w:t>
            </w:r>
            <w:r>
              <w:rPr>
                <w:sz w:val="20"/>
              </w:rPr>
              <w:t>or</w:t>
            </w:r>
            <w:r>
              <w:rPr>
                <w:spacing w:val="-13"/>
                <w:sz w:val="20"/>
              </w:rPr>
              <w:t xml:space="preserve"> </w:t>
            </w:r>
            <w:r>
              <w:rPr>
                <w:sz w:val="20"/>
              </w:rPr>
              <w:t>indirectly?:</w:t>
            </w:r>
          </w:p>
          <w:p w14:paraId="1219E455" w14:textId="77777777" w:rsidR="00BB77C0" w:rsidRDefault="00BB77C0">
            <w:pPr>
              <w:pStyle w:val="TableParagraph"/>
              <w:rPr>
                <w:b/>
                <w:sz w:val="20"/>
              </w:rPr>
            </w:pPr>
          </w:p>
          <w:p w14:paraId="06594B1A" w14:textId="77777777" w:rsidR="00BB77C0" w:rsidRDefault="00BB77C0">
            <w:pPr>
              <w:pStyle w:val="TableParagraph"/>
              <w:spacing w:before="1"/>
              <w:rPr>
                <w:b/>
                <w:sz w:val="20"/>
              </w:rPr>
            </w:pPr>
          </w:p>
          <w:p w14:paraId="2AA2DD18" w14:textId="77777777" w:rsidR="00BB77C0" w:rsidRDefault="00370BAA">
            <w:pPr>
              <w:pStyle w:val="TableParagraph"/>
              <w:spacing w:line="228" w:lineRule="exact"/>
              <w:ind w:left="287"/>
              <w:rPr>
                <w:sz w:val="20"/>
              </w:rPr>
            </w:pPr>
            <w:r>
              <w:rPr>
                <w:spacing w:val="-2"/>
                <w:sz w:val="20"/>
              </w:rPr>
              <w:t>Direct………………</w:t>
            </w:r>
          </w:p>
          <w:p w14:paraId="4508A17C" w14:textId="77777777" w:rsidR="00BB77C0" w:rsidRDefault="00370BAA">
            <w:pPr>
              <w:pStyle w:val="TableParagraph"/>
              <w:spacing w:line="228" w:lineRule="exact"/>
              <w:ind w:left="287"/>
              <w:rPr>
                <w:sz w:val="20"/>
              </w:rPr>
            </w:pPr>
            <w:r>
              <w:rPr>
                <w:spacing w:val="-10"/>
                <w:sz w:val="20"/>
              </w:rPr>
              <w:t>…</w:t>
            </w:r>
          </w:p>
          <w:p w14:paraId="7727DBA0" w14:textId="77777777" w:rsidR="00BB77C0" w:rsidRDefault="00BB77C0">
            <w:pPr>
              <w:pStyle w:val="TableParagraph"/>
              <w:spacing w:before="226"/>
              <w:rPr>
                <w:b/>
                <w:sz w:val="20"/>
              </w:rPr>
            </w:pPr>
          </w:p>
          <w:p w14:paraId="4F217133" w14:textId="77777777" w:rsidR="00BB77C0" w:rsidRDefault="00370BAA">
            <w:pPr>
              <w:pStyle w:val="TableParagraph"/>
              <w:ind w:left="287"/>
              <w:rPr>
                <w:sz w:val="20"/>
              </w:rPr>
            </w:pPr>
            <w:r>
              <w:rPr>
                <w:spacing w:val="-2"/>
                <w:sz w:val="20"/>
              </w:rPr>
              <w:t>Indirect……………</w:t>
            </w:r>
          </w:p>
          <w:p w14:paraId="510096E8" w14:textId="77777777" w:rsidR="00BB77C0" w:rsidRDefault="00370BAA">
            <w:pPr>
              <w:pStyle w:val="TableParagraph"/>
              <w:spacing w:before="1"/>
              <w:ind w:left="287"/>
              <w:rPr>
                <w:sz w:val="20"/>
              </w:rPr>
            </w:pPr>
            <w:r>
              <w:rPr>
                <w:spacing w:val="-4"/>
                <w:sz w:val="20"/>
              </w:rPr>
              <w:t>…...</w:t>
            </w:r>
          </w:p>
        </w:tc>
        <w:tc>
          <w:tcPr>
            <w:tcW w:w="1805" w:type="dxa"/>
            <w:vMerge w:val="restart"/>
          </w:tcPr>
          <w:p w14:paraId="1EAA12E8" w14:textId="77777777" w:rsidR="00BB77C0" w:rsidRDefault="00370BAA">
            <w:pPr>
              <w:pStyle w:val="TableParagraph"/>
              <w:numPr>
                <w:ilvl w:val="0"/>
                <w:numId w:val="2"/>
              </w:numPr>
              <w:tabs>
                <w:tab w:val="left" w:pos="285"/>
                <w:tab w:val="left" w:pos="287"/>
              </w:tabs>
              <w:ind w:right="112"/>
              <w:rPr>
                <w:b/>
                <w:sz w:val="20"/>
              </w:rPr>
            </w:pPr>
            <w:r>
              <w:rPr>
                <w:spacing w:val="-2"/>
                <w:sz w:val="20"/>
              </w:rPr>
              <w:t xml:space="preserve">Exercises significant </w:t>
            </w:r>
            <w:r>
              <w:rPr>
                <w:sz w:val="20"/>
              </w:rPr>
              <w:t xml:space="preserve">influence or control over the </w:t>
            </w:r>
            <w:r>
              <w:rPr>
                <w:spacing w:val="-2"/>
                <w:sz w:val="20"/>
              </w:rPr>
              <w:t>Company</w:t>
            </w:r>
            <w:r>
              <w:rPr>
                <w:spacing w:val="-16"/>
                <w:sz w:val="20"/>
              </w:rPr>
              <w:t xml:space="preserve"> </w:t>
            </w:r>
            <w:r>
              <w:rPr>
                <w:spacing w:val="-2"/>
                <w:sz w:val="20"/>
              </w:rPr>
              <w:t>body</w:t>
            </w:r>
            <w:r>
              <w:rPr>
                <w:spacing w:val="-17"/>
                <w:sz w:val="20"/>
              </w:rPr>
              <w:t xml:space="preserve"> </w:t>
            </w:r>
            <w:r>
              <w:rPr>
                <w:spacing w:val="-2"/>
                <w:sz w:val="20"/>
              </w:rPr>
              <w:t xml:space="preserve">of </w:t>
            </w:r>
            <w:r>
              <w:rPr>
                <w:sz w:val="20"/>
              </w:rPr>
              <w:t xml:space="preserve">the Company </w:t>
            </w:r>
            <w:r>
              <w:rPr>
                <w:spacing w:val="-2"/>
                <w:sz w:val="20"/>
              </w:rPr>
              <w:t>(tenderer</w:t>
            </w:r>
            <w:r>
              <w:rPr>
                <w:b/>
                <w:spacing w:val="-2"/>
                <w:sz w:val="20"/>
              </w:rPr>
              <w:t>)</w:t>
            </w:r>
          </w:p>
          <w:p w14:paraId="7DA412D6" w14:textId="77777777" w:rsidR="00BB77C0" w:rsidRDefault="00370BAA">
            <w:pPr>
              <w:pStyle w:val="TableParagraph"/>
              <w:spacing w:line="229" w:lineRule="exact"/>
              <w:ind w:left="258"/>
              <w:rPr>
                <w:sz w:val="20"/>
              </w:rPr>
            </w:pPr>
            <w:r>
              <w:rPr>
                <w:spacing w:val="-2"/>
                <w:sz w:val="20"/>
              </w:rPr>
              <w:t>Yes</w:t>
            </w:r>
            <w:r>
              <w:rPr>
                <w:spacing w:val="4"/>
                <w:sz w:val="20"/>
              </w:rPr>
              <w:t xml:space="preserve"> </w:t>
            </w:r>
            <w:r>
              <w:rPr>
                <w:spacing w:val="-2"/>
                <w:sz w:val="20"/>
              </w:rPr>
              <w:t>-----No---</w:t>
            </w:r>
            <w:r>
              <w:rPr>
                <w:spacing w:val="-10"/>
                <w:sz w:val="20"/>
              </w:rPr>
              <w:t>-</w:t>
            </w:r>
          </w:p>
          <w:p w14:paraId="1A73A3AA" w14:textId="77777777" w:rsidR="00BB77C0" w:rsidRDefault="00370BAA">
            <w:pPr>
              <w:pStyle w:val="TableParagraph"/>
              <w:numPr>
                <w:ilvl w:val="0"/>
                <w:numId w:val="2"/>
              </w:numPr>
              <w:tabs>
                <w:tab w:val="left" w:pos="285"/>
                <w:tab w:val="left" w:pos="287"/>
              </w:tabs>
              <w:spacing w:before="226"/>
              <w:ind w:right="98"/>
              <w:rPr>
                <w:sz w:val="20"/>
              </w:rPr>
            </w:pPr>
            <w:r>
              <w:rPr>
                <w:sz w:val="20"/>
              </w:rPr>
              <w:t xml:space="preserve">Is this influence or control </w:t>
            </w:r>
            <w:r>
              <w:rPr>
                <w:spacing w:val="-2"/>
                <w:sz w:val="20"/>
              </w:rPr>
              <w:t>exercised</w:t>
            </w:r>
            <w:r>
              <w:rPr>
                <w:spacing w:val="-11"/>
                <w:sz w:val="20"/>
              </w:rPr>
              <w:t xml:space="preserve"> </w:t>
            </w:r>
            <w:r>
              <w:rPr>
                <w:spacing w:val="-2"/>
                <w:sz w:val="20"/>
              </w:rPr>
              <w:t xml:space="preserve">directly </w:t>
            </w:r>
            <w:r>
              <w:rPr>
                <w:sz w:val="20"/>
              </w:rPr>
              <w:t>or indirectly?</w:t>
            </w:r>
          </w:p>
          <w:p w14:paraId="615A776A" w14:textId="77777777" w:rsidR="00BB77C0" w:rsidRDefault="00370BAA">
            <w:pPr>
              <w:pStyle w:val="TableParagraph"/>
              <w:spacing w:before="228" w:line="547" w:lineRule="auto"/>
              <w:ind w:left="167" w:hanging="53"/>
              <w:rPr>
                <w:sz w:val="20"/>
              </w:rPr>
            </w:pPr>
            <w:r>
              <w:rPr>
                <w:spacing w:val="-2"/>
                <w:sz w:val="20"/>
              </w:rPr>
              <w:t xml:space="preserve">Direct………….. </w:t>
            </w:r>
            <w:r>
              <w:rPr>
                <w:spacing w:val="-4"/>
                <w:sz w:val="20"/>
              </w:rPr>
              <w:t>Indirect…………</w:t>
            </w:r>
          </w:p>
        </w:tc>
      </w:tr>
      <w:tr w:rsidR="00BB77C0" w14:paraId="7CDD0059" w14:textId="77777777">
        <w:trPr>
          <w:trHeight w:val="1041"/>
        </w:trPr>
        <w:tc>
          <w:tcPr>
            <w:tcW w:w="451" w:type="dxa"/>
            <w:vMerge/>
            <w:tcBorders>
              <w:top w:val="nil"/>
            </w:tcBorders>
          </w:tcPr>
          <w:p w14:paraId="3CFB6FFE" w14:textId="77777777" w:rsidR="00BB77C0" w:rsidRDefault="00BB77C0">
            <w:pPr>
              <w:rPr>
                <w:sz w:val="2"/>
                <w:szCs w:val="2"/>
              </w:rPr>
            </w:pPr>
          </w:p>
        </w:tc>
        <w:tc>
          <w:tcPr>
            <w:tcW w:w="1704" w:type="dxa"/>
          </w:tcPr>
          <w:p w14:paraId="150444AF" w14:textId="77777777" w:rsidR="00BB77C0" w:rsidRDefault="00370BAA">
            <w:pPr>
              <w:pStyle w:val="TableParagraph"/>
              <w:spacing w:before="53"/>
              <w:ind w:left="110" w:right="406"/>
              <w:rPr>
                <w:sz w:val="20"/>
              </w:rPr>
            </w:pPr>
            <w:r>
              <w:rPr>
                <w:spacing w:val="-2"/>
                <w:sz w:val="20"/>
              </w:rPr>
              <w:t xml:space="preserve">Personal Identification </w:t>
            </w:r>
            <w:r>
              <w:rPr>
                <w:spacing w:val="-8"/>
                <w:sz w:val="20"/>
              </w:rPr>
              <w:t>Number</w:t>
            </w:r>
            <w:r>
              <w:rPr>
                <w:spacing w:val="-7"/>
                <w:sz w:val="20"/>
              </w:rPr>
              <w:t xml:space="preserve"> </w:t>
            </w:r>
            <w:r>
              <w:rPr>
                <w:spacing w:val="-8"/>
                <w:sz w:val="20"/>
              </w:rPr>
              <w:t xml:space="preserve">(where </w:t>
            </w:r>
            <w:r>
              <w:rPr>
                <w:spacing w:val="-2"/>
                <w:sz w:val="20"/>
              </w:rPr>
              <w:t>applicable)</w:t>
            </w:r>
          </w:p>
        </w:tc>
        <w:tc>
          <w:tcPr>
            <w:tcW w:w="1800" w:type="dxa"/>
          </w:tcPr>
          <w:p w14:paraId="5FCBA625" w14:textId="77777777" w:rsidR="00BB77C0" w:rsidRDefault="00BB77C0">
            <w:pPr>
              <w:pStyle w:val="TableParagraph"/>
              <w:rPr>
                <w:sz w:val="20"/>
              </w:rPr>
            </w:pPr>
          </w:p>
        </w:tc>
        <w:tc>
          <w:tcPr>
            <w:tcW w:w="1257" w:type="dxa"/>
            <w:tcBorders>
              <w:top w:val="nil"/>
              <w:bottom w:val="nil"/>
            </w:tcBorders>
          </w:tcPr>
          <w:p w14:paraId="22B1B89A" w14:textId="77777777" w:rsidR="00BB77C0" w:rsidRDefault="00BB77C0">
            <w:pPr>
              <w:pStyle w:val="TableParagraph"/>
              <w:spacing w:before="48"/>
              <w:rPr>
                <w:b/>
                <w:sz w:val="20"/>
              </w:rPr>
            </w:pPr>
          </w:p>
          <w:p w14:paraId="1703B9A6" w14:textId="77777777" w:rsidR="00BB77C0" w:rsidRDefault="00370BAA">
            <w:pPr>
              <w:pStyle w:val="TableParagraph"/>
              <w:ind w:left="111"/>
              <w:rPr>
                <w:sz w:val="20"/>
              </w:rPr>
            </w:pPr>
            <w:r>
              <w:rPr>
                <w:spacing w:val="-6"/>
                <w:sz w:val="20"/>
              </w:rPr>
              <w:t>Indirectly---</w:t>
            </w:r>
            <w:r>
              <w:rPr>
                <w:spacing w:val="-10"/>
                <w:sz w:val="20"/>
              </w:rPr>
              <w:t>-</w:t>
            </w:r>
          </w:p>
          <w:p w14:paraId="04F5D6A5" w14:textId="77777777" w:rsidR="00BB77C0" w:rsidRDefault="00370BAA">
            <w:pPr>
              <w:pStyle w:val="TableParagraph"/>
              <w:tabs>
                <w:tab w:val="left" w:leader="hyphen" w:pos="832"/>
              </w:tabs>
              <w:spacing w:before="1"/>
              <w:ind w:left="111"/>
              <w:rPr>
                <w:sz w:val="20"/>
              </w:rPr>
            </w:pPr>
            <w:r>
              <w:rPr>
                <w:spacing w:val="-10"/>
                <w:sz w:val="20"/>
              </w:rPr>
              <w:t>-</w:t>
            </w:r>
            <w:r>
              <w:rPr>
                <w:sz w:val="20"/>
              </w:rPr>
              <w:tab/>
            </w:r>
            <w:r>
              <w:rPr>
                <w:spacing w:val="-10"/>
                <w:sz w:val="20"/>
              </w:rPr>
              <w:t>%</w:t>
            </w:r>
          </w:p>
          <w:p w14:paraId="66383A67" w14:textId="77777777" w:rsidR="00BB77C0" w:rsidRDefault="00370BAA">
            <w:pPr>
              <w:pStyle w:val="TableParagraph"/>
              <w:ind w:left="111"/>
              <w:rPr>
                <w:sz w:val="20"/>
              </w:rPr>
            </w:pPr>
            <w:r>
              <w:rPr>
                <w:sz w:val="20"/>
              </w:rPr>
              <w:t>of</w:t>
            </w:r>
            <w:r>
              <w:rPr>
                <w:spacing w:val="-7"/>
                <w:sz w:val="20"/>
              </w:rPr>
              <w:t xml:space="preserve"> </w:t>
            </w:r>
            <w:r>
              <w:rPr>
                <w:spacing w:val="-2"/>
                <w:sz w:val="20"/>
              </w:rPr>
              <w:t>shares</w:t>
            </w:r>
          </w:p>
        </w:tc>
        <w:tc>
          <w:tcPr>
            <w:tcW w:w="1622" w:type="dxa"/>
            <w:tcBorders>
              <w:top w:val="nil"/>
              <w:bottom w:val="nil"/>
            </w:tcBorders>
          </w:tcPr>
          <w:p w14:paraId="16255FAE" w14:textId="77777777" w:rsidR="00BB77C0" w:rsidRDefault="00370BAA">
            <w:pPr>
              <w:pStyle w:val="TableParagraph"/>
              <w:spacing w:line="218" w:lineRule="exact"/>
              <w:ind w:left="112"/>
              <w:rPr>
                <w:sz w:val="20"/>
              </w:rPr>
            </w:pPr>
            <w:r>
              <w:rPr>
                <w:spacing w:val="-6"/>
                <w:sz w:val="20"/>
              </w:rPr>
              <w:t>Indirectly---------</w:t>
            </w:r>
            <w:r>
              <w:rPr>
                <w:spacing w:val="-10"/>
                <w:sz w:val="20"/>
              </w:rPr>
              <w:t>-</w:t>
            </w:r>
          </w:p>
          <w:p w14:paraId="32D45D05" w14:textId="77777777" w:rsidR="00BB77C0" w:rsidRDefault="00370BAA">
            <w:pPr>
              <w:pStyle w:val="TableParagraph"/>
              <w:ind w:left="112" w:right="206"/>
              <w:rPr>
                <w:sz w:val="20"/>
              </w:rPr>
            </w:pPr>
            <w:r>
              <w:rPr>
                <w:spacing w:val="-4"/>
                <w:sz w:val="20"/>
              </w:rPr>
              <w:t>%</w:t>
            </w:r>
            <w:r>
              <w:rPr>
                <w:spacing w:val="-14"/>
                <w:sz w:val="20"/>
              </w:rPr>
              <w:t xml:space="preserve"> </w:t>
            </w:r>
            <w:r>
              <w:rPr>
                <w:spacing w:val="-4"/>
                <w:sz w:val="20"/>
              </w:rPr>
              <w:t>of</w:t>
            </w:r>
            <w:r>
              <w:rPr>
                <w:spacing w:val="-12"/>
                <w:sz w:val="20"/>
              </w:rPr>
              <w:t xml:space="preserve"> </w:t>
            </w:r>
            <w:r>
              <w:rPr>
                <w:spacing w:val="-4"/>
                <w:sz w:val="20"/>
              </w:rPr>
              <w:t xml:space="preserve">voting </w:t>
            </w:r>
            <w:r>
              <w:rPr>
                <w:spacing w:val="-2"/>
                <w:sz w:val="20"/>
              </w:rPr>
              <w:t>rights</w:t>
            </w:r>
          </w:p>
        </w:tc>
        <w:tc>
          <w:tcPr>
            <w:tcW w:w="2155" w:type="dxa"/>
            <w:vMerge/>
            <w:tcBorders>
              <w:top w:val="nil"/>
            </w:tcBorders>
          </w:tcPr>
          <w:p w14:paraId="1801553F" w14:textId="77777777" w:rsidR="00BB77C0" w:rsidRDefault="00BB77C0">
            <w:pPr>
              <w:rPr>
                <w:sz w:val="2"/>
                <w:szCs w:val="2"/>
              </w:rPr>
            </w:pPr>
          </w:p>
        </w:tc>
        <w:tc>
          <w:tcPr>
            <w:tcW w:w="1805" w:type="dxa"/>
            <w:vMerge/>
            <w:tcBorders>
              <w:top w:val="nil"/>
            </w:tcBorders>
          </w:tcPr>
          <w:p w14:paraId="06300FDB" w14:textId="77777777" w:rsidR="00BB77C0" w:rsidRDefault="00BB77C0">
            <w:pPr>
              <w:rPr>
                <w:sz w:val="2"/>
                <w:szCs w:val="2"/>
              </w:rPr>
            </w:pPr>
          </w:p>
        </w:tc>
      </w:tr>
      <w:tr w:rsidR="00BB77C0" w14:paraId="43C7D4CD" w14:textId="77777777">
        <w:trPr>
          <w:trHeight w:val="350"/>
        </w:trPr>
        <w:tc>
          <w:tcPr>
            <w:tcW w:w="451" w:type="dxa"/>
            <w:vMerge/>
            <w:tcBorders>
              <w:top w:val="nil"/>
            </w:tcBorders>
          </w:tcPr>
          <w:p w14:paraId="45635496" w14:textId="77777777" w:rsidR="00BB77C0" w:rsidRDefault="00BB77C0">
            <w:pPr>
              <w:rPr>
                <w:sz w:val="2"/>
                <w:szCs w:val="2"/>
              </w:rPr>
            </w:pPr>
          </w:p>
        </w:tc>
        <w:tc>
          <w:tcPr>
            <w:tcW w:w="1704" w:type="dxa"/>
          </w:tcPr>
          <w:p w14:paraId="0EB0DAE2" w14:textId="77777777" w:rsidR="00BB77C0" w:rsidRDefault="00370BAA">
            <w:pPr>
              <w:pStyle w:val="TableParagraph"/>
              <w:spacing w:before="53"/>
              <w:ind w:left="110"/>
              <w:rPr>
                <w:sz w:val="20"/>
              </w:rPr>
            </w:pPr>
            <w:r>
              <w:rPr>
                <w:spacing w:val="-2"/>
                <w:sz w:val="20"/>
              </w:rPr>
              <w:t>Nationality(ies)</w:t>
            </w:r>
          </w:p>
        </w:tc>
        <w:tc>
          <w:tcPr>
            <w:tcW w:w="1800" w:type="dxa"/>
          </w:tcPr>
          <w:p w14:paraId="31C9C228" w14:textId="77777777" w:rsidR="00BB77C0" w:rsidRDefault="00BB77C0">
            <w:pPr>
              <w:pStyle w:val="TableParagraph"/>
              <w:rPr>
                <w:sz w:val="20"/>
              </w:rPr>
            </w:pPr>
          </w:p>
        </w:tc>
        <w:tc>
          <w:tcPr>
            <w:tcW w:w="1257" w:type="dxa"/>
            <w:tcBorders>
              <w:top w:val="nil"/>
              <w:bottom w:val="nil"/>
            </w:tcBorders>
          </w:tcPr>
          <w:p w14:paraId="242A38E6" w14:textId="77777777" w:rsidR="00BB77C0" w:rsidRDefault="00BB77C0">
            <w:pPr>
              <w:pStyle w:val="TableParagraph"/>
              <w:rPr>
                <w:sz w:val="20"/>
              </w:rPr>
            </w:pPr>
          </w:p>
        </w:tc>
        <w:tc>
          <w:tcPr>
            <w:tcW w:w="1622" w:type="dxa"/>
            <w:tcBorders>
              <w:top w:val="nil"/>
              <w:bottom w:val="nil"/>
            </w:tcBorders>
          </w:tcPr>
          <w:p w14:paraId="02D58429" w14:textId="77777777" w:rsidR="00BB77C0" w:rsidRDefault="00BB77C0">
            <w:pPr>
              <w:pStyle w:val="TableParagraph"/>
              <w:rPr>
                <w:sz w:val="20"/>
              </w:rPr>
            </w:pPr>
          </w:p>
        </w:tc>
        <w:tc>
          <w:tcPr>
            <w:tcW w:w="2155" w:type="dxa"/>
            <w:vMerge/>
            <w:tcBorders>
              <w:top w:val="nil"/>
            </w:tcBorders>
          </w:tcPr>
          <w:p w14:paraId="543BB9A3" w14:textId="77777777" w:rsidR="00BB77C0" w:rsidRDefault="00BB77C0">
            <w:pPr>
              <w:rPr>
                <w:sz w:val="2"/>
                <w:szCs w:val="2"/>
              </w:rPr>
            </w:pPr>
          </w:p>
        </w:tc>
        <w:tc>
          <w:tcPr>
            <w:tcW w:w="1805" w:type="dxa"/>
            <w:vMerge/>
            <w:tcBorders>
              <w:top w:val="nil"/>
            </w:tcBorders>
          </w:tcPr>
          <w:p w14:paraId="124D8A85" w14:textId="77777777" w:rsidR="00BB77C0" w:rsidRDefault="00BB77C0">
            <w:pPr>
              <w:rPr>
                <w:sz w:val="2"/>
                <w:szCs w:val="2"/>
              </w:rPr>
            </w:pPr>
          </w:p>
        </w:tc>
      </w:tr>
      <w:tr w:rsidR="00BB77C0" w14:paraId="23C8C6B8" w14:textId="77777777">
        <w:trPr>
          <w:trHeight w:val="580"/>
        </w:trPr>
        <w:tc>
          <w:tcPr>
            <w:tcW w:w="451" w:type="dxa"/>
            <w:vMerge/>
            <w:tcBorders>
              <w:top w:val="nil"/>
            </w:tcBorders>
          </w:tcPr>
          <w:p w14:paraId="643B970F" w14:textId="77777777" w:rsidR="00BB77C0" w:rsidRDefault="00BB77C0">
            <w:pPr>
              <w:rPr>
                <w:sz w:val="2"/>
                <w:szCs w:val="2"/>
              </w:rPr>
            </w:pPr>
          </w:p>
        </w:tc>
        <w:tc>
          <w:tcPr>
            <w:tcW w:w="1704" w:type="dxa"/>
          </w:tcPr>
          <w:p w14:paraId="5D1F0B71" w14:textId="77777777" w:rsidR="00BB77C0" w:rsidRDefault="00370BAA">
            <w:pPr>
              <w:pStyle w:val="TableParagraph"/>
              <w:spacing w:before="53"/>
              <w:ind w:left="110"/>
              <w:rPr>
                <w:sz w:val="20"/>
              </w:rPr>
            </w:pPr>
            <w:r>
              <w:rPr>
                <w:spacing w:val="-6"/>
                <w:sz w:val="20"/>
              </w:rPr>
              <w:t>Date</w:t>
            </w:r>
            <w:r>
              <w:rPr>
                <w:spacing w:val="-7"/>
                <w:sz w:val="20"/>
              </w:rPr>
              <w:t xml:space="preserve"> </w:t>
            </w:r>
            <w:r>
              <w:rPr>
                <w:spacing w:val="-6"/>
                <w:sz w:val="20"/>
              </w:rPr>
              <w:t>of</w:t>
            </w:r>
            <w:r>
              <w:rPr>
                <w:spacing w:val="-8"/>
                <w:sz w:val="20"/>
              </w:rPr>
              <w:t xml:space="preserve"> </w:t>
            </w:r>
            <w:r>
              <w:rPr>
                <w:spacing w:val="-6"/>
                <w:sz w:val="20"/>
              </w:rPr>
              <w:t>birth</w:t>
            </w:r>
          </w:p>
          <w:p w14:paraId="0B06C499" w14:textId="77777777" w:rsidR="00BB77C0" w:rsidRDefault="00370BAA">
            <w:pPr>
              <w:pStyle w:val="TableParagraph"/>
              <w:spacing w:before="5"/>
              <w:ind w:left="110"/>
              <w:rPr>
                <w:i/>
                <w:sz w:val="20"/>
              </w:rPr>
            </w:pPr>
            <w:r>
              <w:rPr>
                <w:i/>
                <w:spacing w:val="-2"/>
                <w:sz w:val="20"/>
              </w:rPr>
              <w:t>[dd/mm/yyyy]</w:t>
            </w:r>
          </w:p>
        </w:tc>
        <w:tc>
          <w:tcPr>
            <w:tcW w:w="1800" w:type="dxa"/>
          </w:tcPr>
          <w:p w14:paraId="1DB0CD31" w14:textId="77777777" w:rsidR="00BB77C0" w:rsidRDefault="00BB77C0">
            <w:pPr>
              <w:pStyle w:val="TableParagraph"/>
              <w:rPr>
                <w:sz w:val="20"/>
              </w:rPr>
            </w:pPr>
          </w:p>
        </w:tc>
        <w:tc>
          <w:tcPr>
            <w:tcW w:w="1257" w:type="dxa"/>
            <w:tcBorders>
              <w:top w:val="nil"/>
              <w:bottom w:val="nil"/>
            </w:tcBorders>
          </w:tcPr>
          <w:p w14:paraId="22BC9FB4" w14:textId="77777777" w:rsidR="00BB77C0" w:rsidRDefault="00BB77C0">
            <w:pPr>
              <w:pStyle w:val="TableParagraph"/>
              <w:rPr>
                <w:sz w:val="20"/>
              </w:rPr>
            </w:pPr>
          </w:p>
        </w:tc>
        <w:tc>
          <w:tcPr>
            <w:tcW w:w="1622" w:type="dxa"/>
            <w:tcBorders>
              <w:top w:val="nil"/>
              <w:bottom w:val="nil"/>
            </w:tcBorders>
          </w:tcPr>
          <w:p w14:paraId="39477A22" w14:textId="77777777" w:rsidR="00BB77C0" w:rsidRDefault="00BB77C0">
            <w:pPr>
              <w:pStyle w:val="TableParagraph"/>
              <w:rPr>
                <w:sz w:val="20"/>
              </w:rPr>
            </w:pPr>
          </w:p>
        </w:tc>
        <w:tc>
          <w:tcPr>
            <w:tcW w:w="2155" w:type="dxa"/>
            <w:vMerge/>
            <w:tcBorders>
              <w:top w:val="nil"/>
            </w:tcBorders>
          </w:tcPr>
          <w:p w14:paraId="0625379B" w14:textId="77777777" w:rsidR="00BB77C0" w:rsidRDefault="00BB77C0">
            <w:pPr>
              <w:rPr>
                <w:sz w:val="2"/>
                <w:szCs w:val="2"/>
              </w:rPr>
            </w:pPr>
          </w:p>
        </w:tc>
        <w:tc>
          <w:tcPr>
            <w:tcW w:w="1805" w:type="dxa"/>
            <w:vMerge/>
            <w:tcBorders>
              <w:top w:val="nil"/>
            </w:tcBorders>
          </w:tcPr>
          <w:p w14:paraId="5CD2F333" w14:textId="77777777" w:rsidR="00BB77C0" w:rsidRDefault="00BB77C0">
            <w:pPr>
              <w:rPr>
                <w:sz w:val="2"/>
                <w:szCs w:val="2"/>
              </w:rPr>
            </w:pPr>
          </w:p>
        </w:tc>
      </w:tr>
      <w:tr w:rsidR="00BB77C0" w14:paraId="054883D6" w14:textId="77777777">
        <w:trPr>
          <w:trHeight w:val="349"/>
        </w:trPr>
        <w:tc>
          <w:tcPr>
            <w:tcW w:w="451" w:type="dxa"/>
            <w:vMerge/>
            <w:tcBorders>
              <w:top w:val="nil"/>
            </w:tcBorders>
          </w:tcPr>
          <w:p w14:paraId="687C367E" w14:textId="77777777" w:rsidR="00BB77C0" w:rsidRDefault="00BB77C0">
            <w:pPr>
              <w:rPr>
                <w:sz w:val="2"/>
                <w:szCs w:val="2"/>
              </w:rPr>
            </w:pPr>
          </w:p>
        </w:tc>
        <w:tc>
          <w:tcPr>
            <w:tcW w:w="1704" w:type="dxa"/>
          </w:tcPr>
          <w:p w14:paraId="00435BB7" w14:textId="77777777" w:rsidR="00BB77C0" w:rsidRDefault="00370BAA">
            <w:pPr>
              <w:pStyle w:val="TableParagraph"/>
              <w:spacing w:before="53"/>
              <w:ind w:left="110"/>
              <w:rPr>
                <w:sz w:val="20"/>
              </w:rPr>
            </w:pPr>
            <w:r>
              <w:rPr>
                <w:spacing w:val="-6"/>
                <w:sz w:val="20"/>
              </w:rPr>
              <w:t>Postal</w:t>
            </w:r>
            <w:r>
              <w:rPr>
                <w:spacing w:val="-5"/>
                <w:sz w:val="20"/>
              </w:rPr>
              <w:t xml:space="preserve"> </w:t>
            </w:r>
            <w:r>
              <w:rPr>
                <w:spacing w:val="-2"/>
                <w:sz w:val="20"/>
              </w:rPr>
              <w:t>address</w:t>
            </w:r>
          </w:p>
        </w:tc>
        <w:tc>
          <w:tcPr>
            <w:tcW w:w="1800" w:type="dxa"/>
          </w:tcPr>
          <w:p w14:paraId="33222A16" w14:textId="77777777" w:rsidR="00BB77C0" w:rsidRDefault="00BB77C0">
            <w:pPr>
              <w:pStyle w:val="TableParagraph"/>
              <w:rPr>
                <w:sz w:val="20"/>
              </w:rPr>
            </w:pPr>
          </w:p>
        </w:tc>
        <w:tc>
          <w:tcPr>
            <w:tcW w:w="1257" w:type="dxa"/>
            <w:tcBorders>
              <w:top w:val="nil"/>
              <w:bottom w:val="nil"/>
            </w:tcBorders>
          </w:tcPr>
          <w:p w14:paraId="40B56715" w14:textId="77777777" w:rsidR="00BB77C0" w:rsidRDefault="00BB77C0">
            <w:pPr>
              <w:pStyle w:val="TableParagraph"/>
              <w:rPr>
                <w:sz w:val="20"/>
              </w:rPr>
            </w:pPr>
          </w:p>
        </w:tc>
        <w:tc>
          <w:tcPr>
            <w:tcW w:w="1622" w:type="dxa"/>
            <w:tcBorders>
              <w:top w:val="nil"/>
              <w:bottom w:val="nil"/>
            </w:tcBorders>
          </w:tcPr>
          <w:p w14:paraId="0A4077BC" w14:textId="77777777" w:rsidR="00BB77C0" w:rsidRDefault="00BB77C0">
            <w:pPr>
              <w:pStyle w:val="TableParagraph"/>
              <w:rPr>
                <w:sz w:val="20"/>
              </w:rPr>
            </w:pPr>
          </w:p>
        </w:tc>
        <w:tc>
          <w:tcPr>
            <w:tcW w:w="2155" w:type="dxa"/>
            <w:vMerge/>
            <w:tcBorders>
              <w:top w:val="nil"/>
            </w:tcBorders>
          </w:tcPr>
          <w:p w14:paraId="663E185F" w14:textId="77777777" w:rsidR="00BB77C0" w:rsidRDefault="00BB77C0">
            <w:pPr>
              <w:rPr>
                <w:sz w:val="2"/>
                <w:szCs w:val="2"/>
              </w:rPr>
            </w:pPr>
          </w:p>
        </w:tc>
        <w:tc>
          <w:tcPr>
            <w:tcW w:w="1805" w:type="dxa"/>
            <w:vMerge/>
            <w:tcBorders>
              <w:top w:val="nil"/>
            </w:tcBorders>
          </w:tcPr>
          <w:p w14:paraId="7739F3BD" w14:textId="77777777" w:rsidR="00BB77C0" w:rsidRDefault="00BB77C0">
            <w:pPr>
              <w:rPr>
                <w:sz w:val="2"/>
                <w:szCs w:val="2"/>
              </w:rPr>
            </w:pPr>
          </w:p>
        </w:tc>
      </w:tr>
      <w:tr w:rsidR="00BB77C0" w14:paraId="0899CF13" w14:textId="77777777">
        <w:trPr>
          <w:trHeight w:val="350"/>
        </w:trPr>
        <w:tc>
          <w:tcPr>
            <w:tcW w:w="451" w:type="dxa"/>
            <w:vMerge/>
            <w:tcBorders>
              <w:top w:val="nil"/>
            </w:tcBorders>
          </w:tcPr>
          <w:p w14:paraId="49F66B0E" w14:textId="77777777" w:rsidR="00BB77C0" w:rsidRDefault="00BB77C0">
            <w:pPr>
              <w:rPr>
                <w:sz w:val="2"/>
                <w:szCs w:val="2"/>
              </w:rPr>
            </w:pPr>
          </w:p>
        </w:tc>
        <w:tc>
          <w:tcPr>
            <w:tcW w:w="1704" w:type="dxa"/>
          </w:tcPr>
          <w:p w14:paraId="0D75C86A" w14:textId="77777777" w:rsidR="00BB77C0" w:rsidRDefault="00370BAA">
            <w:pPr>
              <w:pStyle w:val="TableParagraph"/>
              <w:spacing w:before="53"/>
              <w:ind w:left="110"/>
              <w:rPr>
                <w:sz w:val="20"/>
              </w:rPr>
            </w:pPr>
            <w:r>
              <w:rPr>
                <w:w w:val="90"/>
                <w:sz w:val="20"/>
              </w:rPr>
              <w:t>Residential</w:t>
            </w:r>
            <w:r>
              <w:rPr>
                <w:spacing w:val="15"/>
                <w:sz w:val="20"/>
              </w:rPr>
              <w:t xml:space="preserve"> </w:t>
            </w:r>
            <w:r>
              <w:rPr>
                <w:spacing w:val="-2"/>
                <w:sz w:val="20"/>
              </w:rPr>
              <w:t>address</w:t>
            </w:r>
          </w:p>
        </w:tc>
        <w:tc>
          <w:tcPr>
            <w:tcW w:w="1800" w:type="dxa"/>
          </w:tcPr>
          <w:p w14:paraId="7A963331" w14:textId="77777777" w:rsidR="00BB77C0" w:rsidRDefault="00BB77C0">
            <w:pPr>
              <w:pStyle w:val="TableParagraph"/>
              <w:rPr>
                <w:sz w:val="20"/>
              </w:rPr>
            </w:pPr>
          </w:p>
        </w:tc>
        <w:tc>
          <w:tcPr>
            <w:tcW w:w="1257" w:type="dxa"/>
            <w:tcBorders>
              <w:top w:val="nil"/>
              <w:bottom w:val="nil"/>
            </w:tcBorders>
          </w:tcPr>
          <w:p w14:paraId="6F36D0D7" w14:textId="77777777" w:rsidR="00BB77C0" w:rsidRDefault="00BB77C0">
            <w:pPr>
              <w:pStyle w:val="TableParagraph"/>
              <w:rPr>
                <w:sz w:val="20"/>
              </w:rPr>
            </w:pPr>
          </w:p>
        </w:tc>
        <w:tc>
          <w:tcPr>
            <w:tcW w:w="1622" w:type="dxa"/>
            <w:tcBorders>
              <w:top w:val="nil"/>
              <w:bottom w:val="nil"/>
            </w:tcBorders>
          </w:tcPr>
          <w:p w14:paraId="24F6B3A1" w14:textId="77777777" w:rsidR="00BB77C0" w:rsidRDefault="00BB77C0">
            <w:pPr>
              <w:pStyle w:val="TableParagraph"/>
              <w:rPr>
                <w:sz w:val="20"/>
              </w:rPr>
            </w:pPr>
          </w:p>
        </w:tc>
        <w:tc>
          <w:tcPr>
            <w:tcW w:w="2155" w:type="dxa"/>
            <w:vMerge/>
            <w:tcBorders>
              <w:top w:val="nil"/>
            </w:tcBorders>
          </w:tcPr>
          <w:p w14:paraId="2755F424" w14:textId="77777777" w:rsidR="00BB77C0" w:rsidRDefault="00BB77C0">
            <w:pPr>
              <w:rPr>
                <w:sz w:val="2"/>
                <w:szCs w:val="2"/>
              </w:rPr>
            </w:pPr>
          </w:p>
        </w:tc>
        <w:tc>
          <w:tcPr>
            <w:tcW w:w="1805" w:type="dxa"/>
            <w:vMerge/>
            <w:tcBorders>
              <w:top w:val="nil"/>
            </w:tcBorders>
          </w:tcPr>
          <w:p w14:paraId="2783DBF3" w14:textId="77777777" w:rsidR="00BB77C0" w:rsidRDefault="00BB77C0">
            <w:pPr>
              <w:rPr>
                <w:sz w:val="2"/>
                <w:szCs w:val="2"/>
              </w:rPr>
            </w:pPr>
          </w:p>
        </w:tc>
      </w:tr>
      <w:tr w:rsidR="00BB77C0" w14:paraId="12010FF3" w14:textId="77777777">
        <w:trPr>
          <w:trHeight w:val="350"/>
        </w:trPr>
        <w:tc>
          <w:tcPr>
            <w:tcW w:w="451" w:type="dxa"/>
            <w:vMerge/>
            <w:tcBorders>
              <w:top w:val="nil"/>
            </w:tcBorders>
          </w:tcPr>
          <w:p w14:paraId="0FA9BE8F" w14:textId="77777777" w:rsidR="00BB77C0" w:rsidRDefault="00BB77C0">
            <w:pPr>
              <w:rPr>
                <w:sz w:val="2"/>
                <w:szCs w:val="2"/>
              </w:rPr>
            </w:pPr>
          </w:p>
        </w:tc>
        <w:tc>
          <w:tcPr>
            <w:tcW w:w="1704" w:type="dxa"/>
          </w:tcPr>
          <w:p w14:paraId="7E001F54" w14:textId="77777777" w:rsidR="00BB77C0" w:rsidRDefault="00370BAA">
            <w:pPr>
              <w:pStyle w:val="TableParagraph"/>
              <w:spacing w:before="53"/>
              <w:ind w:left="110"/>
              <w:rPr>
                <w:sz w:val="20"/>
              </w:rPr>
            </w:pPr>
            <w:r>
              <w:rPr>
                <w:spacing w:val="-8"/>
                <w:sz w:val="20"/>
              </w:rPr>
              <w:t>Telephone</w:t>
            </w:r>
            <w:r>
              <w:rPr>
                <w:spacing w:val="-2"/>
                <w:sz w:val="20"/>
              </w:rPr>
              <w:t xml:space="preserve"> number</w:t>
            </w:r>
          </w:p>
        </w:tc>
        <w:tc>
          <w:tcPr>
            <w:tcW w:w="1800" w:type="dxa"/>
          </w:tcPr>
          <w:p w14:paraId="65BEE03C" w14:textId="77777777" w:rsidR="00BB77C0" w:rsidRDefault="00BB77C0">
            <w:pPr>
              <w:pStyle w:val="TableParagraph"/>
              <w:rPr>
                <w:sz w:val="20"/>
              </w:rPr>
            </w:pPr>
          </w:p>
        </w:tc>
        <w:tc>
          <w:tcPr>
            <w:tcW w:w="1257" w:type="dxa"/>
            <w:tcBorders>
              <w:top w:val="nil"/>
              <w:bottom w:val="nil"/>
            </w:tcBorders>
          </w:tcPr>
          <w:p w14:paraId="66AD4E69" w14:textId="77777777" w:rsidR="00BB77C0" w:rsidRDefault="00BB77C0">
            <w:pPr>
              <w:pStyle w:val="TableParagraph"/>
              <w:rPr>
                <w:sz w:val="20"/>
              </w:rPr>
            </w:pPr>
          </w:p>
        </w:tc>
        <w:tc>
          <w:tcPr>
            <w:tcW w:w="1622" w:type="dxa"/>
            <w:tcBorders>
              <w:top w:val="nil"/>
              <w:bottom w:val="nil"/>
            </w:tcBorders>
          </w:tcPr>
          <w:p w14:paraId="21A61293" w14:textId="77777777" w:rsidR="00BB77C0" w:rsidRDefault="00BB77C0">
            <w:pPr>
              <w:pStyle w:val="TableParagraph"/>
              <w:rPr>
                <w:sz w:val="20"/>
              </w:rPr>
            </w:pPr>
          </w:p>
        </w:tc>
        <w:tc>
          <w:tcPr>
            <w:tcW w:w="2155" w:type="dxa"/>
            <w:vMerge/>
            <w:tcBorders>
              <w:top w:val="nil"/>
            </w:tcBorders>
          </w:tcPr>
          <w:p w14:paraId="7B23519D" w14:textId="77777777" w:rsidR="00BB77C0" w:rsidRDefault="00BB77C0">
            <w:pPr>
              <w:rPr>
                <w:sz w:val="2"/>
                <w:szCs w:val="2"/>
              </w:rPr>
            </w:pPr>
          </w:p>
        </w:tc>
        <w:tc>
          <w:tcPr>
            <w:tcW w:w="1805" w:type="dxa"/>
            <w:vMerge/>
            <w:tcBorders>
              <w:top w:val="nil"/>
            </w:tcBorders>
          </w:tcPr>
          <w:p w14:paraId="14FEE76D" w14:textId="77777777" w:rsidR="00BB77C0" w:rsidRDefault="00BB77C0">
            <w:pPr>
              <w:rPr>
                <w:sz w:val="2"/>
                <w:szCs w:val="2"/>
              </w:rPr>
            </w:pPr>
          </w:p>
        </w:tc>
      </w:tr>
      <w:tr w:rsidR="00BB77C0" w14:paraId="1D2D392B" w14:textId="77777777">
        <w:trPr>
          <w:trHeight w:val="350"/>
        </w:trPr>
        <w:tc>
          <w:tcPr>
            <w:tcW w:w="451" w:type="dxa"/>
            <w:vMerge/>
            <w:tcBorders>
              <w:top w:val="nil"/>
            </w:tcBorders>
          </w:tcPr>
          <w:p w14:paraId="4DCD9E77" w14:textId="77777777" w:rsidR="00BB77C0" w:rsidRDefault="00BB77C0">
            <w:pPr>
              <w:rPr>
                <w:sz w:val="2"/>
                <w:szCs w:val="2"/>
              </w:rPr>
            </w:pPr>
          </w:p>
        </w:tc>
        <w:tc>
          <w:tcPr>
            <w:tcW w:w="1704" w:type="dxa"/>
          </w:tcPr>
          <w:p w14:paraId="6445161E" w14:textId="77777777" w:rsidR="00BB77C0" w:rsidRDefault="00370BAA">
            <w:pPr>
              <w:pStyle w:val="TableParagraph"/>
              <w:spacing w:before="53"/>
              <w:ind w:left="110"/>
              <w:rPr>
                <w:sz w:val="20"/>
              </w:rPr>
            </w:pPr>
            <w:r>
              <w:rPr>
                <w:spacing w:val="-7"/>
                <w:sz w:val="20"/>
              </w:rPr>
              <w:t>Email</w:t>
            </w:r>
            <w:r>
              <w:rPr>
                <w:spacing w:val="-9"/>
                <w:sz w:val="20"/>
              </w:rPr>
              <w:t xml:space="preserve"> </w:t>
            </w:r>
            <w:r>
              <w:rPr>
                <w:spacing w:val="-2"/>
                <w:sz w:val="20"/>
              </w:rPr>
              <w:t>address</w:t>
            </w:r>
          </w:p>
        </w:tc>
        <w:tc>
          <w:tcPr>
            <w:tcW w:w="1800" w:type="dxa"/>
          </w:tcPr>
          <w:p w14:paraId="496E6366" w14:textId="77777777" w:rsidR="00BB77C0" w:rsidRDefault="00BB77C0">
            <w:pPr>
              <w:pStyle w:val="TableParagraph"/>
              <w:rPr>
                <w:sz w:val="20"/>
              </w:rPr>
            </w:pPr>
          </w:p>
        </w:tc>
        <w:tc>
          <w:tcPr>
            <w:tcW w:w="1257" w:type="dxa"/>
            <w:tcBorders>
              <w:top w:val="nil"/>
              <w:bottom w:val="nil"/>
            </w:tcBorders>
          </w:tcPr>
          <w:p w14:paraId="2AE82C7A" w14:textId="77777777" w:rsidR="00BB77C0" w:rsidRDefault="00BB77C0">
            <w:pPr>
              <w:pStyle w:val="TableParagraph"/>
              <w:rPr>
                <w:sz w:val="20"/>
              </w:rPr>
            </w:pPr>
          </w:p>
        </w:tc>
        <w:tc>
          <w:tcPr>
            <w:tcW w:w="1622" w:type="dxa"/>
            <w:tcBorders>
              <w:top w:val="nil"/>
              <w:bottom w:val="nil"/>
            </w:tcBorders>
          </w:tcPr>
          <w:p w14:paraId="27FF17CB" w14:textId="77777777" w:rsidR="00BB77C0" w:rsidRDefault="00BB77C0">
            <w:pPr>
              <w:pStyle w:val="TableParagraph"/>
              <w:rPr>
                <w:sz w:val="20"/>
              </w:rPr>
            </w:pPr>
          </w:p>
        </w:tc>
        <w:tc>
          <w:tcPr>
            <w:tcW w:w="2155" w:type="dxa"/>
            <w:vMerge/>
            <w:tcBorders>
              <w:top w:val="nil"/>
            </w:tcBorders>
          </w:tcPr>
          <w:p w14:paraId="00408790" w14:textId="77777777" w:rsidR="00BB77C0" w:rsidRDefault="00BB77C0">
            <w:pPr>
              <w:rPr>
                <w:sz w:val="2"/>
                <w:szCs w:val="2"/>
              </w:rPr>
            </w:pPr>
          </w:p>
        </w:tc>
        <w:tc>
          <w:tcPr>
            <w:tcW w:w="1805" w:type="dxa"/>
            <w:vMerge/>
            <w:tcBorders>
              <w:top w:val="nil"/>
            </w:tcBorders>
          </w:tcPr>
          <w:p w14:paraId="469D575C" w14:textId="77777777" w:rsidR="00BB77C0" w:rsidRDefault="00BB77C0">
            <w:pPr>
              <w:rPr>
                <w:sz w:val="2"/>
                <w:szCs w:val="2"/>
              </w:rPr>
            </w:pPr>
          </w:p>
        </w:tc>
      </w:tr>
      <w:tr w:rsidR="00BB77C0" w14:paraId="51CD5E73" w14:textId="77777777">
        <w:trPr>
          <w:trHeight w:val="575"/>
        </w:trPr>
        <w:tc>
          <w:tcPr>
            <w:tcW w:w="451" w:type="dxa"/>
            <w:vMerge/>
            <w:tcBorders>
              <w:top w:val="nil"/>
            </w:tcBorders>
          </w:tcPr>
          <w:p w14:paraId="6AF6F931" w14:textId="77777777" w:rsidR="00BB77C0" w:rsidRDefault="00BB77C0">
            <w:pPr>
              <w:rPr>
                <w:sz w:val="2"/>
                <w:szCs w:val="2"/>
              </w:rPr>
            </w:pPr>
          </w:p>
        </w:tc>
        <w:tc>
          <w:tcPr>
            <w:tcW w:w="1704" w:type="dxa"/>
          </w:tcPr>
          <w:p w14:paraId="1FC2AD16" w14:textId="77777777" w:rsidR="00BB77C0" w:rsidRDefault="00370BAA">
            <w:pPr>
              <w:pStyle w:val="TableParagraph"/>
              <w:spacing w:before="53"/>
              <w:ind w:left="110"/>
              <w:rPr>
                <w:sz w:val="20"/>
              </w:rPr>
            </w:pPr>
            <w:r>
              <w:rPr>
                <w:spacing w:val="-8"/>
                <w:sz w:val="20"/>
              </w:rPr>
              <w:t>Occupation</w:t>
            </w:r>
            <w:r>
              <w:rPr>
                <w:spacing w:val="-7"/>
                <w:sz w:val="20"/>
              </w:rPr>
              <w:t xml:space="preserve"> </w:t>
            </w:r>
            <w:r>
              <w:rPr>
                <w:spacing w:val="-8"/>
                <w:sz w:val="20"/>
              </w:rPr>
              <w:t xml:space="preserve">or </w:t>
            </w:r>
            <w:r>
              <w:rPr>
                <w:spacing w:val="-2"/>
                <w:sz w:val="20"/>
              </w:rPr>
              <w:t>profession</w:t>
            </w:r>
          </w:p>
        </w:tc>
        <w:tc>
          <w:tcPr>
            <w:tcW w:w="1800" w:type="dxa"/>
          </w:tcPr>
          <w:p w14:paraId="0A76E835" w14:textId="77777777" w:rsidR="00BB77C0" w:rsidRDefault="00BB77C0">
            <w:pPr>
              <w:pStyle w:val="TableParagraph"/>
              <w:rPr>
                <w:sz w:val="20"/>
              </w:rPr>
            </w:pPr>
          </w:p>
        </w:tc>
        <w:tc>
          <w:tcPr>
            <w:tcW w:w="1257" w:type="dxa"/>
            <w:tcBorders>
              <w:top w:val="nil"/>
            </w:tcBorders>
          </w:tcPr>
          <w:p w14:paraId="0EB6EA1C" w14:textId="77777777" w:rsidR="00BB77C0" w:rsidRDefault="00BB77C0">
            <w:pPr>
              <w:pStyle w:val="TableParagraph"/>
              <w:rPr>
                <w:sz w:val="20"/>
              </w:rPr>
            </w:pPr>
          </w:p>
        </w:tc>
        <w:tc>
          <w:tcPr>
            <w:tcW w:w="1622" w:type="dxa"/>
            <w:tcBorders>
              <w:top w:val="nil"/>
            </w:tcBorders>
          </w:tcPr>
          <w:p w14:paraId="1A3FF822" w14:textId="77777777" w:rsidR="00BB77C0" w:rsidRDefault="00BB77C0">
            <w:pPr>
              <w:pStyle w:val="TableParagraph"/>
              <w:rPr>
                <w:sz w:val="20"/>
              </w:rPr>
            </w:pPr>
          </w:p>
        </w:tc>
        <w:tc>
          <w:tcPr>
            <w:tcW w:w="2155" w:type="dxa"/>
            <w:vMerge/>
            <w:tcBorders>
              <w:top w:val="nil"/>
            </w:tcBorders>
          </w:tcPr>
          <w:p w14:paraId="231F0087" w14:textId="77777777" w:rsidR="00BB77C0" w:rsidRDefault="00BB77C0">
            <w:pPr>
              <w:rPr>
                <w:sz w:val="2"/>
                <w:szCs w:val="2"/>
              </w:rPr>
            </w:pPr>
          </w:p>
        </w:tc>
        <w:tc>
          <w:tcPr>
            <w:tcW w:w="1805" w:type="dxa"/>
            <w:vMerge/>
            <w:tcBorders>
              <w:top w:val="nil"/>
            </w:tcBorders>
          </w:tcPr>
          <w:p w14:paraId="7763FC27" w14:textId="77777777" w:rsidR="00BB77C0" w:rsidRDefault="00BB77C0">
            <w:pPr>
              <w:rPr>
                <w:sz w:val="2"/>
                <w:szCs w:val="2"/>
              </w:rPr>
            </w:pPr>
          </w:p>
        </w:tc>
      </w:tr>
      <w:tr w:rsidR="00BB77C0" w14:paraId="6958D119" w14:textId="77777777">
        <w:trPr>
          <w:trHeight w:val="350"/>
        </w:trPr>
        <w:tc>
          <w:tcPr>
            <w:tcW w:w="10794" w:type="dxa"/>
            <w:gridSpan w:val="7"/>
            <w:shd w:val="clear" w:color="auto" w:fill="D9D9D9"/>
          </w:tcPr>
          <w:p w14:paraId="4EAD4C66" w14:textId="77777777" w:rsidR="00BB77C0" w:rsidRDefault="00BB77C0">
            <w:pPr>
              <w:pStyle w:val="TableParagraph"/>
              <w:rPr>
                <w:sz w:val="20"/>
              </w:rPr>
            </w:pPr>
          </w:p>
        </w:tc>
      </w:tr>
      <w:tr w:rsidR="00BB77C0" w14:paraId="593F89DA" w14:textId="77777777">
        <w:trPr>
          <w:trHeight w:val="350"/>
        </w:trPr>
        <w:tc>
          <w:tcPr>
            <w:tcW w:w="451" w:type="dxa"/>
            <w:vMerge w:val="restart"/>
          </w:tcPr>
          <w:p w14:paraId="0F5AA971" w14:textId="77777777" w:rsidR="00BB77C0" w:rsidRDefault="00370BAA">
            <w:pPr>
              <w:pStyle w:val="TableParagraph"/>
              <w:spacing w:before="63"/>
              <w:ind w:left="110"/>
              <w:rPr>
                <w:b/>
                <w:sz w:val="20"/>
              </w:rPr>
            </w:pPr>
            <w:r>
              <w:rPr>
                <w:b/>
                <w:spacing w:val="-5"/>
                <w:sz w:val="20"/>
              </w:rPr>
              <w:t>3.</w:t>
            </w:r>
          </w:p>
          <w:p w14:paraId="2423031C" w14:textId="77777777" w:rsidR="00BB77C0" w:rsidRDefault="00BB77C0">
            <w:pPr>
              <w:pStyle w:val="TableParagraph"/>
              <w:spacing w:before="120"/>
              <w:rPr>
                <w:b/>
                <w:sz w:val="20"/>
              </w:rPr>
            </w:pPr>
          </w:p>
          <w:p w14:paraId="6E3AFF58" w14:textId="77777777" w:rsidR="00BB77C0" w:rsidRDefault="00370BAA">
            <w:pPr>
              <w:pStyle w:val="TableParagraph"/>
              <w:spacing w:before="1"/>
              <w:ind w:left="110"/>
              <w:rPr>
                <w:b/>
                <w:sz w:val="20"/>
              </w:rPr>
            </w:pPr>
            <w:r>
              <w:rPr>
                <w:b/>
                <w:spacing w:val="-5"/>
                <w:sz w:val="20"/>
              </w:rPr>
              <w:t>e.t</w:t>
            </w:r>
          </w:p>
          <w:p w14:paraId="6862B952" w14:textId="77777777" w:rsidR="00BB77C0" w:rsidRDefault="00370BAA">
            <w:pPr>
              <w:pStyle w:val="TableParagraph"/>
              <w:ind w:left="110"/>
              <w:rPr>
                <w:b/>
                <w:sz w:val="20"/>
              </w:rPr>
            </w:pPr>
            <w:r>
              <w:rPr>
                <w:b/>
                <w:spacing w:val="-5"/>
                <w:sz w:val="20"/>
              </w:rPr>
              <w:t>.c</w:t>
            </w:r>
          </w:p>
        </w:tc>
        <w:tc>
          <w:tcPr>
            <w:tcW w:w="1704" w:type="dxa"/>
          </w:tcPr>
          <w:p w14:paraId="2E6C5D6D" w14:textId="77777777" w:rsidR="00BB77C0" w:rsidRDefault="00BB77C0">
            <w:pPr>
              <w:pStyle w:val="TableParagraph"/>
              <w:rPr>
                <w:sz w:val="20"/>
              </w:rPr>
            </w:pPr>
          </w:p>
        </w:tc>
        <w:tc>
          <w:tcPr>
            <w:tcW w:w="1800" w:type="dxa"/>
          </w:tcPr>
          <w:p w14:paraId="0E48E1E3" w14:textId="77777777" w:rsidR="00BB77C0" w:rsidRDefault="00BB77C0">
            <w:pPr>
              <w:pStyle w:val="TableParagraph"/>
              <w:rPr>
                <w:sz w:val="20"/>
              </w:rPr>
            </w:pPr>
          </w:p>
        </w:tc>
        <w:tc>
          <w:tcPr>
            <w:tcW w:w="1257" w:type="dxa"/>
            <w:vMerge w:val="restart"/>
          </w:tcPr>
          <w:p w14:paraId="1D0E794A" w14:textId="77777777" w:rsidR="00BB77C0" w:rsidRDefault="00BB77C0">
            <w:pPr>
              <w:pStyle w:val="TableParagraph"/>
              <w:rPr>
                <w:sz w:val="20"/>
              </w:rPr>
            </w:pPr>
          </w:p>
        </w:tc>
        <w:tc>
          <w:tcPr>
            <w:tcW w:w="1622" w:type="dxa"/>
            <w:vMerge w:val="restart"/>
          </w:tcPr>
          <w:p w14:paraId="4F4FCBB9" w14:textId="77777777" w:rsidR="00BB77C0" w:rsidRDefault="00BB77C0">
            <w:pPr>
              <w:pStyle w:val="TableParagraph"/>
              <w:rPr>
                <w:sz w:val="20"/>
              </w:rPr>
            </w:pPr>
          </w:p>
        </w:tc>
        <w:tc>
          <w:tcPr>
            <w:tcW w:w="2155" w:type="dxa"/>
            <w:vMerge w:val="restart"/>
          </w:tcPr>
          <w:p w14:paraId="434748C1" w14:textId="77777777" w:rsidR="00BB77C0" w:rsidRDefault="00BB77C0">
            <w:pPr>
              <w:pStyle w:val="TableParagraph"/>
              <w:rPr>
                <w:sz w:val="20"/>
              </w:rPr>
            </w:pPr>
          </w:p>
        </w:tc>
        <w:tc>
          <w:tcPr>
            <w:tcW w:w="1805" w:type="dxa"/>
          </w:tcPr>
          <w:p w14:paraId="20BEF812" w14:textId="77777777" w:rsidR="00BB77C0" w:rsidRDefault="00BB77C0">
            <w:pPr>
              <w:pStyle w:val="TableParagraph"/>
              <w:rPr>
                <w:sz w:val="20"/>
              </w:rPr>
            </w:pPr>
          </w:p>
        </w:tc>
      </w:tr>
      <w:tr w:rsidR="00BB77C0" w14:paraId="450D5346" w14:textId="77777777">
        <w:trPr>
          <w:trHeight w:val="350"/>
        </w:trPr>
        <w:tc>
          <w:tcPr>
            <w:tcW w:w="451" w:type="dxa"/>
            <w:vMerge/>
            <w:tcBorders>
              <w:top w:val="nil"/>
            </w:tcBorders>
          </w:tcPr>
          <w:p w14:paraId="75985CB0" w14:textId="77777777" w:rsidR="00BB77C0" w:rsidRDefault="00BB77C0">
            <w:pPr>
              <w:rPr>
                <w:sz w:val="2"/>
                <w:szCs w:val="2"/>
              </w:rPr>
            </w:pPr>
          </w:p>
        </w:tc>
        <w:tc>
          <w:tcPr>
            <w:tcW w:w="1704" w:type="dxa"/>
          </w:tcPr>
          <w:p w14:paraId="7128CCBD" w14:textId="77777777" w:rsidR="00BB77C0" w:rsidRDefault="00BB77C0">
            <w:pPr>
              <w:pStyle w:val="TableParagraph"/>
              <w:rPr>
                <w:sz w:val="20"/>
              </w:rPr>
            </w:pPr>
          </w:p>
        </w:tc>
        <w:tc>
          <w:tcPr>
            <w:tcW w:w="1800" w:type="dxa"/>
          </w:tcPr>
          <w:p w14:paraId="454351CA" w14:textId="77777777" w:rsidR="00BB77C0" w:rsidRDefault="00BB77C0">
            <w:pPr>
              <w:pStyle w:val="TableParagraph"/>
              <w:rPr>
                <w:sz w:val="20"/>
              </w:rPr>
            </w:pPr>
          </w:p>
        </w:tc>
        <w:tc>
          <w:tcPr>
            <w:tcW w:w="1257" w:type="dxa"/>
            <w:vMerge/>
            <w:tcBorders>
              <w:top w:val="nil"/>
            </w:tcBorders>
          </w:tcPr>
          <w:p w14:paraId="42A59836" w14:textId="77777777" w:rsidR="00BB77C0" w:rsidRDefault="00BB77C0">
            <w:pPr>
              <w:rPr>
                <w:sz w:val="2"/>
                <w:szCs w:val="2"/>
              </w:rPr>
            </w:pPr>
          </w:p>
        </w:tc>
        <w:tc>
          <w:tcPr>
            <w:tcW w:w="1622" w:type="dxa"/>
            <w:vMerge/>
            <w:tcBorders>
              <w:top w:val="nil"/>
            </w:tcBorders>
          </w:tcPr>
          <w:p w14:paraId="65CD23AF" w14:textId="77777777" w:rsidR="00BB77C0" w:rsidRDefault="00BB77C0">
            <w:pPr>
              <w:rPr>
                <w:sz w:val="2"/>
                <w:szCs w:val="2"/>
              </w:rPr>
            </w:pPr>
          </w:p>
        </w:tc>
        <w:tc>
          <w:tcPr>
            <w:tcW w:w="2155" w:type="dxa"/>
            <w:vMerge/>
            <w:tcBorders>
              <w:top w:val="nil"/>
            </w:tcBorders>
          </w:tcPr>
          <w:p w14:paraId="09DEE923" w14:textId="77777777" w:rsidR="00BB77C0" w:rsidRDefault="00BB77C0">
            <w:pPr>
              <w:rPr>
                <w:sz w:val="2"/>
                <w:szCs w:val="2"/>
              </w:rPr>
            </w:pPr>
          </w:p>
        </w:tc>
        <w:tc>
          <w:tcPr>
            <w:tcW w:w="1805" w:type="dxa"/>
          </w:tcPr>
          <w:p w14:paraId="47A2A128" w14:textId="77777777" w:rsidR="00BB77C0" w:rsidRDefault="00BB77C0">
            <w:pPr>
              <w:pStyle w:val="TableParagraph"/>
              <w:rPr>
                <w:sz w:val="20"/>
              </w:rPr>
            </w:pPr>
          </w:p>
        </w:tc>
      </w:tr>
      <w:tr w:rsidR="00BB77C0" w14:paraId="20537AD5" w14:textId="77777777">
        <w:trPr>
          <w:trHeight w:val="350"/>
        </w:trPr>
        <w:tc>
          <w:tcPr>
            <w:tcW w:w="451" w:type="dxa"/>
            <w:vMerge/>
            <w:tcBorders>
              <w:top w:val="nil"/>
            </w:tcBorders>
          </w:tcPr>
          <w:p w14:paraId="2B4072CE" w14:textId="77777777" w:rsidR="00BB77C0" w:rsidRDefault="00BB77C0">
            <w:pPr>
              <w:rPr>
                <w:sz w:val="2"/>
                <w:szCs w:val="2"/>
              </w:rPr>
            </w:pPr>
          </w:p>
        </w:tc>
        <w:tc>
          <w:tcPr>
            <w:tcW w:w="1704" w:type="dxa"/>
          </w:tcPr>
          <w:p w14:paraId="62812286" w14:textId="77777777" w:rsidR="00BB77C0" w:rsidRDefault="00BB77C0">
            <w:pPr>
              <w:pStyle w:val="TableParagraph"/>
              <w:rPr>
                <w:sz w:val="20"/>
              </w:rPr>
            </w:pPr>
          </w:p>
        </w:tc>
        <w:tc>
          <w:tcPr>
            <w:tcW w:w="1800" w:type="dxa"/>
          </w:tcPr>
          <w:p w14:paraId="0F1658C8" w14:textId="77777777" w:rsidR="00BB77C0" w:rsidRDefault="00BB77C0">
            <w:pPr>
              <w:pStyle w:val="TableParagraph"/>
              <w:rPr>
                <w:sz w:val="20"/>
              </w:rPr>
            </w:pPr>
          </w:p>
        </w:tc>
        <w:tc>
          <w:tcPr>
            <w:tcW w:w="1257" w:type="dxa"/>
            <w:vMerge/>
            <w:tcBorders>
              <w:top w:val="nil"/>
            </w:tcBorders>
          </w:tcPr>
          <w:p w14:paraId="6758ABEC" w14:textId="77777777" w:rsidR="00BB77C0" w:rsidRDefault="00BB77C0">
            <w:pPr>
              <w:rPr>
                <w:sz w:val="2"/>
                <w:szCs w:val="2"/>
              </w:rPr>
            </w:pPr>
          </w:p>
        </w:tc>
        <w:tc>
          <w:tcPr>
            <w:tcW w:w="1622" w:type="dxa"/>
            <w:vMerge/>
            <w:tcBorders>
              <w:top w:val="nil"/>
            </w:tcBorders>
          </w:tcPr>
          <w:p w14:paraId="4FC87093" w14:textId="77777777" w:rsidR="00BB77C0" w:rsidRDefault="00BB77C0">
            <w:pPr>
              <w:rPr>
                <w:sz w:val="2"/>
                <w:szCs w:val="2"/>
              </w:rPr>
            </w:pPr>
          </w:p>
        </w:tc>
        <w:tc>
          <w:tcPr>
            <w:tcW w:w="2155" w:type="dxa"/>
            <w:vMerge/>
            <w:tcBorders>
              <w:top w:val="nil"/>
            </w:tcBorders>
          </w:tcPr>
          <w:p w14:paraId="57938A32" w14:textId="77777777" w:rsidR="00BB77C0" w:rsidRDefault="00BB77C0">
            <w:pPr>
              <w:rPr>
                <w:sz w:val="2"/>
                <w:szCs w:val="2"/>
              </w:rPr>
            </w:pPr>
          </w:p>
        </w:tc>
        <w:tc>
          <w:tcPr>
            <w:tcW w:w="1805" w:type="dxa"/>
          </w:tcPr>
          <w:p w14:paraId="5229955A" w14:textId="77777777" w:rsidR="00BB77C0" w:rsidRDefault="00BB77C0">
            <w:pPr>
              <w:pStyle w:val="TableParagraph"/>
              <w:rPr>
                <w:sz w:val="20"/>
              </w:rPr>
            </w:pPr>
          </w:p>
        </w:tc>
      </w:tr>
      <w:tr w:rsidR="00BB77C0" w14:paraId="04FD08B1" w14:textId="77777777">
        <w:trPr>
          <w:trHeight w:val="354"/>
        </w:trPr>
        <w:tc>
          <w:tcPr>
            <w:tcW w:w="451" w:type="dxa"/>
            <w:vMerge/>
            <w:tcBorders>
              <w:top w:val="nil"/>
            </w:tcBorders>
          </w:tcPr>
          <w:p w14:paraId="3D9C0EC0" w14:textId="77777777" w:rsidR="00BB77C0" w:rsidRDefault="00BB77C0">
            <w:pPr>
              <w:rPr>
                <w:sz w:val="2"/>
                <w:szCs w:val="2"/>
              </w:rPr>
            </w:pPr>
          </w:p>
        </w:tc>
        <w:tc>
          <w:tcPr>
            <w:tcW w:w="1704" w:type="dxa"/>
          </w:tcPr>
          <w:p w14:paraId="26EEBFA2" w14:textId="77777777" w:rsidR="00BB77C0" w:rsidRDefault="00BB77C0">
            <w:pPr>
              <w:pStyle w:val="TableParagraph"/>
              <w:rPr>
                <w:sz w:val="20"/>
              </w:rPr>
            </w:pPr>
          </w:p>
        </w:tc>
        <w:tc>
          <w:tcPr>
            <w:tcW w:w="1800" w:type="dxa"/>
          </w:tcPr>
          <w:p w14:paraId="303A6233" w14:textId="77777777" w:rsidR="00BB77C0" w:rsidRDefault="00BB77C0">
            <w:pPr>
              <w:pStyle w:val="TableParagraph"/>
              <w:rPr>
                <w:sz w:val="20"/>
              </w:rPr>
            </w:pPr>
          </w:p>
        </w:tc>
        <w:tc>
          <w:tcPr>
            <w:tcW w:w="1257" w:type="dxa"/>
            <w:vMerge/>
            <w:tcBorders>
              <w:top w:val="nil"/>
            </w:tcBorders>
          </w:tcPr>
          <w:p w14:paraId="4AD608C8" w14:textId="77777777" w:rsidR="00BB77C0" w:rsidRDefault="00BB77C0">
            <w:pPr>
              <w:rPr>
                <w:sz w:val="2"/>
                <w:szCs w:val="2"/>
              </w:rPr>
            </w:pPr>
          </w:p>
        </w:tc>
        <w:tc>
          <w:tcPr>
            <w:tcW w:w="1622" w:type="dxa"/>
            <w:vMerge/>
            <w:tcBorders>
              <w:top w:val="nil"/>
            </w:tcBorders>
          </w:tcPr>
          <w:p w14:paraId="101BBAB9" w14:textId="77777777" w:rsidR="00BB77C0" w:rsidRDefault="00BB77C0">
            <w:pPr>
              <w:rPr>
                <w:sz w:val="2"/>
                <w:szCs w:val="2"/>
              </w:rPr>
            </w:pPr>
          </w:p>
        </w:tc>
        <w:tc>
          <w:tcPr>
            <w:tcW w:w="2155" w:type="dxa"/>
            <w:vMerge/>
            <w:tcBorders>
              <w:top w:val="nil"/>
            </w:tcBorders>
          </w:tcPr>
          <w:p w14:paraId="12D70B6C" w14:textId="77777777" w:rsidR="00BB77C0" w:rsidRDefault="00BB77C0">
            <w:pPr>
              <w:rPr>
                <w:sz w:val="2"/>
                <w:szCs w:val="2"/>
              </w:rPr>
            </w:pPr>
          </w:p>
        </w:tc>
        <w:tc>
          <w:tcPr>
            <w:tcW w:w="1805" w:type="dxa"/>
          </w:tcPr>
          <w:p w14:paraId="5EDDFB42" w14:textId="77777777" w:rsidR="00BB77C0" w:rsidRDefault="00BB77C0">
            <w:pPr>
              <w:pStyle w:val="TableParagraph"/>
              <w:rPr>
                <w:sz w:val="20"/>
              </w:rPr>
            </w:pPr>
          </w:p>
        </w:tc>
      </w:tr>
    </w:tbl>
    <w:p w14:paraId="7A432F7C" w14:textId="77777777" w:rsidR="00BB77C0" w:rsidRDefault="00BB77C0">
      <w:pPr>
        <w:pStyle w:val="BodyText"/>
        <w:rPr>
          <w:b/>
        </w:rPr>
      </w:pPr>
    </w:p>
    <w:p w14:paraId="7E81A94B" w14:textId="77777777" w:rsidR="00BB77C0" w:rsidRDefault="00BB77C0">
      <w:pPr>
        <w:pStyle w:val="BodyText"/>
        <w:rPr>
          <w:b/>
        </w:rPr>
      </w:pPr>
    </w:p>
    <w:p w14:paraId="4F48AF30" w14:textId="77777777" w:rsidR="00BB77C0" w:rsidRDefault="00BB77C0">
      <w:pPr>
        <w:pStyle w:val="BodyText"/>
        <w:spacing w:before="18"/>
        <w:rPr>
          <w:b/>
        </w:rPr>
      </w:pPr>
    </w:p>
    <w:p w14:paraId="3275918A" w14:textId="77777777" w:rsidR="00BB77C0" w:rsidRDefault="00370BAA">
      <w:pPr>
        <w:pStyle w:val="ListParagraph"/>
        <w:numPr>
          <w:ilvl w:val="0"/>
          <w:numId w:val="6"/>
        </w:numPr>
        <w:tabs>
          <w:tab w:val="left" w:pos="809"/>
          <w:tab w:val="left" w:pos="811"/>
        </w:tabs>
        <w:ind w:left="811" w:right="822" w:hanging="274"/>
        <w:jc w:val="both"/>
        <w:rPr>
          <w:i/>
          <w:color w:val="211F1F"/>
        </w:rPr>
      </w:pPr>
      <w:r>
        <w:t>Am</w:t>
      </w:r>
      <w:r>
        <w:rPr>
          <w:spacing w:val="40"/>
        </w:rPr>
        <w:t xml:space="preserve"> </w:t>
      </w:r>
      <w:r>
        <w:t>fully aware that beneficial ownership information above shall be reported to the Public Procurement Regulatory Authority together with other details in relation to contract awards and shall be maintained in the Government Portal, published and made publicly available pursuant to Regulation 13(5) of the Companies (Beneficial Ownership Information) Regulations, 2020.(Notwithstanding this paragraph Personally Identifiable Information</w:t>
      </w:r>
      <w:r>
        <w:rPr>
          <w:spacing w:val="40"/>
        </w:rPr>
        <w:t xml:space="preserve"> </w:t>
      </w:r>
      <w:r>
        <w:t xml:space="preserve">in line with the Data Protection Act shall not be published or made public). </w:t>
      </w:r>
      <w:r>
        <w:rPr>
          <w:i/>
        </w:rPr>
        <w:t>Note that Personally Identifiable Information (PII) is defined as any information that can be used to distinguish one person from another</w:t>
      </w:r>
      <w:r>
        <w:rPr>
          <w:i/>
          <w:spacing w:val="-5"/>
        </w:rPr>
        <w:t xml:space="preserve"> </w:t>
      </w:r>
      <w:r>
        <w:rPr>
          <w:i/>
        </w:rPr>
        <w:t>and</w:t>
      </w:r>
      <w:r>
        <w:rPr>
          <w:i/>
          <w:spacing w:val="-6"/>
        </w:rPr>
        <w:t xml:space="preserve"> </w:t>
      </w:r>
      <w:r>
        <w:rPr>
          <w:i/>
        </w:rPr>
        <w:t>can</w:t>
      </w:r>
      <w:r>
        <w:rPr>
          <w:i/>
          <w:spacing w:val="-10"/>
        </w:rPr>
        <w:t xml:space="preserve"> </w:t>
      </w:r>
      <w:r>
        <w:rPr>
          <w:i/>
        </w:rPr>
        <w:t>be</w:t>
      </w:r>
      <w:r>
        <w:rPr>
          <w:i/>
          <w:spacing w:val="-8"/>
        </w:rPr>
        <w:t xml:space="preserve"> </w:t>
      </w:r>
      <w:r>
        <w:rPr>
          <w:i/>
        </w:rPr>
        <w:t>used</w:t>
      </w:r>
      <w:r>
        <w:rPr>
          <w:i/>
          <w:spacing w:val="-9"/>
        </w:rPr>
        <w:t xml:space="preserve"> </w:t>
      </w:r>
      <w:r>
        <w:rPr>
          <w:i/>
        </w:rPr>
        <w:t>to</w:t>
      </w:r>
      <w:r>
        <w:rPr>
          <w:i/>
          <w:spacing w:val="-10"/>
        </w:rPr>
        <w:t xml:space="preserve"> </w:t>
      </w:r>
      <w:r>
        <w:rPr>
          <w:i/>
        </w:rPr>
        <w:t>deanonymize</w:t>
      </w:r>
      <w:r>
        <w:rPr>
          <w:i/>
          <w:spacing w:val="-6"/>
        </w:rPr>
        <w:t xml:space="preserve"> </w:t>
      </w:r>
      <w:r>
        <w:rPr>
          <w:i/>
        </w:rPr>
        <w:t>previously</w:t>
      </w:r>
      <w:r>
        <w:rPr>
          <w:i/>
          <w:spacing w:val="-7"/>
        </w:rPr>
        <w:t xml:space="preserve"> </w:t>
      </w:r>
      <w:r>
        <w:rPr>
          <w:i/>
        </w:rPr>
        <w:t>anonymous data.</w:t>
      </w:r>
      <w:r>
        <w:rPr>
          <w:i/>
          <w:spacing w:val="-8"/>
        </w:rPr>
        <w:t xml:space="preserve"> </w:t>
      </w:r>
      <w:r>
        <w:rPr>
          <w:i/>
        </w:rPr>
        <w:t>This</w:t>
      </w:r>
      <w:r>
        <w:rPr>
          <w:i/>
          <w:spacing w:val="-5"/>
        </w:rPr>
        <w:t xml:space="preserve"> </w:t>
      </w:r>
      <w:r>
        <w:rPr>
          <w:i/>
        </w:rPr>
        <w:t>information</w:t>
      </w:r>
      <w:r>
        <w:rPr>
          <w:i/>
          <w:spacing w:val="-9"/>
        </w:rPr>
        <w:t xml:space="preserve"> </w:t>
      </w:r>
      <w:r>
        <w:rPr>
          <w:i/>
        </w:rPr>
        <w:t>includes</w:t>
      </w:r>
      <w:r>
        <w:rPr>
          <w:i/>
          <w:spacing w:val="-5"/>
        </w:rPr>
        <w:t xml:space="preserve"> </w:t>
      </w:r>
      <w:r>
        <w:rPr>
          <w:i/>
        </w:rPr>
        <w:t>National</w:t>
      </w:r>
      <w:r>
        <w:rPr>
          <w:i/>
          <w:spacing w:val="-12"/>
        </w:rPr>
        <w:t xml:space="preserve"> </w:t>
      </w:r>
      <w:r>
        <w:rPr>
          <w:i/>
        </w:rPr>
        <w:t xml:space="preserve">identity </w:t>
      </w:r>
      <w:r>
        <w:rPr>
          <w:i/>
          <w:spacing w:val="-2"/>
        </w:rPr>
        <w:t>card</w:t>
      </w:r>
      <w:r>
        <w:rPr>
          <w:i/>
          <w:spacing w:val="-12"/>
        </w:rPr>
        <w:t xml:space="preserve"> </w:t>
      </w:r>
      <w:r>
        <w:rPr>
          <w:i/>
          <w:spacing w:val="-2"/>
        </w:rPr>
        <w:t>number</w:t>
      </w:r>
      <w:r>
        <w:rPr>
          <w:i/>
          <w:spacing w:val="-12"/>
        </w:rPr>
        <w:t xml:space="preserve"> </w:t>
      </w:r>
      <w:r>
        <w:rPr>
          <w:i/>
          <w:spacing w:val="-2"/>
        </w:rPr>
        <w:t>or</w:t>
      </w:r>
      <w:r>
        <w:rPr>
          <w:i/>
          <w:spacing w:val="-12"/>
        </w:rPr>
        <w:t xml:space="preserve"> </w:t>
      </w:r>
      <w:r>
        <w:rPr>
          <w:i/>
          <w:spacing w:val="-2"/>
        </w:rPr>
        <w:t>Passport</w:t>
      </w:r>
      <w:r>
        <w:rPr>
          <w:i/>
          <w:spacing w:val="-11"/>
        </w:rPr>
        <w:t xml:space="preserve"> </w:t>
      </w:r>
      <w:r>
        <w:rPr>
          <w:i/>
          <w:spacing w:val="-2"/>
        </w:rPr>
        <w:t>number,</w:t>
      </w:r>
      <w:r>
        <w:rPr>
          <w:i/>
          <w:spacing w:val="-12"/>
        </w:rPr>
        <w:t xml:space="preserve"> </w:t>
      </w:r>
      <w:r>
        <w:rPr>
          <w:i/>
          <w:spacing w:val="-2"/>
        </w:rPr>
        <w:t>Personal</w:t>
      </w:r>
      <w:r>
        <w:rPr>
          <w:i/>
          <w:spacing w:val="-12"/>
        </w:rPr>
        <w:t xml:space="preserve"> </w:t>
      </w:r>
      <w:r>
        <w:rPr>
          <w:i/>
          <w:spacing w:val="-2"/>
        </w:rPr>
        <w:t>Identification</w:t>
      </w:r>
      <w:r>
        <w:rPr>
          <w:i/>
          <w:spacing w:val="-12"/>
        </w:rPr>
        <w:t xml:space="preserve"> </w:t>
      </w:r>
      <w:r>
        <w:rPr>
          <w:i/>
          <w:spacing w:val="-2"/>
        </w:rPr>
        <w:t>Number,</w:t>
      </w:r>
      <w:r>
        <w:rPr>
          <w:i/>
          <w:spacing w:val="-11"/>
        </w:rPr>
        <w:t xml:space="preserve"> </w:t>
      </w:r>
      <w:r>
        <w:rPr>
          <w:i/>
          <w:spacing w:val="-2"/>
        </w:rPr>
        <w:t>Date</w:t>
      </w:r>
      <w:r>
        <w:rPr>
          <w:i/>
          <w:spacing w:val="-12"/>
        </w:rPr>
        <w:t xml:space="preserve"> </w:t>
      </w:r>
      <w:r>
        <w:rPr>
          <w:i/>
          <w:spacing w:val="-2"/>
        </w:rPr>
        <w:t>of</w:t>
      </w:r>
      <w:r>
        <w:rPr>
          <w:i/>
          <w:spacing w:val="-12"/>
        </w:rPr>
        <w:t xml:space="preserve"> </w:t>
      </w:r>
      <w:r>
        <w:rPr>
          <w:i/>
          <w:spacing w:val="-2"/>
        </w:rPr>
        <w:t>birth,</w:t>
      </w:r>
      <w:r>
        <w:rPr>
          <w:i/>
          <w:spacing w:val="-12"/>
        </w:rPr>
        <w:t xml:space="preserve"> </w:t>
      </w:r>
      <w:r>
        <w:rPr>
          <w:i/>
          <w:spacing w:val="-2"/>
        </w:rPr>
        <w:t>Residential</w:t>
      </w:r>
      <w:r>
        <w:rPr>
          <w:i/>
          <w:spacing w:val="-11"/>
        </w:rPr>
        <w:t xml:space="preserve"> </w:t>
      </w:r>
      <w:r>
        <w:rPr>
          <w:i/>
          <w:spacing w:val="-2"/>
        </w:rPr>
        <w:t>address,</w:t>
      </w:r>
      <w:r>
        <w:rPr>
          <w:i/>
          <w:spacing w:val="-12"/>
        </w:rPr>
        <w:t xml:space="preserve"> </w:t>
      </w:r>
      <w:r>
        <w:rPr>
          <w:i/>
          <w:spacing w:val="-2"/>
        </w:rPr>
        <w:t>email</w:t>
      </w:r>
      <w:r>
        <w:rPr>
          <w:i/>
          <w:spacing w:val="-12"/>
        </w:rPr>
        <w:t xml:space="preserve"> </w:t>
      </w:r>
      <w:r>
        <w:rPr>
          <w:i/>
          <w:spacing w:val="-2"/>
        </w:rPr>
        <w:t xml:space="preserve">address </w:t>
      </w:r>
      <w:r>
        <w:rPr>
          <w:i/>
        </w:rPr>
        <w:t>and Telephone number.</w:t>
      </w:r>
    </w:p>
    <w:p w14:paraId="635D3173" w14:textId="77777777" w:rsidR="00BB77C0" w:rsidRDefault="00BB77C0">
      <w:pPr>
        <w:pStyle w:val="BodyText"/>
        <w:spacing w:before="3"/>
        <w:rPr>
          <w:i/>
        </w:rPr>
      </w:pPr>
    </w:p>
    <w:p w14:paraId="093EEC36" w14:textId="77777777" w:rsidR="00BB77C0" w:rsidRDefault="00370BAA">
      <w:pPr>
        <w:pStyle w:val="ListParagraph"/>
        <w:numPr>
          <w:ilvl w:val="0"/>
          <w:numId w:val="6"/>
        </w:numPr>
        <w:tabs>
          <w:tab w:val="left" w:pos="811"/>
          <w:tab w:val="left" w:pos="885"/>
        </w:tabs>
        <w:spacing w:line="237" w:lineRule="auto"/>
        <w:ind w:left="811" w:right="825" w:hanging="274"/>
        <w:jc w:val="both"/>
        <w:rPr>
          <w:color w:val="211F1F"/>
        </w:rPr>
      </w:pPr>
      <w:r>
        <w:rPr>
          <w:color w:val="211F1F"/>
        </w:rPr>
        <w:t xml:space="preserve">In determining who meets the threshold of who a beneficial owner is, the Tenderer must consider </w:t>
      </w:r>
      <w:r>
        <w:t>a natural person who in relation to the company:</w:t>
      </w:r>
    </w:p>
    <w:p w14:paraId="4DF88884" w14:textId="77777777" w:rsidR="00BB77C0" w:rsidRDefault="00BB77C0">
      <w:pPr>
        <w:pStyle w:val="BodyText"/>
        <w:spacing w:before="3"/>
      </w:pPr>
    </w:p>
    <w:p w14:paraId="529A12EF" w14:textId="77777777" w:rsidR="00BB77C0" w:rsidRDefault="00370BAA">
      <w:pPr>
        <w:pStyle w:val="ListParagraph"/>
        <w:numPr>
          <w:ilvl w:val="1"/>
          <w:numId w:val="6"/>
        </w:numPr>
        <w:tabs>
          <w:tab w:val="left" w:pos="2068"/>
        </w:tabs>
        <w:ind w:left="2068" w:hanging="359"/>
      </w:pPr>
      <w:r>
        <w:t>holds</w:t>
      </w:r>
      <w:r>
        <w:rPr>
          <w:spacing w:val="-8"/>
        </w:rPr>
        <w:t xml:space="preserve"> </w:t>
      </w:r>
      <w:r>
        <w:t>at</w:t>
      </w:r>
      <w:r>
        <w:rPr>
          <w:spacing w:val="-5"/>
        </w:rPr>
        <w:t xml:space="preserve"> </w:t>
      </w:r>
      <w:r>
        <w:t>least</w:t>
      </w:r>
      <w:r>
        <w:rPr>
          <w:spacing w:val="-5"/>
        </w:rPr>
        <w:t xml:space="preserve"> </w:t>
      </w:r>
      <w:r>
        <w:t>ten</w:t>
      </w:r>
      <w:r>
        <w:rPr>
          <w:spacing w:val="-10"/>
        </w:rPr>
        <w:t xml:space="preserve"> </w:t>
      </w:r>
      <w:r>
        <w:t>percent</w:t>
      </w:r>
      <w:r>
        <w:rPr>
          <w:spacing w:val="-1"/>
        </w:rPr>
        <w:t xml:space="preserve"> </w:t>
      </w:r>
      <w:r>
        <w:t>of</w:t>
      </w:r>
      <w:r>
        <w:rPr>
          <w:spacing w:val="-7"/>
        </w:rPr>
        <w:t xml:space="preserve"> </w:t>
      </w:r>
      <w:r>
        <w:t>the</w:t>
      </w:r>
      <w:r>
        <w:rPr>
          <w:spacing w:val="-12"/>
        </w:rPr>
        <w:t xml:space="preserve"> </w:t>
      </w:r>
      <w:r>
        <w:t>issued</w:t>
      </w:r>
      <w:r>
        <w:rPr>
          <w:spacing w:val="-6"/>
        </w:rPr>
        <w:t xml:space="preserve"> </w:t>
      </w:r>
      <w:r>
        <w:t>shares</w:t>
      </w:r>
      <w:r>
        <w:rPr>
          <w:spacing w:val="-6"/>
        </w:rPr>
        <w:t xml:space="preserve"> </w:t>
      </w:r>
      <w:r>
        <w:t>in</w:t>
      </w:r>
      <w:r>
        <w:rPr>
          <w:spacing w:val="-6"/>
        </w:rPr>
        <w:t xml:space="preserve"> </w:t>
      </w:r>
      <w:r>
        <w:t>the</w:t>
      </w:r>
      <w:r>
        <w:rPr>
          <w:spacing w:val="-8"/>
        </w:rPr>
        <w:t xml:space="preserve"> </w:t>
      </w:r>
      <w:r>
        <w:t>company</w:t>
      </w:r>
      <w:r>
        <w:rPr>
          <w:spacing w:val="-6"/>
        </w:rPr>
        <w:t xml:space="preserve"> </w:t>
      </w:r>
      <w:r>
        <w:t>either</w:t>
      </w:r>
      <w:r>
        <w:rPr>
          <w:spacing w:val="2"/>
        </w:rPr>
        <w:t xml:space="preserve"> </w:t>
      </w:r>
      <w:r>
        <w:t>directly</w:t>
      </w:r>
      <w:r>
        <w:rPr>
          <w:spacing w:val="-6"/>
        </w:rPr>
        <w:t xml:space="preserve"> </w:t>
      </w:r>
      <w:r>
        <w:t>or</w:t>
      </w:r>
      <w:r>
        <w:rPr>
          <w:spacing w:val="1"/>
        </w:rPr>
        <w:t xml:space="preserve"> </w:t>
      </w:r>
      <w:r>
        <w:rPr>
          <w:spacing w:val="-2"/>
        </w:rPr>
        <w:t>indirectly;</w:t>
      </w:r>
    </w:p>
    <w:p w14:paraId="7BD532A3" w14:textId="77777777" w:rsidR="00BB77C0" w:rsidRDefault="00370BAA">
      <w:pPr>
        <w:pStyle w:val="ListParagraph"/>
        <w:numPr>
          <w:ilvl w:val="1"/>
          <w:numId w:val="6"/>
        </w:numPr>
        <w:tabs>
          <w:tab w:val="left" w:pos="2067"/>
        </w:tabs>
        <w:spacing w:before="243"/>
        <w:ind w:left="2067" w:hanging="358"/>
      </w:pPr>
      <w:r>
        <w:t>exercises</w:t>
      </w:r>
      <w:r>
        <w:rPr>
          <w:spacing w:val="-8"/>
        </w:rPr>
        <w:t xml:space="preserve"> </w:t>
      </w:r>
      <w:r>
        <w:t>at</w:t>
      </w:r>
      <w:r>
        <w:rPr>
          <w:spacing w:val="-6"/>
        </w:rPr>
        <w:t xml:space="preserve"> </w:t>
      </w:r>
      <w:r>
        <w:t>least</w:t>
      </w:r>
      <w:r>
        <w:rPr>
          <w:spacing w:val="-5"/>
        </w:rPr>
        <w:t xml:space="preserve"> </w:t>
      </w:r>
      <w:r>
        <w:t>ten</w:t>
      </w:r>
      <w:r>
        <w:rPr>
          <w:spacing w:val="-7"/>
        </w:rPr>
        <w:t xml:space="preserve"> </w:t>
      </w:r>
      <w:r>
        <w:t>percent</w:t>
      </w:r>
      <w:r>
        <w:rPr>
          <w:spacing w:val="3"/>
        </w:rPr>
        <w:t xml:space="preserve"> </w:t>
      </w:r>
      <w:r>
        <w:t>of</w:t>
      </w:r>
      <w:r>
        <w:rPr>
          <w:spacing w:val="-7"/>
        </w:rPr>
        <w:t xml:space="preserve"> </w:t>
      </w:r>
      <w:r>
        <w:t>the</w:t>
      </w:r>
      <w:r>
        <w:rPr>
          <w:spacing w:val="-8"/>
        </w:rPr>
        <w:t xml:space="preserve"> </w:t>
      </w:r>
      <w:r>
        <w:t>voting</w:t>
      </w:r>
      <w:r>
        <w:rPr>
          <w:spacing w:val="-11"/>
        </w:rPr>
        <w:t xml:space="preserve"> </w:t>
      </w:r>
      <w:r>
        <w:t>rights</w:t>
      </w:r>
      <w:r>
        <w:rPr>
          <w:spacing w:val="-5"/>
        </w:rPr>
        <w:t xml:space="preserve"> </w:t>
      </w:r>
      <w:r>
        <w:t>in</w:t>
      </w:r>
      <w:r>
        <w:rPr>
          <w:spacing w:val="-11"/>
        </w:rPr>
        <w:t xml:space="preserve"> </w:t>
      </w:r>
      <w:r>
        <w:t>the</w:t>
      </w:r>
      <w:r>
        <w:rPr>
          <w:spacing w:val="-9"/>
        </w:rPr>
        <w:t xml:space="preserve"> </w:t>
      </w:r>
      <w:r>
        <w:t>company</w:t>
      </w:r>
      <w:r>
        <w:rPr>
          <w:spacing w:val="-6"/>
        </w:rPr>
        <w:t xml:space="preserve"> </w:t>
      </w:r>
      <w:r>
        <w:t>either</w:t>
      </w:r>
      <w:r>
        <w:rPr>
          <w:spacing w:val="1"/>
        </w:rPr>
        <w:t xml:space="preserve"> </w:t>
      </w:r>
      <w:r>
        <w:t>directly</w:t>
      </w:r>
      <w:r>
        <w:rPr>
          <w:spacing w:val="-10"/>
        </w:rPr>
        <w:t xml:space="preserve"> </w:t>
      </w:r>
      <w:r>
        <w:t>or</w:t>
      </w:r>
      <w:r>
        <w:rPr>
          <w:spacing w:val="-3"/>
        </w:rPr>
        <w:t xml:space="preserve"> </w:t>
      </w:r>
      <w:r>
        <w:rPr>
          <w:spacing w:val="-2"/>
        </w:rPr>
        <w:t>indirectly;</w:t>
      </w:r>
    </w:p>
    <w:p w14:paraId="3D0492EC" w14:textId="77777777" w:rsidR="00BB77C0" w:rsidRDefault="00370BAA">
      <w:pPr>
        <w:pStyle w:val="ListParagraph"/>
        <w:numPr>
          <w:ilvl w:val="1"/>
          <w:numId w:val="6"/>
        </w:numPr>
        <w:tabs>
          <w:tab w:val="left" w:pos="2068"/>
        </w:tabs>
        <w:spacing w:before="247"/>
        <w:ind w:left="2068" w:hanging="359"/>
      </w:pPr>
      <w:r>
        <w:t>holds</w:t>
      </w:r>
      <w:r>
        <w:rPr>
          <w:spacing w:val="-8"/>
        </w:rPr>
        <w:t xml:space="preserve"> </w:t>
      </w:r>
      <w:r>
        <w:t>a</w:t>
      </w:r>
      <w:r>
        <w:rPr>
          <w:spacing w:val="-4"/>
        </w:rPr>
        <w:t xml:space="preserve"> </w:t>
      </w:r>
      <w:r>
        <w:t>right,</w:t>
      </w:r>
      <w:r>
        <w:rPr>
          <w:spacing w:val="-5"/>
        </w:rPr>
        <w:t xml:space="preserve"> </w:t>
      </w:r>
      <w:r>
        <w:t>directly</w:t>
      </w:r>
      <w:r>
        <w:rPr>
          <w:spacing w:val="-11"/>
        </w:rPr>
        <w:t xml:space="preserve"> </w:t>
      </w:r>
      <w:r>
        <w:t>or indirectly,</w:t>
      </w:r>
      <w:r>
        <w:rPr>
          <w:spacing w:val="-5"/>
        </w:rPr>
        <w:t xml:space="preserve"> </w:t>
      </w:r>
      <w:r>
        <w:t>to</w:t>
      </w:r>
      <w:r>
        <w:rPr>
          <w:spacing w:val="-11"/>
        </w:rPr>
        <w:t xml:space="preserve"> </w:t>
      </w:r>
      <w:r>
        <w:t>appoint</w:t>
      </w:r>
      <w:r>
        <w:rPr>
          <w:spacing w:val="-2"/>
        </w:rPr>
        <w:t xml:space="preserve"> </w:t>
      </w:r>
      <w:r>
        <w:t>or</w:t>
      </w:r>
      <w:r>
        <w:rPr>
          <w:spacing w:val="-4"/>
        </w:rPr>
        <w:t xml:space="preserve"> </w:t>
      </w:r>
      <w:r>
        <w:t>remove</w:t>
      </w:r>
      <w:r>
        <w:rPr>
          <w:spacing w:val="-14"/>
        </w:rPr>
        <w:t xml:space="preserve"> </w:t>
      </w:r>
      <w:r>
        <w:t>a</w:t>
      </w:r>
      <w:r>
        <w:rPr>
          <w:spacing w:val="-5"/>
        </w:rPr>
        <w:t xml:space="preserve"> </w:t>
      </w:r>
      <w:r>
        <w:t>director</w:t>
      </w:r>
      <w:r>
        <w:rPr>
          <w:spacing w:val="-3"/>
        </w:rPr>
        <w:t xml:space="preserve"> </w:t>
      </w:r>
      <w:r>
        <w:t>of</w:t>
      </w:r>
      <w:r>
        <w:rPr>
          <w:spacing w:val="-9"/>
        </w:rPr>
        <w:t xml:space="preserve"> </w:t>
      </w:r>
      <w:r>
        <w:t>the</w:t>
      </w:r>
      <w:r>
        <w:rPr>
          <w:spacing w:val="-10"/>
        </w:rPr>
        <w:t xml:space="preserve"> </w:t>
      </w:r>
      <w:r>
        <w:t>company;</w:t>
      </w:r>
      <w:r>
        <w:rPr>
          <w:spacing w:val="-1"/>
        </w:rPr>
        <w:t xml:space="preserve"> </w:t>
      </w:r>
      <w:r>
        <w:rPr>
          <w:spacing w:val="-5"/>
        </w:rPr>
        <w:t>or</w:t>
      </w:r>
    </w:p>
    <w:p w14:paraId="73853D60" w14:textId="77777777" w:rsidR="00BB77C0" w:rsidRDefault="00370BAA">
      <w:pPr>
        <w:pStyle w:val="ListParagraph"/>
        <w:numPr>
          <w:ilvl w:val="1"/>
          <w:numId w:val="6"/>
        </w:numPr>
        <w:tabs>
          <w:tab w:val="left" w:pos="2067"/>
        </w:tabs>
        <w:spacing w:before="243"/>
        <w:ind w:left="2067" w:hanging="358"/>
      </w:pPr>
      <w:r>
        <w:t>exercises</w:t>
      </w:r>
      <w:r>
        <w:rPr>
          <w:spacing w:val="-11"/>
        </w:rPr>
        <w:t xml:space="preserve"> </w:t>
      </w:r>
      <w:r>
        <w:t>significant</w:t>
      </w:r>
      <w:r>
        <w:rPr>
          <w:spacing w:val="-8"/>
        </w:rPr>
        <w:t xml:space="preserve"> </w:t>
      </w:r>
      <w:r>
        <w:t>influence</w:t>
      </w:r>
      <w:r>
        <w:rPr>
          <w:spacing w:val="-11"/>
        </w:rPr>
        <w:t xml:space="preserve"> </w:t>
      </w:r>
      <w:r>
        <w:t>or</w:t>
      </w:r>
      <w:r>
        <w:rPr>
          <w:spacing w:val="-3"/>
        </w:rPr>
        <w:t xml:space="preserve"> </w:t>
      </w:r>
      <w:r>
        <w:t>control,</w:t>
      </w:r>
      <w:r>
        <w:rPr>
          <w:spacing w:val="-8"/>
        </w:rPr>
        <w:t xml:space="preserve"> </w:t>
      </w:r>
      <w:r>
        <w:t>directly</w:t>
      </w:r>
      <w:r>
        <w:rPr>
          <w:spacing w:val="-9"/>
        </w:rPr>
        <w:t xml:space="preserve"> </w:t>
      </w:r>
      <w:r>
        <w:t>or</w:t>
      </w:r>
      <w:r>
        <w:rPr>
          <w:spacing w:val="-4"/>
        </w:rPr>
        <w:t xml:space="preserve"> </w:t>
      </w:r>
      <w:r>
        <w:t>indirectly,</w:t>
      </w:r>
      <w:r>
        <w:rPr>
          <w:spacing w:val="-7"/>
        </w:rPr>
        <w:t xml:space="preserve"> </w:t>
      </w:r>
      <w:r>
        <w:t>over</w:t>
      </w:r>
      <w:r>
        <w:rPr>
          <w:spacing w:val="-7"/>
        </w:rPr>
        <w:t xml:space="preserve"> </w:t>
      </w:r>
      <w:r>
        <w:t>the</w:t>
      </w:r>
      <w:r>
        <w:rPr>
          <w:spacing w:val="-13"/>
        </w:rPr>
        <w:t xml:space="preserve"> </w:t>
      </w:r>
      <w:r>
        <w:rPr>
          <w:spacing w:val="-2"/>
        </w:rPr>
        <w:t>company.</w:t>
      </w:r>
    </w:p>
    <w:p w14:paraId="59907D51" w14:textId="77777777" w:rsidR="00BB77C0" w:rsidRDefault="00370BAA">
      <w:pPr>
        <w:pStyle w:val="ListParagraph"/>
        <w:numPr>
          <w:ilvl w:val="0"/>
          <w:numId w:val="6"/>
        </w:numPr>
        <w:tabs>
          <w:tab w:val="left" w:pos="887"/>
        </w:tabs>
        <w:spacing w:before="247"/>
        <w:ind w:left="887" w:hanging="349"/>
        <w:rPr>
          <w:color w:val="211F1F"/>
        </w:rPr>
      </w:pPr>
      <w:r>
        <w:rPr>
          <w:color w:val="211F1F"/>
        </w:rPr>
        <w:t>What</w:t>
      </w:r>
      <w:r>
        <w:rPr>
          <w:color w:val="211F1F"/>
          <w:spacing w:val="-7"/>
        </w:rPr>
        <w:t xml:space="preserve"> </w:t>
      </w:r>
      <w:r>
        <w:rPr>
          <w:color w:val="211F1F"/>
        </w:rPr>
        <w:t>is</w:t>
      </w:r>
      <w:r>
        <w:rPr>
          <w:color w:val="211F1F"/>
          <w:spacing w:val="-5"/>
        </w:rPr>
        <w:t xml:space="preserve"> </w:t>
      </w:r>
      <w:r>
        <w:rPr>
          <w:color w:val="211F1F"/>
        </w:rPr>
        <w:t>stated</w:t>
      </w:r>
      <w:r>
        <w:rPr>
          <w:color w:val="211F1F"/>
          <w:spacing w:val="-5"/>
        </w:rPr>
        <w:t xml:space="preserve"> </w:t>
      </w:r>
      <w:r>
        <w:rPr>
          <w:color w:val="211F1F"/>
        </w:rPr>
        <w:t>to</w:t>
      </w:r>
      <w:r>
        <w:rPr>
          <w:color w:val="211F1F"/>
          <w:spacing w:val="-10"/>
        </w:rPr>
        <w:t xml:space="preserve"> </w:t>
      </w:r>
      <w:r>
        <w:rPr>
          <w:color w:val="211F1F"/>
        </w:rPr>
        <w:t>herein</w:t>
      </w:r>
      <w:r>
        <w:rPr>
          <w:color w:val="211F1F"/>
          <w:spacing w:val="-10"/>
        </w:rPr>
        <w:t xml:space="preserve"> </w:t>
      </w:r>
      <w:r>
        <w:rPr>
          <w:color w:val="211F1F"/>
        </w:rPr>
        <w:t>above</w:t>
      </w:r>
      <w:r>
        <w:rPr>
          <w:color w:val="211F1F"/>
          <w:spacing w:val="-7"/>
        </w:rPr>
        <w:t xml:space="preserve"> </w:t>
      </w:r>
      <w:r>
        <w:rPr>
          <w:color w:val="211F1F"/>
        </w:rPr>
        <w:t>is</w:t>
      </w:r>
      <w:r>
        <w:rPr>
          <w:color w:val="211F1F"/>
          <w:spacing w:val="-5"/>
        </w:rPr>
        <w:t xml:space="preserve"> </w:t>
      </w:r>
      <w:r>
        <w:rPr>
          <w:color w:val="211F1F"/>
        </w:rPr>
        <w:t>true</w:t>
      </w:r>
      <w:r>
        <w:rPr>
          <w:color w:val="211F1F"/>
          <w:spacing w:val="-11"/>
        </w:rPr>
        <w:t xml:space="preserve"> </w:t>
      </w:r>
      <w:r>
        <w:rPr>
          <w:color w:val="211F1F"/>
        </w:rPr>
        <w:t>to</w:t>
      </w:r>
      <w:r>
        <w:rPr>
          <w:color w:val="211F1F"/>
          <w:spacing w:val="-6"/>
        </w:rPr>
        <w:t xml:space="preserve"> </w:t>
      </w:r>
      <w:r>
        <w:rPr>
          <w:color w:val="211F1F"/>
        </w:rPr>
        <w:t>the</w:t>
      </w:r>
      <w:r>
        <w:rPr>
          <w:color w:val="211F1F"/>
          <w:spacing w:val="-8"/>
        </w:rPr>
        <w:t xml:space="preserve"> </w:t>
      </w:r>
      <w:r>
        <w:rPr>
          <w:color w:val="211F1F"/>
        </w:rPr>
        <w:t>best</w:t>
      </w:r>
      <w:r>
        <w:rPr>
          <w:color w:val="211F1F"/>
          <w:spacing w:val="-1"/>
        </w:rPr>
        <w:t xml:space="preserve"> </w:t>
      </w:r>
      <w:r>
        <w:rPr>
          <w:color w:val="211F1F"/>
        </w:rPr>
        <w:t>of</w:t>
      </w:r>
      <w:r>
        <w:rPr>
          <w:color w:val="211F1F"/>
          <w:spacing w:val="-1"/>
        </w:rPr>
        <w:t xml:space="preserve"> </w:t>
      </w:r>
      <w:r>
        <w:rPr>
          <w:color w:val="211F1F"/>
        </w:rPr>
        <w:t>my</w:t>
      </w:r>
      <w:r>
        <w:rPr>
          <w:color w:val="211F1F"/>
          <w:spacing w:val="-10"/>
        </w:rPr>
        <w:t xml:space="preserve"> </w:t>
      </w:r>
      <w:r>
        <w:rPr>
          <w:color w:val="211F1F"/>
        </w:rPr>
        <w:t>knowledge,</w:t>
      </w:r>
      <w:r>
        <w:rPr>
          <w:color w:val="211F1F"/>
          <w:spacing w:val="1"/>
        </w:rPr>
        <w:t xml:space="preserve"> </w:t>
      </w:r>
      <w:r>
        <w:rPr>
          <w:color w:val="211F1F"/>
        </w:rPr>
        <w:t>information</w:t>
      </w:r>
      <w:r>
        <w:rPr>
          <w:color w:val="211F1F"/>
          <w:spacing w:val="-8"/>
        </w:rPr>
        <w:t xml:space="preserve"> </w:t>
      </w:r>
      <w:r>
        <w:rPr>
          <w:color w:val="211F1F"/>
        </w:rPr>
        <w:t>and</w:t>
      </w:r>
      <w:r>
        <w:rPr>
          <w:color w:val="211F1F"/>
          <w:spacing w:val="-6"/>
        </w:rPr>
        <w:t xml:space="preserve"> </w:t>
      </w:r>
      <w:r>
        <w:rPr>
          <w:color w:val="211F1F"/>
          <w:spacing w:val="-2"/>
        </w:rPr>
        <w:t>belief.</w:t>
      </w:r>
    </w:p>
    <w:p w14:paraId="17246691" w14:textId="77777777" w:rsidR="00BB77C0" w:rsidRDefault="00BB77C0">
      <w:pPr>
        <w:pStyle w:val="BodyText"/>
        <w:spacing w:before="122"/>
      </w:pPr>
    </w:p>
    <w:p w14:paraId="6A7F8FDB" w14:textId="77777777" w:rsidR="00BB77C0" w:rsidRDefault="00370BAA">
      <w:pPr>
        <w:tabs>
          <w:tab w:val="left" w:leader="dot" w:pos="4129"/>
          <w:tab w:val="left" w:pos="9221"/>
        </w:tabs>
        <w:ind w:left="806"/>
        <w:rPr>
          <w:i/>
        </w:rPr>
      </w:pPr>
      <w:r>
        <w:rPr>
          <w:i/>
          <w:color w:val="211F1F"/>
        </w:rPr>
        <w:t>Name</w:t>
      </w:r>
      <w:r>
        <w:rPr>
          <w:i/>
          <w:color w:val="211F1F"/>
          <w:spacing w:val="-5"/>
        </w:rPr>
        <w:t xml:space="preserve"> </w:t>
      </w:r>
      <w:r>
        <w:rPr>
          <w:i/>
          <w:color w:val="211F1F"/>
        </w:rPr>
        <w:t>of</w:t>
      </w:r>
      <w:r>
        <w:rPr>
          <w:i/>
          <w:color w:val="211F1F"/>
          <w:spacing w:val="-1"/>
        </w:rPr>
        <w:t xml:space="preserve"> </w:t>
      </w:r>
      <w:r>
        <w:rPr>
          <w:i/>
          <w:color w:val="211F1F"/>
        </w:rPr>
        <w:t>the</w:t>
      </w:r>
      <w:r>
        <w:rPr>
          <w:i/>
          <w:color w:val="211F1F"/>
          <w:spacing w:val="-4"/>
        </w:rPr>
        <w:t xml:space="preserve"> </w:t>
      </w:r>
      <w:r>
        <w:rPr>
          <w:i/>
          <w:color w:val="211F1F"/>
          <w:spacing w:val="-2"/>
        </w:rPr>
        <w:t>Tenderer</w:t>
      </w:r>
      <w:r>
        <w:rPr>
          <w:i/>
          <w:color w:val="211F1F"/>
        </w:rPr>
        <w:tab/>
        <w:t>*[insert</w:t>
      </w:r>
      <w:r>
        <w:rPr>
          <w:i/>
          <w:color w:val="211F1F"/>
          <w:spacing w:val="-5"/>
        </w:rPr>
        <w:t xml:space="preserve"> </w:t>
      </w:r>
      <w:r>
        <w:rPr>
          <w:i/>
          <w:color w:val="211F1F"/>
        </w:rPr>
        <w:t>complete</w:t>
      </w:r>
      <w:r>
        <w:rPr>
          <w:i/>
          <w:color w:val="211F1F"/>
          <w:spacing w:val="-6"/>
        </w:rPr>
        <w:t xml:space="preserve"> </w:t>
      </w:r>
      <w:r>
        <w:rPr>
          <w:i/>
          <w:color w:val="211F1F"/>
        </w:rPr>
        <w:t>name</w:t>
      </w:r>
      <w:r>
        <w:rPr>
          <w:i/>
          <w:color w:val="211F1F"/>
          <w:spacing w:val="-6"/>
        </w:rPr>
        <w:t xml:space="preserve"> </w:t>
      </w:r>
      <w:r>
        <w:rPr>
          <w:i/>
          <w:color w:val="211F1F"/>
        </w:rPr>
        <w:t>of</w:t>
      </w:r>
      <w:r>
        <w:rPr>
          <w:i/>
          <w:color w:val="211F1F"/>
          <w:spacing w:val="-8"/>
        </w:rPr>
        <w:t xml:space="preserve"> </w:t>
      </w:r>
      <w:r>
        <w:rPr>
          <w:i/>
          <w:color w:val="211F1F"/>
        </w:rPr>
        <w:t>the</w:t>
      </w:r>
      <w:r>
        <w:rPr>
          <w:i/>
          <w:color w:val="211F1F"/>
          <w:spacing w:val="-10"/>
        </w:rPr>
        <w:t xml:space="preserve"> </w:t>
      </w:r>
      <w:r>
        <w:rPr>
          <w:i/>
          <w:color w:val="211F1F"/>
          <w:spacing w:val="-2"/>
        </w:rPr>
        <w:t>Tenderer]</w:t>
      </w:r>
      <w:r>
        <w:rPr>
          <w:i/>
          <w:color w:val="211F1F"/>
          <w:u w:val="single" w:color="201E1F"/>
        </w:rPr>
        <w:tab/>
      </w:r>
    </w:p>
    <w:p w14:paraId="3ABEB3D4" w14:textId="77777777" w:rsidR="00BB77C0" w:rsidRDefault="00BB77C0">
      <w:pPr>
        <w:rPr>
          <w:i/>
        </w:rPr>
        <w:sectPr w:rsidR="00BB77C0">
          <w:type w:val="continuous"/>
          <w:pgSz w:w="11920" w:h="16850"/>
          <w:pgMar w:top="320" w:right="0" w:bottom="280" w:left="360" w:header="720" w:footer="720" w:gutter="0"/>
          <w:cols w:space="720"/>
        </w:sectPr>
      </w:pPr>
    </w:p>
    <w:p w14:paraId="41059BBD" w14:textId="77777777" w:rsidR="00BB77C0" w:rsidRDefault="00370BAA">
      <w:pPr>
        <w:spacing w:before="69" w:line="477" w:lineRule="auto"/>
        <w:ind w:left="806" w:right="107"/>
        <w:rPr>
          <w:i/>
        </w:rPr>
      </w:pPr>
      <w:r>
        <w:rPr>
          <w:i/>
          <w:color w:val="211F1F"/>
        </w:rPr>
        <w:lastRenderedPageBreak/>
        <w:t>Name</w:t>
      </w:r>
      <w:r>
        <w:rPr>
          <w:i/>
          <w:color w:val="211F1F"/>
          <w:spacing w:val="-1"/>
        </w:rPr>
        <w:t xml:space="preserve"> </w:t>
      </w:r>
      <w:r>
        <w:rPr>
          <w:i/>
          <w:color w:val="211F1F"/>
        </w:rPr>
        <w:t>of</w:t>
      </w:r>
      <w:r>
        <w:rPr>
          <w:i/>
          <w:color w:val="211F1F"/>
          <w:spacing w:val="-3"/>
        </w:rPr>
        <w:t xml:space="preserve"> </w:t>
      </w:r>
      <w:r>
        <w:rPr>
          <w:i/>
          <w:color w:val="211F1F"/>
        </w:rPr>
        <w:t>the</w:t>
      </w:r>
      <w:r>
        <w:rPr>
          <w:i/>
          <w:color w:val="211F1F"/>
          <w:spacing w:val="-1"/>
        </w:rPr>
        <w:t xml:space="preserve"> </w:t>
      </w:r>
      <w:r>
        <w:rPr>
          <w:i/>
          <w:color w:val="211F1F"/>
        </w:rPr>
        <w:t>person</w:t>
      </w:r>
      <w:r>
        <w:rPr>
          <w:i/>
          <w:color w:val="211F1F"/>
          <w:spacing w:val="-4"/>
        </w:rPr>
        <w:t xml:space="preserve"> </w:t>
      </w:r>
      <w:r>
        <w:rPr>
          <w:i/>
          <w:color w:val="211F1F"/>
        </w:rPr>
        <w:t>duly</w:t>
      </w:r>
      <w:r>
        <w:rPr>
          <w:i/>
          <w:color w:val="211F1F"/>
          <w:spacing w:val="-6"/>
        </w:rPr>
        <w:t xml:space="preserve"> </w:t>
      </w:r>
      <w:r>
        <w:rPr>
          <w:i/>
          <w:color w:val="211F1F"/>
        </w:rPr>
        <w:t>authorized to sign the</w:t>
      </w:r>
      <w:r>
        <w:rPr>
          <w:i/>
          <w:color w:val="211F1F"/>
          <w:spacing w:val="-6"/>
        </w:rPr>
        <w:t xml:space="preserve"> </w:t>
      </w:r>
      <w:r>
        <w:rPr>
          <w:i/>
          <w:color w:val="211F1F"/>
        </w:rPr>
        <w:t>Tender</w:t>
      </w:r>
      <w:r>
        <w:rPr>
          <w:i/>
          <w:color w:val="211F1F"/>
          <w:spacing w:val="-3"/>
        </w:rPr>
        <w:t xml:space="preserve"> </w:t>
      </w:r>
      <w:r>
        <w:rPr>
          <w:i/>
          <w:color w:val="211F1F"/>
        </w:rPr>
        <w:t>on behalf</w:t>
      </w:r>
      <w:r>
        <w:rPr>
          <w:i/>
          <w:color w:val="211F1F"/>
          <w:spacing w:val="-3"/>
        </w:rPr>
        <w:t xml:space="preserve"> </w:t>
      </w:r>
      <w:r>
        <w:rPr>
          <w:i/>
          <w:color w:val="211F1F"/>
        </w:rPr>
        <w:t>of</w:t>
      </w:r>
      <w:r>
        <w:rPr>
          <w:i/>
          <w:color w:val="211F1F"/>
          <w:spacing w:val="-3"/>
        </w:rPr>
        <w:t xml:space="preserve"> </w:t>
      </w:r>
      <w:r>
        <w:rPr>
          <w:i/>
          <w:color w:val="211F1F"/>
        </w:rPr>
        <w:t>the</w:t>
      </w:r>
      <w:r>
        <w:rPr>
          <w:i/>
          <w:color w:val="211F1F"/>
          <w:spacing w:val="-6"/>
        </w:rPr>
        <w:t xml:space="preserve"> </w:t>
      </w:r>
      <w:r>
        <w:rPr>
          <w:i/>
          <w:color w:val="211F1F"/>
        </w:rPr>
        <w:t>Tenderer: **</w:t>
      </w:r>
      <w:r>
        <w:rPr>
          <w:i/>
          <w:color w:val="211F1F"/>
          <w:spacing w:val="-4"/>
        </w:rPr>
        <w:t xml:space="preserve"> </w:t>
      </w:r>
      <w:r>
        <w:rPr>
          <w:i/>
          <w:color w:val="211F1F"/>
        </w:rPr>
        <w:t>[insert</w:t>
      </w:r>
      <w:r>
        <w:rPr>
          <w:i/>
          <w:color w:val="211F1F"/>
          <w:spacing w:val="-2"/>
        </w:rPr>
        <w:t xml:space="preserve"> </w:t>
      </w:r>
      <w:r>
        <w:rPr>
          <w:i/>
          <w:color w:val="211F1F"/>
        </w:rPr>
        <w:t>complete</w:t>
      </w:r>
      <w:r>
        <w:rPr>
          <w:i/>
          <w:color w:val="211F1F"/>
          <w:spacing w:val="-1"/>
        </w:rPr>
        <w:t xml:space="preserve"> </w:t>
      </w:r>
      <w:r>
        <w:rPr>
          <w:i/>
          <w:color w:val="211F1F"/>
        </w:rPr>
        <w:t>name</w:t>
      </w:r>
      <w:r>
        <w:rPr>
          <w:i/>
          <w:color w:val="211F1F"/>
          <w:spacing w:val="-1"/>
        </w:rPr>
        <w:t xml:space="preserve"> </w:t>
      </w:r>
      <w:r>
        <w:rPr>
          <w:i/>
          <w:color w:val="211F1F"/>
        </w:rPr>
        <w:t>of</w:t>
      </w:r>
      <w:r>
        <w:rPr>
          <w:i/>
          <w:color w:val="211F1F"/>
          <w:spacing w:val="-7"/>
        </w:rPr>
        <w:t xml:space="preserve"> </w:t>
      </w:r>
      <w:r>
        <w:rPr>
          <w:i/>
          <w:color w:val="211F1F"/>
        </w:rPr>
        <w:t>person duly authorized to sign the Tender]</w:t>
      </w:r>
    </w:p>
    <w:p w14:paraId="0F3485B1" w14:textId="77777777" w:rsidR="00BB77C0" w:rsidRDefault="00370BAA">
      <w:pPr>
        <w:tabs>
          <w:tab w:val="left" w:leader="dot" w:pos="6242"/>
        </w:tabs>
        <w:spacing w:line="250" w:lineRule="exact"/>
        <w:ind w:left="806"/>
        <w:rPr>
          <w:i/>
        </w:rPr>
      </w:pPr>
      <w:r>
        <w:rPr>
          <w:i/>
          <w:color w:val="211F1F"/>
        </w:rPr>
        <w:t>Designation</w:t>
      </w:r>
      <w:r>
        <w:rPr>
          <w:i/>
          <w:color w:val="211F1F"/>
          <w:spacing w:val="-4"/>
        </w:rPr>
        <w:t xml:space="preserve"> </w:t>
      </w:r>
      <w:r>
        <w:rPr>
          <w:i/>
          <w:color w:val="211F1F"/>
        </w:rPr>
        <w:t>of</w:t>
      </w:r>
      <w:r>
        <w:rPr>
          <w:i/>
          <w:color w:val="211F1F"/>
          <w:spacing w:val="-8"/>
        </w:rPr>
        <w:t xml:space="preserve"> </w:t>
      </w:r>
      <w:r>
        <w:rPr>
          <w:i/>
          <w:color w:val="211F1F"/>
        </w:rPr>
        <w:t>the</w:t>
      </w:r>
      <w:r>
        <w:rPr>
          <w:i/>
          <w:color w:val="211F1F"/>
          <w:spacing w:val="-6"/>
        </w:rPr>
        <w:t xml:space="preserve"> </w:t>
      </w:r>
      <w:r>
        <w:rPr>
          <w:i/>
          <w:color w:val="211F1F"/>
        </w:rPr>
        <w:t>person</w:t>
      </w:r>
      <w:r>
        <w:rPr>
          <w:i/>
          <w:color w:val="211F1F"/>
          <w:spacing w:val="-9"/>
        </w:rPr>
        <w:t xml:space="preserve"> </w:t>
      </w:r>
      <w:r>
        <w:rPr>
          <w:i/>
          <w:color w:val="211F1F"/>
        </w:rPr>
        <w:t>signing</w:t>
      </w:r>
      <w:r>
        <w:rPr>
          <w:i/>
          <w:color w:val="211F1F"/>
          <w:spacing w:val="-3"/>
        </w:rPr>
        <w:t xml:space="preserve"> </w:t>
      </w:r>
      <w:r>
        <w:rPr>
          <w:i/>
          <w:color w:val="211F1F"/>
        </w:rPr>
        <w:t>the</w:t>
      </w:r>
      <w:r>
        <w:rPr>
          <w:i/>
          <w:color w:val="211F1F"/>
          <w:spacing w:val="-10"/>
        </w:rPr>
        <w:t xml:space="preserve"> </w:t>
      </w:r>
      <w:r>
        <w:rPr>
          <w:i/>
          <w:color w:val="211F1F"/>
          <w:spacing w:val="-2"/>
        </w:rPr>
        <w:t>Tender</w:t>
      </w:r>
      <w:r>
        <w:rPr>
          <w:i/>
          <w:color w:val="211F1F"/>
        </w:rPr>
        <w:tab/>
        <w:t>[insert</w:t>
      </w:r>
      <w:r>
        <w:rPr>
          <w:i/>
          <w:color w:val="211F1F"/>
          <w:spacing w:val="-10"/>
        </w:rPr>
        <w:t xml:space="preserve"> </w:t>
      </w:r>
      <w:r>
        <w:rPr>
          <w:i/>
          <w:color w:val="211F1F"/>
        </w:rPr>
        <w:t>complete</w:t>
      </w:r>
      <w:r>
        <w:rPr>
          <w:i/>
          <w:color w:val="211F1F"/>
          <w:spacing w:val="-7"/>
        </w:rPr>
        <w:t xml:space="preserve"> </w:t>
      </w:r>
      <w:r>
        <w:rPr>
          <w:i/>
          <w:color w:val="211F1F"/>
        </w:rPr>
        <w:t>title</w:t>
      </w:r>
      <w:r>
        <w:rPr>
          <w:i/>
          <w:color w:val="211F1F"/>
          <w:spacing w:val="-6"/>
        </w:rPr>
        <w:t xml:space="preserve"> </w:t>
      </w:r>
      <w:r>
        <w:rPr>
          <w:i/>
          <w:color w:val="211F1F"/>
        </w:rPr>
        <w:t>of</w:t>
      </w:r>
      <w:r>
        <w:rPr>
          <w:i/>
          <w:color w:val="211F1F"/>
          <w:spacing w:val="-4"/>
        </w:rPr>
        <w:t xml:space="preserve"> </w:t>
      </w:r>
      <w:r>
        <w:rPr>
          <w:i/>
          <w:color w:val="211F1F"/>
        </w:rPr>
        <w:t>the</w:t>
      </w:r>
      <w:r>
        <w:rPr>
          <w:i/>
          <w:color w:val="211F1F"/>
          <w:spacing w:val="-6"/>
        </w:rPr>
        <w:t xml:space="preserve"> </w:t>
      </w:r>
      <w:r>
        <w:rPr>
          <w:i/>
          <w:color w:val="211F1F"/>
        </w:rPr>
        <w:t>person</w:t>
      </w:r>
      <w:r>
        <w:rPr>
          <w:i/>
          <w:color w:val="211F1F"/>
          <w:spacing w:val="-9"/>
        </w:rPr>
        <w:t xml:space="preserve"> </w:t>
      </w:r>
      <w:r>
        <w:rPr>
          <w:i/>
          <w:color w:val="211F1F"/>
        </w:rPr>
        <w:t>signing</w:t>
      </w:r>
      <w:r>
        <w:rPr>
          <w:i/>
          <w:color w:val="211F1F"/>
          <w:spacing w:val="-9"/>
        </w:rPr>
        <w:t xml:space="preserve"> </w:t>
      </w:r>
      <w:r>
        <w:rPr>
          <w:i/>
          <w:color w:val="211F1F"/>
        </w:rPr>
        <w:t>the</w:t>
      </w:r>
      <w:r>
        <w:rPr>
          <w:i/>
          <w:color w:val="211F1F"/>
          <w:spacing w:val="-10"/>
        </w:rPr>
        <w:t xml:space="preserve"> </w:t>
      </w:r>
      <w:r>
        <w:rPr>
          <w:i/>
          <w:color w:val="211F1F"/>
          <w:spacing w:val="-2"/>
        </w:rPr>
        <w:t>Tender]</w:t>
      </w:r>
    </w:p>
    <w:p w14:paraId="6CF99D95" w14:textId="77777777" w:rsidR="00BB77C0" w:rsidRDefault="00370BAA">
      <w:pPr>
        <w:tabs>
          <w:tab w:val="left" w:leader="dot" w:pos="5455"/>
        </w:tabs>
        <w:spacing w:before="246"/>
        <w:ind w:left="806"/>
        <w:rPr>
          <w:i/>
        </w:rPr>
      </w:pPr>
      <w:r>
        <w:rPr>
          <w:i/>
          <w:color w:val="211F1F"/>
          <w:spacing w:val="-2"/>
        </w:rPr>
        <w:t>Signature</w:t>
      </w:r>
      <w:r>
        <w:rPr>
          <w:i/>
          <w:color w:val="211F1F"/>
          <w:spacing w:val="-9"/>
        </w:rPr>
        <w:t xml:space="preserve"> </w:t>
      </w:r>
      <w:r>
        <w:rPr>
          <w:i/>
          <w:color w:val="211F1F"/>
          <w:spacing w:val="-2"/>
        </w:rPr>
        <w:t>of</w:t>
      </w:r>
      <w:r>
        <w:rPr>
          <w:i/>
          <w:color w:val="211F1F"/>
          <w:spacing w:val="-11"/>
        </w:rPr>
        <w:t xml:space="preserve"> </w:t>
      </w:r>
      <w:r>
        <w:rPr>
          <w:i/>
          <w:color w:val="211F1F"/>
          <w:spacing w:val="-2"/>
        </w:rPr>
        <w:t>the</w:t>
      </w:r>
      <w:r>
        <w:rPr>
          <w:i/>
          <w:color w:val="211F1F"/>
          <w:spacing w:val="-9"/>
        </w:rPr>
        <w:t xml:space="preserve"> </w:t>
      </w:r>
      <w:r>
        <w:rPr>
          <w:i/>
          <w:color w:val="211F1F"/>
          <w:spacing w:val="-2"/>
        </w:rPr>
        <w:t>person</w:t>
      </w:r>
      <w:r>
        <w:rPr>
          <w:i/>
          <w:color w:val="211F1F"/>
          <w:spacing w:val="-7"/>
        </w:rPr>
        <w:t xml:space="preserve"> </w:t>
      </w:r>
      <w:r>
        <w:rPr>
          <w:i/>
          <w:color w:val="211F1F"/>
          <w:spacing w:val="-2"/>
        </w:rPr>
        <w:t xml:space="preserve">named </w:t>
      </w:r>
      <w:r>
        <w:rPr>
          <w:i/>
          <w:color w:val="211F1F"/>
          <w:spacing w:val="-4"/>
        </w:rPr>
        <w:t>above</w:t>
      </w:r>
      <w:r>
        <w:rPr>
          <w:i/>
          <w:color w:val="211F1F"/>
        </w:rPr>
        <w:tab/>
      </w:r>
      <w:r>
        <w:rPr>
          <w:i/>
          <w:color w:val="211F1F"/>
          <w:spacing w:val="-2"/>
        </w:rPr>
        <w:t>[insert</w:t>
      </w:r>
      <w:r>
        <w:rPr>
          <w:i/>
          <w:color w:val="211F1F"/>
          <w:spacing w:val="-9"/>
        </w:rPr>
        <w:t xml:space="preserve"> </w:t>
      </w:r>
      <w:r>
        <w:rPr>
          <w:i/>
          <w:color w:val="211F1F"/>
          <w:spacing w:val="-2"/>
        </w:rPr>
        <w:t>signature</w:t>
      </w:r>
      <w:r>
        <w:rPr>
          <w:i/>
          <w:color w:val="211F1F"/>
          <w:spacing w:val="-13"/>
        </w:rPr>
        <w:t xml:space="preserve"> </w:t>
      </w:r>
      <w:r>
        <w:rPr>
          <w:i/>
          <w:color w:val="211F1F"/>
          <w:spacing w:val="-2"/>
        </w:rPr>
        <w:t>of</w:t>
      </w:r>
      <w:r>
        <w:rPr>
          <w:i/>
          <w:color w:val="211F1F"/>
          <w:spacing w:val="-11"/>
        </w:rPr>
        <w:t xml:space="preserve"> </w:t>
      </w:r>
      <w:r>
        <w:rPr>
          <w:i/>
          <w:color w:val="211F1F"/>
          <w:spacing w:val="-2"/>
        </w:rPr>
        <w:t>person</w:t>
      </w:r>
      <w:r>
        <w:rPr>
          <w:i/>
          <w:color w:val="211F1F"/>
          <w:spacing w:val="-7"/>
        </w:rPr>
        <w:t xml:space="preserve"> </w:t>
      </w:r>
      <w:r>
        <w:rPr>
          <w:i/>
          <w:color w:val="211F1F"/>
          <w:spacing w:val="-2"/>
        </w:rPr>
        <w:t>whose</w:t>
      </w:r>
      <w:r>
        <w:rPr>
          <w:i/>
          <w:color w:val="211F1F"/>
          <w:spacing w:val="-8"/>
        </w:rPr>
        <w:t xml:space="preserve"> </w:t>
      </w:r>
      <w:r>
        <w:rPr>
          <w:i/>
          <w:color w:val="211F1F"/>
          <w:spacing w:val="-2"/>
        </w:rPr>
        <w:t>name</w:t>
      </w:r>
      <w:r>
        <w:rPr>
          <w:i/>
          <w:color w:val="211F1F"/>
          <w:spacing w:val="-9"/>
        </w:rPr>
        <w:t xml:space="preserve"> </w:t>
      </w:r>
      <w:r>
        <w:rPr>
          <w:i/>
          <w:color w:val="211F1F"/>
          <w:spacing w:val="-2"/>
        </w:rPr>
        <w:t>and</w:t>
      </w:r>
      <w:r>
        <w:rPr>
          <w:i/>
          <w:color w:val="211F1F"/>
          <w:spacing w:val="-12"/>
        </w:rPr>
        <w:t xml:space="preserve"> </w:t>
      </w:r>
      <w:r>
        <w:rPr>
          <w:i/>
          <w:color w:val="211F1F"/>
          <w:spacing w:val="-2"/>
        </w:rPr>
        <w:t>capacity</w:t>
      </w:r>
      <w:r>
        <w:rPr>
          <w:i/>
          <w:color w:val="211F1F"/>
          <w:spacing w:val="-4"/>
        </w:rPr>
        <w:t xml:space="preserve"> </w:t>
      </w:r>
      <w:r>
        <w:rPr>
          <w:i/>
          <w:color w:val="211F1F"/>
          <w:spacing w:val="-2"/>
        </w:rPr>
        <w:t>are</w:t>
      </w:r>
      <w:r>
        <w:rPr>
          <w:i/>
          <w:color w:val="211F1F"/>
          <w:spacing w:val="-13"/>
        </w:rPr>
        <w:t xml:space="preserve"> </w:t>
      </w:r>
      <w:r>
        <w:rPr>
          <w:i/>
          <w:color w:val="211F1F"/>
          <w:spacing w:val="-2"/>
        </w:rPr>
        <w:t>shown</w:t>
      </w:r>
    </w:p>
    <w:p w14:paraId="3F1F4581" w14:textId="77777777" w:rsidR="00BB77C0" w:rsidRDefault="00BB77C0">
      <w:pPr>
        <w:pStyle w:val="BodyText"/>
        <w:spacing w:before="3"/>
        <w:rPr>
          <w:i/>
        </w:rPr>
      </w:pPr>
    </w:p>
    <w:p w14:paraId="2DBA40C1" w14:textId="77777777" w:rsidR="00BB77C0" w:rsidRDefault="00370BAA">
      <w:pPr>
        <w:ind w:left="806"/>
        <w:rPr>
          <w:i/>
        </w:rPr>
      </w:pPr>
      <w:r>
        <w:rPr>
          <w:i/>
          <w:color w:val="211F1F"/>
          <w:spacing w:val="-2"/>
        </w:rPr>
        <w:t>above]</w:t>
      </w:r>
    </w:p>
    <w:p w14:paraId="5D52EC40" w14:textId="77777777" w:rsidR="00BB77C0" w:rsidRDefault="00370BAA">
      <w:pPr>
        <w:tabs>
          <w:tab w:val="left" w:leader="dot" w:pos="6938"/>
        </w:tabs>
        <w:spacing w:before="251"/>
        <w:ind w:left="806"/>
        <w:rPr>
          <w:i/>
        </w:rPr>
      </w:pPr>
      <w:r>
        <w:rPr>
          <w:i/>
          <w:color w:val="211F1F"/>
        </w:rPr>
        <w:t>Date</w:t>
      </w:r>
      <w:r>
        <w:rPr>
          <w:i/>
          <w:color w:val="211F1F"/>
          <w:spacing w:val="-11"/>
        </w:rPr>
        <w:t xml:space="preserve"> </w:t>
      </w:r>
      <w:r>
        <w:rPr>
          <w:i/>
          <w:color w:val="211F1F"/>
        </w:rPr>
        <w:t>this</w:t>
      </w:r>
      <w:r>
        <w:rPr>
          <w:i/>
          <w:color w:val="211F1F"/>
          <w:spacing w:val="-10"/>
        </w:rPr>
        <w:t xml:space="preserve"> </w:t>
      </w:r>
      <w:r>
        <w:rPr>
          <w:i/>
          <w:color w:val="211F1F"/>
        </w:rPr>
        <w:t>.......................</w:t>
      </w:r>
      <w:r>
        <w:rPr>
          <w:i/>
          <w:color w:val="211F1F"/>
          <w:spacing w:val="-11"/>
        </w:rPr>
        <w:t xml:space="preserve"> </w:t>
      </w:r>
      <w:r>
        <w:rPr>
          <w:i/>
          <w:color w:val="211F1F"/>
        </w:rPr>
        <w:t>[insert</w:t>
      </w:r>
      <w:r>
        <w:rPr>
          <w:i/>
          <w:color w:val="211F1F"/>
          <w:spacing w:val="-5"/>
        </w:rPr>
        <w:t xml:space="preserve"> </w:t>
      </w:r>
      <w:r>
        <w:rPr>
          <w:i/>
          <w:color w:val="211F1F"/>
        </w:rPr>
        <w:t>date</w:t>
      </w:r>
      <w:r>
        <w:rPr>
          <w:i/>
          <w:color w:val="211F1F"/>
          <w:spacing w:val="-8"/>
        </w:rPr>
        <w:t xml:space="preserve"> </w:t>
      </w:r>
      <w:r>
        <w:rPr>
          <w:i/>
          <w:color w:val="211F1F"/>
        </w:rPr>
        <w:t>of</w:t>
      </w:r>
      <w:r>
        <w:rPr>
          <w:i/>
          <w:color w:val="211F1F"/>
          <w:spacing w:val="-7"/>
        </w:rPr>
        <w:t xml:space="preserve"> </w:t>
      </w:r>
      <w:r>
        <w:rPr>
          <w:i/>
          <w:color w:val="211F1F"/>
        </w:rPr>
        <w:t>signing]</w:t>
      </w:r>
      <w:r>
        <w:rPr>
          <w:i/>
          <w:color w:val="211F1F"/>
          <w:spacing w:val="-1"/>
        </w:rPr>
        <w:t xml:space="preserve"> </w:t>
      </w:r>
      <w:r>
        <w:rPr>
          <w:i/>
          <w:color w:val="211F1F"/>
        </w:rPr>
        <w:t>day</w:t>
      </w:r>
      <w:r>
        <w:rPr>
          <w:i/>
          <w:color w:val="211F1F"/>
          <w:spacing w:val="-9"/>
        </w:rPr>
        <w:t xml:space="preserve"> </w:t>
      </w:r>
      <w:r>
        <w:rPr>
          <w:i/>
          <w:color w:val="211F1F"/>
          <w:spacing w:val="-5"/>
        </w:rPr>
        <w:t>of</w:t>
      </w:r>
      <w:r>
        <w:rPr>
          <w:i/>
          <w:color w:val="211F1F"/>
        </w:rPr>
        <w:tab/>
        <w:t>[Insert</w:t>
      </w:r>
      <w:r>
        <w:rPr>
          <w:i/>
          <w:color w:val="211F1F"/>
          <w:spacing w:val="-10"/>
        </w:rPr>
        <w:t xml:space="preserve"> </w:t>
      </w:r>
      <w:r>
        <w:rPr>
          <w:i/>
          <w:color w:val="211F1F"/>
        </w:rPr>
        <w:t>month],</w:t>
      </w:r>
      <w:r>
        <w:rPr>
          <w:i/>
          <w:color w:val="211F1F"/>
          <w:spacing w:val="-11"/>
        </w:rPr>
        <w:t xml:space="preserve"> </w:t>
      </w:r>
      <w:r>
        <w:rPr>
          <w:i/>
          <w:color w:val="211F1F"/>
        </w:rPr>
        <w:t>[insert</w:t>
      </w:r>
      <w:r>
        <w:rPr>
          <w:i/>
          <w:color w:val="211F1F"/>
          <w:spacing w:val="-7"/>
        </w:rPr>
        <w:t xml:space="preserve"> </w:t>
      </w:r>
      <w:r>
        <w:rPr>
          <w:i/>
          <w:color w:val="211F1F"/>
          <w:spacing w:val="-2"/>
        </w:rPr>
        <w:t>year]</w:t>
      </w:r>
    </w:p>
    <w:p w14:paraId="513E3FAC" w14:textId="77777777" w:rsidR="00BB77C0" w:rsidRDefault="00BB77C0">
      <w:pPr>
        <w:pStyle w:val="BodyText"/>
        <w:rPr>
          <w:i/>
        </w:rPr>
      </w:pPr>
    </w:p>
    <w:p w14:paraId="5C1D7CF4" w14:textId="77777777" w:rsidR="00BB77C0" w:rsidRDefault="00BB77C0">
      <w:pPr>
        <w:pStyle w:val="BodyText"/>
        <w:rPr>
          <w:i/>
        </w:rPr>
      </w:pPr>
    </w:p>
    <w:p w14:paraId="724F83D0" w14:textId="77777777" w:rsidR="00BB77C0" w:rsidRDefault="00BB77C0">
      <w:pPr>
        <w:pStyle w:val="BodyText"/>
        <w:rPr>
          <w:i/>
        </w:rPr>
      </w:pPr>
    </w:p>
    <w:p w14:paraId="6F80C755" w14:textId="77777777" w:rsidR="00BB77C0" w:rsidRDefault="00BB77C0">
      <w:pPr>
        <w:pStyle w:val="BodyText"/>
        <w:rPr>
          <w:i/>
        </w:rPr>
      </w:pPr>
    </w:p>
    <w:p w14:paraId="3A6C02FD" w14:textId="77777777" w:rsidR="00BB77C0" w:rsidRDefault="00BB77C0">
      <w:pPr>
        <w:pStyle w:val="BodyText"/>
        <w:rPr>
          <w:i/>
        </w:rPr>
      </w:pPr>
    </w:p>
    <w:p w14:paraId="5CBB682B" w14:textId="77777777" w:rsidR="00BB77C0" w:rsidRDefault="00BB77C0">
      <w:pPr>
        <w:pStyle w:val="BodyText"/>
        <w:spacing w:before="6"/>
        <w:rPr>
          <w:i/>
        </w:rPr>
      </w:pPr>
    </w:p>
    <w:p w14:paraId="1C9825AC" w14:textId="77777777" w:rsidR="00BB77C0" w:rsidRDefault="00370BAA">
      <w:pPr>
        <w:pStyle w:val="BodyText"/>
        <w:ind w:left="364"/>
        <w:jc w:val="center"/>
      </w:pPr>
      <w:r>
        <w:rPr>
          <w:color w:val="211F1F"/>
          <w:spacing w:val="-2"/>
        </w:rPr>
        <w:t>Bidder</w:t>
      </w:r>
      <w:r>
        <w:rPr>
          <w:color w:val="211F1F"/>
          <w:spacing w:val="-3"/>
        </w:rPr>
        <w:t xml:space="preserve"> </w:t>
      </w:r>
      <w:r>
        <w:rPr>
          <w:color w:val="211F1F"/>
          <w:spacing w:val="-2"/>
        </w:rPr>
        <w:t>Official</w:t>
      </w:r>
      <w:r>
        <w:rPr>
          <w:color w:val="211F1F"/>
          <w:spacing w:val="-6"/>
        </w:rPr>
        <w:t xml:space="preserve"> </w:t>
      </w:r>
      <w:r>
        <w:rPr>
          <w:color w:val="211F1F"/>
          <w:spacing w:val="-4"/>
        </w:rPr>
        <w:t>Stamp</w:t>
      </w:r>
    </w:p>
    <w:p w14:paraId="13E9E81E" w14:textId="77777777" w:rsidR="00BB77C0" w:rsidRDefault="00BB77C0">
      <w:pPr>
        <w:pStyle w:val="BodyText"/>
        <w:jc w:val="center"/>
        <w:sectPr w:rsidR="00BB77C0">
          <w:pgSz w:w="11920" w:h="16850"/>
          <w:pgMar w:top="260" w:right="0" w:bottom="280" w:left="360" w:header="720" w:footer="720" w:gutter="0"/>
          <w:cols w:space="720"/>
        </w:sectPr>
      </w:pPr>
    </w:p>
    <w:p w14:paraId="0F7A75F5" w14:textId="77777777" w:rsidR="00370BAA" w:rsidRDefault="00370BAA"/>
    <w:sectPr w:rsidR="00370BAA">
      <w:pgSz w:w="12240" w:h="15840"/>
      <w:pgMar w:top="1400" w:right="144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37C64"/>
    <w:multiLevelType w:val="hybridMultilevel"/>
    <w:tmpl w:val="9F422216"/>
    <w:lvl w:ilvl="0" w:tplc="E8E09E0E">
      <w:start w:val="1"/>
      <w:numFmt w:val="decimal"/>
      <w:lvlText w:val="%1."/>
      <w:lvlJc w:val="left"/>
      <w:pPr>
        <w:ind w:left="1056" w:hanging="572"/>
        <w:jc w:val="left"/>
      </w:pPr>
      <w:rPr>
        <w:rFonts w:ascii="Times New Roman" w:eastAsia="Times New Roman" w:hAnsi="Times New Roman" w:cs="Times New Roman" w:hint="default"/>
        <w:b w:val="0"/>
        <w:bCs w:val="0"/>
        <w:i w:val="0"/>
        <w:iCs w:val="0"/>
        <w:color w:val="211F1F"/>
        <w:spacing w:val="-29"/>
        <w:w w:val="100"/>
        <w:sz w:val="22"/>
        <w:szCs w:val="22"/>
        <w:lang w:val="en-US" w:eastAsia="en-US" w:bidi="ar-SA"/>
      </w:rPr>
    </w:lvl>
    <w:lvl w:ilvl="1" w:tplc="2C423DFA">
      <w:start w:val="1"/>
      <w:numFmt w:val="lowerLetter"/>
      <w:lvlText w:val="%2)"/>
      <w:lvlJc w:val="left"/>
      <w:pPr>
        <w:ind w:left="1522" w:hanging="471"/>
        <w:jc w:val="left"/>
      </w:pPr>
      <w:rPr>
        <w:rFonts w:ascii="Times New Roman" w:eastAsia="Times New Roman" w:hAnsi="Times New Roman" w:cs="Times New Roman" w:hint="default"/>
        <w:b w:val="0"/>
        <w:bCs w:val="0"/>
        <w:i w:val="0"/>
        <w:iCs w:val="0"/>
        <w:color w:val="211F1F"/>
        <w:spacing w:val="0"/>
        <w:w w:val="100"/>
        <w:sz w:val="22"/>
        <w:szCs w:val="22"/>
        <w:lang w:val="en-US" w:eastAsia="en-US" w:bidi="ar-SA"/>
      </w:rPr>
    </w:lvl>
    <w:lvl w:ilvl="2" w:tplc="EE84E926">
      <w:numFmt w:val="bullet"/>
      <w:lvlText w:val="•"/>
      <w:lvlJc w:val="left"/>
      <w:pPr>
        <w:ind w:left="2635" w:hanging="471"/>
      </w:pPr>
      <w:rPr>
        <w:rFonts w:hint="default"/>
        <w:lang w:val="en-US" w:eastAsia="en-US" w:bidi="ar-SA"/>
      </w:rPr>
    </w:lvl>
    <w:lvl w:ilvl="3" w:tplc="16A62190">
      <w:numFmt w:val="bullet"/>
      <w:lvlText w:val="•"/>
      <w:lvlJc w:val="left"/>
      <w:pPr>
        <w:ind w:left="3750" w:hanging="471"/>
      </w:pPr>
      <w:rPr>
        <w:rFonts w:hint="default"/>
        <w:lang w:val="en-US" w:eastAsia="en-US" w:bidi="ar-SA"/>
      </w:rPr>
    </w:lvl>
    <w:lvl w:ilvl="4" w:tplc="DDF21206">
      <w:numFmt w:val="bullet"/>
      <w:lvlText w:val="•"/>
      <w:lvlJc w:val="left"/>
      <w:pPr>
        <w:ind w:left="4866" w:hanging="471"/>
      </w:pPr>
      <w:rPr>
        <w:rFonts w:hint="default"/>
        <w:lang w:val="en-US" w:eastAsia="en-US" w:bidi="ar-SA"/>
      </w:rPr>
    </w:lvl>
    <w:lvl w:ilvl="5" w:tplc="B4DABBCA">
      <w:numFmt w:val="bullet"/>
      <w:lvlText w:val="•"/>
      <w:lvlJc w:val="left"/>
      <w:pPr>
        <w:ind w:left="5981" w:hanging="471"/>
      </w:pPr>
      <w:rPr>
        <w:rFonts w:hint="default"/>
        <w:lang w:val="en-US" w:eastAsia="en-US" w:bidi="ar-SA"/>
      </w:rPr>
    </w:lvl>
    <w:lvl w:ilvl="6" w:tplc="EE1EB95A">
      <w:numFmt w:val="bullet"/>
      <w:lvlText w:val="•"/>
      <w:lvlJc w:val="left"/>
      <w:pPr>
        <w:ind w:left="7096" w:hanging="471"/>
      </w:pPr>
      <w:rPr>
        <w:rFonts w:hint="default"/>
        <w:lang w:val="en-US" w:eastAsia="en-US" w:bidi="ar-SA"/>
      </w:rPr>
    </w:lvl>
    <w:lvl w:ilvl="7" w:tplc="63BA39EC">
      <w:numFmt w:val="bullet"/>
      <w:lvlText w:val="•"/>
      <w:lvlJc w:val="left"/>
      <w:pPr>
        <w:ind w:left="8212" w:hanging="471"/>
      </w:pPr>
      <w:rPr>
        <w:rFonts w:hint="default"/>
        <w:lang w:val="en-US" w:eastAsia="en-US" w:bidi="ar-SA"/>
      </w:rPr>
    </w:lvl>
    <w:lvl w:ilvl="8" w:tplc="9F9CBF1A">
      <w:numFmt w:val="bullet"/>
      <w:lvlText w:val="•"/>
      <w:lvlJc w:val="left"/>
      <w:pPr>
        <w:ind w:left="9327" w:hanging="471"/>
      </w:pPr>
      <w:rPr>
        <w:rFonts w:hint="default"/>
        <w:lang w:val="en-US" w:eastAsia="en-US" w:bidi="ar-SA"/>
      </w:rPr>
    </w:lvl>
  </w:abstractNum>
  <w:abstractNum w:abstractNumId="1" w15:restartNumberingAfterBreak="0">
    <w:nsid w:val="00B37503"/>
    <w:multiLevelType w:val="hybridMultilevel"/>
    <w:tmpl w:val="A2B4559C"/>
    <w:lvl w:ilvl="0" w:tplc="C0A62AE0">
      <w:numFmt w:val="bullet"/>
      <w:lvlText w:val=""/>
      <w:lvlJc w:val="left"/>
      <w:pPr>
        <w:ind w:left="360" w:hanging="720"/>
      </w:pPr>
      <w:rPr>
        <w:rFonts w:ascii="Wingdings" w:eastAsia="Wingdings" w:hAnsi="Wingdings" w:cs="Wingdings" w:hint="default"/>
        <w:b w:val="0"/>
        <w:bCs w:val="0"/>
        <w:i w:val="0"/>
        <w:iCs w:val="0"/>
        <w:spacing w:val="0"/>
        <w:w w:val="100"/>
        <w:sz w:val="22"/>
        <w:szCs w:val="22"/>
        <w:lang w:val="en-US" w:eastAsia="en-US" w:bidi="ar-SA"/>
      </w:rPr>
    </w:lvl>
    <w:lvl w:ilvl="1" w:tplc="4344124E">
      <w:numFmt w:val="bullet"/>
      <w:lvlText w:val="•"/>
      <w:lvlJc w:val="left"/>
      <w:pPr>
        <w:ind w:left="1479" w:hanging="720"/>
      </w:pPr>
      <w:rPr>
        <w:rFonts w:hint="default"/>
        <w:lang w:val="en-US" w:eastAsia="en-US" w:bidi="ar-SA"/>
      </w:rPr>
    </w:lvl>
    <w:lvl w:ilvl="2" w:tplc="8F16EC9C">
      <w:numFmt w:val="bullet"/>
      <w:lvlText w:val="•"/>
      <w:lvlJc w:val="left"/>
      <w:pPr>
        <w:ind w:left="2599" w:hanging="720"/>
      </w:pPr>
      <w:rPr>
        <w:rFonts w:hint="default"/>
        <w:lang w:val="en-US" w:eastAsia="en-US" w:bidi="ar-SA"/>
      </w:rPr>
    </w:lvl>
    <w:lvl w:ilvl="3" w:tplc="C382FF44">
      <w:numFmt w:val="bullet"/>
      <w:lvlText w:val="•"/>
      <w:lvlJc w:val="left"/>
      <w:pPr>
        <w:ind w:left="3719" w:hanging="720"/>
      </w:pPr>
      <w:rPr>
        <w:rFonts w:hint="default"/>
        <w:lang w:val="en-US" w:eastAsia="en-US" w:bidi="ar-SA"/>
      </w:rPr>
    </w:lvl>
    <w:lvl w:ilvl="4" w:tplc="65DAB7D8">
      <w:numFmt w:val="bullet"/>
      <w:lvlText w:val="•"/>
      <w:lvlJc w:val="left"/>
      <w:pPr>
        <w:ind w:left="4839" w:hanging="720"/>
      </w:pPr>
      <w:rPr>
        <w:rFonts w:hint="default"/>
        <w:lang w:val="en-US" w:eastAsia="en-US" w:bidi="ar-SA"/>
      </w:rPr>
    </w:lvl>
    <w:lvl w:ilvl="5" w:tplc="6CEC39A6">
      <w:numFmt w:val="bullet"/>
      <w:lvlText w:val="•"/>
      <w:lvlJc w:val="left"/>
      <w:pPr>
        <w:ind w:left="5959" w:hanging="720"/>
      </w:pPr>
      <w:rPr>
        <w:rFonts w:hint="default"/>
        <w:lang w:val="en-US" w:eastAsia="en-US" w:bidi="ar-SA"/>
      </w:rPr>
    </w:lvl>
    <w:lvl w:ilvl="6" w:tplc="137AA778">
      <w:numFmt w:val="bullet"/>
      <w:lvlText w:val="•"/>
      <w:lvlJc w:val="left"/>
      <w:pPr>
        <w:ind w:left="7079" w:hanging="720"/>
      </w:pPr>
      <w:rPr>
        <w:rFonts w:hint="default"/>
        <w:lang w:val="en-US" w:eastAsia="en-US" w:bidi="ar-SA"/>
      </w:rPr>
    </w:lvl>
    <w:lvl w:ilvl="7" w:tplc="3864AFB0">
      <w:numFmt w:val="bullet"/>
      <w:lvlText w:val="•"/>
      <w:lvlJc w:val="left"/>
      <w:pPr>
        <w:ind w:left="8198" w:hanging="720"/>
      </w:pPr>
      <w:rPr>
        <w:rFonts w:hint="default"/>
        <w:lang w:val="en-US" w:eastAsia="en-US" w:bidi="ar-SA"/>
      </w:rPr>
    </w:lvl>
    <w:lvl w:ilvl="8" w:tplc="6D84E7A8">
      <w:numFmt w:val="bullet"/>
      <w:lvlText w:val="•"/>
      <w:lvlJc w:val="left"/>
      <w:pPr>
        <w:ind w:left="9318" w:hanging="720"/>
      </w:pPr>
      <w:rPr>
        <w:rFonts w:hint="default"/>
        <w:lang w:val="en-US" w:eastAsia="en-US" w:bidi="ar-SA"/>
      </w:rPr>
    </w:lvl>
  </w:abstractNum>
  <w:abstractNum w:abstractNumId="2" w15:restartNumberingAfterBreak="0">
    <w:nsid w:val="01FD6F49"/>
    <w:multiLevelType w:val="multilevel"/>
    <w:tmpl w:val="33383784"/>
    <w:lvl w:ilvl="0">
      <w:start w:val="27"/>
      <w:numFmt w:val="decimal"/>
      <w:lvlText w:val="%1"/>
      <w:lvlJc w:val="left"/>
      <w:pPr>
        <w:ind w:left="720" w:hanging="721"/>
        <w:jc w:val="left"/>
      </w:pPr>
      <w:rPr>
        <w:rFonts w:hint="default"/>
        <w:lang w:val="en-US" w:eastAsia="en-US" w:bidi="ar-SA"/>
      </w:rPr>
    </w:lvl>
    <w:lvl w:ilvl="1">
      <w:numFmt w:val="decimal"/>
      <w:lvlText w:val="%1.%2"/>
      <w:lvlJc w:val="left"/>
      <w:pPr>
        <w:ind w:left="720" w:hanging="721"/>
        <w:jc w:val="right"/>
      </w:pPr>
      <w:rPr>
        <w:rFonts w:hint="default"/>
        <w:spacing w:val="0"/>
        <w:w w:val="100"/>
        <w:lang w:val="en-US" w:eastAsia="en-US" w:bidi="ar-SA"/>
      </w:rPr>
    </w:lvl>
    <w:lvl w:ilvl="2">
      <w:start w:val="1"/>
      <w:numFmt w:val="lowerLetter"/>
      <w:lvlText w:val="%3)"/>
      <w:lvlJc w:val="left"/>
      <w:pPr>
        <w:ind w:left="2161" w:hanging="361"/>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3">
      <w:numFmt w:val="bullet"/>
      <w:lvlText w:val="•"/>
      <w:lvlJc w:val="left"/>
      <w:pPr>
        <w:ind w:left="3850" w:hanging="361"/>
      </w:pPr>
      <w:rPr>
        <w:rFonts w:hint="default"/>
        <w:lang w:val="en-US" w:eastAsia="en-US" w:bidi="ar-SA"/>
      </w:rPr>
    </w:lvl>
    <w:lvl w:ilvl="4">
      <w:numFmt w:val="bullet"/>
      <w:lvlText w:val="•"/>
      <w:lvlJc w:val="left"/>
      <w:pPr>
        <w:ind w:left="4696" w:hanging="361"/>
      </w:pPr>
      <w:rPr>
        <w:rFonts w:hint="default"/>
        <w:lang w:val="en-US" w:eastAsia="en-US" w:bidi="ar-SA"/>
      </w:rPr>
    </w:lvl>
    <w:lvl w:ilvl="5">
      <w:numFmt w:val="bullet"/>
      <w:lvlText w:val="•"/>
      <w:lvlJc w:val="left"/>
      <w:pPr>
        <w:ind w:left="5541" w:hanging="361"/>
      </w:pPr>
      <w:rPr>
        <w:rFonts w:hint="default"/>
        <w:lang w:val="en-US" w:eastAsia="en-US" w:bidi="ar-SA"/>
      </w:rPr>
    </w:lvl>
    <w:lvl w:ilvl="6">
      <w:numFmt w:val="bullet"/>
      <w:lvlText w:val="•"/>
      <w:lvlJc w:val="left"/>
      <w:pPr>
        <w:ind w:left="6386" w:hanging="361"/>
      </w:pPr>
      <w:rPr>
        <w:rFonts w:hint="default"/>
        <w:lang w:val="en-US" w:eastAsia="en-US" w:bidi="ar-SA"/>
      </w:rPr>
    </w:lvl>
    <w:lvl w:ilvl="7">
      <w:numFmt w:val="bullet"/>
      <w:lvlText w:val="•"/>
      <w:lvlJc w:val="left"/>
      <w:pPr>
        <w:ind w:left="7232" w:hanging="361"/>
      </w:pPr>
      <w:rPr>
        <w:rFonts w:hint="default"/>
        <w:lang w:val="en-US" w:eastAsia="en-US" w:bidi="ar-SA"/>
      </w:rPr>
    </w:lvl>
    <w:lvl w:ilvl="8">
      <w:numFmt w:val="bullet"/>
      <w:lvlText w:val="•"/>
      <w:lvlJc w:val="left"/>
      <w:pPr>
        <w:ind w:left="8077" w:hanging="361"/>
      </w:pPr>
      <w:rPr>
        <w:rFonts w:hint="default"/>
        <w:lang w:val="en-US" w:eastAsia="en-US" w:bidi="ar-SA"/>
      </w:rPr>
    </w:lvl>
  </w:abstractNum>
  <w:abstractNum w:abstractNumId="3" w15:restartNumberingAfterBreak="0">
    <w:nsid w:val="022043AF"/>
    <w:multiLevelType w:val="hybridMultilevel"/>
    <w:tmpl w:val="8D822592"/>
    <w:lvl w:ilvl="0" w:tplc="BE6A81E8">
      <w:start w:val="1"/>
      <w:numFmt w:val="decimal"/>
      <w:lvlText w:val="%1."/>
      <w:lvlJc w:val="left"/>
      <w:pPr>
        <w:ind w:left="1022" w:hanging="528"/>
        <w:jc w:val="left"/>
      </w:pPr>
      <w:rPr>
        <w:rFonts w:hint="default"/>
        <w:spacing w:val="-18"/>
        <w:w w:val="94"/>
        <w:lang w:val="en-US" w:eastAsia="en-US" w:bidi="ar-SA"/>
      </w:rPr>
    </w:lvl>
    <w:lvl w:ilvl="1" w:tplc="2ECE20EA">
      <w:start w:val="1"/>
      <w:numFmt w:val="lowerRoman"/>
      <w:lvlText w:val="%2)"/>
      <w:lvlJc w:val="left"/>
      <w:pPr>
        <w:ind w:left="1623" w:hanging="572"/>
        <w:jc w:val="left"/>
      </w:pPr>
      <w:rPr>
        <w:rFonts w:hint="default"/>
        <w:spacing w:val="-4"/>
        <w:w w:val="100"/>
        <w:lang w:val="en-US" w:eastAsia="en-US" w:bidi="ar-SA"/>
      </w:rPr>
    </w:lvl>
    <w:lvl w:ilvl="2" w:tplc="23CEE27C">
      <w:numFmt w:val="bullet"/>
      <w:lvlText w:val="•"/>
      <w:lvlJc w:val="left"/>
      <w:pPr>
        <w:ind w:left="2724" w:hanging="572"/>
      </w:pPr>
      <w:rPr>
        <w:rFonts w:hint="default"/>
        <w:lang w:val="en-US" w:eastAsia="en-US" w:bidi="ar-SA"/>
      </w:rPr>
    </w:lvl>
    <w:lvl w:ilvl="3" w:tplc="5FBC32B4">
      <w:numFmt w:val="bullet"/>
      <w:lvlText w:val="•"/>
      <w:lvlJc w:val="left"/>
      <w:pPr>
        <w:ind w:left="3828" w:hanging="572"/>
      </w:pPr>
      <w:rPr>
        <w:rFonts w:hint="default"/>
        <w:lang w:val="en-US" w:eastAsia="en-US" w:bidi="ar-SA"/>
      </w:rPr>
    </w:lvl>
    <w:lvl w:ilvl="4" w:tplc="9572E2B0">
      <w:numFmt w:val="bullet"/>
      <w:lvlText w:val="•"/>
      <w:lvlJc w:val="left"/>
      <w:pPr>
        <w:ind w:left="4932" w:hanging="572"/>
      </w:pPr>
      <w:rPr>
        <w:rFonts w:hint="default"/>
        <w:lang w:val="en-US" w:eastAsia="en-US" w:bidi="ar-SA"/>
      </w:rPr>
    </w:lvl>
    <w:lvl w:ilvl="5" w:tplc="131C8732">
      <w:numFmt w:val="bullet"/>
      <w:lvlText w:val="•"/>
      <w:lvlJc w:val="left"/>
      <w:pPr>
        <w:ind w:left="6037" w:hanging="572"/>
      </w:pPr>
      <w:rPr>
        <w:rFonts w:hint="default"/>
        <w:lang w:val="en-US" w:eastAsia="en-US" w:bidi="ar-SA"/>
      </w:rPr>
    </w:lvl>
    <w:lvl w:ilvl="6" w:tplc="2960CEA0">
      <w:numFmt w:val="bullet"/>
      <w:lvlText w:val="•"/>
      <w:lvlJc w:val="left"/>
      <w:pPr>
        <w:ind w:left="7141" w:hanging="572"/>
      </w:pPr>
      <w:rPr>
        <w:rFonts w:hint="default"/>
        <w:lang w:val="en-US" w:eastAsia="en-US" w:bidi="ar-SA"/>
      </w:rPr>
    </w:lvl>
    <w:lvl w:ilvl="7" w:tplc="75DCF436">
      <w:numFmt w:val="bullet"/>
      <w:lvlText w:val="•"/>
      <w:lvlJc w:val="left"/>
      <w:pPr>
        <w:ind w:left="8245" w:hanging="572"/>
      </w:pPr>
      <w:rPr>
        <w:rFonts w:hint="default"/>
        <w:lang w:val="en-US" w:eastAsia="en-US" w:bidi="ar-SA"/>
      </w:rPr>
    </w:lvl>
    <w:lvl w:ilvl="8" w:tplc="4C920BB6">
      <w:numFmt w:val="bullet"/>
      <w:lvlText w:val="•"/>
      <w:lvlJc w:val="left"/>
      <w:pPr>
        <w:ind w:left="9349" w:hanging="572"/>
      </w:pPr>
      <w:rPr>
        <w:rFonts w:hint="default"/>
        <w:lang w:val="en-US" w:eastAsia="en-US" w:bidi="ar-SA"/>
      </w:rPr>
    </w:lvl>
  </w:abstractNum>
  <w:abstractNum w:abstractNumId="4" w15:restartNumberingAfterBreak="0">
    <w:nsid w:val="02AD47A5"/>
    <w:multiLevelType w:val="hybridMultilevel"/>
    <w:tmpl w:val="87788E72"/>
    <w:lvl w:ilvl="0" w:tplc="11F8938C">
      <w:start w:val="1"/>
      <w:numFmt w:val="decimal"/>
      <w:lvlText w:val="%1."/>
      <w:lvlJc w:val="left"/>
      <w:pPr>
        <w:ind w:left="460"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FF4A4A72">
      <w:numFmt w:val="bullet"/>
      <w:lvlText w:val="•"/>
      <w:lvlJc w:val="left"/>
      <w:pPr>
        <w:ind w:left="880" w:hanging="360"/>
      </w:pPr>
      <w:rPr>
        <w:rFonts w:hint="default"/>
        <w:lang w:val="en-US" w:eastAsia="en-US" w:bidi="ar-SA"/>
      </w:rPr>
    </w:lvl>
    <w:lvl w:ilvl="2" w:tplc="6BF29522">
      <w:numFmt w:val="bullet"/>
      <w:lvlText w:val="•"/>
      <w:lvlJc w:val="left"/>
      <w:pPr>
        <w:ind w:left="1301" w:hanging="360"/>
      </w:pPr>
      <w:rPr>
        <w:rFonts w:hint="default"/>
        <w:lang w:val="en-US" w:eastAsia="en-US" w:bidi="ar-SA"/>
      </w:rPr>
    </w:lvl>
    <w:lvl w:ilvl="3" w:tplc="AF445B1A">
      <w:numFmt w:val="bullet"/>
      <w:lvlText w:val="•"/>
      <w:lvlJc w:val="left"/>
      <w:pPr>
        <w:ind w:left="1722" w:hanging="360"/>
      </w:pPr>
      <w:rPr>
        <w:rFonts w:hint="default"/>
        <w:lang w:val="en-US" w:eastAsia="en-US" w:bidi="ar-SA"/>
      </w:rPr>
    </w:lvl>
    <w:lvl w:ilvl="4" w:tplc="8A00BB6E">
      <w:numFmt w:val="bullet"/>
      <w:lvlText w:val="•"/>
      <w:lvlJc w:val="left"/>
      <w:pPr>
        <w:ind w:left="2142" w:hanging="360"/>
      </w:pPr>
      <w:rPr>
        <w:rFonts w:hint="default"/>
        <w:lang w:val="en-US" w:eastAsia="en-US" w:bidi="ar-SA"/>
      </w:rPr>
    </w:lvl>
    <w:lvl w:ilvl="5" w:tplc="20FE10FE">
      <w:numFmt w:val="bullet"/>
      <w:lvlText w:val="•"/>
      <w:lvlJc w:val="left"/>
      <w:pPr>
        <w:ind w:left="2563" w:hanging="360"/>
      </w:pPr>
      <w:rPr>
        <w:rFonts w:hint="default"/>
        <w:lang w:val="en-US" w:eastAsia="en-US" w:bidi="ar-SA"/>
      </w:rPr>
    </w:lvl>
    <w:lvl w:ilvl="6" w:tplc="4E709B88">
      <w:numFmt w:val="bullet"/>
      <w:lvlText w:val="•"/>
      <w:lvlJc w:val="left"/>
      <w:pPr>
        <w:ind w:left="2984" w:hanging="360"/>
      </w:pPr>
      <w:rPr>
        <w:rFonts w:hint="default"/>
        <w:lang w:val="en-US" w:eastAsia="en-US" w:bidi="ar-SA"/>
      </w:rPr>
    </w:lvl>
    <w:lvl w:ilvl="7" w:tplc="48A0AFE8">
      <w:numFmt w:val="bullet"/>
      <w:lvlText w:val="•"/>
      <w:lvlJc w:val="left"/>
      <w:pPr>
        <w:ind w:left="3404" w:hanging="360"/>
      </w:pPr>
      <w:rPr>
        <w:rFonts w:hint="default"/>
        <w:lang w:val="en-US" w:eastAsia="en-US" w:bidi="ar-SA"/>
      </w:rPr>
    </w:lvl>
    <w:lvl w:ilvl="8" w:tplc="094CF9EE">
      <w:numFmt w:val="bullet"/>
      <w:lvlText w:val="•"/>
      <w:lvlJc w:val="left"/>
      <w:pPr>
        <w:ind w:left="3825" w:hanging="360"/>
      </w:pPr>
      <w:rPr>
        <w:rFonts w:hint="default"/>
        <w:lang w:val="en-US" w:eastAsia="en-US" w:bidi="ar-SA"/>
      </w:rPr>
    </w:lvl>
  </w:abstractNum>
  <w:abstractNum w:abstractNumId="5" w15:restartNumberingAfterBreak="0">
    <w:nsid w:val="034D57DB"/>
    <w:multiLevelType w:val="hybridMultilevel"/>
    <w:tmpl w:val="587E5C6C"/>
    <w:lvl w:ilvl="0" w:tplc="30E63398">
      <w:start w:val="1"/>
      <w:numFmt w:val="lowerLetter"/>
      <w:lvlText w:val="%1)"/>
      <w:lvlJc w:val="left"/>
      <w:pPr>
        <w:ind w:left="1479" w:hanging="433"/>
        <w:jc w:val="left"/>
      </w:pPr>
      <w:rPr>
        <w:rFonts w:ascii="Times New Roman" w:eastAsia="Times New Roman" w:hAnsi="Times New Roman" w:cs="Times New Roman" w:hint="default"/>
        <w:b w:val="0"/>
        <w:bCs w:val="0"/>
        <w:i w:val="0"/>
        <w:iCs w:val="0"/>
        <w:color w:val="211F1F"/>
        <w:spacing w:val="0"/>
        <w:w w:val="100"/>
        <w:sz w:val="22"/>
        <w:szCs w:val="22"/>
        <w:lang w:val="en-US" w:eastAsia="en-US" w:bidi="ar-SA"/>
      </w:rPr>
    </w:lvl>
    <w:lvl w:ilvl="1" w:tplc="D09ECDC2">
      <w:numFmt w:val="bullet"/>
      <w:lvlText w:val="•"/>
      <w:lvlJc w:val="left"/>
      <w:pPr>
        <w:ind w:left="2487" w:hanging="433"/>
      </w:pPr>
      <w:rPr>
        <w:rFonts w:hint="default"/>
        <w:lang w:val="en-US" w:eastAsia="en-US" w:bidi="ar-SA"/>
      </w:rPr>
    </w:lvl>
    <w:lvl w:ilvl="2" w:tplc="35940144">
      <w:numFmt w:val="bullet"/>
      <w:lvlText w:val="•"/>
      <w:lvlJc w:val="left"/>
      <w:pPr>
        <w:ind w:left="3495" w:hanging="433"/>
      </w:pPr>
      <w:rPr>
        <w:rFonts w:hint="default"/>
        <w:lang w:val="en-US" w:eastAsia="en-US" w:bidi="ar-SA"/>
      </w:rPr>
    </w:lvl>
    <w:lvl w:ilvl="3" w:tplc="F9F25C34">
      <w:numFmt w:val="bullet"/>
      <w:lvlText w:val="•"/>
      <w:lvlJc w:val="left"/>
      <w:pPr>
        <w:ind w:left="4503" w:hanging="433"/>
      </w:pPr>
      <w:rPr>
        <w:rFonts w:hint="default"/>
        <w:lang w:val="en-US" w:eastAsia="en-US" w:bidi="ar-SA"/>
      </w:rPr>
    </w:lvl>
    <w:lvl w:ilvl="4" w:tplc="940AE4AA">
      <w:numFmt w:val="bullet"/>
      <w:lvlText w:val="•"/>
      <w:lvlJc w:val="left"/>
      <w:pPr>
        <w:ind w:left="5511" w:hanging="433"/>
      </w:pPr>
      <w:rPr>
        <w:rFonts w:hint="default"/>
        <w:lang w:val="en-US" w:eastAsia="en-US" w:bidi="ar-SA"/>
      </w:rPr>
    </w:lvl>
    <w:lvl w:ilvl="5" w:tplc="04F46B86">
      <w:numFmt w:val="bullet"/>
      <w:lvlText w:val="•"/>
      <w:lvlJc w:val="left"/>
      <w:pPr>
        <w:ind w:left="6519" w:hanging="433"/>
      </w:pPr>
      <w:rPr>
        <w:rFonts w:hint="default"/>
        <w:lang w:val="en-US" w:eastAsia="en-US" w:bidi="ar-SA"/>
      </w:rPr>
    </w:lvl>
    <w:lvl w:ilvl="6" w:tplc="704A5620">
      <w:numFmt w:val="bullet"/>
      <w:lvlText w:val="•"/>
      <w:lvlJc w:val="left"/>
      <w:pPr>
        <w:ind w:left="7527" w:hanging="433"/>
      </w:pPr>
      <w:rPr>
        <w:rFonts w:hint="default"/>
        <w:lang w:val="en-US" w:eastAsia="en-US" w:bidi="ar-SA"/>
      </w:rPr>
    </w:lvl>
    <w:lvl w:ilvl="7" w:tplc="6360CF98">
      <w:numFmt w:val="bullet"/>
      <w:lvlText w:val="•"/>
      <w:lvlJc w:val="left"/>
      <w:pPr>
        <w:ind w:left="8534" w:hanging="433"/>
      </w:pPr>
      <w:rPr>
        <w:rFonts w:hint="default"/>
        <w:lang w:val="en-US" w:eastAsia="en-US" w:bidi="ar-SA"/>
      </w:rPr>
    </w:lvl>
    <w:lvl w:ilvl="8" w:tplc="8D8825C0">
      <w:numFmt w:val="bullet"/>
      <w:lvlText w:val="•"/>
      <w:lvlJc w:val="left"/>
      <w:pPr>
        <w:ind w:left="9542" w:hanging="433"/>
      </w:pPr>
      <w:rPr>
        <w:rFonts w:hint="default"/>
        <w:lang w:val="en-US" w:eastAsia="en-US" w:bidi="ar-SA"/>
      </w:rPr>
    </w:lvl>
  </w:abstractNum>
  <w:abstractNum w:abstractNumId="6" w15:restartNumberingAfterBreak="0">
    <w:nsid w:val="03643807"/>
    <w:multiLevelType w:val="hybridMultilevel"/>
    <w:tmpl w:val="3F84245A"/>
    <w:lvl w:ilvl="0" w:tplc="E47026FA">
      <w:numFmt w:val="bullet"/>
      <w:lvlText w:val=""/>
      <w:lvlJc w:val="left"/>
      <w:pPr>
        <w:ind w:left="7" w:hanging="720"/>
      </w:pPr>
      <w:rPr>
        <w:rFonts w:ascii="Wingdings" w:eastAsia="Wingdings" w:hAnsi="Wingdings" w:cs="Wingdings" w:hint="default"/>
        <w:b w:val="0"/>
        <w:bCs w:val="0"/>
        <w:i w:val="0"/>
        <w:iCs w:val="0"/>
        <w:spacing w:val="0"/>
        <w:w w:val="100"/>
        <w:sz w:val="22"/>
        <w:szCs w:val="22"/>
        <w:lang w:val="en-US" w:eastAsia="en-US" w:bidi="ar-SA"/>
      </w:rPr>
    </w:lvl>
    <w:lvl w:ilvl="1" w:tplc="9160B1F8">
      <w:numFmt w:val="bullet"/>
      <w:lvlText w:val="•"/>
      <w:lvlJc w:val="left"/>
      <w:pPr>
        <w:ind w:left="939" w:hanging="720"/>
      </w:pPr>
      <w:rPr>
        <w:rFonts w:hint="default"/>
        <w:lang w:val="en-US" w:eastAsia="en-US" w:bidi="ar-SA"/>
      </w:rPr>
    </w:lvl>
    <w:lvl w:ilvl="2" w:tplc="072EBB50">
      <w:numFmt w:val="bullet"/>
      <w:lvlText w:val="•"/>
      <w:lvlJc w:val="left"/>
      <w:pPr>
        <w:ind w:left="1878" w:hanging="720"/>
      </w:pPr>
      <w:rPr>
        <w:rFonts w:hint="default"/>
        <w:lang w:val="en-US" w:eastAsia="en-US" w:bidi="ar-SA"/>
      </w:rPr>
    </w:lvl>
    <w:lvl w:ilvl="3" w:tplc="8AE291B8">
      <w:numFmt w:val="bullet"/>
      <w:lvlText w:val="•"/>
      <w:lvlJc w:val="left"/>
      <w:pPr>
        <w:ind w:left="2817" w:hanging="720"/>
      </w:pPr>
      <w:rPr>
        <w:rFonts w:hint="default"/>
        <w:lang w:val="en-US" w:eastAsia="en-US" w:bidi="ar-SA"/>
      </w:rPr>
    </w:lvl>
    <w:lvl w:ilvl="4" w:tplc="DAA814B8">
      <w:numFmt w:val="bullet"/>
      <w:lvlText w:val="•"/>
      <w:lvlJc w:val="left"/>
      <w:pPr>
        <w:ind w:left="3756" w:hanging="720"/>
      </w:pPr>
      <w:rPr>
        <w:rFonts w:hint="default"/>
        <w:lang w:val="en-US" w:eastAsia="en-US" w:bidi="ar-SA"/>
      </w:rPr>
    </w:lvl>
    <w:lvl w:ilvl="5" w:tplc="41A82C0E">
      <w:numFmt w:val="bullet"/>
      <w:lvlText w:val="•"/>
      <w:lvlJc w:val="left"/>
      <w:pPr>
        <w:ind w:left="4695" w:hanging="720"/>
      </w:pPr>
      <w:rPr>
        <w:rFonts w:hint="default"/>
        <w:lang w:val="en-US" w:eastAsia="en-US" w:bidi="ar-SA"/>
      </w:rPr>
    </w:lvl>
    <w:lvl w:ilvl="6" w:tplc="8B326CFA">
      <w:numFmt w:val="bullet"/>
      <w:lvlText w:val="•"/>
      <w:lvlJc w:val="left"/>
      <w:pPr>
        <w:ind w:left="5634" w:hanging="720"/>
      </w:pPr>
      <w:rPr>
        <w:rFonts w:hint="default"/>
        <w:lang w:val="en-US" w:eastAsia="en-US" w:bidi="ar-SA"/>
      </w:rPr>
    </w:lvl>
    <w:lvl w:ilvl="7" w:tplc="0E204F3A">
      <w:numFmt w:val="bullet"/>
      <w:lvlText w:val="•"/>
      <w:lvlJc w:val="left"/>
      <w:pPr>
        <w:ind w:left="6573" w:hanging="720"/>
      </w:pPr>
      <w:rPr>
        <w:rFonts w:hint="default"/>
        <w:lang w:val="en-US" w:eastAsia="en-US" w:bidi="ar-SA"/>
      </w:rPr>
    </w:lvl>
    <w:lvl w:ilvl="8" w:tplc="F446DD06">
      <w:numFmt w:val="bullet"/>
      <w:lvlText w:val="•"/>
      <w:lvlJc w:val="left"/>
      <w:pPr>
        <w:ind w:left="7512" w:hanging="720"/>
      </w:pPr>
      <w:rPr>
        <w:rFonts w:hint="default"/>
        <w:lang w:val="en-US" w:eastAsia="en-US" w:bidi="ar-SA"/>
      </w:rPr>
    </w:lvl>
  </w:abstractNum>
  <w:abstractNum w:abstractNumId="7" w15:restartNumberingAfterBreak="0">
    <w:nsid w:val="03E351B1"/>
    <w:multiLevelType w:val="multilevel"/>
    <w:tmpl w:val="124EB242"/>
    <w:lvl w:ilvl="0">
      <w:start w:val="20"/>
      <w:numFmt w:val="decimal"/>
      <w:lvlText w:val="%1"/>
      <w:lvlJc w:val="left"/>
      <w:pPr>
        <w:ind w:left="720" w:hanging="721"/>
        <w:jc w:val="left"/>
      </w:pPr>
      <w:rPr>
        <w:rFonts w:hint="default"/>
        <w:lang w:val="en-US" w:eastAsia="en-US" w:bidi="ar-SA"/>
      </w:rPr>
    </w:lvl>
    <w:lvl w:ilvl="1">
      <w:numFmt w:val="decimal"/>
      <w:lvlText w:val="%1.%2"/>
      <w:lvlJc w:val="left"/>
      <w:pPr>
        <w:ind w:left="720" w:hanging="721"/>
        <w:jc w:val="right"/>
      </w:pPr>
      <w:rPr>
        <w:rFonts w:hint="default"/>
        <w:spacing w:val="0"/>
        <w:w w:val="100"/>
        <w:lang w:val="en-US" w:eastAsia="en-US" w:bidi="ar-SA"/>
      </w:rPr>
    </w:lvl>
    <w:lvl w:ilvl="2">
      <w:start w:val="1"/>
      <w:numFmt w:val="lowerLetter"/>
      <w:lvlText w:val="%3)"/>
      <w:lvlJc w:val="left"/>
      <w:pPr>
        <w:ind w:left="2103" w:hanging="562"/>
        <w:jc w:val="left"/>
      </w:pPr>
      <w:rPr>
        <w:rFonts w:ascii="Times New Roman" w:eastAsia="Times New Roman" w:hAnsi="Times New Roman" w:cs="Times New Roman" w:hint="default"/>
        <w:b w:val="0"/>
        <w:bCs w:val="0"/>
        <w:i w:val="0"/>
        <w:iCs w:val="0"/>
        <w:color w:val="201F1F"/>
        <w:spacing w:val="0"/>
        <w:w w:val="100"/>
        <w:sz w:val="22"/>
        <w:szCs w:val="22"/>
        <w:lang w:val="en-US" w:eastAsia="en-US" w:bidi="ar-SA"/>
      </w:rPr>
    </w:lvl>
    <w:lvl w:ilvl="3">
      <w:numFmt w:val="bullet"/>
      <w:lvlText w:val="•"/>
      <w:lvlJc w:val="left"/>
      <w:pPr>
        <w:ind w:left="3804" w:hanging="562"/>
      </w:pPr>
      <w:rPr>
        <w:rFonts w:hint="default"/>
        <w:lang w:val="en-US" w:eastAsia="en-US" w:bidi="ar-SA"/>
      </w:rPr>
    </w:lvl>
    <w:lvl w:ilvl="4">
      <w:numFmt w:val="bullet"/>
      <w:lvlText w:val="•"/>
      <w:lvlJc w:val="left"/>
      <w:pPr>
        <w:ind w:left="4656" w:hanging="562"/>
      </w:pPr>
      <w:rPr>
        <w:rFonts w:hint="default"/>
        <w:lang w:val="en-US" w:eastAsia="en-US" w:bidi="ar-SA"/>
      </w:rPr>
    </w:lvl>
    <w:lvl w:ilvl="5">
      <w:numFmt w:val="bullet"/>
      <w:lvlText w:val="•"/>
      <w:lvlJc w:val="left"/>
      <w:pPr>
        <w:ind w:left="5508" w:hanging="562"/>
      </w:pPr>
      <w:rPr>
        <w:rFonts w:hint="default"/>
        <w:lang w:val="en-US" w:eastAsia="en-US" w:bidi="ar-SA"/>
      </w:rPr>
    </w:lvl>
    <w:lvl w:ilvl="6">
      <w:numFmt w:val="bullet"/>
      <w:lvlText w:val="•"/>
      <w:lvlJc w:val="left"/>
      <w:pPr>
        <w:ind w:left="6360" w:hanging="562"/>
      </w:pPr>
      <w:rPr>
        <w:rFonts w:hint="default"/>
        <w:lang w:val="en-US" w:eastAsia="en-US" w:bidi="ar-SA"/>
      </w:rPr>
    </w:lvl>
    <w:lvl w:ilvl="7">
      <w:numFmt w:val="bullet"/>
      <w:lvlText w:val="•"/>
      <w:lvlJc w:val="left"/>
      <w:pPr>
        <w:ind w:left="7212" w:hanging="562"/>
      </w:pPr>
      <w:rPr>
        <w:rFonts w:hint="default"/>
        <w:lang w:val="en-US" w:eastAsia="en-US" w:bidi="ar-SA"/>
      </w:rPr>
    </w:lvl>
    <w:lvl w:ilvl="8">
      <w:numFmt w:val="bullet"/>
      <w:lvlText w:val="•"/>
      <w:lvlJc w:val="left"/>
      <w:pPr>
        <w:ind w:left="8064" w:hanging="562"/>
      </w:pPr>
      <w:rPr>
        <w:rFonts w:hint="default"/>
        <w:lang w:val="en-US" w:eastAsia="en-US" w:bidi="ar-SA"/>
      </w:rPr>
    </w:lvl>
  </w:abstractNum>
  <w:abstractNum w:abstractNumId="8" w15:restartNumberingAfterBreak="0">
    <w:nsid w:val="048509F3"/>
    <w:multiLevelType w:val="hybridMultilevel"/>
    <w:tmpl w:val="E1E6BCAE"/>
    <w:lvl w:ilvl="0" w:tplc="10341D98">
      <w:numFmt w:val="bullet"/>
      <w:lvlText w:val=""/>
      <w:lvlJc w:val="left"/>
      <w:pPr>
        <w:ind w:left="727" w:hanging="720"/>
      </w:pPr>
      <w:rPr>
        <w:rFonts w:ascii="Symbol" w:eastAsia="Symbol" w:hAnsi="Symbol" w:cs="Symbol" w:hint="default"/>
        <w:b w:val="0"/>
        <w:bCs w:val="0"/>
        <w:i w:val="0"/>
        <w:iCs w:val="0"/>
        <w:spacing w:val="0"/>
        <w:w w:val="100"/>
        <w:sz w:val="22"/>
        <w:szCs w:val="22"/>
        <w:lang w:val="en-US" w:eastAsia="en-US" w:bidi="ar-SA"/>
      </w:rPr>
    </w:lvl>
    <w:lvl w:ilvl="1" w:tplc="AB64C604">
      <w:numFmt w:val="bullet"/>
      <w:lvlText w:val="•"/>
      <w:lvlJc w:val="left"/>
      <w:pPr>
        <w:ind w:left="1575" w:hanging="720"/>
      </w:pPr>
      <w:rPr>
        <w:rFonts w:hint="default"/>
        <w:lang w:val="en-US" w:eastAsia="en-US" w:bidi="ar-SA"/>
      </w:rPr>
    </w:lvl>
    <w:lvl w:ilvl="2" w:tplc="285E2554">
      <w:numFmt w:val="bullet"/>
      <w:lvlText w:val="•"/>
      <w:lvlJc w:val="left"/>
      <w:pPr>
        <w:ind w:left="2431" w:hanging="720"/>
      </w:pPr>
      <w:rPr>
        <w:rFonts w:hint="default"/>
        <w:lang w:val="en-US" w:eastAsia="en-US" w:bidi="ar-SA"/>
      </w:rPr>
    </w:lvl>
    <w:lvl w:ilvl="3" w:tplc="88DE3C2C">
      <w:numFmt w:val="bullet"/>
      <w:lvlText w:val="•"/>
      <w:lvlJc w:val="left"/>
      <w:pPr>
        <w:ind w:left="3287" w:hanging="720"/>
      </w:pPr>
      <w:rPr>
        <w:rFonts w:hint="default"/>
        <w:lang w:val="en-US" w:eastAsia="en-US" w:bidi="ar-SA"/>
      </w:rPr>
    </w:lvl>
    <w:lvl w:ilvl="4" w:tplc="C5608B86">
      <w:numFmt w:val="bullet"/>
      <w:lvlText w:val="•"/>
      <w:lvlJc w:val="left"/>
      <w:pPr>
        <w:ind w:left="4142" w:hanging="720"/>
      </w:pPr>
      <w:rPr>
        <w:rFonts w:hint="default"/>
        <w:lang w:val="en-US" w:eastAsia="en-US" w:bidi="ar-SA"/>
      </w:rPr>
    </w:lvl>
    <w:lvl w:ilvl="5" w:tplc="242E75E8">
      <w:numFmt w:val="bullet"/>
      <w:lvlText w:val="•"/>
      <w:lvlJc w:val="left"/>
      <w:pPr>
        <w:ind w:left="4998" w:hanging="720"/>
      </w:pPr>
      <w:rPr>
        <w:rFonts w:hint="default"/>
        <w:lang w:val="en-US" w:eastAsia="en-US" w:bidi="ar-SA"/>
      </w:rPr>
    </w:lvl>
    <w:lvl w:ilvl="6" w:tplc="B694FC84">
      <w:numFmt w:val="bullet"/>
      <w:lvlText w:val="•"/>
      <w:lvlJc w:val="left"/>
      <w:pPr>
        <w:ind w:left="5854" w:hanging="720"/>
      </w:pPr>
      <w:rPr>
        <w:rFonts w:hint="default"/>
        <w:lang w:val="en-US" w:eastAsia="en-US" w:bidi="ar-SA"/>
      </w:rPr>
    </w:lvl>
    <w:lvl w:ilvl="7" w:tplc="D5CA3374">
      <w:numFmt w:val="bullet"/>
      <w:lvlText w:val="•"/>
      <w:lvlJc w:val="left"/>
      <w:pPr>
        <w:ind w:left="6709" w:hanging="720"/>
      </w:pPr>
      <w:rPr>
        <w:rFonts w:hint="default"/>
        <w:lang w:val="en-US" w:eastAsia="en-US" w:bidi="ar-SA"/>
      </w:rPr>
    </w:lvl>
    <w:lvl w:ilvl="8" w:tplc="4DE4A93C">
      <w:numFmt w:val="bullet"/>
      <w:lvlText w:val="•"/>
      <w:lvlJc w:val="left"/>
      <w:pPr>
        <w:ind w:left="7565" w:hanging="720"/>
      </w:pPr>
      <w:rPr>
        <w:rFonts w:hint="default"/>
        <w:lang w:val="en-US" w:eastAsia="en-US" w:bidi="ar-SA"/>
      </w:rPr>
    </w:lvl>
  </w:abstractNum>
  <w:abstractNum w:abstractNumId="9" w15:restartNumberingAfterBreak="0">
    <w:nsid w:val="0618677D"/>
    <w:multiLevelType w:val="hybridMultilevel"/>
    <w:tmpl w:val="F1CCC928"/>
    <w:lvl w:ilvl="0" w:tplc="B0D8F2A4">
      <w:start w:val="1"/>
      <w:numFmt w:val="lowerLetter"/>
      <w:lvlText w:val="%1)"/>
      <w:lvlJc w:val="left"/>
      <w:pPr>
        <w:ind w:left="1623" w:hanging="327"/>
        <w:jc w:val="left"/>
      </w:pPr>
      <w:rPr>
        <w:rFonts w:ascii="Times New Roman" w:eastAsia="Times New Roman" w:hAnsi="Times New Roman" w:cs="Times New Roman" w:hint="default"/>
        <w:b w:val="0"/>
        <w:bCs w:val="0"/>
        <w:i w:val="0"/>
        <w:iCs w:val="0"/>
        <w:color w:val="211F1F"/>
        <w:spacing w:val="0"/>
        <w:w w:val="100"/>
        <w:sz w:val="22"/>
        <w:szCs w:val="22"/>
        <w:lang w:val="en-US" w:eastAsia="en-US" w:bidi="ar-SA"/>
      </w:rPr>
    </w:lvl>
    <w:lvl w:ilvl="1" w:tplc="341EB00E">
      <w:start w:val="1"/>
      <w:numFmt w:val="lowerRoman"/>
      <w:lvlText w:val="%2)"/>
      <w:lvlJc w:val="left"/>
      <w:pPr>
        <w:ind w:left="2108" w:hanging="519"/>
        <w:jc w:val="left"/>
      </w:pPr>
      <w:rPr>
        <w:rFonts w:ascii="Times New Roman" w:eastAsia="Times New Roman" w:hAnsi="Times New Roman" w:cs="Times New Roman" w:hint="default"/>
        <w:b w:val="0"/>
        <w:bCs w:val="0"/>
        <w:i w:val="0"/>
        <w:iCs w:val="0"/>
        <w:color w:val="211F1F"/>
        <w:spacing w:val="-4"/>
        <w:w w:val="100"/>
        <w:sz w:val="22"/>
        <w:szCs w:val="22"/>
        <w:lang w:val="en-US" w:eastAsia="en-US" w:bidi="ar-SA"/>
      </w:rPr>
    </w:lvl>
    <w:lvl w:ilvl="2" w:tplc="8A7A00DA">
      <w:numFmt w:val="bullet"/>
      <w:lvlText w:val="•"/>
      <w:lvlJc w:val="left"/>
      <w:pPr>
        <w:ind w:left="3150" w:hanging="519"/>
      </w:pPr>
      <w:rPr>
        <w:rFonts w:hint="default"/>
        <w:lang w:val="en-US" w:eastAsia="en-US" w:bidi="ar-SA"/>
      </w:rPr>
    </w:lvl>
    <w:lvl w:ilvl="3" w:tplc="001ED83C">
      <w:numFmt w:val="bullet"/>
      <w:lvlText w:val="•"/>
      <w:lvlJc w:val="left"/>
      <w:pPr>
        <w:ind w:left="4201" w:hanging="519"/>
      </w:pPr>
      <w:rPr>
        <w:rFonts w:hint="default"/>
        <w:lang w:val="en-US" w:eastAsia="en-US" w:bidi="ar-SA"/>
      </w:rPr>
    </w:lvl>
    <w:lvl w:ilvl="4" w:tplc="F0741EAE">
      <w:numFmt w:val="bullet"/>
      <w:lvlText w:val="•"/>
      <w:lvlJc w:val="left"/>
      <w:pPr>
        <w:ind w:left="5252" w:hanging="519"/>
      </w:pPr>
      <w:rPr>
        <w:rFonts w:hint="default"/>
        <w:lang w:val="en-US" w:eastAsia="en-US" w:bidi="ar-SA"/>
      </w:rPr>
    </w:lvl>
    <w:lvl w:ilvl="5" w:tplc="3C0641A6">
      <w:numFmt w:val="bullet"/>
      <w:lvlText w:val="•"/>
      <w:lvlJc w:val="left"/>
      <w:pPr>
        <w:ind w:left="6303" w:hanging="519"/>
      </w:pPr>
      <w:rPr>
        <w:rFonts w:hint="default"/>
        <w:lang w:val="en-US" w:eastAsia="en-US" w:bidi="ar-SA"/>
      </w:rPr>
    </w:lvl>
    <w:lvl w:ilvl="6" w:tplc="0C404294">
      <w:numFmt w:val="bullet"/>
      <w:lvlText w:val="•"/>
      <w:lvlJc w:val="left"/>
      <w:pPr>
        <w:ind w:left="7354" w:hanging="519"/>
      </w:pPr>
      <w:rPr>
        <w:rFonts w:hint="default"/>
        <w:lang w:val="en-US" w:eastAsia="en-US" w:bidi="ar-SA"/>
      </w:rPr>
    </w:lvl>
    <w:lvl w:ilvl="7" w:tplc="86444214">
      <w:numFmt w:val="bullet"/>
      <w:lvlText w:val="•"/>
      <w:lvlJc w:val="left"/>
      <w:pPr>
        <w:ind w:left="8405" w:hanging="519"/>
      </w:pPr>
      <w:rPr>
        <w:rFonts w:hint="default"/>
        <w:lang w:val="en-US" w:eastAsia="en-US" w:bidi="ar-SA"/>
      </w:rPr>
    </w:lvl>
    <w:lvl w:ilvl="8" w:tplc="66CC2A72">
      <w:numFmt w:val="bullet"/>
      <w:lvlText w:val="•"/>
      <w:lvlJc w:val="left"/>
      <w:pPr>
        <w:ind w:left="9456" w:hanging="519"/>
      </w:pPr>
      <w:rPr>
        <w:rFonts w:hint="default"/>
        <w:lang w:val="en-US" w:eastAsia="en-US" w:bidi="ar-SA"/>
      </w:rPr>
    </w:lvl>
  </w:abstractNum>
  <w:abstractNum w:abstractNumId="10" w15:restartNumberingAfterBreak="0">
    <w:nsid w:val="06D7096D"/>
    <w:multiLevelType w:val="multilevel"/>
    <w:tmpl w:val="17B85B3C"/>
    <w:lvl w:ilvl="0">
      <w:start w:val="32"/>
      <w:numFmt w:val="decimal"/>
      <w:lvlText w:val="%1"/>
      <w:lvlJc w:val="left"/>
      <w:pPr>
        <w:ind w:left="720" w:hanging="721"/>
        <w:jc w:val="left"/>
      </w:pPr>
      <w:rPr>
        <w:rFonts w:hint="default"/>
        <w:lang w:val="en-US" w:eastAsia="en-US" w:bidi="ar-SA"/>
      </w:rPr>
    </w:lvl>
    <w:lvl w:ilvl="1">
      <w:numFmt w:val="decimal"/>
      <w:lvlText w:val="%1.%2"/>
      <w:lvlJc w:val="left"/>
      <w:pPr>
        <w:ind w:left="720" w:hanging="721"/>
        <w:jc w:val="right"/>
      </w:pPr>
      <w:rPr>
        <w:rFonts w:hint="default"/>
        <w:spacing w:val="0"/>
        <w:w w:val="100"/>
        <w:lang w:val="en-US" w:eastAsia="en-US" w:bidi="ar-SA"/>
      </w:rPr>
    </w:lvl>
    <w:lvl w:ilvl="2">
      <w:numFmt w:val="bullet"/>
      <w:lvlText w:val="•"/>
      <w:lvlJc w:val="left"/>
      <w:pPr>
        <w:ind w:left="2529" w:hanging="721"/>
      </w:pPr>
      <w:rPr>
        <w:rFonts w:hint="default"/>
        <w:lang w:val="en-US" w:eastAsia="en-US" w:bidi="ar-SA"/>
      </w:rPr>
    </w:lvl>
    <w:lvl w:ilvl="3">
      <w:numFmt w:val="bullet"/>
      <w:lvlText w:val="•"/>
      <w:lvlJc w:val="left"/>
      <w:pPr>
        <w:ind w:left="3434" w:hanging="721"/>
      </w:pPr>
      <w:rPr>
        <w:rFonts w:hint="default"/>
        <w:lang w:val="en-US" w:eastAsia="en-US" w:bidi="ar-SA"/>
      </w:rPr>
    </w:lvl>
    <w:lvl w:ilvl="4">
      <w:numFmt w:val="bullet"/>
      <w:lvlText w:val="•"/>
      <w:lvlJc w:val="left"/>
      <w:pPr>
        <w:ind w:left="4339" w:hanging="721"/>
      </w:pPr>
      <w:rPr>
        <w:rFonts w:hint="default"/>
        <w:lang w:val="en-US" w:eastAsia="en-US" w:bidi="ar-SA"/>
      </w:rPr>
    </w:lvl>
    <w:lvl w:ilvl="5">
      <w:numFmt w:val="bullet"/>
      <w:lvlText w:val="•"/>
      <w:lvlJc w:val="left"/>
      <w:pPr>
        <w:ind w:left="5244" w:hanging="721"/>
      </w:pPr>
      <w:rPr>
        <w:rFonts w:hint="default"/>
        <w:lang w:val="en-US" w:eastAsia="en-US" w:bidi="ar-SA"/>
      </w:rPr>
    </w:lvl>
    <w:lvl w:ilvl="6">
      <w:numFmt w:val="bullet"/>
      <w:lvlText w:val="•"/>
      <w:lvlJc w:val="left"/>
      <w:pPr>
        <w:ind w:left="6148" w:hanging="721"/>
      </w:pPr>
      <w:rPr>
        <w:rFonts w:hint="default"/>
        <w:lang w:val="en-US" w:eastAsia="en-US" w:bidi="ar-SA"/>
      </w:rPr>
    </w:lvl>
    <w:lvl w:ilvl="7">
      <w:numFmt w:val="bullet"/>
      <w:lvlText w:val="•"/>
      <w:lvlJc w:val="left"/>
      <w:pPr>
        <w:ind w:left="7053" w:hanging="721"/>
      </w:pPr>
      <w:rPr>
        <w:rFonts w:hint="default"/>
        <w:lang w:val="en-US" w:eastAsia="en-US" w:bidi="ar-SA"/>
      </w:rPr>
    </w:lvl>
    <w:lvl w:ilvl="8">
      <w:numFmt w:val="bullet"/>
      <w:lvlText w:val="•"/>
      <w:lvlJc w:val="left"/>
      <w:pPr>
        <w:ind w:left="7958" w:hanging="721"/>
      </w:pPr>
      <w:rPr>
        <w:rFonts w:hint="default"/>
        <w:lang w:val="en-US" w:eastAsia="en-US" w:bidi="ar-SA"/>
      </w:rPr>
    </w:lvl>
  </w:abstractNum>
  <w:abstractNum w:abstractNumId="11" w15:restartNumberingAfterBreak="0">
    <w:nsid w:val="082B0C86"/>
    <w:multiLevelType w:val="hybridMultilevel"/>
    <w:tmpl w:val="40A43A52"/>
    <w:lvl w:ilvl="0" w:tplc="CF0EC0B6">
      <w:start w:val="1"/>
      <w:numFmt w:val="lowerLetter"/>
      <w:lvlText w:val="(%1)"/>
      <w:lvlJc w:val="left"/>
      <w:pPr>
        <w:ind w:left="640" w:hanging="548"/>
        <w:jc w:val="left"/>
      </w:pPr>
      <w:rPr>
        <w:rFonts w:ascii="Times New Roman" w:eastAsia="Times New Roman" w:hAnsi="Times New Roman" w:cs="Times New Roman" w:hint="default"/>
        <w:b w:val="0"/>
        <w:bCs w:val="0"/>
        <w:i w:val="0"/>
        <w:iCs w:val="0"/>
        <w:spacing w:val="-2"/>
        <w:w w:val="100"/>
        <w:sz w:val="22"/>
        <w:szCs w:val="22"/>
        <w:lang w:val="en-US" w:eastAsia="en-US" w:bidi="ar-SA"/>
      </w:rPr>
    </w:lvl>
    <w:lvl w:ilvl="1" w:tplc="9398A7F6">
      <w:start w:val="1"/>
      <w:numFmt w:val="lowerRoman"/>
      <w:lvlText w:val="(%2)"/>
      <w:lvlJc w:val="left"/>
      <w:pPr>
        <w:ind w:left="1178" w:hanging="548"/>
        <w:jc w:val="left"/>
      </w:pPr>
      <w:rPr>
        <w:rFonts w:ascii="Times New Roman" w:eastAsia="Times New Roman" w:hAnsi="Times New Roman" w:cs="Times New Roman" w:hint="default"/>
        <w:b w:val="0"/>
        <w:bCs w:val="0"/>
        <w:i w:val="0"/>
        <w:iCs w:val="0"/>
        <w:spacing w:val="-4"/>
        <w:w w:val="100"/>
        <w:sz w:val="22"/>
        <w:szCs w:val="22"/>
        <w:lang w:val="en-US" w:eastAsia="en-US" w:bidi="ar-SA"/>
      </w:rPr>
    </w:lvl>
    <w:lvl w:ilvl="2" w:tplc="0FC2CE1E">
      <w:numFmt w:val="bullet"/>
      <w:lvlText w:val="•"/>
      <w:lvlJc w:val="left"/>
      <w:pPr>
        <w:ind w:left="2008" w:hanging="548"/>
      </w:pPr>
      <w:rPr>
        <w:rFonts w:hint="default"/>
        <w:lang w:val="en-US" w:eastAsia="en-US" w:bidi="ar-SA"/>
      </w:rPr>
    </w:lvl>
    <w:lvl w:ilvl="3" w:tplc="FB58EF1A">
      <w:numFmt w:val="bullet"/>
      <w:lvlText w:val="•"/>
      <w:lvlJc w:val="left"/>
      <w:pPr>
        <w:ind w:left="2836" w:hanging="548"/>
      </w:pPr>
      <w:rPr>
        <w:rFonts w:hint="default"/>
        <w:lang w:val="en-US" w:eastAsia="en-US" w:bidi="ar-SA"/>
      </w:rPr>
    </w:lvl>
    <w:lvl w:ilvl="4" w:tplc="76B44B48">
      <w:numFmt w:val="bullet"/>
      <w:lvlText w:val="•"/>
      <w:lvlJc w:val="left"/>
      <w:pPr>
        <w:ind w:left="3664" w:hanging="548"/>
      </w:pPr>
      <w:rPr>
        <w:rFonts w:hint="default"/>
        <w:lang w:val="en-US" w:eastAsia="en-US" w:bidi="ar-SA"/>
      </w:rPr>
    </w:lvl>
    <w:lvl w:ilvl="5" w:tplc="91DC1CD2">
      <w:numFmt w:val="bullet"/>
      <w:lvlText w:val="•"/>
      <w:lvlJc w:val="left"/>
      <w:pPr>
        <w:ind w:left="4492" w:hanging="548"/>
      </w:pPr>
      <w:rPr>
        <w:rFonts w:hint="default"/>
        <w:lang w:val="en-US" w:eastAsia="en-US" w:bidi="ar-SA"/>
      </w:rPr>
    </w:lvl>
    <w:lvl w:ilvl="6" w:tplc="18781A52">
      <w:numFmt w:val="bullet"/>
      <w:lvlText w:val="•"/>
      <w:lvlJc w:val="left"/>
      <w:pPr>
        <w:ind w:left="5321" w:hanging="548"/>
      </w:pPr>
      <w:rPr>
        <w:rFonts w:hint="default"/>
        <w:lang w:val="en-US" w:eastAsia="en-US" w:bidi="ar-SA"/>
      </w:rPr>
    </w:lvl>
    <w:lvl w:ilvl="7" w:tplc="FC4208A4">
      <w:numFmt w:val="bullet"/>
      <w:lvlText w:val="•"/>
      <w:lvlJc w:val="left"/>
      <w:pPr>
        <w:ind w:left="6149" w:hanging="548"/>
      </w:pPr>
      <w:rPr>
        <w:rFonts w:hint="default"/>
        <w:lang w:val="en-US" w:eastAsia="en-US" w:bidi="ar-SA"/>
      </w:rPr>
    </w:lvl>
    <w:lvl w:ilvl="8" w:tplc="BB402EBA">
      <w:numFmt w:val="bullet"/>
      <w:lvlText w:val="•"/>
      <w:lvlJc w:val="left"/>
      <w:pPr>
        <w:ind w:left="6977" w:hanging="548"/>
      </w:pPr>
      <w:rPr>
        <w:rFonts w:hint="default"/>
        <w:lang w:val="en-US" w:eastAsia="en-US" w:bidi="ar-SA"/>
      </w:rPr>
    </w:lvl>
  </w:abstractNum>
  <w:abstractNum w:abstractNumId="12" w15:restartNumberingAfterBreak="0">
    <w:nsid w:val="085557A2"/>
    <w:multiLevelType w:val="hybridMultilevel"/>
    <w:tmpl w:val="3D86AD4E"/>
    <w:lvl w:ilvl="0" w:tplc="0D6AD9AC">
      <w:start w:val="1"/>
      <w:numFmt w:val="decimal"/>
      <w:lvlText w:val="%1."/>
      <w:lvlJc w:val="left"/>
      <w:pPr>
        <w:ind w:left="936" w:hanging="576"/>
        <w:jc w:val="right"/>
      </w:pPr>
      <w:rPr>
        <w:rFonts w:ascii="Times New Roman" w:eastAsia="Times New Roman" w:hAnsi="Times New Roman" w:cs="Times New Roman" w:hint="default"/>
        <w:b w:val="0"/>
        <w:bCs w:val="0"/>
        <w:i w:val="0"/>
        <w:iCs w:val="0"/>
        <w:color w:val="211F1F"/>
        <w:spacing w:val="0"/>
        <w:w w:val="100"/>
        <w:sz w:val="22"/>
        <w:szCs w:val="22"/>
        <w:lang w:val="en-US" w:eastAsia="en-US" w:bidi="ar-SA"/>
      </w:rPr>
    </w:lvl>
    <w:lvl w:ilvl="1" w:tplc="4FF27D0A">
      <w:start w:val="1"/>
      <w:numFmt w:val="decimal"/>
      <w:lvlText w:val="%2)"/>
      <w:lvlJc w:val="left"/>
      <w:pPr>
        <w:ind w:left="1469" w:hanging="419"/>
        <w:jc w:val="left"/>
      </w:pPr>
      <w:rPr>
        <w:rFonts w:ascii="Times New Roman" w:eastAsia="Times New Roman" w:hAnsi="Times New Roman" w:cs="Times New Roman" w:hint="default"/>
        <w:b w:val="0"/>
        <w:bCs w:val="0"/>
        <w:i w:val="0"/>
        <w:iCs w:val="0"/>
        <w:color w:val="211F1F"/>
        <w:spacing w:val="-23"/>
        <w:w w:val="94"/>
        <w:sz w:val="22"/>
        <w:szCs w:val="22"/>
        <w:lang w:val="en-US" w:eastAsia="en-US" w:bidi="ar-SA"/>
      </w:rPr>
    </w:lvl>
    <w:lvl w:ilvl="2" w:tplc="53AA2792">
      <w:numFmt w:val="bullet"/>
      <w:lvlText w:val="•"/>
      <w:lvlJc w:val="left"/>
      <w:pPr>
        <w:ind w:left="2582" w:hanging="419"/>
      </w:pPr>
      <w:rPr>
        <w:rFonts w:hint="default"/>
        <w:lang w:val="en-US" w:eastAsia="en-US" w:bidi="ar-SA"/>
      </w:rPr>
    </w:lvl>
    <w:lvl w:ilvl="3" w:tplc="7FD0BBBC">
      <w:numFmt w:val="bullet"/>
      <w:lvlText w:val="•"/>
      <w:lvlJc w:val="left"/>
      <w:pPr>
        <w:ind w:left="3704" w:hanging="419"/>
      </w:pPr>
      <w:rPr>
        <w:rFonts w:hint="default"/>
        <w:lang w:val="en-US" w:eastAsia="en-US" w:bidi="ar-SA"/>
      </w:rPr>
    </w:lvl>
    <w:lvl w:ilvl="4" w:tplc="8A50B83C">
      <w:numFmt w:val="bullet"/>
      <w:lvlText w:val="•"/>
      <w:lvlJc w:val="left"/>
      <w:pPr>
        <w:ind w:left="4826" w:hanging="419"/>
      </w:pPr>
      <w:rPr>
        <w:rFonts w:hint="default"/>
        <w:lang w:val="en-US" w:eastAsia="en-US" w:bidi="ar-SA"/>
      </w:rPr>
    </w:lvl>
    <w:lvl w:ilvl="5" w:tplc="8932AEC8">
      <w:numFmt w:val="bullet"/>
      <w:lvlText w:val="•"/>
      <w:lvlJc w:val="left"/>
      <w:pPr>
        <w:ind w:left="5948" w:hanging="419"/>
      </w:pPr>
      <w:rPr>
        <w:rFonts w:hint="default"/>
        <w:lang w:val="en-US" w:eastAsia="en-US" w:bidi="ar-SA"/>
      </w:rPr>
    </w:lvl>
    <w:lvl w:ilvl="6" w:tplc="9FE81A8A">
      <w:numFmt w:val="bullet"/>
      <w:lvlText w:val="•"/>
      <w:lvlJc w:val="left"/>
      <w:pPr>
        <w:ind w:left="7070" w:hanging="419"/>
      </w:pPr>
      <w:rPr>
        <w:rFonts w:hint="default"/>
        <w:lang w:val="en-US" w:eastAsia="en-US" w:bidi="ar-SA"/>
      </w:rPr>
    </w:lvl>
    <w:lvl w:ilvl="7" w:tplc="86B0B778">
      <w:numFmt w:val="bullet"/>
      <w:lvlText w:val="•"/>
      <w:lvlJc w:val="left"/>
      <w:pPr>
        <w:ind w:left="8192" w:hanging="419"/>
      </w:pPr>
      <w:rPr>
        <w:rFonts w:hint="default"/>
        <w:lang w:val="en-US" w:eastAsia="en-US" w:bidi="ar-SA"/>
      </w:rPr>
    </w:lvl>
    <w:lvl w:ilvl="8" w:tplc="E7A077C6">
      <w:numFmt w:val="bullet"/>
      <w:lvlText w:val="•"/>
      <w:lvlJc w:val="left"/>
      <w:pPr>
        <w:ind w:left="9314" w:hanging="419"/>
      </w:pPr>
      <w:rPr>
        <w:rFonts w:hint="default"/>
        <w:lang w:val="en-US" w:eastAsia="en-US" w:bidi="ar-SA"/>
      </w:rPr>
    </w:lvl>
  </w:abstractNum>
  <w:abstractNum w:abstractNumId="13" w15:restartNumberingAfterBreak="0">
    <w:nsid w:val="08ED1728"/>
    <w:multiLevelType w:val="multilevel"/>
    <w:tmpl w:val="8EB4285A"/>
    <w:lvl w:ilvl="0">
      <w:start w:val="17"/>
      <w:numFmt w:val="decimal"/>
      <w:lvlText w:val="%1"/>
      <w:lvlJc w:val="left"/>
      <w:pPr>
        <w:ind w:left="720" w:hanging="721"/>
        <w:jc w:val="left"/>
      </w:pPr>
      <w:rPr>
        <w:rFonts w:hint="default"/>
        <w:lang w:val="en-US" w:eastAsia="en-US" w:bidi="ar-SA"/>
      </w:rPr>
    </w:lvl>
    <w:lvl w:ilvl="1">
      <w:numFmt w:val="decimal"/>
      <w:lvlText w:val="%1.%2"/>
      <w:lvlJc w:val="left"/>
      <w:pPr>
        <w:ind w:left="720" w:hanging="721"/>
        <w:jc w:val="right"/>
      </w:pPr>
      <w:rPr>
        <w:rFonts w:hint="default"/>
        <w:spacing w:val="0"/>
        <w:w w:val="100"/>
        <w:lang w:val="en-US" w:eastAsia="en-US" w:bidi="ar-SA"/>
      </w:rPr>
    </w:lvl>
    <w:lvl w:ilvl="2">
      <w:numFmt w:val="bullet"/>
      <w:lvlText w:val="•"/>
      <w:lvlJc w:val="left"/>
      <w:pPr>
        <w:ind w:left="2529" w:hanging="721"/>
      </w:pPr>
      <w:rPr>
        <w:rFonts w:hint="default"/>
        <w:lang w:val="en-US" w:eastAsia="en-US" w:bidi="ar-SA"/>
      </w:rPr>
    </w:lvl>
    <w:lvl w:ilvl="3">
      <w:numFmt w:val="bullet"/>
      <w:lvlText w:val="•"/>
      <w:lvlJc w:val="left"/>
      <w:pPr>
        <w:ind w:left="3434" w:hanging="721"/>
      </w:pPr>
      <w:rPr>
        <w:rFonts w:hint="default"/>
        <w:lang w:val="en-US" w:eastAsia="en-US" w:bidi="ar-SA"/>
      </w:rPr>
    </w:lvl>
    <w:lvl w:ilvl="4">
      <w:numFmt w:val="bullet"/>
      <w:lvlText w:val="•"/>
      <w:lvlJc w:val="left"/>
      <w:pPr>
        <w:ind w:left="4339" w:hanging="721"/>
      </w:pPr>
      <w:rPr>
        <w:rFonts w:hint="default"/>
        <w:lang w:val="en-US" w:eastAsia="en-US" w:bidi="ar-SA"/>
      </w:rPr>
    </w:lvl>
    <w:lvl w:ilvl="5">
      <w:numFmt w:val="bullet"/>
      <w:lvlText w:val="•"/>
      <w:lvlJc w:val="left"/>
      <w:pPr>
        <w:ind w:left="5244" w:hanging="721"/>
      </w:pPr>
      <w:rPr>
        <w:rFonts w:hint="default"/>
        <w:lang w:val="en-US" w:eastAsia="en-US" w:bidi="ar-SA"/>
      </w:rPr>
    </w:lvl>
    <w:lvl w:ilvl="6">
      <w:numFmt w:val="bullet"/>
      <w:lvlText w:val="•"/>
      <w:lvlJc w:val="left"/>
      <w:pPr>
        <w:ind w:left="6148" w:hanging="721"/>
      </w:pPr>
      <w:rPr>
        <w:rFonts w:hint="default"/>
        <w:lang w:val="en-US" w:eastAsia="en-US" w:bidi="ar-SA"/>
      </w:rPr>
    </w:lvl>
    <w:lvl w:ilvl="7">
      <w:numFmt w:val="bullet"/>
      <w:lvlText w:val="•"/>
      <w:lvlJc w:val="left"/>
      <w:pPr>
        <w:ind w:left="7053" w:hanging="721"/>
      </w:pPr>
      <w:rPr>
        <w:rFonts w:hint="default"/>
        <w:lang w:val="en-US" w:eastAsia="en-US" w:bidi="ar-SA"/>
      </w:rPr>
    </w:lvl>
    <w:lvl w:ilvl="8">
      <w:numFmt w:val="bullet"/>
      <w:lvlText w:val="•"/>
      <w:lvlJc w:val="left"/>
      <w:pPr>
        <w:ind w:left="7958" w:hanging="721"/>
      </w:pPr>
      <w:rPr>
        <w:rFonts w:hint="default"/>
        <w:lang w:val="en-US" w:eastAsia="en-US" w:bidi="ar-SA"/>
      </w:rPr>
    </w:lvl>
  </w:abstractNum>
  <w:abstractNum w:abstractNumId="14" w15:restartNumberingAfterBreak="0">
    <w:nsid w:val="0AE104CD"/>
    <w:multiLevelType w:val="hybridMultilevel"/>
    <w:tmpl w:val="D108D47A"/>
    <w:lvl w:ilvl="0" w:tplc="F65CE148">
      <w:start w:val="7"/>
      <w:numFmt w:val="lowerRoman"/>
      <w:lvlText w:val="%1)"/>
      <w:lvlJc w:val="left"/>
      <w:pPr>
        <w:ind w:left="1604" w:hanging="548"/>
        <w:jc w:val="left"/>
      </w:pPr>
      <w:rPr>
        <w:rFonts w:hint="default"/>
        <w:spacing w:val="-5"/>
        <w:w w:val="100"/>
        <w:lang w:val="en-US" w:eastAsia="en-US" w:bidi="ar-SA"/>
      </w:rPr>
    </w:lvl>
    <w:lvl w:ilvl="1" w:tplc="13D2C5AE">
      <w:start w:val="1"/>
      <w:numFmt w:val="lowerLetter"/>
      <w:lvlText w:val="%2)"/>
      <w:lvlJc w:val="left"/>
      <w:pPr>
        <w:ind w:left="2199" w:hanging="581"/>
        <w:jc w:val="left"/>
      </w:pPr>
      <w:rPr>
        <w:rFonts w:hint="default"/>
        <w:spacing w:val="0"/>
        <w:w w:val="100"/>
        <w:lang w:val="en-US" w:eastAsia="en-US" w:bidi="ar-SA"/>
      </w:rPr>
    </w:lvl>
    <w:lvl w:ilvl="2" w:tplc="4D485170">
      <w:numFmt w:val="bullet"/>
      <w:lvlText w:val="•"/>
      <w:lvlJc w:val="left"/>
      <w:pPr>
        <w:ind w:left="3239" w:hanging="581"/>
      </w:pPr>
      <w:rPr>
        <w:rFonts w:hint="default"/>
        <w:lang w:val="en-US" w:eastAsia="en-US" w:bidi="ar-SA"/>
      </w:rPr>
    </w:lvl>
    <w:lvl w:ilvl="3" w:tplc="B90C760A">
      <w:numFmt w:val="bullet"/>
      <w:lvlText w:val="•"/>
      <w:lvlJc w:val="left"/>
      <w:pPr>
        <w:ind w:left="4279" w:hanging="581"/>
      </w:pPr>
      <w:rPr>
        <w:rFonts w:hint="default"/>
        <w:lang w:val="en-US" w:eastAsia="en-US" w:bidi="ar-SA"/>
      </w:rPr>
    </w:lvl>
    <w:lvl w:ilvl="4" w:tplc="CA62A0C4">
      <w:numFmt w:val="bullet"/>
      <w:lvlText w:val="•"/>
      <w:lvlJc w:val="left"/>
      <w:pPr>
        <w:ind w:left="5319" w:hanging="581"/>
      </w:pPr>
      <w:rPr>
        <w:rFonts w:hint="default"/>
        <w:lang w:val="en-US" w:eastAsia="en-US" w:bidi="ar-SA"/>
      </w:rPr>
    </w:lvl>
    <w:lvl w:ilvl="5" w:tplc="FA1EF7A0">
      <w:numFmt w:val="bullet"/>
      <w:lvlText w:val="•"/>
      <w:lvlJc w:val="left"/>
      <w:pPr>
        <w:ind w:left="6359" w:hanging="581"/>
      </w:pPr>
      <w:rPr>
        <w:rFonts w:hint="default"/>
        <w:lang w:val="en-US" w:eastAsia="en-US" w:bidi="ar-SA"/>
      </w:rPr>
    </w:lvl>
    <w:lvl w:ilvl="6" w:tplc="7C066DE4">
      <w:numFmt w:val="bullet"/>
      <w:lvlText w:val="•"/>
      <w:lvlJc w:val="left"/>
      <w:pPr>
        <w:ind w:left="7399" w:hanging="581"/>
      </w:pPr>
      <w:rPr>
        <w:rFonts w:hint="default"/>
        <w:lang w:val="en-US" w:eastAsia="en-US" w:bidi="ar-SA"/>
      </w:rPr>
    </w:lvl>
    <w:lvl w:ilvl="7" w:tplc="1C74FB50">
      <w:numFmt w:val="bullet"/>
      <w:lvlText w:val="•"/>
      <w:lvlJc w:val="left"/>
      <w:pPr>
        <w:ind w:left="8438" w:hanging="581"/>
      </w:pPr>
      <w:rPr>
        <w:rFonts w:hint="default"/>
        <w:lang w:val="en-US" w:eastAsia="en-US" w:bidi="ar-SA"/>
      </w:rPr>
    </w:lvl>
    <w:lvl w:ilvl="8" w:tplc="C7DCC85A">
      <w:numFmt w:val="bullet"/>
      <w:lvlText w:val="•"/>
      <w:lvlJc w:val="left"/>
      <w:pPr>
        <w:ind w:left="9478" w:hanging="581"/>
      </w:pPr>
      <w:rPr>
        <w:rFonts w:hint="default"/>
        <w:lang w:val="en-US" w:eastAsia="en-US" w:bidi="ar-SA"/>
      </w:rPr>
    </w:lvl>
  </w:abstractNum>
  <w:abstractNum w:abstractNumId="15" w15:restartNumberingAfterBreak="0">
    <w:nsid w:val="0BC531FF"/>
    <w:multiLevelType w:val="hybridMultilevel"/>
    <w:tmpl w:val="95C897F4"/>
    <w:lvl w:ilvl="0" w:tplc="E4ECB8AE">
      <w:start w:val="1"/>
      <w:numFmt w:val="lowerRoman"/>
      <w:lvlText w:val="(%1)"/>
      <w:lvlJc w:val="left"/>
      <w:pPr>
        <w:ind w:left="2161" w:hanging="361"/>
        <w:jc w:val="left"/>
      </w:pPr>
      <w:rPr>
        <w:rFonts w:ascii="Times New Roman" w:eastAsia="Times New Roman" w:hAnsi="Times New Roman" w:cs="Times New Roman" w:hint="default"/>
        <w:b w:val="0"/>
        <w:bCs w:val="0"/>
        <w:i w:val="0"/>
        <w:iCs w:val="0"/>
        <w:spacing w:val="-10"/>
        <w:w w:val="100"/>
        <w:sz w:val="24"/>
        <w:szCs w:val="24"/>
        <w:lang w:val="en-US" w:eastAsia="en-US" w:bidi="ar-SA"/>
      </w:rPr>
    </w:lvl>
    <w:lvl w:ilvl="1" w:tplc="6AFE13AA">
      <w:numFmt w:val="bullet"/>
      <w:lvlText w:val="•"/>
      <w:lvlJc w:val="left"/>
      <w:pPr>
        <w:ind w:left="2920" w:hanging="361"/>
      </w:pPr>
      <w:rPr>
        <w:rFonts w:hint="default"/>
        <w:lang w:val="en-US" w:eastAsia="en-US" w:bidi="ar-SA"/>
      </w:rPr>
    </w:lvl>
    <w:lvl w:ilvl="2" w:tplc="C19C1C0C">
      <w:numFmt w:val="bullet"/>
      <w:lvlText w:val="•"/>
      <w:lvlJc w:val="left"/>
      <w:pPr>
        <w:ind w:left="3681" w:hanging="361"/>
      </w:pPr>
      <w:rPr>
        <w:rFonts w:hint="default"/>
        <w:lang w:val="en-US" w:eastAsia="en-US" w:bidi="ar-SA"/>
      </w:rPr>
    </w:lvl>
    <w:lvl w:ilvl="3" w:tplc="71427D6E">
      <w:numFmt w:val="bullet"/>
      <w:lvlText w:val="•"/>
      <w:lvlJc w:val="left"/>
      <w:pPr>
        <w:ind w:left="4442" w:hanging="361"/>
      </w:pPr>
      <w:rPr>
        <w:rFonts w:hint="default"/>
        <w:lang w:val="en-US" w:eastAsia="en-US" w:bidi="ar-SA"/>
      </w:rPr>
    </w:lvl>
    <w:lvl w:ilvl="4" w:tplc="8740420E">
      <w:numFmt w:val="bullet"/>
      <w:lvlText w:val="•"/>
      <w:lvlJc w:val="left"/>
      <w:pPr>
        <w:ind w:left="5203" w:hanging="361"/>
      </w:pPr>
      <w:rPr>
        <w:rFonts w:hint="default"/>
        <w:lang w:val="en-US" w:eastAsia="en-US" w:bidi="ar-SA"/>
      </w:rPr>
    </w:lvl>
    <w:lvl w:ilvl="5" w:tplc="6804C3DE">
      <w:numFmt w:val="bullet"/>
      <w:lvlText w:val="•"/>
      <w:lvlJc w:val="left"/>
      <w:pPr>
        <w:ind w:left="5964" w:hanging="361"/>
      </w:pPr>
      <w:rPr>
        <w:rFonts w:hint="default"/>
        <w:lang w:val="en-US" w:eastAsia="en-US" w:bidi="ar-SA"/>
      </w:rPr>
    </w:lvl>
    <w:lvl w:ilvl="6" w:tplc="B86CB6C0">
      <w:numFmt w:val="bullet"/>
      <w:lvlText w:val="•"/>
      <w:lvlJc w:val="left"/>
      <w:pPr>
        <w:ind w:left="6724" w:hanging="361"/>
      </w:pPr>
      <w:rPr>
        <w:rFonts w:hint="default"/>
        <w:lang w:val="en-US" w:eastAsia="en-US" w:bidi="ar-SA"/>
      </w:rPr>
    </w:lvl>
    <w:lvl w:ilvl="7" w:tplc="6E52BA80">
      <w:numFmt w:val="bullet"/>
      <w:lvlText w:val="•"/>
      <w:lvlJc w:val="left"/>
      <w:pPr>
        <w:ind w:left="7485" w:hanging="361"/>
      </w:pPr>
      <w:rPr>
        <w:rFonts w:hint="default"/>
        <w:lang w:val="en-US" w:eastAsia="en-US" w:bidi="ar-SA"/>
      </w:rPr>
    </w:lvl>
    <w:lvl w:ilvl="8" w:tplc="71F65BB0">
      <w:numFmt w:val="bullet"/>
      <w:lvlText w:val="•"/>
      <w:lvlJc w:val="left"/>
      <w:pPr>
        <w:ind w:left="8246" w:hanging="361"/>
      </w:pPr>
      <w:rPr>
        <w:rFonts w:hint="default"/>
        <w:lang w:val="en-US" w:eastAsia="en-US" w:bidi="ar-SA"/>
      </w:rPr>
    </w:lvl>
  </w:abstractNum>
  <w:abstractNum w:abstractNumId="16" w15:restartNumberingAfterBreak="0">
    <w:nsid w:val="0C27640E"/>
    <w:multiLevelType w:val="hybridMultilevel"/>
    <w:tmpl w:val="8E5E50E4"/>
    <w:lvl w:ilvl="0" w:tplc="AF0625D4">
      <w:start w:val="1"/>
      <w:numFmt w:val="decimal"/>
      <w:lvlText w:val="%1."/>
      <w:lvlJc w:val="left"/>
      <w:pPr>
        <w:ind w:left="218" w:hanging="212"/>
        <w:jc w:val="left"/>
      </w:pPr>
      <w:rPr>
        <w:rFonts w:ascii="Times New Roman" w:eastAsia="Times New Roman" w:hAnsi="Times New Roman" w:cs="Times New Roman" w:hint="default"/>
        <w:b w:val="0"/>
        <w:bCs w:val="0"/>
        <w:i w:val="0"/>
        <w:iCs w:val="0"/>
        <w:spacing w:val="-5"/>
        <w:w w:val="100"/>
        <w:sz w:val="22"/>
        <w:szCs w:val="22"/>
        <w:lang w:val="en-US" w:eastAsia="en-US" w:bidi="ar-SA"/>
      </w:rPr>
    </w:lvl>
    <w:lvl w:ilvl="1" w:tplc="A48615B6">
      <w:numFmt w:val="bullet"/>
      <w:lvlText w:val=""/>
      <w:lvlJc w:val="left"/>
      <w:pPr>
        <w:ind w:left="7" w:hanging="720"/>
      </w:pPr>
      <w:rPr>
        <w:rFonts w:ascii="Wingdings" w:eastAsia="Wingdings" w:hAnsi="Wingdings" w:cs="Wingdings" w:hint="default"/>
        <w:b w:val="0"/>
        <w:bCs w:val="0"/>
        <w:i w:val="0"/>
        <w:iCs w:val="0"/>
        <w:spacing w:val="0"/>
        <w:w w:val="100"/>
        <w:sz w:val="22"/>
        <w:szCs w:val="22"/>
        <w:lang w:val="en-US" w:eastAsia="en-US" w:bidi="ar-SA"/>
      </w:rPr>
    </w:lvl>
    <w:lvl w:ilvl="2" w:tplc="3F0C1F4A">
      <w:numFmt w:val="bullet"/>
      <w:lvlText w:val="•"/>
      <w:lvlJc w:val="left"/>
      <w:pPr>
        <w:ind w:left="1226" w:hanging="720"/>
      </w:pPr>
      <w:rPr>
        <w:rFonts w:hint="default"/>
        <w:lang w:val="en-US" w:eastAsia="en-US" w:bidi="ar-SA"/>
      </w:rPr>
    </w:lvl>
    <w:lvl w:ilvl="3" w:tplc="A3547590">
      <w:numFmt w:val="bullet"/>
      <w:lvlText w:val="•"/>
      <w:lvlJc w:val="left"/>
      <w:pPr>
        <w:ind w:left="2232" w:hanging="720"/>
      </w:pPr>
      <w:rPr>
        <w:rFonts w:hint="default"/>
        <w:lang w:val="en-US" w:eastAsia="en-US" w:bidi="ar-SA"/>
      </w:rPr>
    </w:lvl>
    <w:lvl w:ilvl="4" w:tplc="83D024F6">
      <w:numFmt w:val="bullet"/>
      <w:lvlText w:val="•"/>
      <w:lvlJc w:val="left"/>
      <w:pPr>
        <w:ind w:left="3239" w:hanging="720"/>
      </w:pPr>
      <w:rPr>
        <w:rFonts w:hint="default"/>
        <w:lang w:val="en-US" w:eastAsia="en-US" w:bidi="ar-SA"/>
      </w:rPr>
    </w:lvl>
    <w:lvl w:ilvl="5" w:tplc="59CEA08E">
      <w:numFmt w:val="bullet"/>
      <w:lvlText w:val="•"/>
      <w:lvlJc w:val="left"/>
      <w:pPr>
        <w:ind w:left="4245" w:hanging="720"/>
      </w:pPr>
      <w:rPr>
        <w:rFonts w:hint="default"/>
        <w:lang w:val="en-US" w:eastAsia="en-US" w:bidi="ar-SA"/>
      </w:rPr>
    </w:lvl>
    <w:lvl w:ilvl="6" w:tplc="1450BB22">
      <w:numFmt w:val="bullet"/>
      <w:lvlText w:val="•"/>
      <w:lvlJc w:val="left"/>
      <w:pPr>
        <w:ind w:left="5251" w:hanging="720"/>
      </w:pPr>
      <w:rPr>
        <w:rFonts w:hint="default"/>
        <w:lang w:val="en-US" w:eastAsia="en-US" w:bidi="ar-SA"/>
      </w:rPr>
    </w:lvl>
    <w:lvl w:ilvl="7" w:tplc="8F9CC1CE">
      <w:numFmt w:val="bullet"/>
      <w:lvlText w:val="•"/>
      <w:lvlJc w:val="left"/>
      <w:pPr>
        <w:ind w:left="6258" w:hanging="720"/>
      </w:pPr>
      <w:rPr>
        <w:rFonts w:hint="default"/>
        <w:lang w:val="en-US" w:eastAsia="en-US" w:bidi="ar-SA"/>
      </w:rPr>
    </w:lvl>
    <w:lvl w:ilvl="8" w:tplc="816204DA">
      <w:numFmt w:val="bullet"/>
      <w:lvlText w:val="•"/>
      <w:lvlJc w:val="left"/>
      <w:pPr>
        <w:ind w:left="7264" w:hanging="720"/>
      </w:pPr>
      <w:rPr>
        <w:rFonts w:hint="default"/>
        <w:lang w:val="en-US" w:eastAsia="en-US" w:bidi="ar-SA"/>
      </w:rPr>
    </w:lvl>
  </w:abstractNum>
  <w:abstractNum w:abstractNumId="17" w15:restartNumberingAfterBreak="0">
    <w:nsid w:val="0CAC5C63"/>
    <w:multiLevelType w:val="hybridMultilevel"/>
    <w:tmpl w:val="FCA25BB2"/>
    <w:lvl w:ilvl="0" w:tplc="22F80FBE">
      <w:numFmt w:val="bullet"/>
      <w:lvlText w:val=""/>
      <w:lvlJc w:val="left"/>
      <w:pPr>
        <w:ind w:left="110" w:hanging="720"/>
      </w:pPr>
      <w:rPr>
        <w:rFonts w:ascii="Wingdings" w:eastAsia="Wingdings" w:hAnsi="Wingdings" w:cs="Wingdings" w:hint="default"/>
        <w:b w:val="0"/>
        <w:bCs w:val="0"/>
        <w:i w:val="0"/>
        <w:iCs w:val="0"/>
        <w:spacing w:val="0"/>
        <w:w w:val="100"/>
        <w:sz w:val="22"/>
        <w:szCs w:val="22"/>
        <w:lang w:val="en-US" w:eastAsia="en-US" w:bidi="ar-SA"/>
      </w:rPr>
    </w:lvl>
    <w:lvl w:ilvl="1" w:tplc="64DCAF1E">
      <w:numFmt w:val="bullet"/>
      <w:lvlText w:val="•"/>
      <w:lvlJc w:val="left"/>
      <w:pPr>
        <w:ind w:left="1086" w:hanging="720"/>
      </w:pPr>
      <w:rPr>
        <w:rFonts w:hint="default"/>
        <w:lang w:val="en-US" w:eastAsia="en-US" w:bidi="ar-SA"/>
      </w:rPr>
    </w:lvl>
    <w:lvl w:ilvl="2" w:tplc="B31E394A">
      <w:numFmt w:val="bullet"/>
      <w:lvlText w:val="•"/>
      <w:lvlJc w:val="left"/>
      <w:pPr>
        <w:ind w:left="2053" w:hanging="720"/>
      </w:pPr>
      <w:rPr>
        <w:rFonts w:hint="default"/>
        <w:lang w:val="en-US" w:eastAsia="en-US" w:bidi="ar-SA"/>
      </w:rPr>
    </w:lvl>
    <w:lvl w:ilvl="3" w:tplc="359607DA">
      <w:numFmt w:val="bullet"/>
      <w:lvlText w:val="•"/>
      <w:lvlJc w:val="left"/>
      <w:pPr>
        <w:ind w:left="3020" w:hanging="720"/>
      </w:pPr>
      <w:rPr>
        <w:rFonts w:hint="default"/>
        <w:lang w:val="en-US" w:eastAsia="en-US" w:bidi="ar-SA"/>
      </w:rPr>
    </w:lvl>
    <w:lvl w:ilvl="4" w:tplc="9F286966">
      <w:numFmt w:val="bullet"/>
      <w:lvlText w:val="•"/>
      <w:lvlJc w:val="left"/>
      <w:pPr>
        <w:ind w:left="3987" w:hanging="720"/>
      </w:pPr>
      <w:rPr>
        <w:rFonts w:hint="default"/>
        <w:lang w:val="en-US" w:eastAsia="en-US" w:bidi="ar-SA"/>
      </w:rPr>
    </w:lvl>
    <w:lvl w:ilvl="5" w:tplc="09BCCE70">
      <w:numFmt w:val="bullet"/>
      <w:lvlText w:val="•"/>
      <w:lvlJc w:val="left"/>
      <w:pPr>
        <w:ind w:left="4954" w:hanging="720"/>
      </w:pPr>
      <w:rPr>
        <w:rFonts w:hint="default"/>
        <w:lang w:val="en-US" w:eastAsia="en-US" w:bidi="ar-SA"/>
      </w:rPr>
    </w:lvl>
    <w:lvl w:ilvl="6" w:tplc="4F086410">
      <w:numFmt w:val="bullet"/>
      <w:lvlText w:val="•"/>
      <w:lvlJc w:val="left"/>
      <w:pPr>
        <w:ind w:left="5920" w:hanging="720"/>
      </w:pPr>
      <w:rPr>
        <w:rFonts w:hint="default"/>
        <w:lang w:val="en-US" w:eastAsia="en-US" w:bidi="ar-SA"/>
      </w:rPr>
    </w:lvl>
    <w:lvl w:ilvl="7" w:tplc="56F45674">
      <w:numFmt w:val="bullet"/>
      <w:lvlText w:val="•"/>
      <w:lvlJc w:val="left"/>
      <w:pPr>
        <w:ind w:left="6887" w:hanging="720"/>
      </w:pPr>
      <w:rPr>
        <w:rFonts w:hint="default"/>
        <w:lang w:val="en-US" w:eastAsia="en-US" w:bidi="ar-SA"/>
      </w:rPr>
    </w:lvl>
    <w:lvl w:ilvl="8" w:tplc="F2D0A4A8">
      <w:numFmt w:val="bullet"/>
      <w:lvlText w:val="•"/>
      <w:lvlJc w:val="left"/>
      <w:pPr>
        <w:ind w:left="7854" w:hanging="720"/>
      </w:pPr>
      <w:rPr>
        <w:rFonts w:hint="default"/>
        <w:lang w:val="en-US" w:eastAsia="en-US" w:bidi="ar-SA"/>
      </w:rPr>
    </w:lvl>
  </w:abstractNum>
  <w:abstractNum w:abstractNumId="18" w15:restartNumberingAfterBreak="0">
    <w:nsid w:val="0E632B41"/>
    <w:multiLevelType w:val="multilevel"/>
    <w:tmpl w:val="823E1B5A"/>
    <w:lvl w:ilvl="0">
      <w:start w:val="35"/>
      <w:numFmt w:val="decimal"/>
      <w:lvlText w:val="%1"/>
      <w:lvlJc w:val="left"/>
      <w:pPr>
        <w:ind w:left="720" w:hanging="721"/>
        <w:jc w:val="left"/>
      </w:pPr>
      <w:rPr>
        <w:rFonts w:hint="default"/>
        <w:lang w:val="en-US" w:eastAsia="en-US" w:bidi="ar-SA"/>
      </w:rPr>
    </w:lvl>
    <w:lvl w:ilvl="1">
      <w:numFmt w:val="decimal"/>
      <w:lvlText w:val="%1.%2"/>
      <w:lvlJc w:val="left"/>
      <w:pPr>
        <w:ind w:left="720" w:hanging="721"/>
        <w:jc w:val="right"/>
      </w:pPr>
      <w:rPr>
        <w:rFonts w:hint="default"/>
        <w:spacing w:val="0"/>
        <w:w w:val="100"/>
        <w:lang w:val="en-US" w:eastAsia="en-US" w:bidi="ar-SA"/>
      </w:rPr>
    </w:lvl>
    <w:lvl w:ilvl="2">
      <w:numFmt w:val="bullet"/>
      <w:lvlText w:val="•"/>
      <w:lvlJc w:val="left"/>
      <w:pPr>
        <w:ind w:left="2529" w:hanging="721"/>
      </w:pPr>
      <w:rPr>
        <w:rFonts w:hint="default"/>
        <w:lang w:val="en-US" w:eastAsia="en-US" w:bidi="ar-SA"/>
      </w:rPr>
    </w:lvl>
    <w:lvl w:ilvl="3">
      <w:numFmt w:val="bullet"/>
      <w:lvlText w:val="•"/>
      <w:lvlJc w:val="left"/>
      <w:pPr>
        <w:ind w:left="3434" w:hanging="721"/>
      </w:pPr>
      <w:rPr>
        <w:rFonts w:hint="default"/>
        <w:lang w:val="en-US" w:eastAsia="en-US" w:bidi="ar-SA"/>
      </w:rPr>
    </w:lvl>
    <w:lvl w:ilvl="4">
      <w:numFmt w:val="bullet"/>
      <w:lvlText w:val="•"/>
      <w:lvlJc w:val="left"/>
      <w:pPr>
        <w:ind w:left="4339" w:hanging="721"/>
      </w:pPr>
      <w:rPr>
        <w:rFonts w:hint="default"/>
        <w:lang w:val="en-US" w:eastAsia="en-US" w:bidi="ar-SA"/>
      </w:rPr>
    </w:lvl>
    <w:lvl w:ilvl="5">
      <w:numFmt w:val="bullet"/>
      <w:lvlText w:val="•"/>
      <w:lvlJc w:val="left"/>
      <w:pPr>
        <w:ind w:left="5244" w:hanging="721"/>
      </w:pPr>
      <w:rPr>
        <w:rFonts w:hint="default"/>
        <w:lang w:val="en-US" w:eastAsia="en-US" w:bidi="ar-SA"/>
      </w:rPr>
    </w:lvl>
    <w:lvl w:ilvl="6">
      <w:numFmt w:val="bullet"/>
      <w:lvlText w:val="•"/>
      <w:lvlJc w:val="left"/>
      <w:pPr>
        <w:ind w:left="6148" w:hanging="721"/>
      </w:pPr>
      <w:rPr>
        <w:rFonts w:hint="default"/>
        <w:lang w:val="en-US" w:eastAsia="en-US" w:bidi="ar-SA"/>
      </w:rPr>
    </w:lvl>
    <w:lvl w:ilvl="7">
      <w:numFmt w:val="bullet"/>
      <w:lvlText w:val="•"/>
      <w:lvlJc w:val="left"/>
      <w:pPr>
        <w:ind w:left="7053" w:hanging="721"/>
      </w:pPr>
      <w:rPr>
        <w:rFonts w:hint="default"/>
        <w:lang w:val="en-US" w:eastAsia="en-US" w:bidi="ar-SA"/>
      </w:rPr>
    </w:lvl>
    <w:lvl w:ilvl="8">
      <w:numFmt w:val="bullet"/>
      <w:lvlText w:val="•"/>
      <w:lvlJc w:val="left"/>
      <w:pPr>
        <w:ind w:left="7958" w:hanging="721"/>
      </w:pPr>
      <w:rPr>
        <w:rFonts w:hint="default"/>
        <w:lang w:val="en-US" w:eastAsia="en-US" w:bidi="ar-SA"/>
      </w:rPr>
    </w:lvl>
  </w:abstractNum>
  <w:abstractNum w:abstractNumId="19" w15:restartNumberingAfterBreak="0">
    <w:nsid w:val="0F4B5AD3"/>
    <w:multiLevelType w:val="hybridMultilevel"/>
    <w:tmpl w:val="3C82B768"/>
    <w:lvl w:ilvl="0" w:tplc="996C3090">
      <w:start w:val="42"/>
      <w:numFmt w:val="decimal"/>
      <w:lvlText w:val="%1.0"/>
      <w:lvlJc w:val="left"/>
      <w:pPr>
        <w:ind w:left="1239" w:hanging="659"/>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7DBAB586">
      <w:numFmt w:val="bullet"/>
      <w:lvlText w:val="•"/>
      <w:lvlJc w:val="left"/>
      <w:pPr>
        <w:ind w:left="2128" w:hanging="659"/>
      </w:pPr>
      <w:rPr>
        <w:rFonts w:hint="default"/>
        <w:lang w:val="en-US" w:eastAsia="en-US" w:bidi="ar-SA"/>
      </w:rPr>
    </w:lvl>
    <w:lvl w:ilvl="2" w:tplc="84DA2F86">
      <w:numFmt w:val="bullet"/>
      <w:lvlText w:val="•"/>
      <w:lvlJc w:val="left"/>
      <w:pPr>
        <w:ind w:left="3017" w:hanging="659"/>
      </w:pPr>
      <w:rPr>
        <w:rFonts w:hint="default"/>
        <w:lang w:val="en-US" w:eastAsia="en-US" w:bidi="ar-SA"/>
      </w:rPr>
    </w:lvl>
    <w:lvl w:ilvl="3" w:tplc="A754AC6E">
      <w:numFmt w:val="bullet"/>
      <w:lvlText w:val="•"/>
      <w:lvlJc w:val="left"/>
      <w:pPr>
        <w:ind w:left="3906" w:hanging="659"/>
      </w:pPr>
      <w:rPr>
        <w:rFonts w:hint="default"/>
        <w:lang w:val="en-US" w:eastAsia="en-US" w:bidi="ar-SA"/>
      </w:rPr>
    </w:lvl>
    <w:lvl w:ilvl="4" w:tplc="69E4AF3E">
      <w:numFmt w:val="bullet"/>
      <w:lvlText w:val="•"/>
      <w:lvlJc w:val="left"/>
      <w:pPr>
        <w:ind w:left="4795" w:hanging="659"/>
      </w:pPr>
      <w:rPr>
        <w:rFonts w:hint="default"/>
        <w:lang w:val="en-US" w:eastAsia="en-US" w:bidi="ar-SA"/>
      </w:rPr>
    </w:lvl>
    <w:lvl w:ilvl="5" w:tplc="91260620">
      <w:numFmt w:val="bullet"/>
      <w:lvlText w:val="•"/>
      <w:lvlJc w:val="left"/>
      <w:pPr>
        <w:ind w:left="5684" w:hanging="659"/>
      </w:pPr>
      <w:rPr>
        <w:rFonts w:hint="default"/>
        <w:lang w:val="en-US" w:eastAsia="en-US" w:bidi="ar-SA"/>
      </w:rPr>
    </w:lvl>
    <w:lvl w:ilvl="6" w:tplc="72CA0A50">
      <w:numFmt w:val="bullet"/>
      <w:lvlText w:val="•"/>
      <w:lvlJc w:val="left"/>
      <w:pPr>
        <w:ind w:left="6572" w:hanging="659"/>
      </w:pPr>
      <w:rPr>
        <w:rFonts w:hint="default"/>
        <w:lang w:val="en-US" w:eastAsia="en-US" w:bidi="ar-SA"/>
      </w:rPr>
    </w:lvl>
    <w:lvl w:ilvl="7" w:tplc="1F3CBF5A">
      <w:numFmt w:val="bullet"/>
      <w:lvlText w:val="•"/>
      <w:lvlJc w:val="left"/>
      <w:pPr>
        <w:ind w:left="7461" w:hanging="659"/>
      </w:pPr>
      <w:rPr>
        <w:rFonts w:hint="default"/>
        <w:lang w:val="en-US" w:eastAsia="en-US" w:bidi="ar-SA"/>
      </w:rPr>
    </w:lvl>
    <w:lvl w:ilvl="8" w:tplc="7B2A5C9E">
      <w:numFmt w:val="bullet"/>
      <w:lvlText w:val="•"/>
      <w:lvlJc w:val="left"/>
      <w:pPr>
        <w:ind w:left="8350" w:hanging="659"/>
      </w:pPr>
      <w:rPr>
        <w:rFonts w:hint="default"/>
        <w:lang w:val="en-US" w:eastAsia="en-US" w:bidi="ar-SA"/>
      </w:rPr>
    </w:lvl>
  </w:abstractNum>
  <w:abstractNum w:abstractNumId="20" w15:restartNumberingAfterBreak="0">
    <w:nsid w:val="100D73DE"/>
    <w:multiLevelType w:val="multilevel"/>
    <w:tmpl w:val="C1D4818C"/>
    <w:lvl w:ilvl="0">
      <w:start w:val="28"/>
      <w:numFmt w:val="decimal"/>
      <w:lvlText w:val="%1"/>
      <w:lvlJc w:val="left"/>
      <w:pPr>
        <w:ind w:left="720" w:hanging="721"/>
        <w:jc w:val="left"/>
      </w:pPr>
      <w:rPr>
        <w:rFonts w:hint="default"/>
        <w:lang w:val="en-US" w:eastAsia="en-US" w:bidi="ar-SA"/>
      </w:rPr>
    </w:lvl>
    <w:lvl w:ilvl="1">
      <w:numFmt w:val="decimal"/>
      <w:lvlText w:val="%1.%2"/>
      <w:lvlJc w:val="left"/>
      <w:pPr>
        <w:ind w:left="720" w:hanging="721"/>
        <w:jc w:val="right"/>
      </w:pPr>
      <w:rPr>
        <w:rFonts w:hint="default"/>
        <w:spacing w:val="0"/>
        <w:w w:val="100"/>
        <w:lang w:val="en-US" w:eastAsia="en-US" w:bidi="ar-SA"/>
      </w:rPr>
    </w:lvl>
    <w:lvl w:ilvl="2">
      <w:numFmt w:val="bullet"/>
      <w:lvlText w:val="•"/>
      <w:lvlJc w:val="left"/>
      <w:pPr>
        <w:ind w:left="2529" w:hanging="721"/>
      </w:pPr>
      <w:rPr>
        <w:rFonts w:hint="default"/>
        <w:lang w:val="en-US" w:eastAsia="en-US" w:bidi="ar-SA"/>
      </w:rPr>
    </w:lvl>
    <w:lvl w:ilvl="3">
      <w:numFmt w:val="bullet"/>
      <w:lvlText w:val="•"/>
      <w:lvlJc w:val="left"/>
      <w:pPr>
        <w:ind w:left="3434" w:hanging="721"/>
      </w:pPr>
      <w:rPr>
        <w:rFonts w:hint="default"/>
        <w:lang w:val="en-US" w:eastAsia="en-US" w:bidi="ar-SA"/>
      </w:rPr>
    </w:lvl>
    <w:lvl w:ilvl="4">
      <w:numFmt w:val="bullet"/>
      <w:lvlText w:val="•"/>
      <w:lvlJc w:val="left"/>
      <w:pPr>
        <w:ind w:left="4339" w:hanging="721"/>
      </w:pPr>
      <w:rPr>
        <w:rFonts w:hint="default"/>
        <w:lang w:val="en-US" w:eastAsia="en-US" w:bidi="ar-SA"/>
      </w:rPr>
    </w:lvl>
    <w:lvl w:ilvl="5">
      <w:numFmt w:val="bullet"/>
      <w:lvlText w:val="•"/>
      <w:lvlJc w:val="left"/>
      <w:pPr>
        <w:ind w:left="5244" w:hanging="721"/>
      </w:pPr>
      <w:rPr>
        <w:rFonts w:hint="default"/>
        <w:lang w:val="en-US" w:eastAsia="en-US" w:bidi="ar-SA"/>
      </w:rPr>
    </w:lvl>
    <w:lvl w:ilvl="6">
      <w:numFmt w:val="bullet"/>
      <w:lvlText w:val="•"/>
      <w:lvlJc w:val="left"/>
      <w:pPr>
        <w:ind w:left="6148" w:hanging="721"/>
      </w:pPr>
      <w:rPr>
        <w:rFonts w:hint="default"/>
        <w:lang w:val="en-US" w:eastAsia="en-US" w:bidi="ar-SA"/>
      </w:rPr>
    </w:lvl>
    <w:lvl w:ilvl="7">
      <w:numFmt w:val="bullet"/>
      <w:lvlText w:val="•"/>
      <w:lvlJc w:val="left"/>
      <w:pPr>
        <w:ind w:left="7053" w:hanging="721"/>
      </w:pPr>
      <w:rPr>
        <w:rFonts w:hint="default"/>
        <w:lang w:val="en-US" w:eastAsia="en-US" w:bidi="ar-SA"/>
      </w:rPr>
    </w:lvl>
    <w:lvl w:ilvl="8">
      <w:numFmt w:val="bullet"/>
      <w:lvlText w:val="•"/>
      <w:lvlJc w:val="left"/>
      <w:pPr>
        <w:ind w:left="7958" w:hanging="721"/>
      </w:pPr>
      <w:rPr>
        <w:rFonts w:hint="default"/>
        <w:lang w:val="en-US" w:eastAsia="en-US" w:bidi="ar-SA"/>
      </w:rPr>
    </w:lvl>
  </w:abstractNum>
  <w:abstractNum w:abstractNumId="21" w15:restartNumberingAfterBreak="0">
    <w:nsid w:val="10761F84"/>
    <w:multiLevelType w:val="hybridMultilevel"/>
    <w:tmpl w:val="88547A02"/>
    <w:lvl w:ilvl="0" w:tplc="3606FE3E">
      <w:start w:val="1"/>
      <w:numFmt w:val="decimal"/>
      <w:lvlText w:val="%1."/>
      <w:lvlJc w:val="left"/>
      <w:pPr>
        <w:ind w:left="1032" w:hanging="538"/>
        <w:jc w:val="left"/>
      </w:pPr>
      <w:rPr>
        <w:rFonts w:ascii="Times New Roman" w:eastAsia="Times New Roman" w:hAnsi="Times New Roman" w:cs="Times New Roman" w:hint="default"/>
        <w:b w:val="0"/>
        <w:bCs w:val="0"/>
        <w:i w:val="0"/>
        <w:iCs w:val="0"/>
        <w:color w:val="211F1F"/>
        <w:spacing w:val="-23"/>
        <w:w w:val="94"/>
        <w:sz w:val="22"/>
        <w:szCs w:val="22"/>
        <w:lang w:val="en-US" w:eastAsia="en-US" w:bidi="ar-SA"/>
      </w:rPr>
    </w:lvl>
    <w:lvl w:ilvl="1" w:tplc="2E4A1DA6">
      <w:numFmt w:val="bullet"/>
      <w:lvlText w:val="•"/>
      <w:lvlJc w:val="left"/>
      <w:pPr>
        <w:ind w:left="2091" w:hanging="538"/>
      </w:pPr>
      <w:rPr>
        <w:rFonts w:hint="default"/>
        <w:lang w:val="en-US" w:eastAsia="en-US" w:bidi="ar-SA"/>
      </w:rPr>
    </w:lvl>
    <w:lvl w:ilvl="2" w:tplc="E4F64588">
      <w:numFmt w:val="bullet"/>
      <w:lvlText w:val="•"/>
      <w:lvlJc w:val="left"/>
      <w:pPr>
        <w:ind w:left="3143" w:hanging="538"/>
      </w:pPr>
      <w:rPr>
        <w:rFonts w:hint="default"/>
        <w:lang w:val="en-US" w:eastAsia="en-US" w:bidi="ar-SA"/>
      </w:rPr>
    </w:lvl>
    <w:lvl w:ilvl="3" w:tplc="D56C2F5E">
      <w:numFmt w:val="bullet"/>
      <w:lvlText w:val="•"/>
      <w:lvlJc w:val="left"/>
      <w:pPr>
        <w:ind w:left="4195" w:hanging="538"/>
      </w:pPr>
      <w:rPr>
        <w:rFonts w:hint="default"/>
        <w:lang w:val="en-US" w:eastAsia="en-US" w:bidi="ar-SA"/>
      </w:rPr>
    </w:lvl>
    <w:lvl w:ilvl="4" w:tplc="9904AA28">
      <w:numFmt w:val="bullet"/>
      <w:lvlText w:val="•"/>
      <w:lvlJc w:val="left"/>
      <w:pPr>
        <w:ind w:left="5247" w:hanging="538"/>
      </w:pPr>
      <w:rPr>
        <w:rFonts w:hint="default"/>
        <w:lang w:val="en-US" w:eastAsia="en-US" w:bidi="ar-SA"/>
      </w:rPr>
    </w:lvl>
    <w:lvl w:ilvl="5" w:tplc="463E192E">
      <w:numFmt w:val="bullet"/>
      <w:lvlText w:val="•"/>
      <w:lvlJc w:val="left"/>
      <w:pPr>
        <w:ind w:left="6299" w:hanging="538"/>
      </w:pPr>
      <w:rPr>
        <w:rFonts w:hint="default"/>
        <w:lang w:val="en-US" w:eastAsia="en-US" w:bidi="ar-SA"/>
      </w:rPr>
    </w:lvl>
    <w:lvl w:ilvl="6" w:tplc="573030FE">
      <w:numFmt w:val="bullet"/>
      <w:lvlText w:val="•"/>
      <w:lvlJc w:val="left"/>
      <w:pPr>
        <w:ind w:left="7351" w:hanging="538"/>
      </w:pPr>
      <w:rPr>
        <w:rFonts w:hint="default"/>
        <w:lang w:val="en-US" w:eastAsia="en-US" w:bidi="ar-SA"/>
      </w:rPr>
    </w:lvl>
    <w:lvl w:ilvl="7" w:tplc="070A4CA2">
      <w:numFmt w:val="bullet"/>
      <w:lvlText w:val="•"/>
      <w:lvlJc w:val="left"/>
      <w:pPr>
        <w:ind w:left="8402" w:hanging="538"/>
      </w:pPr>
      <w:rPr>
        <w:rFonts w:hint="default"/>
        <w:lang w:val="en-US" w:eastAsia="en-US" w:bidi="ar-SA"/>
      </w:rPr>
    </w:lvl>
    <w:lvl w:ilvl="8" w:tplc="4E28B8AA">
      <w:numFmt w:val="bullet"/>
      <w:lvlText w:val="•"/>
      <w:lvlJc w:val="left"/>
      <w:pPr>
        <w:ind w:left="9454" w:hanging="538"/>
      </w:pPr>
      <w:rPr>
        <w:rFonts w:hint="default"/>
        <w:lang w:val="en-US" w:eastAsia="en-US" w:bidi="ar-SA"/>
      </w:rPr>
    </w:lvl>
  </w:abstractNum>
  <w:abstractNum w:abstractNumId="22" w15:restartNumberingAfterBreak="0">
    <w:nsid w:val="146C1848"/>
    <w:multiLevelType w:val="hybridMultilevel"/>
    <w:tmpl w:val="6CB84AB0"/>
    <w:lvl w:ilvl="0" w:tplc="D6C86178">
      <w:start w:val="1"/>
      <w:numFmt w:val="decimal"/>
      <w:lvlText w:val="%1."/>
      <w:lvlJc w:val="left"/>
      <w:pPr>
        <w:ind w:left="888" w:hanging="389"/>
        <w:jc w:val="left"/>
      </w:pPr>
      <w:rPr>
        <w:rFonts w:ascii="Times New Roman" w:eastAsia="Times New Roman" w:hAnsi="Times New Roman" w:cs="Times New Roman" w:hint="default"/>
        <w:b w:val="0"/>
        <w:bCs w:val="0"/>
        <w:i w:val="0"/>
        <w:iCs w:val="0"/>
        <w:color w:val="211F1F"/>
        <w:spacing w:val="-20"/>
        <w:w w:val="100"/>
        <w:sz w:val="22"/>
        <w:szCs w:val="22"/>
        <w:lang w:val="en-US" w:eastAsia="en-US" w:bidi="ar-SA"/>
      </w:rPr>
    </w:lvl>
    <w:lvl w:ilvl="1" w:tplc="9288E78A">
      <w:numFmt w:val="bullet"/>
      <w:lvlText w:val="•"/>
      <w:lvlJc w:val="left"/>
      <w:pPr>
        <w:ind w:left="1947" w:hanging="389"/>
      </w:pPr>
      <w:rPr>
        <w:rFonts w:hint="default"/>
        <w:lang w:val="en-US" w:eastAsia="en-US" w:bidi="ar-SA"/>
      </w:rPr>
    </w:lvl>
    <w:lvl w:ilvl="2" w:tplc="2738FA1C">
      <w:numFmt w:val="bullet"/>
      <w:lvlText w:val="•"/>
      <w:lvlJc w:val="left"/>
      <w:pPr>
        <w:ind w:left="3015" w:hanging="389"/>
      </w:pPr>
      <w:rPr>
        <w:rFonts w:hint="default"/>
        <w:lang w:val="en-US" w:eastAsia="en-US" w:bidi="ar-SA"/>
      </w:rPr>
    </w:lvl>
    <w:lvl w:ilvl="3" w:tplc="9BA217C4">
      <w:numFmt w:val="bullet"/>
      <w:lvlText w:val="•"/>
      <w:lvlJc w:val="left"/>
      <w:pPr>
        <w:ind w:left="4083" w:hanging="389"/>
      </w:pPr>
      <w:rPr>
        <w:rFonts w:hint="default"/>
        <w:lang w:val="en-US" w:eastAsia="en-US" w:bidi="ar-SA"/>
      </w:rPr>
    </w:lvl>
    <w:lvl w:ilvl="4" w:tplc="246C96A0">
      <w:numFmt w:val="bullet"/>
      <w:lvlText w:val="•"/>
      <w:lvlJc w:val="left"/>
      <w:pPr>
        <w:ind w:left="5151" w:hanging="389"/>
      </w:pPr>
      <w:rPr>
        <w:rFonts w:hint="default"/>
        <w:lang w:val="en-US" w:eastAsia="en-US" w:bidi="ar-SA"/>
      </w:rPr>
    </w:lvl>
    <w:lvl w:ilvl="5" w:tplc="1E8C69CA">
      <w:numFmt w:val="bullet"/>
      <w:lvlText w:val="•"/>
      <w:lvlJc w:val="left"/>
      <w:pPr>
        <w:ind w:left="6219" w:hanging="389"/>
      </w:pPr>
      <w:rPr>
        <w:rFonts w:hint="default"/>
        <w:lang w:val="en-US" w:eastAsia="en-US" w:bidi="ar-SA"/>
      </w:rPr>
    </w:lvl>
    <w:lvl w:ilvl="6" w:tplc="C610EAF6">
      <w:numFmt w:val="bullet"/>
      <w:lvlText w:val="•"/>
      <w:lvlJc w:val="left"/>
      <w:pPr>
        <w:ind w:left="7287" w:hanging="389"/>
      </w:pPr>
      <w:rPr>
        <w:rFonts w:hint="default"/>
        <w:lang w:val="en-US" w:eastAsia="en-US" w:bidi="ar-SA"/>
      </w:rPr>
    </w:lvl>
    <w:lvl w:ilvl="7" w:tplc="89DC3A6C">
      <w:numFmt w:val="bullet"/>
      <w:lvlText w:val="•"/>
      <w:lvlJc w:val="left"/>
      <w:pPr>
        <w:ind w:left="8354" w:hanging="389"/>
      </w:pPr>
      <w:rPr>
        <w:rFonts w:hint="default"/>
        <w:lang w:val="en-US" w:eastAsia="en-US" w:bidi="ar-SA"/>
      </w:rPr>
    </w:lvl>
    <w:lvl w:ilvl="8" w:tplc="C450B4A4">
      <w:numFmt w:val="bullet"/>
      <w:lvlText w:val="•"/>
      <w:lvlJc w:val="left"/>
      <w:pPr>
        <w:ind w:left="9422" w:hanging="389"/>
      </w:pPr>
      <w:rPr>
        <w:rFonts w:hint="default"/>
        <w:lang w:val="en-US" w:eastAsia="en-US" w:bidi="ar-SA"/>
      </w:rPr>
    </w:lvl>
  </w:abstractNum>
  <w:abstractNum w:abstractNumId="23" w15:restartNumberingAfterBreak="0">
    <w:nsid w:val="1A765D97"/>
    <w:multiLevelType w:val="hybridMultilevel"/>
    <w:tmpl w:val="554214DC"/>
    <w:lvl w:ilvl="0" w:tplc="82FC6918">
      <w:start w:val="1"/>
      <w:numFmt w:val="lowerLetter"/>
      <w:lvlText w:val="%1."/>
      <w:lvlJc w:val="left"/>
      <w:pPr>
        <w:ind w:left="830" w:hanging="356"/>
        <w:jc w:val="left"/>
      </w:pPr>
      <w:rPr>
        <w:rFonts w:ascii="Calibri" w:eastAsia="Calibri" w:hAnsi="Calibri" w:cs="Calibri" w:hint="default"/>
        <w:b w:val="0"/>
        <w:bCs w:val="0"/>
        <w:i w:val="0"/>
        <w:iCs w:val="0"/>
        <w:spacing w:val="0"/>
        <w:w w:val="96"/>
        <w:sz w:val="26"/>
        <w:szCs w:val="26"/>
        <w:lang w:val="en-US" w:eastAsia="en-US" w:bidi="ar-SA"/>
      </w:rPr>
    </w:lvl>
    <w:lvl w:ilvl="1" w:tplc="4C04BF8A">
      <w:numFmt w:val="bullet"/>
      <w:lvlText w:val="•"/>
      <w:lvlJc w:val="left"/>
      <w:pPr>
        <w:ind w:left="1533" w:hanging="356"/>
      </w:pPr>
      <w:rPr>
        <w:rFonts w:hint="default"/>
        <w:lang w:val="en-US" w:eastAsia="en-US" w:bidi="ar-SA"/>
      </w:rPr>
    </w:lvl>
    <w:lvl w:ilvl="2" w:tplc="C102F9DE">
      <w:numFmt w:val="bullet"/>
      <w:lvlText w:val="•"/>
      <w:lvlJc w:val="left"/>
      <w:pPr>
        <w:ind w:left="2227" w:hanging="356"/>
      </w:pPr>
      <w:rPr>
        <w:rFonts w:hint="default"/>
        <w:lang w:val="en-US" w:eastAsia="en-US" w:bidi="ar-SA"/>
      </w:rPr>
    </w:lvl>
    <w:lvl w:ilvl="3" w:tplc="7F76441C">
      <w:numFmt w:val="bullet"/>
      <w:lvlText w:val="•"/>
      <w:lvlJc w:val="left"/>
      <w:pPr>
        <w:ind w:left="2921" w:hanging="356"/>
      </w:pPr>
      <w:rPr>
        <w:rFonts w:hint="default"/>
        <w:lang w:val="en-US" w:eastAsia="en-US" w:bidi="ar-SA"/>
      </w:rPr>
    </w:lvl>
    <w:lvl w:ilvl="4" w:tplc="521A1A7A">
      <w:numFmt w:val="bullet"/>
      <w:lvlText w:val="•"/>
      <w:lvlJc w:val="left"/>
      <w:pPr>
        <w:ind w:left="3615" w:hanging="356"/>
      </w:pPr>
      <w:rPr>
        <w:rFonts w:hint="default"/>
        <w:lang w:val="en-US" w:eastAsia="en-US" w:bidi="ar-SA"/>
      </w:rPr>
    </w:lvl>
    <w:lvl w:ilvl="5" w:tplc="387C7954">
      <w:numFmt w:val="bullet"/>
      <w:lvlText w:val="•"/>
      <w:lvlJc w:val="left"/>
      <w:pPr>
        <w:ind w:left="4309" w:hanging="356"/>
      </w:pPr>
      <w:rPr>
        <w:rFonts w:hint="default"/>
        <w:lang w:val="en-US" w:eastAsia="en-US" w:bidi="ar-SA"/>
      </w:rPr>
    </w:lvl>
    <w:lvl w:ilvl="6" w:tplc="32429A58">
      <w:numFmt w:val="bullet"/>
      <w:lvlText w:val="•"/>
      <w:lvlJc w:val="left"/>
      <w:pPr>
        <w:ind w:left="5002" w:hanging="356"/>
      </w:pPr>
      <w:rPr>
        <w:rFonts w:hint="default"/>
        <w:lang w:val="en-US" w:eastAsia="en-US" w:bidi="ar-SA"/>
      </w:rPr>
    </w:lvl>
    <w:lvl w:ilvl="7" w:tplc="C338BF16">
      <w:numFmt w:val="bullet"/>
      <w:lvlText w:val="•"/>
      <w:lvlJc w:val="left"/>
      <w:pPr>
        <w:ind w:left="5696" w:hanging="356"/>
      </w:pPr>
      <w:rPr>
        <w:rFonts w:hint="default"/>
        <w:lang w:val="en-US" w:eastAsia="en-US" w:bidi="ar-SA"/>
      </w:rPr>
    </w:lvl>
    <w:lvl w:ilvl="8" w:tplc="68B2E14C">
      <w:numFmt w:val="bullet"/>
      <w:lvlText w:val="•"/>
      <w:lvlJc w:val="left"/>
      <w:pPr>
        <w:ind w:left="6390" w:hanging="356"/>
      </w:pPr>
      <w:rPr>
        <w:rFonts w:hint="default"/>
        <w:lang w:val="en-US" w:eastAsia="en-US" w:bidi="ar-SA"/>
      </w:rPr>
    </w:lvl>
  </w:abstractNum>
  <w:abstractNum w:abstractNumId="24" w15:restartNumberingAfterBreak="0">
    <w:nsid w:val="1A8F20EC"/>
    <w:multiLevelType w:val="multilevel"/>
    <w:tmpl w:val="762C1C3A"/>
    <w:lvl w:ilvl="0">
      <w:start w:val="31"/>
      <w:numFmt w:val="decimal"/>
      <w:lvlText w:val="%1"/>
      <w:lvlJc w:val="left"/>
      <w:pPr>
        <w:ind w:left="720" w:hanging="721"/>
        <w:jc w:val="left"/>
      </w:pPr>
      <w:rPr>
        <w:rFonts w:hint="default"/>
        <w:lang w:val="en-US" w:eastAsia="en-US" w:bidi="ar-SA"/>
      </w:rPr>
    </w:lvl>
    <w:lvl w:ilvl="1">
      <w:numFmt w:val="decimal"/>
      <w:lvlText w:val="%1.%2"/>
      <w:lvlJc w:val="left"/>
      <w:pPr>
        <w:ind w:left="720" w:hanging="721"/>
        <w:jc w:val="right"/>
      </w:pPr>
      <w:rPr>
        <w:rFonts w:hint="default"/>
        <w:spacing w:val="0"/>
        <w:w w:val="100"/>
        <w:lang w:val="en-US" w:eastAsia="en-US" w:bidi="ar-SA"/>
      </w:rPr>
    </w:lvl>
    <w:lvl w:ilvl="2">
      <w:start w:val="1"/>
      <w:numFmt w:val="lowerRoman"/>
      <w:lvlText w:val="(%3)"/>
      <w:lvlJc w:val="left"/>
      <w:pPr>
        <w:ind w:left="2161" w:hanging="361"/>
        <w:jc w:val="left"/>
      </w:pPr>
      <w:rPr>
        <w:rFonts w:ascii="Times New Roman" w:eastAsia="Times New Roman" w:hAnsi="Times New Roman" w:cs="Times New Roman" w:hint="default"/>
        <w:b w:val="0"/>
        <w:bCs w:val="0"/>
        <w:i w:val="0"/>
        <w:iCs w:val="0"/>
        <w:color w:val="211F1F"/>
        <w:spacing w:val="-4"/>
        <w:w w:val="100"/>
        <w:sz w:val="22"/>
        <w:szCs w:val="22"/>
        <w:lang w:val="en-US" w:eastAsia="en-US" w:bidi="ar-SA"/>
      </w:rPr>
    </w:lvl>
    <w:lvl w:ilvl="3">
      <w:numFmt w:val="bullet"/>
      <w:lvlText w:val="•"/>
      <w:lvlJc w:val="left"/>
      <w:pPr>
        <w:ind w:left="3850" w:hanging="361"/>
      </w:pPr>
      <w:rPr>
        <w:rFonts w:hint="default"/>
        <w:lang w:val="en-US" w:eastAsia="en-US" w:bidi="ar-SA"/>
      </w:rPr>
    </w:lvl>
    <w:lvl w:ilvl="4">
      <w:numFmt w:val="bullet"/>
      <w:lvlText w:val="•"/>
      <w:lvlJc w:val="left"/>
      <w:pPr>
        <w:ind w:left="4696" w:hanging="361"/>
      </w:pPr>
      <w:rPr>
        <w:rFonts w:hint="default"/>
        <w:lang w:val="en-US" w:eastAsia="en-US" w:bidi="ar-SA"/>
      </w:rPr>
    </w:lvl>
    <w:lvl w:ilvl="5">
      <w:numFmt w:val="bullet"/>
      <w:lvlText w:val="•"/>
      <w:lvlJc w:val="left"/>
      <w:pPr>
        <w:ind w:left="5541" w:hanging="361"/>
      </w:pPr>
      <w:rPr>
        <w:rFonts w:hint="default"/>
        <w:lang w:val="en-US" w:eastAsia="en-US" w:bidi="ar-SA"/>
      </w:rPr>
    </w:lvl>
    <w:lvl w:ilvl="6">
      <w:numFmt w:val="bullet"/>
      <w:lvlText w:val="•"/>
      <w:lvlJc w:val="left"/>
      <w:pPr>
        <w:ind w:left="6386" w:hanging="361"/>
      </w:pPr>
      <w:rPr>
        <w:rFonts w:hint="default"/>
        <w:lang w:val="en-US" w:eastAsia="en-US" w:bidi="ar-SA"/>
      </w:rPr>
    </w:lvl>
    <w:lvl w:ilvl="7">
      <w:numFmt w:val="bullet"/>
      <w:lvlText w:val="•"/>
      <w:lvlJc w:val="left"/>
      <w:pPr>
        <w:ind w:left="7232" w:hanging="361"/>
      </w:pPr>
      <w:rPr>
        <w:rFonts w:hint="default"/>
        <w:lang w:val="en-US" w:eastAsia="en-US" w:bidi="ar-SA"/>
      </w:rPr>
    </w:lvl>
    <w:lvl w:ilvl="8">
      <w:numFmt w:val="bullet"/>
      <w:lvlText w:val="•"/>
      <w:lvlJc w:val="left"/>
      <w:pPr>
        <w:ind w:left="8077" w:hanging="361"/>
      </w:pPr>
      <w:rPr>
        <w:rFonts w:hint="default"/>
        <w:lang w:val="en-US" w:eastAsia="en-US" w:bidi="ar-SA"/>
      </w:rPr>
    </w:lvl>
  </w:abstractNum>
  <w:abstractNum w:abstractNumId="25" w15:restartNumberingAfterBreak="0">
    <w:nsid w:val="1C0B194D"/>
    <w:multiLevelType w:val="multilevel"/>
    <w:tmpl w:val="1FBA8A0C"/>
    <w:lvl w:ilvl="0">
      <w:start w:val="6"/>
      <w:numFmt w:val="decimal"/>
      <w:lvlText w:val="%1"/>
      <w:lvlJc w:val="left"/>
      <w:pPr>
        <w:ind w:left="1441" w:hanging="721"/>
        <w:jc w:val="left"/>
      </w:pPr>
      <w:rPr>
        <w:rFonts w:hint="default"/>
        <w:lang w:val="en-US" w:eastAsia="en-US" w:bidi="ar-SA"/>
      </w:rPr>
    </w:lvl>
    <w:lvl w:ilvl="1">
      <w:numFmt w:val="decimal"/>
      <w:lvlText w:val="%1.%2"/>
      <w:lvlJc w:val="left"/>
      <w:pPr>
        <w:ind w:left="1441" w:hanging="721"/>
        <w:jc w:val="left"/>
      </w:pPr>
      <w:rPr>
        <w:rFonts w:hint="default"/>
        <w:spacing w:val="0"/>
        <w:w w:val="100"/>
        <w:lang w:val="en-US" w:eastAsia="en-US" w:bidi="ar-SA"/>
      </w:rPr>
    </w:lvl>
    <w:lvl w:ilvl="2">
      <w:numFmt w:val="bullet"/>
      <w:lvlText w:val="•"/>
      <w:lvlJc w:val="left"/>
      <w:pPr>
        <w:ind w:left="3105" w:hanging="721"/>
      </w:pPr>
      <w:rPr>
        <w:rFonts w:hint="default"/>
        <w:lang w:val="en-US" w:eastAsia="en-US" w:bidi="ar-SA"/>
      </w:rPr>
    </w:lvl>
    <w:lvl w:ilvl="3">
      <w:numFmt w:val="bullet"/>
      <w:lvlText w:val="•"/>
      <w:lvlJc w:val="left"/>
      <w:pPr>
        <w:ind w:left="3938" w:hanging="721"/>
      </w:pPr>
      <w:rPr>
        <w:rFonts w:hint="default"/>
        <w:lang w:val="en-US" w:eastAsia="en-US" w:bidi="ar-SA"/>
      </w:rPr>
    </w:lvl>
    <w:lvl w:ilvl="4">
      <w:numFmt w:val="bullet"/>
      <w:lvlText w:val="•"/>
      <w:lvlJc w:val="left"/>
      <w:pPr>
        <w:ind w:left="4771" w:hanging="721"/>
      </w:pPr>
      <w:rPr>
        <w:rFonts w:hint="default"/>
        <w:lang w:val="en-US" w:eastAsia="en-US" w:bidi="ar-SA"/>
      </w:rPr>
    </w:lvl>
    <w:lvl w:ilvl="5">
      <w:numFmt w:val="bullet"/>
      <w:lvlText w:val="•"/>
      <w:lvlJc w:val="left"/>
      <w:pPr>
        <w:ind w:left="5604" w:hanging="721"/>
      </w:pPr>
      <w:rPr>
        <w:rFonts w:hint="default"/>
        <w:lang w:val="en-US" w:eastAsia="en-US" w:bidi="ar-SA"/>
      </w:rPr>
    </w:lvl>
    <w:lvl w:ilvl="6">
      <w:numFmt w:val="bullet"/>
      <w:lvlText w:val="•"/>
      <w:lvlJc w:val="left"/>
      <w:pPr>
        <w:ind w:left="6436" w:hanging="721"/>
      </w:pPr>
      <w:rPr>
        <w:rFonts w:hint="default"/>
        <w:lang w:val="en-US" w:eastAsia="en-US" w:bidi="ar-SA"/>
      </w:rPr>
    </w:lvl>
    <w:lvl w:ilvl="7">
      <w:numFmt w:val="bullet"/>
      <w:lvlText w:val="•"/>
      <w:lvlJc w:val="left"/>
      <w:pPr>
        <w:ind w:left="7269" w:hanging="721"/>
      </w:pPr>
      <w:rPr>
        <w:rFonts w:hint="default"/>
        <w:lang w:val="en-US" w:eastAsia="en-US" w:bidi="ar-SA"/>
      </w:rPr>
    </w:lvl>
    <w:lvl w:ilvl="8">
      <w:numFmt w:val="bullet"/>
      <w:lvlText w:val="•"/>
      <w:lvlJc w:val="left"/>
      <w:pPr>
        <w:ind w:left="8102" w:hanging="721"/>
      </w:pPr>
      <w:rPr>
        <w:rFonts w:hint="default"/>
        <w:lang w:val="en-US" w:eastAsia="en-US" w:bidi="ar-SA"/>
      </w:rPr>
    </w:lvl>
  </w:abstractNum>
  <w:abstractNum w:abstractNumId="26" w15:restartNumberingAfterBreak="0">
    <w:nsid w:val="1D0D3499"/>
    <w:multiLevelType w:val="hybridMultilevel"/>
    <w:tmpl w:val="1B04C78E"/>
    <w:lvl w:ilvl="0" w:tplc="25D00230">
      <w:start w:val="1"/>
      <w:numFmt w:val="lowerLetter"/>
      <w:lvlText w:val="%1)"/>
      <w:lvlJc w:val="left"/>
      <w:pPr>
        <w:ind w:left="2161" w:hanging="361"/>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68DADB78">
      <w:numFmt w:val="bullet"/>
      <w:lvlText w:val="•"/>
      <w:lvlJc w:val="left"/>
      <w:pPr>
        <w:ind w:left="2920" w:hanging="361"/>
      </w:pPr>
      <w:rPr>
        <w:rFonts w:hint="default"/>
        <w:lang w:val="en-US" w:eastAsia="en-US" w:bidi="ar-SA"/>
      </w:rPr>
    </w:lvl>
    <w:lvl w:ilvl="2" w:tplc="3B5A7C72">
      <w:numFmt w:val="bullet"/>
      <w:lvlText w:val="•"/>
      <w:lvlJc w:val="left"/>
      <w:pPr>
        <w:ind w:left="3681" w:hanging="361"/>
      </w:pPr>
      <w:rPr>
        <w:rFonts w:hint="default"/>
        <w:lang w:val="en-US" w:eastAsia="en-US" w:bidi="ar-SA"/>
      </w:rPr>
    </w:lvl>
    <w:lvl w:ilvl="3" w:tplc="7EA616A0">
      <w:numFmt w:val="bullet"/>
      <w:lvlText w:val="•"/>
      <w:lvlJc w:val="left"/>
      <w:pPr>
        <w:ind w:left="4442" w:hanging="361"/>
      </w:pPr>
      <w:rPr>
        <w:rFonts w:hint="default"/>
        <w:lang w:val="en-US" w:eastAsia="en-US" w:bidi="ar-SA"/>
      </w:rPr>
    </w:lvl>
    <w:lvl w:ilvl="4" w:tplc="3B16274A">
      <w:numFmt w:val="bullet"/>
      <w:lvlText w:val="•"/>
      <w:lvlJc w:val="left"/>
      <w:pPr>
        <w:ind w:left="5203" w:hanging="361"/>
      </w:pPr>
      <w:rPr>
        <w:rFonts w:hint="default"/>
        <w:lang w:val="en-US" w:eastAsia="en-US" w:bidi="ar-SA"/>
      </w:rPr>
    </w:lvl>
    <w:lvl w:ilvl="5" w:tplc="A0AC53AA">
      <w:numFmt w:val="bullet"/>
      <w:lvlText w:val="•"/>
      <w:lvlJc w:val="left"/>
      <w:pPr>
        <w:ind w:left="5964" w:hanging="361"/>
      </w:pPr>
      <w:rPr>
        <w:rFonts w:hint="default"/>
        <w:lang w:val="en-US" w:eastAsia="en-US" w:bidi="ar-SA"/>
      </w:rPr>
    </w:lvl>
    <w:lvl w:ilvl="6" w:tplc="37EA9B4A">
      <w:numFmt w:val="bullet"/>
      <w:lvlText w:val="•"/>
      <w:lvlJc w:val="left"/>
      <w:pPr>
        <w:ind w:left="6724" w:hanging="361"/>
      </w:pPr>
      <w:rPr>
        <w:rFonts w:hint="default"/>
        <w:lang w:val="en-US" w:eastAsia="en-US" w:bidi="ar-SA"/>
      </w:rPr>
    </w:lvl>
    <w:lvl w:ilvl="7" w:tplc="F76A25A8">
      <w:numFmt w:val="bullet"/>
      <w:lvlText w:val="•"/>
      <w:lvlJc w:val="left"/>
      <w:pPr>
        <w:ind w:left="7485" w:hanging="361"/>
      </w:pPr>
      <w:rPr>
        <w:rFonts w:hint="default"/>
        <w:lang w:val="en-US" w:eastAsia="en-US" w:bidi="ar-SA"/>
      </w:rPr>
    </w:lvl>
    <w:lvl w:ilvl="8" w:tplc="12F6B43E">
      <w:numFmt w:val="bullet"/>
      <w:lvlText w:val="•"/>
      <w:lvlJc w:val="left"/>
      <w:pPr>
        <w:ind w:left="8246" w:hanging="361"/>
      </w:pPr>
      <w:rPr>
        <w:rFonts w:hint="default"/>
        <w:lang w:val="en-US" w:eastAsia="en-US" w:bidi="ar-SA"/>
      </w:rPr>
    </w:lvl>
  </w:abstractNum>
  <w:abstractNum w:abstractNumId="27" w15:restartNumberingAfterBreak="0">
    <w:nsid w:val="20AB7DEB"/>
    <w:multiLevelType w:val="hybridMultilevel"/>
    <w:tmpl w:val="CB2CF59A"/>
    <w:lvl w:ilvl="0" w:tplc="B40810F6">
      <w:start w:val="1"/>
      <w:numFmt w:val="decimal"/>
      <w:lvlText w:val="%1."/>
      <w:lvlJc w:val="left"/>
      <w:pPr>
        <w:ind w:left="1046" w:hanging="548"/>
        <w:jc w:val="left"/>
      </w:pPr>
      <w:rPr>
        <w:rFonts w:ascii="Times New Roman" w:eastAsia="Times New Roman" w:hAnsi="Times New Roman" w:cs="Times New Roman" w:hint="default"/>
        <w:b w:val="0"/>
        <w:bCs w:val="0"/>
        <w:i w:val="0"/>
        <w:iCs w:val="0"/>
        <w:color w:val="211F1F"/>
        <w:spacing w:val="-20"/>
        <w:w w:val="100"/>
        <w:sz w:val="22"/>
        <w:szCs w:val="22"/>
        <w:lang w:val="en-US" w:eastAsia="en-US" w:bidi="ar-SA"/>
      </w:rPr>
    </w:lvl>
    <w:lvl w:ilvl="1" w:tplc="1FAA4384">
      <w:numFmt w:val="bullet"/>
      <w:lvlText w:val="•"/>
      <w:lvlJc w:val="left"/>
      <w:pPr>
        <w:ind w:left="2091" w:hanging="548"/>
      </w:pPr>
      <w:rPr>
        <w:rFonts w:hint="default"/>
        <w:lang w:val="en-US" w:eastAsia="en-US" w:bidi="ar-SA"/>
      </w:rPr>
    </w:lvl>
    <w:lvl w:ilvl="2" w:tplc="ABB4871A">
      <w:numFmt w:val="bullet"/>
      <w:lvlText w:val="•"/>
      <w:lvlJc w:val="left"/>
      <w:pPr>
        <w:ind w:left="3143" w:hanging="548"/>
      </w:pPr>
      <w:rPr>
        <w:rFonts w:hint="default"/>
        <w:lang w:val="en-US" w:eastAsia="en-US" w:bidi="ar-SA"/>
      </w:rPr>
    </w:lvl>
    <w:lvl w:ilvl="3" w:tplc="82A0B55C">
      <w:numFmt w:val="bullet"/>
      <w:lvlText w:val="•"/>
      <w:lvlJc w:val="left"/>
      <w:pPr>
        <w:ind w:left="4195" w:hanging="548"/>
      </w:pPr>
      <w:rPr>
        <w:rFonts w:hint="default"/>
        <w:lang w:val="en-US" w:eastAsia="en-US" w:bidi="ar-SA"/>
      </w:rPr>
    </w:lvl>
    <w:lvl w:ilvl="4" w:tplc="0AB2C1EE">
      <w:numFmt w:val="bullet"/>
      <w:lvlText w:val="•"/>
      <w:lvlJc w:val="left"/>
      <w:pPr>
        <w:ind w:left="5247" w:hanging="548"/>
      </w:pPr>
      <w:rPr>
        <w:rFonts w:hint="default"/>
        <w:lang w:val="en-US" w:eastAsia="en-US" w:bidi="ar-SA"/>
      </w:rPr>
    </w:lvl>
    <w:lvl w:ilvl="5" w:tplc="4B3A503E">
      <w:numFmt w:val="bullet"/>
      <w:lvlText w:val="•"/>
      <w:lvlJc w:val="left"/>
      <w:pPr>
        <w:ind w:left="6299" w:hanging="548"/>
      </w:pPr>
      <w:rPr>
        <w:rFonts w:hint="default"/>
        <w:lang w:val="en-US" w:eastAsia="en-US" w:bidi="ar-SA"/>
      </w:rPr>
    </w:lvl>
    <w:lvl w:ilvl="6" w:tplc="C42C5F8E">
      <w:numFmt w:val="bullet"/>
      <w:lvlText w:val="•"/>
      <w:lvlJc w:val="left"/>
      <w:pPr>
        <w:ind w:left="7351" w:hanging="548"/>
      </w:pPr>
      <w:rPr>
        <w:rFonts w:hint="default"/>
        <w:lang w:val="en-US" w:eastAsia="en-US" w:bidi="ar-SA"/>
      </w:rPr>
    </w:lvl>
    <w:lvl w:ilvl="7" w:tplc="61F8CC7C">
      <w:numFmt w:val="bullet"/>
      <w:lvlText w:val="•"/>
      <w:lvlJc w:val="left"/>
      <w:pPr>
        <w:ind w:left="8402" w:hanging="548"/>
      </w:pPr>
      <w:rPr>
        <w:rFonts w:hint="default"/>
        <w:lang w:val="en-US" w:eastAsia="en-US" w:bidi="ar-SA"/>
      </w:rPr>
    </w:lvl>
    <w:lvl w:ilvl="8" w:tplc="3A067EBE">
      <w:numFmt w:val="bullet"/>
      <w:lvlText w:val="•"/>
      <w:lvlJc w:val="left"/>
      <w:pPr>
        <w:ind w:left="9454" w:hanging="548"/>
      </w:pPr>
      <w:rPr>
        <w:rFonts w:hint="default"/>
        <w:lang w:val="en-US" w:eastAsia="en-US" w:bidi="ar-SA"/>
      </w:rPr>
    </w:lvl>
  </w:abstractNum>
  <w:abstractNum w:abstractNumId="28" w15:restartNumberingAfterBreak="0">
    <w:nsid w:val="21586762"/>
    <w:multiLevelType w:val="hybridMultilevel"/>
    <w:tmpl w:val="D924E34A"/>
    <w:lvl w:ilvl="0" w:tplc="4AA2A390">
      <w:start w:val="1"/>
      <w:numFmt w:val="lowerRoman"/>
      <w:lvlText w:val="%1."/>
      <w:lvlJc w:val="left"/>
      <w:pPr>
        <w:ind w:left="2161" w:hanging="308"/>
        <w:jc w:val="right"/>
      </w:pPr>
      <w:rPr>
        <w:rFonts w:ascii="Times New Roman" w:eastAsia="Times New Roman" w:hAnsi="Times New Roman" w:cs="Times New Roman" w:hint="default"/>
        <w:b w:val="0"/>
        <w:bCs w:val="0"/>
        <w:i w:val="0"/>
        <w:iCs w:val="0"/>
        <w:spacing w:val="-10"/>
        <w:w w:val="100"/>
        <w:sz w:val="24"/>
        <w:szCs w:val="24"/>
        <w:lang w:val="en-US" w:eastAsia="en-US" w:bidi="ar-SA"/>
      </w:rPr>
    </w:lvl>
    <w:lvl w:ilvl="1" w:tplc="7796262C">
      <w:numFmt w:val="bullet"/>
      <w:lvlText w:val="•"/>
      <w:lvlJc w:val="left"/>
      <w:pPr>
        <w:ind w:left="2920" w:hanging="308"/>
      </w:pPr>
      <w:rPr>
        <w:rFonts w:hint="default"/>
        <w:lang w:val="en-US" w:eastAsia="en-US" w:bidi="ar-SA"/>
      </w:rPr>
    </w:lvl>
    <w:lvl w:ilvl="2" w:tplc="E9F04CEC">
      <w:numFmt w:val="bullet"/>
      <w:lvlText w:val="•"/>
      <w:lvlJc w:val="left"/>
      <w:pPr>
        <w:ind w:left="3681" w:hanging="308"/>
      </w:pPr>
      <w:rPr>
        <w:rFonts w:hint="default"/>
        <w:lang w:val="en-US" w:eastAsia="en-US" w:bidi="ar-SA"/>
      </w:rPr>
    </w:lvl>
    <w:lvl w:ilvl="3" w:tplc="8ACE665E">
      <w:numFmt w:val="bullet"/>
      <w:lvlText w:val="•"/>
      <w:lvlJc w:val="left"/>
      <w:pPr>
        <w:ind w:left="4442" w:hanging="308"/>
      </w:pPr>
      <w:rPr>
        <w:rFonts w:hint="default"/>
        <w:lang w:val="en-US" w:eastAsia="en-US" w:bidi="ar-SA"/>
      </w:rPr>
    </w:lvl>
    <w:lvl w:ilvl="4" w:tplc="84EE353C">
      <w:numFmt w:val="bullet"/>
      <w:lvlText w:val="•"/>
      <w:lvlJc w:val="left"/>
      <w:pPr>
        <w:ind w:left="5203" w:hanging="308"/>
      </w:pPr>
      <w:rPr>
        <w:rFonts w:hint="default"/>
        <w:lang w:val="en-US" w:eastAsia="en-US" w:bidi="ar-SA"/>
      </w:rPr>
    </w:lvl>
    <w:lvl w:ilvl="5" w:tplc="A11067CC">
      <w:numFmt w:val="bullet"/>
      <w:lvlText w:val="•"/>
      <w:lvlJc w:val="left"/>
      <w:pPr>
        <w:ind w:left="5964" w:hanging="308"/>
      </w:pPr>
      <w:rPr>
        <w:rFonts w:hint="default"/>
        <w:lang w:val="en-US" w:eastAsia="en-US" w:bidi="ar-SA"/>
      </w:rPr>
    </w:lvl>
    <w:lvl w:ilvl="6" w:tplc="6F9290E6">
      <w:numFmt w:val="bullet"/>
      <w:lvlText w:val="•"/>
      <w:lvlJc w:val="left"/>
      <w:pPr>
        <w:ind w:left="6724" w:hanging="308"/>
      </w:pPr>
      <w:rPr>
        <w:rFonts w:hint="default"/>
        <w:lang w:val="en-US" w:eastAsia="en-US" w:bidi="ar-SA"/>
      </w:rPr>
    </w:lvl>
    <w:lvl w:ilvl="7" w:tplc="6CFA27E4">
      <w:numFmt w:val="bullet"/>
      <w:lvlText w:val="•"/>
      <w:lvlJc w:val="left"/>
      <w:pPr>
        <w:ind w:left="7485" w:hanging="308"/>
      </w:pPr>
      <w:rPr>
        <w:rFonts w:hint="default"/>
        <w:lang w:val="en-US" w:eastAsia="en-US" w:bidi="ar-SA"/>
      </w:rPr>
    </w:lvl>
    <w:lvl w:ilvl="8" w:tplc="D7CC56F6">
      <w:numFmt w:val="bullet"/>
      <w:lvlText w:val="•"/>
      <w:lvlJc w:val="left"/>
      <w:pPr>
        <w:ind w:left="8246" w:hanging="308"/>
      </w:pPr>
      <w:rPr>
        <w:rFonts w:hint="default"/>
        <w:lang w:val="en-US" w:eastAsia="en-US" w:bidi="ar-SA"/>
      </w:rPr>
    </w:lvl>
  </w:abstractNum>
  <w:abstractNum w:abstractNumId="29" w15:restartNumberingAfterBreak="0">
    <w:nsid w:val="22931C02"/>
    <w:multiLevelType w:val="multilevel"/>
    <w:tmpl w:val="5A5C06AC"/>
    <w:lvl w:ilvl="0">
      <w:start w:val="37"/>
      <w:numFmt w:val="decimal"/>
      <w:lvlText w:val="%1"/>
      <w:lvlJc w:val="left"/>
      <w:pPr>
        <w:ind w:left="720" w:hanging="721"/>
        <w:jc w:val="left"/>
      </w:pPr>
      <w:rPr>
        <w:rFonts w:hint="default"/>
        <w:lang w:val="en-US" w:eastAsia="en-US" w:bidi="ar-SA"/>
      </w:rPr>
    </w:lvl>
    <w:lvl w:ilvl="1">
      <w:numFmt w:val="decimal"/>
      <w:lvlText w:val="%1.%2"/>
      <w:lvlJc w:val="left"/>
      <w:pPr>
        <w:ind w:left="720" w:hanging="721"/>
        <w:jc w:val="right"/>
      </w:pPr>
      <w:rPr>
        <w:rFonts w:hint="default"/>
        <w:spacing w:val="0"/>
        <w:w w:val="100"/>
        <w:lang w:val="en-US" w:eastAsia="en-US" w:bidi="ar-SA"/>
      </w:rPr>
    </w:lvl>
    <w:lvl w:ilvl="2">
      <w:start w:val="1"/>
      <w:numFmt w:val="lowerRoman"/>
      <w:lvlText w:val="%3."/>
      <w:lvlJc w:val="left"/>
      <w:pPr>
        <w:ind w:left="2161" w:hanging="308"/>
        <w:jc w:val="right"/>
      </w:pPr>
      <w:rPr>
        <w:rFonts w:ascii="Times New Roman" w:eastAsia="Times New Roman" w:hAnsi="Times New Roman" w:cs="Times New Roman" w:hint="default"/>
        <w:b w:val="0"/>
        <w:bCs w:val="0"/>
        <w:i w:val="0"/>
        <w:iCs w:val="0"/>
        <w:spacing w:val="-10"/>
        <w:w w:val="100"/>
        <w:sz w:val="24"/>
        <w:szCs w:val="24"/>
        <w:lang w:val="en-US" w:eastAsia="en-US" w:bidi="ar-SA"/>
      </w:rPr>
    </w:lvl>
    <w:lvl w:ilvl="3">
      <w:numFmt w:val="bullet"/>
      <w:lvlText w:val="•"/>
      <w:lvlJc w:val="left"/>
      <w:pPr>
        <w:ind w:left="3850" w:hanging="308"/>
      </w:pPr>
      <w:rPr>
        <w:rFonts w:hint="default"/>
        <w:lang w:val="en-US" w:eastAsia="en-US" w:bidi="ar-SA"/>
      </w:rPr>
    </w:lvl>
    <w:lvl w:ilvl="4">
      <w:numFmt w:val="bullet"/>
      <w:lvlText w:val="•"/>
      <w:lvlJc w:val="left"/>
      <w:pPr>
        <w:ind w:left="4696" w:hanging="308"/>
      </w:pPr>
      <w:rPr>
        <w:rFonts w:hint="default"/>
        <w:lang w:val="en-US" w:eastAsia="en-US" w:bidi="ar-SA"/>
      </w:rPr>
    </w:lvl>
    <w:lvl w:ilvl="5">
      <w:numFmt w:val="bullet"/>
      <w:lvlText w:val="•"/>
      <w:lvlJc w:val="left"/>
      <w:pPr>
        <w:ind w:left="5541" w:hanging="308"/>
      </w:pPr>
      <w:rPr>
        <w:rFonts w:hint="default"/>
        <w:lang w:val="en-US" w:eastAsia="en-US" w:bidi="ar-SA"/>
      </w:rPr>
    </w:lvl>
    <w:lvl w:ilvl="6">
      <w:numFmt w:val="bullet"/>
      <w:lvlText w:val="•"/>
      <w:lvlJc w:val="left"/>
      <w:pPr>
        <w:ind w:left="6386" w:hanging="308"/>
      </w:pPr>
      <w:rPr>
        <w:rFonts w:hint="default"/>
        <w:lang w:val="en-US" w:eastAsia="en-US" w:bidi="ar-SA"/>
      </w:rPr>
    </w:lvl>
    <w:lvl w:ilvl="7">
      <w:numFmt w:val="bullet"/>
      <w:lvlText w:val="•"/>
      <w:lvlJc w:val="left"/>
      <w:pPr>
        <w:ind w:left="7232" w:hanging="308"/>
      </w:pPr>
      <w:rPr>
        <w:rFonts w:hint="default"/>
        <w:lang w:val="en-US" w:eastAsia="en-US" w:bidi="ar-SA"/>
      </w:rPr>
    </w:lvl>
    <w:lvl w:ilvl="8">
      <w:numFmt w:val="bullet"/>
      <w:lvlText w:val="•"/>
      <w:lvlJc w:val="left"/>
      <w:pPr>
        <w:ind w:left="8077" w:hanging="308"/>
      </w:pPr>
      <w:rPr>
        <w:rFonts w:hint="default"/>
        <w:lang w:val="en-US" w:eastAsia="en-US" w:bidi="ar-SA"/>
      </w:rPr>
    </w:lvl>
  </w:abstractNum>
  <w:abstractNum w:abstractNumId="30" w15:restartNumberingAfterBreak="0">
    <w:nsid w:val="22AE28FC"/>
    <w:multiLevelType w:val="hybridMultilevel"/>
    <w:tmpl w:val="1F82223C"/>
    <w:lvl w:ilvl="0" w:tplc="BD58500C">
      <w:start w:val="1"/>
      <w:numFmt w:val="lowerLetter"/>
      <w:lvlText w:val="%1)"/>
      <w:lvlJc w:val="left"/>
      <w:pPr>
        <w:ind w:left="2161" w:hanging="898"/>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638429B6">
      <w:start w:val="1"/>
      <w:numFmt w:val="lowerRoman"/>
      <w:lvlText w:val="%2."/>
      <w:lvlJc w:val="left"/>
      <w:pPr>
        <w:ind w:left="3602" w:hanging="491"/>
        <w:jc w:val="right"/>
      </w:pPr>
      <w:rPr>
        <w:rFonts w:ascii="Times New Roman" w:eastAsia="Times New Roman" w:hAnsi="Times New Roman" w:cs="Times New Roman" w:hint="default"/>
        <w:b w:val="0"/>
        <w:bCs w:val="0"/>
        <w:i w:val="0"/>
        <w:iCs w:val="0"/>
        <w:spacing w:val="-10"/>
        <w:w w:val="100"/>
        <w:sz w:val="24"/>
        <w:szCs w:val="24"/>
        <w:lang w:val="en-US" w:eastAsia="en-US" w:bidi="ar-SA"/>
      </w:rPr>
    </w:lvl>
    <w:lvl w:ilvl="2" w:tplc="A29225A2">
      <w:numFmt w:val="bullet"/>
      <w:lvlText w:val="•"/>
      <w:lvlJc w:val="left"/>
      <w:pPr>
        <w:ind w:left="4285" w:hanging="491"/>
      </w:pPr>
      <w:rPr>
        <w:rFonts w:hint="default"/>
        <w:lang w:val="en-US" w:eastAsia="en-US" w:bidi="ar-SA"/>
      </w:rPr>
    </w:lvl>
    <w:lvl w:ilvl="3" w:tplc="2FA2C390">
      <w:numFmt w:val="bullet"/>
      <w:lvlText w:val="•"/>
      <w:lvlJc w:val="left"/>
      <w:pPr>
        <w:ind w:left="4970" w:hanging="491"/>
      </w:pPr>
      <w:rPr>
        <w:rFonts w:hint="default"/>
        <w:lang w:val="en-US" w:eastAsia="en-US" w:bidi="ar-SA"/>
      </w:rPr>
    </w:lvl>
    <w:lvl w:ilvl="4" w:tplc="F86CC88C">
      <w:numFmt w:val="bullet"/>
      <w:lvlText w:val="•"/>
      <w:lvlJc w:val="left"/>
      <w:pPr>
        <w:ind w:left="5656" w:hanging="491"/>
      </w:pPr>
      <w:rPr>
        <w:rFonts w:hint="default"/>
        <w:lang w:val="en-US" w:eastAsia="en-US" w:bidi="ar-SA"/>
      </w:rPr>
    </w:lvl>
    <w:lvl w:ilvl="5" w:tplc="434AF5A0">
      <w:numFmt w:val="bullet"/>
      <w:lvlText w:val="•"/>
      <w:lvlJc w:val="left"/>
      <w:pPr>
        <w:ind w:left="6341" w:hanging="491"/>
      </w:pPr>
      <w:rPr>
        <w:rFonts w:hint="default"/>
        <w:lang w:val="en-US" w:eastAsia="en-US" w:bidi="ar-SA"/>
      </w:rPr>
    </w:lvl>
    <w:lvl w:ilvl="6" w:tplc="A2C2982A">
      <w:numFmt w:val="bullet"/>
      <w:lvlText w:val="•"/>
      <w:lvlJc w:val="left"/>
      <w:pPr>
        <w:ind w:left="7026" w:hanging="491"/>
      </w:pPr>
      <w:rPr>
        <w:rFonts w:hint="default"/>
        <w:lang w:val="en-US" w:eastAsia="en-US" w:bidi="ar-SA"/>
      </w:rPr>
    </w:lvl>
    <w:lvl w:ilvl="7" w:tplc="0A386994">
      <w:numFmt w:val="bullet"/>
      <w:lvlText w:val="•"/>
      <w:lvlJc w:val="left"/>
      <w:pPr>
        <w:ind w:left="7712" w:hanging="491"/>
      </w:pPr>
      <w:rPr>
        <w:rFonts w:hint="default"/>
        <w:lang w:val="en-US" w:eastAsia="en-US" w:bidi="ar-SA"/>
      </w:rPr>
    </w:lvl>
    <w:lvl w:ilvl="8" w:tplc="CF84A02E">
      <w:numFmt w:val="bullet"/>
      <w:lvlText w:val="•"/>
      <w:lvlJc w:val="left"/>
      <w:pPr>
        <w:ind w:left="8397" w:hanging="491"/>
      </w:pPr>
      <w:rPr>
        <w:rFonts w:hint="default"/>
        <w:lang w:val="en-US" w:eastAsia="en-US" w:bidi="ar-SA"/>
      </w:rPr>
    </w:lvl>
  </w:abstractNum>
  <w:abstractNum w:abstractNumId="31" w15:restartNumberingAfterBreak="0">
    <w:nsid w:val="230527A6"/>
    <w:multiLevelType w:val="hybridMultilevel"/>
    <w:tmpl w:val="8C3C7264"/>
    <w:lvl w:ilvl="0" w:tplc="F8CEBF9A">
      <w:start w:val="1"/>
      <w:numFmt w:val="decimal"/>
      <w:lvlText w:val="%1."/>
      <w:lvlJc w:val="left"/>
      <w:pPr>
        <w:ind w:left="287" w:hanging="183"/>
        <w:jc w:val="left"/>
      </w:pPr>
      <w:rPr>
        <w:rFonts w:ascii="Times New Roman" w:eastAsia="Times New Roman" w:hAnsi="Times New Roman" w:cs="Times New Roman" w:hint="default"/>
        <w:b w:val="0"/>
        <w:bCs w:val="0"/>
        <w:i w:val="0"/>
        <w:iCs w:val="0"/>
        <w:spacing w:val="0"/>
        <w:w w:val="94"/>
        <w:sz w:val="20"/>
        <w:szCs w:val="20"/>
        <w:lang w:val="en-US" w:eastAsia="en-US" w:bidi="ar-SA"/>
      </w:rPr>
    </w:lvl>
    <w:lvl w:ilvl="1" w:tplc="E81CF72E">
      <w:numFmt w:val="bullet"/>
      <w:lvlText w:val="•"/>
      <w:lvlJc w:val="left"/>
      <w:pPr>
        <w:ind w:left="466" w:hanging="183"/>
      </w:pPr>
      <w:rPr>
        <w:rFonts w:hint="default"/>
        <w:lang w:val="en-US" w:eastAsia="en-US" w:bidi="ar-SA"/>
      </w:rPr>
    </w:lvl>
    <w:lvl w:ilvl="2" w:tplc="5B880DCA">
      <w:numFmt w:val="bullet"/>
      <w:lvlText w:val="•"/>
      <w:lvlJc w:val="left"/>
      <w:pPr>
        <w:ind w:left="653" w:hanging="183"/>
      </w:pPr>
      <w:rPr>
        <w:rFonts w:hint="default"/>
        <w:lang w:val="en-US" w:eastAsia="en-US" w:bidi="ar-SA"/>
      </w:rPr>
    </w:lvl>
    <w:lvl w:ilvl="3" w:tplc="404AE834">
      <w:numFmt w:val="bullet"/>
      <w:lvlText w:val="•"/>
      <w:lvlJc w:val="left"/>
      <w:pPr>
        <w:ind w:left="839" w:hanging="183"/>
      </w:pPr>
      <w:rPr>
        <w:rFonts w:hint="default"/>
        <w:lang w:val="en-US" w:eastAsia="en-US" w:bidi="ar-SA"/>
      </w:rPr>
    </w:lvl>
    <w:lvl w:ilvl="4" w:tplc="CBEEFB4E">
      <w:numFmt w:val="bullet"/>
      <w:lvlText w:val="•"/>
      <w:lvlJc w:val="left"/>
      <w:pPr>
        <w:ind w:left="1026" w:hanging="183"/>
      </w:pPr>
      <w:rPr>
        <w:rFonts w:hint="default"/>
        <w:lang w:val="en-US" w:eastAsia="en-US" w:bidi="ar-SA"/>
      </w:rPr>
    </w:lvl>
    <w:lvl w:ilvl="5" w:tplc="9B1C169E">
      <w:numFmt w:val="bullet"/>
      <w:lvlText w:val="•"/>
      <w:lvlJc w:val="left"/>
      <w:pPr>
        <w:ind w:left="1212" w:hanging="183"/>
      </w:pPr>
      <w:rPr>
        <w:rFonts w:hint="default"/>
        <w:lang w:val="en-US" w:eastAsia="en-US" w:bidi="ar-SA"/>
      </w:rPr>
    </w:lvl>
    <w:lvl w:ilvl="6" w:tplc="F990B460">
      <w:numFmt w:val="bullet"/>
      <w:lvlText w:val="•"/>
      <w:lvlJc w:val="left"/>
      <w:pPr>
        <w:ind w:left="1399" w:hanging="183"/>
      </w:pPr>
      <w:rPr>
        <w:rFonts w:hint="default"/>
        <w:lang w:val="en-US" w:eastAsia="en-US" w:bidi="ar-SA"/>
      </w:rPr>
    </w:lvl>
    <w:lvl w:ilvl="7" w:tplc="4CD88BE6">
      <w:numFmt w:val="bullet"/>
      <w:lvlText w:val="•"/>
      <w:lvlJc w:val="left"/>
      <w:pPr>
        <w:ind w:left="1585" w:hanging="183"/>
      </w:pPr>
      <w:rPr>
        <w:rFonts w:hint="default"/>
        <w:lang w:val="en-US" w:eastAsia="en-US" w:bidi="ar-SA"/>
      </w:rPr>
    </w:lvl>
    <w:lvl w:ilvl="8" w:tplc="9C8423BE">
      <w:numFmt w:val="bullet"/>
      <w:lvlText w:val="•"/>
      <w:lvlJc w:val="left"/>
      <w:pPr>
        <w:ind w:left="1772" w:hanging="183"/>
      </w:pPr>
      <w:rPr>
        <w:rFonts w:hint="default"/>
        <w:lang w:val="en-US" w:eastAsia="en-US" w:bidi="ar-SA"/>
      </w:rPr>
    </w:lvl>
  </w:abstractNum>
  <w:abstractNum w:abstractNumId="32" w15:restartNumberingAfterBreak="0">
    <w:nsid w:val="264E46C3"/>
    <w:multiLevelType w:val="hybridMultilevel"/>
    <w:tmpl w:val="C3E27228"/>
    <w:lvl w:ilvl="0" w:tplc="F7A632A0">
      <w:start w:val="1"/>
      <w:numFmt w:val="lowerLetter"/>
      <w:lvlText w:val="%1)"/>
      <w:lvlJc w:val="left"/>
      <w:pPr>
        <w:ind w:left="1479" w:hanging="438"/>
        <w:jc w:val="left"/>
      </w:pPr>
      <w:rPr>
        <w:rFonts w:ascii="Times New Roman" w:eastAsia="Times New Roman" w:hAnsi="Times New Roman" w:cs="Times New Roman" w:hint="default"/>
        <w:b w:val="0"/>
        <w:bCs w:val="0"/>
        <w:i w:val="0"/>
        <w:iCs w:val="0"/>
        <w:color w:val="211F1F"/>
        <w:spacing w:val="0"/>
        <w:w w:val="100"/>
        <w:sz w:val="22"/>
        <w:szCs w:val="22"/>
        <w:lang w:val="en-US" w:eastAsia="en-US" w:bidi="ar-SA"/>
      </w:rPr>
    </w:lvl>
    <w:lvl w:ilvl="1" w:tplc="853480D6">
      <w:numFmt w:val="bullet"/>
      <w:lvlText w:val="•"/>
      <w:lvlJc w:val="left"/>
      <w:pPr>
        <w:ind w:left="2487" w:hanging="438"/>
      </w:pPr>
      <w:rPr>
        <w:rFonts w:hint="default"/>
        <w:lang w:val="en-US" w:eastAsia="en-US" w:bidi="ar-SA"/>
      </w:rPr>
    </w:lvl>
    <w:lvl w:ilvl="2" w:tplc="F68AD1A4">
      <w:numFmt w:val="bullet"/>
      <w:lvlText w:val="•"/>
      <w:lvlJc w:val="left"/>
      <w:pPr>
        <w:ind w:left="3495" w:hanging="438"/>
      </w:pPr>
      <w:rPr>
        <w:rFonts w:hint="default"/>
        <w:lang w:val="en-US" w:eastAsia="en-US" w:bidi="ar-SA"/>
      </w:rPr>
    </w:lvl>
    <w:lvl w:ilvl="3" w:tplc="326822C4">
      <w:numFmt w:val="bullet"/>
      <w:lvlText w:val="•"/>
      <w:lvlJc w:val="left"/>
      <w:pPr>
        <w:ind w:left="4503" w:hanging="438"/>
      </w:pPr>
      <w:rPr>
        <w:rFonts w:hint="default"/>
        <w:lang w:val="en-US" w:eastAsia="en-US" w:bidi="ar-SA"/>
      </w:rPr>
    </w:lvl>
    <w:lvl w:ilvl="4" w:tplc="3D320E90">
      <w:numFmt w:val="bullet"/>
      <w:lvlText w:val="•"/>
      <w:lvlJc w:val="left"/>
      <w:pPr>
        <w:ind w:left="5511" w:hanging="438"/>
      </w:pPr>
      <w:rPr>
        <w:rFonts w:hint="default"/>
        <w:lang w:val="en-US" w:eastAsia="en-US" w:bidi="ar-SA"/>
      </w:rPr>
    </w:lvl>
    <w:lvl w:ilvl="5" w:tplc="E696CA18">
      <w:numFmt w:val="bullet"/>
      <w:lvlText w:val="•"/>
      <w:lvlJc w:val="left"/>
      <w:pPr>
        <w:ind w:left="6519" w:hanging="438"/>
      </w:pPr>
      <w:rPr>
        <w:rFonts w:hint="default"/>
        <w:lang w:val="en-US" w:eastAsia="en-US" w:bidi="ar-SA"/>
      </w:rPr>
    </w:lvl>
    <w:lvl w:ilvl="6" w:tplc="9F2A8828">
      <w:numFmt w:val="bullet"/>
      <w:lvlText w:val="•"/>
      <w:lvlJc w:val="left"/>
      <w:pPr>
        <w:ind w:left="7527" w:hanging="438"/>
      </w:pPr>
      <w:rPr>
        <w:rFonts w:hint="default"/>
        <w:lang w:val="en-US" w:eastAsia="en-US" w:bidi="ar-SA"/>
      </w:rPr>
    </w:lvl>
    <w:lvl w:ilvl="7" w:tplc="F34E81E0">
      <w:numFmt w:val="bullet"/>
      <w:lvlText w:val="•"/>
      <w:lvlJc w:val="left"/>
      <w:pPr>
        <w:ind w:left="8534" w:hanging="438"/>
      </w:pPr>
      <w:rPr>
        <w:rFonts w:hint="default"/>
        <w:lang w:val="en-US" w:eastAsia="en-US" w:bidi="ar-SA"/>
      </w:rPr>
    </w:lvl>
    <w:lvl w:ilvl="8" w:tplc="0602C2F6">
      <w:numFmt w:val="bullet"/>
      <w:lvlText w:val="•"/>
      <w:lvlJc w:val="left"/>
      <w:pPr>
        <w:ind w:left="9542" w:hanging="438"/>
      </w:pPr>
      <w:rPr>
        <w:rFonts w:hint="default"/>
        <w:lang w:val="en-US" w:eastAsia="en-US" w:bidi="ar-SA"/>
      </w:rPr>
    </w:lvl>
  </w:abstractNum>
  <w:abstractNum w:abstractNumId="33" w15:restartNumberingAfterBreak="0">
    <w:nsid w:val="26B07189"/>
    <w:multiLevelType w:val="hybridMultilevel"/>
    <w:tmpl w:val="E72E8120"/>
    <w:lvl w:ilvl="0" w:tplc="08A60302">
      <w:start w:val="1"/>
      <w:numFmt w:val="decimal"/>
      <w:lvlText w:val="%1."/>
      <w:lvlJc w:val="left"/>
      <w:pPr>
        <w:ind w:left="1051" w:hanging="567"/>
        <w:jc w:val="left"/>
      </w:pPr>
      <w:rPr>
        <w:rFonts w:ascii="Times New Roman" w:eastAsia="Times New Roman" w:hAnsi="Times New Roman" w:cs="Times New Roman" w:hint="default"/>
        <w:b w:val="0"/>
        <w:bCs w:val="0"/>
        <w:i w:val="0"/>
        <w:iCs w:val="0"/>
        <w:color w:val="211F1F"/>
        <w:spacing w:val="-20"/>
        <w:w w:val="100"/>
        <w:sz w:val="22"/>
        <w:szCs w:val="22"/>
        <w:lang w:val="en-US" w:eastAsia="en-US" w:bidi="ar-SA"/>
      </w:rPr>
    </w:lvl>
    <w:lvl w:ilvl="1" w:tplc="D89C6BEC">
      <w:start w:val="1"/>
      <w:numFmt w:val="lowerLetter"/>
      <w:lvlText w:val="%2)"/>
      <w:lvlJc w:val="left"/>
      <w:pPr>
        <w:ind w:left="1589" w:hanging="539"/>
        <w:jc w:val="left"/>
      </w:pPr>
      <w:rPr>
        <w:rFonts w:ascii="Times New Roman" w:eastAsia="Times New Roman" w:hAnsi="Times New Roman" w:cs="Times New Roman" w:hint="default"/>
        <w:b w:val="0"/>
        <w:bCs w:val="0"/>
        <w:i w:val="0"/>
        <w:iCs w:val="0"/>
        <w:color w:val="211F1F"/>
        <w:spacing w:val="0"/>
        <w:w w:val="100"/>
        <w:sz w:val="22"/>
        <w:szCs w:val="22"/>
        <w:lang w:val="en-US" w:eastAsia="en-US" w:bidi="ar-SA"/>
      </w:rPr>
    </w:lvl>
    <w:lvl w:ilvl="2" w:tplc="CC8464BA">
      <w:numFmt w:val="bullet"/>
      <w:lvlText w:val="•"/>
      <w:lvlJc w:val="left"/>
      <w:pPr>
        <w:ind w:left="2688" w:hanging="539"/>
      </w:pPr>
      <w:rPr>
        <w:rFonts w:hint="default"/>
        <w:lang w:val="en-US" w:eastAsia="en-US" w:bidi="ar-SA"/>
      </w:rPr>
    </w:lvl>
    <w:lvl w:ilvl="3" w:tplc="8EB63F96">
      <w:numFmt w:val="bullet"/>
      <w:lvlText w:val="•"/>
      <w:lvlJc w:val="left"/>
      <w:pPr>
        <w:ind w:left="3797" w:hanging="539"/>
      </w:pPr>
      <w:rPr>
        <w:rFonts w:hint="default"/>
        <w:lang w:val="en-US" w:eastAsia="en-US" w:bidi="ar-SA"/>
      </w:rPr>
    </w:lvl>
    <w:lvl w:ilvl="4" w:tplc="C5560B50">
      <w:numFmt w:val="bullet"/>
      <w:lvlText w:val="•"/>
      <w:lvlJc w:val="left"/>
      <w:pPr>
        <w:ind w:left="4906" w:hanging="539"/>
      </w:pPr>
      <w:rPr>
        <w:rFonts w:hint="default"/>
        <w:lang w:val="en-US" w:eastAsia="en-US" w:bidi="ar-SA"/>
      </w:rPr>
    </w:lvl>
    <w:lvl w:ilvl="5" w:tplc="6D2EE254">
      <w:numFmt w:val="bullet"/>
      <w:lvlText w:val="•"/>
      <w:lvlJc w:val="left"/>
      <w:pPr>
        <w:ind w:left="6014" w:hanging="539"/>
      </w:pPr>
      <w:rPr>
        <w:rFonts w:hint="default"/>
        <w:lang w:val="en-US" w:eastAsia="en-US" w:bidi="ar-SA"/>
      </w:rPr>
    </w:lvl>
    <w:lvl w:ilvl="6" w:tplc="2B7EE5D8">
      <w:numFmt w:val="bullet"/>
      <w:lvlText w:val="•"/>
      <w:lvlJc w:val="left"/>
      <w:pPr>
        <w:ind w:left="7123" w:hanging="539"/>
      </w:pPr>
      <w:rPr>
        <w:rFonts w:hint="default"/>
        <w:lang w:val="en-US" w:eastAsia="en-US" w:bidi="ar-SA"/>
      </w:rPr>
    </w:lvl>
    <w:lvl w:ilvl="7" w:tplc="336AAF90">
      <w:numFmt w:val="bullet"/>
      <w:lvlText w:val="•"/>
      <w:lvlJc w:val="left"/>
      <w:pPr>
        <w:ind w:left="8232" w:hanging="539"/>
      </w:pPr>
      <w:rPr>
        <w:rFonts w:hint="default"/>
        <w:lang w:val="en-US" w:eastAsia="en-US" w:bidi="ar-SA"/>
      </w:rPr>
    </w:lvl>
    <w:lvl w:ilvl="8" w:tplc="B476C940">
      <w:numFmt w:val="bullet"/>
      <w:lvlText w:val="•"/>
      <w:lvlJc w:val="left"/>
      <w:pPr>
        <w:ind w:left="9340" w:hanging="539"/>
      </w:pPr>
      <w:rPr>
        <w:rFonts w:hint="default"/>
        <w:lang w:val="en-US" w:eastAsia="en-US" w:bidi="ar-SA"/>
      </w:rPr>
    </w:lvl>
  </w:abstractNum>
  <w:abstractNum w:abstractNumId="34" w15:restartNumberingAfterBreak="0">
    <w:nsid w:val="27867F18"/>
    <w:multiLevelType w:val="hybridMultilevel"/>
    <w:tmpl w:val="15386AA2"/>
    <w:lvl w:ilvl="0" w:tplc="2E58584A">
      <w:numFmt w:val="bullet"/>
      <w:lvlText w:val=""/>
      <w:lvlJc w:val="left"/>
      <w:pPr>
        <w:ind w:left="7" w:hanging="720"/>
      </w:pPr>
      <w:rPr>
        <w:rFonts w:ascii="Wingdings" w:eastAsia="Wingdings" w:hAnsi="Wingdings" w:cs="Wingdings" w:hint="default"/>
        <w:b w:val="0"/>
        <w:bCs w:val="0"/>
        <w:i w:val="0"/>
        <w:iCs w:val="0"/>
        <w:spacing w:val="0"/>
        <w:w w:val="100"/>
        <w:sz w:val="22"/>
        <w:szCs w:val="22"/>
        <w:lang w:val="en-US" w:eastAsia="en-US" w:bidi="ar-SA"/>
      </w:rPr>
    </w:lvl>
    <w:lvl w:ilvl="1" w:tplc="A4889DEE">
      <w:numFmt w:val="bullet"/>
      <w:lvlText w:val="•"/>
      <w:lvlJc w:val="left"/>
      <w:pPr>
        <w:ind w:left="939" w:hanging="720"/>
      </w:pPr>
      <w:rPr>
        <w:rFonts w:hint="default"/>
        <w:lang w:val="en-US" w:eastAsia="en-US" w:bidi="ar-SA"/>
      </w:rPr>
    </w:lvl>
    <w:lvl w:ilvl="2" w:tplc="226CCB54">
      <w:numFmt w:val="bullet"/>
      <w:lvlText w:val="•"/>
      <w:lvlJc w:val="left"/>
      <w:pPr>
        <w:ind w:left="1878" w:hanging="720"/>
      </w:pPr>
      <w:rPr>
        <w:rFonts w:hint="default"/>
        <w:lang w:val="en-US" w:eastAsia="en-US" w:bidi="ar-SA"/>
      </w:rPr>
    </w:lvl>
    <w:lvl w:ilvl="3" w:tplc="D28250E2">
      <w:numFmt w:val="bullet"/>
      <w:lvlText w:val="•"/>
      <w:lvlJc w:val="left"/>
      <w:pPr>
        <w:ind w:left="2817" w:hanging="720"/>
      </w:pPr>
      <w:rPr>
        <w:rFonts w:hint="default"/>
        <w:lang w:val="en-US" w:eastAsia="en-US" w:bidi="ar-SA"/>
      </w:rPr>
    </w:lvl>
    <w:lvl w:ilvl="4" w:tplc="7B06F452">
      <w:numFmt w:val="bullet"/>
      <w:lvlText w:val="•"/>
      <w:lvlJc w:val="left"/>
      <w:pPr>
        <w:ind w:left="3756" w:hanging="720"/>
      </w:pPr>
      <w:rPr>
        <w:rFonts w:hint="default"/>
        <w:lang w:val="en-US" w:eastAsia="en-US" w:bidi="ar-SA"/>
      </w:rPr>
    </w:lvl>
    <w:lvl w:ilvl="5" w:tplc="9CFE5122">
      <w:numFmt w:val="bullet"/>
      <w:lvlText w:val="•"/>
      <w:lvlJc w:val="left"/>
      <w:pPr>
        <w:ind w:left="4695" w:hanging="720"/>
      </w:pPr>
      <w:rPr>
        <w:rFonts w:hint="default"/>
        <w:lang w:val="en-US" w:eastAsia="en-US" w:bidi="ar-SA"/>
      </w:rPr>
    </w:lvl>
    <w:lvl w:ilvl="6" w:tplc="DE3A1226">
      <w:numFmt w:val="bullet"/>
      <w:lvlText w:val="•"/>
      <w:lvlJc w:val="left"/>
      <w:pPr>
        <w:ind w:left="5634" w:hanging="720"/>
      </w:pPr>
      <w:rPr>
        <w:rFonts w:hint="default"/>
        <w:lang w:val="en-US" w:eastAsia="en-US" w:bidi="ar-SA"/>
      </w:rPr>
    </w:lvl>
    <w:lvl w:ilvl="7" w:tplc="8C16B314">
      <w:numFmt w:val="bullet"/>
      <w:lvlText w:val="•"/>
      <w:lvlJc w:val="left"/>
      <w:pPr>
        <w:ind w:left="6573" w:hanging="720"/>
      </w:pPr>
      <w:rPr>
        <w:rFonts w:hint="default"/>
        <w:lang w:val="en-US" w:eastAsia="en-US" w:bidi="ar-SA"/>
      </w:rPr>
    </w:lvl>
    <w:lvl w:ilvl="8" w:tplc="BA3C01B0">
      <w:numFmt w:val="bullet"/>
      <w:lvlText w:val="•"/>
      <w:lvlJc w:val="left"/>
      <w:pPr>
        <w:ind w:left="7512" w:hanging="720"/>
      </w:pPr>
      <w:rPr>
        <w:rFonts w:hint="default"/>
        <w:lang w:val="en-US" w:eastAsia="en-US" w:bidi="ar-SA"/>
      </w:rPr>
    </w:lvl>
  </w:abstractNum>
  <w:abstractNum w:abstractNumId="35" w15:restartNumberingAfterBreak="0">
    <w:nsid w:val="29624993"/>
    <w:multiLevelType w:val="hybridMultilevel"/>
    <w:tmpl w:val="B13CB648"/>
    <w:lvl w:ilvl="0" w:tplc="9D984192">
      <w:start w:val="5"/>
      <w:numFmt w:val="lowerLetter"/>
      <w:lvlText w:val="(%1)"/>
      <w:lvlJc w:val="left"/>
      <w:pPr>
        <w:ind w:left="1056" w:hanging="567"/>
        <w:jc w:val="left"/>
      </w:pPr>
      <w:rPr>
        <w:rFonts w:ascii="Times New Roman" w:eastAsia="Times New Roman" w:hAnsi="Times New Roman" w:cs="Times New Roman" w:hint="default"/>
        <w:b/>
        <w:bCs/>
        <w:i w:val="0"/>
        <w:iCs w:val="0"/>
        <w:color w:val="211F1F"/>
        <w:spacing w:val="-2"/>
        <w:w w:val="100"/>
        <w:sz w:val="22"/>
        <w:szCs w:val="22"/>
        <w:lang w:val="en-US" w:eastAsia="en-US" w:bidi="ar-SA"/>
      </w:rPr>
    </w:lvl>
    <w:lvl w:ilvl="1" w:tplc="E690A76E">
      <w:start w:val="1"/>
      <w:numFmt w:val="lowerRoman"/>
      <w:lvlText w:val="%2)"/>
      <w:lvlJc w:val="left"/>
      <w:pPr>
        <w:ind w:left="1608" w:hanging="553"/>
        <w:jc w:val="right"/>
      </w:pPr>
      <w:rPr>
        <w:rFonts w:hint="default"/>
        <w:spacing w:val="-4"/>
        <w:w w:val="100"/>
        <w:lang w:val="en-US" w:eastAsia="en-US" w:bidi="ar-SA"/>
      </w:rPr>
    </w:lvl>
    <w:lvl w:ilvl="2" w:tplc="C76C36E2">
      <w:numFmt w:val="bullet"/>
      <w:lvlText w:val="•"/>
      <w:lvlJc w:val="left"/>
      <w:pPr>
        <w:ind w:left="2706" w:hanging="553"/>
      </w:pPr>
      <w:rPr>
        <w:rFonts w:hint="default"/>
        <w:lang w:val="en-US" w:eastAsia="en-US" w:bidi="ar-SA"/>
      </w:rPr>
    </w:lvl>
    <w:lvl w:ilvl="3" w:tplc="E2FA50F4">
      <w:numFmt w:val="bullet"/>
      <w:lvlText w:val="•"/>
      <w:lvlJc w:val="left"/>
      <w:pPr>
        <w:ind w:left="3812" w:hanging="553"/>
      </w:pPr>
      <w:rPr>
        <w:rFonts w:hint="default"/>
        <w:lang w:val="en-US" w:eastAsia="en-US" w:bidi="ar-SA"/>
      </w:rPr>
    </w:lvl>
    <w:lvl w:ilvl="4" w:tplc="063A5164">
      <w:numFmt w:val="bullet"/>
      <w:lvlText w:val="•"/>
      <w:lvlJc w:val="left"/>
      <w:pPr>
        <w:ind w:left="4919" w:hanging="553"/>
      </w:pPr>
      <w:rPr>
        <w:rFonts w:hint="default"/>
        <w:lang w:val="en-US" w:eastAsia="en-US" w:bidi="ar-SA"/>
      </w:rPr>
    </w:lvl>
    <w:lvl w:ilvl="5" w:tplc="D1F40A62">
      <w:numFmt w:val="bullet"/>
      <w:lvlText w:val="•"/>
      <w:lvlJc w:val="left"/>
      <w:pPr>
        <w:ind w:left="6025" w:hanging="553"/>
      </w:pPr>
      <w:rPr>
        <w:rFonts w:hint="default"/>
        <w:lang w:val="en-US" w:eastAsia="en-US" w:bidi="ar-SA"/>
      </w:rPr>
    </w:lvl>
    <w:lvl w:ilvl="6" w:tplc="AD704902">
      <w:numFmt w:val="bullet"/>
      <w:lvlText w:val="•"/>
      <w:lvlJc w:val="left"/>
      <w:pPr>
        <w:ind w:left="7132" w:hanging="553"/>
      </w:pPr>
      <w:rPr>
        <w:rFonts w:hint="default"/>
        <w:lang w:val="en-US" w:eastAsia="en-US" w:bidi="ar-SA"/>
      </w:rPr>
    </w:lvl>
    <w:lvl w:ilvl="7" w:tplc="5EC8B726">
      <w:numFmt w:val="bullet"/>
      <w:lvlText w:val="•"/>
      <w:lvlJc w:val="left"/>
      <w:pPr>
        <w:ind w:left="8238" w:hanging="553"/>
      </w:pPr>
      <w:rPr>
        <w:rFonts w:hint="default"/>
        <w:lang w:val="en-US" w:eastAsia="en-US" w:bidi="ar-SA"/>
      </w:rPr>
    </w:lvl>
    <w:lvl w:ilvl="8" w:tplc="D1E0224C">
      <w:numFmt w:val="bullet"/>
      <w:lvlText w:val="•"/>
      <w:lvlJc w:val="left"/>
      <w:pPr>
        <w:ind w:left="9345" w:hanging="553"/>
      </w:pPr>
      <w:rPr>
        <w:rFonts w:hint="default"/>
        <w:lang w:val="en-US" w:eastAsia="en-US" w:bidi="ar-SA"/>
      </w:rPr>
    </w:lvl>
  </w:abstractNum>
  <w:abstractNum w:abstractNumId="36" w15:restartNumberingAfterBreak="0">
    <w:nsid w:val="29F14050"/>
    <w:multiLevelType w:val="multilevel"/>
    <w:tmpl w:val="5ECE664C"/>
    <w:lvl w:ilvl="0">
      <w:start w:val="22"/>
      <w:numFmt w:val="decimal"/>
      <w:lvlText w:val="%1"/>
      <w:lvlJc w:val="left"/>
      <w:pPr>
        <w:ind w:left="720" w:hanging="721"/>
        <w:jc w:val="left"/>
      </w:pPr>
      <w:rPr>
        <w:rFonts w:hint="default"/>
        <w:lang w:val="en-US" w:eastAsia="en-US" w:bidi="ar-SA"/>
      </w:rPr>
    </w:lvl>
    <w:lvl w:ilvl="1">
      <w:numFmt w:val="decimal"/>
      <w:lvlText w:val="%1.%2"/>
      <w:lvlJc w:val="left"/>
      <w:pPr>
        <w:ind w:left="720" w:hanging="721"/>
        <w:jc w:val="right"/>
      </w:pPr>
      <w:rPr>
        <w:rFonts w:hint="default"/>
        <w:spacing w:val="0"/>
        <w:w w:val="100"/>
        <w:lang w:val="en-US" w:eastAsia="en-US" w:bidi="ar-SA"/>
      </w:rPr>
    </w:lvl>
    <w:lvl w:ilvl="2">
      <w:numFmt w:val="bullet"/>
      <w:lvlText w:val="•"/>
      <w:lvlJc w:val="left"/>
      <w:pPr>
        <w:ind w:left="2529" w:hanging="721"/>
      </w:pPr>
      <w:rPr>
        <w:rFonts w:hint="default"/>
        <w:lang w:val="en-US" w:eastAsia="en-US" w:bidi="ar-SA"/>
      </w:rPr>
    </w:lvl>
    <w:lvl w:ilvl="3">
      <w:numFmt w:val="bullet"/>
      <w:lvlText w:val="•"/>
      <w:lvlJc w:val="left"/>
      <w:pPr>
        <w:ind w:left="3434" w:hanging="721"/>
      </w:pPr>
      <w:rPr>
        <w:rFonts w:hint="default"/>
        <w:lang w:val="en-US" w:eastAsia="en-US" w:bidi="ar-SA"/>
      </w:rPr>
    </w:lvl>
    <w:lvl w:ilvl="4">
      <w:numFmt w:val="bullet"/>
      <w:lvlText w:val="•"/>
      <w:lvlJc w:val="left"/>
      <w:pPr>
        <w:ind w:left="4339" w:hanging="721"/>
      </w:pPr>
      <w:rPr>
        <w:rFonts w:hint="default"/>
        <w:lang w:val="en-US" w:eastAsia="en-US" w:bidi="ar-SA"/>
      </w:rPr>
    </w:lvl>
    <w:lvl w:ilvl="5">
      <w:numFmt w:val="bullet"/>
      <w:lvlText w:val="•"/>
      <w:lvlJc w:val="left"/>
      <w:pPr>
        <w:ind w:left="5244" w:hanging="721"/>
      </w:pPr>
      <w:rPr>
        <w:rFonts w:hint="default"/>
        <w:lang w:val="en-US" w:eastAsia="en-US" w:bidi="ar-SA"/>
      </w:rPr>
    </w:lvl>
    <w:lvl w:ilvl="6">
      <w:numFmt w:val="bullet"/>
      <w:lvlText w:val="•"/>
      <w:lvlJc w:val="left"/>
      <w:pPr>
        <w:ind w:left="6148" w:hanging="721"/>
      </w:pPr>
      <w:rPr>
        <w:rFonts w:hint="default"/>
        <w:lang w:val="en-US" w:eastAsia="en-US" w:bidi="ar-SA"/>
      </w:rPr>
    </w:lvl>
    <w:lvl w:ilvl="7">
      <w:numFmt w:val="bullet"/>
      <w:lvlText w:val="•"/>
      <w:lvlJc w:val="left"/>
      <w:pPr>
        <w:ind w:left="7053" w:hanging="721"/>
      </w:pPr>
      <w:rPr>
        <w:rFonts w:hint="default"/>
        <w:lang w:val="en-US" w:eastAsia="en-US" w:bidi="ar-SA"/>
      </w:rPr>
    </w:lvl>
    <w:lvl w:ilvl="8">
      <w:numFmt w:val="bullet"/>
      <w:lvlText w:val="•"/>
      <w:lvlJc w:val="left"/>
      <w:pPr>
        <w:ind w:left="7958" w:hanging="721"/>
      </w:pPr>
      <w:rPr>
        <w:rFonts w:hint="default"/>
        <w:lang w:val="en-US" w:eastAsia="en-US" w:bidi="ar-SA"/>
      </w:rPr>
    </w:lvl>
  </w:abstractNum>
  <w:abstractNum w:abstractNumId="37" w15:restartNumberingAfterBreak="0">
    <w:nsid w:val="2B1F6C45"/>
    <w:multiLevelType w:val="hybridMultilevel"/>
    <w:tmpl w:val="A4F27F38"/>
    <w:lvl w:ilvl="0" w:tplc="087CD9B4">
      <w:start w:val="1"/>
      <w:numFmt w:val="decimal"/>
      <w:lvlText w:val="%1."/>
      <w:lvlJc w:val="left"/>
      <w:pPr>
        <w:ind w:left="287" w:hanging="183"/>
        <w:jc w:val="left"/>
      </w:pPr>
      <w:rPr>
        <w:rFonts w:ascii="Times New Roman" w:eastAsia="Times New Roman" w:hAnsi="Times New Roman" w:cs="Times New Roman" w:hint="default"/>
        <w:b w:val="0"/>
        <w:bCs w:val="0"/>
        <w:i w:val="0"/>
        <w:iCs w:val="0"/>
        <w:spacing w:val="0"/>
        <w:w w:val="94"/>
        <w:sz w:val="20"/>
        <w:szCs w:val="20"/>
        <w:lang w:val="en-US" w:eastAsia="en-US" w:bidi="ar-SA"/>
      </w:rPr>
    </w:lvl>
    <w:lvl w:ilvl="1" w:tplc="729C683E">
      <w:numFmt w:val="bullet"/>
      <w:lvlText w:val="•"/>
      <w:lvlJc w:val="left"/>
      <w:pPr>
        <w:ind w:left="431" w:hanging="183"/>
      </w:pPr>
      <w:rPr>
        <w:rFonts w:hint="default"/>
        <w:lang w:val="en-US" w:eastAsia="en-US" w:bidi="ar-SA"/>
      </w:rPr>
    </w:lvl>
    <w:lvl w:ilvl="2" w:tplc="95DCB23E">
      <w:numFmt w:val="bullet"/>
      <w:lvlText w:val="•"/>
      <w:lvlJc w:val="left"/>
      <w:pPr>
        <w:ind w:left="583" w:hanging="183"/>
      </w:pPr>
      <w:rPr>
        <w:rFonts w:hint="default"/>
        <w:lang w:val="en-US" w:eastAsia="en-US" w:bidi="ar-SA"/>
      </w:rPr>
    </w:lvl>
    <w:lvl w:ilvl="3" w:tplc="8F9612EA">
      <w:numFmt w:val="bullet"/>
      <w:lvlText w:val="•"/>
      <w:lvlJc w:val="left"/>
      <w:pPr>
        <w:ind w:left="734" w:hanging="183"/>
      </w:pPr>
      <w:rPr>
        <w:rFonts w:hint="default"/>
        <w:lang w:val="en-US" w:eastAsia="en-US" w:bidi="ar-SA"/>
      </w:rPr>
    </w:lvl>
    <w:lvl w:ilvl="4" w:tplc="19B20CB0">
      <w:numFmt w:val="bullet"/>
      <w:lvlText w:val="•"/>
      <w:lvlJc w:val="left"/>
      <w:pPr>
        <w:ind w:left="886" w:hanging="183"/>
      </w:pPr>
      <w:rPr>
        <w:rFonts w:hint="default"/>
        <w:lang w:val="en-US" w:eastAsia="en-US" w:bidi="ar-SA"/>
      </w:rPr>
    </w:lvl>
    <w:lvl w:ilvl="5" w:tplc="1BD4DA04">
      <w:numFmt w:val="bullet"/>
      <w:lvlText w:val="•"/>
      <w:lvlJc w:val="left"/>
      <w:pPr>
        <w:ind w:left="1037" w:hanging="183"/>
      </w:pPr>
      <w:rPr>
        <w:rFonts w:hint="default"/>
        <w:lang w:val="en-US" w:eastAsia="en-US" w:bidi="ar-SA"/>
      </w:rPr>
    </w:lvl>
    <w:lvl w:ilvl="6" w:tplc="63D8B206">
      <w:numFmt w:val="bullet"/>
      <w:lvlText w:val="•"/>
      <w:lvlJc w:val="left"/>
      <w:pPr>
        <w:ind w:left="1189" w:hanging="183"/>
      </w:pPr>
      <w:rPr>
        <w:rFonts w:hint="default"/>
        <w:lang w:val="en-US" w:eastAsia="en-US" w:bidi="ar-SA"/>
      </w:rPr>
    </w:lvl>
    <w:lvl w:ilvl="7" w:tplc="1CB0DA98">
      <w:numFmt w:val="bullet"/>
      <w:lvlText w:val="•"/>
      <w:lvlJc w:val="left"/>
      <w:pPr>
        <w:ind w:left="1340" w:hanging="183"/>
      </w:pPr>
      <w:rPr>
        <w:rFonts w:hint="default"/>
        <w:lang w:val="en-US" w:eastAsia="en-US" w:bidi="ar-SA"/>
      </w:rPr>
    </w:lvl>
    <w:lvl w:ilvl="8" w:tplc="89A06A74">
      <w:numFmt w:val="bullet"/>
      <w:lvlText w:val="•"/>
      <w:lvlJc w:val="left"/>
      <w:pPr>
        <w:ind w:left="1492" w:hanging="183"/>
      </w:pPr>
      <w:rPr>
        <w:rFonts w:hint="default"/>
        <w:lang w:val="en-US" w:eastAsia="en-US" w:bidi="ar-SA"/>
      </w:rPr>
    </w:lvl>
  </w:abstractNum>
  <w:abstractNum w:abstractNumId="38" w15:restartNumberingAfterBreak="0">
    <w:nsid w:val="2B411459"/>
    <w:multiLevelType w:val="hybridMultilevel"/>
    <w:tmpl w:val="BD7E3558"/>
    <w:lvl w:ilvl="0" w:tplc="E4B2309E">
      <w:start w:val="1"/>
      <w:numFmt w:val="decimal"/>
      <w:lvlText w:val="%1."/>
      <w:lvlJc w:val="left"/>
      <w:pPr>
        <w:ind w:left="287" w:hanging="183"/>
        <w:jc w:val="left"/>
      </w:pPr>
      <w:rPr>
        <w:rFonts w:ascii="Times New Roman" w:eastAsia="Times New Roman" w:hAnsi="Times New Roman" w:cs="Times New Roman" w:hint="default"/>
        <w:b w:val="0"/>
        <w:bCs w:val="0"/>
        <w:i w:val="0"/>
        <w:iCs w:val="0"/>
        <w:spacing w:val="0"/>
        <w:w w:val="94"/>
        <w:sz w:val="20"/>
        <w:szCs w:val="20"/>
        <w:lang w:val="en-US" w:eastAsia="en-US" w:bidi="ar-SA"/>
      </w:rPr>
    </w:lvl>
    <w:lvl w:ilvl="1" w:tplc="6E040BF4">
      <w:numFmt w:val="bullet"/>
      <w:lvlText w:val="•"/>
      <w:lvlJc w:val="left"/>
      <w:pPr>
        <w:ind w:left="466" w:hanging="183"/>
      </w:pPr>
      <w:rPr>
        <w:rFonts w:hint="default"/>
        <w:lang w:val="en-US" w:eastAsia="en-US" w:bidi="ar-SA"/>
      </w:rPr>
    </w:lvl>
    <w:lvl w:ilvl="2" w:tplc="FF5ADBE4">
      <w:numFmt w:val="bullet"/>
      <w:lvlText w:val="•"/>
      <w:lvlJc w:val="left"/>
      <w:pPr>
        <w:ind w:left="653" w:hanging="183"/>
      </w:pPr>
      <w:rPr>
        <w:rFonts w:hint="default"/>
        <w:lang w:val="en-US" w:eastAsia="en-US" w:bidi="ar-SA"/>
      </w:rPr>
    </w:lvl>
    <w:lvl w:ilvl="3" w:tplc="6B32DE96">
      <w:numFmt w:val="bullet"/>
      <w:lvlText w:val="•"/>
      <w:lvlJc w:val="left"/>
      <w:pPr>
        <w:ind w:left="839" w:hanging="183"/>
      </w:pPr>
      <w:rPr>
        <w:rFonts w:hint="default"/>
        <w:lang w:val="en-US" w:eastAsia="en-US" w:bidi="ar-SA"/>
      </w:rPr>
    </w:lvl>
    <w:lvl w:ilvl="4" w:tplc="AFF0FC48">
      <w:numFmt w:val="bullet"/>
      <w:lvlText w:val="•"/>
      <w:lvlJc w:val="left"/>
      <w:pPr>
        <w:ind w:left="1026" w:hanging="183"/>
      </w:pPr>
      <w:rPr>
        <w:rFonts w:hint="default"/>
        <w:lang w:val="en-US" w:eastAsia="en-US" w:bidi="ar-SA"/>
      </w:rPr>
    </w:lvl>
    <w:lvl w:ilvl="5" w:tplc="1E82B662">
      <w:numFmt w:val="bullet"/>
      <w:lvlText w:val="•"/>
      <w:lvlJc w:val="left"/>
      <w:pPr>
        <w:ind w:left="1212" w:hanging="183"/>
      </w:pPr>
      <w:rPr>
        <w:rFonts w:hint="default"/>
        <w:lang w:val="en-US" w:eastAsia="en-US" w:bidi="ar-SA"/>
      </w:rPr>
    </w:lvl>
    <w:lvl w:ilvl="6" w:tplc="49523BC4">
      <w:numFmt w:val="bullet"/>
      <w:lvlText w:val="•"/>
      <w:lvlJc w:val="left"/>
      <w:pPr>
        <w:ind w:left="1399" w:hanging="183"/>
      </w:pPr>
      <w:rPr>
        <w:rFonts w:hint="default"/>
        <w:lang w:val="en-US" w:eastAsia="en-US" w:bidi="ar-SA"/>
      </w:rPr>
    </w:lvl>
    <w:lvl w:ilvl="7" w:tplc="5D3AD454">
      <w:numFmt w:val="bullet"/>
      <w:lvlText w:val="•"/>
      <w:lvlJc w:val="left"/>
      <w:pPr>
        <w:ind w:left="1585" w:hanging="183"/>
      </w:pPr>
      <w:rPr>
        <w:rFonts w:hint="default"/>
        <w:lang w:val="en-US" w:eastAsia="en-US" w:bidi="ar-SA"/>
      </w:rPr>
    </w:lvl>
    <w:lvl w:ilvl="8" w:tplc="3BB2689A">
      <w:numFmt w:val="bullet"/>
      <w:lvlText w:val="•"/>
      <w:lvlJc w:val="left"/>
      <w:pPr>
        <w:ind w:left="1772" w:hanging="183"/>
      </w:pPr>
      <w:rPr>
        <w:rFonts w:hint="default"/>
        <w:lang w:val="en-US" w:eastAsia="en-US" w:bidi="ar-SA"/>
      </w:rPr>
    </w:lvl>
  </w:abstractNum>
  <w:abstractNum w:abstractNumId="39" w15:restartNumberingAfterBreak="0">
    <w:nsid w:val="2C656AC3"/>
    <w:multiLevelType w:val="hybridMultilevel"/>
    <w:tmpl w:val="2D545A0A"/>
    <w:lvl w:ilvl="0" w:tplc="BC70C010">
      <w:start w:val="1"/>
      <w:numFmt w:val="lowerLetter"/>
      <w:lvlText w:val="%1)"/>
      <w:lvlJc w:val="left"/>
      <w:pPr>
        <w:ind w:left="1613" w:hanging="563"/>
        <w:jc w:val="left"/>
      </w:pPr>
      <w:rPr>
        <w:rFonts w:ascii="Times New Roman" w:eastAsia="Times New Roman" w:hAnsi="Times New Roman" w:cs="Times New Roman" w:hint="default"/>
        <w:b w:val="0"/>
        <w:bCs w:val="0"/>
        <w:i w:val="0"/>
        <w:iCs w:val="0"/>
        <w:color w:val="211F1F"/>
        <w:spacing w:val="0"/>
        <w:w w:val="100"/>
        <w:sz w:val="22"/>
        <w:szCs w:val="22"/>
        <w:lang w:val="en-US" w:eastAsia="en-US" w:bidi="ar-SA"/>
      </w:rPr>
    </w:lvl>
    <w:lvl w:ilvl="1" w:tplc="D74E481E">
      <w:start w:val="1"/>
      <w:numFmt w:val="lowerRoman"/>
      <w:lvlText w:val="%2)"/>
      <w:lvlJc w:val="left"/>
      <w:pPr>
        <w:ind w:left="2189" w:hanging="577"/>
        <w:jc w:val="left"/>
      </w:pPr>
      <w:rPr>
        <w:rFonts w:ascii="Times New Roman" w:eastAsia="Times New Roman" w:hAnsi="Times New Roman" w:cs="Times New Roman" w:hint="default"/>
        <w:b w:val="0"/>
        <w:bCs w:val="0"/>
        <w:i w:val="0"/>
        <w:iCs w:val="0"/>
        <w:color w:val="211F1F"/>
        <w:spacing w:val="-4"/>
        <w:w w:val="100"/>
        <w:sz w:val="22"/>
        <w:szCs w:val="22"/>
        <w:lang w:val="en-US" w:eastAsia="en-US" w:bidi="ar-SA"/>
      </w:rPr>
    </w:lvl>
    <w:lvl w:ilvl="2" w:tplc="3F065202">
      <w:numFmt w:val="bullet"/>
      <w:lvlText w:val="•"/>
      <w:lvlJc w:val="left"/>
      <w:pPr>
        <w:ind w:left="3222" w:hanging="577"/>
      </w:pPr>
      <w:rPr>
        <w:rFonts w:hint="default"/>
        <w:lang w:val="en-US" w:eastAsia="en-US" w:bidi="ar-SA"/>
      </w:rPr>
    </w:lvl>
    <w:lvl w:ilvl="3" w:tplc="94D42322">
      <w:numFmt w:val="bullet"/>
      <w:lvlText w:val="•"/>
      <w:lvlJc w:val="left"/>
      <w:pPr>
        <w:ind w:left="4264" w:hanging="577"/>
      </w:pPr>
      <w:rPr>
        <w:rFonts w:hint="default"/>
        <w:lang w:val="en-US" w:eastAsia="en-US" w:bidi="ar-SA"/>
      </w:rPr>
    </w:lvl>
    <w:lvl w:ilvl="4" w:tplc="32B841C4">
      <w:numFmt w:val="bullet"/>
      <w:lvlText w:val="•"/>
      <w:lvlJc w:val="left"/>
      <w:pPr>
        <w:ind w:left="5306" w:hanging="577"/>
      </w:pPr>
      <w:rPr>
        <w:rFonts w:hint="default"/>
        <w:lang w:val="en-US" w:eastAsia="en-US" w:bidi="ar-SA"/>
      </w:rPr>
    </w:lvl>
    <w:lvl w:ilvl="5" w:tplc="8C46FAB6">
      <w:numFmt w:val="bullet"/>
      <w:lvlText w:val="•"/>
      <w:lvlJc w:val="left"/>
      <w:pPr>
        <w:ind w:left="6348" w:hanging="577"/>
      </w:pPr>
      <w:rPr>
        <w:rFonts w:hint="default"/>
        <w:lang w:val="en-US" w:eastAsia="en-US" w:bidi="ar-SA"/>
      </w:rPr>
    </w:lvl>
    <w:lvl w:ilvl="6" w:tplc="A5A647F2">
      <w:numFmt w:val="bullet"/>
      <w:lvlText w:val="•"/>
      <w:lvlJc w:val="left"/>
      <w:pPr>
        <w:ind w:left="7390" w:hanging="577"/>
      </w:pPr>
      <w:rPr>
        <w:rFonts w:hint="default"/>
        <w:lang w:val="en-US" w:eastAsia="en-US" w:bidi="ar-SA"/>
      </w:rPr>
    </w:lvl>
    <w:lvl w:ilvl="7" w:tplc="8236B10E">
      <w:numFmt w:val="bullet"/>
      <w:lvlText w:val="•"/>
      <w:lvlJc w:val="left"/>
      <w:pPr>
        <w:ind w:left="8432" w:hanging="577"/>
      </w:pPr>
      <w:rPr>
        <w:rFonts w:hint="default"/>
        <w:lang w:val="en-US" w:eastAsia="en-US" w:bidi="ar-SA"/>
      </w:rPr>
    </w:lvl>
    <w:lvl w:ilvl="8" w:tplc="02BAFB02">
      <w:numFmt w:val="bullet"/>
      <w:lvlText w:val="•"/>
      <w:lvlJc w:val="left"/>
      <w:pPr>
        <w:ind w:left="9474" w:hanging="577"/>
      </w:pPr>
      <w:rPr>
        <w:rFonts w:hint="default"/>
        <w:lang w:val="en-US" w:eastAsia="en-US" w:bidi="ar-SA"/>
      </w:rPr>
    </w:lvl>
  </w:abstractNum>
  <w:abstractNum w:abstractNumId="40" w15:restartNumberingAfterBreak="0">
    <w:nsid w:val="2DFA033F"/>
    <w:multiLevelType w:val="hybridMultilevel"/>
    <w:tmpl w:val="80E07D28"/>
    <w:lvl w:ilvl="0" w:tplc="0C00A7AA">
      <w:start w:val="1"/>
      <w:numFmt w:val="lowerLetter"/>
      <w:lvlText w:val="%1)"/>
      <w:lvlJc w:val="left"/>
      <w:pPr>
        <w:ind w:left="1464" w:hanging="409"/>
        <w:jc w:val="left"/>
      </w:pPr>
      <w:rPr>
        <w:rFonts w:ascii="Times New Roman" w:eastAsia="Times New Roman" w:hAnsi="Times New Roman" w:cs="Times New Roman" w:hint="default"/>
        <w:b w:val="0"/>
        <w:bCs w:val="0"/>
        <w:i w:val="0"/>
        <w:iCs w:val="0"/>
        <w:color w:val="211F1F"/>
        <w:spacing w:val="0"/>
        <w:w w:val="100"/>
        <w:sz w:val="22"/>
        <w:szCs w:val="22"/>
        <w:lang w:val="en-US" w:eastAsia="en-US" w:bidi="ar-SA"/>
      </w:rPr>
    </w:lvl>
    <w:lvl w:ilvl="1" w:tplc="B08A2F66">
      <w:start w:val="1"/>
      <w:numFmt w:val="lowerRoman"/>
      <w:lvlText w:val="%2)"/>
      <w:lvlJc w:val="left"/>
      <w:pPr>
        <w:ind w:left="1916" w:hanging="457"/>
        <w:jc w:val="left"/>
      </w:pPr>
      <w:rPr>
        <w:rFonts w:ascii="Times New Roman" w:eastAsia="Times New Roman" w:hAnsi="Times New Roman" w:cs="Times New Roman" w:hint="default"/>
        <w:b w:val="0"/>
        <w:bCs w:val="0"/>
        <w:i w:val="0"/>
        <w:iCs w:val="0"/>
        <w:color w:val="211F1F"/>
        <w:spacing w:val="-4"/>
        <w:w w:val="100"/>
        <w:sz w:val="22"/>
        <w:szCs w:val="22"/>
        <w:lang w:val="en-US" w:eastAsia="en-US" w:bidi="ar-SA"/>
      </w:rPr>
    </w:lvl>
    <w:lvl w:ilvl="2" w:tplc="B4663F74">
      <w:numFmt w:val="bullet"/>
      <w:lvlText w:val="•"/>
      <w:lvlJc w:val="left"/>
      <w:pPr>
        <w:ind w:left="1940" w:hanging="457"/>
      </w:pPr>
      <w:rPr>
        <w:rFonts w:hint="default"/>
        <w:lang w:val="en-US" w:eastAsia="en-US" w:bidi="ar-SA"/>
      </w:rPr>
    </w:lvl>
    <w:lvl w:ilvl="3" w:tplc="D17892DE">
      <w:numFmt w:val="bullet"/>
      <w:lvlText w:val="•"/>
      <w:lvlJc w:val="left"/>
      <w:pPr>
        <w:ind w:left="3142" w:hanging="457"/>
      </w:pPr>
      <w:rPr>
        <w:rFonts w:hint="default"/>
        <w:lang w:val="en-US" w:eastAsia="en-US" w:bidi="ar-SA"/>
      </w:rPr>
    </w:lvl>
    <w:lvl w:ilvl="4" w:tplc="FCBC7D58">
      <w:numFmt w:val="bullet"/>
      <w:lvlText w:val="•"/>
      <w:lvlJc w:val="left"/>
      <w:pPr>
        <w:ind w:left="4344" w:hanging="457"/>
      </w:pPr>
      <w:rPr>
        <w:rFonts w:hint="default"/>
        <w:lang w:val="en-US" w:eastAsia="en-US" w:bidi="ar-SA"/>
      </w:rPr>
    </w:lvl>
    <w:lvl w:ilvl="5" w:tplc="03B69E28">
      <w:numFmt w:val="bullet"/>
      <w:lvlText w:val="•"/>
      <w:lvlJc w:val="left"/>
      <w:pPr>
        <w:ind w:left="5546" w:hanging="457"/>
      </w:pPr>
      <w:rPr>
        <w:rFonts w:hint="default"/>
        <w:lang w:val="en-US" w:eastAsia="en-US" w:bidi="ar-SA"/>
      </w:rPr>
    </w:lvl>
    <w:lvl w:ilvl="6" w:tplc="02FE134E">
      <w:numFmt w:val="bullet"/>
      <w:lvlText w:val="•"/>
      <w:lvlJc w:val="left"/>
      <w:pPr>
        <w:ind w:left="6749" w:hanging="457"/>
      </w:pPr>
      <w:rPr>
        <w:rFonts w:hint="default"/>
        <w:lang w:val="en-US" w:eastAsia="en-US" w:bidi="ar-SA"/>
      </w:rPr>
    </w:lvl>
    <w:lvl w:ilvl="7" w:tplc="14E4D83C">
      <w:numFmt w:val="bullet"/>
      <w:lvlText w:val="•"/>
      <w:lvlJc w:val="left"/>
      <w:pPr>
        <w:ind w:left="7951" w:hanging="457"/>
      </w:pPr>
      <w:rPr>
        <w:rFonts w:hint="default"/>
        <w:lang w:val="en-US" w:eastAsia="en-US" w:bidi="ar-SA"/>
      </w:rPr>
    </w:lvl>
    <w:lvl w:ilvl="8" w:tplc="F2E4A84A">
      <w:numFmt w:val="bullet"/>
      <w:lvlText w:val="•"/>
      <w:lvlJc w:val="left"/>
      <w:pPr>
        <w:ind w:left="9153" w:hanging="457"/>
      </w:pPr>
      <w:rPr>
        <w:rFonts w:hint="default"/>
        <w:lang w:val="en-US" w:eastAsia="en-US" w:bidi="ar-SA"/>
      </w:rPr>
    </w:lvl>
  </w:abstractNum>
  <w:abstractNum w:abstractNumId="41" w15:restartNumberingAfterBreak="0">
    <w:nsid w:val="3174752D"/>
    <w:multiLevelType w:val="multilevel"/>
    <w:tmpl w:val="CAFA5F20"/>
    <w:lvl w:ilvl="0">
      <w:start w:val="23"/>
      <w:numFmt w:val="decimal"/>
      <w:lvlText w:val="%1"/>
      <w:lvlJc w:val="left"/>
      <w:pPr>
        <w:ind w:left="720" w:hanging="721"/>
        <w:jc w:val="left"/>
      </w:pPr>
      <w:rPr>
        <w:rFonts w:hint="default"/>
        <w:lang w:val="en-US" w:eastAsia="en-US" w:bidi="ar-SA"/>
      </w:rPr>
    </w:lvl>
    <w:lvl w:ilvl="1">
      <w:numFmt w:val="decimal"/>
      <w:lvlText w:val="%1.%2"/>
      <w:lvlJc w:val="left"/>
      <w:pPr>
        <w:ind w:left="720" w:hanging="721"/>
        <w:jc w:val="right"/>
      </w:pPr>
      <w:rPr>
        <w:rFonts w:hint="default"/>
        <w:spacing w:val="0"/>
        <w:w w:val="100"/>
        <w:lang w:val="en-US" w:eastAsia="en-US" w:bidi="ar-SA"/>
      </w:rPr>
    </w:lvl>
    <w:lvl w:ilvl="2">
      <w:start w:val="1"/>
      <w:numFmt w:val="lowerRoman"/>
      <w:lvlText w:val="%3."/>
      <w:lvlJc w:val="left"/>
      <w:pPr>
        <w:ind w:left="2161" w:hanging="308"/>
        <w:jc w:val="right"/>
      </w:pPr>
      <w:rPr>
        <w:rFonts w:ascii="Times New Roman" w:eastAsia="Times New Roman" w:hAnsi="Times New Roman" w:cs="Times New Roman" w:hint="default"/>
        <w:b w:val="0"/>
        <w:bCs w:val="0"/>
        <w:i w:val="0"/>
        <w:iCs w:val="0"/>
        <w:spacing w:val="-10"/>
        <w:w w:val="100"/>
        <w:sz w:val="24"/>
        <w:szCs w:val="24"/>
        <w:lang w:val="en-US" w:eastAsia="en-US" w:bidi="ar-SA"/>
      </w:rPr>
    </w:lvl>
    <w:lvl w:ilvl="3">
      <w:start w:val="1"/>
      <w:numFmt w:val="lowerLetter"/>
      <w:lvlText w:val="%4)"/>
      <w:lvlJc w:val="left"/>
      <w:pPr>
        <w:ind w:left="2881"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4">
      <w:numFmt w:val="bullet"/>
      <w:lvlText w:val="•"/>
      <w:lvlJc w:val="left"/>
      <w:pPr>
        <w:ind w:left="4602" w:hanging="360"/>
      </w:pPr>
      <w:rPr>
        <w:rFonts w:hint="default"/>
        <w:lang w:val="en-US" w:eastAsia="en-US" w:bidi="ar-SA"/>
      </w:rPr>
    </w:lvl>
    <w:lvl w:ilvl="5">
      <w:numFmt w:val="bullet"/>
      <w:lvlText w:val="•"/>
      <w:lvlJc w:val="left"/>
      <w:pPr>
        <w:ind w:left="5463" w:hanging="360"/>
      </w:pPr>
      <w:rPr>
        <w:rFonts w:hint="default"/>
        <w:lang w:val="en-US" w:eastAsia="en-US" w:bidi="ar-SA"/>
      </w:rPr>
    </w:lvl>
    <w:lvl w:ilvl="6">
      <w:numFmt w:val="bullet"/>
      <w:lvlText w:val="•"/>
      <w:lvlJc w:val="left"/>
      <w:pPr>
        <w:ind w:left="6324" w:hanging="360"/>
      </w:pPr>
      <w:rPr>
        <w:rFonts w:hint="default"/>
        <w:lang w:val="en-US" w:eastAsia="en-US" w:bidi="ar-SA"/>
      </w:rPr>
    </w:lvl>
    <w:lvl w:ilvl="7">
      <w:numFmt w:val="bullet"/>
      <w:lvlText w:val="•"/>
      <w:lvlJc w:val="left"/>
      <w:pPr>
        <w:ind w:left="7185" w:hanging="360"/>
      </w:pPr>
      <w:rPr>
        <w:rFonts w:hint="default"/>
        <w:lang w:val="en-US" w:eastAsia="en-US" w:bidi="ar-SA"/>
      </w:rPr>
    </w:lvl>
    <w:lvl w:ilvl="8">
      <w:numFmt w:val="bullet"/>
      <w:lvlText w:val="•"/>
      <w:lvlJc w:val="left"/>
      <w:pPr>
        <w:ind w:left="8046" w:hanging="360"/>
      </w:pPr>
      <w:rPr>
        <w:rFonts w:hint="default"/>
        <w:lang w:val="en-US" w:eastAsia="en-US" w:bidi="ar-SA"/>
      </w:rPr>
    </w:lvl>
  </w:abstractNum>
  <w:abstractNum w:abstractNumId="42" w15:restartNumberingAfterBreak="0">
    <w:nsid w:val="33563918"/>
    <w:multiLevelType w:val="hybridMultilevel"/>
    <w:tmpl w:val="0AE0AE72"/>
    <w:lvl w:ilvl="0" w:tplc="FCC494A6">
      <w:numFmt w:val="bullet"/>
      <w:lvlText w:val=""/>
      <w:lvlJc w:val="left"/>
      <w:pPr>
        <w:ind w:left="188" w:hanging="181"/>
      </w:pPr>
      <w:rPr>
        <w:rFonts w:ascii="Wingdings" w:eastAsia="Wingdings" w:hAnsi="Wingdings" w:cs="Wingdings" w:hint="default"/>
        <w:b w:val="0"/>
        <w:bCs w:val="0"/>
        <w:i w:val="0"/>
        <w:iCs w:val="0"/>
        <w:spacing w:val="0"/>
        <w:w w:val="100"/>
        <w:sz w:val="18"/>
        <w:szCs w:val="18"/>
        <w:lang w:val="en-US" w:eastAsia="en-US" w:bidi="ar-SA"/>
      </w:rPr>
    </w:lvl>
    <w:lvl w:ilvl="1" w:tplc="2E1A024C">
      <w:numFmt w:val="bullet"/>
      <w:lvlText w:val="•"/>
      <w:lvlJc w:val="left"/>
      <w:pPr>
        <w:ind w:left="314" w:hanging="181"/>
      </w:pPr>
      <w:rPr>
        <w:rFonts w:hint="default"/>
        <w:lang w:val="en-US" w:eastAsia="en-US" w:bidi="ar-SA"/>
      </w:rPr>
    </w:lvl>
    <w:lvl w:ilvl="2" w:tplc="9AECF328">
      <w:numFmt w:val="bullet"/>
      <w:lvlText w:val="•"/>
      <w:lvlJc w:val="left"/>
      <w:pPr>
        <w:ind w:left="449" w:hanging="181"/>
      </w:pPr>
      <w:rPr>
        <w:rFonts w:hint="default"/>
        <w:lang w:val="en-US" w:eastAsia="en-US" w:bidi="ar-SA"/>
      </w:rPr>
    </w:lvl>
    <w:lvl w:ilvl="3" w:tplc="EB5844F6">
      <w:numFmt w:val="bullet"/>
      <w:lvlText w:val="•"/>
      <w:lvlJc w:val="left"/>
      <w:pPr>
        <w:ind w:left="583" w:hanging="181"/>
      </w:pPr>
      <w:rPr>
        <w:rFonts w:hint="default"/>
        <w:lang w:val="en-US" w:eastAsia="en-US" w:bidi="ar-SA"/>
      </w:rPr>
    </w:lvl>
    <w:lvl w:ilvl="4" w:tplc="1C2646EA">
      <w:numFmt w:val="bullet"/>
      <w:lvlText w:val="•"/>
      <w:lvlJc w:val="left"/>
      <w:pPr>
        <w:ind w:left="718" w:hanging="181"/>
      </w:pPr>
      <w:rPr>
        <w:rFonts w:hint="default"/>
        <w:lang w:val="en-US" w:eastAsia="en-US" w:bidi="ar-SA"/>
      </w:rPr>
    </w:lvl>
    <w:lvl w:ilvl="5" w:tplc="D3F4E262">
      <w:numFmt w:val="bullet"/>
      <w:lvlText w:val="•"/>
      <w:lvlJc w:val="left"/>
      <w:pPr>
        <w:ind w:left="853" w:hanging="181"/>
      </w:pPr>
      <w:rPr>
        <w:rFonts w:hint="default"/>
        <w:lang w:val="en-US" w:eastAsia="en-US" w:bidi="ar-SA"/>
      </w:rPr>
    </w:lvl>
    <w:lvl w:ilvl="6" w:tplc="737E4088">
      <w:numFmt w:val="bullet"/>
      <w:lvlText w:val="•"/>
      <w:lvlJc w:val="left"/>
      <w:pPr>
        <w:ind w:left="987" w:hanging="181"/>
      </w:pPr>
      <w:rPr>
        <w:rFonts w:hint="default"/>
        <w:lang w:val="en-US" w:eastAsia="en-US" w:bidi="ar-SA"/>
      </w:rPr>
    </w:lvl>
    <w:lvl w:ilvl="7" w:tplc="1F9890DA">
      <w:numFmt w:val="bullet"/>
      <w:lvlText w:val="•"/>
      <w:lvlJc w:val="left"/>
      <w:pPr>
        <w:ind w:left="1122" w:hanging="181"/>
      </w:pPr>
      <w:rPr>
        <w:rFonts w:hint="default"/>
        <w:lang w:val="en-US" w:eastAsia="en-US" w:bidi="ar-SA"/>
      </w:rPr>
    </w:lvl>
    <w:lvl w:ilvl="8" w:tplc="6480EA8E">
      <w:numFmt w:val="bullet"/>
      <w:lvlText w:val="•"/>
      <w:lvlJc w:val="left"/>
      <w:pPr>
        <w:ind w:left="1256" w:hanging="181"/>
      </w:pPr>
      <w:rPr>
        <w:rFonts w:hint="default"/>
        <w:lang w:val="en-US" w:eastAsia="en-US" w:bidi="ar-SA"/>
      </w:rPr>
    </w:lvl>
  </w:abstractNum>
  <w:abstractNum w:abstractNumId="43" w15:restartNumberingAfterBreak="0">
    <w:nsid w:val="33AB7408"/>
    <w:multiLevelType w:val="hybridMultilevel"/>
    <w:tmpl w:val="510C99EE"/>
    <w:lvl w:ilvl="0" w:tplc="B71C39CA">
      <w:start w:val="1"/>
      <w:numFmt w:val="lowerLetter"/>
      <w:lvlText w:val="%1)"/>
      <w:lvlJc w:val="left"/>
      <w:pPr>
        <w:ind w:left="1460" w:hanging="409"/>
        <w:jc w:val="left"/>
      </w:pPr>
      <w:rPr>
        <w:rFonts w:ascii="Times New Roman" w:eastAsia="Times New Roman" w:hAnsi="Times New Roman" w:cs="Times New Roman" w:hint="default"/>
        <w:b w:val="0"/>
        <w:bCs w:val="0"/>
        <w:i w:val="0"/>
        <w:iCs w:val="0"/>
        <w:color w:val="211F1F"/>
        <w:spacing w:val="0"/>
        <w:w w:val="100"/>
        <w:sz w:val="22"/>
        <w:szCs w:val="22"/>
        <w:lang w:val="en-US" w:eastAsia="en-US" w:bidi="ar-SA"/>
      </w:rPr>
    </w:lvl>
    <w:lvl w:ilvl="1" w:tplc="657CC8BC">
      <w:start w:val="1"/>
      <w:numFmt w:val="lowerRoman"/>
      <w:lvlText w:val="%2)"/>
      <w:lvlJc w:val="left"/>
      <w:pPr>
        <w:ind w:left="1897" w:hanging="437"/>
        <w:jc w:val="left"/>
      </w:pPr>
      <w:rPr>
        <w:rFonts w:ascii="Times New Roman" w:eastAsia="Times New Roman" w:hAnsi="Times New Roman" w:cs="Times New Roman" w:hint="default"/>
        <w:b w:val="0"/>
        <w:bCs w:val="0"/>
        <w:i w:val="0"/>
        <w:iCs w:val="0"/>
        <w:color w:val="211F1F"/>
        <w:spacing w:val="-4"/>
        <w:w w:val="100"/>
        <w:sz w:val="22"/>
        <w:szCs w:val="22"/>
        <w:lang w:val="en-US" w:eastAsia="en-US" w:bidi="ar-SA"/>
      </w:rPr>
    </w:lvl>
    <w:lvl w:ilvl="2" w:tplc="861EA7DC">
      <w:numFmt w:val="bullet"/>
      <w:lvlText w:val="•"/>
      <w:lvlJc w:val="left"/>
      <w:pPr>
        <w:ind w:left="2973" w:hanging="437"/>
      </w:pPr>
      <w:rPr>
        <w:rFonts w:hint="default"/>
        <w:lang w:val="en-US" w:eastAsia="en-US" w:bidi="ar-SA"/>
      </w:rPr>
    </w:lvl>
    <w:lvl w:ilvl="3" w:tplc="1876EAAE">
      <w:numFmt w:val="bullet"/>
      <w:lvlText w:val="•"/>
      <w:lvlJc w:val="left"/>
      <w:pPr>
        <w:ind w:left="4046" w:hanging="437"/>
      </w:pPr>
      <w:rPr>
        <w:rFonts w:hint="default"/>
        <w:lang w:val="en-US" w:eastAsia="en-US" w:bidi="ar-SA"/>
      </w:rPr>
    </w:lvl>
    <w:lvl w:ilvl="4" w:tplc="A41EC6C8">
      <w:numFmt w:val="bullet"/>
      <w:lvlText w:val="•"/>
      <w:lvlJc w:val="left"/>
      <w:pPr>
        <w:ind w:left="5119" w:hanging="437"/>
      </w:pPr>
      <w:rPr>
        <w:rFonts w:hint="default"/>
        <w:lang w:val="en-US" w:eastAsia="en-US" w:bidi="ar-SA"/>
      </w:rPr>
    </w:lvl>
    <w:lvl w:ilvl="5" w:tplc="915E69A4">
      <w:numFmt w:val="bullet"/>
      <w:lvlText w:val="•"/>
      <w:lvlJc w:val="left"/>
      <w:pPr>
        <w:ind w:left="6192" w:hanging="437"/>
      </w:pPr>
      <w:rPr>
        <w:rFonts w:hint="default"/>
        <w:lang w:val="en-US" w:eastAsia="en-US" w:bidi="ar-SA"/>
      </w:rPr>
    </w:lvl>
    <w:lvl w:ilvl="6" w:tplc="154EA064">
      <w:numFmt w:val="bullet"/>
      <w:lvlText w:val="•"/>
      <w:lvlJc w:val="left"/>
      <w:pPr>
        <w:ind w:left="7265" w:hanging="437"/>
      </w:pPr>
      <w:rPr>
        <w:rFonts w:hint="default"/>
        <w:lang w:val="en-US" w:eastAsia="en-US" w:bidi="ar-SA"/>
      </w:rPr>
    </w:lvl>
    <w:lvl w:ilvl="7" w:tplc="A73E952C">
      <w:numFmt w:val="bullet"/>
      <w:lvlText w:val="•"/>
      <w:lvlJc w:val="left"/>
      <w:pPr>
        <w:ind w:left="8338" w:hanging="437"/>
      </w:pPr>
      <w:rPr>
        <w:rFonts w:hint="default"/>
        <w:lang w:val="en-US" w:eastAsia="en-US" w:bidi="ar-SA"/>
      </w:rPr>
    </w:lvl>
    <w:lvl w:ilvl="8" w:tplc="389AEFB4">
      <w:numFmt w:val="bullet"/>
      <w:lvlText w:val="•"/>
      <w:lvlJc w:val="left"/>
      <w:pPr>
        <w:ind w:left="9412" w:hanging="437"/>
      </w:pPr>
      <w:rPr>
        <w:rFonts w:hint="default"/>
        <w:lang w:val="en-US" w:eastAsia="en-US" w:bidi="ar-SA"/>
      </w:rPr>
    </w:lvl>
  </w:abstractNum>
  <w:abstractNum w:abstractNumId="44" w15:restartNumberingAfterBreak="0">
    <w:nsid w:val="3438180F"/>
    <w:multiLevelType w:val="multilevel"/>
    <w:tmpl w:val="C162706E"/>
    <w:lvl w:ilvl="0">
      <w:start w:val="30"/>
      <w:numFmt w:val="decimal"/>
      <w:lvlText w:val="%1"/>
      <w:lvlJc w:val="left"/>
      <w:pPr>
        <w:ind w:left="720" w:hanging="721"/>
        <w:jc w:val="left"/>
      </w:pPr>
      <w:rPr>
        <w:rFonts w:hint="default"/>
        <w:lang w:val="en-US" w:eastAsia="en-US" w:bidi="ar-SA"/>
      </w:rPr>
    </w:lvl>
    <w:lvl w:ilvl="1">
      <w:numFmt w:val="decimal"/>
      <w:lvlText w:val="%1.%2"/>
      <w:lvlJc w:val="left"/>
      <w:pPr>
        <w:ind w:left="720" w:hanging="721"/>
        <w:jc w:val="right"/>
      </w:pPr>
      <w:rPr>
        <w:rFonts w:hint="default"/>
        <w:spacing w:val="0"/>
        <w:w w:val="100"/>
        <w:lang w:val="en-US" w:eastAsia="en-US" w:bidi="ar-SA"/>
      </w:rPr>
    </w:lvl>
    <w:lvl w:ilvl="2">
      <w:start w:val="1"/>
      <w:numFmt w:val="lowerRoman"/>
      <w:lvlText w:val="%3."/>
      <w:lvlJc w:val="left"/>
      <w:pPr>
        <w:ind w:left="2161" w:hanging="308"/>
        <w:jc w:val="right"/>
      </w:pPr>
      <w:rPr>
        <w:rFonts w:ascii="Times New Roman" w:eastAsia="Times New Roman" w:hAnsi="Times New Roman" w:cs="Times New Roman" w:hint="default"/>
        <w:b w:val="0"/>
        <w:bCs w:val="0"/>
        <w:i w:val="0"/>
        <w:iCs w:val="0"/>
        <w:spacing w:val="-10"/>
        <w:w w:val="100"/>
        <w:sz w:val="24"/>
        <w:szCs w:val="24"/>
        <w:lang w:val="en-US" w:eastAsia="en-US" w:bidi="ar-SA"/>
      </w:rPr>
    </w:lvl>
    <w:lvl w:ilvl="3">
      <w:numFmt w:val="bullet"/>
      <w:lvlText w:val="•"/>
      <w:lvlJc w:val="left"/>
      <w:pPr>
        <w:ind w:left="3850" w:hanging="308"/>
      </w:pPr>
      <w:rPr>
        <w:rFonts w:hint="default"/>
        <w:lang w:val="en-US" w:eastAsia="en-US" w:bidi="ar-SA"/>
      </w:rPr>
    </w:lvl>
    <w:lvl w:ilvl="4">
      <w:numFmt w:val="bullet"/>
      <w:lvlText w:val="•"/>
      <w:lvlJc w:val="left"/>
      <w:pPr>
        <w:ind w:left="4696" w:hanging="308"/>
      </w:pPr>
      <w:rPr>
        <w:rFonts w:hint="default"/>
        <w:lang w:val="en-US" w:eastAsia="en-US" w:bidi="ar-SA"/>
      </w:rPr>
    </w:lvl>
    <w:lvl w:ilvl="5">
      <w:numFmt w:val="bullet"/>
      <w:lvlText w:val="•"/>
      <w:lvlJc w:val="left"/>
      <w:pPr>
        <w:ind w:left="5541" w:hanging="308"/>
      </w:pPr>
      <w:rPr>
        <w:rFonts w:hint="default"/>
        <w:lang w:val="en-US" w:eastAsia="en-US" w:bidi="ar-SA"/>
      </w:rPr>
    </w:lvl>
    <w:lvl w:ilvl="6">
      <w:numFmt w:val="bullet"/>
      <w:lvlText w:val="•"/>
      <w:lvlJc w:val="left"/>
      <w:pPr>
        <w:ind w:left="6386" w:hanging="308"/>
      </w:pPr>
      <w:rPr>
        <w:rFonts w:hint="default"/>
        <w:lang w:val="en-US" w:eastAsia="en-US" w:bidi="ar-SA"/>
      </w:rPr>
    </w:lvl>
    <w:lvl w:ilvl="7">
      <w:numFmt w:val="bullet"/>
      <w:lvlText w:val="•"/>
      <w:lvlJc w:val="left"/>
      <w:pPr>
        <w:ind w:left="7232" w:hanging="308"/>
      </w:pPr>
      <w:rPr>
        <w:rFonts w:hint="default"/>
        <w:lang w:val="en-US" w:eastAsia="en-US" w:bidi="ar-SA"/>
      </w:rPr>
    </w:lvl>
    <w:lvl w:ilvl="8">
      <w:numFmt w:val="bullet"/>
      <w:lvlText w:val="•"/>
      <w:lvlJc w:val="left"/>
      <w:pPr>
        <w:ind w:left="8077" w:hanging="308"/>
      </w:pPr>
      <w:rPr>
        <w:rFonts w:hint="default"/>
        <w:lang w:val="en-US" w:eastAsia="en-US" w:bidi="ar-SA"/>
      </w:rPr>
    </w:lvl>
  </w:abstractNum>
  <w:abstractNum w:abstractNumId="45" w15:restartNumberingAfterBreak="0">
    <w:nsid w:val="34962EC8"/>
    <w:multiLevelType w:val="hybridMultilevel"/>
    <w:tmpl w:val="B1B62682"/>
    <w:lvl w:ilvl="0" w:tplc="D40C6434">
      <w:numFmt w:val="bullet"/>
      <w:lvlText w:val=""/>
      <w:lvlJc w:val="left"/>
      <w:pPr>
        <w:ind w:left="189" w:hanging="181"/>
      </w:pPr>
      <w:rPr>
        <w:rFonts w:ascii="Wingdings" w:eastAsia="Wingdings" w:hAnsi="Wingdings" w:cs="Wingdings" w:hint="default"/>
        <w:b w:val="0"/>
        <w:bCs w:val="0"/>
        <w:i w:val="0"/>
        <w:iCs w:val="0"/>
        <w:spacing w:val="0"/>
        <w:w w:val="100"/>
        <w:sz w:val="18"/>
        <w:szCs w:val="18"/>
        <w:lang w:val="en-US" w:eastAsia="en-US" w:bidi="ar-SA"/>
      </w:rPr>
    </w:lvl>
    <w:lvl w:ilvl="1" w:tplc="80048D18">
      <w:numFmt w:val="bullet"/>
      <w:lvlText w:val="•"/>
      <w:lvlJc w:val="left"/>
      <w:pPr>
        <w:ind w:left="355" w:hanging="181"/>
      </w:pPr>
      <w:rPr>
        <w:rFonts w:hint="default"/>
        <w:lang w:val="en-US" w:eastAsia="en-US" w:bidi="ar-SA"/>
      </w:rPr>
    </w:lvl>
    <w:lvl w:ilvl="2" w:tplc="3B64E770">
      <w:numFmt w:val="bullet"/>
      <w:lvlText w:val="•"/>
      <w:lvlJc w:val="left"/>
      <w:pPr>
        <w:ind w:left="531" w:hanging="181"/>
      </w:pPr>
      <w:rPr>
        <w:rFonts w:hint="default"/>
        <w:lang w:val="en-US" w:eastAsia="en-US" w:bidi="ar-SA"/>
      </w:rPr>
    </w:lvl>
    <w:lvl w:ilvl="3" w:tplc="35F45E76">
      <w:numFmt w:val="bullet"/>
      <w:lvlText w:val="•"/>
      <w:lvlJc w:val="left"/>
      <w:pPr>
        <w:ind w:left="707" w:hanging="181"/>
      </w:pPr>
      <w:rPr>
        <w:rFonts w:hint="default"/>
        <w:lang w:val="en-US" w:eastAsia="en-US" w:bidi="ar-SA"/>
      </w:rPr>
    </w:lvl>
    <w:lvl w:ilvl="4" w:tplc="529EF69C">
      <w:numFmt w:val="bullet"/>
      <w:lvlText w:val="•"/>
      <w:lvlJc w:val="left"/>
      <w:pPr>
        <w:ind w:left="883" w:hanging="181"/>
      </w:pPr>
      <w:rPr>
        <w:rFonts w:hint="default"/>
        <w:lang w:val="en-US" w:eastAsia="en-US" w:bidi="ar-SA"/>
      </w:rPr>
    </w:lvl>
    <w:lvl w:ilvl="5" w:tplc="40BCB8A2">
      <w:numFmt w:val="bullet"/>
      <w:lvlText w:val="•"/>
      <w:lvlJc w:val="left"/>
      <w:pPr>
        <w:ind w:left="1059" w:hanging="181"/>
      </w:pPr>
      <w:rPr>
        <w:rFonts w:hint="default"/>
        <w:lang w:val="en-US" w:eastAsia="en-US" w:bidi="ar-SA"/>
      </w:rPr>
    </w:lvl>
    <w:lvl w:ilvl="6" w:tplc="AC0855E0">
      <w:numFmt w:val="bullet"/>
      <w:lvlText w:val="•"/>
      <w:lvlJc w:val="left"/>
      <w:pPr>
        <w:ind w:left="1235" w:hanging="181"/>
      </w:pPr>
      <w:rPr>
        <w:rFonts w:hint="default"/>
        <w:lang w:val="en-US" w:eastAsia="en-US" w:bidi="ar-SA"/>
      </w:rPr>
    </w:lvl>
    <w:lvl w:ilvl="7" w:tplc="E264C79A">
      <w:numFmt w:val="bullet"/>
      <w:lvlText w:val="•"/>
      <w:lvlJc w:val="left"/>
      <w:pPr>
        <w:ind w:left="1411" w:hanging="181"/>
      </w:pPr>
      <w:rPr>
        <w:rFonts w:hint="default"/>
        <w:lang w:val="en-US" w:eastAsia="en-US" w:bidi="ar-SA"/>
      </w:rPr>
    </w:lvl>
    <w:lvl w:ilvl="8" w:tplc="0180F206">
      <w:numFmt w:val="bullet"/>
      <w:lvlText w:val="•"/>
      <w:lvlJc w:val="left"/>
      <w:pPr>
        <w:ind w:left="1587" w:hanging="181"/>
      </w:pPr>
      <w:rPr>
        <w:rFonts w:hint="default"/>
        <w:lang w:val="en-US" w:eastAsia="en-US" w:bidi="ar-SA"/>
      </w:rPr>
    </w:lvl>
  </w:abstractNum>
  <w:abstractNum w:abstractNumId="46" w15:restartNumberingAfterBreak="0">
    <w:nsid w:val="36465FAD"/>
    <w:multiLevelType w:val="multilevel"/>
    <w:tmpl w:val="CCD49262"/>
    <w:lvl w:ilvl="0">
      <w:start w:val="25"/>
      <w:numFmt w:val="decimal"/>
      <w:lvlText w:val="%1"/>
      <w:lvlJc w:val="left"/>
      <w:pPr>
        <w:ind w:left="720" w:hanging="721"/>
        <w:jc w:val="left"/>
      </w:pPr>
      <w:rPr>
        <w:rFonts w:hint="default"/>
        <w:lang w:val="en-US" w:eastAsia="en-US" w:bidi="ar-SA"/>
      </w:rPr>
    </w:lvl>
    <w:lvl w:ilvl="1">
      <w:numFmt w:val="decimal"/>
      <w:lvlText w:val="%1.%2"/>
      <w:lvlJc w:val="left"/>
      <w:pPr>
        <w:ind w:left="720" w:hanging="721"/>
        <w:jc w:val="right"/>
      </w:pPr>
      <w:rPr>
        <w:rFonts w:hint="default"/>
        <w:spacing w:val="0"/>
        <w:w w:val="100"/>
        <w:lang w:val="en-US" w:eastAsia="en-US" w:bidi="ar-SA"/>
      </w:rPr>
    </w:lvl>
    <w:lvl w:ilvl="2">
      <w:numFmt w:val="bullet"/>
      <w:lvlText w:val="•"/>
      <w:lvlJc w:val="left"/>
      <w:pPr>
        <w:ind w:left="2529" w:hanging="721"/>
      </w:pPr>
      <w:rPr>
        <w:rFonts w:hint="default"/>
        <w:lang w:val="en-US" w:eastAsia="en-US" w:bidi="ar-SA"/>
      </w:rPr>
    </w:lvl>
    <w:lvl w:ilvl="3">
      <w:numFmt w:val="bullet"/>
      <w:lvlText w:val="•"/>
      <w:lvlJc w:val="left"/>
      <w:pPr>
        <w:ind w:left="3434" w:hanging="721"/>
      </w:pPr>
      <w:rPr>
        <w:rFonts w:hint="default"/>
        <w:lang w:val="en-US" w:eastAsia="en-US" w:bidi="ar-SA"/>
      </w:rPr>
    </w:lvl>
    <w:lvl w:ilvl="4">
      <w:numFmt w:val="bullet"/>
      <w:lvlText w:val="•"/>
      <w:lvlJc w:val="left"/>
      <w:pPr>
        <w:ind w:left="4339" w:hanging="721"/>
      </w:pPr>
      <w:rPr>
        <w:rFonts w:hint="default"/>
        <w:lang w:val="en-US" w:eastAsia="en-US" w:bidi="ar-SA"/>
      </w:rPr>
    </w:lvl>
    <w:lvl w:ilvl="5">
      <w:numFmt w:val="bullet"/>
      <w:lvlText w:val="•"/>
      <w:lvlJc w:val="left"/>
      <w:pPr>
        <w:ind w:left="5244" w:hanging="721"/>
      </w:pPr>
      <w:rPr>
        <w:rFonts w:hint="default"/>
        <w:lang w:val="en-US" w:eastAsia="en-US" w:bidi="ar-SA"/>
      </w:rPr>
    </w:lvl>
    <w:lvl w:ilvl="6">
      <w:numFmt w:val="bullet"/>
      <w:lvlText w:val="•"/>
      <w:lvlJc w:val="left"/>
      <w:pPr>
        <w:ind w:left="6148" w:hanging="721"/>
      </w:pPr>
      <w:rPr>
        <w:rFonts w:hint="default"/>
        <w:lang w:val="en-US" w:eastAsia="en-US" w:bidi="ar-SA"/>
      </w:rPr>
    </w:lvl>
    <w:lvl w:ilvl="7">
      <w:numFmt w:val="bullet"/>
      <w:lvlText w:val="•"/>
      <w:lvlJc w:val="left"/>
      <w:pPr>
        <w:ind w:left="7053" w:hanging="721"/>
      </w:pPr>
      <w:rPr>
        <w:rFonts w:hint="default"/>
        <w:lang w:val="en-US" w:eastAsia="en-US" w:bidi="ar-SA"/>
      </w:rPr>
    </w:lvl>
    <w:lvl w:ilvl="8">
      <w:numFmt w:val="bullet"/>
      <w:lvlText w:val="•"/>
      <w:lvlJc w:val="left"/>
      <w:pPr>
        <w:ind w:left="7958" w:hanging="721"/>
      </w:pPr>
      <w:rPr>
        <w:rFonts w:hint="default"/>
        <w:lang w:val="en-US" w:eastAsia="en-US" w:bidi="ar-SA"/>
      </w:rPr>
    </w:lvl>
  </w:abstractNum>
  <w:abstractNum w:abstractNumId="47" w15:restartNumberingAfterBreak="0">
    <w:nsid w:val="369F31FD"/>
    <w:multiLevelType w:val="multilevel"/>
    <w:tmpl w:val="3D6836EA"/>
    <w:lvl w:ilvl="0">
      <w:start w:val="1"/>
      <w:numFmt w:val="decimal"/>
      <w:lvlText w:val="%1."/>
      <w:lvlJc w:val="left"/>
      <w:pPr>
        <w:ind w:left="806" w:hanging="322"/>
        <w:jc w:val="left"/>
      </w:pPr>
      <w:rPr>
        <w:rFonts w:hint="default"/>
        <w:spacing w:val="-24"/>
        <w:w w:val="100"/>
        <w:lang w:val="en-US" w:eastAsia="en-US" w:bidi="ar-SA"/>
      </w:rPr>
    </w:lvl>
    <w:lvl w:ilvl="1">
      <w:start w:val="1"/>
      <w:numFmt w:val="decimal"/>
      <w:lvlText w:val="%1.%2"/>
      <w:lvlJc w:val="left"/>
      <w:pPr>
        <w:ind w:left="845"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080" w:hanging="720"/>
        <w:jc w:val="left"/>
      </w:pPr>
      <w:rPr>
        <w:rFonts w:ascii="Times New Roman" w:eastAsia="Times New Roman" w:hAnsi="Times New Roman" w:cs="Times New Roman" w:hint="default"/>
        <w:b/>
        <w:bCs/>
        <w:i w:val="0"/>
        <w:iCs w:val="0"/>
        <w:spacing w:val="-8"/>
        <w:w w:val="100"/>
        <w:sz w:val="22"/>
        <w:szCs w:val="22"/>
        <w:lang w:val="en-US" w:eastAsia="en-US" w:bidi="ar-SA"/>
      </w:rPr>
    </w:lvl>
    <w:lvl w:ilvl="3">
      <w:numFmt w:val="bullet"/>
      <w:lvlText w:val="•"/>
      <w:lvlJc w:val="left"/>
      <w:pPr>
        <w:ind w:left="2389" w:hanging="720"/>
      </w:pPr>
      <w:rPr>
        <w:rFonts w:hint="default"/>
        <w:lang w:val="en-US" w:eastAsia="en-US" w:bidi="ar-SA"/>
      </w:rPr>
    </w:lvl>
    <w:lvl w:ilvl="4">
      <w:numFmt w:val="bullet"/>
      <w:lvlText w:val="•"/>
      <w:lvlJc w:val="left"/>
      <w:pPr>
        <w:ind w:left="3699" w:hanging="720"/>
      </w:pPr>
      <w:rPr>
        <w:rFonts w:hint="default"/>
        <w:lang w:val="en-US" w:eastAsia="en-US" w:bidi="ar-SA"/>
      </w:rPr>
    </w:lvl>
    <w:lvl w:ilvl="5">
      <w:numFmt w:val="bullet"/>
      <w:lvlText w:val="•"/>
      <w:lvlJc w:val="left"/>
      <w:pPr>
        <w:ind w:left="5009" w:hanging="720"/>
      </w:pPr>
      <w:rPr>
        <w:rFonts w:hint="default"/>
        <w:lang w:val="en-US" w:eastAsia="en-US" w:bidi="ar-SA"/>
      </w:rPr>
    </w:lvl>
    <w:lvl w:ilvl="6">
      <w:numFmt w:val="bullet"/>
      <w:lvlText w:val="•"/>
      <w:lvlJc w:val="left"/>
      <w:pPr>
        <w:ind w:left="6319" w:hanging="720"/>
      </w:pPr>
      <w:rPr>
        <w:rFonts w:hint="default"/>
        <w:lang w:val="en-US" w:eastAsia="en-US" w:bidi="ar-SA"/>
      </w:rPr>
    </w:lvl>
    <w:lvl w:ilvl="7">
      <w:numFmt w:val="bullet"/>
      <w:lvlText w:val="•"/>
      <w:lvlJc w:val="left"/>
      <w:pPr>
        <w:ind w:left="7629" w:hanging="720"/>
      </w:pPr>
      <w:rPr>
        <w:rFonts w:hint="default"/>
        <w:lang w:val="en-US" w:eastAsia="en-US" w:bidi="ar-SA"/>
      </w:rPr>
    </w:lvl>
    <w:lvl w:ilvl="8">
      <w:numFmt w:val="bullet"/>
      <w:lvlText w:val="•"/>
      <w:lvlJc w:val="left"/>
      <w:pPr>
        <w:ind w:left="8938" w:hanging="720"/>
      </w:pPr>
      <w:rPr>
        <w:rFonts w:hint="default"/>
        <w:lang w:val="en-US" w:eastAsia="en-US" w:bidi="ar-SA"/>
      </w:rPr>
    </w:lvl>
  </w:abstractNum>
  <w:abstractNum w:abstractNumId="48" w15:restartNumberingAfterBreak="0">
    <w:nsid w:val="384A361F"/>
    <w:multiLevelType w:val="hybridMultilevel"/>
    <w:tmpl w:val="DFA20F20"/>
    <w:lvl w:ilvl="0" w:tplc="8E34CCAC">
      <w:start w:val="1"/>
      <w:numFmt w:val="upperRoman"/>
      <w:lvlText w:val="%1)"/>
      <w:lvlJc w:val="left"/>
      <w:pPr>
        <w:ind w:left="893" w:hanging="399"/>
        <w:jc w:val="left"/>
      </w:pPr>
      <w:rPr>
        <w:rFonts w:hint="default"/>
        <w:spacing w:val="-2"/>
        <w:w w:val="100"/>
        <w:lang w:val="en-US" w:eastAsia="en-US" w:bidi="ar-SA"/>
      </w:rPr>
    </w:lvl>
    <w:lvl w:ilvl="1" w:tplc="99D03180">
      <w:start w:val="1"/>
      <w:numFmt w:val="lowerLetter"/>
      <w:lvlText w:val="(%2)"/>
      <w:lvlJc w:val="left"/>
      <w:pPr>
        <w:ind w:left="2069"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860ACCA6">
      <w:numFmt w:val="bullet"/>
      <w:lvlText w:val="•"/>
      <w:lvlJc w:val="left"/>
      <w:pPr>
        <w:ind w:left="3115" w:hanging="360"/>
      </w:pPr>
      <w:rPr>
        <w:rFonts w:hint="default"/>
        <w:lang w:val="en-US" w:eastAsia="en-US" w:bidi="ar-SA"/>
      </w:rPr>
    </w:lvl>
    <w:lvl w:ilvl="3" w:tplc="7AEC5642">
      <w:numFmt w:val="bullet"/>
      <w:lvlText w:val="•"/>
      <w:lvlJc w:val="left"/>
      <w:pPr>
        <w:ind w:left="4170" w:hanging="360"/>
      </w:pPr>
      <w:rPr>
        <w:rFonts w:hint="default"/>
        <w:lang w:val="en-US" w:eastAsia="en-US" w:bidi="ar-SA"/>
      </w:rPr>
    </w:lvl>
    <w:lvl w:ilvl="4" w:tplc="7668CEEE">
      <w:numFmt w:val="bullet"/>
      <w:lvlText w:val="•"/>
      <w:lvlJc w:val="left"/>
      <w:pPr>
        <w:ind w:left="5226" w:hanging="360"/>
      </w:pPr>
      <w:rPr>
        <w:rFonts w:hint="default"/>
        <w:lang w:val="en-US" w:eastAsia="en-US" w:bidi="ar-SA"/>
      </w:rPr>
    </w:lvl>
    <w:lvl w:ilvl="5" w:tplc="13D2A646">
      <w:numFmt w:val="bullet"/>
      <w:lvlText w:val="•"/>
      <w:lvlJc w:val="left"/>
      <w:pPr>
        <w:ind w:left="6281" w:hanging="360"/>
      </w:pPr>
      <w:rPr>
        <w:rFonts w:hint="default"/>
        <w:lang w:val="en-US" w:eastAsia="en-US" w:bidi="ar-SA"/>
      </w:rPr>
    </w:lvl>
    <w:lvl w:ilvl="6" w:tplc="76AAEBFA">
      <w:numFmt w:val="bullet"/>
      <w:lvlText w:val="•"/>
      <w:lvlJc w:val="left"/>
      <w:pPr>
        <w:ind w:left="7336" w:hanging="360"/>
      </w:pPr>
      <w:rPr>
        <w:rFonts w:hint="default"/>
        <w:lang w:val="en-US" w:eastAsia="en-US" w:bidi="ar-SA"/>
      </w:rPr>
    </w:lvl>
    <w:lvl w:ilvl="7" w:tplc="9D821256">
      <w:numFmt w:val="bullet"/>
      <w:lvlText w:val="•"/>
      <w:lvlJc w:val="left"/>
      <w:pPr>
        <w:ind w:left="8392" w:hanging="360"/>
      </w:pPr>
      <w:rPr>
        <w:rFonts w:hint="default"/>
        <w:lang w:val="en-US" w:eastAsia="en-US" w:bidi="ar-SA"/>
      </w:rPr>
    </w:lvl>
    <w:lvl w:ilvl="8" w:tplc="D9DA2D28">
      <w:numFmt w:val="bullet"/>
      <w:lvlText w:val="•"/>
      <w:lvlJc w:val="left"/>
      <w:pPr>
        <w:ind w:left="9447" w:hanging="360"/>
      </w:pPr>
      <w:rPr>
        <w:rFonts w:hint="default"/>
        <w:lang w:val="en-US" w:eastAsia="en-US" w:bidi="ar-SA"/>
      </w:rPr>
    </w:lvl>
  </w:abstractNum>
  <w:abstractNum w:abstractNumId="49" w15:restartNumberingAfterBreak="0">
    <w:nsid w:val="3BD16FA2"/>
    <w:multiLevelType w:val="hybridMultilevel"/>
    <w:tmpl w:val="E87EB0C4"/>
    <w:lvl w:ilvl="0" w:tplc="DFB84882">
      <w:start w:val="27"/>
      <w:numFmt w:val="lowerLetter"/>
      <w:lvlText w:val="%1)"/>
      <w:lvlJc w:val="left"/>
      <w:pPr>
        <w:ind w:left="1589" w:hanging="529"/>
        <w:jc w:val="left"/>
      </w:pPr>
      <w:rPr>
        <w:rFonts w:ascii="Times New Roman" w:eastAsia="Times New Roman" w:hAnsi="Times New Roman" w:cs="Times New Roman" w:hint="default"/>
        <w:b w:val="0"/>
        <w:bCs w:val="0"/>
        <w:i w:val="0"/>
        <w:iCs w:val="0"/>
        <w:color w:val="211F1F"/>
        <w:spacing w:val="0"/>
        <w:w w:val="100"/>
        <w:sz w:val="22"/>
        <w:szCs w:val="22"/>
        <w:lang w:val="en-US" w:eastAsia="en-US" w:bidi="ar-SA"/>
      </w:rPr>
    </w:lvl>
    <w:lvl w:ilvl="1" w:tplc="F578BF8A">
      <w:numFmt w:val="bullet"/>
      <w:lvlText w:val="•"/>
      <w:lvlJc w:val="left"/>
      <w:pPr>
        <w:ind w:left="2577" w:hanging="529"/>
      </w:pPr>
      <w:rPr>
        <w:rFonts w:hint="default"/>
        <w:lang w:val="en-US" w:eastAsia="en-US" w:bidi="ar-SA"/>
      </w:rPr>
    </w:lvl>
    <w:lvl w:ilvl="2" w:tplc="B358E4F6">
      <w:numFmt w:val="bullet"/>
      <w:lvlText w:val="•"/>
      <w:lvlJc w:val="left"/>
      <w:pPr>
        <w:ind w:left="3575" w:hanging="529"/>
      </w:pPr>
      <w:rPr>
        <w:rFonts w:hint="default"/>
        <w:lang w:val="en-US" w:eastAsia="en-US" w:bidi="ar-SA"/>
      </w:rPr>
    </w:lvl>
    <w:lvl w:ilvl="3" w:tplc="3B4AF3D6">
      <w:numFmt w:val="bullet"/>
      <w:lvlText w:val="•"/>
      <w:lvlJc w:val="left"/>
      <w:pPr>
        <w:ind w:left="4573" w:hanging="529"/>
      </w:pPr>
      <w:rPr>
        <w:rFonts w:hint="default"/>
        <w:lang w:val="en-US" w:eastAsia="en-US" w:bidi="ar-SA"/>
      </w:rPr>
    </w:lvl>
    <w:lvl w:ilvl="4" w:tplc="FA76412A">
      <w:numFmt w:val="bullet"/>
      <w:lvlText w:val="•"/>
      <w:lvlJc w:val="left"/>
      <w:pPr>
        <w:ind w:left="5571" w:hanging="529"/>
      </w:pPr>
      <w:rPr>
        <w:rFonts w:hint="default"/>
        <w:lang w:val="en-US" w:eastAsia="en-US" w:bidi="ar-SA"/>
      </w:rPr>
    </w:lvl>
    <w:lvl w:ilvl="5" w:tplc="34E21CAA">
      <w:numFmt w:val="bullet"/>
      <w:lvlText w:val="•"/>
      <w:lvlJc w:val="left"/>
      <w:pPr>
        <w:ind w:left="6569" w:hanging="529"/>
      </w:pPr>
      <w:rPr>
        <w:rFonts w:hint="default"/>
        <w:lang w:val="en-US" w:eastAsia="en-US" w:bidi="ar-SA"/>
      </w:rPr>
    </w:lvl>
    <w:lvl w:ilvl="6" w:tplc="1540A618">
      <w:numFmt w:val="bullet"/>
      <w:lvlText w:val="•"/>
      <w:lvlJc w:val="left"/>
      <w:pPr>
        <w:ind w:left="7567" w:hanging="529"/>
      </w:pPr>
      <w:rPr>
        <w:rFonts w:hint="default"/>
        <w:lang w:val="en-US" w:eastAsia="en-US" w:bidi="ar-SA"/>
      </w:rPr>
    </w:lvl>
    <w:lvl w:ilvl="7" w:tplc="657CE5C0">
      <w:numFmt w:val="bullet"/>
      <w:lvlText w:val="•"/>
      <w:lvlJc w:val="left"/>
      <w:pPr>
        <w:ind w:left="8564" w:hanging="529"/>
      </w:pPr>
      <w:rPr>
        <w:rFonts w:hint="default"/>
        <w:lang w:val="en-US" w:eastAsia="en-US" w:bidi="ar-SA"/>
      </w:rPr>
    </w:lvl>
    <w:lvl w:ilvl="8" w:tplc="8D1C0486">
      <w:numFmt w:val="bullet"/>
      <w:lvlText w:val="•"/>
      <w:lvlJc w:val="left"/>
      <w:pPr>
        <w:ind w:left="9562" w:hanging="529"/>
      </w:pPr>
      <w:rPr>
        <w:rFonts w:hint="default"/>
        <w:lang w:val="en-US" w:eastAsia="en-US" w:bidi="ar-SA"/>
      </w:rPr>
    </w:lvl>
  </w:abstractNum>
  <w:abstractNum w:abstractNumId="50" w15:restartNumberingAfterBreak="0">
    <w:nsid w:val="3CA25CB6"/>
    <w:multiLevelType w:val="multilevel"/>
    <w:tmpl w:val="1EE0E33E"/>
    <w:lvl w:ilvl="0">
      <w:start w:val="11"/>
      <w:numFmt w:val="decimal"/>
      <w:lvlText w:val="%1"/>
      <w:lvlJc w:val="left"/>
      <w:pPr>
        <w:ind w:left="720" w:hanging="721"/>
        <w:jc w:val="left"/>
      </w:pPr>
      <w:rPr>
        <w:rFonts w:hint="default"/>
        <w:lang w:val="en-US" w:eastAsia="en-US" w:bidi="ar-SA"/>
      </w:rPr>
    </w:lvl>
    <w:lvl w:ilvl="1">
      <w:numFmt w:val="decimal"/>
      <w:lvlText w:val="%1.%2"/>
      <w:lvlJc w:val="left"/>
      <w:pPr>
        <w:ind w:left="720" w:hanging="721"/>
        <w:jc w:val="right"/>
      </w:pPr>
      <w:rPr>
        <w:rFonts w:hint="default"/>
        <w:spacing w:val="0"/>
        <w:w w:val="100"/>
        <w:lang w:val="en-US" w:eastAsia="en-US" w:bidi="ar-SA"/>
      </w:rPr>
    </w:lvl>
    <w:lvl w:ilvl="2">
      <w:numFmt w:val="bullet"/>
      <w:lvlText w:val="•"/>
      <w:lvlJc w:val="left"/>
      <w:pPr>
        <w:ind w:left="2529" w:hanging="721"/>
      </w:pPr>
      <w:rPr>
        <w:rFonts w:hint="default"/>
        <w:lang w:val="en-US" w:eastAsia="en-US" w:bidi="ar-SA"/>
      </w:rPr>
    </w:lvl>
    <w:lvl w:ilvl="3">
      <w:numFmt w:val="bullet"/>
      <w:lvlText w:val="•"/>
      <w:lvlJc w:val="left"/>
      <w:pPr>
        <w:ind w:left="3434" w:hanging="721"/>
      </w:pPr>
      <w:rPr>
        <w:rFonts w:hint="default"/>
        <w:lang w:val="en-US" w:eastAsia="en-US" w:bidi="ar-SA"/>
      </w:rPr>
    </w:lvl>
    <w:lvl w:ilvl="4">
      <w:numFmt w:val="bullet"/>
      <w:lvlText w:val="•"/>
      <w:lvlJc w:val="left"/>
      <w:pPr>
        <w:ind w:left="4339" w:hanging="721"/>
      </w:pPr>
      <w:rPr>
        <w:rFonts w:hint="default"/>
        <w:lang w:val="en-US" w:eastAsia="en-US" w:bidi="ar-SA"/>
      </w:rPr>
    </w:lvl>
    <w:lvl w:ilvl="5">
      <w:numFmt w:val="bullet"/>
      <w:lvlText w:val="•"/>
      <w:lvlJc w:val="left"/>
      <w:pPr>
        <w:ind w:left="5244" w:hanging="721"/>
      </w:pPr>
      <w:rPr>
        <w:rFonts w:hint="default"/>
        <w:lang w:val="en-US" w:eastAsia="en-US" w:bidi="ar-SA"/>
      </w:rPr>
    </w:lvl>
    <w:lvl w:ilvl="6">
      <w:numFmt w:val="bullet"/>
      <w:lvlText w:val="•"/>
      <w:lvlJc w:val="left"/>
      <w:pPr>
        <w:ind w:left="6148" w:hanging="721"/>
      </w:pPr>
      <w:rPr>
        <w:rFonts w:hint="default"/>
        <w:lang w:val="en-US" w:eastAsia="en-US" w:bidi="ar-SA"/>
      </w:rPr>
    </w:lvl>
    <w:lvl w:ilvl="7">
      <w:numFmt w:val="bullet"/>
      <w:lvlText w:val="•"/>
      <w:lvlJc w:val="left"/>
      <w:pPr>
        <w:ind w:left="7053" w:hanging="721"/>
      </w:pPr>
      <w:rPr>
        <w:rFonts w:hint="default"/>
        <w:lang w:val="en-US" w:eastAsia="en-US" w:bidi="ar-SA"/>
      </w:rPr>
    </w:lvl>
    <w:lvl w:ilvl="8">
      <w:numFmt w:val="bullet"/>
      <w:lvlText w:val="•"/>
      <w:lvlJc w:val="left"/>
      <w:pPr>
        <w:ind w:left="7958" w:hanging="721"/>
      </w:pPr>
      <w:rPr>
        <w:rFonts w:hint="default"/>
        <w:lang w:val="en-US" w:eastAsia="en-US" w:bidi="ar-SA"/>
      </w:rPr>
    </w:lvl>
  </w:abstractNum>
  <w:abstractNum w:abstractNumId="51" w15:restartNumberingAfterBreak="0">
    <w:nsid w:val="3CFF53C5"/>
    <w:multiLevelType w:val="hybridMultilevel"/>
    <w:tmpl w:val="D68C40EA"/>
    <w:lvl w:ilvl="0" w:tplc="D482231E">
      <w:start w:val="1"/>
      <w:numFmt w:val="lowerLetter"/>
      <w:lvlText w:val="%1)"/>
      <w:lvlJc w:val="left"/>
      <w:pPr>
        <w:ind w:left="907" w:hanging="423"/>
        <w:jc w:val="left"/>
      </w:pPr>
      <w:rPr>
        <w:rFonts w:ascii="Times New Roman" w:eastAsia="Times New Roman" w:hAnsi="Times New Roman" w:cs="Times New Roman" w:hint="default"/>
        <w:b w:val="0"/>
        <w:bCs w:val="0"/>
        <w:i w:val="0"/>
        <w:iCs w:val="0"/>
        <w:color w:val="211F1F"/>
        <w:spacing w:val="0"/>
        <w:w w:val="100"/>
        <w:sz w:val="22"/>
        <w:szCs w:val="22"/>
        <w:lang w:val="en-US" w:eastAsia="en-US" w:bidi="ar-SA"/>
      </w:rPr>
    </w:lvl>
    <w:lvl w:ilvl="1" w:tplc="8F18FE20">
      <w:numFmt w:val="bullet"/>
      <w:lvlText w:val="•"/>
      <w:lvlJc w:val="left"/>
      <w:pPr>
        <w:ind w:left="1965" w:hanging="423"/>
      </w:pPr>
      <w:rPr>
        <w:rFonts w:hint="default"/>
        <w:lang w:val="en-US" w:eastAsia="en-US" w:bidi="ar-SA"/>
      </w:rPr>
    </w:lvl>
    <w:lvl w:ilvl="2" w:tplc="C1568674">
      <w:numFmt w:val="bullet"/>
      <w:lvlText w:val="•"/>
      <w:lvlJc w:val="left"/>
      <w:pPr>
        <w:ind w:left="3031" w:hanging="423"/>
      </w:pPr>
      <w:rPr>
        <w:rFonts w:hint="default"/>
        <w:lang w:val="en-US" w:eastAsia="en-US" w:bidi="ar-SA"/>
      </w:rPr>
    </w:lvl>
    <w:lvl w:ilvl="3" w:tplc="A3AC7904">
      <w:numFmt w:val="bullet"/>
      <w:lvlText w:val="•"/>
      <w:lvlJc w:val="left"/>
      <w:pPr>
        <w:ind w:left="4097" w:hanging="423"/>
      </w:pPr>
      <w:rPr>
        <w:rFonts w:hint="default"/>
        <w:lang w:val="en-US" w:eastAsia="en-US" w:bidi="ar-SA"/>
      </w:rPr>
    </w:lvl>
    <w:lvl w:ilvl="4" w:tplc="244AB0AC">
      <w:numFmt w:val="bullet"/>
      <w:lvlText w:val="•"/>
      <w:lvlJc w:val="left"/>
      <w:pPr>
        <w:ind w:left="5163" w:hanging="423"/>
      </w:pPr>
      <w:rPr>
        <w:rFonts w:hint="default"/>
        <w:lang w:val="en-US" w:eastAsia="en-US" w:bidi="ar-SA"/>
      </w:rPr>
    </w:lvl>
    <w:lvl w:ilvl="5" w:tplc="67384E78">
      <w:numFmt w:val="bullet"/>
      <w:lvlText w:val="•"/>
      <w:lvlJc w:val="left"/>
      <w:pPr>
        <w:ind w:left="6229" w:hanging="423"/>
      </w:pPr>
      <w:rPr>
        <w:rFonts w:hint="default"/>
        <w:lang w:val="en-US" w:eastAsia="en-US" w:bidi="ar-SA"/>
      </w:rPr>
    </w:lvl>
    <w:lvl w:ilvl="6" w:tplc="CC7AF580">
      <w:numFmt w:val="bullet"/>
      <w:lvlText w:val="•"/>
      <w:lvlJc w:val="left"/>
      <w:pPr>
        <w:ind w:left="7295" w:hanging="423"/>
      </w:pPr>
      <w:rPr>
        <w:rFonts w:hint="default"/>
        <w:lang w:val="en-US" w:eastAsia="en-US" w:bidi="ar-SA"/>
      </w:rPr>
    </w:lvl>
    <w:lvl w:ilvl="7" w:tplc="DAAECDD4">
      <w:numFmt w:val="bullet"/>
      <w:lvlText w:val="•"/>
      <w:lvlJc w:val="left"/>
      <w:pPr>
        <w:ind w:left="8360" w:hanging="423"/>
      </w:pPr>
      <w:rPr>
        <w:rFonts w:hint="default"/>
        <w:lang w:val="en-US" w:eastAsia="en-US" w:bidi="ar-SA"/>
      </w:rPr>
    </w:lvl>
    <w:lvl w:ilvl="8" w:tplc="DCE289D0">
      <w:numFmt w:val="bullet"/>
      <w:lvlText w:val="•"/>
      <w:lvlJc w:val="left"/>
      <w:pPr>
        <w:ind w:left="9426" w:hanging="423"/>
      </w:pPr>
      <w:rPr>
        <w:rFonts w:hint="default"/>
        <w:lang w:val="en-US" w:eastAsia="en-US" w:bidi="ar-SA"/>
      </w:rPr>
    </w:lvl>
  </w:abstractNum>
  <w:abstractNum w:abstractNumId="52" w15:restartNumberingAfterBreak="0">
    <w:nsid w:val="41146294"/>
    <w:multiLevelType w:val="multilevel"/>
    <w:tmpl w:val="6C266C28"/>
    <w:lvl w:ilvl="0">
      <w:start w:val="13"/>
      <w:numFmt w:val="decimal"/>
      <w:lvlText w:val="%1"/>
      <w:lvlJc w:val="left"/>
      <w:pPr>
        <w:ind w:left="720" w:hanging="721"/>
        <w:jc w:val="left"/>
      </w:pPr>
      <w:rPr>
        <w:rFonts w:hint="default"/>
        <w:lang w:val="en-US" w:eastAsia="en-US" w:bidi="ar-SA"/>
      </w:rPr>
    </w:lvl>
    <w:lvl w:ilvl="1">
      <w:numFmt w:val="decimal"/>
      <w:lvlText w:val="%1.%2"/>
      <w:lvlJc w:val="left"/>
      <w:pPr>
        <w:ind w:left="720" w:hanging="721"/>
        <w:jc w:val="right"/>
      </w:pPr>
      <w:rPr>
        <w:rFonts w:hint="default"/>
        <w:spacing w:val="0"/>
        <w:w w:val="100"/>
        <w:lang w:val="en-US" w:eastAsia="en-US" w:bidi="ar-SA"/>
      </w:rPr>
    </w:lvl>
    <w:lvl w:ilvl="2">
      <w:start w:val="1"/>
      <w:numFmt w:val="lowerRoman"/>
      <w:lvlText w:val="%3."/>
      <w:lvlJc w:val="left"/>
      <w:pPr>
        <w:ind w:left="2161" w:hanging="308"/>
        <w:jc w:val="right"/>
      </w:pPr>
      <w:rPr>
        <w:rFonts w:ascii="Times New Roman" w:eastAsia="Times New Roman" w:hAnsi="Times New Roman" w:cs="Times New Roman" w:hint="default"/>
        <w:b w:val="0"/>
        <w:bCs w:val="0"/>
        <w:i w:val="0"/>
        <w:iCs w:val="0"/>
        <w:spacing w:val="-10"/>
        <w:w w:val="100"/>
        <w:sz w:val="24"/>
        <w:szCs w:val="24"/>
        <w:lang w:val="en-US" w:eastAsia="en-US" w:bidi="ar-SA"/>
      </w:rPr>
    </w:lvl>
    <w:lvl w:ilvl="3">
      <w:numFmt w:val="bullet"/>
      <w:lvlText w:val="•"/>
      <w:lvlJc w:val="left"/>
      <w:pPr>
        <w:ind w:left="3850" w:hanging="308"/>
      </w:pPr>
      <w:rPr>
        <w:rFonts w:hint="default"/>
        <w:lang w:val="en-US" w:eastAsia="en-US" w:bidi="ar-SA"/>
      </w:rPr>
    </w:lvl>
    <w:lvl w:ilvl="4">
      <w:numFmt w:val="bullet"/>
      <w:lvlText w:val="•"/>
      <w:lvlJc w:val="left"/>
      <w:pPr>
        <w:ind w:left="4696" w:hanging="308"/>
      </w:pPr>
      <w:rPr>
        <w:rFonts w:hint="default"/>
        <w:lang w:val="en-US" w:eastAsia="en-US" w:bidi="ar-SA"/>
      </w:rPr>
    </w:lvl>
    <w:lvl w:ilvl="5">
      <w:numFmt w:val="bullet"/>
      <w:lvlText w:val="•"/>
      <w:lvlJc w:val="left"/>
      <w:pPr>
        <w:ind w:left="5541" w:hanging="308"/>
      </w:pPr>
      <w:rPr>
        <w:rFonts w:hint="default"/>
        <w:lang w:val="en-US" w:eastAsia="en-US" w:bidi="ar-SA"/>
      </w:rPr>
    </w:lvl>
    <w:lvl w:ilvl="6">
      <w:numFmt w:val="bullet"/>
      <w:lvlText w:val="•"/>
      <w:lvlJc w:val="left"/>
      <w:pPr>
        <w:ind w:left="6386" w:hanging="308"/>
      </w:pPr>
      <w:rPr>
        <w:rFonts w:hint="default"/>
        <w:lang w:val="en-US" w:eastAsia="en-US" w:bidi="ar-SA"/>
      </w:rPr>
    </w:lvl>
    <w:lvl w:ilvl="7">
      <w:numFmt w:val="bullet"/>
      <w:lvlText w:val="•"/>
      <w:lvlJc w:val="left"/>
      <w:pPr>
        <w:ind w:left="7232" w:hanging="308"/>
      </w:pPr>
      <w:rPr>
        <w:rFonts w:hint="default"/>
        <w:lang w:val="en-US" w:eastAsia="en-US" w:bidi="ar-SA"/>
      </w:rPr>
    </w:lvl>
    <w:lvl w:ilvl="8">
      <w:numFmt w:val="bullet"/>
      <w:lvlText w:val="•"/>
      <w:lvlJc w:val="left"/>
      <w:pPr>
        <w:ind w:left="8077" w:hanging="308"/>
      </w:pPr>
      <w:rPr>
        <w:rFonts w:hint="default"/>
        <w:lang w:val="en-US" w:eastAsia="en-US" w:bidi="ar-SA"/>
      </w:rPr>
    </w:lvl>
  </w:abstractNum>
  <w:abstractNum w:abstractNumId="53" w15:restartNumberingAfterBreak="0">
    <w:nsid w:val="41504ADE"/>
    <w:multiLevelType w:val="hybridMultilevel"/>
    <w:tmpl w:val="BB3A1C4A"/>
    <w:lvl w:ilvl="0" w:tplc="B81EC746">
      <w:start w:val="1"/>
      <w:numFmt w:val="decimal"/>
      <w:lvlText w:val="%1."/>
      <w:lvlJc w:val="left"/>
      <w:pPr>
        <w:ind w:left="1051" w:hanging="562"/>
        <w:jc w:val="left"/>
      </w:pPr>
      <w:rPr>
        <w:rFonts w:ascii="Times New Roman" w:eastAsia="Times New Roman" w:hAnsi="Times New Roman" w:cs="Times New Roman" w:hint="default"/>
        <w:b w:val="0"/>
        <w:bCs w:val="0"/>
        <w:i w:val="0"/>
        <w:iCs w:val="0"/>
        <w:color w:val="211F1F"/>
        <w:spacing w:val="-23"/>
        <w:w w:val="94"/>
        <w:sz w:val="22"/>
        <w:szCs w:val="22"/>
        <w:lang w:val="en-US" w:eastAsia="en-US" w:bidi="ar-SA"/>
      </w:rPr>
    </w:lvl>
    <w:lvl w:ilvl="1" w:tplc="4DD67ABE">
      <w:numFmt w:val="bullet"/>
      <w:lvlText w:val="•"/>
      <w:lvlJc w:val="left"/>
      <w:pPr>
        <w:ind w:left="2109" w:hanging="562"/>
      </w:pPr>
      <w:rPr>
        <w:rFonts w:hint="default"/>
        <w:lang w:val="en-US" w:eastAsia="en-US" w:bidi="ar-SA"/>
      </w:rPr>
    </w:lvl>
    <w:lvl w:ilvl="2" w:tplc="4C745626">
      <w:numFmt w:val="bullet"/>
      <w:lvlText w:val="•"/>
      <w:lvlJc w:val="left"/>
      <w:pPr>
        <w:ind w:left="3159" w:hanging="562"/>
      </w:pPr>
      <w:rPr>
        <w:rFonts w:hint="default"/>
        <w:lang w:val="en-US" w:eastAsia="en-US" w:bidi="ar-SA"/>
      </w:rPr>
    </w:lvl>
    <w:lvl w:ilvl="3" w:tplc="638690F4">
      <w:numFmt w:val="bullet"/>
      <w:lvlText w:val="•"/>
      <w:lvlJc w:val="left"/>
      <w:pPr>
        <w:ind w:left="4209" w:hanging="562"/>
      </w:pPr>
      <w:rPr>
        <w:rFonts w:hint="default"/>
        <w:lang w:val="en-US" w:eastAsia="en-US" w:bidi="ar-SA"/>
      </w:rPr>
    </w:lvl>
    <w:lvl w:ilvl="4" w:tplc="4920B620">
      <w:numFmt w:val="bullet"/>
      <w:lvlText w:val="•"/>
      <w:lvlJc w:val="left"/>
      <w:pPr>
        <w:ind w:left="5259" w:hanging="562"/>
      </w:pPr>
      <w:rPr>
        <w:rFonts w:hint="default"/>
        <w:lang w:val="en-US" w:eastAsia="en-US" w:bidi="ar-SA"/>
      </w:rPr>
    </w:lvl>
    <w:lvl w:ilvl="5" w:tplc="74520194">
      <w:numFmt w:val="bullet"/>
      <w:lvlText w:val="•"/>
      <w:lvlJc w:val="left"/>
      <w:pPr>
        <w:ind w:left="6309" w:hanging="562"/>
      </w:pPr>
      <w:rPr>
        <w:rFonts w:hint="default"/>
        <w:lang w:val="en-US" w:eastAsia="en-US" w:bidi="ar-SA"/>
      </w:rPr>
    </w:lvl>
    <w:lvl w:ilvl="6" w:tplc="F4E0C626">
      <w:numFmt w:val="bullet"/>
      <w:lvlText w:val="•"/>
      <w:lvlJc w:val="left"/>
      <w:pPr>
        <w:ind w:left="7359" w:hanging="562"/>
      </w:pPr>
      <w:rPr>
        <w:rFonts w:hint="default"/>
        <w:lang w:val="en-US" w:eastAsia="en-US" w:bidi="ar-SA"/>
      </w:rPr>
    </w:lvl>
    <w:lvl w:ilvl="7" w:tplc="525CF624">
      <w:numFmt w:val="bullet"/>
      <w:lvlText w:val="•"/>
      <w:lvlJc w:val="left"/>
      <w:pPr>
        <w:ind w:left="8408" w:hanging="562"/>
      </w:pPr>
      <w:rPr>
        <w:rFonts w:hint="default"/>
        <w:lang w:val="en-US" w:eastAsia="en-US" w:bidi="ar-SA"/>
      </w:rPr>
    </w:lvl>
    <w:lvl w:ilvl="8" w:tplc="462EC9BE">
      <w:numFmt w:val="bullet"/>
      <w:lvlText w:val="•"/>
      <w:lvlJc w:val="left"/>
      <w:pPr>
        <w:ind w:left="9458" w:hanging="562"/>
      </w:pPr>
      <w:rPr>
        <w:rFonts w:hint="default"/>
        <w:lang w:val="en-US" w:eastAsia="en-US" w:bidi="ar-SA"/>
      </w:rPr>
    </w:lvl>
  </w:abstractNum>
  <w:abstractNum w:abstractNumId="54" w15:restartNumberingAfterBreak="0">
    <w:nsid w:val="416F11B1"/>
    <w:multiLevelType w:val="hybridMultilevel"/>
    <w:tmpl w:val="CA941370"/>
    <w:lvl w:ilvl="0" w:tplc="1B5C1B42">
      <w:start w:val="1"/>
      <w:numFmt w:val="decimal"/>
      <w:lvlText w:val="%1.0"/>
      <w:lvlJc w:val="left"/>
      <w:pPr>
        <w:ind w:left="1239" w:hanging="659"/>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04D4BCCA">
      <w:numFmt w:val="bullet"/>
      <w:lvlText w:val="•"/>
      <w:lvlJc w:val="left"/>
      <w:pPr>
        <w:ind w:left="2128" w:hanging="659"/>
      </w:pPr>
      <w:rPr>
        <w:rFonts w:hint="default"/>
        <w:lang w:val="en-US" w:eastAsia="en-US" w:bidi="ar-SA"/>
      </w:rPr>
    </w:lvl>
    <w:lvl w:ilvl="2" w:tplc="3AF40C22">
      <w:numFmt w:val="bullet"/>
      <w:lvlText w:val="•"/>
      <w:lvlJc w:val="left"/>
      <w:pPr>
        <w:ind w:left="3017" w:hanging="659"/>
      </w:pPr>
      <w:rPr>
        <w:rFonts w:hint="default"/>
        <w:lang w:val="en-US" w:eastAsia="en-US" w:bidi="ar-SA"/>
      </w:rPr>
    </w:lvl>
    <w:lvl w:ilvl="3" w:tplc="CDCEE1F6">
      <w:numFmt w:val="bullet"/>
      <w:lvlText w:val="•"/>
      <w:lvlJc w:val="left"/>
      <w:pPr>
        <w:ind w:left="3906" w:hanging="659"/>
      </w:pPr>
      <w:rPr>
        <w:rFonts w:hint="default"/>
        <w:lang w:val="en-US" w:eastAsia="en-US" w:bidi="ar-SA"/>
      </w:rPr>
    </w:lvl>
    <w:lvl w:ilvl="4" w:tplc="4ABEB064">
      <w:numFmt w:val="bullet"/>
      <w:lvlText w:val="•"/>
      <w:lvlJc w:val="left"/>
      <w:pPr>
        <w:ind w:left="4795" w:hanging="659"/>
      </w:pPr>
      <w:rPr>
        <w:rFonts w:hint="default"/>
        <w:lang w:val="en-US" w:eastAsia="en-US" w:bidi="ar-SA"/>
      </w:rPr>
    </w:lvl>
    <w:lvl w:ilvl="5" w:tplc="775C6256">
      <w:numFmt w:val="bullet"/>
      <w:lvlText w:val="•"/>
      <w:lvlJc w:val="left"/>
      <w:pPr>
        <w:ind w:left="5684" w:hanging="659"/>
      </w:pPr>
      <w:rPr>
        <w:rFonts w:hint="default"/>
        <w:lang w:val="en-US" w:eastAsia="en-US" w:bidi="ar-SA"/>
      </w:rPr>
    </w:lvl>
    <w:lvl w:ilvl="6" w:tplc="16DA152A">
      <w:numFmt w:val="bullet"/>
      <w:lvlText w:val="•"/>
      <w:lvlJc w:val="left"/>
      <w:pPr>
        <w:ind w:left="6572" w:hanging="659"/>
      </w:pPr>
      <w:rPr>
        <w:rFonts w:hint="default"/>
        <w:lang w:val="en-US" w:eastAsia="en-US" w:bidi="ar-SA"/>
      </w:rPr>
    </w:lvl>
    <w:lvl w:ilvl="7" w:tplc="70E452CA">
      <w:numFmt w:val="bullet"/>
      <w:lvlText w:val="•"/>
      <w:lvlJc w:val="left"/>
      <w:pPr>
        <w:ind w:left="7461" w:hanging="659"/>
      </w:pPr>
      <w:rPr>
        <w:rFonts w:hint="default"/>
        <w:lang w:val="en-US" w:eastAsia="en-US" w:bidi="ar-SA"/>
      </w:rPr>
    </w:lvl>
    <w:lvl w:ilvl="8" w:tplc="82F67AAE">
      <w:numFmt w:val="bullet"/>
      <w:lvlText w:val="•"/>
      <w:lvlJc w:val="left"/>
      <w:pPr>
        <w:ind w:left="8350" w:hanging="659"/>
      </w:pPr>
      <w:rPr>
        <w:rFonts w:hint="default"/>
        <w:lang w:val="en-US" w:eastAsia="en-US" w:bidi="ar-SA"/>
      </w:rPr>
    </w:lvl>
  </w:abstractNum>
  <w:abstractNum w:abstractNumId="55" w15:restartNumberingAfterBreak="0">
    <w:nsid w:val="42B6081C"/>
    <w:multiLevelType w:val="hybridMultilevel"/>
    <w:tmpl w:val="95464D38"/>
    <w:lvl w:ilvl="0" w:tplc="E918FADE">
      <w:start w:val="1"/>
      <w:numFmt w:val="lowerLetter"/>
      <w:lvlText w:val="%1)"/>
      <w:lvlJc w:val="left"/>
      <w:pPr>
        <w:ind w:left="1613" w:hanging="539"/>
        <w:jc w:val="left"/>
      </w:pPr>
      <w:rPr>
        <w:rFonts w:ascii="Times New Roman" w:eastAsia="Times New Roman" w:hAnsi="Times New Roman" w:cs="Times New Roman" w:hint="default"/>
        <w:b w:val="0"/>
        <w:bCs w:val="0"/>
        <w:i w:val="0"/>
        <w:iCs w:val="0"/>
        <w:color w:val="211F1F"/>
        <w:spacing w:val="0"/>
        <w:w w:val="100"/>
        <w:sz w:val="22"/>
        <w:szCs w:val="22"/>
        <w:lang w:val="en-US" w:eastAsia="en-US" w:bidi="ar-SA"/>
      </w:rPr>
    </w:lvl>
    <w:lvl w:ilvl="1" w:tplc="B552C3BC">
      <w:numFmt w:val="bullet"/>
      <w:lvlText w:val="•"/>
      <w:lvlJc w:val="left"/>
      <w:pPr>
        <w:ind w:left="2613" w:hanging="539"/>
      </w:pPr>
      <w:rPr>
        <w:rFonts w:hint="default"/>
        <w:lang w:val="en-US" w:eastAsia="en-US" w:bidi="ar-SA"/>
      </w:rPr>
    </w:lvl>
    <w:lvl w:ilvl="2" w:tplc="BD8673F8">
      <w:numFmt w:val="bullet"/>
      <w:lvlText w:val="•"/>
      <w:lvlJc w:val="left"/>
      <w:pPr>
        <w:ind w:left="3607" w:hanging="539"/>
      </w:pPr>
      <w:rPr>
        <w:rFonts w:hint="default"/>
        <w:lang w:val="en-US" w:eastAsia="en-US" w:bidi="ar-SA"/>
      </w:rPr>
    </w:lvl>
    <w:lvl w:ilvl="3" w:tplc="8C90EF64">
      <w:numFmt w:val="bullet"/>
      <w:lvlText w:val="•"/>
      <w:lvlJc w:val="left"/>
      <w:pPr>
        <w:ind w:left="4601" w:hanging="539"/>
      </w:pPr>
      <w:rPr>
        <w:rFonts w:hint="default"/>
        <w:lang w:val="en-US" w:eastAsia="en-US" w:bidi="ar-SA"/>
      </w:rPr>
    </w:lvl>
    <w:lvl w:ilvl="4" w:tplc="7CDECC14">
      <w:numFmt w:val="bullet"/>
      <w:lvlText w:val="•"/>
      <w:lvlJc w:val="left"/>
      <w:pPr>
        <w:ind w:left="5595" w:hanging="539"/>
      </w:pPr>
      <w:rPr>
        <w:rFonts w:hint="default"/>
        <w:lang w:val="en-US" w:eastAsia="en-US" w:bidi="ar-SA"/>
      </w:rPr>
    </w:lvl>
    <w:lvl w:ilvl="5" w:tplc="AA8AFC7C">
      <w:numFmt w:val="bullet"/>
      <w:lvlText w:val="•"/>
      <w:lvlJc w:val="left"/>
      <w:pPr>
        <w:ind w:left="6589" w:hanging="539"/>
      </w:pPr>
      <w:rPr>
        <w:rFonts w:hint="default"/>
        <w:lang w:val="en-US" w:eastAsia="en-US" w:bidi="ar-SA"/>
      </w:rPr>
    </w:lvl>
    <w:lvl w:ilvl="6" w:tplc="E03CF6E8">
      <w:numFmt w:val="bullet"/>
      <w:lvlText w:val="•"/>
      <w:lvlJc w:val="left"/>
      <w:pPr>
        <w:ind w:left="7583" w:hanging="539"/>
      </w:pPr>
      <w:rPr>
        <w:rFonts w:hint="default"/>
        <w:lang w:val="en-US" w:eastAsia="en-US" w:bidi="ar-SA"/>
      </w:rPr>
    </w:lvl>
    <w:lvl w:ilvl="7" w:tplc="DC624CD6">
      <w:numFmt w:val="bullet"/>
      <w:lvlText w:val="•"/>
      <w:lvlJc w:val="left"/>
      <w:pPr>
        <w:ind w:left="8576" w:hanging="539"/>
      </w:pPr>
      <w:rPr>
        <w:rFonts w:hint="default"/>
        <w:lang w:val="en-US" w:eastAsia="en-US" w:bidi="ar-SA"/>
      </w:rPr>
    </w:lvl>
    <w:lvl w:ilvl="8" w:tplc="048CEF00">
      <w:numFmt w:val="bullet"/>
      <w:lvlText w:val="•"/>
      <w:lvlJc w:val="left"/>
      <w:pPr>
        <w:ind w:left="9570" w:hanging="539"/>
      </w:pPr>
      <w:rPr>
        <w:rFonts w:hint="default"/>
        <w:lang w:val="en-US" w:eastAsia="en-US" w:bidi="ar-SA"/>
      </w:rPr>
    </w:lvl>
  </w:abstractNum>
  <w:abstractNum w:abstractNumId="56" w15:restartNumberingAfterBreak="0">
    <w:nsid w:val="43AA0AC6"/>
    <w:multiLevelType w:val="multilevel"/>
    <w:tmpl w:val="A1E8EA6C"/>
    <w:lvl w:ilvl="0">
      <w:start w:val="1"/>
      <w:numFmt w:val="decimal"/>
      <w:lvlText w:val="%1."/>
      <w:lvlJc w:val="left"/>
      <w:pPr>
        <w:ind w:left="1061" w:hanging="572"/>
        <w:jc w:val="right"/>
      </w:pPr>
      <w:rPr>
        <w:rFonts w:ascii="Times New Roman" w:eastAsia="Times New Roman" w:hAnsi="Times New Roman" w:cs="Times New Roman" w:hint="default"/>
        <w:b/>
        <w:bCs/>
        <w:i w:val="0"/>
        <w:iCs w:val="0"/>
        <w:color w:val="211F1F"/>
        <w:spacing w:val="0"/>
        <w:w w:val="100"/>
        <w:sz w:val="22"/>
        <w:szCs w:val="22"/>
        <w:lang w:val="en-US" w:eastAsia="en-US" w:bidi="ar-SA"/>
      </w:rPr>
    </w:lvl>
    <w:lvl w:ilvl="1">
      <w:start w:val="1"/>
      <w:numFmt w:val="decimal"/>
      <w:lvlText w:val="%1.%2"/>
      <w:lvlJc w:val="left"/>
      <w:pPr>
        <w:ind w:left="1171" w:hanging="356"/>
        <w:jc w:val="left"/>
      </w:pPr>
      <w:rPr>
        <w:rFonts w:hint="default"/>
        <w:spacing w:val="-33"/>
        <w:w w:val="94"/>
        <w:lang w:val="en-US" w:eastAsia="en-US" w:bidi="ar-SA"/>
      </w:rPr>
    </w:lvl>
    <w:lvl w:ilvl="2">
      <w:start w:val="1"/>
      <w:numFmt w:val="decimal"/>
      <w:lvlText w:val="%1.%2.%3"/>
      <w:lvlJc w:val="left"/>
      <w:pPr>
        <w:ind w:left="1532" w:hanging="356"/>
        <w:jc w:val="left"/>
      </w:pPr>
      <w:rPr>
        <w:rFonts w:hint="default"/>
        <w:spacing w:val="0"/>
        <w:w w:val="100"/>
        <w:lang w:val="en-US" w:eastAsia="en-US" w:bidi="ar-SA"/>
      </w:rPr>
    </w:lvl>
    <w:lvl w:ilvl="3">
      <w:start w:val="1"/>
      <w:numFmt w:val="lowerLetter"/>
      <w:lvlText w:val="%4)"/>
      <w:lvlJc w:val="left"/>
      <w:pPr>
        <w:ind w:left="1978" w:hanging="356"/>
        <w:jc w:val="left"/>
      </w:pPr>
      <w:rPr>
        <w:rFonts w:ascii="Times New Roman" w:eastAsia="Times New Roman" w:hAnsi="Times New Roman" w:cs="Times New Roman" w:hint="default"/>
        <w:b w:val="0"/>
        <w:bCs w:val="0"/>
        <w:i w:val="0"/>
        <w:iCs w:val="0"/>
        <w:color w:val="211F1F"/>
        <w:spacing w:val="0"/>
        <w:w w:val="100"/>
        <w:sz w:val="22"/>
        <w:szCs w:val="22"/>
        <w:lang w:val="en-US" w:eastAsia="en-US" w:bidi="ar-SA"/>
      </w:rPr>
    </w:lvl>
    <w:lvl w:ilvl="4">
      <w:numFmt w:val="bullet"/>
      <w:lvlText w:val="•"/>
      <w:lvlJc w:val="left"/>
      <w:pPr>
        <w:ind w:left="3774" w:hanging="356"/>
      </w:pPr>
      <w:rPr>
        <w:rFonts w:hint="default"/>
        <w:lang w:val="en-US" w:eastAsia="en-US" w:bidi="ar-SA"/>
      </w:rPr>
    </w:lvl>
    <w:lvl w:ilvl="5">
      <w:numFmt w:val="bullet"/>
      <w:lvlText w:val="•"/>
      <w:lvlJc w:val="left"/>
      <w:pPr>
        <w:ind w:left="5071" w:hanging="356"/>
      </w:pPr>
      <w:rPr>
        <w:rFonts w:hint="default"/>
        <w:lang w:val="en-US" w:eastAsia="en-US" w:bidi="ar-SA"/>
      </w:rPr>
    </w:lvl>
    <w:lvl w:ilvl="6">
      <w:numFmt w:val="bullet"/>
      <w:lvlText w:val="•"/>
      <w:lvlJc w:val="left"/>
      <w:pPr>
        <w:ind w:left="6369" w:hanging="356"/>
      </w:pPr>
      <w:rPr>
        <w:rFonts w:hint="default"/>
        <w:lang w:val="en-US" w:eastAsia="en-US" w:bidi="ar-SA"/>
      </w:rPr>
    </w:lvl>
    <w:lvl w:ilvl="7">
      <w:numFmt w:val="bullet"/>
      <w:lvlText w:val="•"/>
      <w:lvlJc w:val="left"/>
      <w:pPr>
        <w:ind w:left="7666" w:hanging="356"/>
      </w:pPr>
      <w:rPr>
        <w:rFonts w:hint="default"/>
        <w:lang w:val="en-US" w:eastAsia="en-US" w:bidi="ar-SA"/>
      </w:rPr>
    </w:lvl>
    <w:lvl w:ilvl="8">
      <w:numFmt w:val="bullet"/>
      <w:lvlText w:val="•"/>
      <w:lvlJc w:val="left"/>
      <w:pPr>
        <w:ind w:left="8963" w:hanging="356"/>
      </w:pPr>
      <w:rPr>
        <w:rFonts w:hint="default"/>
        <w:lang w:val="en-US" w:eastAsia="en-US" w:bidi="ar-SA"/>
      </w:rPr>
    </w:lvl>
  </w:abstractNum>
  <w:abstractNum w:abstractNumId="57" w15:restartNumberingAfterBreak="0">
    <w:nsid w:val="44BA686C"/>
    <w:multiLevelType w:val="multilevel"/>
    <w:tmpl w:val="F13ABF56"/>
    <w:lvl w:ilvl="0">
      <w:start w:val="1"/>
      <w:numFmt w:val="decimal"/>
      <w:lvlText w:val="%1.0"/>
      <w:lvlJc w:val="left"/>
      <w:pPr>
        <w:ind w:left="720" w:hanging="721"/>
        <w:jc w:val="left"/>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1441" w:hanging="721"/>
        <w:jc w:val="right"/>
      </w:pPr>
      <w:rPr>
        <w:rFonts w:ascii="Times New Roman" w:eastAsia="Times New Roman" w:hAnsi="Times New Roman" w:cs="Times New Roman" w:hint="default"/>
        <w:b w:val="0"/>
        <w:bCs w:val="0"/>
        <w:i w:val="0"/>
        <w:iCs w:val="0"/>
        <w:color w:val="211F1F"/>
        <w:spacing w:val="0"/>
        <w:w w:val="100"/>
        <w:sz w:val="24"/>
        <w:szCs w:val="24"/>
        <w:lang w:val="en-US" w:eastAsia="en-US" w:bidi="ar-SA"/>
      </w:rPr>
    </w:lvl>
    <w:lvl w:ilvl="2">
      <w:start w:val="1"/>
      <w:numFmt w:val="lowerLetter"/>
      <w:lvlText w:val="%3)"/>
      <w:lvlJc w:val="left"/>
      <w:pPr>
        <w:ind w:left="1801"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3">
      <w:start w:val="1"/>
      <w:numFmt w:val="lowerRoman"/>
      <w:lvlText w:val="(%4)"/>
      <w:lvlJc w:val="left"/>
      <w:pPr>
        <w:ind w:left="2881" w:hanging="360"/>
        <w:jc w:val="left"/>
      </w:pPr>
      <w:rPr>
        <w:rFonts w:ascii="Times New Roman" w:eastAsia="Times New Roman" w:hAnsi="Times New Roman" w:cs="Times New Roman" w:hint="default"/>
        <w:b w:val="0"/>
        <w:bCs w:val="0"/>
        <w:i w:val="0"/>
        <w:iCs w:val="0"/>
        <w:spacing w:val="-10"/>
        <w:w w:val="100"/>
        <w:sz w:val="24"/>
        <w:szCs w:val="24"/>
        <w:lang w:val="en-US" w:eastAsia="en-US" w:bidi="ar-SA"/>
      </w:rPr>
    </w:lvl>
    <w:lvl w:ilvl="4">
      <w:numFmt w:val="bullet"/>
      <w:lvlText w:val="•"/>
      <w:lvlJc w:val="left"/>
      <w:pPr>
        <w:ind w:left="3864" w:hanging="360"/>
      </w:pPr>
      <w:rPr>
        <w:rFonts w:hint="default"/>
        <w:lang w:val="en-US" w:eastAsia="en-US" w:bidi="ar-SA"/>
      </w:rPr>
    </w:lvl>
    <w:lvl w:ilvl="5">
      <w:numFmt w:val="bullet"/>
      <w:lvlText w:val="•"/>
      <w:lvlJc w:val="left"/>
      <w:pPr>
        <w:ind w:left="4848" w:hanging="360"/>
      </w:pPr>
      <w:rPr>
        <w:rFonts w:hint="default"/>
        <w:lang w:val="en-US" w:eastAsia="en-US" w:bidi="ar-SA"/>
      </w:rPr>
    </w:lvl>
    <w:lvl w:ilvl="6">
      <w:numFmt w:val="bullet"/>
      <w:lvlText w:val="•"/>
      <w:lvlJc w:val="left"/>
      <w:pPr>
        <w:ind w:left="5832" w:hanging="360"/>
      </w:pPr>
      <w:rPr>
        <w:rFonts w:hint="default"/>
        <w:lang w:val="en-US" w:eastAsia="en-US" w:bidi="ar-SA"/>
      </w:rPr>
    </w:lvl>
    <w:lvl w:ilvl="7">
      <w:numFmt w:val="bullet"/>
      <w:lvlText w:val="•"/>
      <w:lvlJc w:val="left"/>
      <w:pPr>
        <w:ind w:left="6816" w:hanging="360"/>
      </w:pPr>
      <w:rPr>
        <w:rFonts w:hint="default"/>
        <w:lang w:val="en-US" w:eastAsia="en-US" w:bidi="ar-SA"/>
      </w:rPr>
    </w:lvl>
    <w:lvl w:ilvl="8">
      <w:numFmt w:val="bullet"/>
      <w:lvlText w:val="•"/>
      <w:lvlJc w:val="left"/>
      <w:pPr>
        <w:ind w:left="7800" w:hanging="360"/>
      </w:pPr>
      <w:rPr>
        <w:rFonts w:hint="default"/>
        <w:lang w:val="en-US" w:eastAsia="en-US" w:bidi="ar-SA"/>
      </w:rPr>
    </w:lvl>
  </w:abstractNum>
  <w:abstractNum w:abstractNumId="58" w15:restartNumberingAfterBreak="0">
    <w:nsid w:val="462719B0"/>
    <w:multiLevelType w:val="multilevel"/>
    <w:tmpl w:val="EDD83482"/>
    <w:lvl w:ilvl="0">
      <w:start w:val="21"/>
      <w:numFmt w:val="decimal"/>
      <w:lvlText w:val="%1"/>
      <w:lvlJc w:val="left"/>
      <w:pPr>
        <w:ind w:left="720" w:hanging="721"/>
        <w:jc w:val="left"/>
      </w:pPr>
      <w:rPr>
        <w:rFonts w:hint="default"/>
        <w:lang w:val="en-US" w:eastAsia="en-US" w:bidi="ar-SA"/>
      </w:rPr>
    </w:lvl>
    <w:lvl w:ilvl="1">
      <w:numFmt w:val="decimal"/>
      <w:lvlText w:val="%1.%2"/>
      <w:lvlJc w:val="left"/>
      <w:pPr>
        <w:ind w:left="720" w:hanging="721"/>
        <w:jc w:val="right"/>
      </w:pPr>
      <w:rPr>
        <w:rFonts w:hint="default"/>
        <w:spacing w:val="0"/>
        <w:w w:val="100"/>
        <w:lang w:val="en-US" w:eastAsia="en-US" w:bidi="ar-SA"/>
      </w:rPr>
    </w:lvl>
    <w:lvl w:ilvl="2">
      <w:start w:val="1"/>
      <w:numFmt w:val="lowerRoman"/>
      <w:lvlText w:val="%3."/>
      <w:lvlJc w:val="left"/>
      <w:pPr>
        <w:ind w:left="2881" w:hanging="490"/>
        <w:jc w:val="right"/>
      </w:pPr>
      <w:rPr>
        <w:rFonts w:ascii="Times New Roman" w:eastAsia="Times New Roman" w:hAnsi="Times New Roman" w:cs="Times New Roman" w:hint="default"/>
        <w:b w:val="0"/>
        <w:bCs w:val="0"/>
        <w:i w:val="0"/>
        <w:iCs w:val="0"/>
        <w:spacing w:val="-10"/>
        <w:w w:val="100"/>
        <w:sz w:val="24"/>
        <w:szCs w:val="24"/>
        <w:lang w:val="en-US" w:eastAsia="en-US" w:bidi="ar-SA"/>
      </w:rPr>
    </w:lvl>
    <w:lvl w:ilvl="3">
      <w:numFmt w:val="bullet"/>
      <w:lvlText w:val="•"/>
      <w:lvlJc w:val="left"/>
      <w:pPr>
        <w:ind w:left="4410" w:hanging="490"/>
      </w:pPr>
      <w:rPr>
        <w:rFonts w:hint="default"/>
        <w:lang w:val="en-US" w:eastAsia="en-US" w:bidi="ar-SA"/>
      </w:rPr>
    </w:lvl>
    <w:lvl w:ilvl="4">
      <w:numFmt w:val="bullet"/>
      <w:lvlText w:val="•"/>
      <w:lvlJc w:val="left"/>
      <w:pPr>
        <w:ind w:left="5176" w:hanging="490"/>
      </w:pPr>
      <w:rPr>
        <w:rFonts w:hint="default"/>
        <w:lang w:val="en-US" w:eastAsia="en-US" w:bidi="ar-SA"/>
      </w:rPr>
    </w:lvl>
    <w:lvl w:ilvl="5">
      <w:numFmt w:val="bullet"/>
      <w:lvlText w:val="•"/>
      <w:lvlJc w:val="left"/>
      <w:pPr>
        <w:ind w:left="5941" w:hanging="490"/>
      </w:pPr>
      <w:rPr>
        <w:rFonts w:hint="default"/>
        <w:lang w:val="en-US" w:eastAsia="en-US" w:bidi="ar-SA"/>
      </w:rPr>
    </w:lvl>
    <w:lvl w:ilvl="6">
      <w:numFmt w:val="bullet"/>
      <w:lvlText w:val="•"/>
      <w:lvlJc w:val="left"/>
      <w:pPr>
        <w:ind w:left="6706" w:hanging="490"/>
      </w:pPr>
      <w:rPr>
        <w:rFonts w:hint="default"/>
        <w:lang w:val="en-US" w:eastAsia="en-US" w:bidi="ar-SA"/>
      </w:rPr>
    </w:lvl>
    <w:lvl w:ilvl="7">
      <w:numFmt w:val="bullet"/>
      <w:lvlText w:val="•"/>
      <w:lvlJc w:val="left"/>
      <w:pPr>
        <w:ind w:left="7472" w:hanging="490"/>
      </w:pPr>
      <w:rPr>
        <w:rFonts w:hint="default"/>
        <w:lang w:val="en-US" w:eastAsia="en-US" w:bidi="ar-SA"/>
      </w:rPr>
    </w:lvl>
    <w:lvl w:ilvl="8">
      <w:numFmt w:val="bullet"/>
      <w:lvlText w:val="•"/>
      <w:lvlJc w:val="left"/>
      <w:pPr>
        <w:ind w:left="8237" w:hanging="490"/>
      </w:pPr>
      <w:rPr>
        <w:rFonts w:hint="default"/>
        <w:lang w:val="en-US" w:eastAsia="en-US" w:bidi="ar-SA"/>
      </w:rPr>
    </w:lvl>
  </w:abstractNum>
  <w:abstractNum w:abstractNumId="59" w15:restartNumberingAfterBreak="0">
    <w:nsid w:val="47443685"/>
    <w:multiLevelType w:val="multilevel"/>
    <w:tmpl w:val="ADAC394A"/>
    <w:lvl w:ilvl="0">
      <w:start w:val="7"/>
      <w:numFmt w:val="decimal"/>
      <w:lvlText w:val="%1"/>
      <w:lvlJc w:val="left"/>
      <w:pPr>
        <w:ind w:left="720" w:hanging="721"/>
        <w:jc w:val="left"/>
      </w:pPr>
      <w:rPr>
        <w:rFonts w:hint="default"/>
        <w:lang w:val="en-US" w:eastAsia="en-US" w:bidi="ar-SA"/>
      </w:rPr>
    </w:lvl>
    <w:lvl w:ilvl="1">
      <w:numFmt w:val="decimal"/>
      <w:lvlText w:val="%1.%2"/>
      <w:lvlJc w:val="left"/>
      <w:pPr>
        <w:ind w:left="720" w:hanging="721"/>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529" w:hanging="721"/>
      </w:pPr>
      <w:rPr>
        <w:rFonts w:hint="default"/>
        <w:lang w:val="en-US" w:eastAsia="en-US" w:bidi="ar-SA"/>
      </w:rPr>
    </w:lvl>
    <w:lvl w:ilvl="3">
      <w:numFmt w:val="bullet"/>
      <w:lvlText w:val="•"/>
      <w:lvlJc w:val="left"/>
      <w:pPr>
        <w:ind w:left="3434" w:hanging="721"/>
      </w:pPr>
      <w:rPr>
        <w:rFonts w:hint="default"/>
        <w:lang w:val="en-US" w:eastAsia="en-US" w:bidi="ar-SA"/>
      </w:rPr>
    </w:lvl>
    <w:lvl w:ilvl="4">
      <w:numFmt w:val="bullet"/>
      <w:lvlText w:val="•"/>
      <w:lvlJc w:val="left"/>
      <w:pPr>
        <w:ind w:left="4339" w:hanging="721"/>
      </w:pPr>
      <w:rPr>
        <w:rFonts w:hint="default"/>
        <w:lang w:val="en-US" w:eastAsia="en-US" w:bidi="ar-SA"/>
      </w:rPr>
    </w:lvl>
    <w:lvl w:ilvl="5">
      <w:numFmt w:val="bullet"/>
      <w:lvlText w:val="•"/>
      <w:lvlJc w:val="left"/>
      <w:pPr>
        <w:ind w:left="5244" w:hanging="721"/>
      </w:pPr>
      <w:rPr>
        <w:rFonts w:hint="default"/>
        <w:lang w:val="en-US" w:eastAsia="en-US" w:bidi="ar-SA"/>
      </w:rPr>
    </w:lvl>
    <w:lvl w:ilvl="6">
      <w:numFmt w:val="bullet"/>
      <w:lvlText w:val="•"/>
      <w:lvlJc w:val="left"/>
      <w:pPr>
        <w:ind w:left="6148" w:hanging="721"/>
      </w:pPr>
      <w:rPr>
        <w:rFonts w:hint="default"/>
        <w:lang w:val="en-US" w:eastAsia="en-US" w:bidi="ar-SA"/>
      </w:rPr>
    </w:lvl>
    <w:lvl w:ilvl="7">
      <w:numFmt w:val="bullet"/>
      <w:lvlText w:val="•"/>
      <w:lvlJc w:val="left"/>
      <w:pPr>
        <w:ind w:left="7053" w:hanging="721"/>
      </w:pPr>
      <w:rPr>
        <w:rFonts w:hint="default"/>
        <w:lang w:val="en-US" w:eastAsia="en-US" w:bidi="ar-SA"/>
      </w:rPr>
    </w:lvl>
    <w:lvl w:ilvl="8">
      <w:numFmt w:val="bullet"/>
      <w:lvlText w:val="•"/>
      <w:lvlJc w:val="left"/>
      <w:pPr>
        <w:ind w:left="7958" w:hanging="721"/>
      </w:pPr>
      <w:rPr>
        <w:rFonts w:hint="default"/>
        <w:lang w:val="en-US" w:eastAsia="en-US" w:bidi="ar-SA"/>
      </w:rPr>
    </w:lvl>
  </w:abstractNum>
  <w:abstractNum w:abstractNumId="60" w15:restartNumberingAfterBreak="0">
    <w:nsid w:val="47490FA2"/>
    <w:multiLevelType w:val="hybridMultilevel"/>
    <w:tmpl w:val="D9DED18C"/>
    <w:lvl w:ilvl="0" w:tplc="90A2FAC6">
      <w:start w:val="1"/>
      <w:numFmt w:val="decimal"/>
      <w:lvlText w:val="%1."/>
      <w:lvlJc w:val="left"/>
      <w:pPr>
        <w:ind w:left="1046" w:hanging="562"/>
        <w:jc w:val="left"/>
      </w:pPr>
      <w:rPr>
        <w:rFonts w:hint="default"/>
        <w:spacing w:val="0"/>
        <w:w w:val="100"/>
        <w:lang w:val="en-US" w:eastAsia="en-US" w:bidi="ar-SA"/>
      </w:rPr>
    </w:lvl>
    <w:lvl w:ilvl="1" w:tplc="0E0098EC">
      <w:start w:val="1"/>
      <w:numFmt w:val="decimal"/>
      <w:lvlText w:val="%2)"/>
      <w:lvlJc w:val="left"/>
      <w:pPr>
        <w:ind w:left="1584" w:hanging="539"/>
        <w:jc w:val="left"/>
      </w:pPr>
      <w:rPr>
        <w:rFonts w:ascii="Times New Roman" w:eastAsia="Times New Roman" w:hAnsi="Times New Roman" w:cs="Times New Roman" w:hint="default"/>
        <w:b w:val="0"/>
        <w:bCs w:val="0"/>
        <w:i w:val="0"/>
        <w:iCs w:val="0"/>
        <w:color w:val="211F1F"/>
        <w:spacing w:val="-23"/>
        <w:w w:val="94"/>
        <w:sz w:val="22"/>
        <w:szCs w:val="22"/>
        <w:lang w:val="en-US" w:eastAsia="en-US" w:bidi="ar-SA"/>
      </w:rPr>
    </w:lvl>
    <w:lvl w:ilvl="2" w:tplc="0AF82712">
      <w:start w:val="1"/>
      <w:numFmt w:val="lowerLetter"/>
      <w:lvlText w:val="%3)"/>
      <w:lvlJc w:val="left"/>
      <w:pPr>
        <w:ind w:left="2089" w:hanging="500"/>
        <w:jc w:val="left"/>
      </w:pPr>
      <w:rPr>
        <w:rFonts w:ascii="Times New Roman" w:eastAsia="Times New Roman" w:hAnsi="Times New Roman" w:cs="Times New Roman" w:hint="default"/>
        <w:b w:val="0"/>
        <w:bCs w:val="0"/>
        <w:i w:val="0"/>
        <w:iCs w:val="0"/>
        <w:color w:val="211F1F"/>
        <w:spacing w:val="0"/>
        <w:w w:val="100"/>
        <w:sz w:val="22"/>
        <w:szCs w:val="22"/>
        <w:lang w:val="en-US" w:eastAsia="en-US" w:bidi="ar-SA"/>
      </w:rPr>
    </w:lvl>
    <w:lvl w:ilvl="3" w:tplc="44C0DAD2">
      <w:start w:val="1"/>
      <w:numFmt w:val="lowerRoman"/>
      <w:lvlText w:val="%4)"/>
      <w:lvlJc w:val="left"/>
      <w:pPr>
        <w:ind w:left="2122" w:hanging="509"/>
        <w:jc w:val="left"/>
      </w:pPr>
      <w:rPr>
        <w:rFonts w:ascii="Times New Roman" w:eastAsia="Times New Roman" w:hAnsi="Times New Roman" w:cs="Times New Roman" w:hint="default"/>
        <w:b w:val="0"/>
        <w:bCs w:val="0"/>
        <w:i w:val="0"/>
        <w:iCs w:val="0"/>
        <w:color w:val="211F1F"/>
        <w:spacing w:val="-4"/>
        <w:w w:val="100"/>
        <w:sz w:val="22"/>
        <w:szCs w:val="22"/>
        <w:lang w:val="en-US" w:eastAsia="en-US" w:bidi="ar-SA"/>
      </w:rPr>
    </w:lvl>
    <w:lvl w:ilvl="4" w:tplc="4CEA189A">
      <w:numFmt w:val="bullet"/>
      <w:lvlText w:val="•"/>
      <w:lvlJc w:val="left"/>
      <w:pPr>
        <w:ind w:left="2530" w:hanging="404"/>
      </w:pPr>
      <w:rPr>
        <w:rFonts w:ascii="Times New Roman" w:eastAsia="Times New Roman" w:hAnsi="Times New Roman" w:cs="Times New Roman" w:hint="default"/>
        <w:b w:val="0"/>
        <w:bCs w:val="0"/>
        <w:i w:val="0"/>
        <w:iCs w:val="0"/>
        <w:color w:val="211F1F"/>
        <w:spacing w:val="0"/>
        <w:w w:val="94"/>
        <w:sz w:val="22"/>
        <w:szCs w:val="22"/>
        <w:lang w:val="en-US" w:eastAsia="en-US" w:bidi="ar-SA"/>
      </w:rPr>
    </w:lvl>
    <w:lvl w:ilvl="5" w:tplc="3A5E813A">
      <w:numFmt w:val="bullet"/>
      <w:lvlText w:val="•"/>
      <w:lvlJc w:val="left"/>
      <w:pPr>
        <w:ind w:left="2120" w:hanging="404"/>
      </w:pPr>
      <w:rPr>
        <w:rFonts w:hint="default"/>
        <w:lang w:val="en-US" w:eastAsia="en-US" w:bidi="ar-SA"/>
      </w:rPr>
    </w:lvl>
    <w:lvl w:ilvl="6" w:tplc="FDC2BA9C">
      <w:numFmt w:val="bullet"/>
      <w:lvlText w:val="•"/>
      <w:lvlJc w:val="left"/>
      <w:pPr>
        <w:ind w:left="2540" w:hanging="404"/>
      </w:pPr>
      <w:rPr>
        <w:rFonts w:hint="default"/>
        <w:lang w:val="en-US" w:eastAsia="en-US" w:bidi="ar-SA"/>
      </w:rPr>
    </w:lvl>
    <w:lvl w:ilvl="7" w:tplc="A3080BCC">
      <w:numFmt w:val="bullet"/>
      <w:lvlText w:val="•"/>
      <w:lvlJc w:val="left"/>
      <w:pPr>
        <w:ind w:left="4794" w:hanging="404"/>
      </w:pPr>
      <w:rPr>
        <w:rFonts w:hint="default"/>
        <w:lang w:val="en-US" w:eastAsia="en-US" w:bidi="ar-SA"/>
      </w:rPr>
    </w:lvl>
    <w:lvl w:ilvl="8" w:tplc="CDE8E8BC">
      <w:numFmt w:val="bullet"/>
      <w:lvlText w:val="•"/>
      <w:lvlJc w:val="left"/>
      <w:pPr>
        <w:ind w:left="7049" w:hanging="404"/>
      </w:pPr>
      <w:rPr>
        <w:rFonts w:hint="default"/>
        <w:lang w:val="en-US" w:eastAsia="en-US" w:bidi="ar-SA"/>
      </w:rPr>
    </w:lvl>
  </w:abstractNum>
  <w:abstractNum w:abstractNumId="61" w15:restartNumberingAfterBreak="0">
    <w:nsid w:val="47CF168A"/>
    <w:multiLevelType w:val="multilevel"/>
    <w:tmpl w:val="354615A8"/>
    <w:lvl w:ilvl="0">
      <w:start w:val="38"/>
      <w:numFmt w:val="decimal"/>
      <w:lvlText w:val="%1.0"/>
      <w:lvlJc w:val="left"/>
      <w:pPr>
        <w:ind w:left="720" w:hanging="721"/>
        <w:jc w:val="left"/>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1441" w:hanging="721"/>
        <w:jc w:val="left"/>
      </w:pPr>
      <w:rPr>
        <w:rFonts w:hint="default"/>
        <w:spacing w:val="0"/>
        <w:w w:val="100"/>
        <w:lang w:val="en-US" w:eastAsia="en-US" w:bidi="ar-SA"/>
      </w:rPr>
    </w:lvl>
    <w:lvl w:ilvl="2">
      <w:start w:val="1"/>
      <w:numFmt w:val="lowerRoman"/>
      <w:lvlText w:val="(%3)"/>
      <w:lvlJc w:val="left"/>
      <w:pPr>
        <w:ind w:left="2881" w:hanging="721"/>
        <w:jc w:val="left"/>
      </w:pPr>
      <w:rPr>
        <w:rFonts w:ascii="Times New Roman" w:eastAsia="Times New Roman" w:hAnsi="Times New Roman" w:cs="Times New Roman" w:hint="default"/>
        <w:b w:val="0"/>
        <w:bCs w:val="0"/>
        <w:i w:val="0"/>
        <w:iCs w:val="0"/>
        <w:color w:val="211F1F"/>
        <w:spacing w:val="-4"/>
        <w:w w:val="100"/>
        <w:sz w:val="22"/>
        <w:szCs w:val="22"/>
        <w:lang w:val="en-US" w:eastAsia="en-US" w:bidi="ar-SA"/>
      </w:rPr>
    </w:lvl>
    <w:lvl w:ilvl="3">
      <w:numFmt w:val="bullet"/>
      <w:lvlText w:val="•"/>
      <w:lvlJc w:val="left"/>
      <w:pPr>
        <w:ind w:left="3741" w:hanging="721"/>
      </w:pPr>
      <w:rPr>
        <w:rFonts w:hint="default"/>
        <w:lang w:val="en-US" w:eastAsia="en-US" w:bidi="ar-SA"/>
      </w:rPr>
    </w:lvl>
    <w:lvl w:ilvl="4">
      <w:numFmt w:val="bullet"/>
      <w:lvlText w:val="•"/>
      <w:lvlJc w:val="left"/>
      <w:pPr>
        <w:ind w:left="4602" w:hanging="721"/>
      </w:pPr>
      <w:rPr>
        <w:rFonts w:hint="default"/>
        <w:lang w:val="en-US" w:eastAsia="en-US" w:bidi="ar-SA"/>
      </w:rPr>
    </w:lvl>
    <w:lvl w:ilvl="5">
      <w:numFmt w:val="bullet"/>
      <w:lvlText w:val="•"/>
      <w:lvlJc w:val="left"/>
      <w:pPr>
        <w:ind w:left="5463" w:hanging="721"/>
      </w:pPr>
      <w:rPr>
        <w:rFonts w:hint="default"/>
        <w:lang w:val="en-US" w:eastAsia="en-US" w:bidi="ar-SA"/>
      </w:rPr>
    </w:lvl>
    <w:lvl w:ilvl="6">
      <w:numFmt w:val="bullet"/>
      <w:lvlText w:val="•"/>
      <w:lvlJc w:val="left"/>
      <w:pPr>
        <w:ind w:left="6324" w:hanging="721"/>
      </w:pPr>
      <w:rPr>
        <w:rFonts w:hint="default"/>
        <w:lang w:val="en-US" w:eastAsia="en-US" w:bidi="ar-SA"/>
      </w:rPr>
    </w:lvl>
    <w:lvl w:ilvl="7">
      <w:numFmt w:val="bullet"/>
      <w:lvlText w:val="•"/>
      <w:lvlJc w:val="left"/>
      <w:pPr>
        <w:ind w:left="7185" w:hanging="721"/>
      </w:pPr>
      <w:rPr>
        <w:rFonts w:hint="default"/>
        <w:lang w:val="en-US" w:eastAsia="en-US" w:bidi="ar-SA"/>
      </w:rPr>
    </w:lvl>
    <w:lvl w:ilvl="8">
      <w:numFmt w:val="bullet"/>
      <w:lvlText w:val="•"/>
      <w:lvlJc w:val="left"/>
      <w:pPr>
        <w:ind w:left="8046" w:hanging="721"/>
      </w:pPr>
      <w:rPr>
        <w:rFonts w:hint="default"/>
        <w:lang w:val="en-US" w:eastAsia="en-US" w:bidi="ar-SA"/>
      </w:rPr>
    </w:lvl>
  </w:abstractNum>
  <w:abstractNum w:abstractNumId="62" w15:restartNumberingAfterBreak="0">
    <w:nsid w:val="481C20AA"/>
    <w:multiLevelType w:val="hybridMultilevel"/>
    <w:tmpl w:val="C34844B8"/>
    <w:lvl w:ilvl="0" w:tplc="AEFA2B30">
      <w:start w:val="1"/>
      <w:numFmt w:val="lowerRoman"/>
      <w:lvlText w:val="%1)"/>
      <w:lvlJc w:val="left"/>
      <w:pPr>
        <w:ind w:left="1258" w:hanging="572"/>
        <w:jc w:val="left"/>
      </w:pPr>
      <w:rPr>
        <w:rFonts w:ascii="Times New Roman" w:eastAsia="Times New Roman" w:hAnsi="Times New Roman" w:cs="Times New Roman" w:hint="default"/>
        <w:b/>
        <w:bCs/>
        <w:i w:val="0"/>
        <w:iCs w:val="0"/>
        <w:color w:val="211F1F"/>
        <w:spacing w:val="-4"/>
        <w:w w:val="100"/>
        <w:sz w:val="22"/>
        <w:szCs w:val="22"/>
        <w:lang w:val="en-US" w:eastAsia="en-US" w:bidi="ar-SA"/>
      </w:rPr>
    </w:lvl>
    <w:lvl w:ilvl="1" w:tplc="16E4A4FE">
      <w:numFmt w:val="bullet"/>
      <w:lvlText w:val="•"/>
      <w:lvlJc w:val="left"/>
      <w:pPr>
        <w:ind w:left="2217" w:hanging="572"/>
      </w:pPr>
      <w:rPr>
        <w:rFonts w:hint="default"/>
        <w:lang w:val="en-US" w:eastAsia="en-US" w:bidi="ar-SA"/>
      </w:rPr>
    </w:lvl>
    <w:lvl w:ilvl="2" w:tplc="161A39A2">
      <w:numFmt w:val="bullet"/>
      <w:lvlText w:val="•"/>
      <w:lvlJc w:val="left"/>
      <w:pPr>
        <w:ind w:left="3175" w:hanging="572"/>
      </w:pPr>
      <w:rPr>
        <w:rFonts w:hint="default"/>
        <w:lang w:val="en-US" w:eastAsia="en-US" w:bidi="ar-SA"/>
      </w:rPr>
    </w:lvl>
    <w:lvl w:ilvl="3" w:tplc="6458DBF0">
      <w:numFmt w:val="bullet"/>
      <w:lvlText w:val="•"/>
      <w:lvlJc w:val="left"/>
      <w:pPr>
        <w:ind w:left="4133" w:hanging="572"/>
      </w:pPr>
      <w:rPr>
        <w:rFonts w:hint="default"/>
        <w:lang w:val="en-US" w:eastAsia="en-US" w:bidi="ar-SA"/>
      </w:rPr>
    </w:lvl>
    <w:lvl w:ilvl="4" w:tplc="03BA3B56">
      <w:numFmt w:val="bullet"/>
      <w:lvlText w:val="•"/>
      <w:lvlJc w:val="left"/>
      <w:pPr>
        <w:ind w:left="5091" w:hanging="572"/>
      </w:pPr>
      <w:rPr>
        <w:rFonts w:hint="default"/>
        <w:lang w:val="en-US" w:eastAsia="en-US" w:bidi="ar-SA"/>
      </w:rPr>
    </w:lvl>
    <w:lvl w:ilvl="5" w:tplc="9DFA23DA">
      <w:numFmt w:val="bullet"/>
      <w:lvlText w:val="•"/>
      <w:lvlJc w:val="left"/>
      <w:pPr>
        <w:ind w:left="6049" w:hanging="572"/>
      </w:pPr>
      <w:rPr>
        <w:rFonts w:hint="default"/>
        <w:lang w:val="en-US" w:eastAsia="en-US" w:bidi="ar-SA"/>
      </w:rPr>
    </w:lvl>
    <w:lvl w:ilvl="6" w:tplc="C44E8EDE">
      <w:numFmt w:val="bullet"/>
      <w:lvlText w:val="•"/>
      <w:lvlJc w:val="left"/>
      <w:pPr>
        <w:ind w:left="7007" w:hanging="572"/>
      </w:pPr>
      <w:rPr>
        <w:rFonts w:hint="default"/>
        <w:lang w:val="en-US" w:eastAsia="en-US" w:bidi="ar-SA"/>
      </w:rPr>
    </w:lvl>
    <w:lvl w:ilvl="7" w:tplc="5A8E5B5E">
      <w:numFmt w:val="bullet"/>
      <w:lvlText w:val="•"/>
      <w:lvlJc w:val="left"/>
      <w:pPr>
        <w:ind w:left="7964" w:hanging="572"/>
      </w:pPr>
      <w:rPr>
        <w:rFonts w:hint="default"/>
        <w:lang w:val="en-US" w:eastAsia="en-US" w:bidi="ar-SA"/>
      </w:rPr>
    </w:lvl>
    <w:lvl w:ilvl="8" w:tplc="7A208D86">
      <w:numFmt w:val="bullet"/>
      <w:lvlText w:val="•"/>
      <w:lvlJc w:val="left"/>
      <w:pPr>
        <w:ind w:left="8922" w:hanging="572"/>
      </w:pPr>
      <w:rPr>
        <w:rFonts w:hint="default"/>
        <w:lang w:val="en-US" w:eastAsia="en-US" w:bidi="ar-SA"/>
      </w:rPr>
    </w:lvl>
  </w:abstractNum>
  <w:abstractNum w:abstractNumId="63" w15:restartNumberingAfterBreak="0">
    <w:nsid w:val="491977CF"/>
    <w:multiLevelType w:val="hybridMultilevel"/>
    <w:tmpl w:val="22E64F88"/>
    <w:lvl w:ilvl="0" w:tplc="88BE41C6">
      <w:start w:val="1"/>
      <w:numFmt w:val="decimal"/>
      <w:lvlText w:val="%1."/>
      <w:lvlJc w:val="left"/>
      <w:pPr>
        <w:ind w:left="206" w:hanging="183"/>
        <w:jc w:val="right"/>
      </w:pPr>
      <w:rPr>
        <w:rFonts w:ascii="Times New Roman" w:eastAsia="Times New Roman" w:hAnsi="Times New Roman" w:cs="Times New Roman" w:hint="default"/>
        <w:b w:val="0"/>
        <w:bCs w:val="0"/>
        <w:i w:val="0"/>
        <w:iCs w:val="0"/>
        <w:spacing w:val="0"/>
        <w:w w:val="94"/>
        <w:sz w:val="20"/>
        <w:szCs w:val="20"/>
        <w:lang w:val="en-US" w:eastAsia="en-US" w:bidi="ar-SA"/>
      </w:rPr>
    </w:lvl>
    <w:lvl w:ilvl="1" w:tplc="A55E7A02">
      <w:numFmt w:val="bullet"/>
      <w:lvlText w:val="•"/>
      <w:lvlJc w:val="left"/>
      <w:pPr>
        <w:ind w:left="359" w:hanging="183"/>
      </w:pPr>
      <w:rPr>
        <w:rFonts w:hint="default"/>
        <w:lang w:val="en-US" w:eastAsia="en-US" w:bidi="ar-SA"/>
      </w:rPr>
    </w:lvl>
    <w:lvl w:ilvl="2" w:tplc="079E8D8C">
      <w:numFmt w:val="bullet"/>
      <w:lvlText w:val="•"/>
      <w:lvlJc w:val="left"/>
      <w:pPr>
        <w:ind w:left="519" w:hanging="183"/>
      </w:pPr>
      <w:rPr>
        <w:rFonts w:hint="default"/>
        <w:lang w:val="en-US" w:eastAsia="en-US" w:bidi="ar-SA"/>
      </w:rPr>
    </w:lvl>
    <w:lvl w:ilvl="3" w:tplc="AAB2E23A">
      <w:numFmt w:val="bullet"/>
      <w:lvlText w:val="•"/>
      <w:lvlJc w:val="left"/>
      <w:pPr>
        <w:ind w:left="678" w:hanging="183"/>
      </w:pPr>
      <w:rPr>
        <w:rFonts w:hint="default"/>
        <w:lang w:val="en-US" w:eastAsia="en-US" w:bidi="ar-SA"/>
      </w:rPr>
    </w:lvl>
    <w:lvl w:ilvl="4" w:tplc="4E8004E0">
      <w:numFmt w:val="bullet"/>
      <w:lvlText w:val="•"/>
      <w:lvlJc w:val="left"/>
      <w:pPr>
        <w:ind w:left="838" w:hanging="183"/>
      </w:pPr>
      <w:rPr>
        <w:rFonts w:hint="default"/>
        <w:lang w:val="en-US" w:eastAsia="en-US" w:bidi="ar-SA"/>
      </w:rPr>
    </w:lvl>
    <w:lvl w:ilvl="5" w:tplc="48368BE0">
      <w:numFmt w:val="bullet"/>
      <w:lvlText w:val="•"/>
      <w:lvlJc w:val="left"/>
      <w:pPr>
        <w:ind w:left="997" w:hanging="183"/>
      </w:pPr>
      <w:rPr>
        <w:rFonts w:hint="default"/>
        <w:lang w:val="en-US" w:eastAsia="en-US" w:bidi="ar-SA"/>
      </w:rPr>
    </w:lvl>
    <w:lvl w:ilvl="6" w:tplc="AF5852E6">
      <w:numFmt w:val="bullet"/>
      <w:lvlText w:val="•"/>
      <w:lvlJc w:val="left"/>
      <w:pPr>
        <w:ind w:left="1157" w:hanging="183"/>
      </w:pPr>
      <w:rPr>
        <w:rFonts w:hint="default"/>
        <w:lang w:val="en-US" w:eastAsia="en-US" w:bidi="ar-SA"/>
      </w:rPr>
    </w:lvl>
    <w:lvl w:ilvl="7" w:tplc="A262FBBA">
      <w:numFmt w:val="bullet"/>
      <w:lvlText w:val="•"/>
      <w:lvlJc w:val="left"/>
      <w:pPr>
        <w:ind w:left="1316" w:hanging="183"/>
      </w:pPr>
      <w:rPr>
        <w:rFonts w:hint="default"/>
        <w:lang w:val="en-US" w:eastAsia="en-US" w:bidi="ar-SA"/>
      </w:rPr>
    </w:lvl>
    <w:lvl w:ilvl="8" w:tplc="BB2063E2">
      <w:numFmt w:val="bullet"/>
      <w:lvlText w:val="•"/>
      <w:lvlJc w:val="left"/>
      <w:pPr>
        <w:ind w:left="1476" w:hanging="183"/>
      </w:pPr>
      <w:rPr>
        <w:rFonts w:hint="default"/>
        <w:lang w:val="en-US" w:eastAsia="en-US" w:bidi="ar-SA"/>
      </w:rPr>
    </w:lvl>
  </w:abstractNum>
  <w:abstractNum w:abstractNumId="64" w15:restartNumberingAfterBreak="0">
    <w:nsid w:val="49197A89"/>
    <w:multiLevelType w:val="multilevel"/>
    <w:tmpl w:val="4DA88B36"/>
    <w:lvl w:ilvl="0">
      <w:start w:val="12"/>
      <w:numFmt w:val="decimal"/>
      <w:lvlText w:val="%1"/>
      <w:lvlJc w:val="left"/>
      <w:pPr>
        <w:ind w:left="720" w:hanging="721"/>
        <w:jc w:val="left"/>
      </w:pPr>
      <w:rPr>
        <w:rFonts w:hint="default"/>
        <w:lang w:val="en-US" w:eastAsia="en-US" w:bidi="ar-SA"/>
      </w:rPr>
    </w:lvl>
    <w:lvl w:ilvl="1">
      <w:numFmt w:val="decimal"/>
      <w:lvlText w:val="%1.%2"/>
      <w:lvlJc w:val="left"/>
      <w:pPr>
        <w:ind w:left="720" w:hanging="721"/>
        <w:jc w:val="right"/>
      </w:pPr>
      <w:rPr>
        <w:rFonts w:hint="default"/>
        <w:spacing w:val="0"/>
        <w:w w:val="100"/>
        <w:lang w:val="en-US" w:eastAsia="en-US" w:bidi="ar-SA"/>
      </w:rPr>
    </w:lvl>
    <w:lvl w:ilvl="2">
      <w:numFmt w:val="bullet"/>
      <w:lvlText w:val="•"/>
      <w:lvlJc w:val="left"/>
      <w:pPr>
        <w:ind w:left="2529" w:hanging="721"/>
      </w:pPr>
      <w:rPr>
        <w:rFonts w:hint="default"/>
        <w:lang w:val="en-US" w:eastAsia="en-US" w:bidi="ar-SA"/>
      </w:rPr>
    </w:lvl>
    <w:lvl w:ilvl="3">
      <w:numFmt w:val="bullet"/>
      <w:lvlText w:val="•"/>
      <w:lvlJc w:val="left"/>
      <w:pPr>
        <w:ind w:left="3434" w:hanging="721"/>
      </w:pPr>
      <w:rPr>
        <w:rFonts w:hint="default"/>
        <w:lang w:val="en-US" w:eastAsia="en-US" w:bidi="ar-SA"/>
      </w:rPr>
    </w:lvl>
    <w:lvl w:ilvl="4">
      <w:numFmt w:val="bullet"/>
      <w:lvlText w:val="•"/>
      <w:lvlJc w:val="left"/>
      <w:pPr>
        <w:ind w:left="4339" w:hanging="721"/>
      </w:pPr>
      <w:rPr>
        <w:rFonts w:hint="default"/>
        <w:lang w:val="en-US" w:eastAsia="en-US" w:bidi="ar-SA"/>
      </w:rPr>
    </w:lvl>
    <w:lvl w:ilvl="5">
      <w:numFmt w:val="bullet"/>
      <w:lvlText w:val="•"/>
      <w:lvlJc w:val="left"/>
      <w:pPr>
        <w:ind w:left="5244" w:hanging="721"/>
      </w:pPr>
      <w:rPr>
        <w:rFonts w:hint="default"/>
        <w:lang w:val="en-US" w:eastAsia="en-US" w:bidi="ar-SA"/>
      </w:rPr>
    </w:lvl>
    <w:lvl w:ilvl="6">
      <w:numFmt w:val="bullet"/>
      <w:lvlText w:val="•"/>
      <w:lvlJc w:val="left"/>
      <w:pPr>
        <w:ind w:left="6148" w:hanging="721"/>
      </w:pPr>
      <w:rPr>
        <w:rFonts w:hint="default"/>
        <w:lang w:val="en-US" w:eastAsia="en-US" w:bidi="ar-SA"/>
      </w:rPr>
    </w:lvl>
    <w:lvl w:ilvl="7">
      <w:numFmt w:val="bullet"/>
      <w:lvlText w:val="•"/>
      <w:lvlJc w:val="left"/>
      <w:pPr>
        <w:ind w:left="7053" w:hanging="721"/>
      </w:pPr>
      <w:rPr>
        <w:rFonts w:hint="default"/>
        <w:lang w:val="en-US" w:eastAsia="en-US" w:bidi="ar-SA"/>
      </w:rPr>
    </w:lvl>
    <w:lvl w:ilvl="8">
      <w:numFmt w:val="bullet"/>
      <w:lvlText w:val="•"/>
      <w:lvlJc w:val="left"/>
      <w:pPr>
        <w:ind w:left="7958" w:hanging="721"/>
      </w:pPr>
      <w:rPr>
        <w:rFonts w:hint="default"/>
        <w:lang w:val="en-US" w:eastAsia="en-US" w:bidi="ar-SA"/>
      </w:rPr>
    </w:lvl>
  </w:abstractNum>
  <w:abstractNum w:abstractNumId="65" w15:restartNumberingAfterBreak="0">
    <w:nsid w:val="4B2A5873"/>
    <w:multiLevelType w:val="multilevel"/>
    <w:tmpl w:val="29B091F2"/>
    <w:lvl w:ilvl="0">
      <w:start w:val="1"/>
      <w:numFmt w:val="decimal"/>
      <w:lvlText w:val="%1."/>
      <w:lvlJc w:val="left"/>
      <w:pPr>
        <w:ind w:left="1080" w:hanging="361"/>
        <w:jc w:val="right"/>
      </w:pPr>
      <w:rPr>
        <w:rFonts w:hint="default"/>
        <w:spacing w:val="-2"/>
        <w:w w:val="85"/>
        <w:lang w:val="en-US" w:eastAsia="en-US" w:bidi="ar-SA"/>
      </w:rPr>
    </w:lvl>
    <w:lvl w:ilvl="1">
      <w:start w:val="1"/>
      <w:numFmt w:val="decimal"/>
      <w:lvlText w:val="%1.%2"/>
      <w:lvlJc w:val="left"/>
      <w:pPr>
        <w:ind w:left="1441" w:hanging="721"/>
        <w:jc w:val="left"/>
      </w:pPr>
      <w:rPr>
        <w:rFonts w:hint="default"/>
        <w:spacing w:val="0"/>
        <w:w w:val="100"/>
        <w:lang w:val="en-US" w:eastAsia="en-US" w:bidi="ar-SA"/>
      </w:rPr>
    </w:lvl>
    <w:lvl w:ilvl="2">
      <w:numFmt w:val="bullet"/>
      <w:lvlText w:val="•"/>
      <w:lvlJc w:val="left"/>
      <w:pPr>
        <w:ind w:left="1440" w:hanging="721"/>
      </w:pPr>
      <w:rPr>
        <w:rFonts w:hint="default"/>
        <w:lang w:val="en-US" w:eastAsia="en-US" w:bidi="ar-SA"/>
      </w:rPr>
    </w:lvl>
    <w:lvl w:ilvl="3">
      <w:numFmt w:val="bullet"/>
      <w:lvlText w:val="•"/>
      <w:lvlJc w:val="left"/>
      <w:pPr>
        <w:ind w:left="2481" w:hanging="721"/>
      </w:pPr>
      <w:rPr>
        <w:rFonts w:hint="default"/>
        <w:lang w:val="en-US" w:eastAsia="en-US" w:bidi="ar-SA"/>
      </w:rPr>
    </w:lvl>
    <w:lvl w:ilvl="4">
      <w:numFmt w:val="bullet"/>
      <w:lvlText w:val="•"/>
      <w:lvlJc w:val="left"/>
      <w:pPr>
        <w:ind w:left="3522" w:hanging="721"/>
      </w:pPr>
      <w:rPr>
        <w:rFonts w:hint="default"/>
        <w:lang w:val="en-US" w:eastAsia="en-US" w:bidi="ar-SA"/>
      </w:rPr>
    </w:lvl>
    <w:lvl w:ilvl="5">
      <w:numFmt w:val="bullet"/>
      <w:lvlText w:val="•"/>
      <w:lvlJc w:val="left"/>
      <w:pPr>
        <w:ind w:left="4563" w:hanging="721"/>
      </w:pPr>
      <w:rPr>
        <w:rFonts w:hint="default"/>
        <w:lang w:val="en-US" w:eastAsia="en-US" w:bidi="ar-SA"/>
      </w:rPr>
    </w:lvl>
    <w:lvl w:ilvl="6">
      <w:numFmt w:val="bullet"/>
      <w:lvlText w:val="•"/>
      <w:lvlJc w:val="left"/>
      <w:pPr>
        <w:ind w:left="5604" w:hanging="721"/>
      </w:pPr>
      <w:rPr>
        <w:rFonts w:hint="default"/>
        <w:lang w:val="en-US" w:eastAsia="en-US" w:bidi="ar-SA"/>
      </w:rPr>
    </w:lvl>
    <w:lvl w:ilvl="7">
      <w:numFmt w:val="bullet"/>
      <w:lvlText w:val="•"/>
      <w:lvlJc w:val="left"/>
      <w:pPr>
        <w:ind w:left="6645" w:hanging="721"/>
      </w:pPr>
      <w:rPr>
        <w:rFonts w:hint="default"/>
        <w:lang w:val="en-US" w:eastAsia="en-US" w:bidi="ar-SA"/>
      </w:rPr>
    </w:lvl>
    <w:lvl w:ilvl="8">
      <w:numFmt w:val="bullet"/>
      <w:lvlText w:val="•"/>
      <w:lvlJc w:val="left"/>
      <w:pPr>
        <w:ind w:left="7686" w:hanging="721"/>
      </w:pPr>
      <w:rPr>
        <w:rFonts w:hint="default"/>
        <w:lang w:val="en-US" w:eastAsia="en-US" w:bidi="ar-SA"/>
      </w:rPr>
    </w:lvl>
  </w:abstractNum>
  <w:abstractNum w:abstractNumId="66" w15:restartNumberingAfterBreak="0">
    <w:nsid w:val="4B956A73"/>
    <w:multiLevelType w:val="hybridMultilevel"/>
    <w:tmpl w:val="326A95D0"/>
    <w:lvl w:ilvl="0" w:tplc="CE66CCC0">
      <w:start w:val="1"/>
      <w:numFmt w:val="lowerRoman"/>
      <w:lvlText w:val="%1."/>
      <w:lvlJc w:val="left"/>
      <w:pPr>
        <w:ind w:left="2161" w:hanging="308"/>
        <w:jc w:val="right"/>
      </w:pPr>
      <w:rPr>
        <w:rFonts w:hint="default"/>
        <w:spacing w:val="-10"/>
        <w:w w:val="100"/>
        <w:lang w:val="en-US" w:eastAsia="en-US" w:bidi="ar-SA"/>
      </w:rPr>
    </w:lvl>
    <w:lvl w:ilvl="1" w:tplc="77A8F7FC">
      <w:numFmt w:val="bullet"/>
      <w:lvlText w:val="•"/>
      <w:lvlJc w:val="left"/>
      <w:pPr>
        <w:ind w:left="2920" w:hanging="308"/>
      </w:pPr>
      <w:rPr>
        <w:rFonts w:hint="default"/>
        <w:lang w:val="en-US" w:eastAsia="en-US" w:bidi="ar-SA"/>
      </w:rPr>
    </w:lvl>
    <w:lvl w:ilvl="2" w:tplc="2E524582">
      <w:numFmt w:val="bullet"/>
      <w:lvlText w:val="•"/>
      <w:lvlJc w:val="left"/>
      <w:pPr>
        <w:ind w:left="3681" w:hanging="308"/>
      </w:pPr>
      <w:rPr>
        <w:rFonts w:hint="default"/>
        <w:lang w:val="en-US" w:eastAsia="en-US" w:bidi="ar-SA"/>
      </w:rPr>
    </w:lvl>
    <w:lvl w:ilvl="3" w:tplc="21261BC4">
      <w:numFmt w:val="bullet"/>
      <w:lvlText w:val="•"/>
      <w:lvlJc w:val="left"/>
      <w:pPr>
        <w:ind w:left="4442" w:hanging="308"/>
      </w:pPr>
      <w:rPr>
        <w:rFonts w:hint="default"/>
        <w:lang w:val="en-US" w:eastAsia="en-US" w:bidi="ar-SA"/>
      </w:rPr>
    </w:lvl>
    <w:lvl w:ilvl="4" w:tplc="B8948AB8">
      <w:numFmt w:val="bullet"/>
      <w:lvlText w:val="•"/>
      <w:lvlJc w:val="left"/>
      <w:pPr>
        <w:ind w:left="5203" w:hanging="308"/>
      </w:pPr>
      <w:rPr>
        <w:rFonts w:hint="default"/>
        <w:lang w:val="en-US" w:eastAsia="en-US" w:bidi="ar-SA"/>
      </w:rPr>
    </w:lvl>
    <w:lvl w:ilvl="5" w:tplc="568A599A">
      <w:numFmt w:val="bullet"/>
      <w:lvlText w:val="•"/>
      <w:lvlJc w:val="left"/>
      <w:pPr>
        <w:ind w:left="5964" w:hanging="308"/>
      </w:pPr>
      <w:rPr>
        <w:rFonts w:hint="default"/>
        <w:lang w:val="en-US" w:eastAsia="en-US" w:bidi="ar-SA"/>
      </w:rPr>
    </w:lvl>
    <w:lvl w:ilvl="6" w:tplc="CBE8175A">
      <w:numFmt w:val="bullet"/>
      <w:lvlText w:val="•"/>
      <w:lvlJc w:val="left"/>
      <w:pPr>
        <w:ind w:left="6724" w:hanging="308"/>
      </w:pPr>
      <w:rPr>
        <w:rFonts w:hint="default"/>
        <w:lang w:val="en-US" w:eastAsia="en-US" w:bidi="ar-SA"/>
      </w:rPr>
    </w:lvl>
    <w:lvl w:ilvl="7" w:tplc="1DD25C44">
      <w:numFmt w:val="bullet"/>
      <w:lvlText w:val="•"/>
      <w:lvlJc w:val="left"/>
      <w:pPr>
        <w:ind w:left="7485" w:hanging="308"/>
      </w:pPr>
      <w:rPr>
        <w:rFonts w:hint="default"/>
        <w:lang w:val="en-US" w:eastAsia="en-US" w:bidi="ar-SA"/>
      </w:rPr>
    </w:lvl>
    <w:lvl w:ilvl="8" w:tplc="173A722C">
      <w:numFmt w:val="bullet"/>
      <w:lvlText w:val="•"/>
      <w:lvlJc w:val="left"/>
      <w:pPr>
        <w:ind w:left="8246" w:hanging="308"/>
      </w:pPr>
      <w:rPr>
        <w:rFonts w:hint="default"/>
        <w:lang w:val="en-US" w:eastAsia="en-US" w:bidi="ar-SA"/>
      </w:rPr>
    </w:lvl>
  </w:abstractNum>
  <w:abstractNum w:abstractNumId="67" w15:restartNumberingAfterBreak="0">
    <w:nsid w:val="4C6048C3"/>
    <w:multiLevelType w:val="hybridMultilevel"/>
    <w:tmpl w:val="40427A92"/>
    <w:lvl w:ilvl="0" w:tplc="BB7ACB18">
      <w:start w:val="1"/>
      <w:numFmt w:val="decimal"/>
      <w:lvlText w:val="%1."/>
      <w:lvlJc w:val="left"/>
      <w:pPr>
        <w:ind w:left="1042" w:hanging="557"/>
        <w:jc w:val="left"/>
      </w:pPr>
      <w:rPr>
        <w:rFonts w:ascii="Times New Roman" w:eastAsia="Times New Roman" w:hAnsi="Times New Roman" w:cs="Times New Roman" w:hint="default"/>
        <w:b/>
        <w:bCs/>
        <w:i w:val="0"/>
        <w:iCs w:val="0"/>
        <w:color w:val="211F1F"/>
        <w:spacing w:val="0"/>
        <w:w w:val="100"/>
        <w:sz w:val="22"/>
        <w:szCs w:val="22"/>
        <w:lang w:val="en-US" w:eastAsia="en-US" w:bidi="ar-SA"/>
      </w:rPr>
    </w:lvl>
    <w:lvl w:ilvl="1" w:tplc="ED0454EA">
      <w:start w:val="1"/>
      <w:numFmt w:val="lowerLetter"/>
      <w:lvlText w:val="%2)"/>
      <w:lvlJc w:val="left"/>
      <w:pPr>
        <w:ind w:left="1608" w:hanging="558"/>
        <w:jc w:val="left"/>
      </w:pPr>
      <w:rPr>
        <w:rFonts w:ascii="Times New Roman" w:eastAsia="Times New Roman" w:hAnsi="Times New Roman" w:cs="Times New Roman" w:hint="default"/>
        <w:b w:val="0"/>
        <w:bCs w:val="0"/>
        <w:i w:val="0"/>
        <w:iCs w:val="0"/>
        <w:color w:val="211F1F"/>
        <w:spacing w:val="0"/>
        <w:w w:val="100"/>
        <w:sz w:val="22"/>
        <w:szCs w:val="22"/>
        <w:lang w:val="en-US" w:eastAsia="en-US" w:bidi="ar-SA"/>
      </w:rPr>
    </w:lvl>
    <w:lvl w:ilvl="2" w:tplc="FEAEF0F0">
      <w:numFmt w:val="bullet"/>
      <w:lvlText w:val="•"/>
      <w:lvlJc w:val="left"/>
      <w:pPr>
        <w:ind w:left="2706" w:hanging="558"/>
      </w:pPr>
      <w:rPr>
        <w:rFonts w:hint="default"/>
        <w:lang w:val="en-US" w:eastAsia="en-US" w:bidi="ar-SA"/>
      </w:rPr>
    </w:lvl>
    <w:lvl w:ilvl="3" w:tplc="D9B0B046">
      <w:numFmt w:val="bullet"/>
      <w:lvlText w:val="•"/>
      <w:lvlJc w:val="left"/>
      <w:pPr>
        <w:ind w:left="3812" w:hanging="558"/>
      </w:pPr>
      <w:rPr>
        <w:rFonts w:hint="default"/>
        <w:lang w:val="en-US" w:eastAsia="en-US" w:bidi="ar-SA"/>
      </w:rPr>
    </w:lvl>
    <w:lvl w:ilvl="4" w:tplc="F2B6DE00">
      <w:numFmt w:val="bullet"/>
      <w:lvlText w:val="•"/>
      <w:lvlJc w:val="left"/>
      <w:pPr>
        <w:ind w:left="4919" w:hanging="558"/>
      </w:pPr>
      <w:rPr>
        <w:rFonts w:hint="default"/>
        <w:lang w:val="en-US" w:eastAsia="en-US" w:bidi="ar-SA"/>
      </w:rPr>
    </w:lvl>
    <w:lvl w:ilvl="5" w:tplc="256C0694">
      <w:numFmt w:val="bullet"/>
      <w:lvlText w:val="•"/>
      <w:lvlJc w:val="left"/>
      <w:pPr>
        <w:ind w:left="6025" w:hanging="558"/>
      </w:pPr>
      <w:rPr>
        <w:rFonts w:hint="default"/>
        <w:lang w:val="en-US" w:eastAsia="en-US" w:bidi="ar-SA"/>
      </w:rPr>
    </w:lvl>
    <w:lvl w:ilvl="6" w:tplc="BCF6DBEA">
      <w:numFmt w:val="bullet"/>
      <w:lvlText w:val="•"/>
      <w:lvlJc w:val="left"/>
      <w:pPr>
        <w:ind w:left="7132" w:hanging="558"/>
      </w:pPr>
      <w:rPr>
        <w:rFonts w:hint="default"/>
        <w:lang w:val="en-US" w:eastAsia="en-US" w:bidi="ar-SA"/>
      </w:rPr>
    </w:lvl>
    <w:lvl w:ilvl="7" w:tplc="63E49BBC">
      <w:numFmt w:val="bullet"/>
      <w:lvlText w:val="•"/>
      <w:lvlJc w:val="left"/>
      <w:pPr>
        <w:ind w:left="8238" w:hanging="558"/>
      </w:pPr>
      <w:rPr>
        <w:rFonts w:hint="default"/>
        <w:lang w:val="en-US" w:eastAsia="en-US" w:bidi="ar-SA"/>
      </w:rPr>
    </w:lvl>
    <w:lvl w:ilvl="8" w:tplc="E90023E2">
      <w:numFmt w:val="bullet"/>
      <w:lvlText w:val="•"/>
      <w:lvlJc w:val="left"/>
      <w:pPr>
        <w:ind w:left="9345" w:hanging="558"/>
      </w:pPr>
      <w:rPr>
        <w:rFonts w:hint="default"/>
        <w:lang w:val="en-US" w:eastAsia="en-US" w:bidi="ar-SA"/>
      </w:rPr>
    </w:lvl>
  </w:abstractNum>
  <w:abstractNum w:abstractNumId="68" w15:restartNumberingAfterBreak="0">
    <w:nsid w:val="4E9D10F2"/>
    <w:multiLevelType w:val="hybridMultilevel"/>
    <w:tmpl w:val="8174A1B2"/>
    <w:lvl w:ilvl="0" w:tplc="B6FED676">
      <w:start w:val="1"/>
      <w:numFmt w:val="lowerLetter"/>
      <w:lvlText w:val="%1)"/>
      <w:lvlJc w:val="left"/>
      <w:pPr>
        <w:ind w:left="1594" w:hanging="423"/>
        <w:jc w:val="left"/>
      </w:pPr>
      <w:rPr>
        <w:rFonts w:ascii="Times New Roman" w:eastAsia="Times New Roman" w:hAnsi="Times New Roman" w:cs="Times New Roman" w:hint="default"/>
        <w:b w:val="0"/>
        <w:bCs w:val="0"/>
        <w:i w:val="0"/>
        <w:iCs w:val="0"/>
        <w:color w:val="211F1F"/>
        <w:spacing w:val="0"/>
        <w:w w:val="100"/>
        <w:sz w:val="22"/>
        <w:szCs w:val="22"/>
        <w:lang w:val="en-US" w:eastAsia="en-US" w:bidi="ar-SA"/>
      </w:rPr>
    </w:lvl>
    <w:lvl w:ilvl="1" w:tplc="242288A0">
      <w:numFmt w:val="bullet"/>
      <w:lvlText w:val="•"/>
      <w:lvlJc w:val="left"/>
      <w:pPr>
        <w:ind w:left="2595" w:hanging="423"/>
      </w:pPr>
      <w:rPr>
        <w:rFonts w:hint="default"/>
        <w:lang w:val="en-US" w:eastAsia="en-US" w:bidi="ar-SA"/>
      </w:rPr>
    </w:lvl>
    <w:lvl w:ilvl="2" w:tplc="E4DECF4A">
      <w:numFmt w:val="bullet"/>
      <w:lvlText w:val="•"/>
      <w:lvlJc w:val="left"/>
      <w:pPr>
        <w:ind w:left="3591" w:hanging="423"/>
      </w:pPr>
      <w:rPr>
        <w:rFonts w:hint="default"/>
        <w:lang w:val="en-US" w:eastAsia="en-US" w:bidi="ar-SA"/>
      </w:rPr>
    </w:lvl>
    <w:lvl w:ilvl="3" w:tplc="E62E09B8">
      <w:numFmt w:val="bullet"/>
      <w:lvlText w:val="•"/>
      <w:lvlJc w:val="left"/>
      <w:pPr>
        <w:ind w:left="4587" w:hanging="423"/>
      </w:pPr>
      <w:rPr>
        <w:rFonts w:hint="default"/>
        <w:lang w:val="en-US" w:eastAsia="en-US" w:bidi="ar-SA"/>
      </w:rPr>
    </w:lvl>
    <w:lvl w:ilvl="4" w:tplc="55EA57E6">
      <w:numFmt w:val="bullet"/>
      <w:lvlText w:val="•"/>
      <w:lvlJc w:val="left"/>
      <w:pPr>
        <w:ind w:left="5583" w:hanging="423"/>
      </w:pPr>
      <w:rPr>
        <w:rFonts w:hint="default"/>
        <w:lang w:val="en-US" w:eastAsia="en-US" w:bidi="ar-SA"/>
      </w:rPr>
    </w:lvl>
    <w:lvl w:ilvl="5" w:tplc="7BF868F6">
      <w:numFmt w:val="bullet"/>
      <w:lvlText w:val="•"/>
      <w:lvlJc w:val="left"/>
      <w:pPr>
        <w:ind w:left="6579" w:hanging="423"/>
      </w:pPr>
      <w:rPr>
        <w:rFonts w:hint="default"/>
        <w:lang w:val="en-US" w:eastAsia="en-US" w:bidi="ar-SA"/>
      </w:rPr>
    </w:lvl>
    <w:lvl w:ilvl="6" w:tplc="28AA6336">
      <w:numFmt w:val="bullet"/>
      <w:lvlText w:val="•"/>
      <w:lvlJc w:val="left"/>
      <w:pPr>
        <w:ind w:left="7575" w:hanging="423"/>
      </w:pPr>
      <w:rPr>
        <w:rFonts w:hint="default"/>
        <w:lang w:val="en-US" w:eastAsia="en-US" w:bidi="ar-SA"/>
      </w:rPr>
    </w:lvl>
    <w:lvl w:ilvl="7" w:tplc="710C6AF4">
      <w:numFmt w:val="bullet"/>
      <w:lvlText w:val="•"/>
      <w:lvlJc w:val="left"/>
      <w:pPr>
        <w:ind w:left="8570" w:hanging="423"/>
      </w:pPr>
      <w:rPr>
        <w:rFonts w:hint="default"/>
        <w:lang w:val="en-US" w:eastAsia="en-US" w:bidi="ar-SA"/>
      </w:rPr>
    </w:lvl>
    <w:lvl w:ilvl="8" w:tplc="6FA8DB0C">
      <w:numFmt w:val="bullet"/>
      <w:lvlText w:val="•"/>
      <w:lvlJc w:val="left"/>
      <w:pPr>
        <w:ind w:left="9566" w:hanging="423"/>
      </w:pPr>
      <w:rPr>
        <w:rFonts w:hint="default"/>
        <w:lang w:val="en-US" w:eastAsia="en-US" w:bidi="ar-SA"/>
      </w:rPr>
    </w:lvl>
  </w:abstractNum>
  <w:abstractNum w:abstractNumId="69" w15:restartNumberingAfterBreak="0">
    <w:nsid w:val="4ED17760"/>
    <w:multiLevelType w:val="hybridMultilevel"/>
    <w:tmpl w:val="CE60EDF4"/>
    <w:lvl w:ilvl="0" w:tplc="56346CB8">
      <w:start w:val="1"/>
      <w:numFmt w:val="lowerRoman"/>
      <w:lvlText w:val="(%1)"/>
      <w:lvlJc w:val="left"/>
      <w:pPr>
        <w:ind w:left="110" w:hanging="265"/>
        <w:jc w:val="left"/>
      </w:pPr>
      <w:rPr>
        <w:rFonts w:ascii="Times New Roman" w:eastAsia="Times New Roman" w:hAnsi="Times New Roman" w:cs="Times New Roman" w:hint="default"/>
        <w:b w:val="0"/>
        <w:bCs w:val="0"/>
        <w:i w:val="0"/>
        <w:iCs w:val="0"/>
        <w:spacing w:val="-4"/>
        <w:w w:val="100"/>
        <w:sz w:val="22"/>
        <w:szCs w:val="22"/>
        <w:lang w:val="en-US" w:eastAsia="en-US" w:bidi="ar-SA"/>
      </w:rPr>
    </w:lvl>
    <w:lvl w:ilvl="1" w:tplc="6066C342">
      <w:numFmt w:val="bullet"/>
      <w:lvlText w:val="•"/>
      <w:lvlJc w:val="left"/>
      <w:pPr>
        <w:ind w:left="660" w:hanging="265"/>
      </w:pPr>
      <w:rPr>
        <w:rFonts w:hint="default"/>
        <w:lang w:val="en-US" w:eastAsia="en-US" w:bidi="ar-SA"/>
      </w:rPr>
    </w:lvl>
    <w:lvl w:ilvl="2" w:tplc="62FCC366">
      <w:numFmt w:val="bullet"/>
      <w:lvlText w:val="•"/>
      <w:lvlJc w:val="left"/>
      <w:pPr>
        <w:ind w:left="1200" w:hanging="265"/>
      </w:pPr>
      <w:rPr>
        <w:rFonts w:hint="default"/>
        <w:lang w:val="en-US" w:eastAsia="en-US" w:bidi="ar-SA"/>
      </w:rPr>
    </w:lvl>
    <w:lvl w:ilvl="3" w:tplc="9B5816BC">
      <w:numFmt w:val="bullet"/>
      <w:lvlText w:val="•"/>
      <w:lvlJc w:val="left"/>
      <w:pPr>
        <w:ind w:left="1740" w:hanging="265"/>
      </w:pPr>
      <w:rPr>
        <w:rFonts w:hint="default"/>
        <w:lang w:val="en-US" w:eastAsia="en-US" w:bidi="ar-SA"/>
      </w:rPr>
    </w:lvl>
    <w:lvl w:ilvl="4" w:tplc="6A164F14">
      <w:numFmt w:val="bullet"/>
      <w:lvlText w:val="•"/>
      <w:lvlJc w:val="left"/>
      <w:pPr>
        <w:ind w:left="2280" w:hanging="265"/>
      </w:pPr>
      <w:rPr>
        <w:rFonts w:hint="default"/>
        <w:lang w:val="en-US" w:eastAsia="en-US" w:bidi="ar-SA"/>
      </w:rPr>
    </w:lvl>
    <w:lvl w:ilvl="5" w:tplc="13DAF112">
      <w:numFmt w:val="bullet"/>
      <w:lvlText w:val="•"/>
      <w:lvlJc w:val="left"/>
      <w:pPr>
        <w:ind w:left="2820" w:hanging="265"/>
      </w:pPr>
      <w:rPr>
        <w:rFonts w:hint="default"/>
        <w:lang w:val="en-US" w:eastAsia="en-US" w:bidi="ar-SA"/>
      </w:rPr>
    </w:lvl>
    <w:lvl w:ilvl="6" w:tplc="E364F056">
      <w:numFmt w:val="bullet"/>
      <w:lvlText w:val="•"/>
      <w:lvlJc w:val="left"/>
      <w:pPr>
        <w:ind w:left="3360" w:hanging="265"/>
      </w:pPr>
      <w:rPr>
        <w:rFonts w:hint="default"/>
        <w:lang w:val="en-US" w:eastAsia="en-US" w:bidi="ar-SA"/>
      </w:rPr>
    </w:lvl>
    <w:lvl w:ilvl="7" w:tplc="C4E4F102">
      <w:numFmt w:val="bullet"/>
      <w:lvlText w:val="•"/>
      <w:lvlJc w:val="left"/>
      <w:pPr>
        <w:ind w:left="3900" w:hanging="265"/>
      </w:pPr>
      <w:rPr>
        <w:rFonts w:hint="default"/>
        <w:lang w:val="en-US" w:eastAsia="en-US" w:bidi="ar-SA"/>
      </w:rPr>
    </w:lvl>
    <w:lvl w:ilvl="8" w:tplc="8E8CFB3A">
      <w:numFmt w:val="bullet"/>
      <w:lvlText w:val="•"/>
      <w:lvlJc w:val="left"/>
      <w:pPr>
        <w:ind w:left="4440" w:hanging="265"/>
      </w:pPr>
      <w:rPr>
        <w:rFonts w:hint="default"/>
        <w:lang w:val="en-US" w:eastAsia="en-US" w:bidi="ar-SA"/>
      </w:rPr>
    </w:lvl>
  </w:abstractNum>
  <w:abstractNum w:abstractNumId="70" w15:restartNumberingAfterBreak="0">
    <w:nsid w:val="4F3B5E96"/>
    <w:multiLevelType w:val="hybridMultilevel"/>
    <w:tmpl w:val="F18871E6"/>
    <w:lvl w:ilvl="0" w:tplc="F210DEAC">
      <w:start w:val="1"/>
      <w:numFmt w:val="lowerLetter"/>
      <w:lvlText w:val="%1)"/>
      <w:lvlJc w:val="left"/>
      <w:pPr>
        <w:ind w:left="1983" w:hanging="327"/>
        <w:jc w:val="left"/>
      </w:pPr>
      <w:rPr>
        <w:rFonts w:ascii="Times New Roman" w:eastAsia="Times New Roman" w:hAnsi="Times New Roman" w:cs="Times New Roman" w:hint="default"/>
        <w:b w:val="0"/>
        <w:bCs w:val="0"/>
        <w:i w:val="0"/>
        <w:iCs w:val="0"/>
        <w:color w:val="211F1F"/>
        <w:spacing w:val="0"/>
        <w:w w:val="100"/>
        <w:sz w:val="22"/>
        <w:szCs w:val="22"/>
        <w:lang w:val="en-US" w:eastAsia="en-US" w:bidi="ar-SA"/>
      </w:rPr>
    </w:lvl>
    <w:lvl w:ilvl="1" w:tplc="31120262">
      <w:numFmt w:val="bullet"/>
      <w:lvlText w:val="•"/>
      <w:lvlJc w:val="left"/>
      <w:pPr>
        <w:ind w:left="2937" w:hanging="327"/>
      </w:pPr>
      <w:rPr>
        <w:rFonts w:hint="default"/>
        <w:lang w:val="en-US" w:eastAsia="en-US" w:bidi="ar-SA"/>
      </w:rPr>
    </w:lvl>
    <w:lvl w:ilvl="2" w:tplc="D430B6BA">
      <w:numFmt w:val="bullet"/>
      <w:lvlText w:val="•"/>
      <w:lvlJc w:val="left"/>
      <w:pPr>
        <w:ind w:left="3895" w:hanging="327"/>
      </w:pPr>
      <w:rPr>
        <w:rFonts w:hint="default"/>
        <w:lang w:val="en-US" w:eastAsia="en-US" w:bidi="ar-SA"/>
      </w:rPr>
    </w:lvl>
    <w:lvl w:ilvl="3" w:tplc="9828C640">
      <w:numFmt w:val="bullet"/>
      <w:lvlText w:val="•"/>
      <w:lvlJc w:val="left"/>
      <w:pPr>
        <w:ind w:left="4853" w:hanging="327"/>
      </w:pPr>
      <w:rPr>
        <w:rFonts w:hint="default"/>
        <w:lang w:val="en-US" w:eastAsia="en-US" w:bidi="ar-SA"/>
      </w:rPr>
    </w:lvl>
    <w:lvl w:ilvl="4" w:tplc="0F5CA8AA">
      <w:numFmt w:val="bullet"/>
      <w:lvlText w:val="•"/>
      <w:lvlJc w:val="left"/>
      <w:pPr>
        <w:ind w:left="5811" w:hanging="327"/>
      </w:pPr>
      <w:rPr>
        <w:rFonts w:hint="default"/>
        <w:lang w:val="en-US" w:eastAsia="en-US" w:bidi="ar-SA"/>
      </w:rPr>
    </w:lvl>
    <w:lvl w:ilvl="5" w:tplc="F2B6EDB8">
      <w:numFmt w:val="bullet"/>
      <w:lvlText w:val="•"/>
      <w:lvlJc w:val="left"/>
      <w:pPr>
        <w:ind w:left="6769" w:hanging="327"/>
      </w:pPr>
      <w:rPr>
        <w:rFonts w:hint="default"/>
        <w:lang w:val="en-US" w:eastAsia="en-US" w:bidi="ar-SA"/>
      </w:rPr>
    </w:lvl>
    <w:lvl w:ilvl="6" w:tplc="4CBAF878">
      <w:numFmt w:val="bullet"/>
      <w:lvlText w:val="•"/>
      <w:lvlJc w:val="left"/>
      <w:pPr>
        <w:ind w:left="7727" w:hanging="327"/>
      </w:pPr>
      <w:rPr>
        <w:rFonts w:hint="default"/>
        <w:lang w:val="en-US" w:eastAsia="en-US" w:bidi="ar-SA"/>
      </w:rPr>
    </w:lvl>
    <w:lvl w:ilvl="7" w:tplc="C5B401FC">
      <w:numFmt w:val="bullet"/>
      <w:lvlText w:val="•"/>
      <w:lvlJc w:val="left"/>
      <w:pPr>
        <w:ind w:left="8684" w:hanging="327"/>
      </w:pPr>
      <w:rPr>
        <w:rFonts w:hint="default"/>
        <w:lang w:val="en-US" w:eastAsia="en-US" w:bidi="ar-SA"/>
      </w:rPr>
    </w:lvl>
    <w:lvl w:ilvl="8" w:tplc="59D49E8E">
      <w:numFmt w:val="bullet"/>
      <w:lvlText w:val="•"/>
      <w:lvlJc w:val="left"/>
      <w:pPr>
        <w:ind w:left="9642" w:hanging="327"/>
      </w:pPr>
      <w:rPr>
        <w:rFonts w:hint="default"/>
        <w:lang w:val="en-US" w:eastAsia="en-US" w:bidi="ar-SA"/>
      </w:rPr>
    </w:lvl>
  </w:abstractNum>
  <w:abstractNum w:abstractNumId="71" w15:restartNumberingAfterBreak="0">
    <w:nsid w:val="51196846"/>
    <w:multiLevelType w:val="hybridMultilevel"/>
    <w:tmpl w:val="3112D224"/>
    <w:lvl w:ilvl="0" w:tplc="66BEEE66">
      <w:start w:val="9"/>
      <w:numFmt w:val="decimal"/>
      <w:lvlText w:val="%1.0"/>
      <w:lvlJc w:val="left"/>
      <w:pPr>
        <w:ind w:left="1239" w:hanging="659"/>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4964036A">
      <w:numFmt w:val="bullet"/>
      <w:lvlText w:val="•"/>
      <w:lvlJc w:val="left"/>
      <w:pPr>
        <w:ind w:left="2128" w:hanging="659"/>
      </w:pPr>
      <w:rPr>
        <w:rFonts w:hint="default"/>
        <w:lang w:val="en-US" w:eastAsia="en-US" w:bidi="ar-SA"/>
      </w:rPr>
    </w:lvl>
    <w:lvl w:ilvl="2" w:tplc="53D8E340">
      <w:numFmt w:val="bullet"/>
      <w:lvlText w:val="•"/>
      <w:lvlJc w:val="left"/>
      <w:pPr>
        <w:ind w:left="3017" w:hanging="659"/>
      </w:pPr>
      <w:rPr>
        <w:rFonts w:hint="default"/>
        <w:lang w:val="en-US" w:eastAsia="en-US" w:bidi="ar-SA"/>
      </w:rPr>
    </w:lvl>
    <w:lvl w:ilvl="3" w:tplc="8B9C7728">
      <w:numFmt w:val="bullet"/>
      <w:lvlText w:val="•"/>
      <w:lvlJc w:val="left"/>
      <w:pPr>
        <w:ind w:left="3906" w:hanging="659"/>
      </w:pPr>
      <w:rPr>
        <w:rFonts w:hint="default"/>
        <w:lang w:val="en-US" w:eastAsia="en-US" w:bidi="ar-SA"/>
      </w:rPr>
    </w:lvl>
    <w:lvl w:ilvl="4" w:tplc="D8AA7228">
      <w:numFmt w:val="bullet"/>
      <w:lvlText w:val="•"/>
      <w:lvlJc w:val="left"/>
      <w:pPr>
        <w:ind w:left="4795" w:hanging="659"/>
      </w:pPr>
      <w:rPr>
        <w:rFonts w:hint="default"/>
        <w:lang w:val="en-US" w:eastAsia="en-US" w:bidi="ar-SA"/>
      </w:rPr>
    </w:lvl>
    <w:lvl w:ilvl="5" w:tplc="C7B4EB8C">
      <w:numFmt w:val="bullet"/>
      <w:lvlText w:val="•"/>
      <w:lvlJc w:val="left"/>
      <w:pPr>
        <w:ind w:left="5684" w:hanging="659"/>
      </w:pPr>
      <w:rPr>
        <w:rFonts w:hint="default"/>
        <w:lang w:val="en-US" w:eastAsia="en-US" w:bidi="ar-SA"/>
      </w:rPr>
    </w:lvl>
    <w:lvl w:ilvl="6" w:tplc="DD9C3526">
      <w:numFmt w:val="bullet"/>
      <w:lvlText w:val="•"/>
      <w:lvlJc w:val="left"/>
      <w:pPr>
        <w:ind w:left="6572" w:hanging="659"/>
      </w:pPr>
      <w:rPr>
        <w:rFonts w:hint="default"/>
        <w:lang w:val="en-US" w:eastAsia="en-US" w:bidi="ar-SA"/>
      </w:rPr>
    </w:lvl>
    <w:lvl w:ilvl="7" w:tplc="3E0265C6">
      <w:numFmt w:val="bullet"/>
      <w:lvlText w:val="•"/>
      <w:lvlJc w:val="left"/>
      <w:pPr>
        <w:ind w:left="7461" w:hanging="659"/>
      </w:pPr>
      <w:rPr>
        <w:rFonts w:hint="default"/>
        <w:lang w:val="en-US" w:eastAsia="en-US" w:bidi="ar-SA"/>
      </w:rPr>
    </w:lvl>
    <w:lvl w:ilvl="8" w:tplc="D4E6F214">
      <w:numFmt w:val="bullet"/>
      <w:lvlText w:val="•"/>
      <w:lvlJc w:val="left"/>
      <w:pPr>
        <w:ind w:left="8350" w:hanging="659"/>
      </w:pPr>
      <w:rPr>
        <w:rFonts w:hint="default"/>
        <w:lang w:val="en-US" w:eastAsia="en-US" w:bidi="ar-SA"/>
      </w:rPr>
    </w:lvl>
  </w:abstractNum>
  <w:abstractNum w:abstractNumId="72" w15:restartNumberingAfterBreak="0">
    <w:nsid w:val="53A2375C"/>
    <w:multiLevelType w:val="hybridMultilevel"/>
    <w:tmpl w:val="F032738A"/>
    <w:lvl w:ilvl="0" w:tplc="CEEE0F4C">
      <w:start w:val="1"/>
      <w:numFmt w:val="lowerLetter"/>
      <w:lvlText w:val="%1)"/>
      <w:lvlJc w:val="left"/>
      <w:pPr>
        <w:ind w:left="1441"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5CCED3E2">
      <w:numFmt w:val="bullet"/>
      <w:lvlText w:val="•"/>
      <w:lvlJc w:val="left"/>
      <w:pPr>
        <w:ind w:left="2272" w:hanging="360"/>
      </w:pPr>
      <w:rPr>
        <w:rFonts w:hint="default"/>
        <w:lang w:val="en-US" w:eastAsia="en-US" w:bidi="ar-SA"/>
      </w:rPr>
    </w:lvl>
    <w:lvl w:ilvl="2" w:tplc="0F0CABE2">
      <w:numFmt w:val="bullet"/>
      <w:lvlText w:val="•"/>
      <w:lvlJc w:val="left"/>
      <w:pPr>
        <w:ind w:left="3105" w:hanging="360"/>
      </w:pPr>
      <w:rPr>
        <w:rFonts w:hint="default"/>
        <w:lang w:val="en-US" w:eastAsia="en-US" w:bidi="ar-SA"/>
      </w:rPr>
    </w:lvl>
    <w:lvl w:ilvl="3" w:tplc="8070DC26">
      <w:numFmt w:val="bullet"/>
      <w:lvlText w:val="•"/>
      <w:lvlJc w:val="left"/>
      <w:pPr>
        <w:ind w:left="3938" w:hanging="360"/>
      </w:pPr>
      <w:rPr>
        <w:rFonts w:hint="default"/>
        <w:lang w:val="en-US" w:eastAsia="en-US" w:bidi="ar-SA"/>
      </w:rPr>
    </w:lvl>
    <w:lvl w:ilvl="4" w:tplc="26388E32">
      <w:numFmt w:val="bullet"/>
      <w:lvlText w:val="•"/>
      <w:lvlJc w:val="left"/>
      <w:pPr>
        <w:ind w:left="4771" w:hanging="360"/>
      </w:pPr>
      <w:rPr>
        <w:rFonts w:hint="default"/>
        <w:lang w:val="en-US" w:eastAsia="en-US" w:bidi="ar-SA"/>
      </w:rPr>
    </w:lvl>
    <w:lvl w:ilvl="5" w:tplc="A49223BC">
      <w:numFmt w:val="bullet"/>
      <w:lvlText w:val="•"/>
      <w:lvlJc w:val="left"/>
      <w:pPr>
        <w:ind w:left="5604" w:hanging="360"/>
      </w:pPr>
      <w:rPr>
        <w:rFonts w:hint="default"/>
        <w:lang w:val="en-US" w:eastAsia="en-US" w:bidi="ar-SA"/>
      </w:rPr>
    </w:lvl>
    <w:lvl w:ilvl="6" w:tplc="5290C374">
      <w:numFmt w:val="bullet"/>
      <w:lvlText w:val="•"/>
      <w:lvlJc w:val="left"/>
      <w:pPr>
        <w:ind w:left="6436" w:hanging="360"/>
      </w:pPr>
      <w:rPr>
        <w:rFonts w:hint="default"/>
        <w:lang w:val="en-US" w:eastAsia="en-US" w:bidi="ar-SA"/>
      </w:rPr>
    </w:lvl>
    <w:lvl w:ilvl="7" w:tplc="AE4AF444">
      <w:numFmt w:val="bullet"/>
      <w:lvlText w:val="•"/>
      <w:lvlJc w:val="left"/>
      <w:pPr>
        <w:ind w:left="7269" w:hanging="360"/>
      </w:pPr>
      <w:rPr>
        <w:rFonts w:hint="default"/>
        <w:lang w:val="en-US" w:eastAsia="en-US" w:bidi="ar-SA"/>
      </w:rPr>
    </w:lvl>
    <w:lvl w:ilvl="8" w:tplc="76C499D2">
      <w:numFmt w:val="bullet"/>
      <w:lvlText w:val="•"/>
      <w:lvlJc w:val="left"/>
      <w:pPr>
        <w:ind w:left="8102" w:hanging="360"/>
      </w:pPr>
      <w:rPr>
        <w:rFonts w:hint="default"/>
        <w:lang w:val="en-US" w:eastAsia="en-US" w:bidi="ar-SA"/>
      </w:rPr>
    </w:lvl>
  </w:abstractNum>
  <w:abstractNum w:abstractNumId="73" w15:restartNumberingAfterBreak="0">
    <w:nsid w:val="53D54CB6"/>
    <w:multiLevelType w:val="multilevel"/>
    <w:tmpl w:val="9A5646D4"/>
    <w:lvl w:ilvl="0">
      <w:start w:val="29"/>
      <w:numFmt w:val="decimal"/>
      <w:lvlText w:val="%1"/>
      <w:lvlJc w:val="left"/>
      <w:pPr>
        <w:ind w:left="720" w:hanging="721"/>
        <w:jc w:val="left"/>
      </w:pPr>
      <w:rPr>
        <w:rFonts w:hint="default"/>
        <w:lang w:val="en-US" w:eastAsia="en-US" w:bidi="ar-SA"/>
      </w:rPr>
    </w:lvl>
    <w:lvl w:ilvl="1">
      <w:numFmt w:val="decimal"/>
      <w:lvlText w:val="%1.%2"/>
      <w:lvlJc w:val="left"/>
      <w:pPr>
        <w:ind w:left="720" w:hanging="721"/>
        <w:jc w:val="right"/>
      </w:pPr>
      <w:rPr>
        <w:rFonts w:hint="default"/>
        <w:spacing w:val="0"/>
        <w:w w:val="100"/>
        <w:lang w:val="en-US" w:eastAsia="en-US" w:bidi="ar-SA"/>
      </w:rPr>
    </w:lvl>
    <w:lvl w:ilvl="2">
      <w:numFmt w:val="bullet"/>
      <w:lvlText w:val="•"/>
      <w:lvlJc w:val="left"/>
      <w:pPr>
        <w:ind w:left="2529" w:hanging="721"/>
      </w:pPr>
      <w:rPr>
        <w:rFonts w:hint="default"/>
        <w:lang w:val="en-US" w:eastAsia="en-US" w:bidi="ar-SA"/>
      </w:rPr>
    </w:lvl>
    <w:lvl w:ilvl="3">
      <w:numFmt w:val="bullet"/>
      <w:lvlText w:val="•"/>
      <w:lvlJc w:val="left"/>
      <w:pPr>
        <w:ind w:left="3434" w:hanging="721"/>
      </w:pPr>
      <w:rPr>
        <w:rFonts w:hint="default"/>
        <w:lang w:val="en-US" w:eastAsia="en-US" w:bidi="ar-SA"/>
      </w:rPr>
    </w:lvl>
    <w:lvl w:ilvl="4">
      <w:numFmt w:val="bullet"/>
      <w:lvlText w:val="•"/>
      <w:lvlJc w:val="left"/>
      <w:pPr>
        <w:ind w:left="4339" w:hanging="721"/>
      </w:pPr>
      <w:rPr>
        <w:rFonts w:hint="default"/>
        <w:lang w:val="en-US" w:eastAsia="en-US" w:bidi="ar-SA"/>
      </w:rPr>
    </w:lvl>
    <w:lvl w:ilvl="5">
      <w:numFmt w:val="bullet"/>
      <w:lvlText w:val="•"/>
      <w:lvlJc w:val="left"/>
      <w:pPr>
        <w:ind w:left="5244" w:hanging="721"/>
      </w:pPr>
      <w:rPr>
        <w:rFonts w:hint="default"/>
        <w:lang w:val="en-US" w:eastAsia="en-US" w:bidi="ar-SA"/>
      </w:rPr>
    </w:lvl>
    <w:lvl w:ilvl="6">
      <w:numFmt w:val="bullet"/>
      <w:lvlText w:val="•"/>
      <w:lvlJc w:val="left"/>
      <w:pPr>
        <w:ind w:left="6148" w:hanging="721"/>
      </w:pPr>
      <w:rPr>
        <w:rFonts w:hint="default"/>
        <w:lang w:val="en-US" w:eastAsia="en-US" w:bidi="ar-SA"/>
      </w:rPr>
    </w:lvl>
    <w:lvl w:ilvl="7">
      <w:numFmt w:val="bullet"/>
      <w:lvlText w:val="•"/>
      <w:lvlJc w:val="left"/>
      <w:pPr>
        <w:ind w:left="7053" w:hanging="721"/>
      </w:pPr>
      <w:rPr>
        <w:rFonts w:hint="default"/>
        <w:lang w:val="en-US" w:eastAsia="en-US" w:bidi="ar-SA"/>
      </w:rPr>
    </w:lvl>
    <w:lvl w:ilvl="8">
      <w:numFmt w:val="bullet"/>
      <w:lvlText w:val="•"/>
      <w:lvlJc w:val="left"/>
      <w:pPr>
        <w:ind w:left="7958" w:hanging="721"/>
      </w:pPr>
      <w:rPr>
        <w:rFonts w:hint="default"/>
        <w:lang w:val="en-US" w:eastAsia="en-US" w:bidi="ar-SA"/>
      </w:rPr>
    </w:lvl>
  </w:abstractNum>
  <w:abstractNum w:abstractNumId="74" w15:restartNumberingAfterBreak="0">
    <w:nsid w:val="54AD4157"/>
    <w:multiLevelType w:val="hybridMultilevel"/>
    <w:tmpl w:val="C150B9BC"/>
    <w:lvl w:ilvl="0" w:tplc="D9B0B782">
      <w:start w:val="1"/>
      <w:numFmt w:val="lowerRoman"/>
      <w:lvlText w:val="%1)"/>
      <w:lvlJc w:val="left"/>
      <w:pPr>
        <w:ind w:left="1263" w:hanging="563"/>
        <w:jc w:val="right"/>
      </w:pPr>
      <w:rPr>
        <w:rFonts w:ascii="Times New Roman" w:eastAsia="Times New Roman" w:hAnsi="Times New Roman" w:cs="Times New Roman" w:hint="default"/>
        <w:b w:val="0"/>
        <w:bCs w:val="0"/>
        <w:i w:val="0"/>
        <w:iCs w:val="0"/>
        <w:color w:val="211F1F"/>
        <w:spacing w:val="-4"/>
        <w:w w:val="100"/>
        <w:sz w:val="22"/>
        <w:szCs w:val="22"/>
        <w:lang w:val="en-US" w:eastAsia="en-US" w:bidi="ar-SA"/>
      </w:rPr>
    </w:lvl>
    <w:lvl w:ilvl="1" w:tplc="AE884B78">
      <w:numFmt w:val="bullet"/>
      <w:lvlText w:val="•"/>
      <w:lvlJc w:val="left"/>
      <w:pPr>
        <w:ind w:left="2217" w:hanging="563"/>
      </w:pPr>
      <w:rPr>
        <w:rFonts w:hint="default"/>
        <w:lang w:val="en-US" w:eastAsia="en-US" w:bidi="ar-SA"/>
      </w:rPr>
    </w:lvl>
    <w:lvl w:ilvl="2" w:tplc="B13CD27A">
      <w:numFmt w:val="bullet"/>
      <w:lvlText w:val="•"/>
      <w:lvlJc w:val="left"/>
      <w:pPr>
        <w:ind w:left="3175" w:hanging="563"/>
      </w:pPr>
      <w:rPr>
        <w:rFonts w:hint="default"/>
        <w:lang w:val="en-US" w:eastAsia="en-US" w:bidi="ar-SA"/>
      </w:rPr>
    </w:lvl>
    <w:lvl w:ilvl="3" w:tplc="41A84684">
      <w:numFmt w:val="bullet"/>
      <w:lvlText w:val="•"/>
      <w:lvlJc w:val="left"/>
      <w:pPr>
        <w:ind w:left="4133" w:hanging="563"/>
      </w:pPr>
      <w:rPr>
        <w:rFonts w:hint="default"/>
        <w:lang w:val="en-US" w:eastAsia="en-US" w:bidi="ar-SA"/>
      </w:rPr>
    </w:lvl>
    <w:lvl w:ilvl="4" w:tplc="BB646B2C">
      <w:numFmt w:val="bullet"/>
      <w:lvlText w:val="•"/>
      <w:lvlJc w:val="left"/>
      <w:pPr>
        <w:ind w:left="5091" w:hanging="563"/>
      </w:pPr>
      <w:rPr>
        <w:rFonts w:hint="default"/>
        <w:lang w:val="en-US" w:eastAsia="en-US" w:bidi="ar-SA"/>
      </w:rPr>
    </w:lvl>
    <w:lvl w:ilvl="5" w:tplc="0ACC7A50">
      <w:numFmt w:val="bullet"/>
      <w:lvlText w:val="•"/>
      <w:lvlJc w:val="left"/>
      <w:pPr>
        <w:ind w:left="6049" w:hanging="563"/>
      </w:pPr>
      <w:rPr>
        <w:rFonts w:hint="default"/>
        <w:lang w:val="en-US" w:eastAsia="en-US" w:bidi="ar-SA"/>
      </w:rPr>
    </w:lvl>
    <w:lvl w:ilvl="6" w:tplc="F362780A">
      <w:numFmt w:val="bullet"/>
      <w:lvlText w:val="•"/>
      <w:lvlJc w:val="left"/>
      <w:pPr>
        <w:ind w:left="7007" w:hanging="563"/>
      </w:pPr>
      <w:rPr>
        <w:rFonts w:hint="default"/>
        <w:lang w:val="en-US" w:eastAsia="en-US" w:bidi="ar-SA"/>
      </w:rPr>
    </w:lvl>
    <w:lvl w:ilvl="7" w:tplc="8D1C0430">
      <w:numFmt w:val="bullet"/>
      <w:lvlText w:val="•"/>
      <w:lvlJc w:val="left"/>
      <w:pPr>
        <w:ind w:left="7964" w:hanging="563"/>
      </w:pPr>
      <w:rPr>
        <w:rFonts w:hint="default"/>
        <w:lang w:val="en-US" w:eastAsia="en-US" w:bidi="ar-SA"/>
      </w:rPr>
    </w:lvl>
    <w:lvl w:ilvl="8" w:tplc="E4424B48">
      <w:numFmt w:val="bullet"/>
      <w:lvlText w:val="•"/>
      <w:lvlJc w:val="left"/>
      <w:pPr>
        <w:ind w:left="8922" w:hanging="563"/>
      </w:pPr>
      <w:rPr>
        <w:rFonts w:hint="default"/>
        <w:lang w:val="en-US" w:eastAsia="en-US" w:bidi="ar-SA"/>
      </w:rPr>
    </w:lvl>
  </w:abstractNum>
  <w:abstractNum w:abstractNumId="75" w15:restartNumberingAfterBreak="0">
    <w:nsid w:val="55BF4D1E"/>
    <w:multiLevelType w:val="hybridMultilevel"/>
    <w:tmpl w:val="851E5D40"/>
    <w:lvl w:ilvl="0" w:tplc="F3E06BEE">
      <w:start w:val="1"/>
      <w:numFmt w:val="decimal"/>
      <w:lvlText w:val="%1"/>
      <w:lvlJc w:val="left"/>
      <w:pPr>
        <w:ind w:left="1441" w:hanging="72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8B618AA">
      <w:numFmt w:val="bullet"/>
      <w:lvlText w:val="•"/>
      <w:lvlJc w:val="left"/>
      <w:pPr>
        <w:ind w:left="2308" w:hanging="721"/>
      </w:pPr>
      <w:rPr>
        <w:rFonts w:hint="default"/>
        <w:lang w:val="en-US" w:eastAsia="en-US" w:bidi="ar-SA"/>
      </w:rPr>
    </w:lvl>
    <w:lvl w:ilvl="2" w:tplc="8CD42206">
      <w:numFmt w:val="bullet"/>
      <w:lvlText w:val="•"/>
      <w:lvlJc w:val="left"/>
      <w:pPr>
        <w:ind w:left="3177" w:hanging="721"/>
      </w:pPr>
      <w:rPr>
        <w:rFonts w:hint="default"/>
        <w:lang w:val="en-US" w:eastAsia="en-US" w:bidi="ar-SA"/>
      </w:rPr>
    </w:lvl>
    <w:lvl w:ilvl="3" w:tplc="B13019C6">
      <w:numFmt w:val="bullet"/>
      <w:lvlText w:val="•"/>
      <w:lvlJc w:val="left"/>
      <w:pPr>
        <w:ind w:left="4046" w:hanging="721"/>
      </w:pPr>
      <w:rPr>
        <w:rFonts w:hint="default"/>
        <w:lang w:val="en-US" w:eastAsia="en-US" w:bidi="ar-SA"/>
      </w:rPr>
    </w:lvl>
    <w:lvl w:ilvl="4" w:tplc="106AF972">
      <w:numFmt w:val="bullet"/>
      <w:lvlText w:val="•"/>
      <w:lvlJc w:val="left"/>
      <w:pPr>
        <w:ind w:left="4915" w:hanging="721"/>
      </w:pPr>
      <w:rPr>
        <w:rFonts w:hint="default"/>
        <w:lang w:val="en-US" w:eastAsia="en-US" w:bidi="ar-SA"/>
      </w:rPr>
    </w:lvl>
    <w:lvl w:ilvl="5" w:tplc="1E84FF28">
      <w:numFmt w:val="bullet"/>
      <w:lvlText w:val="•"/>
      <w:lvlJc w:val="left"/>
      <w:pPr>
        <w:ind w:left="5784" w:hanging="721"/>
      </w:pPr>
      <w:rPr>
        <w:rFonts w:hint="default"/>
        <w:lang w:val="en-US" w:eastAsia="en-US" w:bidi="ar-SA"/>
      </w:rPr>
    </w:lvl>
    <w:lvl w:ilvl="6" w:tplc="3D7E8198">
      <w:numFmt w:val="bullet"/>
      <w:lvlText w:val="•"/>
      <w:lvlJc w:val="left"/>
      <w:pPr>
        <w:ind w:left="6652" w:hanging="721"/>
      </w:pPr>
      <w:rPr>
        <w:rFonts w:hint="default"/>
        <w:lang w:val="en-US" w:eastAsia="en-US" w:bidi="ar-SA"/>
      </w:rPr>
    </w:lvl>
    <w:lvl w:ilvl="7" w:tplc="3AA4191E">
      <w:numFmt w:val="bullet"/>
      <w:lvlText w:val="•"/>
      <w:lvlJc w:val="left"/>
      <w:pPr>
        <w:ind w:left="7521" w:hanging="721"/>
      </w:pPr>
      <w:rPr>
        <w:rFonts w:hint="default"/>
        <w:lang w:val="en-US" w:eastAsia="en-US" w:bidi="ar-SA"/>
      </w:rPr>
    </w:lvl>
    <w:lvl w:ilvl="8" w:tplc="F4EA6B3E">
      <w:numFmt w:val="bullet"/>
      <w:lvlText w:val="•"/>
      <w:lvlJc w:val="left"/>
      <w:pPr>
        <w:ind w:left="8390" w:hanging="721"/>
      </w:pPr>
      <w:rPr>
        <w:rFonts w:hint="default"/>
        <w:lang w:val="en-US" w:eastAsia="en-US" w:bidi="ar-SA"/>
      </w:rPr>
    </w:lvl>
  </w:abstractNum>
  <w:abstractNum w:abstractNumId="76" w15:restartNumberingAfterBreak="0">
    <w:nsid w:val="56537666"/>
    <w:multiLevelType w:val="hybridMultilevel"/>
    <w:tmpl w:val="E67CD6AC"/>
    <w:lvl w:ilvl="0" w:tplc="107A7D8A">
      <w:start w:val="1"/>
      <w:numFmt w:val="lowerRoman"/>
      <w:lvlText w:val="%1)"/>
      <w:lvlJc w:val="left"/>
      <w:pPr>
        <w:ind w:left="1935" w:hanging="644"/>
        <w:jc w:val="left"/>
      </w:pPr>
      <w:rPr>
        <w:rFonts w:ascii="Times New Roman" w:eastAsia="Times New Roman" w:hAnsi="Times New Roman" w:cs="Times New Roman" w:hint="default"/>
        <w:b w:val="0"/>
        <w:bCs w:val="0"/>
        <w:i w:val="0"/>
        <w:iCs w:val="0"/>
        <w:color w:val="211F1F"/>
        <w:spacing w:val="-4"/>
        <w:w w:val="100"/>
        <w:sz w:val="22"/>
        <w:szCs w:val="22"/>
        <w:lang w:val="en-US" w:eastAsia="en-US" w:bidi="ar-SA"/>
      </w:rPr>
    </w:lvl>
    <w:lvl w:ilvl="1" w:tplc="96EEA988">
      <w:numFmt w:val="bullet"/>
      <w:lvlText w:val="•"/>
      <w:lvlJc w:val="left"/>
      <w:pPr>
        <w:ind w:left="2901" w:hanging="644"/>
      </w:pPr>
      <w:rPr>
        <w:rFonts w:hint="default"/>
        <w:lang w:val="en-US" w:eastAsia="en-US" w:bidi="ar-SA"/>
      </w:rPr>
    </w:lvl>
    <w:lvl w:ilvl="2" w:tplc="35160B22">
      <w:numFmt w:val="bullet"/>
      <w:lvlText w:val="•"/>
      <w:lvlJc w:val="left"/>
      <w:pPr>
        <w:ind w:left="3863" w:hanging="644"/>
      </w:pPr>
      <w:rPr>
        <w:rFonts w:hint="default"/>
        <w:lang w:val="en-US" w:eastAsia="en-US" w:bidi="ar-SA"/>
      </w:rPr>
    </w:lvl>
    <w:lvl w:ilvl="3" w:tplc="5D806EBC">
      <w:numFmt w:val="bullet"/>
      <w:lvlText w:val="•"/>
      <w:lvlJc w:val="left"/>
      <w:pPr>
        <w:ind w:left="4825" w:hanging="644"/>
      </w:pPr>
      <w:rPr>
        <w:rFonts w:hint="default"/>
        <w:lang w:val="en-US" w:eastAsia="en-US" w:bidi="ar-SA"/>
      </w:rPr>
    </w:lvl>
    <w:lvl w:ilvl="4" w:tplc="84C27580">
      <w:numFmt w:val="bullet"/>
      <w:lvlText w:val="•"/>
      <w:lvlJc w:val="left"/>
      <w:pPr>
        <w:ind w:left="5787" w:hanging="644"/>
      </w:pPr>
      <w:rPr>
        <w:rFonts w:hint="default"/>
        <w:lang w:val="en-US" w:eastAsia="en-US" w:bidi="ar-SA"/>
      </w:rPr>
    </w:lvl>
    <w:lvl w:ilvl="5" w:tplc="0C6AA58A">
      <w:numFmt w:val="bullet"/>
      <w:lvlText w:val="•"/>
      <w:lvlJc w:val="left"/>
      <w:pPr>
        <w:ind w:left="6749" w:hanging="644"/>
      </w:pPr>
      <w:rPr>
        <w:rFonts w:hint="default"/>
        <w:lang w:val="en-US" w:eastAsia="en-US" w:bidi="ar-SA"/>
      </w:rPr>
    </w:lvl>
    <w:lvl w:ilvl="6" w:tplc="19B21788">
      <w:numFmt w:val="bullet"/>
      <w:lvlText w:val="•"/>
      <w:lvlJc w:val="left"/>
      <w:pPr>
        <w:ind w:left="7711" w:hanging="644"/>
      </w:pPr>
      <w:rPr>
        <w:rFonts w:hint="default"/>
        <w:lang w:val="en-US" w:eastAsia="en-US" w:bidi="ar-SA"/>
      </w:rPr>
    </w:lvl>
    <w:lvl w:ilvl="7" w:tplc="35BAB302">
      <w:numFmt w:val="bullet"/>
      <w:lvlText w:val="•"/>
      <w:lvlJc w:val="left"/>
      <w:pPr>
        <w:ind w:left="8672" w:hanging="644"/>
      </w:pPr>
      <w:rPr>
        <w:rFonts w:hint="default"/>
        <w:lang w:val="en-US" w:eastAsia="en-US" w:bidi="ar-SA"/>
      </w:rPr>
    </w:lvl>
    <w:lvl w:ilvl="8" w:tplc="0C02238C">
      <w:numFmt w:val="bullet"/>
      <w:lvlText w:val="•"/>
      <w:lvlJc w:val="left"/>
      <w:pPr>
        <w:ind w:left="9634" w:hanging="644"/>
      </w:pPr>
      <w:rPr>
        <w:rFonts w:hint="default"/>
        <w:lang w:val="en-US" w:eastAsia="en-US" w:bidi="ar-SA"/>
      </w:rPr>
    </w:lvl>
  </w:abstractNum>
  <w:abstractNum w:abstractNumId="77" w15:restartNumberingAfterBreak="0">
    <w:nsid w:val="56677DB9"/>
    <w:multiLevelType w:val="hybridMultilevel"/>
    <w:tmpl w:val="E9B6B076"/>
    <w:lvl w:ilvl="0" w:tplc="2F0C38F4">
      <w:start w:val="1"/>
      <w:numFmt w:val="lowerLetter"/>
      <w:lvlText w:val="(%1)"/>
      <w:lvlJc w:val="left"/>
      <w:pPr>
        <w:ind w:left="659" w:hanging="543"/>
        <w:jc w:val="left"/>
      </w:pPr>
      <w:rPr>
        <w:rFonts w:ascii="Times New Roman" w:eastAsia="Times New Roman" w:hAnsi="Times New Roman" w:cs="Times New Roman" w:hint="default"/>
        <w:b w:val="0"/>
        <w:bCs w:val="0"/>
        <w:i w:val="0"/>
        <w:iCs w:val="0"/>
        <w:spacing w:val="-2"/>
        <w:w w:val="100"/>
        <w:sz w:val="22"/>
        <w:szCs w:val="22"/>
        <w:lang w:val="en-US" w:eastAsia="en-US" w:bidi="ar-SA"/>
      </w:rPr>
    </w:lvl>
    <w:lvl w:ilvl="1" w:tplc="4BE27B86">
      <w:numFmt w:val="bullet"/>
      <w:lvlText w:val="•"/>
      <w:lvlJc w:val="left"/>
      <w:pPr>
        <w:ind w:left="1457" w:hanging="543"/>
      </w:pPr>
      <w:rPr>
        <w:rFonts w:hint="default"/>
        <w:lang w:val="en-US" w:eastAsia="en-US" w:bidi="ar-SA"/>
      </w:rPr>
    </w:lvl>
    <w:lvl w:ilvl="2" w:tplc="5260938A">
      <w:numFmt w:val="bullet"/>
      <w:lvlText w:val="•"/>
      <w:lvlJc w:val="left"/>
      <w:pPr>
        <w:ind w:left="2255" w:hanging="543"/>
      </w:pPr>
      <w:rPr>
        <w:rFonts w:hint="default"/>
        <w:lang w:val="en-US" w:eastAsia="en-US" w:bidi="ar-SA"/>
      </w:rPr>
    </w:lvl>
    <w:lvl w:ilvl="3" w:tplc="83805686">
      <w:numFmt w:val="bullet"/>
      <w:lvlText w:val="•"/>
      <w:lvlJc w:val="left"/>
      <w:pPr>
        <w:ind w:left="3053" w:hanging="543"/>
      </w:pPr>
      <w:rPr>
        <w:rFonts w:hint="default"/>
        <w:lang w:val="en-US" w:eastAsia="en-US" w:bidi="ar-SA"/>
      </w:rPr>
    </w:lvl>
    <w:lvl w:ilvl="4" w:tplc="BE6A9D04">
      <w:numFmt w:val="bullet"/>
      <w:lvlText w:val="•"/>
      <w:lvlJc w:val="left"/>
      <w:pPr>
        <w:ind w:left="3851" w:hanging="543"/>
      </w:pPr>
      <w:rPr>
        <w:rFonts w:hint="default"/>
        <w:lang w:val="en-US" w:eastAsia="en-US" w:bidi="ar-SA"/>
      </w:rPr>
    </w:lvl>
    <w:lvl w:ilvl="5" w:tplc="3D28A06A">
      <w:numFmt w:val="bullet"/>
      <w:lvlText w:val="•"/>
      <w:lvlJc w:val="left"/>
      <w:pPr>
        <w:ind w:left="4649" w:hanging="543"/>
      </w:pPr>
      <w:rPr>
        <w:rFonts w:hint="default"/>
        <w:lang w:val="en-US" w:eastAsia="en-US" w:bidi="ar-SA"/>
      </w:rPr>
    </w:lvl>
    <w:lvl w:ilvl="6" w:tplc="6FC2BD46">
      <w:numFmt w:val="bullet"/>
      <w:lvlText w:val="•"/>
      <w:lvlJc w:val="left"/>
      <w:pPr>
        <w:ind w:left="5446" w:hanging="543"/>
      </w:pPr>
      <w:rPr>
        <w:rFonts w:hint="default"/>
        <w:lang w:val="en-US" w:eastAsia="en-US" w:bidi="ar-SA"/>
      </w:rPr>
    </w:lvl>
    <w:lvl w:ilvl="7" w:tplc="AD60CE22">
      <w:numFmt w:val="bullet"/>
      <w:lvlText w:val="•"/>
      <w:lvlJc w:val="left"/>
      <w:pPr>
        <w:ind w:left="6244" w:hanging="543"/>
      </w:pPr>
      <w:rPr>
        <w:rFonts w:hint="default"/>
        <w:lang w:val="en-US" w:eastAsia="en-US" w:bidi="ar-SA"/>
      </w:rPr>
    </w:lvl>
    <w:lvl w:ilvl="8" w:tplc="A61C14AA">
      <w:numFmt w:val="bullet"/>
      <w:lvlText w:val="•"/>
      <w:lvlJc w:val="left"/>
      <w:pPr>
        <w:ind w:left="7042" w:hanging="543"/>
      </w:pPr>
      <w:rPr>
        <w:rFonts w:hint="default"/>
        <w:lang w:val="en-US" w:eastAsia="en-US" w:bidi="ar-SA"/>
      </w:rPr>
    </w:lvl>
  </w:abstractNum>
  <w:abstractNum w:abstractNumId="78" w15:restartNumberingAfterBreak="0">
    <w:nsid w:val="589A6089"/>
    <w:multiLevelType w:val="hybridMultilevel"/>
    <w:tmpl w:val="5912A348"/>
    <w:lvl w:ilvl="0" w:tplc="ADF638AE">
      <w:start w:val="1"/>
      <w:numFmt w:val="lowerRoman"/>
      <w:lvlText w:val="%1."/>
      <w:lvlJc w:val="left"/>
      <w:pPr>
        <w:ind w:left="494" w:hanging="361"/>
        <w:jc w:val="left"/>
      </w:pPr>
      <w:rPr>
        <w:rFonts w:ascii="Calibri" w:eastAsia="Calibri" w:hAnsi="Calibri" w:cs="Calibri" w:hint="default"/>
        <w:b w:val="0"/>
        <w:bCs w:val="0"/>
        <w:i w:val="0"/>
        <w:iCs w:val="0"/>
        <w:spacing w:val="-3"/>
        <w:w w:val="100"/>
        <w:sz w:val="24"/>
        <w:szCs w:val="24"/>
        <w:lang w:val="en-US" w:eastAsia="en-US" w:bidi="ar-SA"/>
      </w:rPr>
    </w:lvl>
    <w:lvl w:ilvl="1" w:tplc="EE109C26">
      <w:numFmt w:val="bullet"/>
      <w:lvlText w:val="•"/>
      <w:lvlJc w:val="left"/>
      <w:pPr>
        <w:ind w:left="1255" w:hanging="361"/>
      </w:pPr>
      <w:rPr>
        <w:rFonts w:hint="default"/>
        <w:lang w:val="en-US" w:eastAsia="en-US" w:bidi="ar-SA"/>
      </w:rPr>
    </w:lvl>
    <w:lvl w:ilvl="2" w:tplc="DCCCFE06">
      <w:numFmt w:val="bullet"/>
      <w:lvlText w:val="•"/>
      <w:lvlJc w:val="left"/>
      <w:pPr>
        <w:ind w:left="2011" w:hanging="361"/>
      </w:pPr>
      <w:rPr>
        <w:rFonts w:hint="default"/>
        <w:lang w:val="en-US" w:eastAsia="en-US" w:bidi="ar-SA"/>
      </w:rPr>
    </w:lvl>
    <w:lvl w:ilvl="3" w:tplc="E2160830">
      <w:numFmt w:val="bullet"/>
      <w:lvlText w:val="•"/>
      <w:lvlJc w:val="left"/>
      <w:pPr>
        <w:ind w:left="2767" w:hanging="361"/>
      </w:pPr>
      <w:rPr>
        <w:rFonts w:hint="default"/>
        <w:lang w:val="en-US" w:eastAsia="en-US" w:bidi="ar-SA"/>
      </w:rPr>
    </w:lvl>
    <w:lvl w:ilvl="4" w:tplc="7F6A94FA">
      <w:numFmt w:val="bullet"/>
      <w:lvlText w:val="•"/>
      <w:lvlJc w:val="left"/>
      <w:pPr>
        <w:ind w:left="3522" w:hanging="361"/>
      </w:pPr>
      <w:rPr>
        <w:rFonts w:hint="default"/>
        <w:lang w:val="en-US" w:eastAsia="en-US" w:bidi="ar-SA"/>
      </w:rPr>
    </w:lvl>
    <w:lvl w:ilvl="5" w:tplc="A6DCE4A8">
      <w:numFmt w:val="bullet"/>
      <w:lvlText w:val="•"/>
      <w:lvlJc w:val="left"/>
      <w:pPr>
        <w:ind w:left="4278" w:hanging="361"/>
      </w:pPr>
      <w:rPr>
        <w:rFonts w:hint="default"/>
        <w:lang w:val="en-US" w:eastAsia="en-US" w:bidi="ar-SA"/>
      </w:rPr>
    </w:lvl>
    <w:lvl w:ilvl="6" w:tplc="BC689CF0">
      <w:numFmt w:val="bullet"/>
      <w:lvlText w:val="•"/>
      <w:lvlJc w:val="left"/>
      <w:pPr>
        <w:ind w:left="5034" w:hanging="361"/>
      </w:pPr>
      <w:rPr>
        <w:rFonts w:hint="default"/>
        <w:lang w:val="en-US" w:eastAsia="en-US" w:bidi="ar-SA"/>
      </w:rPr>
    </w:lvl>
    <w:lvl w:ilvl="7" w:tplc="42122246">
      <w:numFmt w:val="bullet"/>
      <w:lvlText w:val="•"/>
      <w:lvlJc w:val="left"/>
      <w:pPr>
        <w:ind w:left="5789" w:hanging="361"/>
      </w:pPr>
      <w:rPr>
        <w:rFonts w:hint="default"/>
        <w:lang w:val="en-US" w:eastAsia="en-US" w:bidi="ar-SA"/>
      </w:rPr>
    </w:lvl>
    <w:lvl w:ilvl="8" w:tplc="479EEDBA">
      <w:numFmt w:val="bullet"/>
      <w:lvlText w:val="•"/>
      <w:lvlJc w:val="left"/>
      <w:pPr>
        <w:ind w:left="6545" w:hanging="361"/>
      </w:pPr>
      <w:rPr>
        <w:rFonts w:hint="default"/>
        <w:lang w:val="en-US" w:eastAsia="en-US" w:bidi="ar-SA"/>
      </w:rPr>
    </w:lvl>
  </w:abstractNum>
  <w:abstractNum w:abstractNumId="79" w15:restartNumberingAfterBreak="0">
    <w:nsid w:val="59623B13"/>
    <w:multiLevelType w:val="multilevel"/>
    <w:tmpl w:val="84902934"/>
    <w:lvl w:ilvl="0">
      <w:start w:val="34"/>
      <w:numFmt w:val="decimal"/>
      <w:lvlText w:val="%1"/>
      <w:lvlJc w:val="left"/>
      <w:pPr>
        <w:ind w:left="720" w:hanging="721"/>
        <w:jc w:val="left"/>
      </w:pPr>
      <w:rPr>
        <w:rFonts w:hint="default"/>
        <w:lang w:val="en-US" w:eastAsia="en-US" w:bidi="ar-SA"/>
      </w:rPr>
    </w:lvl>
    <w:lvl w:ilvl="1">
      <w:numFmt w:val="decimal"/>
      <w:lvlText w:val="%1.%2"/>
      <w:lvlJc w:val="left"/>
      <w:pPr>
        <w:ind w:left="720" w:hanging="721"/>
        <w:jc w:val="right"/>
      </w:pPr>
      <w:rPr>
        <w:rFonts w:hint="default"/>
        <w:spacing w:val="0"/>
        <w:w w:val="100"/>
        <w:lang w:val="en-US" w:eastAsia="en-US" w:bidi="ar-SA"/>
      </w:rPr>
    </w:lvl>
    <w:lvl w:ilvl="2">
      <w:numFmt w:val="bullet"/>
      <w:lvlText w:val="•"/>
      <w:lvlJc w:val="left"/>
      <w:pPr>
        <w:ind w:left="2529" w:hanging="721"/>
      </w:pPr>
      <w:rPr>
        <w:rFonts w:hint="default"/>
        <w:lang w:val="en-US" w:eastAsia="en-US" w:bidi="ar-SA"/>
      </w:rPr>
    </w:lvl>
    <w:lvl w:ilvl="3">
      <w:numFmt w:val="bullet"/>
      <w:lvlText w:val="•"/>
      <w:lvlJc w:val="left"/>
      <w:pPr>
        <w:ind w:left="3434" w:hanging="721"/>
      </w:pPr>
      <w:rPr>
        <w:rFonts w:hint="default"/>
        <w:lang w:val="en-US" w:eastAsia="en-US" w:bidi="ar-SA"/>
      </w:rPr>
    </w:lvl>
    <w:lvl w:ilvl="4">
      <w:numFmt w:val="bullet"/>
      <w:lvlText w:val="•"/>
      <w:lvlJc w:val="left"/>
      <w:pPr>
        <w:ind w:left="4339" w:hanging="721"/>
      </w:pPr>
      <w:rPr>
        <w:rFonts w:hint="default"/>
        <w:lang w:val="en-US" w:eastAsia="en-US" w:bidi="ar-SA"/>
      </w:rPr>
    </w:lvl>
    <w:lvl w:ilvl="5">
      <w:numFmt w:val="bullet"/>
      <w:lvlText w:val="•"/>
      <w:lvlJc w:val="left"/>
      <w:pPr>
        <w:ind w:left="5244" w:hanging="721"/>
      </w:pPr>
      <w:rPr>
        <w:rFonts w:hint="default"/>
        <w:lang w:val="en-US" w:eastAsia="en-US" w:bidi="ar-SA"/>
      </w:rPr>
    </w:lvl>
    <w:lvl w:ilvl="6">
      <w:numFmt w:val="bullet"/>
      <w:lvlText w:val="•"/>
      <w:lvlJc w:val="left"/>
      <w:pPr>
        <w:ind w:left="6148" w:hanging="721"/>
      </w:pPr>
      <w:rPr>
        <w:rFonts w:hint="default"/>
        <w:lang w:val="en-US" w:eastAsia="en-US" w:bidi="ar-SA"/>
      </w:rPr>
    </w:lvl>
    <w:lvl w:ilvl="7">
      <w:numFmt w:val="bullet"/>
      <w:lvlText w:val="•"/>
      <w:lvlJc w:val="left"/>
      <w:pPr>
        <w:ind w:left="7053" w:hanging="721"/>
      </w:pPr>
      <w:rPr>
        <w:rFonts w:hint="default"/>
        <w:lang w:val="en-US" w:eastAsia="en-US" w:bidi="ar-SA"/>
      </w:rPr>
    </w:lvl>
    <w:lvl w:ilvl="8">
      <w:numFmt w:val="bullet"/>
      <w:lvlText w:val="•"/>
      <w:lvlJc w:val="left"/>
      <w:pPr>
        <w:ind w:left="7958" w:hanging="721"/>
      </w:pPr>
      <w:rPr>
        <w:rFonts w:hint="default"/>
        <w:lang w:val="en-US" w:eastAsia="en-US" w:bidi="ar-SA"/>
      </w:rPr>
    </w:lvl>
  </w:abstractNum>
  <w:abstractNum w:abstractNumId="80" w15:restartNumberingAfterBreak="0">
    <w:nsid w:val="59EA304B"/>
    <w:multiLevelType w:val="hybridMultilevel"/>
    <w:tmpl w:val="D070D6FE"/>
    <w:lvl w:ilvl="0" w:tplc="668ED8D2">
      <w:start w:val="1"/>
      <w:numFmt w:val="lowerLetter"/>
      <w:lvlText w:val="(%1)"/>
      <w:lvlJc w:val="left"/>
      <w:pPr>
        <w:ind w:left="360" w:hanging="720"/>
        <w:jc w:val="left"/>
      </w:pPr>
      <w:rPr>
        <w:rFonts w:ascii="Times New Roman" w:eastAsia="Times New Roman" w:hAnsi="Times New Roman" w:cs="Times New Roman" w:hint="default"/>
        <w:b w:val="0"/>
        <w:bCs w:val="0"/>
        <w:i w:val="0"/>
        <w:iCs w:val="0"/>
        <w:spacing w:val="-6"/>
        <w:w w:val="100"/>
        <w:sz w:val="24"/>
        <w:szCs w:val="24"/>
        <w:lang w:val="en-US" w:eastAsia="en-US" w:bidi="ar-SA"/>
      </w:rPr>
    </w:lvl>
    <w:lvl w:ilvl="1" w:tplc="801C28EE">
      <w:numFmt w:val="bullet"/>
      <w:lvlText w:val="•"/>
      <w:lvlJc w:val="left"/>
      <w:pPr>
        <w:ind w:left="1479" w:hanging="720"/>
      </w:pPr>
      <w:rPr>
        <w:rFonts w:hint="default"/>
        <w:lang w:val="en-US" w:eastAsia="en-US" w:bidi="ar-SA"/>
      </w:rPr>
    </w:lvl>
    <w:lvl w:ilvl="2" w:tplc="8B5E1766">
      <w:numFmt w:val="bullet"/>
      <w:lvlText w:val="•"/>
      <w:lvlJc w:val="left"/>
      <w:pPr>
        <w:ind w:left="2599" w:hanging="720"/>
      </w:pPr>
      <w:rPr>
        <w:rFonts w:hint="default"/>
        <w:lang w:val="en-US" w:eastAsia="en-US" w:bidi="ar-SA"/>
      </w:rPr>
    </w:lvl>
    <w:lvl w:ilvl="3" w:tplc="1110E3DC">
      <w:numFmt w:val="bullet"/>
      <w:lvlText w:val="•"/>
      <w:lvlJc w:val="left"/>
      <w:pPr>
        <w:ind w:left="3719" w:hanging="720"/>
      </w:pPr>
      <w:rPr>
        <w:rFonts w:hint="default"/>
        <w:lang w:val="en-US" w:eastAsia="en-US" w:bidi="ar-SA"/>
      </w:rPr>
    </w:lvl>
    <w:lvl w:ilvl="4" w:tplc="1EBC8EBE">
      <w:numFmt w:val="bullet"/>
      <w:lvlText w:val="•"/>
      <w:lvlJc w:val="left"/>
      <w:pPr>
        <w:ind w:left="4839" w:hanging="720"/>
      </w:pPr>
      <w:rPr>
        <w:rFonts w:hint="default"/>
        <w:lang w:val="en-US" w:eastAsia="en-US" w:bidi="ar-SA"/>
      </w:rPr>
    </w:lvl>
    <w:lvl w:ilvl="5" w:tplc="AE9AC36A">
      <w:numFmt w:val="bullet"/>
      <w:lvlText w:val="•"/>
      <w:lvlJc w:val="left"/>
      <w:pPr>
        <w:ind w:left="5959" w:hanging="720"/>
      </w:pPr>
      <w:rPr>
        <w:rFonts w:hint="default"/>
        <w:lang w:val="en-US" w:eastAsia="en-US" w:bidi="ar-SA"/>
      </w:rPr>
    </w:lvl>
    <w:lvl w:ilvl="6" w:tplc="67407E74">
      <w:numFmt w:val="bullet"/>
      <w:lvlText w:val="•"/>
      <w:lvlJc w:val="left"/>
      <w:pPr>
        <w:ind w:left="7079" w:hanging="720"/>
      </w:pPr>
      <w:rPr>
        <w:rFonts w:hint="default"/>
        <w:lang w:val="en-US" w:eastAsia="en-US" w:bidi="ar-SA"/>
      </w:rPr>
    </w:lvl>
    <w:lvl w:ilvl="7" w:tplc="AC6087FC">
      <w:numFmt w:val="bullet"/>
      <w:lvlText w:val="•"/>
      <w:lvlJc w:val="left"/>
      <w:pPr>
        <w:ind w:left="8198" w:hanging="720"/>
      </w:pPr>
      <w:rPr>
        <w:rFonts w:hint="default"/>
        <w:lang w:val="en-US" w:eastAsia="en-US" w:bidi="ar-SA"/>
      </w:rPr>
    </w:lvl>
    <w:lvl w:ilvl="8" w:tplc="4F2CE586">
      <w:numFmt w:val="bullet"/>
      <w:lvlText w:val="•"/>
      <w:lvlJc w:val="left"/>
      <w:pPr>
        <w:ind w:left="9318" w:hanging="720"/>
      </w:pPr>
      <w:rPr>
        <w:rFonts w:hint="default"/>
        <w:lang w:val="en-US" w:eastAsia="en-US" w:bidi="ar-SA"/>
      </w:rPr>
    </w:lvl>
  </w:abstractNum>
  <w:abstractNum w:abstractNumId="81" w15:restartNumberingAfterBreak="0">
    <w:nsid w:val="59FE407E"/>
    <w:multiLevelType w:val="hybridMultilevel"/>
    <w:tmpl w:val="EC24BFAC"/>
    <w:lvl w:ilvl="0" w:tplc="E02470D8">
      <w:start w:val="1"/>
      <w:numFmt w:val="decimal"/>
      <w:lvlText w:val="%1."/>
      <w:lvlJc w:val="left"/>
      <w:pPr>
        <w:ind w:left="1051" w:hanging="552"/>
        <w:jc w:val="left"/>
      </w:pPr>
      <w:rPr>
        <w:rFonts w:ascii="Times New Roman" w:eastAsia="Times New Roman" w:hAnsi="Times New Roman" w:cs="Times New Roman" w:hint="default"/>
        <w:b w:val="0"/>
        <w:bCs w:val="0"/>
        <w:i w:val="0"/>
        <w:iCs w:val="0"/>
        <w:color w:val="211F1F"/>
        <w:spacing w:val="-23"/>
        <w:w w:val="94"/>
        <w:sz w:val="22"/>
        <w:szCs w:val="22"/>
        <w:lang w:val="en-US" w:eastAsia="en-US" w:bidi="ar-SA"/>
      </w:rPr>
    </w:lvl>
    <w:lvl w:ilvl="1" w:tplc="A19ECE2E">
      <w:start w:val="1"/>
      <w:numFmt w:val="lowerLetter"/>
      <w:lvlText w:val="%2)"/>
      <w:lvlJc w:val="left"/>
      <w:pPr>
        <w:ind w:left="1474" w:hanging="438"/>
        <w:jc w:val="left"/>
      </w:pPr>
      <w:rPr>
        <w:rFonts w:ascii="Times New Roman" w:eastAsia="Times New Roman" w:hAnsi="Times New Roman" w:cs="Times New Roman" w:hint="default"/>
        <w:b w:val="0"/>
        <w:bCs w:val="0"/>
        <w:i w:val="0"/>
        <w:iCs w:val="0"/>
        <w:color w:val="211F1F"/>
        <w:spacing w:val="0"/>
        <w:w w:val="100"/>
        <w:sz w:val="22"/>
        <w:szCs w:val="22"/>
        <w:lang w:val="en-US" w:eastAsia="en-US" w:bidi="ar-SA"/>
      </w:rPr>
    </w:lvl>
    <w:lvl w:ilvl="2" w:tplc="670CD37A">
      <w:numFmt w:val="bullet"/>
      <w:lvlText w:val="•"/>
      <w:lvlJc w:val="left"/>
      <w:pPr>
        <w:ind w:left="2599" w:hanging="438"/>
      </w:pPr>
      <w:rPr>
        <w:rFonts w:hint="default"/>
        <w:lang w:val="en-US" w:eastAsia="en-US" w:bidi="ar-SA"/>
      </w:rPr>
    </w:lvl>
    <w:lvl w:ilvl="3" w:tplc="6700C4D4">
      <w:numFmt w:val="bullet"/>
      <w:lvlText w:val="•"/>
      <w:lvlJc w:val="left"/>
      <w:pPr>
        <w:ind w:left="3719" w:hanging="438"/>
      </w:pPr>
      <w:rPr>
        <w:rFonts w:hint="default"/>
        <w:lang w:val="en-US" w:eastAsia="en-US" w:bidi="ar-SA"/>
      </w:rPr>
    </w:lvl>
    <w:lvl w:ilvl="4" w:tplc="932EF5AA">
      <w:numFmt w:val="bullet"/>
      <w:lvlText w:val="•"/>
      <w:lvlJc w:val="left"/>
      <w:pPr>
        <w:ind w:left="4839" w:hanging="438"/>
      </w:pPr>
      <w:rPr>
        <w:rFonts w:hint="default"/>
        <w:lang w:val="en-US" w:eastAsia="en-US" w:bidi="ar-SA"/>
      </w:rPr>
    </w:lvl>
    <w:lvl w:ilvl="5" w:tplc="33F0EE2C">
      <w:numFmt w:val="bullet"/>
      <w:lvlText w:val="•"/>
      <w:lvlJc w:val="left"/>
      <w:pPr>
        <w:ind w:left="5959" w:hanging="438"/>
      </w:pPr>
      <w:rPr>
        <w:rFonts w:hint="default"/>
        <w:lang w:val="en-US" w:eastAsia="en-US" w:bidi="ar-SA"/>
      </w:rPr>
    </w:lvl>
    <w:lvl w:ilvl="6" w:tplc="BBE02AFE">
      <w:numFmt w:val="bullet"/>
      <w:lvlText w:val="•"/>
      <w:lvlJc w:val="left"/>
      <w:pPr>
        <w:ind w:left="7079" w:hanging="438"/>
      </w:pPr>
      <w:rPr>
        <w:rFonts w:hint="default"/>
        <w:lang w:val="en-US" w:eastAsia="en-US" w:bidi="ar-SA"/>
      </w:rPr>
    </w:lvl>
    <w:lvl w:ilvl="7" w:tplc="A97219FA">
      <w:numFmt w:val="bullet"/>
      <w:lvlText w:val="•"/>
      <w:lvlJc w:val="left"/>
      <w:pPr>
        <w:ind w:left="8198" w:hanging="438"/>
      </w:pPr>
      <w:rPr>
        <w:rFonts w:hint="default"/>
        <w:lang w:val="en-US" w:eastAsia="en-US" w:bidi="ar-SA"/>
      </w:rPr>
    </w:lvl>
    <w:lvl w:ilvl="8" w:tplc="F9B43608">
      <w:numFmt w:val="bullet"/>
      <w:lvlText w:val="•"/>
      <w:lvlJc w:val="left"/>
      <w:pPr>
        <w:ind w:left="9318" w:hanging="438"/>
      </w:pPr>
      <w:rPr>
        <w:rFonts w:hint="default"/>
        <w:lang w:val="en-US" w:eastAsia="en-US" w:bidi="ar-SA"/>
      </w:rPr>
    </w:lvl>
  </w:abstractNum>
  <w:abstractNum w:abstractNumId="82" w15:restartNumberingAfterBreak="0">
    <w:nsid w:val="5B2C750A"/>
    <w:multiLevelType w:val="multilevel"/>
    <w:tmpl w:val="35B27574"/>
    <w:lvl w:ilvl="0">
      <w:start w:val="18"/>
      <w:numFmt w:val="decimal"/>
      <w:lvlText w:val="%1"/>
      <w:lvlJc w:val="left"/>
      <w:pPr>
        <w:ind w:left="720" w:hanging="721"/>
        <w:jc w:val="left"/>
      </w:pPr>
      <w:rPr>
        <w:rFonts w:hint="default"/>
        <w:lang w:val="en-US" w:eastAsia="en-US" w:bidi="ar-SA"/>
      </w:rPr>
    </w:lvl>
    <w:lvl w:ilvl="1">
      <w:numFmt w:val="decimal"/>
      <w:lvlText w:val="%1.%2"/>
      <w:lvlJc w:val="left"/>
      <w:pPr>
        <w:ind w:left="720" w:hanging="721"/>
        <w:jc w:val="right"/>
      </w:pPr>
      <w:rPr>
        <w:rFonts w:hint="default"/>
        <w:spacing w:val="0"/>
        <w:w w:val="100"/>
        <w:lang w:val="en-US" w:eastAsia="en-US" w:bidi="ar-SA"/>
      </w:rPr>
    </w:lvl>
    <w:lvl w:ilvl="2">
      <w:numFmt w:val="bullet"/>
      <w:lvlText w:val="•"/>
      <w:lvlJc w:val="left"/>
      <w:pPr>
        <w:ind w:left="2529" w:hanging="721"/>
      </w:pPr>
      <w:rPr>
        <w:rFonts w:hint="default"/>
        <w:lang w:val="en-US" w:eastAsia="en-US" w:bidi="ar-SA"/>
      </w:rPr>
    </w:lvl>
    <w:lvl w:ilvl="3">
      <w:numFmt w:val="bullet"/>
      <w:lvlText w:val="•"/>
      <w:lvlJc w:val="left"/>
      <w:pPr>
        <w:ind w:left="3434" w:hanging="721"/>
      </w:pPr>
      <w:rPr>
        <w:rFonts w:hint="default"/>
        <w:lang w:val="en-US" w:eastAsia="en-US" w:bidi="ar-SA"/>
      </w:rPr>
    </w:lvl>
    <w:lvl w:ilvl="4">
      <w:numFmt w:val="bullet"/>
      <w:lvlText w:val="•"/>
      <w:lvlJc w:val="left"/>
      <w:pPr>
        <w:ind w:left="4339" w:hanging="721"/>
      </w:pPr>
      <w:rPr>
        <w:rFonts w:hint="default"/>
        <w:lang w:val="en-US" w:eastAsia="en-US" w:bidi="ar-SA"/>
      </w:rPr>
    </w:lvl>
    <w:lvl w:ilvl="5">
      <w:numFmt w:val="bullet"/>
      <w:lvlText w:val="•"/>
      <w:lvlJc w:val="left"/>
      <w:pPr>
        <w:ind w:left="5244" w:hanging="721"/>
      </w:pPr>
      <w:rPr>
        <w:rFonts w:hint="default"/>
        <w:lang w:val="en-US" w:eastAsia="en-US" w:bidi="ar-SA"/>
      </w:rPr>
    </w:lvl>
    <w:lvl w:ilvl="6">
      <w:numFmt w:val="bullet"/>
      <w:lvlText w:val="•"/>
      <w:lvlJc w:val="left"/>
      <w:pPr>
        <w:ind w:left="6148" w:hanging="721"/>
      </w:pPr>
      <w:rPr>
        <w:rFonts w:hint="default"/>
        <w:lang w:val="en-US" w:eastAsia="en-US" w:bidi="ar-SA"/>
      </w:rPr>
    </w:lvl>
    <w:lvl w:ilvl="7">
      <w:numFmt w:val="bullet"/>
      <w:lvlText w:val="•"/>
      <w:lvlJc w:val="left"/>
      <w:pPr>
        <w:ind w:left="7053" w:hanging="721"/>
      </w:pPr>
      <w:rPr>
        <w:rFonts w:hint="default"/>
        <w:lang w:val="en-US" w:eastAsia="en-US" w:bidi="ar-SA"/>
      </w:rPr>
    </w:lvl>
    <w:lvl w:ilvl="8">
      <w:numFmt w:val="bullet"/>
      <w:lvlText w:val="•"/>
      <w:lvlJc w:val="left"/>
      <w:pPr>
        <w:ind w:left="7958" w:hanging="721"/>
      </w:pPr>
      <w:rPr>
        <w:rFonts w:hint="default"/>
        <w:lang w:val="en-US" w:eastAsia="en-US" w:bidi="ar-SA"/>
      </w:rPr>
    </w:lvl>
  </w:abstractNum>
  <w:abstractNum w:abstractNumId="83" w15:restartNumberingAfterBreak="0">
    <w:nsid w:val="5B826559"/>
    <w:multiLevelType w:val="multilevel"/>
    <w:tmpl w:val="73120C78"/>
    <w:lvl w:ilvl="0">
      <w:start w:val="33"/>
      <w:numFmt w:val="decimal"/>
      <w:lvlText w:val="%1"/>
      <w:lvlJc w:val="left"/>
      <w:pPr>
        <w:ind w:left="720" w:hanging="721"/>
        <w:jc w:val="left"/>
      </w:pPr>
      <w:rPr>
        <w:rFonts w:hint="default"/>
        <w:lang w:val="en-US" w:eastAsia="en-US" w:bidi="ar-SA"/>
      </w:rPr>
    </w:lvl>
    <w:lvl w:ilvl="1">
      <w:numFmt w:val="decimal"/>
      <w:lvlText w:val="%1.%2"/>
      <w:lvlJc w:val="left"/>
      <w:pPr>
        <w:ind w:left="720" w:hanging="721"/>
        <w:jc w:val="right"/>
      </w:pPr>
      <w:rPr>
        <w:rFonts w:hint="default"/>
        <w:spacing w:val="0"/>
        <w:w w:val="100"/>
        <w:lang w:val="en-US" w:eastAsia="en-US" w:bidi="ar-SA"/>
      </w:rPr>
    </w:lvl>
    <w:lvl w:ilvl="2">
      <w:start w:val="1"/>
      <w:numFmt w:val="lowerRoman"/>
      <w:lvlText w:val="%3."/>
      <w:lvlJc w:val="left"/>
      <w:pPr>
        <w:ind w:left="2161" w:hanging="308"/>
        <w:jc w:val="right"/>
      </w:pPr>
      <w:rPr>
        <w:rFonts w:ascii="Times New Roman" w:eastAsia="Times New Roman" w:hAnsi="Times New Roman" w:cs="Times New Roman" w:hint="default"/>
        <w:b w:val="0"/>
        <w:bCs w:val="0"/>
        <w:i w:val="0"/>
        <w:iCs w:val="0"/>
        <w:spacing w:val="-10"/>
        <w:w w:val="100"/>
        <w:sz w:val="24"/>
        <w:szCs w:val="24"/>
        <w:lang w:val="en-US" w:eastAsia="en-US" w:bidi="ar-SA"/>
      </w:rPr>
    </w:lvl>
    <w:lvl w:ilvl="3">
      <w:numFmt w:val="bullet"/>
      <w:lvlText w:val="•"/>
      <w:lvlJc w:val="left"/>
      <w:pPr>
        <w:ind w:left="3850" w:hanging="308"/>
      </w:pPr>
      <w:rPr>
        <w:rFonts w:hint="default"/>
        <w:lang w:val="en-US" w:eastAsia="en-US" w:bidi="ar-SA"/>
      </w:rPr>
    </w:lvl>
    <w:lvl w:ilvl="4">
      <w:numFmt w:val="bullet"/>
      <w:lvlText w:val="•"/>
      <w:lvlJc w:val="left"/>
      <w:pPr>
        <w:ind w:left="4696" w:hanging="308"/>
      </w:pPr>
      <w:rPr>
        <w:rFonts w:hint="default"/>
        <w:lang w:val="en-US" w:eastAsia="en-US" w:bidi="ar-SA"/>
      </w:rPr>
    </w:lvl>
    <w:lvl w:ilvl="5">
      <w:numFmt w:val="bullet"/>
      <w:lvlText w:val="•"/>
      <w:lvlJc w:val="left"/>
      <w:pPr>
        <w:ind w:left="5541" w:hanging="308"/>
      </w:pPr>
      <w:rPr>
        <w:rFonts w:hint="default"/>
        <w:lang w:val="en-US" w:eastAsia="en-US" w:bidi="ar-SA"/>
      </w:rPr>
    </w:lvl>
    <w:lvl w:ilvl="6">
      <w:numFmt w:val="bullet"/>
      <w:lvlText w:val="•"/>
      <w:lvlJc w:val="left"/>
      <w:pPr>
        <w:ind w:left="6386" w:hanging="308"/>
      </w:pPr>
      <w:rPr>
        <w:rFonts w:hint="default"/>
        <w:lang w:val="en-US" w:eastAsia="en-US" w:bidi="ar-SA"/>
      </w:rPr>
    </w:lvl>
    <w:lvl w:ilvl="7">
      <w:numFmt w:val="bullet"/>
      <w:lvlText w:val="•"/>
      <w:lvlJc w:val="left"/>
      <w:pPr>
        <w:ind w:left="7232" w:hanging="308"/>
      </w:pPr>
      <w:rPr>
        <w:rFonts w:hint="default"/>
        <w:lang w:val="en-US" w:eastAsia="en-US" w:bidi="ar-SA"/>
      </w:rPr>
    </w:lvl>
    <w:lvl w:ilvl="8">
      <w:numFmt w:val="bullet"/>
      <w:lvlText w:val="•"/>
      <w:lvlJc w:val="left"/>
      <w:pPr>
        <w:ind w:left="8077" w:hanging="308"/>
      </w:pPr>
      <w:rPr>
        <w:rFonts w:hint="default"/>
        <w:lang w:val="en-US" w:eastAsia="en-US" w:bidi="ar-SA"/>
      </w:rPr>
    </w:lvl>
  </w:abstractNum>
  <w:abstractNum w:abstractNumId="84" w15:restartNumberingAfterBreak="0">
    <w:nsid w:val="5C01689B"/>
    <w:multiLevelType w:val="hybridMultilevel"/>
    <w:tmpl w:val="C51438EE"/>
    <w:lvl w:ilvl="0" w:tplc="4E521940">
      <w:start w:val="1"/>
      <w:numFmt w:val="lowerLetter"/>
      <w:lvlText w:val="%1."/>
      <w:lvlJc w:val="left"/>
      <w:pPr>
        <w:ind w:left="1441"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0E82F46C">
      <w:numFmt w:val="bullet"/>
      <w:lvlText w:val="•"/>
      <w:lvlJc w:val="left"/>
      <w:pPr>
        <w:ind w:left="2272" w:hanging="360"/>
      </w:pPr>
      <w:rPr>
        <w:rFonts w:hint="default"/>
        <w:lang w:val="en-US" w:eastAsia="en-US" w:bidi="ar-SA"/>
      </w:rPr>
    </w:lvl>
    <w:lvl w:ilvl="2" w:tplc="74928848">
      <w:numFmt w:val="bullet"/>
      <w:lvlText w:val="•"/>
      <w:lvlJc w:val="left"/>
      <w:pPr>
        <w:ind w:left="3105" w:hanging="360"/>
      </w:pPr>
      <w:rPr>
        <w:rFonts w:hint="default"/>
        <w:lang w:val="en-US" w:eastAsia="en-US" w:bidi="ar-SA"/>
      </w:rPr>
    </w:lvl>
    <w:lvl w:ilvl="3" w:tplc="A11640D0">
      <w:numFmt w:val="bullet"/>
      <w:lvlText w:val="•"/>
      <w:lvlJc w:val="left"/>
      <w:pPr>
        <w:ind w:left="3938" w:hanging="360"/>
      </w:pPr>
      <w:rPr>
        <w:rFonts w:hint="default"/>
        <w:lang w:val="en-US" w:eastAsia="en-US" w:bidi="ar-SA"/>
      </w:rPr>
    </w:lvl>
    <w:lvl w:ilvl="4" w:tplc="E45C5CD4">
      <w:numFmt w:val="bullet"/>
      <w:lvlText w:val="•"/>
      <w:lvlJc w:val="left"/>
      <w:pPr>
        <w:ind w:left="4771" w:hanging="360"/>
      </w:pPr>
      <w:rPr>
        <w:rFonts w:hint="default"/>
        <w:lang w:val="en-US" w:eastAsia="en-US" w:bidi="ar-SA"/>
      </w:rPr>
    </w:lvl>
    <w:lvl w:ilvl="5" w:tplc="B9BE2826">
      <w:numFmt w:val="bullet"/>
      <w:lvlText w:val="•"/>
      <w:lvlJc w:val="left"/>
      <w:pPr>
        <w:ind w:left="5604" w:hanging="360"/>
      </w:pPr>
      <w:rPr>
        <w:rFonts w:hint="default"/>
        <w:lang w:val="en-US" w:eastAsia="en-US" w:bidi="ar-SA"/>
      </w:rPr>
    </w:lvl>
    <w:lvl w:ilvl="6" w:tplc="B94069A8">
      <w:numFmt w:val="bullet"/>
      <w:lvlText w:val="•"/>
      <w:lvlJc w:val="left"/>
      <w:pPr>
        <w:ind w:left="6436" w:hanging="360"/>
      </w:pPr>
      <w:rPr>
        <w:rFonts w:hint="default"/>
        <w:lang w:val="en-US" w:eastAsia="en-US" w:bidi="ar-SA"/>
      </w:rPr>
    </w:lvl>
    <w:lvl w:ilvl="7" w:tplc="F3221B4C">
      <w:numFmt w:val="bullet"/>
      <w:lvlText w:val="•"/>
      <w:lvlJc w:val="left"/>
      <w:pPr>
        <w:ind w:left="7269" w:hanging="360"/>
      </w:pPr>
      <w:rPr>
        <w:rFonts w:hint="default"/>
        <w:lang w:val="en-US" w:eastAsia="en-US" w:bidi="ar-SA"/>
      </w:rPr>
    </w:lvl>
    <w:lvl w:ilvl="8" w:tplc="AB74292E">
      <w:numFmt w:val="bullet"/>
      <w:lvlText w:val="•"/>
      <w:lvlJc w:val="left"/>
      <w:pPr>
        <w:ind w:left="8102" w:hanging="360"/>
      </w:pPr>
      <w:rPr>
        <w:rFonts w:hint="default"/>
        <w:lang w:val="en-US" w:eastAsia="en-US" w:bidi="ar-SA"/>
      </w:rPr>
    </w:lvl>
  </w:abstractNum>
  <w:abstractNum w:abstractNumId="85" w15:restartNumberingAfterBreak="0">
    <w:nsid w:val="5CD22BE4"/>
    <w:multiLevelType w:val="multilevel"/>
    <w:tmpl w:val="C990381C"/>
    <w:lvl w:ilvl="0">
      <w:start w:val="16"/>
      <w:numFmt w:val="decimal"/>
      <w:lvlText w:val="%1"/>
      <w:lvlJc w:val="left"/>
      <w:pPr>
        <w:ind w:left="720" w:hanging="721"/>
        <w:jc w:val="left"/>
      </w:pPr>
      <w:rPr>
        <w:rFonts w:hint="default"/>
        <w:lang w:val="en-US" w:eastAsia="en-US" w:bidi="ar-SA"/>
      </w:rPr>
    </w:lvl>
    <w:lvl w:ilvl="1">
      <w:numFmt w:val="decimal"/>
      <w:lvlText w:val="%1.%2"/>
      <w:lvlJc w:val="left"/>
      <w:pPr>
        <w:ind w:left="720" w:hanging="721"/>
        <w:jc w:val="right"/>
      </w:pPr>
      <w:rPr>
        <w:rFonts w:hint="default"/>
        <w:spacing w:val="-5"/>
        <w:w w:val="100"/>
        <w:lang w:val="en-US" w:eastAsia="en-US" w:bidi="ar-SA"/>
      </w:rPr>
    </w:lvl>
    <w:lvl w:ilvl="2">
      <w:numFmt w:val="bullet"/>
      <w:lvlText w:val="•"/>
      <w:lvlJc w:val="left"/>
      <w:pPr>
        <w:ind w:left="2529" w:hanging="721"/>
      </w:pPr>
      <w:rPr>
        <w:rFonts w:hint="default"/>
        <w:lang w:val="en-US" w:eastAsia="en-US" w:bidi="ar-SA"/>
      </w:rPr>
    </w:lvl>
    <w:lvl w:ilvl="3">
      <w:numFmt w:val="bullet"/>
      <w:lvlText w:val="•"/>
      <w:lvlJc w:val="left"/>
      <w:pPr>
        <w:ind w:left="3434" w:hanging="721"/>
      </w:pPr>
      <w:rPr>
        <w:rFonts w:hint="default"/>
        <w:lang w:val="en-US" w:eastAsia="en-US" w:bidi="ar-SA"/>
      </w:rPr>
    </w:lvl>
    <w:lvl w:ilvl="4">
      <w:numFmt w:val="bullet"/>
      <w:lvlText w:val="•"/>
      <w:lvlJc w:val="left"/>
      <w:pPr>
        <w:ind w:left="4339" w:hanging="721"/>
      </w:pPr>
      <w:rPr>
        <w:rFonts w:hint="default"/>
        <w:lang w:val="en-US" w:eastAsia="en-US" w:bidi="ar-SA"/>
      </w:rPr>
    </w:lvl>
    <w:lvl w:ilvl="5">
      <w:numFmt w:val="bullet"/>
      <w:lvlText w:val="•"/>
      <w:lvlJc w:val="left"/>
      <w:pPr>
        <w:ind w:left="5244" w:hanging="721"/>
      </w:pPr>
      <w:rPr>
        <w:rFonts w:hint="default"/>
        <w:lang w:val="en-US" w:eastAsia="en-US" w:bidi="ar-SA"/>
      </w:rPr>
    </w:lvl>
    <w:lvl w:ilvl="6">
      <w:numFmt w:val="bullet"/>
      <w:lvlText w:val="•"/>
      <w:lvlJc w:val="left"/>
      <w:pPr>
        <w:ind w:left="6148" w:hanging="721"/>
      </w:pPr>
      <w:rPr>
        <w:rFonts w:hint="default"/>
        <w:lang w:val="en-US" w:eastAsia="en-US" w:bidi="ar-SA"/>
      </w:rPr>
    </w:lvl>
    <w:lvl w:ilvl="7">
      <w:numFmt w:val="bullet"/>
      <w:lvlText w:val="•"/>
      <w:lvlJc w:val="left"/>
      <w:pPr>
        <w:ind w:left="7053" w:hanging="721"/>
      </w:pPr>
      <w:rPr>
        <w:rFonts w:hint="default"/>
        <w:lang w:val="en-US" w:eastAsia="en-US" w:bidi="ar-SA"/>
      </w:rPr>
    </w:lvl>
    <w:lvl w:ilvl="8">
      <w:numFmt w:val="bullet"/>
      <w:lvlText w:val="•"/>
      <w:lvlJc w:val="left"/>
      <w:pPr>
        <w:ind w:left="7958" w:hanging="721"/>
      </w:pPr>
      <w:rPr>
        <w:rFonts w:hint="default"/>
        <w:lang w:val="en-US" w:eastAsia="en-US" w:bidi="ar-SA"/>
      </w:rPr>
    </w:lvl>
  </w:abstractNum>
  <w:abstractNum w:abstractNumId="86" w15:restartNumberingAfterBreak="0">
    <w:nsid w:val="5DC522CE"/>
    <w:multiLevelType w:val="hybridMultilevel"/>
    <w:tmpl w:val="EB42EDEE"/>
    <w:lvl w:ilvl="0" w:tplc="69B011A4">
      <w:start w:val="1"/>
      <w:numFmt w:val="upperLetter"/>
      <w:lvlText w:val="%1."/>
      <w:lvlJc w:val="left"/>
      <w:pPr>
        <w:ind w:left="1081" w:hanging="721"/>
        <w:jc w:val="right"/>
      </w:pPr>
      <w:rPr>
        <w:rFonts w:hint="default"/>
        <w:spacing w:val="-6"/>
        <w:w w:val="100"/>
        <w:lang w:val="en-US" w:eastAsia="en-US" w:bidi="ar-SA"/>
      </w:rPr>
    </w:lvl>
    <w:lvl w:ilvl="1" w:tplc="17AEEE22">
      <w:numFmt w:val="bullet"/>
      <w:lvlText w:val="•"/>
      <w:lvlJc w:val="left"/>
      <w:pPr>
        <w:ind w:left="1948" w:hanging="721"/>
      </w:pPr>
      <w:rPr>
        <w:rFonts w:hint="default"/>
        <w:lang w:val="en-US" w:eastAsia="en-US" w:bidi="ar-SA"/>
      </w:rPr>
    </w:lvl>
    <w:lvl w:ilvl="2" w:tplc="48A0B508">
      <w:numFmt w:val="bullet"/>
      <w:lvlText w:val="•"/>
      <w:lvlJc w:val="left"/>
      <w:pPr>
        <w:ind w:left="2817" w:hanging="721"/>
      </w:pPr>
      <w:rPr>
        <w:rFonts w:hint="default"/>
        <w:lang w:val="en-US" w:eastAsia="en-US" w:bidi="ar-SA"/>
      </w:rPr>
    </w:lvl>
    <w:lvl w:ilvl="3" w:tplc="8AD0EA36">
      <w:numFmt w:val="bullet"/>
      <w:lvlText w:val="•"/>
      <w:lvlJc w:val="left"/>
      <w:pPr>
        <w:ind w:left="3686" w:hanging="721"/>
      </w:pPr>
      <w:rPr>
        <w:rFonts w:hint="default"/>
        <w:lang w:val="en-US" w:eastAsia="en-US" w:bidi="ar-SA"/>
      </w:rPr>
    </w:lvl>
    <w:lvl w:ilvl="4" w:tplc="A5DEB940">
      <w:numFmt w:val="bullet"/>
      <w:lvlText w:val="•"/>
      <w:lvlJc w:val="left"/>
      <w:pPr>
        <w:ind w:left="4555" w:hanging="721"/>
      </w:pPr>
      <w:rPr>
        <w:rFonts w:hint="default"/>
        <w:lang w:val="en-US" w:eastAsia="en-US" w:bidi="ar-SA"/>
      </w:rPr>
    </w:lvl>
    <w:lvl w:ilvl="5" w:tplc="844E3F64">
      <w:numFmt w:val="bullet"/>
      <w:lvlText w:val="•"/>
      <w:lvlJc w:val="left"/>
      <w:pPr>
        <w:ind w:left="5424" w:hanging="721"/>
      </w:pPr>
      <w:rPr>
        <w:rFonts w:hint="default"/>
        <w:lang w:val="en-US" w:eastAsia="en-US" w:bidi="ar-SA"/>
      </w:rPr>
    </w:lvl>
    <w:lvl w:ilvl="6" w:tplc="296EEB8E">
      <w:numFmt w:val="bullet"/>
      <w:lvlText w:val="•"/>
      <w:lvlJc w:val="left"/>
      <w:pPr>
        <w:ind w:left="6292" w:hanging="721"/>
      </w:pPr>
      <w:rPr>
        <w:rFonts w:hint="default"/>
        <w:lang w:val="en-US" w:eastAsia="en-US" w:bidi="ar-SA"/>
      </w:rPr>
    </w:lvl>
    <w:lvl w:ilvl="7" w:tplc="2C68D5B4">
      <w:numFmt w:val="bullet"/>
      <w:lvlText w:val="•"/>
      <w:lvlJc w:val="left"/>
      <w:pPr>
        <w:ind w:left="7161" w:hanging="721"/>
      </w:pPr>
      <w:rPr>
        <w:rFonts w:hint="default"/>
        <w:lang w:val="en-US" w:eastAsia="en-US" w:bidi="ar-SA"/>
      </w:rPr>
    </w:lvl>
    <w:lvl w:ilvl="8" w:tplc="D354D926">
      <w:numFmt w:val="bullet"/>
      <w:lvlText w:val="•"/>
      <w:lvlJc w:val="left"/>
      <w:pPr>
        <w:ind w:left="8030" w:hanging="721"/>
      </w:pPr>
      <w:rPr>
        <w:rFonts w:hint="default"/>
        <w:lang w:val="en-US" w:eastAsia="en-US" w:bidi="ar-SA"/>
      </w:rPr>
    </w:lvl>
  </w:abstractNum>
  <w:abstractNum w:abstractNumId="87" w15:restartNumberingAfterBreak="0">
    <w:nsid w:val="5F0B6762"/>
    <w:multiLevelType w:val="hybridMultilevel"/>
    <w:tmpl w:val="E9807690"/>
    <w:lvl w:ilvl="0" w:tplc="E494AF00">
      <w:start w:val="1"/>
      <w:numFmt w:val="upperLetter"/>
      <w:lvlText w:val="%1."/>
      <w:lvlJc w:val="left"/>
      <w:pPr>
        <w:ind w:left="758" w:hanging="269"/>
        <w:jc w:val="right"/>
      </w:pPr>
      <w:rPr>
        <w:rFonts w:hint="default"/>
        <w:spacing w:val="-2"/>
        <w:w w:val="100"/>
        <w:lang w:val="en-US" w:eastAsia="en-US" w:bidi="ar-SA"/>
      </w:rPr>
    </w:lvl>
    <w:lvl w:ilvl="1" w:tplc="2C4A737A">
      <w:numFmt w:val="bullet"/>
      <w:lvlText w:val="•"/>
      <w:lvlJc w:val="left"/>
      <w:pPr>
        <w:ind w:left="780" w:hanging="269"/>
      </w:pPr>
      <w:rPr>
        <w:rFonts w:hint="default"/>
        <w:lang w:val="en-US" w:eastAsia="en-US" w:bidi="ar-SA"/>
      </w:rPr>
    </w:lvl>
    <w:lvl w:ilvl="2" w:tplc="B262E3F2">
      <w:numFmt w:val="bullet"/>
      <w:lvlText w:val="•"/>
      <w:lvlJc w:val="left"/>
      <w:pPr>
        <w:ind w:left="1080" w:hanging="269"/>
      </w:pPr>
      <w:rPr>
        <w:rFonts w:hint="default"/>
        <w:lang w:val="en-US" w:eastAsia="en-US" w:bidi="ar-SA"/>
      </w:rPr>
    </w:lvl>
    <w:lvl w:ilvl="3" w:tplc="3E9429F6">
      <w:numFmt w:val="bullet"/>
      <w:lvlText w:val="•"/>
      <w:lvlJc w:val="left"/>
      <w:pPr>
        <w:ind w:left="1160" w:hanging="269"/>
      </w:pPr>
      <w:rPr>
        <w:rFonts w:hint="default"/>
        <w:lang w:val="en-US" w:eastAsia="en-US" w:bidi="ar-SA"/>
      </w:rPr>
    </w:lvl>
    <w:lvl w:ilvl="4" w:tplc="44667388">
      <w:numFmt w:val="bullet"/>
      <w:lvlText w:val="•"/>
      <w:lvlJc w:val="left"/>
      <w:pPr>
        <w:ind w:left="1180" w:hanging="269"/>
      </w:pPr>
      <w:rPr>
        <w:rFonts w:hint="default"/>
        <w:lang w:val="en-US" w:eastAsia="en-US" w:bidi="ar-SA"/>
      </w:rPr>
    </w:lvl>
    <w:lvl w:ilvl="5" w:tplc="9F0AAF2E">
      <w:numFmt w:val="bullet"/>
      <w:lvlText w:val="•"/>
      <w:lvlJc w:val="left"/>
      <w:pPr>
        <w:ind w:left="1240" w:hanging="269"/>
      </w:pPr>
      <w:rPr>
        <w:rFonts w:hint="default"/>
        <w:lang w:val="en-US" w:eastAsia="en-US" w:bidi="ar-SA"/>
      </w:rPr>
    </w:lvl>
    <w:lvl w:ilvl="6" w:tplc="FDB8402A">
      <w:numFmt w:val="bullet"/>
      <w:lvlText w:val="•"/>
      <w:lvlJc w:val="left"/>
      <w:pPr>
        <w:ind w:left="1260" w:hanging="269"/>
      </w:pPr>
      <w:rPr>
        <w:rFonts w:hint="default"/>
        <w:lang w:val="en-US" w:eastAsia="en-US" w:bidi="ar-SA"/>
      </w:rPr>
    </w:lvl>
    <w:lvl w:ilvl="7" w:tplc="128E55C6">
      <w:numFmt w:val="bullet"/>
      <w:lvlText w:val="•"/>
      <w:lvlJc w:val="left"/>
      <w:pPr>
        <w:ind w:left="1540" w:hanging="269"/>
      </w:pPr>
      <w:rPr>
        <w:rFonts w:hint="default"/>
        <w:lang w:val="en-US" w:eastAsia="en-US" w:bidi="ar-SA"/>
      </w:rPr>
    </w:lvl>
    <w:lvl w:ilvl="8" w:tplc="DCE00694">
      <w:numFmt w:val="bullet"/>
      <w:lvlText w:val="•"/>
      <w:lvlJc w:val="left"/>
      <w:pPr>
        <w:ind w:left="1620" w:hanging="269"/>
      </w:pPr>
      <w:rPr>
        <w:rFonts w:hint="default"/>
        <w:lang w:val="en-US" w:eastAsia="en-US" w:bidi="ar-SA"/>
      </w:rPr>
    </w:lvl>
  </w:abstractNum>
  <w:abstractNum w:abstractNumId="88" w15:restartNumberingAfterBreak="0">
    <w:nsid w:val="5F952024"/>
    <w:multiLevelType w:val="multilevel"/>
    <w:tmpl w:val="E338559A"/>
    <w:lvl w:ilvl="0">
      <w:start w:val="14"/>
      <w:numFmt w:val="decimal"/>
      <w:lvlText w:val="%1"/>
      <w:lvlJc w:val="left"/>
      <w:pPr>
        <w:ind w:left="720" w:hanging="721"/>
        <w:jc w:val="left"/>
      </w:pPr>
      <w:rPr>
        <w:rFonts w:hint="default"/>
        <w:lang w:val="en-US" w:eastAsia="en-US" w:bidi="ar-SA"/>
      </w:rPr>
    </w:lvl>
    <w:lvl w:ilvl="1">
      <w:numFmt w:val="decimal"/>
      <w:lvlText w:val="%1.%2"/>
      <w:lvlJc w:val="left"/>
      <w:pPr>
        <w:ind w:left="720" w:hanging="721"/>
        <w:jc w:val="right"/>
      </w:pPr>
      <w:rPr>
        <w:rFonts w:hint="default"/>
        <w:spacing w:val="0"/>
        <w:w w:val="100"/>
        <w:lang w:val="en-US" w:eastAsia="en-US" w:bidi="ar-SA"/>
      </w:rPr>
    </w:lvl>
    <w:lvl w:ilvl="2">
      <w:numFmt w:val="bullet"/>
      <w:lvlText w:val="•"/>
      <w:lvlJc w:val="left"/>
      <w:pPr>
        <w:ind w:left="2529" w:hanging="721"/>
      </w:pPr>
      <w:rPr>
        <w:rFonts w:hint="default"/>
        <w:lang w:val="en-US" w:eastAsia="en-US" w:bidi="ar-SA"/>
      </w:rPr>
    </w:lvl>
    <w:lvl w:ilvl="3">
      <w:numFmt w:val="bullet"/>
      <w:lvlText w:val="•"/>
      <w:lvlJc w:val="left"/>
      <w:pPr>
        <w:ind w:left="3434" w:hanging="721"/>
      </w:pPr>
      <w:rPr>
        <w:rFonts w:hint="default"/>
        <w:lang w:val="en-US" w:eastAsia="en-US" w:bidi="ar-SA"/>
      </w:rPr>
    </w:lvl>
    <w:lvl w:ilvl="4">
      <w:numFmt w:val="bullet"/>
      <w:lvlText w:val="•"/>
      <w:lvlJc w:val="left"/>
      <w:pPr>
        <w:ind w:left="4339" w:hanging="721"/>
      </w:pPr>
      <w:rPr>
        <w:rFonts w:hint="default"/>
        <w:lang w:val="en-US" w:eastAsia="en-US" w:bidi="ar-SA"/>
      </w:rPr>
    </w:lvl>
    <w:lvl w:ilvl="5">
      <w:numFmt w:val="bullet"/>
      <w:lvlText w:val="•"/>
      <w:lvlJc w:val="left"/>
      <w:pPr>
        <w:ind w:left="5244" w:hanging="721"/>
      </w:pPr>
      <w:rPr>
        <w:rFonts w:hint="default"/>
        <w:lang w:val="en-US" w:eastAsia="en-US" w:bidi="ar-SA"/>
      </w:rPr>
    </w:lvl>
    <w:lvl w:ilvl="6">
      <w:numFmt w:val="bullet"/>
      <w:lvlText w:val="•"/>
      <w:lvlJc w:val="left"/>
      <w:pPr>
        <w:ind w:left="6148" w:hanging="721"/>
      </w:pPr>
      <w:rPr>
        <w:rFonts w:hint="default"/>
        <w:lang w:val="en-US" w:eastAsia="en-US" w:bidi="ar-SA"/>
      </w:rPr>
    </w:lvl>
    <w:lvl w:ilvl="7">
      <w:numFmt w:val="bullet"/>
      <w:lvlText w:val="•"/>
      <w:lvlJc w:val="left"/>
      <w:pPr>
        <w:ind w:left="7053" w:hanging="721"/>
      </w:pPr>
      <w:rPr>
        <w:rFonts w:hint="default"/>
        <w:lang w:val="en-US" w:eastAsia="en-US" w:bidi="ar-SA"/>
      </w:rPr>
    </w:lvl>
    <w:lvl w:ilvl="8">
      <w:numFmt w:val="bullet"/>
      <w:lvlText w:val="•"/>
      <w:lvlJc w:val="left"/>
      <w:pPr>
        <w:ind w:left="7958" w:hanging="721"/>
      </w:pPr>
      <w:rPr>
        <w:rFonts w:hint="default"/>
        <w:lang w:val="en-US" w:eastAsia="en-US" w:bidi="ar-SA"/>
      </w:rPr>
    </w:lvl>
  </w:abstractNum>
  <w:abstractNum w:abstractNumId="89" w15:restartNumberingAfterBreak="0">
    <w:nsid w:val="60C10B15"/>
    <w:multiLevelType w:val="hybridMultilevel"/>
    <w:tmpl w:val="C0DE99AA"/>
    <w:lvl w:ilvl="0" w:tplc="7EEED1DA">
      <w:numFmt w:val="bullet"/>
      <w:lvlText w:val=""/>
      <w:lvlJc w:val="left"/>
      <w:pPr>
        <w:ind w:left="190" w:hanging="181"/>
      </w:pPr>
      <w:rPr>
        <w:rFonts w:ascii="Wingdings" w:eastAsia="Wingdings" w:hAnsi="Wingdings" w:cs="Wingdings" w:hint="default"/>
        <w:b w:val="0"/>
        <w:bCs w:val="0"/>
        <w:i w:val="0"/>
        <w:iCs w:val="0"/>
        <w:spacing w:val="0"/>
        <w:w w:val="100"/>
        <w:sz w:val="18"/>
        <w:szCs w:val="18"/>
        <w:lang w:val="en-US" w:eastAsia="en-US" w:bidi="ar-SA"/>
      </w:rPr>
    </w:lvl>
    <w:lvl w:ilvl="1" w:tplc="5998949E">
      <w:numFmt w:val="bullet"/>
      <w:lvlText w:val="•"/>
      <w:lvlJc w:val="left"/>
      <w:pPr>
        <w:ind w:left="282" w:hanging="181"/>
      </w:pPr>
      <w:rPr>
        <w:rFonts w:hint="default"/>
        <w:lang w:val="en-US" w:eastAsia="en-US" w:bidi="ar-SA"/>
      </w:rPr>
    </w:lvl>
    <w:lvl w:ilvl="2" w:tplc="EA9E4028">
      <w:numFmt w:val="bullet"/>
      <w:lvlText w:val="•"/>
      <w:lvlJc w:val="left"/>
      <w:pPr>
        <w:ind w:left="364" w:hanging="181"/>
      </w:pPr>
      <w:rPr>
        <w:rFonts w:hint="default"/>
        <w:lang w:val="en-US" w:eastAsia="en-US" w:bidi="ar-SA"/>
      </w:rPr>
    </w:lvl>
    <w:lvl w:ilvl="3" w:tplc="9EA6BD1E">
      <w:numFmt w:val="bullet"/>
      <w:lvlText w:val="•"/>
      <w:lvlJc w:val="left"/>
      <w:pPr>
        <w:ind w:left="446" w:hanging="181"/>
      </w:pPr>
      <w:rPr>
        <w:rFonts w:hint="default"/>
        <w:lang w:val="en-US" w:eastAsia="en-US" w:bidi="ar-SA"/>
      </w:rPr>
    </w:lvl>
    <w:lvl w:ilvl="4" w:tplc="BE38F8FA">
      <w:numFmt w:val="bullet"/>
      <w:lvlText w:val="•"/>
      <w:lvlJc w:val="left"/>
      <w:pPr>
        <w:ind w:left="528" w:hanging="181"/>
      </w:pPr>
      <w:rPr>
        <w:rFonts w:hint="default"/>
        <w:lang w:val="en-US" w:eastAsia="en-US" w:bidi="ar-SA"/>
      </w:rPr>
    </w:lvl>
    <w:lvl w:ilvl="5" w:tplc="38FC968A">
      <w:numFmt w:val="bullet"/>
      <w:lvlText w:val="•"/>
      <w:lvlJc w:val="left"/>
      <w:pPr>
        <w:ind w:left="611" w:hanging="181"/>
      </w:pPr>
      <w:rPr>
        <w:rFonts w:hint="default"/>
        <w:lang w:val="en-US" w:eastAsia="en-US" w:bidi="ar-SA"/>
      </w:rPr>
    </w:lvl>
    <w:lvl w:ilvl="6" w:tplc="962A551E">
      <w:numFmt w:val="bullet"/>
      <w:lvlText w:val="•"/>
      <w:lvlJc w:val="left"/>
      <w:pPr>
        <w:ind w:left="693" w:hanging="181"/>
      </w:pPr>
      <w:rPr>
        <w:rFonts w:hint="default"/>
        <w:lang w:val="en-US" w:eastAsia="en-US" w:bidi="ar-SA"/>
      </w:rPr>
    </w:lvl>
    <w:lvl w:ilvl="7" w:tplc="EBBE8F44">
      <w:numFmt w:val="bullet"/>
      <w:lvlText w:val="•"/>
      <w:lvlJc w:val="left"/>
      <w:pPr>
        <w:ind w:left="775" w:hanging="181"/>
      </w:pPr>
      <w:rPr>
        <w:rFonts w:hint="default"/>
        <w:lang w:val="en-US" w:eastAsia="en-US" w:bidi="ar-SA"/>
      </w:rPr>
    </w:lvl>
    <w:lvl w:ilvl="8" w:tplc="95F45F38">
      <w:numFmt w:val="bullet"/>
      <w:lvlText w:val="•"/>
      <w:lvlJc w:val="left"/>
      <w:pPr>
        <w:ind w:left="857" w:hanging="181"/>
      </w:pPr>
      <w:rPr>
        <w:rFonts w:hint="default"/>
        <w:lang w:val="en-US" w:eastAsia="en-US" w:bidi="ar-SA"/>
      </w:rPr>
    </w:lvl>
  </w:abstractNum>
  <w:abstractNum w:abstractNumId="90" w15:restartNumberingAfterBreak="0">
    <w:nsid w:val="61E67DBF"/>
    <w:multiLevelType w:val="hybridMultilevel"/>
    <w:tmpl w:val="C95AFF96"/>
    <w:lvl w:ilvl="0" w:tplc="C896BD16">
      <w:start w:val="3"/>
      <w:numFmt w:val="lowerLetter"/>
      <w:lvlText w:val="%1)"/>
      <w:lvlJc w:val="left"/>
      <w:pPr>
        <w:ind w:left="1599" w:hanging="558"/>
        <w:jc w:val="left"/>
      </w:pPr>
      <w:rPr>
        <w:rFonts w:ascii="Times New Roman" w:eastAsia="Times New Roman" w:hAnsi="Times New Roman" w:cs="Times New Roman" w:hint="default"/>
        <w:b w:val="0"/>
        <w:bCs w:val="0"/>
        <w:i w:val="0"/>
        <w:iCs w:val="0"/>
        <w:color w:val="211F1F"/>
        <w:spacing w:val="-3"/>
        <w:w w:val="100"/>
        <w:sz w:val="22"/>
        <w:szCs w:val="22"/>
        <w:lang w:val="en-US" w:eastAsia="en-US" w:bidi="ar-SA"/>
      </w:rPr>
    </w:lvl>
    <w:lvl w:ilvl="1" w:tplc="AD589B82">
      <w:numFmt w:val="bullet"/>
      <w:lvlText w:val="•"/>
      <w:lvlJc w:val="left"/>
      <w:pPr>
        <w:ind w:left="2595" w:hanging="558"/>
      </w:pPr>
      <w:rPr>
        <w:rFonts w:hint="default"/>
        <w:lang w:val="en-US" w:eastAsia="en-US" w:bidi="ar-SA"/>
      </w:rPr>
    </w:lvl>
    <w:lvl w:ilvl="2" w:tplc="6900AA3C">
      <w:numFmt w:val="bullet"/>
      <w:lvlText w:val="•"/>
      <w:lvlJc w:val="left"/>
      <w:pPr>
        <w:ind w:left="3591" w:hanging="558"/>
      </w:pPr>
      <w:rPr>
        <w:rFonts w:hint="default"/>
        <w:lang w:val="en-US" w:eastAsia="en-US" w:bidi="ar-SA"/>
      </w:rPr>
    </w:lvl>
    <w:lvl w:ilvl="3" w:tplc="5B58D2FA">
      <w:numFmt w:val="bullet"/>
      <w:lvlText w:val="•"/>
      <w:lvlJc w:val="left"/>
      <w:pPr>
        <w:ind w:left="4587" w:hanging="558"/>
      </w:pPr>
      <w:rPr>
        <w:rFonts w:hint="default"/>
        <w:lang w:val="en-US" w:eastAsia="en-US" w:bidi="ar-SA"/>
      </w:rPr>
    </w:lvl>
    <w:lvl w:ilvl="4" w:tplc="6FD6CEF0">
      <w:numFmt w:val="bullet"/>
      <w:lvlText w:val="•"/>
      <w:lvlJc w:val="left"/>
      <w:pPr>
        <w:ind w:left="5583" w:hanging="558"/>
      </w:pPr>
      <w:rPr>
        <w:rFonts w:hint="default"/>
        <w:lang w:val="en-US" w:eastAsia="en-US" w:bidi="ar-SA"/>
      </w:rPr>
    </w:lvl>
    <w:lvl w:ilvl="5" w:tplc="56A2F868">
      <w:numFmt w:val="bullet"/>
      <w:lvlText w:val="•"/>
      <w:lvlJc w:val="left"/>
      <w:pPr>
        <w:ind w:left="6579" w:hanging="558"/>
      </w:pPr>
      <w:rPr>
        <w:rFonts w:hint="default"/>
        <w:lang w:val="en-US" w:eastAsia="en-US" w:bidi="ar-SA"/>
      </w:rPr>
    </w:lvl>
    <w:lvl w:ilvl="6" w:tplc="7880636E">
      <w:numFmt w:val="bullet"/>
      <w:lvlText w:val="•"/>
      <w:lvlJc w:val="left"/>
      <w:pPr>
        <w:ind w:left="7575" w:hanging="558"/>
      </w:pPr>
      <w:rPr>
        <w:rFonts w:hint="default"/>
        <w:lang w:val="en-US" w:eastAsia="en-US" w:bidi="ar-SA"/>
      </w:rPr>
    </w:lvl>
    <w:lvl w:ilvl="7" w:tplc="FAD0B7E0">
      <w:numFmt w:val="bullet"/>
      <w:lvlText w:val="•"/>
      <w:lvlJc w:val="left"/>
      <w:pPr>
        <w:ind w:left="8570" w:hanging="558"/>
      </w:pPr>
      <w:rPr>
        <w:rFonts w:hint="default"/>
        <w:lang w:val="en-US" w:eastAsia="en-US" w:bidi="ar-SA"/>
      </w:rPr>
    </w:lvl>
    <w:lvl w:ilvl="8" w:tplc="8B40A8F6">
      <w:numFmt w:val="bullet"/>
      <w:lvlText w:val="•"/>
      <w:lvlJc w:val="left"/>
      <w:pPr>
        <w:ind w:left="9566" w:hanging="558"/>
      </w:pPr>
      <w:rPr>
        <w:rFonts w:hint="default"/>
        <w:lang w:val="en-US" w:eastAsia="en-US" w:bidi="ar-SA"/>
      </w:rPr>
    </w:lvl>
  </w:abstractNum>
  <w:abstractNum w:abstractNumId="91" w15:restartNumberingAfterBreak="0">
    <w:nsid w:val="62CD0F3B"/>
    <w:multiLevelType w:val="multilevel"/>
    <w:tmpl w:val="741E39BA"/>
    <w:lvl w:ilvl="0">
      <w:start w:val="26"/>
      <w:numFmt w:val="decimal"/>
      <w:lvlText w:val="%1"/>
      <w:lvlJc w:val="left"/>
      <w:pPr>
        <w:ind w:left="720" w:hanging="721"/>
        <w:jc w:val="left"/>
      </w:pPr>
      <w:rPr>
        <w:rFonts w:hint="default"/>
        <w:lang w:val="en-US" w:eastAsia="en-US" w:bidi="ar-SA"/>
      </w:rPr>
    </w:lvl>
    <w:lvl w:ilvl="1">
      <w:numFmt w:val="decimal"/>
      <w:lvlText w:val="%1.%2"/>
      <w:lvlJc w:val="left"/>
      <w:pPr>
        <w:ind w:left="720" w:hanging="721"/>
        <w:jc w:val="right"/>
      </w:pPr>
      <w:rPr>
        <w:rFonts w:hint="default"/>
        <w:spacing w:val="0"/>
        <w:w w:val="100"/>
        <w:lang w:val="en-US" w:eastAsia="en-US" w:bidi="ar-SA"/>
      </w:rPr>
    </w:lvl>
    <w:lvl w:ilvl="2">
      <w:start w:val="1"/>
      <w:numFmt w:val="lowerLetter"/>
      <w:lvlText w:val="%3)"/>
      <w:lvlJc w:val="left"/>
      <w:pPr>
        <w:ind w:left="2161" w:hanging="361"/>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3">
      <w:numFmt w:val="bullet"/>
      <w:lvlText w:val="•"/>
      <w:lvlJc w:val="left"/>
      <w:pPr>
        <w:ind w:left="3850" w:hanging="361"/>
      </w:pPr>
      <w:rPr>
        <w:rFonts w:hint="default"/>
        <w:lang w:val="en-US" w:eastAsia="en-US" w:bidi="ar-SA"/>
      </w:rPr>
    </w:lvl>
    <w:lvl w:ilvl="4">
      <w:numFmt w:val="bullet"/>
      <w:lvlText w:val="•"/>
      <w:lvlJc w:val="left"/>
      <w:pPr>
        <w:ind w:left="4696" w:hanging="361"/>
      </w:pPr>
      <w:rPr>
        <w:rFonts w:hint="default"/>
        <w:lang w:val="en-US" w:eastAsia="en-US" w:bidi="ar-SA"/>
      </w:rPr>
    </w:lvl>
    <w:lvl w:ilvl="5">
      <w:numFmt w:val="bullet"/>
      <w:lvlText w:val="•"/>
      <w:lvlJc w:val="left"/>
      <w:pPr>
        <w:ind w:left="5541" w:hanging="361"/>
      </w:pPr>
      <w:rPr>
        <w:rFonts w:hint="default"/>
        <w:lang w:val="en-US" w:eastAsia="en-US" w:bidi="ar-SA"/>
      </w:rPr>
    </w:lvl>
    <w:lvl w:ilvl="6">
      <w:numFmt w:val="bullet"/>
      <w:lvlText w:val="•"/>
      <w:lvlJc w:val="left"/>
      <w:pPr>
        <w:ind w:left="6386" w:hanging="361"/>
      </w:pPr>
      <w:rPr>
        <w:rFonts w:hint="default"/>
        <w:lang w:val="en-US" w:eastAsia="en-US" w:bidi="ar-SA"/>
      </w:rPr>
    </w:lvl>
    <w:lvl w:ilvl="7">
      <w:numFmt w:val="bullet"/>
      <w:lvlText w:val="•"/>
      <w:lvlJc w:val="left"/>
      <w:pPr>
        <w:ind w:left="7232" w:hanging="361"/>
      </w:pPr>
      <w:rPr>
        <w:rFonts w:hint="default"/>
        <w:lang w:val="en-US" w:eastAsia="en-US" w:bidi="ar-SA"/>
      </w:rPr>
    </w:lvl>
    <w:lvl w:ilvl="8">
      <w:numFmt w:val="bullet"/>
      <w:lvlText w:val="•"/>
      <w:lvlJc w:val="left"/>
      <w:pPr>
        <w:ind w:left="8077" w:hanging="361"/>
      </w:pPr>
      <w:rPr>
        <w:rFonts w:hint="default"/>
        <w:lang w:val="en-US" w:eastAsia="en-US" w:bidi="ar-SA"/>
      </w:rPr>
    </w:lvl>
  </w:abstractNum>
  <w:abstractNum w:abstractNumId="92" w15:restartNumberingAfterBreak="0">
    <w:nsid w:val="63E3353C"/>
    <w:multiLevelType w:val="hybridMultilevel"/>
    <w:tmpl w:val="0C58CCEC"/>
    <w:lvl w:ilvl="0" w:tplc="F2F2BFBC">
      <w:start w:val="1"/>
      <w:numFmt w:val="upperLetter"/>
      <w:lvlText w:val="%1."/>
      <w:lvlJc w:val="left"/>
      <w:pPr>
        <w:ind w:left="1056" w:hanging="567"/>
        <w:jc w:val="left"/>
      </w:pPr>
      <w:rPr>
        <w:rFonts w:ascii="Times New Roman" w:eastAsia="Times New Roman" w:hAnsi="Times New Roman" w:cs="Times New Roman" w:hint="default"/>
        <w:b/>
        <w:bCs/>
        <w:i w:val="0"/>
        <w:iCs w:val="0"/>
        <w:color w:val="211F1F"/>
        <w:spacing w:val="-2"/>
        <w:w w:val="95"/>
        <w:sz w:val="24"/>
        <w:szCs w:val="24"/>
        <w:lang w:val="en-US" w:eastAsia="en-US" w:bidi="ar-SA"/>
      </w:rPr>
    </w:lvl>
    <w:lvl w:ilvl="1" w:tplc="2EDE4830">
      <w:start w:val="1"/>
      <w:numFmt w:val="lowerLetter"/>
      <w:lvlText w:val="(%2)"/>
      <w:lvlJc w:val="left"/>
      <w:pPr>
        <w:ind w:left="1046" w:hanging="557"/>
        <w:jc w:val="left"/>
      </w:pPr>
      <w:rPr>
        <w:rFonts w:ascii="Times New Roman" w:eastAsia="Times New Roman" w:hAnsi="Times New Roman" w:cs="Times New Roman" w:hint="default"/>
        <w:b w:val="0"/>
        <w:bCs w:val="0"/>
        <w:i w:val="0"/>
        <w:iCs w:val="0"/>
        <w:color w:val="211F1F"/>
        <w:spacing w:val="-2"/>
        <w:w w:val="100"/>
        <w:sz w:val="22"/>
        <w:szCs w:val="22"/>
        <w:lang w:val="en-US" w:eastAsia="en-US" w:bidi="ar-SA"/>
      </w:rPr>
    </w:lvl>
    <w:lvl w:ilvl="2" w:tplc="D47C3E74">
      <w:start w:val="2"/>
      <w:numFmt w:val="lowerLetter"/>
      <w:lvlText w:val="%3)"/>
      <w:lvlJc w:val="left"/>
      <w:pPr>
        <w:ind w:left="1604" w:hanging="543"/>
        <w:jc w:val="left"/>
      </w:pPr>
      <w:rPr>
        <w:rFonts w:ascii="Times New Roman" w:eastAsia="Times New Roman" w:hAnsi="Times New Roman" w:cs="Times New Roman" w:hint="default"/>
        <w:b/>
        <w:bCs/>
        <w:i w:val="0"/>
        <w:iCs w:val="0"/>
        <w:color w:val="211F1F"/>
        <w:spacing w:val="0"/>
        <w:w w:val="95"/>
        <w:sz w:val="22"/>
        <w:szCs w:val="22"/>
        <w:lang w:val="en-US" w:eastAsia="en-US" w:bidi="ar-SA"/>
      </w:rPr>
    </w:lvl>
    <w:lvl w:ilvl="3" w:tplc="53F69C36">
      <w:start w:val="1"/>
      <w:numFmt w:val="lowerRoman"/>
      <w:lvlText w:val="%4)"/>
      <w:lvlJc w:val="left"/>
      <w:pPr>
        <w:ind w:left="2031" w:hanging="437"/>
        <w:jc w:val="left"/>
      </w:pPr>
      <w:rPr>
        <w:rFonts w:ascii="Times New Roman" w:eastAsia="Times New Roman" w:hAnsi="Times New Roman" w:cs="Times New Roman" w:hint="default"/>
        <w:b w:val="0"/>
        <w:bCs w:val="0"/>
        <w:i w:val="0"/>
        <w:iCs w:val="0"/>
        <w:color w:val="211F1F"/>
        <w:spacing w:val="-4"/>
        <w:w w:val="100"/>
        <w:sz w:val="22"/>
        <w:szCs w:val="22"/>
        <w:lang w:val="en-US" w:eastAsia="en-US" w:bidi="ar-SA"/>
      </w:rPr>
    </w:lvl>
    <w:lvl w:ilvl="4" w:tplc="30FA3544">
      <w:numFmt w:val="bullet"/>
      <w:lvlText w:val="•"/>
      <w:lvlJc w:val="left"/>
      <w:pPr>
        <w:ind w:left="3399" w:hanging="437"/>
      </w:pPr>
      <w:rPr>
        <w:rFonts w:hint="default"/>
        <w:lang w:val="en-US" w:eastAsia="en-US" w:bidi="ar-SA"/>
      </w:rPr>
    </w:lvl>
    <w:lvl w:ilvl="5" w:tplc="FC3630FE">
      <w:numFmt w:val="bullet"/>
      <w:lvlText w:val="•"/>
      <w:lvlJc w:val="left"/>
      <w:pPr>
        <w:ind w:left="4759" w:hanging="437"/>
      </w:pPr>
      <w:rPr>
        <w:rFonts w:hint="default"/>
        <w:lang w:val="en-US" w:eastAsia="en-US" w:bidi="ar-SA"/>
      </w:rPr>
    </w:lvl>
    <w:lvl w:ilvl="6" w:tplc="EF9CE504">
      <w:numFmt w:val="bullet"/>
      <w:lvlText w:val="•"/>
      <w:lvlJc w:val="left"/>
      <w:pPr>
        <w:ind w:left="6119" w:hanging="437"/>
      </w:pPr>
      <w:rPr>
        <w:rFonts w:hint="default"/>
        <w:lang w:val="en-US" w:eastAsia="en-US" w:bidi="ar-SA"/>
      </w:rPr>
    </w:lvl>
    <w:lvl w:ilvl="7" w:tplc="82DE132C">
      <w:numFmt w:val="bullet"/>
      <w:lvlText w:val="•"/>
      <w:lvlJc w:val="left"/>
      <w:pPr>
        <w:ind w:left="7479" w:hanging="437"/>
      </w:pPr>
      <w:rPr>
        <w:rFonts w:hint="default"/>
        <w:lang w:val="en-US" w:eastAsia="en-US" w:bidi="ar-SA"/>
      </w:rPr>
    </w:lvl>
    <w:lvl w:ilvl="8" w:tplc="F9246C6E">
      <w:numFmt w:val="bullet"/>
      <w:lvlText w:val="•"/>
      <w:lvlJc w:val="left"/>
      <w:pPr>
        <w:ind w:left="8838" w:hanging="437"/>
      </w:pPr>
      <w:rPr>
        <w:rFonts w:hint="default"/>
        <w:lang w:val="en-US" w:eastAsia="en-US" w:bidi="ar-SA"/>
      </w:rPr>
    </w:lvl>
  </w:abstractNum>
  <w:abstractNum w:abstractNumId="93" w15:restartNumberingAfterBreak="0">
    <w:nsid w:val="63F3321B"/>
    <w:multiLevelType w:val="hybridMultilevel"/>
    <w:tmpl w:val="04F8EF3E"/>
    <w:lvl w:ilvl="0" w:tplc="BA061AB8">
      <w:start w:val="1"/>
      <w:numFmt w:val="lowerRoman"/>
      <w:lvlText w:val="%1)"/>
      <w:lvlJc w:val="left"/>
      <w:pPr>
        <w:ind w:left="360" w:hanging="361"/>
        <w:jc w:val="left"/>
      </w:pPr>
      <w:rPr>
        <w:rFonts w:ascii="Times New Roman" w:eastAsia="Times New Roman" w:hAnsi="Times New Roman" w:cs="Times New Roman" w:hint="default"/>
        <w:b w:val="0"/>
        <w:bCs w:val="0"/>
        <w:i/>
        <w:iCs/>
        <w:color w:val="211F1F"/>
        <w:spacing w:val="0"/>
        <w:w w:val="100"/>
        <w:sz w:val="22"/>
        <w:szCs w:val="22"/>
        <w:lang w:val="en-US" w:eastAsia="en-US" w:bidi="ar-SA"/>
      </w:rPr>
    </w:lvl>
    <w:lvl w:ilvl="1" w:tplc="75DC0CD0">
      <w:start w:val="1"/>
      <w:numFmt w:val="decimal"/>
      <w:lvlText w:val="%2."/>
      <w:lvlJc w:val="left"/>
      <w:pPr>
        <w:ind w:left="1061" w:hanging="572"/>
        <w:jc w:val="left"/>
      </w:pPr>
      <w:rPr>
        <w:rFonts w:hint="default"/>
        <w:spacing w:val="-23"/>
        <w:w w:val="94"/>
        <w:lang w:val="en-US" w:eastAsia="en-US" w:bidi="ar-SA"/>
      </w:rPr>
    </w:lvl>
    <w:lvl w:ilvl="2" w:tplc="C8F61E0A">
      <w:start w:val="1"/>
      <w:numFmt w:val="lowerRoman"/>
      <w:lvlText w:val="%3)"/>
      <w:lvlJc w:val="left"/>
      <w:pPr>
        <w:ind w:left="1575" w:hanging="510"/>
        <w:jc w:val="left"/>
      </w:pPr>
      <w:rPr>
        <w:rFonts w:hint="default"/>
        <w:spacing w:val="-4"/>
        <w:w w:val="100"/>
        <w:lang w:val="en-US" w:eastAsia="en-US" w:bidi="ar-SA"/>
      </w:rPr>
    </w:lvl>
    <w:lvl w:ilvl="3" w:tplc="D3D2D932">
      <w:numFmt w:val="bullet"/>
      <w:lvlText w:val="•"/>
      <w:lvlJc w:val="left"/>
      <w:pPr>
        <w:ind w:left="2827" w:hanging="510"/>
      </w:pPr>
      <w:rPr>
        <w:rFonts w:hint="default"/>
        <w:lang w:val="en-US" w:eastAsia="en-US" w:bidi="ar-SA"/>
      </w:rPr>
    </w:lvl>
    <w:lvl w:ilvl="4" w:tplc="043254CC">
      <w:numFmt w:val="bullet"/>
      <w:lvlText w:val="•"/>
      <w:lvlJc w:val="left"/>
      <w:pPr>
        <w:ind w:left="4074" w:hanging="510"/>
      </w:pPr>
      <w:rPr>
        <w:rFonts w:hint="default"/>
        <w:lang w:val="en-US" w:eastAsia="en-US" w:bidi="ar-SA"/>
      </w:rPr>
    </w:lvl>
    <w:lvl w:ilvl="5" w:tplc="81F0425C">
      <w:numFmt w:val="bullet"/>
      <w:lvlText w:val="•"/>
      <w:lvlJc w:val="left"/>
      <w:pPr>
        <w:ind w:left="5321" w:hanging="510"/>
      </w:pPr>
      <w:rPr>
        <w:rFonts w:hint="default"/>
        <w:lang w:val="en-US" w:eastAsia="en-US" w:bidi="ar-SA"/>
      </w:rPr>
    </w:lvl>
    <w:lvl w:ilvl="6" w:tplc="3E4E90A8">
      <w:numFmt w:val="bullet"/>
      <w:lvlText w:val="•"/>
      <w:lvlJc w:val="left"/>
      <w:pPr>
        <w:ind w:left="6569" w:hanging="510"/>
      </w:pPr>
      <w:rPr>
        <w:rFonts w:hint="default"/>
        <w:lang w:val="en-US" w:eastAsia="en-US" w:bidi="ar-SA"/>
      </w:rPr>
    </w:lvl>
    <w:lvl w:ilvl="7" w:tplc="0A3AB476">
      <w:numFmt w:val="bullet"/>
      <w:lvlText w:val="•"/>
      <w:lvlJc w:val="left"/>
      <w:pPr>
        <w:ind w:left="7816" w:hanging="510"/>
      </w:pPr>
      <w:rPr>
        <w:rFonts w:hint="default"/>
        <w:lang w:val="en-US" w:eastAsia="en-US" w:bidi="ar-SA"/>
      </w:rPr>
    </w:lvl>
    <w:lvl w:ilvl="8" w:tplc="9528CB4C">
      <w:numFmt w:val="bullet"/>
      <w:lvlText w:val="•"/>
      <w:lvlJc w:val="left"/>
      <w:pPr>
        <w:ind w:left="9063" w:hanging="510"/>
      </w:pPr>
      <w:rPr>
        <w:rFonts w:hint="default"/>
        <w:lang w:val="en-US" w:eastAsia="en-US" w:bidi="ar-SA"/>
      </w:rPr>
    </w:lvl>
  </w:abstractNum>
  <w:abstractNum w:abstractNumId="94" w15:restartNumberingAfterBreak="0">
    <w:nsid w:val="64B8303E"/>
    <w:multiLevelType w:val="hybridMultilevel"/>
    <w:tmpl w:val="EFB0DCFE"/>
    <w:lvl w:ilvl="0" w:tplc="99BE9F76">
      <w:start w:val="1"/>
      <w:numFmt w:val="lowerLetter"/>
      <w:lvlText w:val="%1)"/>
      <w:lvlJc w:val="left"/>
      <w:pPr>
        <w:ind w:left="1589" w:hanging="332"/>
        <w:jc w:val="left"/>
      </w:pPr>
      <w:rPr>
        <w:rFonts w:ascii="Times New Roman" w:eastAsia="Times New Roman" w:hAnsi="Times New Roman" w:cs="Times New Roman" w:hint="default"/>
        <w:b w:val="0"/>
        <w:bCs w:val="0"/>
        <w:i w:val="0"/>
        <w:iCs w:val="0"/>
        <w:color w:val="211F1F"/>
        <w:spacing w:val="0"/>
        <w:w w:val="100"/>
        <w:sz w:val="22"/>
        <w:szCs w:val="22"/>
        <w:lang w:val="en-US" w:eastAsia="en-US" w:bidi="ar-SA"/>
      </w:rPr>
    </w:lvl>
    <w:lvl w:ilvl="1" w:tplc="EE1C71D8">
      <w:numFmt w:val="bullet"/>
      <w:lvlText w:val="•"/>
      <w:lvlJc w:val="left"/>
      <w:pPr>
        <w:ind w:left="2577" w:hanging="332"/>
      </w:pPr>
      <w:rPr>
        <w:rFonts w:hint="default"/>
        <w:lang w:val="en-US" w:eastAsia="en-US" w:bidi="ar-SA"/>
      </w:rPr>
    </w:lvl>
    <w:lvl w:ilvl="2" w:tplc="0F72C392">
      <w:numFmt w:val="bullet"/>
      <w:lvlText w:val="•"/>
      <w:lvlJc w:val="left"/>
      <w:pPr>
        <w:ind w:left="3575" w:hanging="332"/>
      </w:pPr>
      <w:rPr>
        <w:rFonts w:hint="default"/>
        <w:lang w:val="en-US" w:eastAsia="en-US" w:bidi="ar-SA"/>
      </w:rPr>
    </w:lvl>
    <w:lvl w:ilvl="3" w:tplc="2F6CB5BA">
      <w:numFmt w:val="bullet"/>
      <w:lvlText w:val="•"/>
      <w:lvlJc w:val="left"/>
      <w:pPr>
        <w:ind w:left="4573" w:hanging="332"/>
      </w:pPr>
      <w:rPr>
        <w:rFonts w:hint="default"/>
        <w:lang w:val="en-US" w:eastAsia="en-US" w:bidi="ar-SA"/>
      </w:rPr>
    </w:lvl>
    <w:lvl w:ilvl="4" w:tplc="3B8CCDC8">
      <w:numFmt w:val="bullet"/>
      <w:lvlText w:val="•"/>
      <w:lvlJc w:val="left"/>
      <w:pPr>
        <w:ind w:left="5571" w:hanging="332"/>
      </w:pPr>
      <w:rPr>
        <w:rFonts w:hint="default"/>
        <w:lang w:val="en-US" w:eastAsia="en-US" w:bidi="ar-SA"/>
      </w:rPr>
    </w:lvl>
    <w:lvl w:ilvl="5" w:tplc="305A4584">
      <w:numFmt w:val="bullet"/>
      <w:lvlText w:val="•"/>
      <w:lvlJc w:val="left"/>
      <w:pPr>
        <w:ind w:left="6569" w:hanging="332"/>
      </w:pPr>
      <w:rPr>
        <w:rFonts w:hint="default"/>
        <w:lang w:val="en-US" w:eastAsia="en-US" w:bidi="ar-SA"/>
      </w:rPr>
    </w:lvl>
    <w:lvl w:ilvl="6" w:tplc="37B0DDCA">
      <w:numFmt w:val="bullet"/>
      <w:lvlText w:val="•"/>
      <w:lvlJc w:val="left"/>
      <w:pPr>
        <w:ind w:left="7567" w:hanging="332"/>
      </w:pPr>
      <w:rPr>
        <w:rFonts w:hint="default"/>
        <w:lang w:val="en-US" w:eastAsia="en-US" w:bidi="ar-SA"/>
      </w:rPr>
    </w:lvl>
    <w:lvl w:ilvl="7" w:tplc="498E4150">
      <w:numFmt w:val="bullet"/>
      <w:lvlText w:val="•"/>
      <w:lvlJc w:val="left"/>
      <w:pPr>
        <w:ind w:left="8564" w:hanging="332"/>
      </w:pPr>
      <w:rPr>
        <w:rFonts w:hint="default"/>
        <w:lang w:val="en-US" w:eastAsia="en-US" w:bidi="ar-SA"/>
      </w:rPr>
    </w:lvl>
    <w:lvl w:ilvl="8" w:tplc="0F8A85EE">
      <w:numFmt w:val="bullet"/>
      <w:lvlText w:val="•"/>
      <w:lvlJc w:val="left"/>
      <w:pPr>
        <w:ind w:left="9562" w:hanging="332"/>
      </w:pPr>
      <w:rPr>
        <w:rFonts w:hint="default"/>
        <w:lang w:val="en-US" w:eastAsia="en-US" w:bidi="ar-SA"/>
      </w:rPr>
    </w:lvl>
  </w:abstractNum>
  <w:abstractNum w:abstractNumId="95" w15:restartNumberingAfterBreak="0">
    <w:nsid w:val="653E5901"/>
    <w:multiLevelType w:val="hybridMultilevel"/>
    <w:tmpl w:val="6AF6F0A8"/>
    <w:lvl w:ilvl="0" w:tplc="0D8C39E0">
      <w:start w:val="3"/>
      <w:numFmt w:val="decimal"/>
      <w:lvlText w:val="%1."/>
      <w:lvlJc w:val="left"/>
      <w:pPr>
        <w:ind w:left="1239" w:hanging="443"/>
        <w:jc w:val="right"/>
      </w:pPr>
      <w:rPr>
        <w:rFonts w:hint="default"/>
        <w:spacing w:val="-24"/>
        <w:w w:val="100"/>
        <w:lang w:val="en-US" w:eastAsia="en-US" w:bidi="ar-SA"/>
      </w:rPr>
    </w:lvl>
    <w:lvl w:ilvl="1" w:tplc="BB624722">
      <w:numFmt w:val="bullet"/>
      <w:lvlText w:val="•"/>
      <w:lvlJc w:val="left"/>
      <w:pPr>
        <w:ind w:left="2128" w:hanging="443"/>
      </w:pPr>
      <w:rPr>
        <w:rFonts w:hint="default"/>
        <w:lang w:val="en-US" w:eastAsia="en-US" w:bidi="ar-SA"/>
      </w:rPr>
    </w:lvl>
    <w:lvl w:ilvl="2" w:tplc="3BEE70D8">
      <w:numFmt w:val="bullet"/>
      <w:lvlText w:val="•"/>
      <w:lvlJc w:val="left"/>
      <w:pPr>
        <w:ind w:left="3017" w:hanging="443"/>
      </w:pPr>
      <w:rPr>
        <w:rFonts w:hint="default"/>
        <w:lang w:val="en-US" w:eastAsia="en-US" w:bidi="ar-SA"/>
      </w:rPr>
    </w:lvl>
    <w:lvl w:ilvl="3" w:tplc="8B48E19C">
      <w:numFmt w:val="bullet"/>
      <w:lvlText w:val="•"/>
      <w:lvlJc w:val="left"/>
      <w:pPr>
        <w:ind w:left="3906" w:hanging="443"/>
      </w:pPr>
      <w:rPr>
        <w:rFonts w:hint="default"/>
        <w:lang w:val="en-US" w:eastAsia="en-US" w:bidi="ar-SA"/>
      </w:rPr>
    </w:lvl>
    <w:lvl w:ilvl="4" w:tplc="A3B01A86">
      <w:numFmt w:val="bullet"/>
      <w:lvlText w:val="•"/>
      <w:lvlJc w:val="left"/>
      <w:pPr>
        <w:ind w:left="4795" w:hanging="443"/>
      </w:pPr>
      <w:rPr>
        <w:rFonts w:hint="default"/>
        <w:lang w:val="en-US" w:eastAsia="en-US" w:bidi="ar-SA"/>
      </w:rPr>
    </w:lvl>
    <w:lvl w:ilvl="5" w:tplc="0C7685EC">
      <w:numFmt w:val="bullet"/>
      <w:lvlText w:val="•"/>
      <w:lvlJc w:val="left"/>
      <w:pPr>
        <w:ind w:left="5684" w:hanging="443"/>
      </w:pPr>
      <w:rPr>
        <w:rFonts w:hint="default"/>
        <w:lang w:val="en-US" w:eastAsia="en-US" w:bidi="ar-SA"/>
      </w:rPr>
    </w:lvl>
    <w:lvl w:ilvl="6" w:tplc="1F2C5758">
      <w:numFmt w:val="bullet"/>
      <w:lvlText w:val="•"/>
      <w:lvlJc w:val="left"/>
      <w:pPr>
        <w:ind w:left="6572" w:hanging="443"/>
      </w:pPr>
      <w:rPr>
        <w:rFonts w:hint="default"/>
        <w:lang w:val="en-US" w:eastAsia="en-US" w:bidi="ar-SA"/>
      </w:rPr>
    </w:lvl>
    <w:lvl w:ilvl="7" w:tplc="4622173C">
      <w:numFmt w:val="bullet"/>
      <w:lvlText w:val="•"/>
      <w:lvlJc w:val="left"/>
      <w:pPr>
        <w:ind w:left="7461" w:hanging="443"/>
      </w:pPr>
      <w:rPr>
        <w:rFonts w:hint="default"/>
        <w:lang w:val="en-US" w:eastAsia="en-US" w:bidi="ar-SA"/>
      </w:rPr>
    </w:lvl>
    <w:lvl w:ilvl="8" w:tplc="AD5A077A">
      <w:numFmt w:val="bullet"/>
      <w:lvlText w:val="•"/>
      <w:lvlJc w:val="left"/>
      <w:pPr>
        <w:ind w:left="8350" w:hanging="443"/>
      </w:pPr>
      <w:rPr>
        <w:rFonts w:hint="default"/>
        <w:lang w:val="en-US" w:eastAsia="en-US" w:bidi="ar-SA"/>
      </w:rPr>
    </w:lvl>
  </w:abstractNum>
  <w:abstractNum w:abstractNumId="96" w15:restartNumberingAfterBreak="0">
    <w:nsid w:val="654C5DA6"/>
    <w:multiLevelType w:val="hybridMultilevel"/>
    <w:tmpl w:val="F072EF74"/>
    <w:lvl w:ilvl="0" w:tplc="F0A443DE">
      <w:start w:val="1"/>
      <w:numFmt w:val="decimal"/>
      <w:lvlText w:val="%1."/>
      <w:lvlJc w:val="left"/>
      <w:pPr>
        <w:ind w:left="1042" w:hanging="548"/>
        <w:jc w:val="left"/>
      </w:pPr>
      <w:rPr>
        <w:rFonts w:ascii="Times New Roman" w:eastAsia="Times New Roman" w:hAnsi="Times New Roman" w:cs="Times New Roman" w:hint="default"/>
        <w:b w:val="0"/>
        <w:bCs w:val="0"/>
        <w:i w:val="0"/>
        <w:iCs w:val="0"/>
        <w:color w:val="211F1F"/>
        <w:spacing w:val="-20"/>
        <w:w w:val="100"/>
        <w:sz w:val="22"/>
        <w:szCs w:val="22"/>
        <w:lang w:val="en-US" w:eastAsia="en-US" w:bidi="ar-SA"/>
      </w:rPr>
    </w:lvl>
    <w:lvl w:ilvl="1" w:tplc="FDCC035A">
      <w:numFmt w:val="bullet"/>
      <w:lvlText w:val="•"/>
      <w:lvlJc w:val="left"/>
      <w:pPr>
        <w:ind w:left="2091" w:hanging="548"/>
      </w:pPr>
      <w:rPr>
        <w:rFonts w:hint="default"/>
        <w:lang w:val="en-US" w:eastAsia="en-US" w:bidi="ar-SA"/>
      </w:rPr>
    </w:lvl>
    <w:lvl w:ilvl="2" w:tplc="F816ED1E">
      <w:numFmt w:val="bullet"/>
      <w:lvlText w:val="•"/>
      <w:lvlJc w:val="left"/>
      <w:pPr>
        <w:ind w:left="3143" w:hanging="548"/>
      </w:pPr>
      <w:rPr>
        <w:rFonts w:hint="default"/>
        <w:lang w:val="en-US" w:eastAsia="en-US" w:bidi="ar-SA"/>
      </w:rPr>
    </w:lvl>
    <w:lvl w:ilvl="3" w:tplc="522CCDF8">
      <w:numFmt w:val="bullet"/>
      <w:lvlText w:val="•"/>
      <w:lvlJc w:val="left"/>
      <w:pPr>
        <w:ind w:left="4195" w:hanging="548"/>
      </w:pPr>
      <w:rPr>
        <w:rFonts w:hint="default"/>
        <w:lang w:val="en-US" w:eastAsia="en-US" w:bidi="ar-SA"/>
      </w:rPr>
    </w:lvl>
    <w:lvl w:ilvl="4" w:tplc="6062F62E">
      <w:numFmt w:val="bullet"/>
      <w:lvlText w:val="•"/>
      <w:lvlJc w:val="left"/>
      <w:pPr>
        <w:ind w:left="5247" w:hanging="548"/>
      </w:pPr>
      <w:rPr>
        <w:rFonts w:hint="default"/>
        <w:lang w:val="en-US" w:eastAsia="en-US" w:bidi="ar-SA"/>
      </w:rPr>
    </w:lvl>
    <w:lvl w:ilvl="5" w:tplc="00EE1A16">
      <w:numFmt w:val="bullet"/>
      <w:lvlText w:val="•"/>
      <w:lvlJc w:val="left"/>
      <w:pPr>
        <w:ind w:left="6299" w:hanging="548"/>
      </w:pPr>
      <w:rPr>
        <w:rFonts w:hint="default"/>
        <w:lang w:val="en-US" w:eastAsia="en-US" w:bidi="ar-SA"/>
      </w:rPr>
    </w:lvl>
    <w:lvl w:ilvl="6" w:tplc="3B48BC94">
      <w:numFmt w:val="bullet"/>
      <w:lvlText w:val="•"/>
      <w:lvlJc w:val="left"/>
      <w:pPr>
        <w:ind w:left="7351" w:hanging="548"/>
      </w:pPr>
      <w:rPr>
        <w:rFonts w:hint="default"/>
        <w:lang w:val="en-US" w:eastAsia="en-US" w:bidi="ar-SA"/>
      </w:rPr>
    </w:lvl>
    <w:lvl w:ilvl="7" w:tplc="EB3E5F46">
      <w:numFmt w:val="bullet"/>
      <w:lvlText w:val="•"/>
      <w:lvlJc w:val="left"/>
      <w:pPr>
        <w:ind w:left="8402" w:hanging="548"/>
      </w:pPr>
      <w:rPr>
        <w:rFonts w:hint="default"/>
        <w:lang w:val="en-US" w:eastAsia="en-US" w:bidi="ar-SA"/>
      </w:rPr>
    </w:lvl>
    <w:lvl w:ilvl="8" w:tplc="8C02ADA6">
      <w:numFmt w:val="bullet"/>
      <w:lvlText w:val="•"/>
      <w:lvlJc w:val="left"/>
      <w:pPr>
        <w:ind w:left="9454" w:hanging="548"/>
      </w:pPr>
      <w:rPr>
        <w:rFonts w:hint="default"/>
        <w:lang w:val="en-US" w:eastAsia="en-US" w:bidi="ar-SA"/>
      </w:rPr>
    </w:lvl>
  </w:abstractNum>
  <w:abstractNum w:abstractNumId="97" w15:restartNumberingAfterBreak="0">
    <w:nsid w:val="66BB7057"/>
    <w:multiLevelType w:val="multilevel"/>
    <w:tmpl w:val="26F02A6A"/>
    <w:lvl w:ilvl="0">
      <w:start w:val="15"/>
      <w:numFmt w:val="decimal"/>
      <w:lvlText w:val="%1"/>
      <w:lvlJc w:val="left"/>
      <w:pPr>
        <w:ind w:left="720" w:hanging="721"/>
        <w:jc w:val="left"/>
      </w:pPr>
      <w:rPr>
        <w:rFonts w:hint="default"/>
        <w:lang w:val="en-US" w:eastAsia="en-US" w:bidi="ar-SA"/>
      </w:rPr>
    </w:lvl>
    <w:lvl w:ilvl="1">
      <w:numFmt w:val="decimal"/>
      <w:lvlText w:val="%1.%2"/>
      <w:lvlJc w:val="left"/>
      <w:pPr>
        <w:ind w:left="720" w:hanging="721"/>
        <w:jc w:val="right"/>
      </w:pPr>
      <w:rPr>
        <w:rFonts w:hint="default"/>
        <w:spacing w:val="0"/>
        <w:w w:val="100"/>
        <w:lang w:val="en-US" w:eastAsia="en-US" w:bidi="ar-SA"/>
      </w:rPr>
    </w:lvl>
    <w:lvl w:ilvl="2">
      <w:numFmt w:val="bullet"/>
      <w:lvlText w:val="•"/>
      <w:lvlJc w:val="left"/>
      <w:pPr>
        <w:ind w:left="2529" w:hanging="721"/>
      </w:pPr>
      <w:rPr>
        <w:rFonts w:hint="default"/>
        <w:lang w:val="en-US" w:eastAsia="en-US" w:bidi="ar-SA"/>
      </w:rPr>
    </w:lvl>
    <w:lvl w:ilvl="3">
      <w:numFmt w:val="bullet"/>
      <w:lvlText w:val="•"/>
      <w:lvlJc w:val="left"/>
      <w:pPr>
        <w:ind w:left="3434" w:hanging="721"/>
      </w:pPr>
      <w:rPr>
        <w:rFonts w:hint="default"/>
        <w:lang w:val="en-US" w:eastAsia="en-US" w:bidi="ar-SA"/>
      </w:rPr>
    </w:lvl>
    <w:lvl w:ilvl="4">
      <w:numFmt w:val="bullet"/>
      <w:lvlText w:val="•"/>
      <w:lvlJc w:val="left"/>
      <w:pPr>
        <w:ind w:left="4339" w:hanging="721"/>
      </w:pPr>
      <w:rPr>
        <w:rFonts w:hint="default"/>
        <w:lang w:val="en-US" w:eastAsia="en-US" w:bidi="ar-SA"/>
      </w:rPr>
    </w:lvl>
    <w:lvl w:ilvl="5">
      <w:numFmt w:val="bullet"/>
      <w:lvlText w:val="•"/>
      <w:lvlJc w:val="left"/>
      <w:pPr>
        <w:ind w:left="5244" w:hanging="721"/>
      </w:pPr>
      <w:rPr>
        <w:rFonts w:hint="default"/>
        <w:lang w:val="en-US" w:eastAsia="en-US" w:bidi="ar-SA"/>
      </w:rPr>
    </w:lvl>
    <w:lvl w:ilvl="6">
      <w:numFmt w:val="bullet"/>
      <w:lvlText w:val="•"/>
      <w:lvlJc w:val="left"/>
      <w:pPr>
        <w:ind w:left="6148" w:hanging="721"/>
      </w:pPr>
      <w:rPr>
        <w:rFonts w:hint="default"/>
        <w:lang w:val="en-US" w:eastAsia="en-US" w:bidi="ar-SA"/>
      </w:rPr>
    </w:lvl>
    <w:lvl w:ilvl="7">
      <w:numFmt w:val="bullet"/>
      <w:lvlText w:val="•"/>
      <w:lvlJc w:val="left"/>
      <w:pPr>
        <w:ind w:left="7053" w:hanging="721"/>
      </w:pPr>
      <w:rPr>
        <w:rFonts w:hint="default"/>
        <w:lang w:val="en-US" w:eastAsia="en-US" w:bidi="ar-SA"/>
      </w:rPr>
    </w:lvl>
    <w:lvl w:ilvl="8">
      <w:numFmt w:val="bullet"/>
      <w:lvlText w:val="•"/>
      <w:lvlJc w:val="left"/>
      <w:pPr>
        <w:ind w:left="7958" w:hanging="721"/>
      </w:pPr>
      <w:rPr>
        <w:rFonts w:hint="default"/>
        <w:lang w:val="en-US" w:eastAsia="en-US" w:bidi="ar-SA"/>
      </w:rPr>
    </w:lvl>
  </w:abstractNum>
  <w:abstractNum w:abstractNumId="98" w15:restartNumberingAfterBreak="0">
    <w:nsid w:val="67201476"/>
    <w:multiLevelType w:val="hybridMultilevel"/>
    <w:tmpl w:val="52364B52"/>
    <w:lvl w:ilvl="0" w:tplc="20ACC9C6">
      <w:start w:val="2"/>
      <w:numFmt w:val="lowerRoman"/>
      <w:lvlText w:val="%1)"/>
      <w:lvlJc w:val="left"/>
      <w:pPr>
        <w:ind w:left="1897" w:hanging="437"/>
        <w:jc w:val="left"/>
      </w:pPr>
      <w:rPr>
        <w:rFonts w:ascii="Times New Roman" w:eastAsia="Times New Roman" w:hAnsi="Times New Roman" w:cs="Times New Roman" w:hint="default"/>
        <w:b w:val="0"/>
        <w:bCs w:val="0"/>
        <w:i w:val="0"/>
        <w:iCs w:val="0"/>
        <w:color w:val="211F1F"/>
        <w:spacing w:val="-4"/>
        <w:w w:val="100"/>
        <w:sz w:val="22"/>
        <w:szCs w:val="22"/>
        <w:lang w:val="en-US" w:eastAsia="en-US" w:bidi="ar-SA"/>
      </w:rPr>
    </w:lvl>
    <w:lvl w:ilvl="1" w:tplc="5D169212">
      <w:numFmt w:val="bullet"/>
      <w:lvlText w:val="•"/>
      <w:lvlJc w:val="left"/>
      <w:pPr>
        <w:ind w:left="2865" w:hanging="437"/>
      </w:pPr>
      <w:rPr>
        <w:rFonts w:hint="default"/>
        <w:lang w:val="en-US" w:eastAsia="en-US" w:bidi="ar-SA"/>
      </w:rPr>
    </w:lvl>
    <w:lvl w:ilvl="2" w:tplc="2C40F194">
      <w:numFmt w:val="bullet"/>
      <w:lvlText w:val="•"/>
      <w:lvlJc w:val="left"/>
      <w:pPr>
        <w:ind w:left="3831" w:hanging="437"/>
      </w:pPr>
      <w:rPr>
        <w:rFonts w:hint="default"/>
        <w:lang w:val="en-US" w:eastAsia="en-US" w:bidi="ar-SA"/>
      </w:rPr>
    </w:lvl>
    <w:lvl w:ilvl="3" w:tplc="4E56BAEE">
      <w:numFmt w:val="bullet"/>
      <w:lvlText w:val="•"/>
      <w:lvlJc w:val="left"/>
      <w:pPr>
        <w:ind w:left="4797" w:hanging="437"/>
      </w:pPr>
      <w:rPr>
        <w:rFonts w:hint="default"/>
        <w:lang w:val="en-US" w:eastAsia="en-US" w:bidi="ar-SA"/>
      </w:rPr>
    </w:lvl>
    <w:lvl w:ilvl="4" w:tplc="B4221C8E">
      <w:numFmt w:val="bullet"/>
      <w:lvlText w:val="•"/>
      <w:lvlJc w:val="left"/>
      <w:pPr>
        <w:ind w:left="5763" w:hanging="437"/>
      </w:pPr>
      <w:rPr>
        <w:rFonts w:hint="default"/>
        <w:lang w:val="en-US" w:eastAsia="en-US" w:bidi="ar-SA"/>
      </w:rPr>
    </w:lvl>
    <w:lvl w:ilvl="5" w:tplc="E8C44CA6">
      <w:numFmt w:val="bullet"/>
      <w:lvlText w:val="•"/>
      <w:lvlJc w:val="left"/>
      <w:pPr>
        <w:ind w:left="6729" w:hanging="437"/>
      </w:pPr>
      <w:rPr>
        <w:rFonts w:hint="default"/>
        <w:lang w:val="en-US" w:eastAsia="en-US" w:bidi="ar-SA"/>
      </w:rPr>
    </w:lvl>
    <w:lvl w:ilvl="6" w:tplc="02B8B66E">
      <w:numFmt w:val="bullet"/>
      <w:lvlText w:val="•"/>
      <w:lvlJc w:val="left"/>
      <w:pPr>
        <w:ind w:left="7695" w:hanging="437"/>
      </w:pPr>
      <w:rPr>
        <w:rFonts w:hint="default"/>
        <w:lang w:val="en-US" w:eastAsia="en-US" w:bidi="ar-SA"/>
      </w:rPr>
    </w:lvl>
    <w:lvl w:ilvl="7" w:tplc="410CD054">
      <w:numFmt w:val="bullet"/>
      <w:lvlText w:val="•"/>
      <w:lvlJc w:val="left"/>
      <w:pPr>
        <w:ind w:left="8660" w:hanging="437"/>
      </w:pPr>
      <w:rPr>
        <w:rFonts w:hint="default"/>
        <w:lang w:val="en-US" w:eastAsia="en-US" w:bidi="ar-SA"/>
      </w:rPr>
    </w:lvl>
    <w:lvl w:ilvl="8" w:tplc="B9C07734">
      <w:numFmt w:val="bullet"/>
      <w:lvlText w:val="•"/>
      <w:lvlJc w:val="left"/>
      <w:pPr>
        <w:ind w:left="9626" w:hanging="437"/>
      </w:pPr>
      <w:rPr>
        <w:rFonts w:hint="default"/>
        <w:lang w:val="en-US" w:eastAsia="en-US" w:bidi="ar-SA"/>
      </w:rPr>
    </w:lvl>
  </w:abstractNum>
  <w:abstractNum w:abstractNumId="99" w15:restartNumberingAfterBreak="0">
    <w:nsid w:val="682D4146"/>
    <w:multiLevelType w:val="hybridMultilevel"/>
    <w:tmpl w:val="941C9AC4"/>
    <w:lvl w:ilvl="0" w:tplc="EBCA3882">
      <w:start w:val="1"/>
      <w:numFmt w:val="decimal"/>
      <w:lvlText w:val="%1."/>
      <w:lvlJc w:val="left"/>
      <w:pPr>
        <w:ind w:left="1080" w:hanging="720"/>
        <w:jc w:val="left"/>
      </w:pPr>
      <w:rPr>
        <w:rFonts w:hint="default"/>
        <w:spacing w:val="-5"/>
        <w:w w:val="100"/>
        <w:lang w:val="en-US" w:eastAsia="en-US" w:bidi="ar-SA"/>
      </w:rPr>
    </w:lvl>
    <w:lvl w:ilvl="1" w:tplc="2F60E7AE">
      <w:numFmt w:val="bullet"/>
      <w:lvlText w:val="•"/>
      <w:lvlJc w:val="left"/>
      <w:pPr>
        <w:ind w:left="2127" w:hanging="720"/>
      </w:pPr>
      <w:rPr>
        <w:rFonts w:hint="default"/>
        <w:lang w:val="en-US" w:eastAsia="en-US" w:bidi="ar-SA"/>
      </w:rPr>
    </w:lvl>
    <w:lvl w:ilvl="2" w:tplc="8E442F4A">
      <w:numFmt w:val="bullet"/>
      <w:lvlText w:val="•"/>
      <w:lvlJc w:val="left"/>
      <w:pPr>
        <w:ind w:left="3175" w:hanging="720"/>
      </w:pPr>
      <w:rPr>
        <w:rFonts w:hint="default"/>
        <w:lang w:val="en-US" w:eastAsia="en-US" w:bidi="ar-SA"/>
      </w:rPr>
    </w:lvl>
    <w:lvl w:ilvl="3" w:tplc="8F589F50">
      <w:numFmt w:val="bullet"/>
      <w:lvlText w:val="•"/>
      <w:lvlJc w:val="left"/>
      <w:pPr>
        <w:ind w:left="4223" w:hanging="720"/>
      </w:pPr>
      <w:rPr>
        <w:rFonts w:hint="default"/>
        <w:lang w:val="en-US" w:eastAsia="en-US" w:bidi="ar-SA"/>
      </w:rPr>
    </w:lvl>
    <w:lvl w:ilvl="4" w:tplc="6368215A">
      <w:numFmt w:val="bullet"/>
      <w:lvlText w:val="•"/>
      <w:lvlJc w:val="left"/>
      <w:pPr>
        <w:ind w:left="5271" w:hanging="720"/>
      </w:pPr>
      <w:rPr>
        <w:rFonts w:hint="default"/>
        <w:lang w:val="en-US" w:eastAsia="en-US" w:bidi="ar-SA"/>
      </w:rPr>
    </w:lvl>
    <w:lvl w:ilvl="5" w:tplc="FE0EFE0C">
      <w:numFmt w:val="bullet"/>
      <w:lvlText w:val="•"/>
      <w:lvlJc w:val="left"/>
      <w:pPr>
        <w:ind w:left="6319" w:hanging="720"/>
      </w:pPr>
      <w:rPr>
        <w:rFonts w:hint="default"/>
        <w:lang w:val="en-US" w:eastAsia="en-US" w:bidi="ar-SA"/>
      </w:rPr>
    </w:lvl>
    <w:lvl w:ilvl="6" w:tplc="D5245394">
      <w:numFmt w:val="bullet"/>
      <w:lvlText w:val="•"/>
      <w:lvlJc w:val="left"/>
      <w:pPr>
        <w:ind w:left="7367" w:hanging="720"/>
      </w:pPr>
      <w:rPr>
        <w:rFonts w:hint="default"/>
        <w:lang w:val="en-US" w:eastAsia="en-US" w:bidi="ar-SA"/>
      </w:rPr>
    </w:lvl>
    <w:lvl w:ilvl="7" w:tplc="E30A734A">
      <w:numFmt w:val="bullet"/>
      <w:lvlText w:val="•"/>
      <w:lvlJc w:val="left"/>
      <w:pPr>
        <w:ind w:left="8414" w:hanging="720"/>
      </w:pPr>
      <w:rPr>
        <w:rFonts w:hint="default"/>
        <w:lang w:val="en-US" w:eastAsia="en-US" w:bidi="ar-SA"/>
      </w:rPr>
    </w:lvl>
    <w:lvl w:ilvl="8" w:tplc="65E0C994">
      <w:numFmt w:val="bullet"/>
      <w:lvlText w:val="•"/>
      <w:lvlJc w:val="left"/>
      <w:pPr>
        <w:ind w:left="9462" w:hanging="720"/>
      </w:pPr>
      <w:rPr>
        <w:rFonts w:hint="default"/>
        <w:lang w:val="en-US" w:eastAsia="en-US" w:bidi="ar-SA"/>
      </w:rPr>
    </w:lvl>
  </w:abstractNum>
  <w:abstractNum w:abstractNumId="100" w15:restartNumberingAfterBreak="0">
    <w:nsid w:val="682D4690"/>
    <w:multiLevelType w:val="hybridMultilevel"/>
    <w:tmpl w:val="AF8AC33A"/>
    <w:lvl w:ilvl="0" w:tplc="105C133A">
      <w:start w:val="1"/>
      <w:numFmt w:val="lowerRoman"/>
      <w:lvlText w:val="%1."/>
      <w:lvlJc w:val="left"/>
      <w:pPr>
        <w:ind w:left="2161" w:hanging="308"/>
        <w:jc w:val="right"/>
      </w:pPr>
      <w:rPr>
        <w:rFonts w:hint="default"/>
        <w:spacing w:val="-10"/>
        <w:w w:val="100"/>
        <w:lang w:val="en-US" w:eastAsia="en-US" w:bidi="ar-SA"/>
      </w:rPr>
    </w:lvl>
    <w:lvl w:ilvl="1" w:tplc="FDA8CE1A">
      <w:numFmt w:val="bullet"/>
      <w:lvlText w:val="•"/>
      <w:lvlJc w:val="left"/>
      <w:pPr>
        <w:ind w:left="2920" w:hanging="308"/>
      </w:pPr>
      <w:rPr>
        <w:rFonts w:hint="default"/>
        <w:lang w:val="en-US" w:eastAsia="en-US" w:bidi="ar-SA"/>
      </w:rPr>
    </w:lvl>
    <w:lvl w:ilvl="2" w:tplc="31F4D750">
      <w:numFmt w:val="bullet"/>
      <w:lvlText w:val="•"/>
      <w:lvlJc w:val="left"/>
      <w:pPr>
        <w:ind w:left="3681" w:hanging="308"/>
      </w:pPr>
      <w:rPr>
        <w:rFonts w:hint="default"/>
        <w:lang w:val="en-US" w:eastAsia="en-US" w:bidi="ar-SA"/>
      </w:rPr>
    </w:lvl>
    <w:lvl w:ilvl="3" w:tplc="C0447666">
      <w:numFmt w:val="bullet"/>
      <w:lvlText w:val="•"/>
      <w:lvlJc w:val="left"/>
      <w:pPr>
        <w:ind w:left="4442" w:hanging="308"/>
      </w:pPr>
      <w:rPr>
        <w:rFonts w:hint="default"/>
        <w:lang w:val="en-US" w:eastAsia="en-US" w:bidi="ar-SA"/>
      </w:rPr>
    </w:lvl>
    <w:lvl w:ilvl="4" w:tplc="A30A5456">
      <w:numFmt w:val="bullet"/>
      <w:lvlText w:val="•"/>
      <w:lvlJc w:val="left"/>
      <w:pPr>
        <w:ind w:left="5203" w:hanging="308"/>
      </w:pPr>
      <w:rPr>
        <w:rFonts w:hint="default"/>
        <w:lang w:val="en-US" w:eastAsia="en-US" w:bidi="ar-SA"/>
      </w:rPr>
    </w:lvl>
    <w:lvl w:ilvl="5" w:tplc="CD9A3E0C">
      <w:numFmt w:val="bullet"/>
      <w:lvlText w:val="•"/>
      <w:lvlJc w:val="left"/>
      <w:pPr>
        <w:ind w:left="5964" w:hanging="308"/>
      </w:pPr>
      <w:rPr>
        <w:rFonts w:hint="default"/>
        <w:lang w:val="en-US" w:eastAsia="en-US" w:bidi="ar-SA"/>
      </w:rPr>
    </w:lvl>
    <w:lvl w:ilvl="6" w:tplc="AEA69404">
      <w:numFmt w:val="bullet"/>
      <w:lvlText w:val="•"/>
      <w:lvlJc w:val="left"/>
      <w:pPr>
        <w:ind w:left="6724" w:hanging="308"/>
      </w:pPr>
      <w:rPr>
        <w:rFonts w:hint="default"/>
        <w:lang w:val="en-US" w:eastAsia="en-US" w:bidi="ar-SA"/>
      </w:rPr>
    </w:lvl>
    <w:lvl w:ilvl="7" w:tplc="F0847E7E">
      <w:numFmt w:val="bullet"/>
      <w:lvlText w:val="•"/>
      <w:lvlJc w:val="left"/>
      <w:pPr>
        <w:ind w:left="7485" w:hanging="308"/>
      </w:pPr>
      <w:rPr>
        <w:rFonts w:hint="default"/>
        <w:lang w:val="en-US" w:eastAsia="en-US" w:bidi="ar-SA"/>
      </w:rPr>
    </w:lvl>
    <w:lvl w:ilvl="8" w:tplc="1C065148">
      <w:numFmt w:val="bullet"/>
      <w:lvlText w:val="•"/>
      <w:lvlJc w:val="left"/>
      <w:pPr>
        <w:ind w:left="8246" w:hanging="308"/>
      </w:pPr>
      <w:rPr>
        <w:rFonts w:hint="default"/>
        <w:lang w:val="en-US" w:eastAsia="en-US" w:bidi="ar-SA"/>
      </w:rPr>
    </w:lvl>
  </w:abstractNum>
  <w:abstractNum w:abstractNumId="101" w15:restartNumberingAfterBreak="0">
    <w:nsid w:val="697E4CC8"/>
    <w:multiLevelType w:val="hybridMultilevel"/>
    <w:tmpl w:val="9118D9C6"/>
    <w:lvl w:ilvl="0" w:tplc="054A33AC">
      <w:start w:val="5"/>
      <w:numFmt w:val="decimal"/>
      <w:lvlText w:val="%1"/>
      <w:lvlJc w:val="left"/>
      <w:pPr>
        <w:ind w:left="1441" w:hanging="72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9A8E76A">
      <w:numFmt w:val="bullet"/>
      <w:lvlText w:val="•"/>
      <w:lvlJc w:val="left"/>
      <w:pPr>
        <w:ind w:left="2308" w:hanging="721"/>
      </w:pPr>
      <w:rPr>
        <w:rFonts w:hint="default"/>
        <w:lang w:val="en-US" w:eastAsia="en-US" w:bidi="ar-SA"/>
      </w:rPr>
    </w:lvl>
    <w:lvl w:ilvl="2" w:tplc="4B00C062">
      <w:numFmt w:val="bullet"/>
      <w:lvlText w:val="•"/>
      <w:lvlJc w:val="left"/>
      <w:pPr>
        <w:ind w:left="3177" w:hanging="721"/>
      </w:pPr>
      <w:rPr>
        <w:rFonts w:hint="default"/>
        <w:lang w:val="en-US" w:eastAsia="en-US" w:bidi="ar-SA"/>
      </w:rPr>
    </w:lvl>
    <w:lvl w:ilvl="3" w:tplc="0778F420">
      <w:numFmt w:val="bullet"/>
      <w:lvlText w:val="•"/>
      <w:lvlJc w:val="left"/>
      <w:pPr>
        <w:ind w:left="4046" w:hanging="721"/>
      </w:pPr>
      <w:rPr>
        <w:rFonts w:hint="default"/>
        <w:lang w:val="en-US" w:eastAsia="en-US" w:bidi="ar-SA"/>
      </w:rPr>
    </w:lvl>
    <w:lvl w:ilvl="4" w:tplc="365E442E">
      <w:numFmt w:val="bullet"/>
      <w:lvlText w:val="•"/>
      <w:lvlJc w:val="left"/>
      <w:pPr>
        <w:ind w:left="4915" w:hanging="721"/>
      </w:pPr>
      <w:rPr>
        <w:rFonts w:hint="default"/>
        <w:lang w:val="en-US" w:eastAsia="en-US" w:bidi="ar-SA"/>
      </w:rPr>
    </w:lvl>
    <w:lvl w:ilvl="5" w:tplc="12E66974">
      <w:numFmt w:val="bullet"/>
      <w:lvlText w:val="•"/>
      <w:lvlJc w:val="left"/>
      <w:pPr>
        <w:ind w:left="5784" w:hanging="721"/>
      </w:pPr>
      <w:rPr>
        <w:rFonts w:hint="default"/>
        <w:lang w:val="en-US" w:eastAsia="en-US" w:bidi="ar-SA"/>
      </w:rPr>
    </w:lvl>
    <w:lvl w:ilvl="6" w:tplc="E8D8470A">
      <w:numFmt w:val="bullet"/>
      <w:lvlText w:val="•"/>
      <w:lvlJc w:val="left"/>
      <w:pPr>
        <w:ind w:left="6652" w:hanging="721"/>
      </w:pPr>
      <w:rPr>
        <w:rFonts w:hint="default"/>
        <w:lang w:val="en-US" w:eastAsia="en-US" w:bidi="ar-SA"/>
      </w:rPr>
    </w:lvl>
    <w:lvl w:ilvl="7" w:tplc="98BCF724">
      <w:numFmt w:val="bullet"/>
      <w:lvlText w:val="•"/>
      <w:lvlJc w:val="left"/>
      <w:pPr>
        <w:ind w:left="7521" w:hanging="721"/>
      </w:pPr>
      <w:rPr>
        <w:rFonts w:hint="default"/>
        <w:lang w:val="en-US" w:eastAsia="en-US" w:bidi="ar-SA"/>
      </w:rPr>
    </w:lvl>
    <w:lvl w:ilvl="8" w:tplc="DDE07B7C">
      <w:numFmt w:val="bullet"/>
      <w:lvlText w:val="•"/>
      <w:lvlJc w:val="left"/>
      <w:pPr>
        <w:ind w:left="8390" w:hanging="721"/>
      </w:pPr>
      <w:rPr>
        <w:rFonts w:hint="default"/>
        <w:lang w:val="en-US" w:eastAsia="en-US" w:bidi="ar-SA"/>
      </w:rPr>
    </w:lvl>
  </w:abstractNum>
  <w:abstractNum w:abstractNumId="102" w15:restartNumberingAfterBreak="0">
    <w:nsid w:val="6A7B4130"/>
    <w:multiLevelType w:val="hybridMultilevel"/>
    <w:tmpl w:val="01682C9A"/>
    <w:lvl w:ilvl="0" w:tplc="71507EBE">
      <w:numFmt w:val="bullet"/>
      <w:lvlText w:val=""/>
      <w:lvlJc w:val="left"/>
      <w:pPr>
        <w:ind w:left="7" w:hanging="720"/>
      </w:pPr>
      <w:rPr>
        <w:rFonts w:ascii="Wingdings" w:eastAsia="Wingdings" w:hAnsi="Wingdings" w:cs="Wingdings" w:hint="default"/>
        <w:b w:val="0"/>
        <w:bCs w:val="0"/>
        <w:i w:val="0"/>
        <w:iCs w:val="0"/>
        <w:spacing w:val="0"/>
        <w:w w:val="100"/>
        <w:sz w:val="22"/>
        <w:szCs w:val="22"/>
        <w:lang w:val="en-US" w:eastAsia="en-US" w:bidi="ar-SA"/>
      </w:rPr>
    </w:lvl>
    <w:lvl w:ilvl="1" w:tplc="C6AA06DC">
      <w:numFmt w:val="bullet"/>
      <w:lvlText w:val="•"/>
      <w:lvlJc w:val="left"/>
      <w:pPr>
        <w:ind w:left="939" w:hanging="720"/>
      </w:pPr>
      <w:rPr>
        <w:rFonts w:hint="default"/>
        <w:lang w:val="en-US" w:eastAsia="en-US" w:bidi="ar-SA"/>
      </w:rPr>
    </w:lvl>
    <w:lvl w:ilvl="2" w:tplc="8EDC04A2">
      <w:numFmt w:val="bullet"/>
      <w:lvlText w:val="•"/>
      <w:lvlJc w:val="left"/>
      <w:pPr>
        <w:ind w:left="1878" w:hanging="720"/>
      </w:pPr>
      <w:rPr>
        <w:rFonts w:hint="default"/>
        <w:lang w:val="en-US" w:eastAsia="en-US" w:bidi="ar-SA"/>
      </w:rPr>
    </w:lvl>
    <w:lvl w:ilvl="3" w:tplc="16004AFA">
      <w:numFmt w:val="bullet"/>
      <w:lvlText w:val="•"/>
      <w:lvlJc w:val="left"/>
      <w:pPr>
        <w:ind w:left="2817" w:hanging="720"/>
      </w:pPr>
      <w:rPr>
        <w:rFonts w:hint="default"/>
        <w:lang w:val="en-US" w:eastAsia="en-US" w:bidi="ar-SA"/>
      </w:rPr>
    </w:lvl>
    <w:lvl w:ilvl="4" w:tplc="B960306E">
      <w:numFmt w:val="bullet"/>
      <w:lvlText w:val="•"/>
      <w:lvlJc w:val="left"/>
      <w:pPr>
        <w:ind w:left="3756" w:hanging="720"/>
      </w:pPr>
      <w:rPr>
        <w:rFonts w:hint="default"/>
        <w:lang w:val="en-US" w:eastAsia="en-US" w:bidi="ar-SA"/>
      </w:rPr>
    </w:lvl>
    <w:lvl w:ilvl="5" w:tplc="46E65D28">
      <w:numFmt w:val="bullet"/>
      <w:lvlText w:val="•"/>
      <w:lvlJc w:val="left"/>
      <w:pPr>
        <w:ind w:left="4695" w:hanging="720"/>
      </w:pPr>
      <w:rPr>
        <w:rFonts w:hint="default"/>
        <w:lang w:val="en-US" w:eastAsia="en-US" w:bidi="ar-SA"/>
      </w:rPr>
    </w:lvl>
    <w:lvl w:ilvl="6" w:tplc="463C00A2">
      <w:numFmt w:val="bullet"/>
      <w:lvlText w:val="•"/>
      <w:lvlJc w:val="left"/>
      <w:pPr>
        <w:ind w:left="5634" w:hanging="720"/>
      </w:pPr>
      <w:rPr>
        <w:rFonts w:hint="default"/>
        <w:lang w:val="en-US" w:eastAsia="en-US" w:bidi="ar-SA"/>
      </w:rPr>
    </w:lvl>
    <w:lvl w:ilvl="7" w:tplc="9E1C2A28">
      <w:numFmt w:val="bullet"/>
      <w:lvlText w:val="•"/>
      <w:lvlJc w:val="left"/>
      <w:pPr>
        <w:ind w:left="6573" w:hanging="720"/>
      </w:pPr>
      <w:rPr>
        <w:rFonts w:hint="default"/>
        <w:lang w:val="en-US" w:eastAsia="en-US" w:bidi="ar-SA"/>
      </w:rPr>
    </w:lvl>
    <w:lvl w:ilvl="8" w:tplc="B3C06B6E">
      <w:numFmt w:val="bullet"/>
      <w:lvlText w:val="•"/>
      <w:lvlJc w:val="left"/>
      <w:pPr>
        <w:ind w:left="7512" w:hanging="720"/>
      </w:pPr>
      <w:rPr>
        <w:rFonts w:hint="default"/>
        <w:lang w:val="en-US" w:eastAsia="en-US" w:bidi="ar-SA"/>
      </w:rPr>
    </w:lvl>
  </w:abstractNum>
  <w:abstractNum w:abstractNumId="103" w15:restartNumberingAfterBreak="0">
    <w:nsid w:val="6BF84E26"/>
    <w:multiLevelType w:val="hybridMultilevel"/>
    <w:tmpl w:val="AEB0489E"/>
    <w:lvl w:ilvl="0" w:tplc="60C03024">
      <w:start w:val="1"/>
      <w:numFmt w:val="decimal"/>
      <w:lvlText w:val="%1."/>
      <w:lvlJc w:val="left"/>
      <w:pPr>
        <w:ind w:left="362" w:hanging="216"/>
        <w:jc w:val="left"/>
      </w:pPr>
      <w:rPr>
        <w:rFonts w:ascii="Times New Roman" w:eastAsia="Times New Roman" w:hAnsi="Times New Roman" w:cs="Times New Roman" w:hint="default"/>
        <w:b w:val="0"/>
        <w:bCs w:val="0"/>
        <w:i w:val="0"/>
        <w:iCs w:val="0"/>
        <w:spacing w:val="-5"/>
        <w:w w:val="100"/>
        <w:sz w:val="22"/>
        <w:szCs w:val="22"/>
        <w:lang w:val="en-US" w:eastAsia="en-US" w:bidi="ar-SA"/>
      </w:rPr>
    </w:lvl>
    <w:lvl w:ilvl="1" w:tplc="50AA18F2">
      <w:numFmt w:val="bullet"/>
      <w:lvlText w:val=""/>
      <w:lvlJc w:val="left"/>
      <w:pPr>
        <w:ind w:left="146" w:hanging="250"/>
      </w:pPr>
      <w:rPr>
        <w:rFonts w:ascii="Wingdings" w:eastAsia="Wingdings" w:hAnsi="Wingdings" w:cs="Wingdings" w:hint="default"/>
        <w:b w:val="0"/>
        <w:bCs w:val="0"/>
        <w:i w:val="0"/>
        <w:iCs w:val="0"/>
        <w:spacing w:val="0"/>
        <w:w w:val="100"/>
        <w:sz w:val="22"/>
        <w:szCs w:val="22"/>
        <w:lang w:val="en-US" w:eastAsia="en-US" w:bidi="ar-SA"/>
      </w:rPr>
    </w:lvl>
    <w:lvl w:ilvl="2" w:tplc="608AF75E">
      <w:numFmt w:val="bullet"/>
      <w:lvlText w:val="•"/>
      <w:lvlJc w:val="left"/>
      <w:pPr>
        <w:ind w:left="1361" w:hanging="250"/>
      </w:pPr>
      <w:rPr>
        <w:rFonts w:hint="default"/>
        <w:lang w:val="en-US" w:eastAsia="en-US" w:bidi="ar-SA"/>
      </w:rPr>
    </w:lvl>
    <w:lvl w:ilvl="3" w:tplc="99CEFA9C">
      <w:numFmt w:val="bullet"/>
      <w:lvlText w:val="•"/>
      <w:lvlJc w:val="left"/>
      <w:pPr>
        <w:ind w:left="2362" w:hanging="250"/>
      </w:pPr>
      <w:rPr>
        <w:rFonts w:hint="default"/>
        <w:lang w:val="en-US" w:eastAsia="en-US" w:bidi="ar-SA"/>
      </w:rPr>
    </w:lvl>
    <w:lvl w:ilvl="4" w:tplc="D0807350">
      <w:numFmt w:val="bullet"/>
      <w:lvlText w:val="•"/>
      <w:lvlJc w:val="left"/>
      <w:pPr>
        <w:ind w:left="3364" w:hanging="250"/>
      </w:pPr>
      <w:rPr>
        <w:rFonts w:hint="default"/>
        <w:lang w:val="en-US" w:eastAsia="en-US" w:bidi="ar-SA"/>
      </w:rPr>
    </w:lvl>
    <w:lvl w:ilvl="5" w:tplc="61963034">
      <w:numFmt w:val="bullet"/>
      <w:lvlText w:val="•"/>
      <w:lvlJc w:val="left"/>
      <w:pPr>
        <w:ind w:left="4365" w:hanging="250"/>
      </w:pPr>
      <w:rPr>
        <w:rFonts w:hint="default"/>
        <w:lang w:val="en-US" w:eastAsia="en-US" w:bidi="ar-SA"/>
      </w:rPr>
    </w:lvl>
    <w:lvl w:ilvl="6" w:tplc="9860287E">
      <w:numFmt w:val="bullet"/>
      <w:lvlText w:val="•"/>
      <w:lvlJc w:val="left"/>
      <w:pPr>
        <w:ind w:left="5367" w:hanging="250"/>
      </w:pPr>
      <w:rPr>
        <w:rFonts w:hint="default"/>
        <w:lang w:val="en-US" w:eastAsia="en-US" w:bidi="ar-SA"/>
      </w:rPr>
    </w:lvl>
    <w:lvl w:ilvl="7" w:tplc="DB74A796">
      <w:numFmt w:val="bullet"/>
      <w:lvlText w:val="•"/>
      <w:lvlJc w:val="left"/>
      <w:pPr>
        <w:ind w:left="6368" w:hanging="250"/>
      </w:pPr>
      <w:rPr>
        <w:rFonts w:hint="default"/>
        <w:lang w:val="en-US" w:eastAsia="en-US" w:bidi="ar-SA"/>
      </w:rPr>
    </w:lvl>
    <w:lvl w:ilvl="8" w:tplc="A16E8698">
      <w:numFmt w:val="bullet"/>
      <w:lvlText w:val="•"/>
      <w:lvlJc w:val="left"/>
      <w:pPr>
        <w:ind w:left="7370" w:hanging="250"/>
      </w:pPr>
      <w:rPr>
        <w:rFonts w:hint="default"/>
        <w:lang w:val="en-US" w:eastAsia="en-US" w:bidi="ar-SA"/>
      </w:rPr>
    </w:lvl>
  </w:abstractNum>
  <w:abstractNum w:abstractNumId="104" w15:restartNumberingAfterBreak="0">
    <w:nsid w:val="6CF660E5"/>
    <w:multiLevelType w:val="hybridMultilevel"/>
    <w:tmpl w:val="12329022"/>
    <w:lvl w:ilvl="0" w:tplc="EA68337A">
      <w:start w:val="1"/>
      <w:numFmt w:val="decimal"/>
      <w:lvlText w:val="%1."/>
      <w:lvlJc w:val="left"/>
      <w:pPr>
        <w:ind w:left="1051" w:hanging="245"/>
        <w:jc w:val="left"/>
      </w:pPr>
      <w:rPr>
        <w:rFonts w:ascii="Times New Roman" w:eastAsia="Times New Roman" w:hAnsi="Times New Roman" w:cs="Times New Roman" w:hint="default"/>
        <w:b w:val="0"/>
        <w:bCs w:val="0"/>
        <w:i w:val="0"/>
        <w:iCs w:val="0"/>
        <w:color w:val="211F1F"/>
        <w:spacing w:val="0"/>
        <w:w w:val="100"/>
        <w:sz w:val="22"/>
        <w:szCs w:val="22"/>
        <w:lang w:val="en-US" w:eastAsia="en-US" w:bidi="ar-SA"/>
      </w:rPr>
    </w:lvl>
    <w:lvl w:ilvl="1" w:tplc="28049A06">
      <w:numFmt w:val="bullet"/>
      <w:lvlText w:val="•"/>
      <w:lvlJc w:val="left"/>
      <w:pPr>
        <w:ind w:left="2109" w:hanging="245"/>
      </w:pPr>
      <w:rPr>
        <w:rFonts w:hint="default"/>
        <w:lang w:val="en-US" w:eastAsia="en-US" w:bidi="ar-SA"/>
      </w:rPr>
    </w:lvl>
    <w:lvl w:ilvl="2" w:tplc="7A78D32A">
      <w:numFmt w:val="bullet"/>
      <w:lvlText w:val="•"/>
      <w:lvlJc w:val="left"/>
      <w:pPr>
        <w:ind w:left="3159" w:hanging="245"/>
      </w:pPr>
      <w:rPr>
        <w:rFonts w:hint="default"/>
        <w:lang w:val="en-US" w:eastAsia="en-US" w:bidi="ar-SA"/>
      </w:rPr>
    </w:lvl>
    <w:lvl w:ilvl="3" w:tplc="74742B9C">
      <w:numFmt w:val="bullet"/>
      <w:lvlText w:val="•"/>
      <w:lvlJc w:val="left"/>
      <w:pPr>
        <w:ind w:left="4209" w:hanging="245"/>
      </w:pPr>
      <w:rPr>
        <w:rFonts w:hint="default"/>
        <w:lang w:val="en-US" w:eastAsia="en-US" w:bidi="ar-SA"/>
      </w:rPr>
    </w:lvl>
    <w:lvl w:ilvl="4" w:tplc="55785C76">
      <w:numFmt w:val="bullet"/>
      <w:lvlText w:val="•"/>
      <w:lvlJc w:val="left"/>
      <w:pPr>
        <w:ind w:left="5259" w:hanging="245"/>
      </w:pPr>
      <w:rPr>
        <w:rFonts w:hint="default"/>
        <w:lang w:val="en-US" w:eastAsia="en-US" w:bidi="ar-SA"/>
      </w:rPr>
    </w:lvl>
    <w:lvl w:ilvl="5" w:tplc="91700710">
      <w:numFmt w:val="bullet"/>
      <w:lvlText w:val="•"/>
      <w:lvlJc w:val="left"/>
      <w:pPr>
        <w:ind w:left="6309" w:hanging="245"/>
      </w:pPr>
      <w:rPr>
        <w:rFonts w:hint="default"/>
        <w:lang w:val="en-US" w:eastAsia="en-US" w:bidi="ar-SA"/>
      </w:rPr>
    </w:lvl>
    <w:lvl w:ilvl="6" w:tplc="587C285E">
      <w:numFmt w:val="bullet"/>
      <w:lvlText w:val="•"/>
      <w:lvlJc w:val="left"/>
      <w:pPr>
        <w:ind w:left="7359" w:hanging="245"/>
      </w:pPr>
      <w:rPr>
        <w:rFonts w:hint="default"/>
        <w:lang w:val="en-US" w:eastAsia="en-US" w:bidi="ar-SA"/>
      </w:rPr>
    </w:lvl>
    <w:lvl w:ilvl="7" w:tplc="05C6F66A">
      <w:numFmt w:val="bullet"/>
      <w:lvlText w:val="•"/>
      <w:lvlJc w:val="left"/>
      <w:pPr>
        <w:ind w:left="8408" w:hanging="245"/>
      </w:pPr>
      <w:rPr>
        <w:rFonts w:hint="default"/>
        <w:lang w:val="en-US" w:eastAsia="en-US" w:bidi="ar-SA"/>
      </w:rPr>
    </w:lvl>
    <w:lvl w:ilvl="8" w:tplc="EAA6852C">
      <w:numFmt w:val="bullet"/>
      <w:lvlText w:val="•"/>
      <w:lvlJc w:val="left"/>
      <w:pPr>
        <w:ind w:left="9458" w:hanging="245"/>
      </w:pPr>
      <w:rPr>
        <w:rFonts w:hint="default"/>
        <w:lang w:val="en-US" w:eastAsia="en-US" w:bidi="ar-SA"/>
      </w:rPr>
    </w:lvl>
  </w:abstractNum>
  <w:abstractNum w:abstractNumId="105" w15:restartNumberingAfterBreak="0">
    <w:nsid w:val="6EC83181"/>
    <w:multiLevelType w:val="hybridMultilevel"/>
    <w:tmpl w:val="DA429910"/>
    <w:lvl w:ilvl="0" w:tplc="9DE86950">
      <w:start w:val="1"/>
      <w:numFmt w:val="upperLetter"/>
      <w:lvlText w:val="%1."/>
      <w:lvlJc w:val="left"/>
      <w:pPr>
        <w:ind w:left="1018" w:hanging="437"/>
        <w:jc w:val="right"/>
      </w:pPr>
      <w:rPr>
        <w:rFonts w:ascii="Times New Roman" w:eastAsia="Times New Roman" w:hAnsi="Times New Roman" w:cs="Times New Roman" w:hint="default"/>
        <w:b w:val="0"/>
        <w:bCs w:val="0"/>
        <w:i w:val="0"/>
        <w:iCs w:val="0"/>
        <w:spacing w:val="-6"/>
        <w:w w:val="100"/>
        <w:sz w:val="22"/>
        <w:szCs w:val="22"/>
        <w:lang w:val="en-US" w:eastAsia="en-US" w:bidi="ar-SA"/>
      </w:rPr>
    </w:lvl>
    <w:lvl w:ilvl="1" w:tplc="A1BEA0DC">
      <w:numFmt w:val="bullet"/>
      <w:lvlText w:val="•"/>
      <w:lvlJc w:val="left"/>
      <w:pPr>
        <w:ind w:left="1930" w:hanging="437"/>
      </w:pPr>
      <w:rPr>
        <w:rFonts w:hint="default"/>
        <w:lang w:val="en-US" w:eastAsia="en-US" w:bidi="ar-SA"/>
      </w:rPr>
    </w:lvl>
    <w:lvl w:ilvl="2" w:tplc="B2BE9E2C">
      <w:numFmt w:val="bullet"/>
      <w:lvlText w:val="•"/>
      <w:lvlJc w:val="left"/>
      <w:pPr>
        <w:ind w:left="2841" w:hanging="437"/>
      </w:pPr>
      <w:rPr>
        <w:rFonts w:hint="default"/>
        <w:lang w:val="en-US" w:eastAsia="en-US" w:bidi="ar-SA"/>
      </w:rPr>
    </w:lvl>
    <w:lvl w:ilvl="3" w:tplc="82F2E35C">
      <w:numFmt w:val="bullet"/>
      <w:lvlText w:val="•"/>
      <w:lvlJc w:val="left"/>
      <w:pPr>
        <w:ind w:left="3752" w:hanging="437"/>
      </w:pPr>
      <w:rPr>
        <w:rFonts w:hint="default"/>
        <w:lang w:val="en-US" w:eastAsia="en-US" w:bidi="ar-SA"/>
      </w:rPr>
    </w:lvl>
    <w:lvl w:ilvl="4" w:tplc="F1584E9C">
      <w:numFmt w:val="bullet"/>
      <w:lvlText w:val="•"/>
      <w:lvlJc w:val="left"/>
      <w:pPr>
        <w:ind w:left="4663" w:hanging="437"/>
      </w:pPr>
      <w:rPr>
        <w:rFonts w:hint="default"/>
        <w:lang w:val="en-US" w:eastAsia="en-US" w:bidi="ar-SA"/>
      </w:rPr>
    </w:lvl>
    <w:lvl w:ilvl="5" w:tplc="476A10A4">
      <w:numFmt w:val="bullet"/>
      <w:lvlText w:val="•"/>
      <w:lvlJc w:val="left"/>
      <w:pPr>
        <w:ind w:left="5574" w:hanging="437"/>
      </w:pPr>
      <w:rPr>
        <w:rFonts w:hint="default"/>
        <w:lang w:val="en-US" w:eastAsia="en-US" w:bidi="ar-SA"/>
      </w:rPr>
    </w:lvl>
    <w:lvl w:ilvl="6" w:tplc="C7DE3D90">
      <w:numFmt w:val="bullet"/>
      <w:lvlText w:val="•"/>
      <w:lvlJc w:val="left"/>
      <w:pPr>
        <w:ind w:left="6484" w:hanging="437"/>
      </w:pPr>
      <w:rPr>
        <w:rFonts w:hint="default"/>
        <w:lang w:val="en-US" w:eastAsia="en-US" w:bidi="ar-SA"/>
      </w:rPr>
    </w:lvl>
    <w:lvl w:ilvl="7" w:tplc="20282A56">
      <w:numFmt w:val="bullet"/>
      <w:lvlText w:val="•"/>
      <w:lvlJc w:val="left"/>
      <w:pPr>
        <w:ind w:left="7395" w:hanging="437"/>
      </w:pPr>
      <w:rPr>
        <w:rFonts w:hint="default"/>
        <w:lang w:val="en-US" w:eastAsia="en-US" w:bidi="ar-SA"/>
      </w:rPr>
    </w:lvl>
    <w:lvl w:ilvl="8" w:tplc="7AC6762C">
      <w:numFmt w:val="bullet"/>
      <w:lvlText w:val="•"/>
      <w:lvlJc w:val="left"/>
      <w:pPr>
        <w:ind w:left="8306" w:hanging="437"/>
      </w:pPr>
      <w:rPr>
        <w:rFonts w:hint="default"/>
        <w:lang w:val="en-US" w:eastAsia="en-US" w:bidi="ar-SA"/>
      </w:rPr>
    </w:lvl>
  </w:abstractNum>
  <w:abstractNum w:abstractNumId="106" w15:restartNumberingAfterBreak="0">
    <w:nsid w:val="6F1E1E6B"/>
    <w:multiLevelType w:val="hybridMultilevel"/>
    <w:tmpl w:val="3F10CC76"/>
    <w:lvl w:ilvl="0" w:tplc="5A222702">
      <w:start w:val="1"/>
      <w:numFmt w:val="decimal"/>
      <w:lvlText w:val="%1."/>
      <w:lvlJc w:val="left"/>
      <w:pPr>
        <w:ind w:left="686" w:hanging="557"/>
        <w:jc w:val="right"/>
      </w:pPr>
      <w:rPr>
        <w:rFonts w:hint="default"/>
        <w:spacing w:val="-24"/>
        <w:w w:val="95"/>
        <w:lang w:val="en-US" w:eastAsia="en-US" w:bidi="ar-SA"/>
      </w:rPr>
    </w:lvl>
    <w:lvl w:ilvl="1" w:tplc="BE02EF62">
      <w:start w:val="1"/>
      <w:numFmt w:val="lowerLetter"/>
      <w:lvlText w:val="%2)"/>
      <w:lvlJc w:val="left"/>
      <w:pPr>
        <w:ind w:left="1263" w:hanging="572"/>
        <w:jc w:val="left"/>
      </w:pPr>
      <w:rPr>
        <w:rFonts w:ascii="Times New Roman" w:eastAsia="Times New Roman" w:hAnsi="Times New Roman" w:cs="Times New Roman" w:hint="default"/>
        <w:b w:val="0"/>
        <w:bCs w:val="0"/>
        <w:i w:val="0"/>
        <w:iCs w:val="0"/>
        <w:color w:val="211F1F"/>
        <w:spacing w:val="0"/>
        <w:w w:val="100"/>
        <w:sz w:val="22"/>
        <w:szCs w:val="22"/>
        <w:lang w:val="en-US" w:eastAsia="en-US" w:bidi="ar-SA"/>
      </w:rPr>
    </w:lvl>
    <w:lvl w:ilvl="2" w:tplc="4072DB94">
      <w:start w:val="1"/>
      <w:numFmt w:val="lowerRoman"/>
      <w:lvlText w:val="%3)"/>
      <w:lvlJc w:val="left"/>
      <w:pPr>
        <w:ind w:left="1829" w:hanging="572"/>
        <w:jc w:val="left"/>
      </w:pPr>
      <w:rPr>
        <w:rFonts w:hint="default"/>
        <w:spacing w:val="-4"/>
        <w:w w:val="100"/>
        <w:lang w:val="en-US" w:eastAsia="en-US" w:bidi="ar-SA"/>
      </w:rPr>
    </w:lvl>
    <w:lvl w:ilvl="3" w:tplc="5DC48172">
      <w:start w:val="1"/>
      <w:numFmt w:val="lowerLetter"/>
      <w:lvlText w:val="%4)"/>
      <w:lvlJc w:val="left"/>
      <w:pPr>
        <w:ind w:left="2276" w:hanging="447"/>
        <w:jc w:val="left"/>
      </w:pPr>
      <w:rPr>
        <w:rFonts w:hint="default"/>
        <w:spacing w:val="0"/>
        <w:w w:val="100"/>
        <w:lang w:val="en-US" w:eastAsia="en-US" w:bidi="ar-SA"/>
      </w:rPr>
    </w:lvl>
    <w:lvl w:ilvl="4" w:tplc="6DD26FCE">
      <w:numFmt w:val="bullet"/>
      <w:lvlText w:val="•"/>
      <w:lvlJc w:val="left"/>
      <w:pPr>
        <w:ind w:left="2280" w:hanging="447"/>
      </w:pPr>
      <w:rPr>
        <w:rFonts w:hint="default"/>
        <w:lang w:val="en-US" w:eastAsia="en-US" w:bidi="ar-SA"/>
      </w:rPr>
    </w:lvl>
    <w:lvl w:ilvl="5" w:tplc="B6821DB2">
      <w:numFmt w:val="bullet"/>
      <w:lvlText w:val="•"/>
      <w:lvlJc w:val="left"/>
      <w:pPr>
        <w:ind w:left="3706" w:hanging="447"/>
      </w:pPr>
      <w:rPr>
        <w:rFonts w:hint="default"/>
        <w:lang w:val="en-US" w:eastAsia="en-US" w:bidi="ar-SA"/>
      </w:rPr>
    </w:lvl>
    <w:lvl w:ilvl="6" w:tplc="B00AFB7E">
      <w:numFmt w:val="bullet"/>
      <w:lvlText w:val="•"/>
      <w:lvlJc w:val="left"/>
      <w:pPr>
        <w:ind w:left="5132" w:hanging="447"/>
      </w:pPr>
      <w:rPr>
        <w:rFonts w:hint="default"/>
        <w:lang w:val="en-US" w:eastAsia="en-US" w:bidi="ar-SA"/>
      </w:rPr>
    </w:lvl>
    <w:lvl w:ilvl="7" w:tplc="AD5409EC">
      <w:numFmt w:val="bullet"/>
      <w:lvlText w:val="•"/>
      <w:lvlJc w:val="left"/>
      <w:pPr>
        <w:ind w:left="6559" w:hanging="447"/>
      </w:pPr>
      <w:rPr>
        <w:rFonts w:hint="default"/>
        <w:lang w:val="en-US" w:eastAsia="en-US" w:bidi="ar-SA"/>
      </w:rPr>
    </w:lvl>
    <w:lvl w:ilvl="8" w:tplc="01685A76">
      <w:numFmt w:val="bullet"/>
      <w:lvlText w:val="•"/>
      <w:lvlJc w:val="left"/>
      <w:pPr>
        <w:ind w:left="7985" w:hanging="447"/>
      </w:pPr>
      <w:rPr>
        <w:rFonts w:hint="default"/>
        <w:lang w:val="en-US" w:eastAsia="en-US" w:bidi="ar-SA"/>
      </w:rPr>
    </w:lvl>
  </w:abstractNum>
  <w:abstractNum w:abstractNumId="107" w15:restartNumberingAfterBreak="0">
    <w:nsid w:val="71F642FD"/>
    <w:multiLevelType w:val="multilevel"/>
    <w:tmpl w:val="7178A01C"/>
    <w:lvl w:ilvl="0">
      <w:start w:val="24"/>
      <w:numFmt w:val="decimal"/>
      <w:lvlText w:val="%1"/>
      <w:lvlJc w:val="left"/>
      <w:pPr>
        <w:ind w:left="720" w:hanging="721"/>
        <w:jc w:val="left"/>
      </w:pPr>
      <w:rPr>
        <w:rFonts w:hint="default"/>
        <w:lang w:val="en-US" w:eastAsia="en-US" w:bidi="ar-SA"/>
      </w:rPr>
    </w:lvl>
    <w:lvl w:ilvl="1">
      <w:numFmt w:val="decimal"/>
      <w:lvlText w:val="%1.%2"/>
      <w:lvlJc w:val="left"/>
      <w:pPr>
        <w:ind w:left="720" w:hanging="721"/>
        <w:jc w:val="right"/>
      </w:pPr>
      <w:rPr>
        <w:rFonts w:hint="default"/>
        <w:spacing w:val="0"/>
        <w:w w:val="100"/>
        <w:lang w:val="en-US" w:eastAsia="en-US" w:bidi="ar-SA"/>
      </w:rPr>
    </w:lvl>
    <w:lvl w:ilvl="2">
      <w:numFmt w:val="bullet"/>
      <w:lvlText w:val="•"/>
      <w:lvlJc w:val="left"/>
      <w:pPr>
        <w:ind w:left="2529" w:hanging="721"/>
      </w:pPr>
      <w:rPr>
        <w:rFonts w:hint="default"/>
        <w:lang w:val="en-US" w:eastAsia="en-US" w:bidi="ar-SA"/>
      </w:rPr>
    </w:lvl>
    <w:lvl w:ilvl="3">
      <w:numFmt w:val="bullet"/>
      <w:lvlText w:val="•"/>
      <w:lvlJc w:val="left"/>
      <w:pPr>
        <w:ind w:left="3434" w:hanging="721"/>
      </w:pPr>
      <w:rPr>
        <w:rFonts w:hint="default"/>
        <w:lang w:val="en-US" w:eastAsia="en-US" w:bidi="ar-SA"/>
      </w:rPr>
    </w:lvl>
    <w:lvl w:ilvl="4">
      <w:numFmt w:val="bullet"/>
      <w:lvlText w:val="•"/>
      <w:lvlJc w:val="left"/>
      <w:pPr>
        <w:ind w:left="4339" w:hanging="721"/>
      </w:pPr>
      <w:rPr>
        <w:rFonts w:hint="default"/>
        <w:lang w:val="en-US" w:eastAsia="en-US" w:bidi="ar-SA"/>
      </w:rPr>
    </w:lvl>
    <w:lvl w:ilvl="5">
      <w:numFmt w:val="bullet"/>
      <w:lvlText w:val="•"/>
      <w:lvlJc w:val="left"/>
      <w:pPr>
        <w:ind w:left="5244" w:hanging="721"/>
      </w:pPr>
      <w:rPr>
        <w:rFonts w:hint="default"/>
        <w:lang w:val="en-US" w:eastAsia="en-US" w:bidi="ar-SA"/>
      </w:rPr>
    </w:lvl>
    <w:lvl w:ilvl="6">
      <w:numFmt w:val="bullet"/>
      <w:lvlText w:val="•"/>
      <w:lvlJc w:val="left"/>
      <w:pPr>
        <w:ind w:left="6148" w:hanging="721"/>
      </w:pPr>
      <w:rPr>
        <w:rFonts w:hint="default"/>
        <w:lang w:val="en-US" w:eastAsia="en-US" w:bidi="ar-SA"/>
      </w:rPr>
    </w:lvl>
    <w:lvl w:ilvl="7">
      <w:numFmt w:val="bullet"/>
      <w:lvlText w:val="•"/>
      <w:lvlJc w:val="left"/>
      <w:pPr>
        <w:ind w:left="7053" w:hanging="721"/>
      </w:pPr>
      <w:rPr>
        <w:rFonts w:hint="default"/>
        <w:lang w:val="en-US" w:eastAsia="en-US" w:bidi="ar-SA"/>
      </w:rPr>
    </w:lvl>
    <w:lvl w:ilvl="8">
      <w:numFmt w:val="bullet"/>
      <w:lvlText w:val="•"/>
      <w:lvlJc w:val="left"/>
      <w:pPr>
        <w:ind w:left="7958" w:hanging="721"/>
      </w:pPr>
      <w:rPr>
        <w:rFonts w:hint="default"/>
        <w:lang w:val="en-US" w:eastAsia="en-US" w:bidi="ar-SA"/>
      </w:rPr>
    </w:lvl>
  </w:abstractNum>
  <w:abstractNum w:abstractNumId="108" w15:restartNumberingAfterBreak="0">
    <w:nsid w:val="72CD04A3"/>
    <w:multiLevelType w:val="multilevel"/>
    <w:tmpl w:val="BAD63334"/>
    <w:lvl w:ilvl="0">
      <w:start w:val="36"/>
      <w:numFmt w:val="decimal"/>
      <w:lvlText w:val="%1"/>
      <w:lvlJc w:val="left"/>
      <w:pPr>
        <w:ind w:left="720" w:hanging="721"/>
        <w:jc w:val="left"/>
      </w:pPr>
      <w:rPr>
        <w:rFonts w:hint="default"/>
        <w:lang w:val="en-US" w:eastAsia="en-US" w:bidi="ar-SA"/>
      </w:rPr>
    </w:lvl>
    <w:lvl w:ilvl="1">
      <w:numFmt w:val="decimal"/>
      <w:lvlText w:val="%1.%2"/>
      <w:lvlJc w:val="left"/>
      <w:pPr>
        <w:ind w:left="720" w:hanging="721"/>
        <w:jc w:val="right"/>
      </w:pPr>
      <w:rPr>
        <w:rFonts w:hint="default"/>
        <w:spacing w:val="0"/>
        <w:w w:val="100"/>
        <w:lang w:val="en-US" w:eastAsia="en-US" w:bidi="ar-SA"/>
      </w:rPr>
    </w:lvl>
    <w:lvl w:ilvl="2">
      <w:numFmt w:val="bullet"/>
      <w:lvlText w:val="•"/>
      <w:lvlJc w:val="left"/>
      <w:pPr>
        <w:ind w:left="2529" w:hanging="721"/>
      </w:pPr>
      <w:rPr>
        <w:rFonts w:hint="default"/>
        <w:lang w:val="en-US" w:eastAsia="en-US" w:bidi="ar-SA"/>
      </w:rPr>
    </w:lvl>
    <w:lvl w:ilvl="3">
      <w:numFmt w:val="bullet"/>
      <w:lvlText w:val="•"/>
      <w:lvlJc w:val="left"/>
      <w:pPr>
        <w:ind w:left="3434" w:hanging="721"/>
      </w:pPr>
      <w:rPr>
        <w:rFonts w:hint="default"/>
        <w:lang w:val="en-US" w:eastAsia="en-US" w:bidi="ar-SA"/>
      </w:rPr>
    </w:lvl>
    <w:lvl w:ilvl="4">
      <w:numFmt w:val="bullet"/>
      <w:lvlText w:val="•"/>
      <w:lvlJc w:val="left"/>
      <w:pPr>
        <w:ind w:left="4339" w:hanging="721"/>
      </w:pPr>
      <w:rPr>
        <w:rFonts w:hint="default"/>
        <w:lang w:val="en-US" w:eastAsia="en-US" w:bidi="ar-SA"/>
      </w:rPr>
    </w:lvl>
    <w:lvl w:ilvl="5">
      <w:numFmt w:val="bullet"/>
      <w:lvlText w:val="•"/>
      <w:lvlJc w:val="left"/>
      <w:pPr>
        <w:ind w:left="5244" w:hanging="721"/>
      </w:pPr>
      <w:rPr>
        <w:rFonts w:hint="default"/>
        <w:lang w:val="en-US" w:eastAsia="en-US" w:bidi="ar-SA"/>
      </w:rPr>
    </w:lvl>
    <w:lvl w:ilvl="6">
      <w:numFmt w:val="bullet"/>
      <w:lvlText w:val="•"/>
      <w:lvlJc w:val="left"/>
      <w:pPr>
        <w:ind w:left="6148" w:hanging="721"/>
      </w:pPr>
      <w:rPr>
        <w:rFonts w:hint="default"/>
        <w:lang w:val="en-US" w:eastAsia="en-US" w:bidi="ar-SA"/>
      </w:rPr>
    </w:lvl>
    <w:lvl w:ilvl="7">
      <w:numFmt w:val="bullet"/>
      <w:lvlText w:val="•"/>
      <w:lvlJc w:val="left"/>
      <w:pPr>
        <w:ind w:left="7053" w:hanging="721"/>
      </w:pPr>
      <w:rPr>
        <w:rFonts w:hint="default"/>
        <w:lang w:val="en-US" w:eastAsia="en-US" w:bidi="ar-SA"/>
      </w:rPr>
    </w:lvl>
    <w:lvl w:ilvl="8">
      <w:numFmt w:val="bullet"/>
      <w:lvlText w:val="•"/>
      <w:lvlJc w:val="left"/>
      <w:pPr>
        <w:ind w:left="7958" w:hanging="721"/>
      </w:pPr>
      <w:rPr>
        <w:rFonts w:hint="default"/>
        <w:lang w:val="en-US" w:eastAsia="en-US" w:bidi="ar-SA"/>
      </w:rPr>
    </w:lvl>
  </w:abstractNum>
  <w:abstractNum w:abstractNumId="109" w15:restartNumberingAfterBreak="0">
    <w:nsid w:val="72F27F79"/>
    <w:multiLevelType w:val="hybridMultilevel"/>
    <w:tmpl w:val="38E41288"/>
    <w:lvl w:ilvl="0" w:tplc="47B65F3E">
      <w:start w:val="1"/>
      <w:numFmt w:val="lowerRoman"/>
      <w:lvlText w:val="(%1)"/>
      <w:lvlJc w:val="left"/>
      <w:pPr>
        <w:ind w:left="426" w:hanging="294"/>
        <w:jc w:val="left"/>
      </w:pPr>
      <w:rPr>
        <w:rFonts w:ascii="Calibri" w:eastAsia="Calibri" w:hAnsi="Calibri" w:cs="Calibri" w:hint="default"/>
        <w:b w:val="0"/>
        <w:bCs w:val="0"/>
        <w:i w:val="0"/>
        <w:iCs w:val="0"/>
        <w:spacing w:val="-1"/>
        <w:w w:val="103"/>
        <w:sz w:val="24"/>
        <w:szCs w:val="24"/>
        <w:lang w:val="en-US" w:eastAsia="en-US" w:bidi="ar-SA"/>
      </w:rPr>
    </w:lvl>
    <w:lvl w:ilvl="1" w:tplc="30245234">
      <w:numFmt w:val="bullet"/>
      <w:lvlText w:val="•"/>
      <w:lvlJc w:val="left"/>
      <w:pPr>
        <w:ind w:left="1183" w:hanging="294"/>
      </w:pPr>
      <w:rPr>
        <w:rFonts w:hint="default"/>
        <w:lang w:val="en-US" w:eastAsia="en-US" w:bidi="ar-SA"/>
      </w:rPr>
    </w:lvl>
    <w:lvl w:ilvl="2" w:tplc="FE4A2776">
      <w:numFmt w:val="bullet"/>
      <w:lvlText w:val="•"/>
      <w:lvlJc w:val="left"/>
      <w:pPr>
        <w:ind w:left="1947" w:hanging="294"/>
      </w:pPr>
      <w:rPr>
        <w:rFonts w:hint="default"/>
        <w:lang w:val="en-US" w:eastAsia="en-US" w:bidi="ar-SA"/>
      </w:rPr>
    </w:lvl>
    <w:lvl w:ilvl="3" w:tplc="374A698E">
      <w:numFmt w:val="bullet"/>
      <w:lvlText w:val="•"/>
      <w:lvlJc w:val="left"/>
      <w:pPr>
        <w:ind w:left="2711" w:hanging="294"/>
      </w:pPr>
      <w:rPr>
        <w:rFonts w:hint="default"/>
        <w:lang w:val="en-US" w:eastAsia="en-US" w:bidi="ar-SA"/>
      </w:rPr>
    </w:lvl>
    <w:lvl w:ilvl="4" w:tplc="D654E888">
      <w:numFmt w:val="bullet"/>
      <w:lvlText w:val="•"/>
      <w:lvlJc w:val="left"/>
      <w:pPr>
        <w:ind w:left="3474" w:hanging="294"/>
      </w:pPr>
      <w:rPr>
        <w:rFonts w:hint="default"/>
        <w:lang w:val="en-US" w:eastAsia="en-US" w:bidi="ar-SA"/>
      </w:rPr>
    </w:lvl>
    <w:lvl w:ilvl="5" w:tplc="395A9046">
      <w:numFmt w:val="bullet"/>
      <w:lvlText w:val="•"/>
      <w:lvlJc w:val="left"/>
      <w:pPr>
        <w:ind w:left="4238" w:hanging="294"/>
      </w:pPr>
      <w:rPr>
        <w:rFonts w:hint="default"/>
        <w:lang w:val="en-US" w:eastAsia="en-US" w:bidi="ar-SA"/>
      </w:rPr>
    </w:lvl>
    <w:lvl w:ilvl="6" w:tplc="3D901412">
      <w:numFmt w:val="bullet"/>
      <w:lvlText w:val="•"/>
      <w:lvlJc w:val="left"/>
      <w:pPr>
        <w:ind w:left="5002" w:hanging="294"/>
      </w:pPr>
      <w:rPr>
        <w:rFonts w:hint="default"/>
        <w:lang w:val="en-US" w:eastAsia="en-US" w:bidi="ar-SA"/>
      </w:rPr>
    </w:lvl>
    <w:lvl w:ilvl="7" w:tplc="446C4C8A">
      <w:numFmt w:val="bullet"/>
      <w:lvlText w:val="•"/>
      <w:lvlJc w:val="left"/>
      <w:pPr>
        <w:ind w:left="5765" w:hanging="294"/>
      </w:pPr>
      <w:rPr>
        <w:rFonts w:hint="default"/>
        <w:lang w:val="en-US" w:eastAsia="en-US" w:bidi="ar-SA"/>
      </w:rPr>
    </w:lvl>
    <w:lvl w:ilvl="8" w:tplc="9F667ACE">
      <w:numFmt w:val="bullet"/>
      <w:lvlText w:val="•"/>
      <w:lvlJc w:val="left"/>
      <w:pPr>
        <w:ind w:left="6529" w:hanging="294"/>
      </w:pPr>
      <w:rPr>
        <w:rFonts w:hint="default"/>
        <w:lang w:val="en-US" w:eastAsia="en-US" w:bidi="ar-SA"/>
      </w:rPr>
    </w:lvl>
  </w:abstractNum>
  <w:abstractNum w:abstractNumId="110" w15:restartNumberingAfterBreak="0">
    <w:nsid w:val="75DB1B9B"/>
    <w:multiLevelType w:val="multilevel"/>
    <w:tmpl w:val="982C6154"/>
    <w:lvl w:ilvl="0">
      <w:start w:val="4"/>
      <w:numFmt w:val="decimal"/>
      <w:lvlText w:val="%1"/>
      <w:lvlJc w:val="left"/>
      <w:pPr>
        <w:ind w:left="1080" w:hanging="720"/>
        <w:jc w:val="left"/>
      </w:pPr>
      <w:rPr>
        <w:rFonts w:hint="default"/>
        <w:lang w:val="en-US" w:eastAsia="en-US" w:bidi="ar-SA"/>
      </w:rPr>
    </w:lvl>
    <w:lvl w:ilvl="1">
      <w:start w:val="4"/>
      <w:numFmt w:val="decimal"/>
      <w:lvlText w:val="%1.%2"/>
      <w:lvlJc w:val="left"/>
      <w:pPr>
        <w:ind w:left="1080" w:hanging="720"/>
        <w:jc w:val="left"/>
      </w:pPr>
      <w:rPr>
        <w:rFonts w:hint="default"/>
        <w:lang w:val="en-US" w:eastAsia="en-US" w:bidi="ar-SA"/>
      </w:rPr>
    </w:lvl>
    <w:lvl w:ilvl="2">
      <w:start w:val="2"/>
      <w:numFmt w:val="decimal"/>
      <w:lvlText w:val="%1.%2.%3"/>
      <w:lvlJc w:val="left"/>
      <w:pPr>
        <w:ind w:left="1080" w:hanging="720"/>
        <w:jc w:val="left"/>
      </w:pPr>
      <w:rPr>
        <w:rFonts w:hint="default"/>
        <w:spacing w:val="-8"/>
        <w:w w:val="100"/>
        <w:lang w:val="en-US" w:eastAsia="en-US" w:bidi="ar-SA"/>
      </w:rPr>
    </w:lvl>
    <w:lvl w:ilvl="3">
      <w:numFmt w:val="bullet"/>
      <w:lvlText w:val="•"/>
      <w:lvlJc w:val="left"/>
      <w:pPr>
        <w:ind w:left="4223" w:hanging="720"/>
      </w:pPr>
      <w:rPr>
        <w:rFonts w:hint="default"/>
        <w:lang w:val="en-US" w:eastAsia="en-US" w:bidi="ar-SA"/>
      </w:rPr>
    </w:lvl>
    <w:lvl w:ilvl="4">
      <w:numFmt w:val="bullet"/>
      <w:lvlText w:val="•"/>
      <w:lvlJc w:val="left"/>
      <w:pPr>
        <w:ind w:left="5271" w:hanging="720"/>
      </w:pPr>
      <w:rPr>
        <w:rFonts w:hint="default"/>
        <w:lang w:val="en-US" w:eastAsia="en-US" w:bidi="ar-SA"/>
      </w:rPr>
    </w:lvl>
    <w:lvl w:ilvl="5">
      <w:numFmt w:val="bullet"/>
      <w:lvlText w:val="•"/>
      <w:lvlJc w:val="left"/>
      <w:pPr>
        <w:ind w:left="6319" w:hanging="720"/>
      </w:pPr>
      <w:rPr>
        <w:rFonts w:hint="default"/>
        <w:lang w:val="en-US" w:eastAsia="en-US" w:bidi="ar-SA"/>
      </w:rPr>
    </w:lvl>
    <w:lvl w:ilvl="6">
      <w:numFmt w:val="bullet"/>
      <w:lvlText w:val="•"/>
      <w:lvlJc w:val="left"/>
      <w:pPr>
        <w:ind w:left="7367" w:hanging="720"/>
      </w:pPr>
      <w:rPr>
        <w:rFonts w:hint="default"/>
        <w:lang w:val="en-US" w:eastAsia="en-US" w:bidi="ar-SA"/>
      </w:rPr>
    </w:lvl>
    <w:lvl w:ilvl="7">
      <w:numFmt w:val="bullet"/>
      <w:lvlText w:val="•"/>
      <w:lvlJc w:val="left"/>
      <w:pPr>
        <w:ind w:left="8414" w:hanging="720"/>
      </w:pPr>
      <w:rPr>
        <w:rFonts w:hint="default"/>
        <w:lang w:val="en-US" w:eastAsia="en-US" w:bidi="ar-SA"/>
      </w:rPr>
    </w:lvl>
    <w:lvl w:ilvl="8">
      <w:numFmt w:val="bullet"/>
      <w:lvlText w:val="•"/>
      <w:lvlJc w:val="left"/>
      <w:pPr>
        <w:ind w:left="9462" w:hanging="720"/>
      </w:pPr>
      <w:rPr>
        <w:rFonts w:hint="default"/>
        <w:lang w:val="en-US" w:eastAsia="en-US" w:bidi="ar-SA"/>
      </w:rPr>
    </w:lvl>
  </w:abstractNum>
  <w:abstractNum w:abstractNumId="111" w15:restartNumberingAfterBreak="0">
    <w:nsid w:val="766E324F"/>
    <w:multiLevelType w:val="hybridMultilevel"/>
    <w:tmpl w:val="6DFA7194"/>
    <w:lvl w:ilvl="0" w:tplc="D1F075C2">
      <w:start w:val="1"/>
      <w:numFmt w:val="decimal"/>
      <w:lvlText w:val="%1."/>
      <w:lvlJc w:val="left"/>
      <w:pPr>
        <w:ind w:left="1051" w:hanging="567"/>
        <w:jc w:val="left"/>
      </w:pPr>
      <w:rPr>
        <w:rFonts w:ascii="Times New Roman" w:eastAsia="Times New Roman" w:hAnsi="Times New Roman" w:cs="Times New Roman" w:hint="default"/>
        <w:b w:val="0"/>
        <w:bCs w:val="0"/>
        <w:i w:val="0"/>
        <w:iCs w:val="0"/>
        <w:color w:val="211F1F"/>
        <w:spacing w:val="-23"/>
        <w:w w:val="94"/>
        <w:sz w:val="22"/>
        <w:szCs w:val="22"/>
        <w:lang w:val="en-US" w:eastAsia="en-US" w:bidi="ar-SA"/>
      </w:rPr>
    </w:lvl>
    <w:lvl w:ilvl="1" w:tplc="07FA6854">
      <w:start w:val="1"/>
      <w:numFmt w:val="lowerLetter"/>
      <w:lvlText w:val="%2)"/>
      <w:lvlJc w:val="left"/>
      <w:pPr>
        <w:ind w:left="1584" w:hanging="534"/>
        <w:jc w:val="left"/>
      </w:pPr>
      <w:rPr>
        <w:rFonts w:ascii="Times New Roman" w:eastAsia="Times New Roman" w:hAnsi="Times New Roman" w:cs="Times New Roman" w:hint="default"/>
        <w:b w:val="0"/>
        <w:bCs w:val="0"/>
        <w:i w:val="0"/>
        <w:iCs w:val="0"/>
        <w:color w:val="211F1F"/>
        <w:spacing w:val="0"/>
        <w:w w:val="100"/>
        <w:sz w:val="22"/>
        <w:szCs w:val="22"/>
        <w:lang w:val="en-US" w:eastAsia="en-US" w:bidi="ar-SA"/>
      </w:rPr>
    </w:lvl>
    <w:lvl w:ilvl="2" w:tplc="BAEA5490">
      <w:numFmt w:val="bullet"/>
      <w:lvlText w:val="•"/>
      <w:lvlJc w:val="left"/>
      <w:pPr>
        <w:ind w:left="1600" w:hanging="534"/>
      </w:pPr>
      <w:rPr>
        <w:rFonts w:hint="default"/>
        <w:lang w:val="en-US" w:eastAsia="en-US" w:bidi="ar-SA"/>
      </w:rPr>
    </w:lvl>
    <w:lvl w:ilvl="3" w:tplc="AED0EF36">
      <w:numFmt w:val="bullet"/>
      <w:lvlText w:val="•"/>
      <w:lvlJc w:val="left"/>
      <w:pPr>
        <w:ind w:left="2844" w:hanging="534"/>
      </w:pPr>
      <w:rPr>
        <w:rFonts w:hint="default"/>
        <w:lang w:val="en-US" w:eastAsia="en-US" w:bidi="ar-SA"/>
      </w:rPr>
    </w:lvl>
    <w:lvl w:ilvl="4" w:tplc="9A7ABCC6">
      <w:numFmt w:val="bullet"/>
      <w:lvlText w:val="•"/>
      <w:lvlJc w:val="left"/>
      <w:pPr>
        <w:ind w:left="4089" w:hanging="534"/>
      </w:pPr>
      <w:rPr>
        <w:rFonts w:hint="default"/>
        <w:lang w:val="en-US" w:eastAsia="en-US" w:bidi="ar-SA"/>
      </w:rPr>
    </w:lvl>
    <w:lvl w:ilvl="5" w:tplc="7B667894">
      <w:numFmt w:val="bullet"/>
      <w:lvlText w:val="•"/>
      <w:lvlJc w:val="left"/>
      <w:pPr>
        <w:ind w:left="5334" w:hanging="534"/>
      </w:pPr>
      <w:rPr>
        <w:rFonts w:hint="default"/>
        <w:lang w:val="en-US" w:eastAsia="en-US" w:bidi="ar-SA"/>
      </w:rPr>
    </w:lvl>
    <w:lvl w:ilvl="6" w:tplc="5E38EC16">
      <w:numFmt w:val="bullet"/>
      <w:lvlText w:val="•"/>
      <w:lvlJc w:val="left"/>
      <w:pPr>
        <w:ind w:left="6579" w:hanging="534"/>
      </w:pPr>
      <w:rPr>
        <w:rFonts w:hint="default"/>
        <w:lang w:val="en-US" w:eastAsia="en-US" w:bidi="ar-SA"/>
      </w:rPr>
    </w:lvl>
    <w:lvl w:ilvl="7" w:tplc="C096BEA6">
      <w:numFmt w:val="bullet"/>
      <w:lvlText w:val="•"/>
      <w:lvlJc w:val="left"/>
      <w:pPr>
        <w:ind w:left="7824" w:hanging="534"/>
      </w:pPr>
      <w:rPr>
        <w:rFonts w:hint="default"/>
        <w:lang w:val="en-US" w:eastAsia="en-US" w:bidi="ar-SA"/>
      </w:rPr>
    </w:lvl>
    <w:lvl w:ilvl="8" w:tplc="63EA9158">
      <w:numFmt w:val="bullet"/>
      <w:lvlText w:val="•"/>
      <w:lvlJc w:val="left"/>
      <w:pPr>
        <w:ind w:left="9068" w:hanging="534"/>
      </w:pPr>
      <w:rPr>
        <w:rFonts w:hint="default"/>
        <w:lang w:val="en-US" w:eastAsia="en-US" w:bidi="ar-SA"/>
      </w:rPr>
    </w:lvl>
  </w:abstractNum>
  <w:abstractNum w:abstractNumId="112" w15:restartNumberingAfterBreak="0">
    <w:nsid w:val="76ED3C57"/>
    <w:multiLevelType w:val="hybridMultilevel"/>
    <w:tmpl w:val="311EA9A8"/>
    <w:lvl w:ilvl="0" w:tplc="FC2E39B4">
      <w:start w:val="1"/>
      <w:numFmt w:val="lowerLetter"/>
      <w:lvlText w:val="%1)"/>
      <w:lvlJc w:val="left"/>
      <w:pPr>
        <w:ind w:left="1474" w:hanging="423"/>
        <w:jc w:val="left"/>
      </w:pPr>
      <w:rPr>
        <w:rFonts w:ascii="Times New Roman" w:eastAsia="Times New Roman" w:hAnsi="Times New Roman" w:cs="Times New Roman" w:hint="default"/>
        <w:b w:val="0"/>
        <w:bCs w:val="0"/>
        <w:i w:val="0"/>
        <w:iCs w:val="0"/>
        <w:color w:val="211F1F"/>
        <w:spacing w:val="0"/>
        <w:w w:val="100"/>
        <w:sz w:val="22"/>
        <w:szCs w:val="22"/>
        <w:lang w:val="en-US" w:eastAsia="en-US" w:bidi="ar-SA"/>
      </w:rPr>
    </w:lvl>
    <w:lvl w:ilvl="1" w:tplc="0922E022">
      <w:numFmt w:val="bullet"/>
      <w:lvlText w:val="•"/>
      <w:lvlJc w:val="left"/>
      <w:pPr>
        <w:ind w:left="2487" w:hanging="423"/>
      </w:pPr>
      <w:rPr>
        <w:rFonts w:hint="default"/>
        <w:lang w:val="en-US" w:eastAsia="en-US" w:bidi="ar-SA"/>
      </w:rPr>
    </w:lvl>
    <w:lvl w:ilvl="2" w:tplc="1F36BB76">
      <w:numFmt w:val="bullet"/>
      <w:lvlText w:val="•"/>
      <w:lvlJc w:val="left"/>
      <w:pPr>
        <w:ind w:left="3495" w:hanging="423"/>
      </w:pPr>
      <w:rPr>
        <w:rFonts w:hint="default"/>
        <w:lang w:val="en-US" w:eastAsia="en-US" w:bidi="ar-SA"/>
      </w:rPr>
    </w:lvl>
    <w:lvl w:ilvl="3" w:tplc="4F92FCEA">
      <w:numFmt w:val="bullet"/>
      <w:lvlText w:val="•"/>
      <w:lvlJc w:val="left"/>
      <w:pPr>
        <w:ind w:left="4503" w:hanging="423"/>
      </w:pPr>
      <w:rPr>
        <w:rFonts w:hint="default"/>
        <w:lang w:val="en-US" w:eastAsia="en-US" w:bidi="ar-SA"/>
      </w:rPr>
    </w:lvl>
    <w:lvl w:ilvl="4" w:tplc="62DAAC10">
      <w:numFmt w:val="bullet"/>
      <w:lvlText w:val="•"/>
      <w:lvlJc w:val="left"/>
      <w:pPr>
        <w:ind w:left="5511" w:hanging="423"/>
      </w:pPr>
      <w:rPr>
        <w:rFonts w:hint="default"/>
        <w:lang w:val="en-US" w:eastAsia="en-US" w:bidi="ar-SA"/>
      </w:rPr>
    </w:lvl>
    <w:lvl w:ilvl="5" w:tplc="68BC813C">
      <w:numFmt w:val="bullet"/>
      <w:lvlText w:val="•"/>
      <w:lvlJc w:val="left"/>
      <w:pPr>
        <w:ind w:left="6519" w:hanging="423"/>
      </w:pPr>
      <w:rPr>
        <w:rFonts w:hint="default"/>
        <w:lang w:val="en-US" w:eastAsia="en-US" w:bidi="ar-SA"/>
      </w:rPr>
    </w:lvl>
    <w:lvl w:ilvl="6" w:tplc="53181740">
      <w:numFmt w:val="bullet"/>
      <w:lvlText w:val="•"/>
      <w:lvlJc w:val="left"/>
      <w:pPr>
        <w:ind w:left="7527" w:hanging="423"/>
      </w:pPr>
      <w:rPr>
        <w:rFonts w:hint="default"/>
        <w:lang w:val="en-US" w:eastAsia="en-US" w:bidi="ar-SA"/>
      </w:rPr>
    </w:lvl>
    <w:lvl w:ilvl="7" w:tplc="6BAAE086">
      <w:numFmt w:val="bullet"/>
      <w:lvlText w:val="•"/>
      <w:lvlJc w:val="left"/>
      <w:pPr>
        <w:ind w:left="8534" w:hanging="423"/>
      </w:pPr>
      <w:rPr>
        <w:rFonts w:hint="default"/>
        <w:lang w:val="en-US" w:eastAsia="en-US" w:bidi="ar-SA"/>
      </w:rPr>
    </w:lvl>
    <w:lvl w:ilvl="8" w:tplc="2F1E1912">
      <w:numFmt w:val="bullet"/>
      <w:lvlText w:val="•"/>
      <w:lvlJc w:val="left"/>
      <w:pPr>
        <w:ind w:left="9542" w:hanging="423"/>
      </w:pPr>
      <w:rPr>
        <w:rFonts w:hint="default"/>
        <w:lang w:val="en-US" w:eastAsia="en-US" w:bidi="ar-SA"/>
      </w:rPr>
    </w:lvl>
  </w:abstractNum>
  <w:abstractNum w:abstractNumId="113" w15:restartNumberingAfterBreak="0">
    <w:nsid w:val="77054884"/>
    <w:multiLevelType w:val="hybridMultilevel"/>
    <w:tmpl w:val="6E9CB25C"/>
    <w:lvl w:ilvl="0" w:tplc="09C2A552">
      <w:start w:val="1"/>
      <w:numFmt w:val="decimal"/>
      <w:lvlText w:val="%1."/>
      <w:lvlJc w:val="left"/>
      <w:pPr>
        <w:ind w:left="1022" w:hanging="572"/>
        <w:jc w:val="left"/>
      </w:pPr>
      <w:rPr>
        <w:rFonts w:ascii="Times New Roman" w:eastAsia="Times New Roman" w:hAnsi="Times New Roman" w:cs="Times New Roman" w:hint="default"/>
        <w:b w:val="0"/>
        <w:bCs w:val="0"/>
        <w:i w:val="0"/>
        <w:iCs w:val="0"/>
        <w:color w:val="211F1F"/>
        <w:spacing w:val="-23"/>
        <w:w w:val="94"/>
        <w:sz w:val="22"/>
        <w:szCs w:val="22"/>
        <w:lang w:val="en-US" w:eastAsia="en-US" w:bidi="ar-SA"/>
      </w:rPr>
    </w:lvl>
    <w:lvl w:ilvl="1" w:tplc="BF0479F2">
      <w:start w:val="1"/>
      <w:numFmt w:val="lowerLetter"/>
      <w:lvlText w:val="%2)"/>
      <w:lvlJc w:val="left"/>
      <w:pPr>
        <w:ind w:left="1594" w:hanging="347"/>
        <w:jc w:val="left"/>
      </w:pPr>
      <w:rPr>
        <w:rFonts w:ascii="Times New Roman" w:eastAsia="Times New Roman" w:hAnsi="Times New Roman" w:cs="Times New Roman" w:hint="default"/>
        <w:b w:val="0"/>
        <w:bCs w:val="0"/>
        <w:i w:val="0"/>
        <w:iCs w:val="0"/>
        <w:color w:val="211F1F"/>
        <w:spacing w:val="0"/>
        <w:w w:val="100"/>
        <w:sz w:val="22"/>
        <w:szCs w:val="22"/>
        <w:lang w:val="en-US" w:eastAsia="en-US" w:bidi="ar-SA"/>
      </w:rPr>
    </w:lvl>
    <w:lvl w:ilvl="2" w:tplc="997EDDBE">
      <w:numFmt w:val="bullet"/>
      <w:lvlText w:val="•"/>
      <w:lvlJc w:val="left"/>
      <w:pPr>
        <w:ind w:left="2706" w:hanging="347"/>
      </w:pPr>
      <w:rPr>
        <w:rFonts w:hint="default"/>
        <w:lang w:val="en-US" w:eastAsia="en-US" w:bidi="ar-SA"/>
      </w:rPr>
    </w:lvl>
    <w:lvl w:ilvl="3" w:tplc="6D44397E">
      <w:numFmt w:val="bullet"/>
      <w:lvlText w:val="•"/>
      <w:lvlJc w:val="left"/>
      <w:pPr>
        <w:ind w:left="3812" w:hanging="347"/>
      </w:pPr>
      <w:rPr>
        <w:rFonts w:hint="default"/>
        <w:lang w:val="en-US" w:eastAsia="en-US" w:bidi="ar-SA"/>
      </w:rPr>
    </w:lvl>
    <w:lvl w:ilvl="4" w:tplc="05C6B96E">
      <w:numFmt w:val="bullet"/>
      <w:lvlText w:val="•"/>
      <w:lvlJc w:val="left"/>
      <w:pPr>
        <w:ind w:left="4919" w:hanging="347"/>
      </w:pPr>
      <w:rPr>
        <w:rFonts w:hint="default"/>
        <w:lang w:val="en-US" w:eastAsia="en-US" w:bidi="ar-SA"/>
      </w:rPr>
    </w:lvl>
    <w:lvl w:ilvl="5" w:tplc="40D201D8">
      <w:numFmt w:val="bullet"/>
      <w:lvlText w:val="•"/>
      <w:lvlJc w:val="left"/>
      <w:pPr>
        <w:ind w:left="6025" w:hanging="347"/>
      </w:pPr>
      <w:rPr>
        <w:rFonts w:hint="default"/>
        <w:lang w:val="en-US" w:eastAsia="en-US" w:bidi="ar-SA"/>
      </w:rPr>
    </w:lvl>
    <w:lvl w:ilvl="6" w:tplc="FF5E4B3C">
      <w:numFmt w:val="bullet"/>
      <w:lvlText w:val="•"/>
      <w:lvlJc w:val="left"/>
      <w:pPr>
        <w:ind w:left="7132" w:hanging="347"/>
      </w:pPr>
      <w:rPr>
        <w:rFonts w:hint="default"/>
        <w:lang w:val="en-US" w:eastAsia="en-US" w:bidi="ar-SA"/>
      </w:rPr>
    </w:lvl>
    <w:lvl w:ilvl="7" w:tplc="CDDE497E">
      <w:numFmt w:val="bullet"/>
      <w:lvlText w:val="•"/>
      <w:lvlJc w:val="left"/>
      <w:pPr>
        <w:ind w:left="8238" w:hanging="347"/>
      </w:pPr>
      <w:rPr>
        <w:rFonts w:hint="default"/>
        <w:lang w:val="en-US" w:eastAsia="en-US" w:bidi="ar-SA"/>
      </w:rPr>
    </w:lvl>
    <w:lvl w:ilvl="8" w:tplc="BEFAF9A8">
      <w:numFmt w:val="bullet"/>
      <w:lvlText w:val="•"/>
      <w:lvlJc w:val="left"/>
      <w:pPr>
        <w:ind w:left="9345" w:hanging="347"/>
      </w:pPr>
      <w:rPr>
        <w:rFonts w:hint="default"/>
        <w:lang w:val="en-US" w:eastAsia="en-US" w:bidi="ar-SA"/>
      </w:rPr>
    </w:lvl>
  </w:abstractNum>
  <w:abstractNum w:abstractNumId="114" w15:restartNumberingAfterBreak="0">
    <w:nsid w:val="7805214A"/>
    <w:multiLevelType w:val="hybridMultilevel"/>
    <w:tmpl w:val="84227184"/>
    <w:lvl w:ilvl="0" w:tplc="74D81592">
      <w:start w:val="1"/>
      <w:numFmt w:val="lowerLetter"/>
      <w:lvlText w:val="%1)"/>
      <w:lvlJc w:val="left"/>
      <w:pPr>
        <w:ind w:left="1594" w:hanging="788"/>
        <w:jc w:val="left"/>
      </w:pPr>
      <w:rPr>
        <w:rFonts w:ascii="Times New Roman" w:eastAsia="Times New Roman" w:hAnsi="Times New Roman" w:cs="Times New Roman" w:hint="default"/>
        <w:b w:val="0"/>
        <w:bCs w:val="0"/>
        <w:i w:val="0"/>
        <w:iCs w:val="0"/>
        <w:color w:val="211F1F"/>
        <w:spacing w:val="0"/>
        <w:w w:val="100"/>
        <w:sz w:val="22"/>
        <w:szCs w:val="22"/>
        <w:lang w:val="en-US" w:eastAsia="en-US" w:bidi="ar-SA"/>
      </w:rPr>
    </w:lvl>
    <w:lvl w:ilvl="1" w:tplc="D08C091E">
      <w:numFmt w:val="bullet"/>
      <w:lvlText w:val="•"/>
      <w:lvlJc w:val="left"/>
      <w:pPr>
        <w:ind w:left="2595" w:hanging="788"/>
      </w:pPr>
      <w:rPr>
        <w:rFonts w:hint="default"/>
        <w:lang w:val="en-US" w:eastAsia="en-US" w:bidi="ar-SA"/>
      </w:rPr>
    </w:lvl>
    <w:lvl w:ilvl="2" w:tplc="0BAAEC0C">
      <w:numFmt w:val="bullet"/>
      <w:lvlText w:val="•"/>
      <w:lvlJc w:val="left"/>
      <w:pPr>
        <w:ind w:left="3591" w:hanging="788"/>
      </w:pPr>
      <w:rPr>
        <w:rFonts w:hint="default"/>
        <w:lang w:val="en-US" w:eastAsia="en-US" w:bidi="ar-SA"/>
      </w:rPr>
    </w:lvl>
    <w:lvl w:ilvl="3" w:tplc="458C9E4C">
      <w:numFmt w:val="bullet"/>
      <w:lvlText w:val="•"/>
      <w:lvlJc w:val="left"/>
      <w:pPr>
        <w:ind w:left="4587" w:hanging="788"/>
      </w:pPr>
      <w:rPr>
        <w:rFonts w:hint="default"/>
        <w:lang w:val="en-US" w:eastAsia="en-US" w:bidi="ar-SA"/>
      </w:rPr>
    </w:lvl>
    <w:lvl w:ilvl="4" w:tplc="542C72A0">
      <w:numFmt w:val="bullet"/>
      <w:lvlText w:val="•"/>
      <w:lvlJc w:val="left"/>
      <w:pPr>
        <w:ind w:left="5583" w:hanging="788"/>
      </w:pPr>
      <w:rPr>
        <w:rFonts w:hint="default"/>
        <w:lang w:val="en-US" w:eastAsia="en-US" w:bidi="ar-SA"/>
      </w:rPr>
    </w:lvl>
    <w:lvl w:ilvl="5" w:tplc="E8824C48">
      <w:numFmt w:val="bullet"/>
      <w:lvlText w:val="•"/>
      <w:lvlJc w:val="left"/>
      <w:pPr>
        <w:ind w:left="6579" w:hanging="788"/>
      </w:pPr>
      <w:rPr>
        <w:rFonts w:hint="default"/>
        <w:lang w:val="en-US" w:eastAsia="en-US" w:bidi="ar-SA"/>
      </w:rPr>
    </w:lvl>
    <w:lvl w:ilvl="6" w:tplc="E132CCDC">
      <w:numFmt w:val="bullet"/>
      <w:lvlText w:val="•"/>
      <w:lvlJc w:val="left"/>
      <w:pPr>
        <w:ind w:left="7575" w:hanging="788"/>
      </w:pPr>
      <w:rPr>
        <w:rFonts w:hint="default"/>
        <w:lang w:val="en-US" w:eastAsia="en-US" w:bidi="ar-SA"/>
      </w:rPr>
    </w:lvl>
    <w:lvl w:ilvl="7" w:tplc="C646F7BA">
      <w:numFmt w:val="bullet"/>
      <w:lvlText w:val="•"/>
      <w:lvlJc w:val="left"/>
      <w:pPr>
        <w:ind w:left="8570" w:hanging="788"/>
      </w:pPr>
      <w:rPr>
        <w:rFonts w:hint="default"/>
        <w:lang w:val="en-US" w:eastAsia="en-US" w:bidi="ar-SA"/>
      </w:rPr>
    </w:lvl>
    <w:lvl w:ilvl="8" w:tplc="3F785510">
      <w:numFmt w:val="bullet"/>
      <w:lvlText w:val="•"/>
      <w:lvlJc w:val="left"/>
      <w:pPr>
        <w:ind w:left="9566" w:hanging="788"/>
      </w:pPr>
      <w:rPr>
        <w:rFonts w:hint="default"/>
        <w:lang w:val="en-US" w:eastAsia="en-US" w:bidi="ar-SA"/>
      </w:rPr>
    </w:lvl>
  </w:abstractNum>
  <w:abstractNum w:abstractNumId="115" w15:restartNumberingAfterBreak="0">
    <w:nsid w:val="79614309"/>
    <w:multiLevelType w:val="multilevel"/>
    <w:tmpl w:val="582CF1EA"/>
    <w:lvl w:ilvl="0">
      <w:start w:val="19"/>
      <w:numFmt w:val="decimal"/>
      <w:lvlText w:val="%1"/>
      <w:lvlJc w:val="left"/>
      <w:pPr>
        <w:ind w:left="720" w:hanging="721"/>
        <w:jc w:val="left"/>
      </w:pPr>
      <w:rPr>
        <w:rFonts w:hint="default"/>
        <w:lang w:val="en-US" w:eastAsia="en-US" w:bidi="ar-SA"/>
      </w:rPr>
    </w:lvl>
    <w:lvl w:ilvl="1">
      <w:numFmt w:val="decimal"/>
      <w:lvlText w:val="%1.%2"/>
      <w:lvlJc w:val="left"/>
      <w:pPr>
        <w:ind w:left="720" w:hanging="721"/>
        <w:jc w:val="right"/>
      </w:pPr>
      <w:rPr>
        <w:rFonts w:hint="default"/>
        <w:spacing w:val="0"/>
        <w:w w:val="100"/>
        <w:lang w:val="en-US" w:eastAsia="en-US" w:bidi="ar-SA"/>
      </w:rPr>
    </w:lvl>
    <w:lvl w:ilvl="2">
      <w:start w:val="1"/>
      <w:numFmt w:val="lowerRoman"/>
      <w:lvlText w:val="%3."/>
      <w:lvlJc w:val="left"/>
      <w:pPr>
        <w:ind w:left="2161" w:hanging="308"/>
        <w:jc w:val="right"/>
      </w:pPr>
      <w:rPr>
        <w:rFonts w:ascii="Times New Roman" w:eastAsia="Times New Roman" w:hAnsi="Times New Roman" w:cs="Times New Roman" w:hint="default"/>
        <w:b w:val="0"/>
        <w:bCs w:val="0"/>
        <w:i w:val="0"/>
        <w:iCs w:val="0"/>
        <w:spacing w:val="-10"/>
        <w:w w:val="100"/>
        <w:sz w:val="24"/>
        <w:szCs w:val="24"/>
        <w:lang w:val="en-US" w:eastAsia="en-US" w:bidi="ar-SA"/>
      </w:rPr>
    </w:lvl>
    <w:lvl w:ilvl="3">
      <w:numFmt w:val="bullet"/>
      <w:lvlText w:val="•"/>
      <w:lvlJc w:val="left"/>
      <w:pPr>
        <w:ind w:left="3850" w:hanging="308"/>
      </w:pPr>
      <w:rPr>
        <w:rFonts w:hint="default"/>
        <w:lang w:val="en-US" w:eastAsia="en-US" w:bidi="ar-SA"/>
      </w:rPr>
    </w:lvl>
    <w:lvl w:ilvl="4">
      <w:numFmt w:val="bullet"/>
      <w:lvlText w:val="•"/>
      <w:lvlJc w:val="left"/>
      <w:pPr>
        <w:ind w:left="4696" w:hanging="308"/>
      </w:pPr>
      <w:rPr>
        <w:rFonts w:hint="default"/>
        <w:lang w:val="en-US" w:eastAsia="en-US" w:bidi="ar-SA"/>
      </w:rPr>
    </w:lvl>
    <w:lvl w:ilvl="5">
      <w:numFmt w:val="bullet"/>
      <w:lvlText w:val="•"/>
      <w:lvlJc w:val="left"/>
      <w:pPr>
        <w:ind w:left="5541" w:hanging="308"/>
      </w:pPr>
      <w:rPr>
        <w:rFonts w:hint="default"/>
        <w:lang w:val="en-US" w:eastAsia="en-US" w:bidi="ar-SA"/>
      </w:rPr>
    </w:lvl>
    <w:lvl w:ilvl="6">
      <w:numFmt w:val="bullet"/>
      <w:lvlText w:val="•"/>
      <w:lvlJc w:val="left"/>
      <w:pPr>
        <w:ind w:left="6386" w:hanging="308"/>
      </w:pPr>
      <w:rPr>
        <w:rFonts w:hint="default"/>
        <w:lang w:val="en-US" w:eastAsia="en-US" w:bidi="ar-SA"/>
      </w:rPr>
    </w:lvl>
    <w:lvl w:ilvl="7">
      <w:numFmt w:val="bullet"/>
      <w:lvlText w:val="•"/>
      <w:lvlJc w:val="left"/>
      <w:pPr>
        <w:ind w:left="7232" w:hanging="308"/>
      </w:pPr>
      <w:rPr>
        <w:rFonts w:hint="default"/>
        <w:lang w:val="en-US" w:eastAsia="en-US" w:bidi="ar-SA"/>
      </w:rPr>
    </w:lvl>
    <w:lvl w:ilvl="8">
      <w:numFmt w:val="bullet"/>
      <w:lvlText w:val="•"/>
      <w:lvlJc w:val="left"/>
      <w:pPr>
        <w:ind w:left="8077" w:hanging="308"/>
      </w:pPr>
      <w:rPr>
        <w:rFonts w:hint="default"/>
        <w:lang w:val="en-US" w:eastAsia="en-US" w:bidi="ar-SA"/>
      </w:rPr>
    </w:lvl>
  </w:abstractNum>
  <w:abstractNum w:abstractNumId="116" w15:restartNumberingAfterBreak="0">
    <w:nsid w:val="7AF56E9F"/>
    <w:multiLevelType w:val="hybridMultilevel"/>
    <w:tmpl w:val="504874B4"/>
    <w:lvl w:ilvl="0" w:tplc="9490F064">
      <w:start w:val="5"/>
      <w:numFmt w:val="lowerLetter"/>
      <w:lvlText w:val="%1)"/>
      <w:lvlJc w:val="left"/>
      <w:pPr>
        <w:ind w:left="1628" w:hanging="332"/>
        <w:jc w:val="left"/>
      </w:pPr>
      <w:rPr>
        <w:rFonts w:ascii="Times New Roman" w:eastAsia="Times New Roman" w:hAnsi="Times New Roman" w:cs="Times New Roman" w:hint="default"/>
        <w:b w:val="0"/>
        <w:bCs w:val="0"/>
        <w:i w:val="0"/>
        <w:iCs w:val="0"/>
        <w:color w:val="211F1F"/>
        <w:spacing w:val="-3"/>
        <w:w w:val="100"/>
        <w:sz w:val="22"/>
        <w:szCs w:val="22"/>
        <w:lang w:val="en-US" w:eastAsia="en-US" w:bidi="ar-SA"/>
      </w:rPr>
    </w:lvl>
    <w:lvl w:ilvl="1" w:tplc="D31A2BB8">
      <w:numFmt w:val="bullet"/>
      <w:lvlText w:val="•"/>
      <w:lvlJc w:val="left"/>
      <w:pPr>
        <w:ind w:left="2613" w:hanging="332"/>
      </w:pPr>
      <w:rPr>
        <w:rFonts w:hint="default"/>
        <w:lang w:val="en-US" w:eastAsia="en-US" w:bidi="ar-SA"/>
      </w:rPr>
    </w:lvl>
    <w:lvl w:ilvl="2" w:tplc="9386EDE2">
      <w:numFmt w:val="bullet"/>
      <w:lvlText w:val="•"/>
      <w:lvlJc w:val="left"/>
      <w:pPr>
        <w:ind w:left="3607" w:hanging="332"/>
      </w:pPr>
      <w:rPr>
        <w:rFonts w:hint="default"/>
        <w:lang w:val="en-US" w:eastAsia="en-US" w:bidi="ar-SA"/>
      </w:rPr>
    </w:lvl>
    <w:lvl w:ilvl="3" w:tplc="B60CA310">
      <w:numFmt w:val="bullet"/>
      <w:lvlText w:val="•"/>
      <w:lvlJc w:val="left"/>
      <w:pPr>
        <w:ind w:left="4601" w:hanging="332"/>
      </w:pPr>
      <w:rPr>
        <w:rFonts w:hint="default"/>
        <w:lang w:val="en-US" w:eastAsia="en-US" w:bidi="ar-SA"/>
      </w:rPr>
    </w:lvl>
    <w:lvl w:ilvl="4" w:tplc="20DA9FAA">
      <w:numFmt w:val="bullet"/>
      <w:lvlText w:val="•"/>
      <w:lvlJc w:val="left"/>
      <w:pPr>
        <w:ind w:left="5595" w:hanging="332"/>
      </w:pPr>
      <w:rPr>
        <w:rFonts w:hint="default"/>
        <w:lang w:val="en-US" w:eastAsia="en-US" w:bidi="ar-SA"/>
      </w:rPr>
    </w:lvl>
    <w:lvl w:ilvl="5" w:tplc="C184999A">
      <w:numFmt w:val="bullet"/>
      <w:lvlText w:val="•"/>
      <w:lvlJc w:val="left"/>
      <w:pPr>
        <w:ind w:left="6589" w:hanging="332"/>
      </w:pPr>
      <w:rPr>
        <w:rFonts w:hint="default"/>
        <w:lang w:val="en-US" w:eastAsia="en-US" w:bidi="ar-SA"/>
      </w:rPr>
    </w:lvl>
    <w:lvl w:ilvl="6" w:tplc="1DF837D8">
      <w:numFmt w:val="bullet"/>
      <w:lvlText w:val="•"/>
      <w:lvlJc w:val="left"/>
      <w:pPr>
        <w:ind w:left="7583" w:hanging="332"/>
      </w:pPr>
      <w:rPr>
        <w:rFonts w:hint="default"/>
        <w:lang w:val="en-US" w:eastAsia="en-US" w:bidi="ar-SA"/>
      </w:rPr>
    </w:lvl>
    <w:lvl w:ilvl="7" w:tplc="CD1E71C6">
      <w:numFmt w:val="bullet"/>
      <w:lvlText w:val="•"/>
      <w:lvlJc w:val="left"/>
      <w:pPr>
        <w:ind w:left="8576" w:hanging="332"/>
      </w:pPr>
      <w:rPr>
        <w:rFonts w:hint="default"/>
        <w:lang w:val="en-US" w:eastAsia="en-US" w:bidi="ar-SA"/>
      </w:rPr>
    </w:lvl>
    <w:lvl w:ilvl="8" w:tplc="1AEC351A">
      <w:numFmt w:val="bullet"/>
      <w:lvlText w:val="•"/>
      <w:lvlJc w:val="left"/>
      <w:pPr>
        <w:ind w:left="9570" w:hanging="332"/>
      </w:pPr>
      <w:rPr>
        <w:rFonts w:hint="default"/>
        <w:lang w:val="en-US" w:eastAsia="en-US" w:bidi="ar-SA"/>
      </w:rPr>
    </w:lvl>
  </w:abstractNum>
  <w:abstractNum w:abstractNumId="117" w15:restartNumberingAfterBreak="0">
    <w:nsid w:val="7BA4105A"/>
    <w:multiLevelType w:val="hybridMultilevel"/>
    <w:tmpl w:val="0C1AAD48"/>
    <w:lvl w:ilvl="0" w:tplc="3020B5D6">
      <w:start w:val="1"/>
      <w:numFmt w:val="lowerLetter"/>
      <w:lvlText w:val="%1)"/>
      <w:lvlJc w:val="left"/>
      <w:pPr>
        <w:ind w:left="1488" w:hanging="443"/>
        <w:jc w:val="left"/>
      </w:pPr>
      <w:rPr>
        <w:rFonts w:ascii="Times New Roman" w:eastAsia="Times New Roman" w:hAnsi="Times New Roman" w:cs="Times New Roman" w:hint="default"/>
        <w:b w:val="0"/>
        <w:bCs w:val="0"/>
        <w:i w:val="0"/>
        <w:iCs w:val="0"/>
        <w:color w:val="211F1F"/>
        <w:spacing w:val="0"/>
        <w:w w:val="100"/>
        <w:sz w:val="22"/>
        <w:szCs w:val="22"/>
        <w:lang w:val="en-US" w:eastAsia="en-US" w:bidi="ar-SA"/>
      </w:rPr>
    </w:lvl>
    <w:lvl w:ilvl="1" w:tplc="7B0C0CE0">
      <w:numFmt w:val="bullet"/>
      <w:lvlText w:val="•"/>
      <w:lvlJc w:val="left"/>
      <w:pPr>
        <w:ind w:left="2487" w:hanging="443"/>
      </w:pPr>
      <w:rPr>
        <w:rFonts w:hint="default"/>
        <w:lang w:val="en-US" w:eastAsia="en-US" w:bidi="ar-SA"/>
      </w:rPr>
    </w:lvl>
    <w:lvl w:ilvl="2" w:tplc="46860B80">
      <w:numFmt w:val="bullet"/>
      <w:lvlText w:val="•"/>
      <w:lvlJc w:val="left"/>
      <w:pPr>
        <w:ind w:left="3495" w:hanging="443"/>
      </w:pPr>
      <w:rPr>
        <w:rFonts w:hint="default"/>
        <w:lang w:val="en-US" w:eastAsia="en-US" w:bidi="ar-SA"/>
      </w:rPr>
    </w:lvl>
    <w:lvl w:ilvl="3" w:tplc="71F2ECCA">
      <w:numFmt w:val="bullet"/>
      <w:lvlText w:val="•"/>
      <w:lvlJc w:val="left"/>
      <w:pPr>
        <w:ind w:left="4503" w:hanging="443"/>
      </w:pPr>
      <w:rPr>
        <w:rFonts w:hint="default"/>
        <w:lang w:val="en-US" w:eastAsia="en-US" w:bidi="ar-SA"/>
      </w:rPr>
    </w:lvl>
    <w:lvl w:ilvl="4" w:tplc="A29253F0">
      <w:numFmt w:val="bullet"/>
      <w:lvlText w:val="•"/>
      <w:lvlJc w:val="left"/>
      <w:pPr>
        <w:ind w:left="5511" w:hanging="443"/>
      </w:pPr>
      <w:rPr>
        <w:rFonts w:hint="default"/>
        <w:lang w:val="en-US" w:eastAsia="en-US" w:bidi="ar-SA"/>
      </w:rPr>
    </w:lvl>
    <w:lvl w:ilvl="5" w:tplc="9B14EAAC">
      <w:numFmt w:val="bullet"/>
      <w:lvlText w:val="•"/>
      <w:lvlJc w:val="left"/>
      <w:pPr>
        <w:ind w:left="6519" w:hanging="443"/>
      </w:pPr>
      <w:rPr>
        <w:rFonts w:hint="default"/>
        <w:lang w:val="en-US" w:eastAsia="en-US" w:bidi="ar-SA"/>
      </w:rPr>
    </w:lvl>
    <w:lvl w:ilvl="6" w:tplc="46EA07BE">
      <w:numFmt w:val="bullet"/>
      <w:lvlText w:val="•"/>
      <w:lvlJc w:val="left"/>
      <w:pPr>
        <w:ind w:left="7527" w:hanging="443"/>
      </w:pPr>
      <w:rPr>
        <w:rFonts w:hint="default"/>
        <w:lang w:val="en-US" w:eastAsia="en-US" w:bidi="ar-SA"/>
      </w:rPr>
    </w:lvl>
    <w:lvl w:ilvl="7" w:tplc="42F078C4">
      <w:numFmt w:val="bullet"/>
      <w:lvlText w:val="•"/>
      <w:lvlJc w:val="left"/>
      <w:pPr>
        <w:ind w:left="8534" w:hanging="443"/>
      </w:pPr>
      <w:rPr>
        <w:rFonts w:hint="default"/>
        <w:lang w:val="en-US" w:eastAsia="en-US" w:bidi="ar-SA"/>
      </w:rPr>
    </w:lvl>
    <w:lvl w:ilvl="8" w:tplc="78A835A2">
      <w:numFmt w:val="bullet"/>
      <w:lvlText w:val="•"/>
      <w:lvlJc w:val="left"/>
      <w:pPr>
        <w:ind w:left="9542" w:hanging="443"/>
      </w:pPr>
      <w:rPr>
        <w:rFonts w:hint="default"/>
        <w:lang w:val="en-US" w:eastAsia="en-US" w:bidi="ar-SA"/>
      </w:rPr>
    </w:lvl>
  </w:abstractNum>
  <w:abstractNum w:abstractNumId="118" w15:restartNumberingAfterBreak="0">
    <w:nsid w:val="7F5A611A"/>
    <w:multiLevelType w:val="hybridMultilevel"/>
    <w:tmpl w:val="B816ABD4"/>
    <w:lvl w:ilvl="0" w:tplc="662042BE">
      <w:start w:val="1"/>
      <w:numFmt w:val="decimal"/>
      <w:lvlText w:val="%1."/>
      <w:lvlJc w:val="left"/>
      <w:pPr>
        <w:ind w:left="917" w:hanging="423"/>
        <w:jc w:val="left"/>
      </w:pPr>
      <w:rPr>
        <w:rFonts w:ascii="Times New Roman" w:eastAsia="Times New Roman" w:hAnsi="Times New Roman" w:cs="Times New Roman" w:hint="default"/>
        <w:b/>
        <w:bCs/>
        <w:i w:val="0"/>
        <w:iCs w:val="0"/>
        <w:color w:val="211F1F"/>
        <w:spacing w:val="0"/>
        <w:w w:val="100"/>
        <w:sz w:val="22"/>
        <w:szCs w:val="22"/>
        <w:lang w:val="en-US" w:eastAsia="en-US" w:bidi="ar-SA"/>
      </w:rPr>
    </w:lvl>
    <w:lvl w:ilvl="1" w:tplc="D0000860">
      <w:numFmt w:val="bullet"/>
      <w:lvlText w:val="•"/>
      <w:lvlJc w:val="left"/>
      <w:pPr>
        <w:ind w:left="1983" w:hanging="423"/>
      </w:pPr>
      <w:rPr>
        <w:rFonts w:hint="default"/>
        <w:lang w:val="en-US" w:eastAsia="en-US" w:bidi="ar-SA"/>
      </w:rPr>
    </w:lvl>
    <w:lvl w:ilvl="2" w:tplc="ACA4C348">
      <w:numFmt w:val="bullet"/>
      <w:lvlText w:val="•"/>
      <w:lvlJc w:val="left"/>
      <w:pPr>
        <w:ind w:left="3047" w:hanging="423"/>
      </w:pPr>
      <w:rPr>
        <w:rFonts w:hint="default"/>
        <w:lang w:val="en-US" w:eastAsia="en-US" w:bidi="ar-SA"/>
      </w:rPr>
    </w:lvl>
    <w:lvl w:ilvl="3" w:tplc="201AE3A0">
      <w:numFmt w:val="bullet"/>
      <w:lvlText w:val="•"/>
      <w:lvlJc w:val="left"/>
      <w:pPr>
        <w:ind w:left="4111" w:hanging="423"/>
      </w:pPr>
      <w:rPr>
        <w:rFonts w:hint="default"/>
        <w:lang w:val="en-US" w:eastAsia="en-US" w:bidi="ar-SA"/>
      </w:rPr>
    </w:lvl>
    <w:lvl w:ilvl="4" w:tplc="F64EBF66">
      <w:numFmt w:val="bullet"/>
      <w:lvlText w:val="•"/>
      <w:lvlJc w:val="left"/>
      <w:pPr>
        <w:ind w:left="5175" w:hanging="423"/>
      </w:pPr>
      <w:rPr>
        <w:rFonts w:hint="default"/>
        <w:lang w:val="en-US" w:eastAsia="en-US" w:bidi="ar-SA"/>
      </w:rPr>
    </w:lvl>
    <w:lvl w:ilvl="5" w:tplc="5AC83D88">
      <w:numFmt w:val="bullet"/>
      <w:lvlText w:val="•"/>
      <w:lvlJc w:val="left"/>
      <w:pPr>
        <w:ind w:left="6239" w:hanging="423"/>
      </w:pPr>
      <w:rPr>
        <w:rFonts w:hint="default"/>
        <w:lang w:val="en-US" w:eastAsia="en-US" w:bidi="ar-SA"/>
      </w:rPr>
    </w:lvl>
    <w:lvl w:ilvl="6" w:tplc="DFD0DE92">
      <w:numFmt w:val="bullet"/>
      <w:lvlText w:val="•"/>
      <w:lvlJc w:val="left"/>
      <w:pPr>
        <w:ind w:left="7303" w:hanging="423"/>
      </w:pPr>
      <w:rPr>
        <w:rFonts w:hint="default"/>
        <w:lang w:val="en-US" w:eastAsia="en-US" w:bidi="ar-SA"/>
      </w:rPr>
    </w:lvl>
    <w:lvl w:ilvl="7" w:tplc="47C82E98">
      <w:numFmt w:val="bullet"/>
      <w:lvlText w:val="•"/>
      <w:lvlJc w:val="left"/>
      <w:pPr>
        <w:ind w:left="8366" w:hanging="423"/>
      </w:pPr>
      <w:rPr>
        <w:rFonts w:hint="default"/>
        <w:lang w:val="en-US" w:eastAsia="en-US" w:bidi="ar-SA"/>
      </w:rPr>
    </w:lvl>
    <w:lvl w:ilvl="8" w:tplc="D2E64412">
      <w:numFmt w:val="bullet"/>
      <w:lvlText w:val="•"/>
      <w:lvlJc w:val="left"/>
      <w:pPr>
        <w:ind w:left="9430" w:hanging="423"/>
      </w:pPr>
      <w:rPr>
        <w:rFonts w:hint="default"/>
        <w:lang w:val="en-US" w:eastAsia="en-US" w:bidi="ar-SA"/>
      </w:rPr>
    </w:lvl>
  </w:abstractNum>
  <w:num w:numId="1" w16cid:durableId="1641307689">
    <w:abstractNumId w:val="70"/>
  </w:num>
  <w:num w:numId="2" w16cid:durableId="2098398739">
    <w:abstractNumId w:val="37"/>
  </w:num>
  <w:num w:numId="3" w16cid:durableId="1549415388">
    <w:abstractNumId w:val="31"/>
  </w:num>
  <w:num w:numId="4" w16cid:durableId="1892572693">
    <w:abstractNumId w:val="63"/>
  </w:num>
  <w:num w:numId="5" w16cid:durableId="176819050">
    <w:abstractNumId w:val="38"/>
  </w:num>
  <w:num w:numId="6" w16cid:durableId="617684675">
    <w:abstractNumId w:val="48"/>
  </w:num>
  <w:num w:numId="7" w16cid:durableId="2024555038">
    <w:abstractNumId w:val="96"/>
  </w:num>
  <w:num w:numId="8" w16cid:durableId="912162677">
    <w:abstractNumId w:val="33"/>
  </w:num>
  <w:num w:numId="9" w16cid:durableId="246157074">
    <w:abstractNumId w:val="12"/>
  </w:num>
  <w:num w:numId="10" w16cid:durableId="727992653">
    <w:abstractNumId w:val="27"/>
  </w:num>
  <w:num w:numId="11" w16cid:durableId="1129013782">
    <w:abstractNumId w:val="81"/>
  </w:num>
  <w:num w:numId="12" w16cid:durableId="1241451791">
    <w:abstractNumId w:val="40"/>
  </w:num>
  <w:num w:numId="13" w16cid:durableId="1417093584">
    <w:abstractNumId w:val="98"/>
  </w:num>
  <w:num w:numId="14" w16cid:durableId="836380893">
    <w:abstractNumId w:val="43"/>
  </w:num>
  <w:num w:numId="15" w16cid:durableId="1017274606">
    <w:abstractNumId w:val="39"/>
  </w:num>
  <w:num w:numId="16" w16cid:durableId="1270159461">
    <w:abstractNumId w:val="3"/>
  </w:num>
  <w:num w:numId="17" w16cid:durableId="450633603">
    <w:abstractNumId w:val="77"/>
  </w:num>
  <w:num w:numId="18" w16cid:durableId="112671705">
    <w:abstractNumId w:val="11"/>
  </w:num>
  <w:num w:numId="19" w16cid:durableId="352652324">
    <w:abstractNumId w:val="112"/>
  </w:num>
  <w:num w:numId="20" w16cid:durableId="1348868669">
    <w:abstractNumId w:val="32"/>
  </w:num>
  <w:num w:numId="21" w16cid:durableId="31270666">
    <w:abstractNumId w:val="117"/>
  </w:num>
  <w:num w:numId="22" w16cid:durableId="1473133567">
    <w:abstractNumId w:val="5"/>
  </w:num>
  <w:num w:numId="23" w16cid:durableId="951278039">
    <w:abstractNumId w:val="56"/>
  </w:num>
  <w:num w:numId="24" w16cid:durableId="1099568597">
    <w:abstractNumId w:val="76"/>
  </w:num>
  <w:num w:numId="25" w16cid:durableId="1344433338">
    <w:abstractNumId w:val="116"/>
  </w:num>
  <w:num w:numId="26" w16cid:durableId="1889339821">
    <w:abstractNumId w:val="55"/>
  </w:num>
  <w:num w:numId="27" w16cid:durableId="1888180068">
    <w:abstractNumId w:val="68"/>
  </w:num>
  <w:num w:numId="28" w16cid:durableId="517281150">
    <w:abstractNumId w:val="9"/>
  </w:num>
  <w:num w:numId="29" w16cid:durableId="156116422">
    <w:abstractNumId w:val="94"/>
  </w:num>
  <w:num w:numId="30" w16cid:durableId="1918321479">
    <w:abstractNumId w:val="49"/>
  </w:num>
  <w:num w:numId="31" w16cid:durableId="2064057338">
    <w:abstractNumId w:val="114"/>
  </w:num>
  <w:num w:numId="32" w16cid:durableId="646476468">
    <w:abstractNumId w:val="87"/>
  </w:num>
  <w:num w:numId="33" w16cid:durableId="922763538">
    <w:abstractNumId w:val="90"/>
  </w:num>
  <w:num w:numId="34" w16cid:durableId="488256419">
    <w:abstractNumId w:val="67"/>
  </w:num>
  <w:num w:numId="35" w16cid:durableId="698359722">
    <w:abstractNumId w:val="104"/>
  </w:num>
  <w:num w:numId="36" w16cid:durableId="572736136">
    <w:abstractNumId w:val="53"/>
  </w:num>
  <w:num w:numId="37" w16cid:durableId="1699158175">
    <w:abstractNumId w:val="0"/>
  </w:num>
  <w:num w:numId="38" w16cid:durableId="741026614">
    <w:abstractNumId w:val="113"/>
  </w:num>
  <w:num w:numId="39" w16cid:durableId="135345815">
    <w:abstractNumId w:val="22"/>
  </w:num>
  <w:num w:numId="40" w16cid:durableId="1322077045">
    <w:abstractNumId w:val="60"/>
  </w:num>
  <w:num w:numId="41" w16cid:durableId="1740903375">
    <w:abstractNumId w:val="21"/>
  </w:num>
  <w:num w:numId="42" w16cid:durableId="1114791854">
    <w:abstractNumId w:val="118"/>
  </w:num>
  <w:num w:numId="43" w16cid:durableId="1415275502">
    <w:abstractNumId w:val="111"/>
  </w:num>
  <w:num w:numId="44" w16cid:durableId="371343324">
    <w:abstractNumId w:val="35"/>
  </w:num>
  <w:num w:numId="45" w16cid:durableId="380447642">
    <w:abstractNumId w:val="4"/>
  </w:num>
  <w:num w:numId="46" w16cid:durableId="121731672">
    <w:abstractNumId w:val="92"/>
  </w:num>
  <w:num w:numId="47" w16cid:durableId="664095037">
    <w:abstractNumId w:val="14"/>
  </w:num>
  <w:num w:numId="48" w16cid:durableId="2138181233">
    <w:abstractNumId w:val="93"/>
  </w:num>
  <w:num w:numId="49" w16cid:durableId="1150250963">
    <w:abstractNumId w:val="99"/>
  </w:num>
  <w:num w:numId="50" w16cid:durableId="1177503686">
    <w:abstractNumId w:val="89"/>
  </w:num>
  <w:num w:numId="51" w16cid:durableId="820118639">
    <w:abstractNumId w:val="45"/>
  </w:num>
  <w:num w:numId="52" w16cid:durableId="1012955026">
    <w:abstractNumId w:val="42"/>
  </w:num>
  <w:num w:numId="53" w16cid:durableId="1103762510">
    <w:abstractNumId w:val="1"/>
  </w:num>
  <w:num w:numId="54" w16cid:durableId="583993157">
    <w:abstractNumId w:val="80"/>
  </w:num>
  <w:num w:numId="55" w16cid:durableId="764570655">
    <w:abstractNumId w:val="110"/>
  </w:num>
  <w:num w:numId="56" w16cid:durableId="1303342040">
    <w:abstractNumId w:val="17"/>
  </w:num>
  <w:num w:numId="57" w16cid:durableId="1548566877">
    <w:abstractNumId w:val="34"/>
  </w:num>
  <w:num w:numId="58" w16cid:durableId="741417319">
    <w:abstractNumId w:val="6"/>
  </w:num>
  <w:num w:numId="59" w16cid:durableId="431165741">
    <w:abstractNumId w:val="102"/>
  </w:num>
  <w:num w:numId="60" w16cid:durableId="1563254048">
    <w:abstractNumId w:val="103"/>
  </w:num>
  <w:num w:numId="61" w16cid:durableId="623345085">
    <w:abstractNumId w:val="8"/>
  </w:num>
  <w:num w:numId="62" w16cid:durableId="1355692788">
    <w:abstractNumId w:val="16"/>
  </w:num>
  <w:num w:numId="63" w16cid:durableId="75523056">
    <w:abstractNumId w:val="51"/>
  </w:num>
  <w:num w:numId="64" w16cid:durableId="1022630495">
    <w:abstractNumId w:val="47"/>
  </w:num>
  <w:num w:numId="65" w16cid:durableId="1498036775">
    <w:abstractNumId w:val="69"/>
  </w:num>
  <w:num w:numId="66" w16cid:durableId="241764338">
    <w:abstractNumId w:val="74"/>
  </w:num>
  <w:num w:numId="67" w16cid:durableId="33625825">
    <w:abstractNumId w:val="62"/>
  </w:num>
  <w:num w:numId="68" w16cid:durableId="1324236024">
    <w:abstractNumId w:val="106"/>
  </w:num>
  <w:num w:numId="69" w16cid:durableId="1664816499">
    <w:abstractNumId w:val="109"/>
  </w:num>
  <w:num w:numId="70" w16cid:durableId="18893587">
    <w:abstractNumId w:val="78"/>
  </w:num>
  <w:num w:numId="71" w16cid:durableId="867528455">
    <w:abstractNumId w:val="84"/>
  </w:num>
  <w:num w:numId="72" w16cid:durableId="55205564">
    <w:abstractNumId w:val="28"/>
  </w:num>
  <w:num w:numId="73" w16cid:durableId="1577398381">
    <w:abstractNumId w:val="72"/>
  </w:num>
  <w:num w:numId="74" w16cid:durableId="1205682214">
    <w:abstractNumId w:val="66"/>
  </w:num>
  <w:num w:numId="75" w16cid:durableId="1235507059">
    <w:abstractNumId w:val="61"/>
  </w:num>
  <w:num w:numId="76" w16cid:durableId="2040857964">
    <w:abstractNumId w:val="29"/>
  </w:num>
  <w:num w:numId="77" w16cid:durableId="853148201">
    <w:abstractNumId w:val="108"/>
  </w:num>
  <w:num w:numId="78" w16cid:durableId="1246575385">
    <w:abstractNumId w:val="18"/>
  </w:num>
  <w:num w:numId="79" w16cid:durableId="129710495">
    <w:abstractNumId w:val="79"/>
  </w:num>
  <w:num w:numId="80" w16cid:durableId="788165830">
    <w:abstractNumId w:val="83"/>
  </w:num>
  <w:num w:numId="81" w16cid:durableId="2038768822">
    <w:abstractNumId w:val="10"/>
  </w:num>
  <w:num w:numId="82" w16cid:durableId="942804839">
    <w:abstractNumId w:val="24"/>
  </w:num>
  <w:num w:numId="83" w16cid:durableId="1402213465">
    <w:abstractNumId w:val="44"/>
  </w:num>
  <w:num w:numId="84" w16cid:durableId="1920748456">
    <w:abstractNumId w:val="73"/>
  </w:num>
  <w:num w:numId="85" w16cid:durableId="1521506425">
    <w:abstractNumId w:val="20"/>
  </w:num>
  <w:num w:numId="86" w16cid:durableId="577709244">
    <w:abstractNumId w:val="2"/>
  </w:num>
  <w:num w:numId="87" w16cid:durableId="165097164">
    <w:abstractNumId w:val="91"/>
  </w:num>
  <w:num w:numId="88" w16cid:durableId="113913648">
    <w:abstractNumId w:val="46"/>
  </w:num>
  <w:num w:numId="89" w16cid:durableId="83767694">
    <w:abstractNumId w:val="107"/>
  </w:num>
  <w:num w:numId="90" w16cid:durableId="1316952828">
    <w:abstractNumId w:val="26"/>
  </w:num>
  <w:num w:numId="91" w16cid:durableId="970402815">
    <w:abstractNumId w:val="41"/>
  </w:num>
  <w:num w:numId="92" w16cid:durableId="1751463555">
    <w:abstractNumId w:val="36"/>
  </w:num>
  <w:num w:numId="93" w16cid:durableId="117528672">
    <w:abstractNumId w:val="30"/>
  </w:num>
  <w:num w:numId="94" w16cid:durableId="1406225628">
    <w:abstractNumId w:val="58"/>
  </w:num>
  <w:num w:numId="95" w16cid:durableId="427239563">
    <w:abstractNumId w:val="7"/>
  </w:num>
  <w:num w:numId="96" w16cid:durableId="1217663503">
    <w:abstractNumId w:val="115"/>
  </w:num>
  <w:num w:numId="97" w16cid:durableId="1022903518">
    <w:abstractNumId w:val="82"/>
  </w:num>
  <w:num w:numId="98" w16cid:durableId="1243680477">
    <w:abstractNumId w:val="13"/>
  </w:num>
  <w:num w:numId="99" w16cid:durableId="215363432">
    <w:abstractNumId w:val="85"/>
  </w:num>
  <w:num w:numId="100" w16cid:durableId="417795235">
    <w:abstractNumId w:val="97"/>
  </w:num>
  <w:num w:numId="101" w16cid:durableId="1750543638">
    <w:abstractNumId w:val="88"/>
  </w:num>
  <w:num w:numId="102" w16cid:durableId="1127313504">
    <w:abstractNumId w:val="52"/>
  </w:num>
  <w:num w:numId="103" w16cid:durableId="2041861053">
    <w:abstractNumId w:val="64"/>
  </w:num>
  <w:num w:numId="104" w16cid:durableId="1805200544">
    <w:abstractNumId w:val="50"/>
  </w:num>
  <w:num w:numId="105" w16cid:durableId="1749184082">
    <w:abstractNumId w:val="59"/>
  </w:num>
  <w:num w:numId="106" w16cid:durableId="1346522433">
    <w:abstractNumId w:val="25"/>
  </w:num>
  <w:num w:numId="107" w16cid:durableId="1329559984">
    <w:abstractNumId w:val="15"/>
  </w:num>
  <w:num w:numId="108" w16cid:durableId="1078291270">
    <w:abstractNumId w:val="100"/>
  </w:num>
  <w:num w:numId="109" w16cid:durableId="2102136255">
    <w:abstractNumId w:val="57"/>
  </w:num>
  <w:num w:numId="110" w16cid:durableId="1690062761">
    <w:abstractNumId w:val="86"/>
  </w:num>
  <w:num w:numId="111" w16cid:durableId="574513256">
    <w:abstractNumId w:val="23"/>
  </w:num>
  <w:num w:numId="112" w16cid:durableId="1125730564">
    <w:abstractNumId w:val="101"/>
  </w:num>
  <w:num w:numId="113" w16cid:durableId="1879975839">
    <w:abstractNumId w:val="75"/>
  </w:num>
  <w:num w:numId="114" w16cid:durableId="725372368">
    <w:abstractNumId w:val="65"/>
  </w:num>
  <w:num w:numId="115" w16cid:durableId="584917809">
    <w:abstractNumId w:val="95"/>
  </w:num>
  <w:num w:numId="116" w16cid:durableId="464276219">
    <w:abstractNumId w:val="19"/>
  </w:num>
  <w:num w:numId="117" w16cid:durableId="819928868">
    <w:abstractNumId w:val="71"/>
  </w:num>
  <w:num w:numId="118" w16cid:durableId="421682155">
    <w:abstractNumId w:val="54"/>
  </w:num>
  <w:num w:numId="119" w16cid:durableId="967321221">
    <w:abstractNumId w:val="105"/>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BB77C0"/>
    <w:rsid w:val="00063DFB"/>
    <w:rsid w:val="000C5CA9"/>
    <w:rsid w:val="001150D4"/>
    <w:rsid w:val="00194956"/>
    <w:rsid w:val="002D3DD1"/>
    <w:rsid w:val="00370BAA"/>
    <w:rsid w:val="005C3190"/>
    <w:rsid w:val="00671F71"/>
    <w:rsid w:val="00BB77C0"/>
    <w:rsid w:val="00BC27BC"/>
    <w:rsid w:val="00D765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4B94C"/>
  <w15:docId w15:val="{09153D62-11B3-48BC-B721-2A3A700A2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369" w:right="587" w:hanging="2296"/>
      <w:outlineLvl w:val="0"/>
    </w:pPr>
    <w:rPr>
      <w:b/>
      <w:bCs/>
      <w:sz w:val="48"/>
      <w:szCs w:val="48"/>
    </w:rPr>
  </w:style>
  <w:style w:type="paragraph" w:styleId="Heading2">
    <w:name w:val="heading 2"/>
    <w:basedOn w:val="Normal"/>
    <w:uiPriority w:val="1"/>
    <w:qFormat/>
    <w:pPr>
      <w:ind w:left="4"/>
      <w:jc w:val="center"/>
      <w:outlineLvl w:val="1"/>
    </w:pPr>
    <w:rPr>
      <w:b/>
      <w:bCs/>
      <w:sz w:val="40"/>
      <w:szCs w:val="40"/>
    </w:rPr>
  </w:style>
  <w:style w:type="paragraph" w:styleId="Heading3">
    <w:name w:val="heading 3"/>
    <w:basedOn w:val="Normal"/>
    <w:uiPriority w:val="1"/>
    <w:qFormat/>
    <w:pPr>
      <w:ind w:left="8" w:right="205"/>
      <w:jc w:val="center"/>
      <w:outlineLvl w:val="2"/>
    </w:pPr>
    <w:rPr>
      <w:rFonts w:ascii="Cambria" w:eastAsia="Cambria" w:hAnsi="Cambria" w:cs="Cambria"/>
      <w:b/>
      <w:bCs/>
      <w:sz w:val="32"/>
      <w:szCs w:val="32"/>
    </w:rPr>
  </w:style>
  <w:style w:type="paragraph" w:styleId="Heading4">
    <w:name w:val="heading 4"/>
    <w:basedOn w:val="Normal"/>
    <w:uiPriority w:val="1"/>
    <w:qFormat/>
    <w:pPr>
      <w:outlineLvl w:val="3"/>
    </w:pPr>
    <w:rPr>
      <w:b/>
      <w:bCs/>
      <w:sz w:val="28"/>
      <w:szCs w:val="28"/>
    </w:rPr>
  </w:style>
  <w:style w:type="paragraph" w:styleId="Heading5">
    <w:name w:val="heading 5"/>
    <w:basedOn w:val="Normal"/>
    <w:uiPriority w:val="1"/>
    <w:qFormat/>
    <w:pPr>
      <w:ind w:left="844"/>
      <w:outlineLvl w:val="4"/>
    </w:pPr>
    <w:rPr>
      <w:b/>
      <w:bCs/>
      <w:sz w:val="24"/>
      <w:szCs w:val="24"/>
    </w:rPr>
  </w:style>
  <w:style w:type="paragraph" w:styleId="Heading6">
    <w:name w:val="heading 6"/>
    <w:basedOn w:val="Normal"/>
    <w:uiPriority w:val="1"/>
    <w:qFormat/>
    <w:pPr>
      <w:ind w:left="720" w:hanging="720"/>
      <w:outlineLvl w:val="5"/>
    </w:pPr>
    <w:rPr>
      <w:b/>
      <w:bCs/>
      <w:sz w:val="24"/>
      <w:szCs w:val="24"/>
    </w:rPr>
  </w:style>
  <w:style w:type="paragraph" w:styleId="Heading7">
    <w:name w:val="heading 7"/>
    <w:basedOn w:val="Normal"/>
    <w:uiPriority w:val="1"/>
    <w:qFormat/>
    <w:pPr>
      <w:ind w:left="1075"/>
      <w:outlineLvl w:val="6"/>
    </w:pPr>
    <w:rPr>
      <w:b/>
      <w:bCs/>
    </w:rPr>
  </w:style>
  <w:style w:type="paragraph" w:styleId="Heading8">
    <w:name w:val="heading 8"/>
    <w:basedOn w:val="Normal"/>
    <w:uiPriority w:val="1"/>
    <w:qFormat/>
    <w:pPr>
      <w:ind w:left="1051"/>
      <w:outlineLvl w:val="7"/>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83"/>
      <w:ind w:left="360"/>
    </w:pPr>
  </w:style>
  <w:style w:type="paragraph" w:styleId="TOC2">
    <w:name w:val="toc 2"/>
    <w:basedOn w:val="Normal"/>
    <w:uiPriority w:val="1"/>
    <w:qFormat/>
    <w:pPr>
      <w:spacing w:before="178"/>
      <w:ind w:left="1239" w:hanging="658"/>
    </w:pPr>
  </w:style>
  <w:style w:type="paragraph" w:styleId="TOC3">
    <w:name w:val="toc 3"/>
    <w:basedOn w:val="Normal"/>
    <w:uiPriority w:val="1"/>
    <w:qFormat/>
    <w:pPr>
      <w:spacing w:before="188"/>
      <w:ind w:left="797"/>
    </w:pPr>
  </w:style>
  <w:style w:type="paragraph" w:styleId="BodyText">
    <w:name w:val="Body Text"/>
    <w:basedOn w:val="Normal"/>
    <w:uiPriority w:val="1"/>
    <w:qFormat/>
  </w:style>
  <w:style w:type="paragraph" w:styleId="ListParagraph">
    <w:name w:val="List Paragraph"/>
    <w:basedOn w:val="Normal"/>
    <w:uiPriority w:val="1"/>
    <w:qFormat/>
    <w:pPr>
      <w:ind w:left="1441" w:hanging="72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bungoma.go.ke/" TargetMode="External"/><Relationship Id="rId13" Type="http://schemas.openxmlformats.org/officeDocument/2006/relationships/hyperlink" Target="http://www.nca.go.ke/" TargetMode="External"/><Relationship Id="rId18" Type="http://schemas.openxmlformats.org/officeDocument/2006/relationships/hyperlink" Target="http://www.bungoma.go.ke/" TargetMode="External"/><Relationship Id="rId3" Type="http://schemas.openxmlformats.org/officeDocument/2006/relationships/settings" Target="settings.xml"/><Relationship Id="rId21" Type="http://schemas.openxmlformats.org/officeDocument/2006/relationships/image" Target="media/image5.jpeg"/><Relationship Id="rId7" Type="http://schemas.openxmlformats.org/officeDocument/2006/relationships/hyperlink" Target="http://www.tenders.go.ke/" TargetMode="External"/><Relationship Id="rId12" Type="http://schemas.openxmlformats.org/officeDocument/2006/relationships/hyperlink" Target="http://www.ppra.go.ke/" TargetMode="External"/><Relationship Id="rId17" Type="http://schemas.openxmlformats.org/officeDocument/2006/relationships/hyperlink" Target="mailto:complaints@ppra.go.ke"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info@ppra.go.keor" TargetMode="External"/><Relationship Id="rId20"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hyperlink" Target="http://www.bungoma.go.ke/" TargetMode="Externa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www.bungoma.go.ke/" TargetMode="External"/><Relationship Id="rId23" Type="http://schemas.openxmlformats.org/officeDocument/2006/relationships/hyperlink" Target="mailto:complaints@ppra.go.ke" TargetMode="External"/><Relationship Id="rId10" Type="http://schemas.openxmlformats.org/officeDocument/2006/relationships/hyperlink" Target="http://www.supplier.treasury.go.ke/" TargetMode="External"/><Relationship Id="rId19"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www.supplier.treasury.go.ke/" TargetMode="External"/><Relationship Id="rId14" Type="http://schemas.openxmlformats.org/officeDocument/2006/relationships/hyperlink" Target="http://www.cak.go.ke/" TargetMode="External"/><Relationship Id="rId22" Type="http://schemas.openxmlformats.org/officeDocument/2006/relationships/hyperlink" Target="mailto:info@ppra.go.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111</Pages>
  <Words>36370</Words>
  <Characters>207314</Characters>
  <Application>Microsoft Office Word</Application>
  <DocSecurity>0</DocSecurity>
  <Lines>1727</Lines>
  <Paragraphs>486</Paragraphs>
  <ScaleCrop>false</ScaleCrop>
  <Company/>
  <LinksUpToDate>false</LinksUpToDate>
  <CharactersWithSpaces>243198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DWO</dc:creator>
  <cp:lastModifiedBy>COLLINS KIBABA</cp:lastModifiedBy>
  <cp:revision>12</cp:revision>
  <dcterms:created xsi:type="dcterms:W3CDTF">2026-02-17T17:07:00Z</dcterms:created>
  <dcterms:modified xsi:type="dcterms:W3CDTF">2026-03-31T06:08:00Z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2026-02-17T00:00:00Z</vt:filetime>
  </property>
  <property fmtid="{D5CDD505-2E9C-101B-9397-08002B2CF9AE}" pid="3" name="Creator">
    <vt:lpwstr>Microsoft® Word 2016</vt:lpwstr>
  </property>
  <property fmtid="{D5CDD505-2E9C-101B-9397-08002B2CF9AE}" pid="4" name="LastSaved">
    <vt:filetime>2026-02-17T00:00:00Z</vt:filetime>
  </property>
  <property fmtid="{D5CDD505-2E9C-101B-9397-08002B2CF9AE}" pid="5" name="Producer">
    <vt:lpwstr>www.ilovepdf.com</vt:lpwstr>
  </property>
</Properties>
</file>